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CD" w:rsidRPr="0034370D" w:rsidRDefault="006A32CD" w:rsidP="004D7C36">
      <w:pPr>
        <w:spacing w:after="0"/>
        <w:jc w:val="center"/>
        <w:rPr>
          <w:rFonts w:ascii="Times New Roman" w:hAnsi="Times New Roman" w:cs="Times New Roman"/>
          <w:b/>
          <w:color w:val="000000" w:themeColor="text1"/>
          <w:sz w:val="28"/>
          <w:szCs w:val="28"/>
        </w:rPr>
      </w:pPr>
      <w:bookmarkStart w:id="0" w:name="OLE_LINK1"/>
      <w:bookmarkStart w:id="1" w:name="OLE_LINK2"/>
      <w:r w:rsidRPr="0034370D">
        <w:rPr>
          <w:rFonts w:ascii="Times New Roman" w:hAnsi="Times New Roman" w:cs="Times New Roman"/>
          <w:color w:val="000000" w:themeColor="text1"/>
          <w:sz w:val="28"/>
          <w:szCs w:val="28"/>
        </w:rPr>
        <w:t>Ministru kabineta noteikumu projekta</w:t>
      </w:r>
      <w:r w:rsidRPr="0034370D">
        <w:rPr>
          <w:rFonts w:ascii="Times New Roman" w:hAnsi="Times New Roman" w:cs="Times New Roman"/>
          <w:b/>
          <w:color w:val="000000" w:themeColor="text1"/>
          <w:sz w:val="28"/>
          <w:szCs w:val="28"/>
        </w:rPr>
        <w:t xml:space="preserve"> „Grozījumi Ministru kabineta 2012.gada 13.novembra noteikumos Nr.769 „Noteikumi par stacionāro tehnoloģisko iekārtu dalību Eiropas Savienības emisijas kvotu tirdzniecības sistēmā”” </w:t>
      </w:r>
      <w:r w:rsidRPr="0034370D">
        <w:rPr>
          <w:rFonts w:ascii="Times New Roman" w:hAnsi="Times New Roman" w:cs="Times New Roman"/>
          <w:color w:val="000000" w:themeColor="text1"/>
          <w:sz w:val="28"/>
          <w:szCs w:val="28"/>
        </w:rPr>
        <w:t xml:space="preserve">sākotnējās ietekmes novērtējuma ziņojums </w:t>
      </w:r>
      <w:r w:rsidRPr="0034370D">
        <w:rPr>
          <w:rFonts w:ascii="Times New Roman" w:hAnsi="Times New Roman" w:cs="Times New Roman"/>
          <w:b/>
          <w:color w:val="000000" w:themeColor="text1"/>
          <w:sz w:val="28"/>
          <w:szCs w:val="28"/>
        </w:rPr>
        <w:t>(anotācija)</w:t>
      </w:r>
    </w:p>
    <w:bookmarkEnd w:id="0"/>
    <w:bookmarkEnd w:id="1"/>
    <w:p w:rsidR="006A32CD" w:rsidRPr="006A32CD" w:rsidRDefault="006A32CD" w:rsidP="004D7C36">
      <w:pPr>
        <w:spacing w:after="0"/>
        <w:ind w:firstLine="300"/>
        <w:jc w:val="center"/>
        <w:rPr>
          <w:rFonts w:ascii="Times New Roman" w:eastAsia="Times New Roman" w:hAnsi="Times New Roman" w:cs="Times New Roman"/>
          <w:i/>
          <w:iCs/>
          <w:color w:val="000000" w:themeColor="text1"/>
          <w:sz w:val="20"/>
          <w:szCs w:val="20"/>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left w:w="57" w:type="dxa"/>
          <w:right w:w="57" w:type="dxa"/>
        </w:tblCellMar>
        <w:tblLook w:val="04A0" w:firstRow="1" w:lastRow="0" w:firstColumn="1" w:lastColumn="0" w:noHBand="0" w:noVBand="1"/>
      </w:tblPr>
      <w:tblGrid>
        <w:gridCol w:w="482"/>
        <w:gridCol w:w="2410"/>
        <w:gridCol w:w="6747"/>
      </w:tblGrid>
      <w:tr w:rsidR="0034370D" w:rsidRPr="006A32CD" w:rsidTr="00590493">
        <w:trPr>
          <w:trHeight w:val="25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A32CD" w:rsidRPr="006A32CD" w:rsidRDefault="006A32CD" w:rsidP="00E57372">
            <w:pPr>
              <w:spacing w:after="0"/>
              <w:jc w:val="center"/>
              <w:rPr>
                <w:rFonts w:ascii="Times New Roman" w:eastAsia="Times New Roman" w:hAnsi="Times New Roman" w:cs="Times New Roman"/>
                <w:b/>
                <w:bCs/>
                <w:color w:val="000000" w:themeColor="text1"/>
                <w:sz w:val="24"/>
                <w:szCs w:val="24"/>
                <w:lang w:eastAsia="lv-LV"/>
              </w:rPr>
            </w:pPr>
            <w:r w:rsidRPr="006A32CD">
              <w:rPr>
                <w:rFonts w:ascii="Times New Roman" w:eastAsia="Times New Roman" w:hAnsi="Times New Roman" w:cs="Times New Roman"/>
                <w:b/>
                <w:bCs/>
                <w:color w:val="000000" w:themeColor="text1"/>
                <w:sz w:val="24"/>
                <w:szCs w:val="24"/>
                <w:lang w:eastAsia="lv-LV"/>
              </w:rPr>
              <w:t>I. Tiesību akta projekta izstrādes nepieciešamība</w:t>
            </w:r>
          </w:p>
        </w:tc>
      </w:tr>
      <w:tr w:rsidR="0034370D" w:rsidRPr="0034370D" w:rsidTr="00590493">
        <w:trPr>
          <w:trHeight w:val="405"/>
          <w:jc w:val="center"/>
        </w:trPr>
        <w:tc>
          <w:tcPr>
            <w:tcW w:w="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Pamatojums</w:t>
            </w:r>
          </w:p>
        </w:tc>
        <w:tc>
          <w:tcPr>
            <w:tcW w:w="3500" w:type="pct"/>
            <w:tcBorders>
              <w:top w:val="outset" w:sz="6" w:space="0" w:color="414142"/>
              <w:left w:val="outset" w:sz="6" w:space="0" w:color="414142"/>
              <w:bottom w:val="outset" w:sz="6" w:space="0" w:color="414142"/>
              <w:right w:val="outset" w:sz="6" w:space="0" w:color="414142"/>
            </w:tcBorders>
            <w:hideMark/>
          </w:tcPr>
          <w:p w:rsidR="00E57372" w:rsidRPr="0034370D" w:rsidRDefault="00E57372" w:rsidP="007F74DA">
            <w:pPr>
              <w:pStyle w:val="naiskr"/>
              <w:spacing w:before="0" w:after="60"/>
              <w:ind w:firstLine="227"/>
              <w:jc w:val="both"/>
              <w:rPr>
                <w:iCs/>
                <w:color w:val="000000" w:themeColor="text1"/>
                <w:sz w:val="22"/>
                <w:szCs w:val="22"/>
              </w:rPr>
            </w:pPr>
            <w:r w:rsidRPr="0034370D">
              <w:rPr>
                <w:color w:val="000000" w:themeColor="text1"/>
                <w:sz w:val="22"/>
                <w:szCs w:val="22"/>
              </w:rPr>
              <w:t xml:space="preserve">Ministru kabineta noteikumu projekts „Grozījumi Ministru kabineta 2012.gada 13.novembra noteikumos Nr.769 „Noteikumi par stacionāro tehnoloģisko iekārtu dalību Eiropas Savienības emisijas kvotu tirdzniecības sistēmā”” (turpmāk – noteikumu projekts) sagatavots saskaņā ar </w:t>
            </w:r>
            <w:r w:rsidRPr="0034370D">
              <w:rPr>
                <w:iCs/>
                <w:color w:val="000000" w:themeColor="text1"/>
                <w:sz w:val="22"/>
                <w:szCs w:val="22"/>
              </w:rPr>
              <w:t>likuma „Par piesārņojumu” 24.</w:t>
            </w:r>
            <w:r w:rsidRPr="0034370D">
              <w:rPr>
                <w:iCs/>
                <w:color w:val="000000" w:themeColor="text1"/>
                <w:sz w:val="22"/>
                <w:szCs w:val="22"/>
                <w:vertAlign w:val="superscript"/>
              </w:rPr>
              <w:t>1</w:t>
            </w:r>
            <w:r w:rsidRPr="0034370D">
              <w:rPr>
                <w:iCs/>
                <w:color w:val="000000" w:themeColor="text1"/>
                <w:sz w:val="22"/>
                <w:szCs w:val="22"/>
              </w:rPr>
              <w:t xml:space="preserve"> panta trešo un septīto daļu, 30.panta pirmo daļu un 45.panta pirmo un septīto daļu un likuma „Par atbilstība novērtēšanu” 7.panta pirmo daļu.</w:t>
            </w:r>
          </w:p>
          <w:p w:rsidR="006A32CD" w:rsidRPr="006A32CD" w:rsidRDefault="00E57372" w:rsidP="007F74DA">
            <w:pPr>
              <w:spacing w:after="60"/>
              <w:ind w:firstLine="227"/>
              <w:rPr>
                <w:rFonts w:ascii="Times New Roman" w:eastAsia="Times New Roman" w:hAnsi="Times New Roman" w:cs="Times New Roman"/>
                <w:color w:val="000000" w:themeColor="text1"/>
                <w:lang w:eastAsia="lv-LV"/>
              </w:rPr>
            </w:pPr>
            <w:r w:rsidRPr="0034370D">
              <w:rPr>
                <w:rFonts w:ascii="Times New Roman" w:hAnsi="Times New Roman" w:cs="Times New Roman"/>
                <w:iCs/>
                <w:color w:val="000000" w:themeColor="text1"/>
              </w:rPr>
              <w:t>Ar noteikumu projektu tiek grozīti</w:t>
            </w:r>
            <w:r w:rsidRPr="0034370D">
              <w:rPr>
                <w:rFonts w:ascii="Times New Roman" w:hAnsi="Times New Roman" w:cs="Times New Roman"/>
                <w:color w:val="000000" w:themeColor="text1"/>
              </w:rPr>
              <w:t xml:space="preserve"> Ministru kabineta 2012.gada 13.novembra noteikumi Nr.769 „Noteikumi par stacionāro tehnoloģisko iekārtu dalību Eiropas Savienības emisijas kvotu tirdzniecības sistēmā” (turpmāk – noteikumi Nr.769).</w:t>
            </w:r>
          </w:p>
        </w:tc>
      </w:tr>
      <w:tr w:rsidR="0034370D" w:rsidRPr="0034370D" w:rsidTr="00590493">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Pašreizējā situācija un problēmas, kuru risināšanai tiesību akta projekts izstrādāts, tiesiskā regulējuma mērķis un būtība</w:t>
            </w:r>
          </w:p>
        </w:tc>
        <w:tc>
          <w:tcPr>
            <w:tcW w:w="3500" w:type="pct"/>
            <w:tcBorders>
              <w:top w:val="outset" w:sz="6" w:space="0" w:color="414142"/>
              <w:left w:val="outset" w:sz="6" w:space="0" w:color="414142"/>
              <w:bottom w:val="outset" w:sz="6" w:space="0" w:color="414142"/>
              <w:right w:val="outset" w:sz="6" w:space="0" w:color="414142"/>
            </w:tcBorders>
            <w:hideMark/>
          </w:tcPr>
          <w:p w:rsidR="00E57372" w:rsidRPr="0034370D" w:rsidRDefault="00E57372" w:rsidP="007F74DA">
            <w:pPr>
              <w:pStyle w:val="naiskr"/>
              <w:spacing w:before="0" w:after="60"/>
              <w:ind w:firstLine="227"/>
              <w:jc w:val="both"/>
              <w:rPr>
                <w:color w:val="000000" w:themeColor="text1"/>
                <w:sz w:val="22"/>
                <w:szCs w:val="22"/>
              </w:rPr>
            </w:pPr>
            <w:r w:rsidRPr="0034370D">
              <w:rPr>
                <w:color w:val="000000" w:themeColor="text1"/>
                <w:sz w:val="22"/>
                <w:szCs w:val="22"/>
              </w:rPr>
              <w:t>Eiropas Savienības emisijas kvotu tirdzniecības sistēmas (turpmāk – ES ETS) 3.periods 2013.-2020.gads sākās 2013.gada 1.janvārī. Visiem Latvijas komersantiem, kuri veic kādu no likuma „Par piesārņojumu” 2.pielikumā minētām darbībām ir jābūt izsniegtai siltumnīcefekta gāzu emisijas atļaujai (turpmāk – atļauja). Valsts vides dienesta reģionālās vides pārvaldes (turpmāk – pārvalde) visiem Latvijas uzņēmumiem, kuri ir ES ETS operatori, ir izsniegušas atļaujas. Tomēr sākot praktiski strādāt ar noteikumos Nr.769 noteiktajiem nosacījumiem, izskatot iesniegtos iesniegumus atļaujas saņemšanai un sagatavojot atļaujas, tika konstatētas vairākas neprecizitātes un nesaskaņas veidlapās, kā arī tika konstatētas nepilnības attiecībā uz darbībām ar operatoriem, kuru iekārtās ir notikušas būtiskas izmaiņas vai kuri pārtrauc savu darbību, piemēram:</w:t>
            </w:r>
          </w:p>
          <w:p w:rsidR="00E57372" w:rsidRPr="0034370D" w:rsidRDefault="00E57372" w:rsidP="004D7C36">
            <w:pPr>
              <w:pStyle w:val="naiskr"/>
              <w:numPr>
                <w:ilvl w:val="0"/>
                <w:numId w:val="1"/>
              </w:numPr>
              <w:spacing w:before="0" w:after="60"/>
              <w:ind w:left="341" w:right="57" w:hanging="284"/>
              <w:jc w:val="both"/>
              <w:rPr>
                <w:color w:val="000000" w:themeColor="text1"/>
                <w:sz w:val="22"/>
                <w:szCs w:val="22"/>
              </w:rPr>
            </w:pPr>
            <w:r w:rsidRPr="0034370D">
              <w:rPr>
                <w:color w:val="000000" w:themeColor="text1"/>
                <w:sz w:val="22"/>
                <w:szCs w:val="22"/>
              </w:rPr>
              <w:t>pārvalde informē operatoru tikai rakstiski;</w:t>
            </w:r>
          </w:p>
          <w:p w:rsidR="00E57372" w:rsidRPr="0034370D" w:rsidRDefault="00E57372" w:rsidP="004D7C36">
            <w:pPr>
              <w:pStyle w:val="naiskr"/>
              <w:numPr>
                <w:ilvl w:val="0"/>
                <w:numId w:val="1"/>
              </w:numPr>
              <w:spacing w:before="0" w:after="60"/>
              <w:ind w:left="341" w:right="57" w:hanging="284"/>
              <w:jc w:val="both"/>
              <w:rPr>
                <w:color w:val="000000" w:themeColor="text1"/>
                <w:sz w:val="22"/>
                <w:szCs w:val="22"/>
              </w:rPr>
            </w:pPr>
            <w:r w:rsidRPr="0034370D">
              <w:rPr>
                <w:color w:val="000000" w:themeColor="text1"/>
                <w:sz w:val="22"/>
                <w:szCs w:val="22"/>
              </w:rPr>
              <w:t>nav noteikts, kam pārvalde nosūta iesniegumu atļaujas saņemšanai, lai gan atļaujas veidlapā ir iekļauts nosacījums, ka tajās ir jānorāda atļaujas un iesnieguma kopijas saņēmēji;</w:t>
            </w:r>
          </w:p>
          <w:p w:rsidR="00E57372" w:rsidRPr="0034370D" w:rsidRDefault="00E57372" w:rsidP="004D7C36">
            <w:pPr>
              <w:pStyle w:val="naiskr"/>
              <w:numPr>
                <w:ilvl w:val="0"/>
                <w:numId w:val="1"/>
              </w:numPr>
              <w:spacing w:before="0" w:after="60"/>
              <w:ind w:left="341" w:right="57" w:hanging="284"/>
              <w:jc w:val="both"/>
              <w:rPr>
                <w:color w:val="000000" w:themeColor="text1"/>
                <w:sz w:val="22"/>
                <w:szCs w:val="22"/>
              </w:rPr>
            </w:pPr>
            <w:r w:rsidRPr="0034370D">
              <w:rPr>
                <w:color w:val="000000" w:themeColor="text1"/>
                <w:sz w:val="22"/>
                <w:szCs w:val="22"/>
              </w:rPr>
              <w:t>nav precīzi noteikts, kad jāziņo par izmaiņām iekārtas darbībā;</w:t>
            </w:r>
          </w:p>
          <w:p w:rsidR="00E57372" w:rsidRPr="0034370D" w:rsidRDefault="00E57372" w:rsidP="004D7C36">
            <w:pPr>
              <w:pStyle w:val="naiskr"/>
              <w:numPr>
                <w:ilvl w:val="0"/>
                <w:numId w:val="1"/>
              </w:numPr>
              <w:spacing w:before="0" w:after="60"/>
              <w:ind w:left="341" w:right="57" w:hanging="284"/>
              <w:jc w:val="both"/>
              <w:rPr>
                <w:color w:val="000000" w:themeColor="text1"/>
                <w:sz w:val="22"/>
                <w:szCs w:val="22"/>
              </w:rPr>
            </w:pPr>
            <w:r w:rsidRPr="0034370D">
              <w:rPr>
                <w:color w:val="000000" w:themeColor="text1"/>
                <w:sz w:val="22"/>
                <w:szCs w:val="22"/>
              </w:rPr>
              <w:t>neskaidri atļaujas atcelšanas nosacījumi;</w:t>
            </w:r>
          </w:p>
          <w:p w:rsidR="00E57372" w:rsidRPr="0034370D" w:rsidRDefault="00E57372" w:rsidP="004D7C36">
            <w:pPr>
              <w:pStyle w:val="naiskr"/>
              <w:numPr>
                <w:ilvl w:val="0"/>
                <w:numId w:val="1"/>
              </w:numPr>
              <w:spacing w:before="0" w:after="60"/>
              <w:ind w:left="341" w:right="57" w:hanging="284"/>
              <w:jc w:val="both"/>
              <w:rPr>
                <w:color w:val="000000" w:themeColor="text1"/>
                <w:sz w:val="22"/>
                <w:szCs w:val="22"/>
              </w:rPr>
            </w:pPr>
            <w:r w:rsidRPr="0034370D">
              <w:rPr>
                <w:color w:val="000000" w:themeColor="text1"/>
                <w:sz w:val="22"/>
                <w:szCs w:val="22"/>
              </w:rPr>
              <w:t>nav noteikta kārtība, kādā notiek emisiju ziņojuma apstiprināšana vai noraidīšana, ja emisiju ziņojums iesniegts saskaņā ar noteikumu Nr.769 75.punktu;</w:t>
            </w:r>
          </w:p>
          <w:p w:rsidR="00E57372" w:rsidRPr="0034370D" w:rsidRDefault="00E57372" w:rsidP="004D7C36">
            <w:pPr>
              <w:pStyle w:val="naiskr"/>
              <w:numPr>
                <w:ilvl w:val="0"/>
                <w:numId w:val="1"/>
              </w:numPr>
              <w:spacing w:before="0" w:after="60"/>
              <w:ind w:left="341" w:right="57" w:hanging="284"/>
              <w:jc w:val="both"/>
              <w:rPr>
                <w:color w:val="000000" w:themeColor="text1"/>
                <w:sz w:val="22"/>
                <w:szCs w:val="22"/>
              </w:rPr>
            </w:pPr>
            <w:r w:rsidRPr="0034370D">
              <w:rPr>
                <w:color w:val="000000" w:themeColor="text1"/>
                <w:sz w:val="22"/>
                <w:szCs w:val="22"/>
              </w:rPr>
              <w:t>nav uzskaitīta visa informācija, kas Valsts vides dienestam ir jāievieto savā tīmekļa vietnē;</w:t>
            </w:r>
          </w:p>
          <w:p w:rsidR="00E57372" w:rsidRPr="0034370D" w:rsidRDefault="00E57372" w:rsidP="004D7C36">
            <w:pPr>
              <w:pStyle w:val="naiskr"/>
              <w:numPr>
                <w:ilvl w:val="0"/>
                <w:numId w:val="1"/>
              </w:numPr>
              <w:spacing w:before="0" w:after="60"/>
              <w:ind w:left="341" w:right="57" w:hanging="284"/>
              <w:jc w:val="both"/>
              <w:rPr>
                <w:color w:val="000000" w:themeColor="text1"/>
                <w:sz w:val="22"/>
                <w:szCs w:val="22"/>
              </w:rPr>
            </w:pPr>
            <w:r w:rsidRPr="0034370D">
              <w:rPr>
                <w:color w:val="000000" w:themeColor="text1"/>
                <w:sz w:val="22"/>
                <w:szCs w:val="22"/>
              </w:rPr>
              <w:t>1. un 3.pielikumā iekļautās veidlapas ir savstarpējā pretrunā vai tajās iekļautie nosacījumi neatbilst noteikumiem Nr.769.</w:t>
            </w:r>
          </w:p>
          <w:p w:rsidR="00E57372" w:rsidRPr="0034370D" w:rsidRDefault="00E57372" w:rsidP="004D7C36">
            <w:pPr>
              <w:pStyle w:val="naiskr"/>
              <w:spacing w:before="0" w:after="60"/>
              <w:ind w:firstLine="284"/>
              <w:jc w:val="both"/>
              <w:rPr>
                <w:color w:val="000000" w:themeColor="text1"/>
                <w:sz w:val="22"/>
                <w:szCs w:val="22"/>
              </w:rPr>
            </w:pPr>
            <w:r w:rsidRPr="0034370D">
              <w:rPr>
                <w:color w:val="000000" w:themeColor="text1"/>
                <w:sz w:val="22"/>
                <w:szCs w:val="22"/>
              </w:rPr>
              <w:t>Noteikumu projekts veic šādus grozījumus noteikumos Nr.769:</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precizē noteikumu Nr.769 deleģējumu, papildinot to ar atsauci uz likumu „Par atbilstības novērtēšanu”, jo verificētāja (atbilstības novērtēšanas objekta) pienākumu un akreditācijas (ievērošanas uzraudzības mehānismi) nosacījumu izstrādi nosaka likuma „Par atbilstības novērtēšanu;</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 xml:space="preserve">nosaka, kādas iestādes ir iesnieguma atļaujas saņemšanai kopijas saņēmēji, lai nodrošinātu, ka iesniegums atļaujas saņemšanai ir pieejams </w:t>
            </w:r>
            <w:r w:rsidRPr="0034370D">
              <w:rPr>
                <w:color w:val="000000" w:themeColor="text1"/>
                <w:sz w:val="22"/>
                <w:szCs w:val="22"/>
              </w:rPr>
              <w:lastRenderedPageBreak/>
              <w:t>kompetentajām iestādēm – Vides aizsardzības un reģionālās attīstības ministrija, valsts sabiedrība ar ierobežotu atbildību „Latvijas Vides, ģeoloģijas un meteoroloģijas centrs”, (turpmāk – Latvijas Vides, ģeoloģijas un meteoroloģijas centrs”</w:t>
            </w:r>
            <w:r w:rsidR="00135CDE">
              <w:rPr>
                <w:color w:val="000000" w:themeColor="text1"/>
                <w:sz w:val="22"/>
                <w:szCs w:val="22"/>
              </w:rPr>
              <w:t>)</w:t>
            </w:r>
            <w:r w:rsidRPr="0034370D">
              <w:rPr>
                <w:color w:val="000000" w:themeColor="text1"/>
                <w:sz w:val="22"/>
                <w:szCs w:val="22"/>
              </w:rPr>
              <w:t>, kā arī uzņēmuma darbību kontrolējošā pašvaldība;</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precizē, kad operatoram ir jāveic grozījumi savas iekārtas darbības monitoringa nosacījumos un jāiesniedz iesniegums atļaujas grozīšanai, tas ir – operators iesniedz iesniegumu par atļaujā nepieciešamajiem grozījumiem pirms izmaiņu ieviešanas savā darbībā vai pirms izmaiņu ieviešanas savu darbību monitoringa nosacījumos, jo ir nepieciešams noteikt, ka izmaiņu ieviešana darbībā un monitoringa nosacījumos nevar tikt ieviesta pirms izmaiņām atļaujā;</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precizē, kādos gadījumos pārvalde atsaka veikt grozījumus atļaujā, jo nav noteikts, ka Pārvalde atsaka veikt grozījumus, ja nav iesniegta visa papildu pieprasītā informācija un tādējādi Pārvaldei nav pieejama informācija pietiekamā apjomā, lai veiktu nepieciešamos grozījumus atļaujā;</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konkrētāk nosaka atļaujas atcelšanas kārtību, t.i. tiek noteikts, ka atļaujas atcelšana ar pārvaldes lēmuma pieņemšanas dienu neattiecas uz operatoriem, kuri piedalās emisijas kvotu tirdzniecības sistēmā brīvprātīgi (likuma „Par piesārņojumu” 24.</w:t>
            </w:r>
            <w:r w:rsidRPr="0034370D">
              <w:rPr>
                <w:color w:val="000000" w:themeColor="text1"/>
                <w:sz w:val="22"/>
                <w:szCs w:val="22"/>
                <w:vertAlign w:val="superscript"/>
              </w:rPr>
              <w:t>1</w:t>
            </w:r>
            <w:r w:rsidRPr="0034370D">
              <w:rPr>
                <w:color w:val="000000" w:themeColor="text1"/>
                <w:sz w:val="22"/>
                <w:szCs w:val="22"/>
              </w:rPr>
              <w:t xml:space="preserve"> panta trešajā daļā minētie operatori), tiek precizēts, kas attiecas uz nosacījumu „ iekārta ir beigusi savu darbību”, kā arī tiek noteikts, ka Pārvalde var atcelt atļauju, ja iekārta vairs neveic vai vairs neatbilst likuma „Par piesārņojumu” 2.pielikuma darbībām vai operators darbina iekārtas, kurās izmanto tikai atjaunojamos energoresursus vai sadedzināšanas iekārtas ar mazu jaudu. Tādejādi tiks nodrošināts, ka Pārvalde arī bez operatora iesnieguma var atcelt atļauju obligātajam emisijas kvotu tirdzniecības sistēmas dalībniekam, ja tas vairs neatbilst obligātā dalībnieka nosacījumiem, bet dalību emisijas kvotu tirdzniecības sistēmā brīvprātīgi negrib turpināt ;</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nosaka, ka emisijas ziņojumu operators sagatavo, izmantojot Eiropas Komisijas izstrādāto veidlapu, tādējādi atvieglojot operatoram ikgadējā ziņojuma sagatavošanu, savukārt verificētājiem un kompetentajām iestādēm tiks atvieglots emisiju ziņojumu izvērtēšanas un apkopošanas process. Izstrādātā emisiju ziņojuma veidlapa pilnā mērā atbilst monitoringa plāna veidlapai (izstrādāta līdzvērtīgā Excel datnes formātā), līdz ar to operatoriem būs daudz vieglāk emisiju ziņojumā ievadīt datus. Savukārt emisiju ziņojumā iestrādātās loģiskās un matemātiskās pārbaudes funkcijas nepieļaus kļūdainu datu ziņojumus. Emisiju ziņojuma apkopošanas funkcijas ļaus verificētājiem vieglāk ziņojumus pārbaudīt, bet kompetentajām iestādēm ļaus vieglāk sagatavot ziņojumus Eiropas Komisijai;</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precizē, kādā gadījumā operators iesniedz emisiju ziņojumu, kā arī noteikts termiņš, kurā pārvaldei ir jāizskata emisiju ziņojums, kas ir iesniegts, ja operators ir beidzis darbību vai viņam ir atcelta atļauja;</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nosaka, kādos gadījumos Valsts vides dienests nosaka operatora emisiju apjomu un kur šis apjoms ir izmantojams – dabas resursu nodokļa aprēķinam vai administratīvā pārkāpuma apjoma noteikšanai;</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 xml:space="preserve">detāli nosaka, kāda informācija Valsts vides dienestam ir jāievieto savā tīmekļa vietnē, lai </w:t>
            </w:r>
            <w:r w:rsidRPr="0034370D">
              <w:rPr>
                <w:iCs/>
                <w:color w:val="000000" w:themeColor="text1"/>
                <w:sz w:val="22"/>
                <w:szCs w:val="22"/>
              </w:rPr>
              <w:t xml:space="preserve">Vides aizsardzības un reģionālās attīstības ministrijai Latvijas Vides, ģeoloģijas un meteoroloģijas centram, Centrālajai statistikas pārvaldei u.c. šo datu izmantotājiem būtu pieejama visa informācija, kas nepieciešama dažādu pārskatu un datu apkopojumu </w:t>
            </w:r>
            <w:r w:rsidRPr="0034370D">
              <w:rPr>
                <w:iCs/>
                <w:color w:val="000000" w:themeColor="text1"/>
                <w:sz w:val="22"/>
                <w:szCs w:val="22"/>
              </w:rPr>
              <w:lastRenderedPageBreak/>
              <w:t>sagatavošanai</w:t>
            </w:r>
            <w:r w:rsidRPr="0034370D">
              <w:rPr>
                <w:color w:val="000000" w:themeColor="text1"/>
                <w:sz w:val="22"/>
                <w:szCs w:val="22"/>
              </w:rPr>
              <w:t>;</w:t>
            </w:r>
          </w:p>
          <w:p w:rsidR="00E57372" w:rsidRPr="0034370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svītro 4.pielikumu (emisiju ziņojuma veidlapu), tāpēc ka tiek noteikts, ka emisiju ziņojums tiek sagatavots, izmantojot Eiropas Komisijas izstrādāto emisiju ziņojuma veidlapu, kā arī nosaka, ka nosacījums emisiju ziņojuma sagatavošanai, izmantojot Eiropas Komisijas izstrādāto veidlapu, attiecas tikai uz emisiju ziņojumiem par darbībām, kas veiktas sākot ar 2014.gada 1.janvāri;</w:t>
            </w:r>
          </w:p>
          <w:p w:rsidR="00E57372" w:rsidRPr="006A32CD" w:rsidRDefault="00E57372" w:rsidP="004D7C36">
            <w:pPr>
              <w:pStyle w:val="naiskr"/>
              <w:numPr>
                <w:ilvl w:val="0"/>
                <w:numId w:val="2"/>
              </w:numPr>
              <w:spacing w:before="0" w:after="60"/>
              <w:ind w:left="0" w:firstLine="284"/>
              <w:jc w:val="both"/>
              <w:rPr>
                <w:color w:val="000000" w:themeColor="text1"/>
                <w:sz w:val="22"/>
                <w:szCs w:val="22"/>
              </w:rPr>
            </w:pPr>
            <w:r w:rsidRPr="0034370D">
              <w:rPr>
                <w:color w:val="000000" w:themeColor="text1"/>
                <w:sz w:val="22"/>
                <w:szCs w:val="22"/>
              </w:rPr>
              <w:t>precizē 1. un 3.pielikumu, labojot veidlapu savstarpējo nesaskaņu vai neatbilstību noteikumos Nr.769 noteiktajām prasībām.</w:t>
            </w:r>
          </w:p>
        </w:tc>
      </w:tr>
      <w:tr w:rsidR="0034370D" w:rsidRPr="0034370D" w:rsidTr="00590493">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lastRenderedPageBreak/>
              <w:t>3.</w:t>
            </w:r>
          </w:p>
        </w:tc>
        <w:tc>
          <w:tcPr>
            <w:tcW w:w="1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Projekta izstrādē iesaistītās institūcijas</w:t>
            </w:r>
          </w:p>
        </w:tc>
        <w:tc>
          <w:tcPr>
            <w:tcW w:w="3500" w:type="pct"/>
            <w:tcBorders>
              <w:top w:val="outset" w:sz="6" w:space="0" w:color="414142"/>
              <w:left w:val="outset" w:sz="6" w:space="0" w:color="414142"/>
              <w:bottom w:val="outset" w:sz="6" w:space="0" w:color="414142"/>
              <w:right w:val="outset" w:sz="6" w:space="0" w:color="414142"/>
            </w:tcBorders>
            <w:hideMark/>
          </w:tcPr>
          <w:p w:rsidR="00E57372" w:rsidRPr="0034370D" w:rsidRDefault="00E57372" w:rsidP="004D7C36">
            <w:pPr>
              <w:pStyle w:val="naiskr"/>
              <w:spacing w:before="0" w:after="60"/>
              <w:ind w:firstLine="232"/>
              <w:rPr>
                <w:iCs/>
                <w:color w:val="000000" w:themeColor="text1"/>
                <w:sz w:val="22"/>
                <w:szCs w:val="22"/>
              </w:rPr>
            </w:pPr>
            <w:r w:rsidRPr="0034370D">
              <w:rPr>
                <w:iCs/>
                <w:color w:val="000000" w:themeColor="text1"/>
                <w:sz w:val="22"/>
                <w:szCs w:val="22"/>
              </w:rPr>
              <w:t>Vides aizsardzības un reģionālās attīstības ministrija,</w:t>
            </w:r>
          </w:p>
          <w:p w:rsidR="006A32CD" w:rsidRPr="006A32CD" w:rsidRDefault="00E57372" w:rsidP="004D7C36">
            <w:pPr>
              <w:pStyle w:val="naiskr"/>
              <w:spacing w:before="0" w:after="60"/>
              <w:ind w:firstLine="232"/>
              <w:rPr>
                <w:color w:val="000000" w:themeColor="text1"/>
                <w:sz w:val="22"/>
                <w:szCs w:val="22"/>
              </w:rPr>
            </w:pPr>
            <w:r w:rsidRPr="0034370D">
              <w:rPr>
                <w:iCs/>
                <w:color w:val="000000" w:themeColor="text1"/>
                <w:sz w:val="22"/>
                <w:szCs w:val="22"/>
              </w:rPr>
              <w:t xml:space="preserve">Valsts </w:t>
            </w:r>
            <w:r w:rsidR="0034370D">
              <w:rPr>
                <w:iCs/>
                <w:color w:val="000000" w:themeColor="text1"/>
                <w:sz w:val="22"/>
                <w:szCs w:val="22"/>
              </w:rPr>
              <w:t>v</w:t>
            </w:r>
            <w:r w:rsidRPr="0034370D">
              <w:rPr>
                <w:iCs/>
                <w:color w:val="000000" w:themeColor="text1"/>
                <w:sz w:val="22"/>
                <w:szCs w:val="22"/>
              </w:rPr>
              <w:t>ides dienests.</w:t>
            </w:r>
          </w:p>
        </w:tc>
      </w:tr>
      <w:tr w:rsidR="0034370D" w:rsidRPr="0034370D" w:rsidTr="00590493">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Cita informācija</w:t>
            </w:r>
          </w:p>
        </w:tc>
        <w:tc>
          <w:tcPr>
            <w:tcW w:w="3500" w:type="pct"/>
            <w:tcBorders>
              <w:top w:val="outset" w:sz="6" w:space="0" w:color="414142"/>
              <w:left w:val="outset" w:sz="6" w:space="0" w:color="414142"/>
              <w:bottom w:val="outset" w:sz="6" w:space="0" w:color="414142"/>
              <w:right w:val="outset" w:sz="6" w:space="0" w:color="414142"/>
            </w:tcBorders>
            <w:hideMark/>
          </w:tcPr>
          <w:p w:rsidR="006A32CD" w:rsidRPr="006A32CD" w:rsidRDefault="00E57372" w:rsidP="004D7C36">
            <w:pPr>
              <w:spacing w:after="60"/>
              <w:ind w:firstLine="232"/>
              <w:jc w:val="left"/>
              <w:rPr>
                <w:rFonts w:ascii="Times New Roman" w:eastAsia="Times New Roman" w:hAnsi="Times New Roman" w:cs="Times New Roman"/>
                <w:color w:val="000000" w:themeColor="text1"/>
                <w:lang w:eastAsia="lv-LV"/>
              </w:rPr>
            </w:pPr>
            <w:r w:rsidRPr="0034370D">
              <w:rPr>
                <w:rFonts w:ascii="Times New Roman" w:eastAsia="Times New Roman" w:hAnsi="Times New Roman" w:cs="Times New Roman"/>
                <w:color w:val="000000" w:themeColor="text1"/>
                <w:lang w:eastAsia="lv-LV"/>
              </w:rPr>
              <w:t>Nav</w:t>
            </w:r>
          </w:p>
        </w:tc>
      </w:tr>
    </w:tbl>
    <w:p w:rsidR="006A32CD" w:rsidRPr="006A32CD" w:rsidRDefault="006A32CD" w:rsidP="0034370D">
      <w:pPr>
        <w:spacing w:after="0"/>
        <w:ind w:firstLine="301"/>
        <w:jc w:val="left"/>
        <w:rPr>
          <w:rFonts w:ascii="Times New Roman" w:eastAsia="Times New Roman" w:hAnsi="Times New Roman" w:cs="Times New Roman"/>
          <w:color w:val="000000" w:themeColor="text1"/>
          <w:sz w:val="24"/>
          <w:szCs w:val="24"/>
          <w:lang w:eastAsia="lv-LV"/>
        </w:rPr>
      </w:pPr>
      <w:r w:rsidRPr="006A32CD">
        <w:rPr>
          <w:rFonts w:ascii="Times New Roman" w:eastAsia="Times New Roman" w:hAnsi="Times New Roman" w:cs="Times New Roman"/>
          <w:color w:val="000000" w:themeColor="text1"/>
          <w:sz w:val="24"/>
          <w:szCs w:val="24"/>
          <w:lang w:eastAsia="lv-LV"/>
        </w:rPr>
        <w:t> </w:t>
      </w:r>
    </w:p>
    <w:tbl>
      <w:tblPr>
        <w:tblW w:w="9639" w:type="dxa"/>
        <w:jc w:val="center"/>
        <w:tblBorders>
          <w:top w:val="outset" w:sz="6" w:space="0" w:color="414142"/>
          <w:left w:val="outset" w:sz="6" w:space="0" w:color="414142"/>
          <w:bottom w:val="outset" w:sz="6" w:space="0" w:color="414142"/>
          <w:right w:val="outset" w:sz="6" w:space="0" w:color="414142"/>
        </w:tblBorders>
        <w:tblCellMar>
          <w:left w:w="57" w:type="dxa"/>
          <w:right w:w="57" w:type="dxa"/>
        </w:tblCellMar>
        <w:tblLook w:val="04A0" w:firstRow="1" w:lastRow="0" w:firstColumn="1" w:lastColumn="0" w:noHBand="0" w:noVBand="1"/>
      </w:tblPr>
      <w:tblGrid>
        <w:gridCol w:w="481"/>
        <w:gridCol w:w="2844"/>
        <w:gridCol w:w="6314"/>
      </w:tblGrid>
      <w:tr w:rsidR="0034370D" w:rsidRPr="0034370D" w:rsidTr="00590493">
        <w:trPr>
          <w:trHeight w:val="55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A32CD" w:rsidRPr="006A32CD" w:rsidRDefault="006A32CD" w:rsidP="0034370D">
            <w:pPr>
              <w:spacing w:after="0"/>
              <w:jc w:val="center"/>
              <w:rPr>
                <w:rFonts w:ascii="Times New Roman" w:eastAsia="Times New Roman" w:hAnsi="Times New Roman" w:cs="Times New Roman"/>
                <w:b/>
                <w:bCs/>
                <w:color w:val="000000" w:themeColor="text1"/>
                <w:sz w:val="24"/>
                <w:szCs w:val="24"/>
                <w:lang w:eastAsia="lv-LV"/>
              </w:rPr>
            </w:pPr>
            <w:r w:rsidRPr="006A32CD">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34370D" w:rsidRPr="0034370D" w:rsidTr="00590493">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rsidR="00E57372" w:rsidRPr="0034370D" w:rsidRDefault="00E57372" w:rsidP="004D7C36">
            <w:pPr>
              <w:pStyle w:val="naiskr"/>
              <w:numPr>
                <w:ilvl w:val="0"/>
                <w:numId w:val="3"/>
              </w:numPr>
              <w:tabs>
                <w:tab w:val="clear" w:pos="720"/>
              </w:tabs>
              <w:spacing w:before="0" w:after="60"/>
              <w:ind w:left="0" w:firstLine="113"/>
              <w:jc w:val="both"/>
              <w:rPr>
                <w:rStyle w:val="apple-style-span"/>
                <w:b/>
                <w:bCs/>
                <w:color w:val="000000" w:themeColor="text1"/>
                <w:sz w:val="22"/>
                <w:szCs w:val="22"/>
                <w:shd w:val="clear" w:color="auto" w:fill="FFFFFF"/>
              </w:rPr>
            </w:pPr>
            <w:r w:rsidRPr="0034370D">
              <w:rPr>
                <w:iCs/>
                <w:color w:val="000000" w:themeColor="text1"/>
                <w:sz w:val="22"/>
                <w:szCs w:val="22"/>
              </w:rPr>
              <w:t>Latvijas emisijas kvotu tirdzniecības sistēmas operatori, kuri veic kādu no likuma „Par piesārņojumu” 2.pielikumā minētajām darbībām un kuriem ir izsniegtas siltumnīcefekta gāzu emisijas atļaujas</w:t>
            </w:r>
            <w:r w:rsidRPr="0034370D">
              <w:rPr>
                <w:rStyle w:val="apple-style-span"/>
                <w:color w:val="000000" w:themeColor="text1"/>
                <w:sz w:val="22"/>
                <w:szCs w:val="22"/>
                <w:shd w:val="clear" w:color="auto" w:fill="FFFFFF"/>
              </w:rPr>
              <w:t>;</w:t>
            </w:r>
          </w:p>
          <w:p w:rsidR="00E57372" w:rsidRPr="0034370D" w:rsidRDefault="00E57372" w:rsidP="004D7C36">
            <w:pPr>
              <w:pStyle w:val="naiskr"/>
              <w:numPr>
                <w:ilvl w:val="0"/>
                <w:numId w:val="3"/>
              </w:numPr>
              <w:tabs>
                <w:tab w:val="clear" w:pos="720"/>
              </w:tabs>
              <w:spacing w:before="0" w:after="60"/>
              <w:ind w:left="0" w:firstLine="113"/>
              <w:jc w:val="both"/>
              <w:rPr>
                <w:color w:val="000000" w:themeColor="text1"/>
                <w:sz w:val="22"/>
                <w:szCs w:val="22"/>
              </w:rPr>
            </w:pPr>
            <w:r w:rsidRPr="0034370D">
              <w:rPr>
                <w:rStyle w:val="apple-style-span"/>
                <w:color w:val="000000" w:themeColor="text1"/>
                <w:sz w:val="22"/>
                <w:szCs w:val="22"/>
                <w:shd w:val="clear" w:color="auto" w:fill="FFFFFF"/>
              </w:rPr>
              <w:t xml:space="preserve">Kādā no Eiropas Savienības dalībvalstīm </w:t>
            </w:r>
            <w:r w:rsidRPr="0034370D">
              <w:rPr>
                <w:color w:val="000000" w:themeColor="text1"/>
                <w:sz w:val="22"/>
                <w:szCs w:val="22"/>
              </w:rPr>
              <w:t xml:space="preserve">atbilstības novērtēšanas institūcijā </w:t>
            </w:r>
            <w:r w:rsidRPr="0034370D">
              <w:rPr>
                <w:rStyle w:val="apple-style-span"/>
                <w:color w:val="000000" w:themeColor="text1"/>
                <w:sz w:val="22"/>
                <w:szCs w:val="22"/>
                <w:shd w:val="clear" w:color="auto" w:fill="FFFFFF"/>
              </w:rPr>
              <w:t>vai Latvijā akreditēti</w:t>
            </w:r>
            <w:r w:rsidRPr="0034370D">
              <w:rPr>
                <w:color w:val="000000" w:themeColor="text1"/>
                <w:sz w:val="22"/>
                <w:szCs w:val="22"/>
              </w:rPr>
              <w:t xml:space="preserve"> vides darbību verificētāji.</w:t>
            </w:r>
          </w:p>
        </w:tc>
      </w:tr>
      <w:tr w:rsidR="0034370D" w:rsidRPr="0034370D" w:rsidTr="00590493">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rsidR="006255E7" w:rsidRDefault="008B0A23" w:rsidP="00E524D1">
            <w:pPr>
              <w:spacing w:after="60"/>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Noteikumu projekts nemaina</w:t>
            </w:r>
            <w:r w:rsidR="00B54BF6">
              <w:rPr>
                <w:rFonts w:ascii="Times New Roman" w:eastAsia="Times New Roman" w:hAnsi="Times New Roman" w:cs="Times New Roman"/>
                <w:color w:val="000000" w:themeColor="text1"/>
                <w:lang w:eastAsia="lv-LV"/>
              </w:rPr>
              <w:t xml:space="preserve"> noteikumos Nr.769 noteikto procedūru attiecībā uz iesniegumu siltumnīcefekta gāzu emisijas atļauja</w:t>
            </w:r>
            <w:r w:rsidR="00B43585">
              <w:rPr>
                <w:rFonts w:ascii="Times New Roman" w:eastAsia="Times New Roman" w:hAnsi="Times New Roman" w:cs="Times New Roman"/>
                <w:color w:val="000000" w:themeColor="text1"/>
                <w:lang w:eastAsia="lv-LV"/>
              </w:rPr>
              <w:t>s saņemšanai iesniegšanu vai atļaujas izsniegšanai. Arī netiek noteikta maksa par iesnieguma atļaujas saņemšanai iesniegšanu, atļaujas izsniegšanu vai grozījumu atļaujā veikšanu.</w:t>
            </w:r>
          </w:p>
          <w:p w:rsidR="006255E7" w:rsidRDefault="00B43585" w:rsidP="00E524D1">
            <w:pPr>
              <w:spacing w:after="60"/>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Tiek mainīta ikgadējā emisiju ziņojuma veidlapa, kur ar noteikumu projektu tiek noteikts, ka operators izmanto nevis noteikumu Nr.769 4.pielikumā iekļaut</w:t>
            </w:r>
            <w:r w:rsidR="000E3A0E">
              <w:rPr>
                <w:rFonts w:ascii="Times New Roman" w:eastAsia="Times New Roman" w:hAnsi="Times New Roman" w:cs="Times New Roman"/>
                <w:color w:val="000000" w:themeColor="text1"/>
                <w:lang w:eastAsia="lv-LV"/>
              </w:rPr>
              <w:t>o</w:t>
            </w:r>
            <w:r>
              <w:rPr>
                <w:rFonts w:ascii="Times New Roman" w:eastAsia="Times New Roman" w:hAnsi="Times New Roman" w:cs="Times New Roman"/>
                <w:color w:val="000000" w:themeColor="text1"/>
                <w:lang w:eastAsia="lv-LV"/>
              </w:rPr>
              <w:t xml:space="preserve"> veidlap</w:t>
            </w:r>
            <w:r w:rsidR="000E3A0E">
              <w:rPr>
                <w:rFonts w:ascii="Times New Roman" w:eastAsia="Times New Roman" w:hAnsi="Times New Roman" w:cs="Times New Roman"/>
                <w:color w:val="000000" w:themeColor="text1"/>
                <w:lang w:eastAsia="lv-LV"/>
              </w:rPr>
              <w:t>u, bet Eiropas Komisijas izstrādāto emisiju ziņojuma veidlapu (Excel datni), kura ir izstrādāta atbilstoši monitoringa plāna veidlapai (Excel datnei), tādējādi operatoram tiek atvieglota emisiju ziņojuma sagatavošana</w:t>
            </w:r>
          </w:p>
        </w:tc>
      </w:tr>
      <w:tr w:rsidR="0034370D" w:rsidRPr="0034370D" w:rsidTr="00590493">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rsidR="00E57372" w:rsidRDefault="000E3A0E" w:rsidP="004D7C36">
            <w:pPr>
              <w:spacing w:after="60"/>
              <w:ind w:firstLine="113"/>
              <w:rPr>
                <w:rFonts w:ascii="Times New Roman" w:hAnsi="Times New Roman" w:cs="Times New Roman"/>
                <w:color w:val="000000" w:themeColor="text1"/>
              </w:rPr>
            </w:pPr>
            <w:r>
              <w:rPr>
                <w:rFonts w:ascii="Times New Roman" w:hAnsi="Times New Roman" w:cs="Times New Roman"/>
                <w:color w:val="000000" w:themeColor="text1"/>
              </w:rPr>
              <w:t>Noteikumu projektā iekļaut</w:t>
            </w:r>
            <w:r w:rsidR="00737BE0">
              <w:rPr>
                <w:rFonts w:ascii="Times New Roman" w:hAnsi="Times New Roman" w:cs="Times New Roman"/>
                <w:color w:val="000000" w:themeColor="text1"/>
              </w:rPr>
              <w:t>ie nosacījumi nemaina ar Noteikumiem Nr.769 noteiktās procedūras un kārtīb</w:t>
            </w:r>
            <w:r w:rsidR="00F64A7F">
              <w:rPr>
                <w:rFonts w:ascii="Times New Roman" w:hAnsi="Times New Roman" w:cs="Times New Roman"/>
                <w:color w:val="000000" w:themeColor="text1"/>
              </w:rPr>
              <w:t>u</w:t>
            </w:r>
            <w:r w:rsidR="00737BE0">
              <w:rPr>
                <w:rFonts w:ascii="Times New Roman" w:hAnsi="Times New Roman" w:cs="Times New Roman"/>
                <w:color w:val="000000" w:themeColor="text1"/>
              </w:rPr>
              <w:t xml:space="preserve">, līdz ar to noteikumu projekta administratīvās izmaksas monetārais novērtējums šī noteikumu projekta ietvarā nav </w:t>
            </w:r>
            <w:r w:rsidR="00F64A7F">
              <w:rPr>
                <w:rFonts w:ascii="Times New Roman" w:hAnsi="Times New Roman" w:cs="Times New Roman"/>
                <w:color w:val="000000" w:themeColor="text1"/>
              </w:rPr>
              <w:t>veikts</w:t>
            </w:r>
            <w:r w:rsidR="00737BE0">
              <w:rPr>
                <w:rFonts w:ascii="Times New Roman" w:hAnsi="Times New Roman" w:cs="Times New Roman"/>
                <w:color w:val="000000" w:themeColor="text1"/>
              </w:rPr>
              <w:t>.</w:t>
            </w:r>
          </w:p>
          <w:p w:rsidR="006255E7" w:rsidRDefault="00737BE0">
            <w:pPr>
              <w:spacing w:after="60"/>
              <w:ind w:firstLine="113"/>
              <w:rPr>
                <w:rFonts w:ascii="Times New Roman" w:hAnsi="Times New Roman" w:cs="Times New Roman"/>
                <w:color w:val="000000" w:themeColor="text1"/>
              </w:rPr>
            </w:pPr>
            <w:r>
              <w:rPr>
                <w:rFonts w:ascii="Times New Roman" w:hAnsi="Times New Roman" w:cs="Times New Roman"/>
                <w:color w:val="000000" w:themeColor="text1"/>
              </w:rPr>
              <w:t xml:space="preserve">Tā kā noteikumu projekts maina ikgadējā emisiju ziņojuma veidlapu, tad noteikumu projekts samazina operatoru administratīvo izmaksu apjomu. Tomēr ir jānorāda, ka administratīvo izmaksu monetāro novērtējumu nav iespējams veikt, jo tas var būtiski atšķirties katram operatoram, ņemot vērā operatora iekārtās veiktās darbības un izmantoto tehnoloģiju, piemēram, ja </w:t>
            </w:r>
            <w:r w:rsidR="003E6D40">
              <w:rPr>
                <w:rFonts w:ascii="Times New Roman" w:hAnsi="Times New Roman" w:cs="Times New Roman"/>
                <w:color w:val="000000" w:themeColor="text1"/>
              </w:rPr>
              <w:t xml:space="preserve">operatora iekārta ir katlu māja, kurā tiek dedzināta dabasgāze, kura savukārt tiek mērīta ar A/S „Latvijas Gāze” pārbaudītiem un kontrolētiem mērītājiem, tad šīs iekārtas operatoram emisiju ziņojuma sagatavošana ir salīdzinoši vienkārša; savukārt, ja operatora iekārta ir rūpnieciskās ražošanas iekārta, piemēram, stikla šķiedras ražošanas vai māla ķieģeļu ražošanas iekārta, tad emisiju ziņojumā iekļautās informācijas (aktivitātes datus, emisiju faktorus, oksidācijas koeficientus, izmantoto izejvielu fizikālķīmiskos rādītājus) sagatavošana </w:t>
            </w:r>
            <w:r w:rsidR="003E6D40">
              <w:rPr>
                <w:rFonts w:ascii="Times New Roman" w:hAnsi="Times New Roman" w:cs="Times New Roman"/>
                <w:color w:val="000000" w:themeColor="text1"/>
              </w:rPr>
              <w:lastRenderedPageBreak/>
              <w:t xml:space="preserve">operatoram var prasīt salīdzinoši būtiski ilgāku laiku. </w:t>
            </w:r>
          </w:p>
          <w:p w:rsidR="006255E7" w:rsidRDefault="003E6D40">
            <w:pPr>
              <w:spacing w:after="60"/>
              <w:ind w:firstLine="113"/>
              <w:rPr>
                <w:rFonts w:ascii="Times New Roman" w:hAnsi="Times New Roman" w:cs="Times New Roman"/>
                <w:color w:val="000000" w:themeColor="text1"/>
              </w:rPr>
            </w:pPr>
            <w:r>
              <w:rPr>
                <w:rFonts w:ascii="Times New Roman" w:hAnsi="Times New Roman" w:cs="Times New Roman"/>
                <w:color w:val="000000" w:themeColor="text1"/>
              </w:rPr>
              <w:t>Tomēr ir jānorāda, ka emisiju ziņojumā iekļautās informācijas sagatavošana, apkopošanas un analīzes procedūrām ir jābūt izstrādātām monitoringa plāna ietvaros un Valsts vides dienesta reģionālā vides pārvalde tās apstiprina, izsniedzot siltumnīcefekta gāzu emisijas atļauju.</w:t>
            </w:r>
          </w:p>
        </w:tc>
      </w:tr>
      <w:tr w:rsidR="0034370D" w:rsidRPr="0034370D" w:rsidTr="00590493">
        <w:trPr>
          <w:trHeight w:val="345"/>
          <w:jc w:val="center"/>
        </w:trPr>
        <w:tc>
          <w:tcPr>
            <w:tcW w:w="250"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lastRenderedPageBreak/>
              <w:t>4.</w:t>
            </w:r>
          </w:p>
        </w:tc>
        <w:tc>
          <w:tcPr>
            <w:tcW w:w="1475"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E57372" w:rsidRDefault="00324FE7" w:rsidP="004D7C36">
            <w:pPr>
              <w:pStyle w:val="BodyTextIndent2"/>
              <w:spacing w:after="60" w:line="240" w:lineRule="auto"/>
              <w:ind w:left="0" w:firstLine="113"/>
              <w:jc w:val="both"/>
              <w:rPr>
                <w:color w:val="000000" w:themeColor="text1"/>
                <w:sz w:val="22"/>
                <w:szCs w:val="22"/>
              </w:rPr>
            </w:pPr>
            <w:r>
              <w:rPr>
                <w:color w:val="000000" w:themeColor="text1"/>
                <w:sz w:val="22"/>
                <w:szCs w:val="22"/>
              </w:rPr>
              <w:t>Valsts vides dienestam un tā reģionālajām vides pārvaldēm noteikumu projekts nerada papildu administratīvās izmaksas.</w:t>
            </w:r>
            <w:r w:rsidR="00135CDE">
              <w:rPr>
                <w:color w:val="000000" w:themeColor="text1"/>
                <w:sz w:val="22"/>
                <w:szCs w:val="22"/>
              </w:rPr>
              <w:t xml:space="preserve"> Noteikumi Nr.769 nosaka kārtību un procedūras, kas attiecas uz valsts pārvaldes iestādēm attiecībā uz iesniegumu siltumnīcefekta gāzu emisijas atļauju izvērtēšanai, atļauju izsniegšanai, iesniegumu un atļauju publicēšanu sabiedrībai, kā arī iesniegumu un atļauju saņēmējiem (Noteikumu Nr.769 pielikumā minētajās veidlapās iesniegumu un atļauju saņēmēji ir noteikti, bet noteikumu pamattekstā nebija noteikts, ka Valsts vides dienesta reģionālās vides pārvaldes iesniegumus atļauju saņemšanai un atļaujas nosūta to saņēmējiem).</w:t>
            </w:r>
          </w:p>
          <w:p w:rsidR="00135CDE" w:rsidRDefault="00135CDE" w:rsidP="004D7C36">
            <w:pPr>
              <w:pStyle w:val="BodyTextIndent2"/>
              <w:spacing w:after="60" w:line="240" w:lineRule="auto"/>
              <w:ind w:left="0" w:firstLine="113"/>
              <w:jc w:val="both"/>
              <w:rPr>
                <w:color w:val="000000" w:themeColor="text1"/>
                <w:sz w:val="22"/>
                <w:szCs w:val="22"/>
              </w:rPr>
            </w:pPr>
            <w:r>
              <w:rPr>
                <w:color w:val="000000" w:themeColor="text1"/>
                <w:sz w:val="22"/>
                <w:szCs w:val="22"/>
              </w:rPr>
              <w:t>Attiecībā uz ikgadējiem emisiju ziņojumiem – Valsts vides dienesta reģionālās vides pārvaldēm administratīvais slogs tiks samazināts, jo tiks atvieglota emisiju ziņojuma izskatīšana (emisiju ziņojumus operatori sagatavos vienādā elektroniskā veidlapā Excel datnes formātā, kura ir pielīdzināta monitoringa plāna veidlapai).</w:t>
            </w:r>
          </w:p>
          <w:p w:rsidR="00135CDE" w:rsidRPr="0034370D" w:rsidRDefault="00135CDE" w:rsidP="00135CDE">
            <w:pPr>
              <w:pStyle w:val="BodyTextIndent2"/>
              <w:spacing w:after="60" w:line="240" w:lineRule="auto"/>
              <w:ind w:left="0" w:firstLine="113"/>
              <w:jc w:val="both"/>
              <w:rPr>
                <w:color w:val="000000" w:themeColor="text1"/>
                <w:sz w:val="22"/>
                <w:szCs w:val="22"/>
              </w:rPr>
            </w:pPr>
            <w:r>
              <w:rPr>
                <w:color w:val="000000" w:themeColor="text1"/>
                <w:sz w:val="22"/>
                <w:szCs w:val="22"/>
              </w:rPr>
              <w:t>Šobrīd Emisijas kvotu tirdzniecības sistēmā ir 67 stacionārās tehnoloģiskās iekārtas, līdz ar to Valsts vides dienesta reģionālām vides pārvaldēm administratīvās izmaksas Emisijas kvotu tirdzniecības sistēmas dēļ nav ievērojamas (dažu reģionālo vides pārvalžu teritorijā ir 3-4 stacionārās tehnoloģiskās iekārtas).</w:t>
            </w:r>
          </w:p>
        </w:tc>
      </w:tr>
    </w:tbl>
    <w:p w:rsidR="006A32CD" w:rsidRPr="006A32CD" w:rsidRDefault="006A32CD" w:rsidP="0034370D">
      <w:pPr>
        <w:spacing w:after="0"/>
        <w:ind w:firstLine="301"/>
        <w:jc w:val="left"/>
        <w:rPr>
          <w:rFonts w:ascii="Times New Roman" w:eastAsia="Times New Roman" w:hAnsi="Times New Roman" w:cs="Times New Roman"/>
          <w:color w:val="000000" w:themeColor="text1"/>
          <w:sz w:val="24"/>
          <w:szCs w:val="24"/>
          <w:lang w:eastAsia="lv-LV"/>
        </w:rPr>
      </w:pPr>
      <w:r w:rsidRPr="006A32CD">
        <w:rPr>
          <w:rFonts w:ascii="Times New Roman" w:eastAsia="Times New Roman" w:hAnsi="Times New Roman" w:cs="Times New Roman"/>
          <w:color w:val="000000" w:themeColor="text1"/>
          <w:sz w:val="24"/>
          <w:szCs w:val="24"/>
          <w:lang w:eastAsia="lv-LV"/>
        </w:rPr>
        <w:t> </w:t>
      </w:r>
    </w:p>
    <w:tbl>
      <w:tblPr>
        <w:tblW w:w="9639" w:type="dxa"/>
        <w:jc w:val="center"/>
        <w:tblBorders>
          <w:top w:val="outset" w:sz="6" w:space="0" w:color="414142"/>
          <w:left w:val="outset" w:sz="6" w:space="0" w:color="414142"/>
          <w:bottom w:val="outset" w:sz="6" w:space="0" w:color="414142"/>
          <w:right w:val="outset" w:sz="6" w:space="0" w:color="414142"/>
        </w:tblBorders>
        <w:tblCellMar>
          <w:left w:w="57" w:type="dxa"/>
          <w:right w:w="57" w:type="dxa"/>
        </w:tblCellMar>
        <w:tblLook w:val="04A0" w:firstRow="1" w:lastRow="0" w:firstColumn="1" w:lastColumn="0" w:noHBand="0" w:noVBand="1"/>
      </w:tblPr>
      <w:tblGrid>
        <w:gridCol w:w="3238"/>
        <w:gridCol w:w="1217"/>
        <w:gridCol w:w="1605"/>
        <w:gridCol w:w="1207"/>
        <w:gridCol w:w="1219"/>
        <w:gridCol w:w="1153"/>
      </w:tblGrid>
      <w:tr w:rsidR="0034370D" w:rsidRPr="00B90CE9" w:rsidTr="00590493">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b/>
                <w:bCs/>
                <w:color w:val="000000" w:themeColor="text1"/>
                <w:sz w:val="24"/>
                <w:szCs w:val="24"/>
                <w:lang w:eastAsia="lv-LV"/>
              </w:rPr>
            </w:pPr>
            <w:r w:rsidRPr="00B90CE9">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34370D" w:rsidRPr="00B90CE9" w:rsidTr="00906338">
        <w:trPr>
          <w:jc w:val="center"/>
        </w:trPr>
        <w:tc>
          <w:tcPr>
            <w:tcW w:w="1685" w:type="pct"/>
            <w:vMerge w:val="restar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b/>
                <w:bCs/>
                <w:color w:val="000000" w:themeColor="text1"/>
                <w:lang w:eastAsia="lv-LV"/>
              </w:rPr>
            </w:pPr>
            <w:r w:rsidRPr="00B90CE9">
              <w:rPr>
                <w:rFonts w:ascii="Times New Roman" w:eastAsia="Times New Roman" w:hAnsi="Times New Roman" w:cs="Times New Roman"/>
                <w:b/>
                <w:bCs/>
                <w:color w:val="000000" w:themeColor="text1"/>
                <w:lang w:eastAsia="lv-LV"/>
              </w:rPr>
              <w:t>Rādītāji</w:t>
            </w:r>
          </w:p>
        </w:tc>
        <w:tc>
          <w:tcPr>
            <w:tcW w:w="14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b/>
                <w:bCs/>
                <w:color w:val="000000" w:themeColor="text1"/>
                <w:lang w:eastAsia="lv-LV"/>
              </w:rPr>
            </w:pPr>
            <w:r w:rsidRPr="00B90CE9">
              <w:rPr>
                <w:rFonts w:ascii="Times New Roman" w:eastAsia="Times New Roman" w:hAnsi="Times New Roman" w:cs="Times New Roman"/>
                <w:b/>
                <w:bCs/>
                <w:color w:val="000000" w:themeColor="text1"/>
                <w:lang w:eastAsia="lv-LV"/>
              </w:rPr>
              <w:t>n-tais gads</w:t>
            </w:r>
          </w:p>
        </w:tc>
        <w:tc>
          <w:tcPr>
            <w:tcW w:w="1842" w:type="pct"/>
            <w:gridSpan w:val="3"/>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Turpmākie trīs gadi (</w:t>
            </w:r>
            <w:r w:rsidRPr="00B90CE9">
              <w:rPr>
                <w:rFonts w:ascii="Times New Roman" w:eastAsia="Times New Roman" w:hAnsi="Times New Roman" w:cs="Times New Roman"/>
                <w:i/>
                <w:iCs/>
                <w:color w:val="000000" w:themeColor="text1"/>
                <w:lang w:eastAsia="lv-LV"/>
              </w:rPr>
              <w:t>euro</w:t>
            </w:r>
            <w:r w:rsidRPr="00B90CE9">
              <w:rPr>
                <w:rFonts w:ascii="Times New Roman" w:eastAsia="Times New Roman" w:hAnsi="Times New Roman" w:cs="Times New Roman"/>
                <w:color w:val="000000" w:themeColor="text1"/>
                <w:lang w:eastAsia="lv-LV"/>
              </w:rPr>
              <w:t>)</w:t>
            </w:r>
          </w:p>
        </w:tc>
      </w:tr>
      <w:tr w:rsidR="0034370D" w:rsidRPr="00B90CE9" w:rsidTr="0090633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left"/>
              <w:rPr>
                <w:rFonts w:ascii="Times New Roman" w:eastAsia="Times New Roman" w:hAnsi="Times New Roman" w:cs="Times New Roman"/>
                <w:b/>
                <w:bCs/>
                <w:color w:val="000000" w:themeColor="text1"/>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left"/>
              <w:rPr>
                <w:rFonts w:ascii="Times New Roman" w:eastAsia="Times New Roman" w:hAnsi="Times New Roman" w:cs="Times New Roman"/>
                <w:b/>
                <w:bCs/>
                <w:color w:val="000000" w:themeColor="text1"/>
                <w:lang w:eastAsia="lv-LV"/>
              </w:rPr>
            </w:pPr>
          </w:p>
        </w:tc>
        <w:tc>
          <w:tcPr>
            <w:tcW w:w="602"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b/>
                <w:bCs/>
                <w:color w:val="000000" w:themeColor="text1"/>
                <w:lang w:eastAsia="lv-LV"/>
              </w:rPr>
            </w:pPr>
            <w:r w:rsidRPr="00B90CE9">
              <w:rPr>
                <w:rFonts w:ascii="Times New Roman" w:eastAsia="Times New Roman" w:hAnsi="Times New Roman" w:cs="Times New Roman"/>
                <w:b/>
                <w:bCs/>
                <w:color w:val="000000" w:themeColor="text1"/>
                <w:lang w:eastAsia="lv-LV"/>
              </w:rPr>
              <w:t>n+1</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b/>
                <w:bCs/>
                <w:color w:val="000000" w:themeColor="text1"/>
                <w:lang w:eastAsia="lv-LV"/>
              </w:rPr>
            </w:pPr>
            <w:r w:rsidRPr="00B90CE9">
              <w:rPr>
                <w:rFonts w:ascii="Times New Roman" w:eastAsia="Times New Roman" w:hAnsi="Times New Roman" w:cs="Times New Roman"/>
                <w:b/>
                <w:bCs/>
                <w:color w:val="000000" w:themeColor="text1"/>
                <w:lang w:eastAsia="lv-LV"/>
              </w:rPr>
              <w:t>n+2</w:t>
            </w:r>
          </w:p>
        </w:tc>
        <w:tc>
          <w:tcPr>
            <w:tcW w:w="603"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b/>
                <w:bCs/>
                <w:color w:val="000000" w:themeColor="text1"/>
                <w:lang w:eastAsia="lv-LV"/>
              </w:rPr>
            </w:pPr>
            <w:r w:rsidRPr="00B90CE9">
              <w:rPr>
                <w:rFonts w:ascii="Times New Roman" w:eastAsia="Times New Roman" w:hAnsi="Times New Roman" w:cs="Times New Roman"/>
                <w:b/>
                <w:bCs/>
                <w:color w:val="000000" w:themeColor="text1"/>
                <w:lang w:eastAsia="lv-LV"/>
              </w:rPr>
              <w:t>n+3</w:t>
            </w:r>
          </w:p>
        </w:tc>
      </w:tr>
      <w:tr w:rsidR="0034370D" w:rsidRPr="00B90CE9" w:rsidTr="0090633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left"/>
              <w:rPr>
                <w:rFonts w:ascii="Times New Roman" w:eastAsia="Times New Roman" w:hAnsi="Times New Roman" w:cs="Times New Roman"/>
                <w:b/>
                <w:bCs/>
                <w:color w:val="000000" w:themeColor="text1"/>
                <w:lang w:eastAsia="lv-LV"/>
              </w:rPr>
            </w:pPr>
          </w:p>
        </w:tc>
        <w:tc>
          <w:tcPr>
            <w:tcW w:w="636"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saskaņā ar valsts budžetu kārtējam gadam</w:t>
            </w:r>
          </w:p>
        </w:tc>
        <w:tc>
          <w:tcPr>
            <w:tcW w:w="837"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izmaiņas kārtējā gadā, salīdzinot ar valsts budžetu kārtējam gadam</w:t>
            </w:r>
          </w:p>
        </w:tc>
        <w:tc>
          <w:tcPr>
            <w:tcW w:w="602"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izmaiņas, salīdzinot ar kārtējo (n) gadu</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izmaiņas, salīdzinot ar kārtējo (n) gadu</w:t>
            </w:r>
          </w:p>
        </w:tc>
        <w:tc>
          <w:tcPr>
            <w:tcW w:w="603"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izmaiņas, salīdzinot ar kārtējo (n) gadu</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1</w:t>
            </w:r>
          </w:p>
        </w:tc>
        <w:tc>
          <w:tcPr>
            <w:tcW w:w="636"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2</w:t>
            </w:r>
          </w:p>
        </w:tc>
        <w:tc>
          <w:tcPr>
            <w:tcW w:w="837"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3</w:t>
            </w:r>
          </w:p>
        </w:tc>
        <w:tc>
          <w:tcPr>
            <w:tcW w:w="602"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4</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5</w:t>
            </w:r>
          </w:p>
        </w:tc>
        <w:tc>
          <w:tcPr>
            <w:tcW w:w="603" w:type="pct"/>
            <w:tcBorders>
              <w:top w:val="outset" w:sz="6" w:space="0" w:color="414142"/>
              <w:left w:val="outset" w:sz="6" w:space="0" w:color="414142"/>
              <w:bottom w:val="outset" w:sz="6" w:space="0" w:color="414142"/>
              <w:right w:val="outset" w:sz="6" w:space="0" w:color="414142"/>
            </w:tcBorders>
            <w:vAlign w:val="center"/>
            <w:hideMark/>
          </w:tcPr>
          <w:p w:rsidR="006A32CD" w:rsidRPr="00B90CE9" w:rsidRDefault="006A32CD"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6</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1. Budžeta ieņēmumi:</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1.1. valsts pamatbudžets, tai skaitā ieņēmumi no maksas pakalpojumiem un citi pašu ieņēmumi</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1.2. valsts speciālais budžets</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1.3. pašvaldību budžets</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2. Budžeta izdevumi:</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2.1. valsts pamatbudžets</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F66214" w:rsidP="0034370D">
            <w:pPr>
              <w:pStyle w:val="naisf"/>
              <w:spacing w:before="0" w:after="0"/>
              <w:ind w:firstLine="0"/>
              <w:jc w:val="center"/>
              <w:rPr>
                <w:b/>
                <w:i/>
                <w:color w:val="000000" w:themeColor="text1"/>
                <w:sz w:val="22"/>
                <w:szCs w:val="22"/>
              </w:rPr>
            </w:pPr>
            <w:r w:rsidRPr="00B90CE9">
              <w:rPr>
                <w:color w:val="000000" w:themeColor="text1"/>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054B73" w:rsidP="00F66214">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2.2. valsts speciālais budžets</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2.3. pašvaldību budžets</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 xml:space="preserve">Nav </w:t>
            </w:r>
            <w:r w:rsidRPr="00B90CE9">
              <w:rPr>
                <w:color w:val="000000" w:themeColor="text1"/>
                <w:sz w:val="22"/>
                <w:szCs w:val="22"/>
              </w:rPr>
              <w:lastRenderedPageBreak/>
              <w:t>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lastRenderedPageBreak/>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 xml:space="preserve">Nav </w:t>
            </w:r>
            <w:r w:rsidRPr="00B90CE9">
              <w:rPr>
                <w:rFonts w:ascii="Times New Roman" w:hAnsi="Times New Roman" w:cs="Times New Roman"/>
                <w:color w:val="000000" w:themeColor="text1"/>
              </w:rPr>
              <w:lastRenderedPageBreak/>
              <w:t>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lastRenderedPageBreak/>
              <w:t xml:space="preserve">Nav </w:t>
            </w:r>
            <w:r w:rsidRPr="00B90CE9">
              <w:rPr>
                <w:rFonts w:ascii="Times New Roman" w:hAnsi="Times New Roman" w:cs="Times New Roman"/>
                <w:color w:val="000000" w:themeColor="text1"/>
              </w:rPr>
              <w:lastRenderedPageBreak/>
              <w:t>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lastRenderedPageBreak/>
              <w:t xml:space="preserve">Nav </w:t>
            </w:r>
            <w:r w:rsidRPr="00B90CE9">
              <w:rPr>
                <w:rFonts w:ascii="Times New Roman" w:hAnsi="Times New Roman" w:cs="Times New Roman"/>
                <w:color w:val="000000" w:themeColor="text1"/>
              </w:rPr>
              <w:lastRenderedPageBreak/>
              <w:t>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lastRenderedPageBreak/>
              <w:t>3. Finansiālā ietekme:</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4679AD" w:rsidP="007F74DA">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054B73" w:rsidP="0034370D">
            <w:pPr>
              <w:pStyle w:val="naisf"/>
              <w:spacing w:before="0" w:after="0"/>
              <w:ind w:firstLine="0"/>
              <w:jc w:val="center"/>
              <w:rPr>
                <w:b/>
                <w:i/>
                <w:color w:val="000000" w:themeColor="text1"/>
                <w:sz w:val="22"/>
                <w:szCs w:val="22"/>
              </w:rPr>
            </w:pPr>
            <w:r w:rsidRPr="00B90CE9">
              <w:rPr>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4679A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4679AD" w:rsidRPr="00B90CE9" w:rsidRDefault="004679AD"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3.1. valsts pamatbudžets</w:t>
            </w:r>
          </w:p>
        </w:tc>
        <w:tc>
          <w:tcPr>
            <w:tcW w:w="636" w:type="pct"/>
            <w:tcBorders>
              <w:top w:val="outset" w:sz="6" w:space="0" w:color="414142"/>
              <w:left w:val="outset" w:sz="6" w:space="0" w:color="414142"/>
              <w:bottom w:val="outset" w:sz="6" w:space="0" w:color="414142"/>
              <w:right w:val="outset" w:sz="6" w:space="0" w:color="414142"/>
            </w:tcBorders>
            <w:hideMark/>
          </w:tcPr>
          <w:p w:rsidR="004679AD" w:rsidRPr="00B90CE9" w:rsidRDefault="004679AD"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4679AD" w:rsidRPr="00B90CE9" w:rsidRDefault="004679AD" w:rsidP="007F74DA">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4679AD" w:rsidRPr="00B90CE9" w:rsidRDefault="00054B73" w:rsidP="0034370D">
            <w:pPr>
              <w:pStyle w:val="naisf"/>
              <w:spacing w:before="0" w:after="0"/>
              <w:ind w:firstLine="0"/>
              <w:jc w:val="center"/>
              <w:rPr>
                <w:b/>
                <w:i/>
                <w:color w:val="000000" w:themeColor="text1"/>
                <w:sz w:val="22"/>
                <w:szCs w:val="22"/>
              </w:rPr>
            </w:pPr>
            <w:r w:rsidRPr="00B90CE9">
              <w:rPr>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4679AD" w:rsidRPr="00B90CE9" w:rsidRDefault="004679AD"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4679AD" w:rsidRPr="00B90CE9" w:rsidRDefault="004679AD"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3.2. speciālais budžets</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3.3. pašvaldību budžets</w:t>
            </w:r>
          </w:p>
        </w:tc>
        <w:tc>
          <w:tcPr>
            <w:tcW w:w="636"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34370D" w:rsidRPr="00B90CE9" w:rsidTr="00906338">
        <w:trPr>
          <w:jc w:val="center"/>
        </w:trPr>
        <w:tc>
          <w:tcPr>
            <w:tcW w:w="1685" w:type="pct"/>
            <w:vMerge w:val="restar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4. Finanšu līdzekļi papildu izdevumu finansēšanai (kompensējošu izdevumu samazinājumu norāda ar "+" zīmi)</w:t>
            </w:r>
          </w:p>
        </w:tc>
        <w:tc>
          <w:tcPr>
            <w:tcW w:w="636" w:type="pct"/>
            <w:vMerge w:val="restart"/>
            <w:tcBorders>
              <w:top w:val="outset" w:sz="6" w:space="0" w:color="414142"/>
              <w:left w:val="outset" w:sz="6" w:space="0" w:color="414142"/>
              <w:bottom w:val="outset" w:sz="6" w:space="0" w:color="414142"/>
              <w:right w:val="outset" w:sz="6" w:space="0" w:color="414142"/>
            </w:tcBorders>
            <w:hideMark/>
          </w:tcPr>
          <w:p w:rsidR="006A32CD" w:rsidRPr="00B90CE9" w:rsidRDefault="00E57372"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X</w:t>
            </w: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center"/>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tc>
      </w:tr>
      <w:tr w:rsidR="0034370D" w:rsidRPr="00B90CE9" w:rsidTr="0090633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34370D" w:rsidRPr="00B90CE9" w:rsidTr="0090633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906338"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5. Precizēta finansiālā ietekme:</w:t>
            </w:r>
          </w:p>
        </w:tc>
        <w:tc>
          <w:tcPr>
            <w:tcW w:w="636" w:type="pct"/>
            <w:vMerge w:val="restart"/>
            <w:tcBorders>
              <w:top w:val="outset" w:sz="6" w:space="0" w:color="414142"/>
              <w:left w:val="outset" w:sz="6" w:space="0" w:color="414142"/>
              <w:bottom w:val="outset" w:sz="6" w:space="0" w:color="414142"/>
              <w:right w:val="outset" w:sz="6" w:space="0" w:color="414142"/>
            </w:tcBorders>
            <w:hideMark/>
          </w:tcPr>
          <w:p w:rsidR="00906338" w:rsidRPr="00B90CE9" w:rsidRDefault="00906338" w:rsidP="0034370D">
            <w:pPr>
              <w:spacing w:after="0"/>
              <w:jc w:val="center"/>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X</w:t>
            </w:r>
          </w:p>
        </w:tc>
        <w:tc>
          <w:tcPr>
            <w:tcW w:w="837"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7F74DA">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906338" w:rsidRPr="00B90CE9" w:rsidRDefault="00054B73" w:rsidP="0034370D">
            <w:pPr>
              <w:pStyle w:val="naisf"/>
              <w:spacing w:before="0" w:after="0"/>
              <w:ind w:firstLine="0"/>
              <w:jc w:val="center"/>
              <w:rPr>
                <w:b/>
                <w:i/>
                <w:color w:val="000000" w:themeColor="text1"/>
                <w:sz w:val="22"/>
                <w:szCs w:val="22"/>
              </w:rPr>
            </w:pPr>
            <w:r w:rsidRPr="00B90CE9">
              <w:rPr>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906338"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06338" w:rsidRPr="00B90CE9" w:rsidRDefault="00906338" w:rsidP="0034370D">
            <w:pPr>
              <w:spacing w:after="0"/>
              <w:jc w:val="left"/>
              <w:rPr>
                <w:rFonts w:ascii="Times New Roman" w:eastAsia="Times New Roman" w:hAnsi="Times New Roman" w:cs="Times New Roman"/>
                <w:color w:val="000000" w:themeColor="text1"/>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7F74DA">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906338" w:rsidRPr="00B90CE9" w:rsidRDefault="00054B73" w:rsidP="0034370D">
            <w:pPr>
              <w:pStyle w:val="naisf"/>
              <w:spacing w:before="0" w:after="0"/>
              <w:ind w:firstLine="0"/>
              <w:jc w:val="center"/>
              <w:rPr>
                <w:b/>
                <w:i/>
                <w:color w:val="000000" w:themeColor="text1"/>
                <w:sz w:val="22"/>
                <w:szCs w:val="22"/>
              </w:rPr>
            </w:pPr>
            <w:r w:rsidRPr="00B90CE9">
              <w:rPr>
                <w:color w:val="000000" w:themeColor="text1"/>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906338" w:rsidRPr="00B90CE9" w:rsidRDefault="00906338"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jc w:val="center"/>
              <w:rPr>
                <w:b/>
                <w:i/>
                <w:color w:val="000000" w:themeColor="text1"/>
                <w:sz w:val="22"/>
                <w:szCs w:val="22"/>
              </w:rPr>
            </w:pPr>
            <w:r w:rsidRPr="00B90CE9">
              <w:rPr>
                <w:color w:val="000000" w:themeColor="text1"/>
                <w:sz w:val="22"/>
                <w:szCs w:val="22"/>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p>
        </w:tc>
        <w:tc>
          <w:tcPr>
            <w:tcW w:w="8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rPr>
                <w:b/>
                <w:i/>
                <w:color w:val="000000" w:themeColor="text1"/>
                <w:sz w:val="22"/>
                <w:szCs w:val="22"/>
              </w:rPr>
            </w:pPr>
            <w:r w:rsidRPr="00B90CE9">
              <w:rPr>
                <w:color w:val="000000" w:themeColor="text1"/>
                <w:sz w:val="22"/>
                <w:szCs w:val="22"/>
              </w:rPr>
              <w:t>Nav attiecināms</w:t>
            </w:r>
          </w:p>
        </w:tc>
        <w:tc>
          <w:tcPr>
            <w:tcW w:w="602"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rPr>
                <w:b/>
                <w:i/>
                <w:color w:val="000000" w:themeColor="text1"/>
                <w:sz w:val="22"/>
                <w:szCs w:val="22"/>
              </w:rPr>
            </w:pPr>
            <w:r w:rsidRPr="00B90CE9">
              <w:rPr>
                <w:color w:val="000000" w:themeColor="text1"/>
                <w:sz w:val="22"/>
                <w:szCs w:val="22"/>
              </w:rPr>
              <w:t>Nav attiecināms</w:t>
            </w:r>
          </w:p>
        </w:tc>
        <w:tc>
          <w:tcPr>
            <w:tcW w:w="637"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rPr>
                <w:b/>
                <w:i/>
                <w:color w:val="000000" w:themeColor="text1"/>
                <w:sz w:val="22"/>
                <w:szCs w:val="22"/>
              </w:rPr>
            </w:pPr>
            <w:r w:rsidRPr="00B90CE9">
              <w:rPr>
                <w:color w:val="000000" w:themeColor="text1"/>
                <w:sz w:val="22"/>
                <w:szCs w:val="22"/>
              </w:rPr>
              <w:t>Nav attiecināms</w:t>
            </w:r>
          </w:p>
        </w:tc>
        <w:tc>
          <w:tcPr>
            <w:tcW w:w="603"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pStyle w:val="naisf"/>
              <w:spacing w:before="0" w:after="0"/>
              <w:ind w:firstLine="0"/>
              <w:rPr>
                <w:b/>
                <w:i/>
                <w:color w:val="000000" w:themeColor="text1"/>
                <w:sz w:val="22"/>
                <w:szCs w:val="22"/>
              </w:rPr>
            </w:pPr>
            <w:r w:rsidRPr="00B90CE9">
              <w:rPr>
                <w:color w:val="000000" w:themeColor="text1"/>
                <w:sz w:val="22"/>
                <w:szCs w:val="22"/>
              </w:rPr>
              <w:t>Nav attiecināms</w:t>
            </w: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6. Detalizēts ieņēmumu un izdevumu aprēķins (ja nepieciešams, detalizētu ieņēmumu un izdevumu aprēķinu var pievienot anotācijas pielikumā):</w:t>
            </w:r>
          </w:p>
        </w:tc>
        <w:tc>
          <w:tcPr>
            <w:tcW w:w="331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054B73" w:rsidP="004D7C36">
            <w:pPr>
              <w:spacing w:after="60"/>
              <w:rPr>
                <w:rFonts w:ascii="Times New Roman" w:hAnsi="Times New Roman" w:cs="Times New Roman"/>
                <w:color w:val="000000" w:themeColor="text1"/>
              </w:rPr>
            </w:pPr>
            <w:r w:rsidRPr="00B90CE9">
              <w:rPr>
                <w:rFonts w:ascii="Times New Roman" w:hAnsi="Times New Roman" w:cs="Times New Roman"/>
                <w:color w:val="000000" w:themeColor="text1"/>
              </w:rPr>
              <w:t>Nav attiecināms</w:t>
            </w:r>
          </w:p>
          <w:p w:rsidR="00E57372" w:rsidRPr="00B90CE9" w:rsidRDefault="00E57372" w:rsidP="004D7C36">
            <w:pPr>
              <w:spacing w:after="60"/>
              <w:jc w:val="left"/>
              <w:rPr>
                <w:rFonts w:ascii="Times New Roman" w:eastAsia="Times New Roman" w:hAnsi="Times New Roman" w:cs="Times New Roman"/>
                <w:color w:val="000000" w:themeColor="text1"/>
                <w:lang w:eastAsia="lv-LV"/>
              </w:rPr>
            </w:pP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4D7C36">
            <w:pPr>
              <w:spacing w:after="60"/>
              <w:jc w:val="left"/>
              <w:rPr>
                <w:rFonts w:ascii="Times New Roman" w:eastAsia="Times New Roman" w:hAnsi="Times New Roman" w:cs="Times New Roman"/>
                <w:color w:val="000000" w:themeColor="text1"/>
                <w:lang w:eastAsia="lv-LV"/>
              </w:rPr>
            </w:pPr>
          </w:p>
        </w:tc>
      </w:tr>
      <w:tr w:rsidR="0034370D" w:rsidRPr="00B90CE9" w:rsidTr="00906338">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E57372" w:rsidRPr="00B90CE9" w:rsidRDefault="00E57372" w:rsidP="004D7C36">
            <w:pPr>
              <w:spacing w:after="60"/>
              <w:jc w:val="left"/>
              <w:rPr>
                <w:rFonts w:ascii="Times New Roman" w:eastAsia="Times New Roman" w:hAnsi="Times New Roman" w:cs="Times New Roman"/>
                <w:color w:val="000000" w:themeColor="text1"/>
                <w:lang w:eastAsia="lv-LV"/>
              </w:rPr>
            </w:pPr>
          </w:p>
        </w:tc>
      </w:tr>
      <w:tr w:rsidR="0034370D" w:rsidRPr="00B90CE9" w:rsidTr="00906338">
        <w:trPr>
          <w:trHeight w:val="555"/>
          <w:jc w:val="center"/>
        </w:trPr>
        <w:tc>
          <w:tcPr>
            <w:tcW w:w="1685" w:type="pct"/>
            <w:tcBorders>
              <w:top w:val="outset" w:sz="6" w:space="0" w:color="414142"/>
              <w:left w:val="outset" w:sz="6" w:space="0" w:color="414142"/>
              <w:bottom w:val="outset" w:sz="6" w:space="0" w:color="414142"/>
              <w:right w:val="outset" w:sz="6" w:space="0" w:color="414142"/>
            </w:tcBorders>
            <w:hideMark/>
          </w:tcPr>
          <w:p w:rsidR="00E57372" w:rsidRPr="00B90CE9" w:rsidRDefault="00E57372" w:rsidP="0034370D">
            <w:pPr>
              <w:spacing w:after="0"/>
              <w:jc w:val="left"/>
              <w:rPr>
                <w:rFonts w:ascii="Times New Roman" w:eastAsia="Times New Roman" w:hAnsi="Times New Roman" w:cs="Times New Roman"/>
                <w:color w:val="000000" w:themeColor="text1"/>
                <w:lang w:eastAsia="lv-LV"/>
              </w:rPr>
            </w:pPr>
            <w:r w:rsidRPr="00B90CE9">
              <w:rPr>
                <w:rFonts w:ascii="Times New Roman" w:eastAsia="Times New Roman" w:hAnsi="Times New Roman" w:cs="Times New Roman"/>
                <w:color w:val="000000" w:themeColor="text1"/>
                <w:lang w:eastAsia="lv-LV"/>
              </w:rPr>
              <w:t>7. Cita informācija</w:t>
            </w:r>
          </w:p>
        </w:tc>
        <w:tc>
          <w:tcPr>
            <w:tcW w:w="3315" w:type="pct"/>
            <w:gridSpan w:val="5"/>
            <w:tcBorders>
              <w:top w:val="outset" w:sz="6" w:space="0" w:color="414142"/>
              <w:left w:val="outset" w:sz="6" w:space="0" w:color="414142"/>
              <w:bottom w:val="outset" w:sz="6" w:space="0" w:color="414142"/>
              <w:right w:val="outset" w:sz="6" w:space="0" w:color="414142"/>
            </w:tcBorders>
            <w:hideMark/>
          </w:tcPr>
          <w:p w:rsidR="000C3F9F" w:rsidRDefault="00FF098F">
            <w:pPr>
              <w:pStyle w:val="naisf"/>
              <w:tabs>
                <w:tab w:val="left" w:pos="4644"/>
              </w:tabs>
              <w:spacing w:before="0" w:after="60"/>
              <w:ind w:firstLine="0"/>
              <w:rPr>
                <w:color w:val="000000" w:themeColor="text1"/>
                <w:sz w:val="22"/>
                <w:szCs w:val="22"/>
              </w:rPr>
            </w:pPr>
            <w:r w:rsidRPr="00FF098F">
              <w:rPr>
                <w:color w:val="000000" w:themeColor="text1"/>
                <w:sz w:val="22"/>
                <w:szCs w:val="22"/>
              </w:rPr>
              <w:t xml:space="preserve">Sakarā ar noteikumu projektā iekļautajiem Noteikumu Nr.769 grozījumiem, kuri ietekmē ar Valsts vides dienesta </w:t>
            </w:r>
            <w:r w:rsidR="0049563D">
              <w:rPr>
                <w:color w:val="000000" w:themeColor="text1"/>
                <w:sz w:val="22"/>
                <w:szCs w:val="22"/>
              </w:rPr>
              <w:t>vienotās vides informācijas sistēmas „TULPE” programmatūru ir nepieciešams veikt izmaiņas programmatūrā un tās struktūrā, kuras izmaksas ir 42</w:t>
            </w:r>
            <w:r w:rsidR="00054B73">
              <w:rPr>
                <w:color w:val="000000" w:themeColor="text1"/>
                <w:sz w:val="22"/>
                <w:szCs w:val="22"/>
              </w:rPr>
              <w:t>00</w:t>
            </w:r>
            <w:r w:rsidR="0049563D">
              <w:rPr>
                <w:color w:val="000000" w:themeColor="text1"/>
                <w:sz w:val="22"/>
                <w:szCs w:val="22"/>
              </w:rPr>
              <w:t xml:space="preserve"> EUR. Šī summa ir nepieciešama, lai Valsts vides dienests var pielāgot informācijas sistēmas „TULPE” programmatūru, iestrādājot noteikumu projekta 20. un 21.punktā noteiktās iesnieguma atļaujas saņemšanas veidlapu un atļaujas veidlapu (noteikumu Nr.769 1. un 3.pielikumā dotās veidlapas ir grozītas). Summu veido p</w:t>
            </w:r>
            <w:r w:rsidRPr="00FF098F">
              <w:rPr>
                <w:color w:val="000000" w:themeColor="text1"/>
                <w:sz w:val="22"/>
                <w:szCs w:val="22"/>
              </w:rPr>
              <w:t>rogrammatūras izstrādātāju dotie programmatūras izmaiņas izdevumi, kuros ietverta projekta izstrāde, tā realizēšana ar visiem labojumiem – laukiem, kas ņemami laukā, laukiem, kas jāievada no jauna, jaunu pozīciju pievienošana, esošo lauku papildināšana.</w:t>
            </w:r>
          </w:p>
          <w:p w:rsidR="000C3F9F" w:rsidRDefault="00BB4BB8" w:rsidP="00322017">
            <w:pPr>
              <w:pStyle w:val="naisf"/>
              <w:tabs>
                <w:tab w:val="left" w:pos="4644"/>
              </w:tabs>
              <w:spacing w:before="0" w:after="60"/>
              <w:ind w:firstLine="0"/>
              <w:rPr>
                <w:b/>
                <w:i/>
                <w:color w:val="000000" w:themeColor="text1"/>
                <w:sz w:val="22"/>
                <w:szCs w:val="22"/>
              </w:rPr>
            </w:pPr>
            <w:r>
              <w:rPr>
                <w:color w:val="000000" w:themeColor="text1"/>
                <w:sz w:val="22"/>
                <w:szCs w:val="22"/>
              </w:rPr>
              <w:t>Pēc p</w:t>
            </w:r>
            <w:r w:rsidRPr="00BB4BB8">
              <w:rPr>
                <w:color w:val="000000" w:themeColor="text1"/>
                <w:sz w:val="22"/>
                <w:szCs w:val="22"/>
              </w:rPr>
              <w:t>rojekta pabeigšanas projekta uzturēšanai nepieciešamais finansējums var tikt pārdalīts no 74.resora 01.00.00 programmas „Apropriācijas rezerve” atbilstoši likuma „Par valsts budžetu 2014.gadam” 34.panta otrajā daļā noteiktajam, savukārt turpmākajiem gadiem finansējums projekta uzturēšanai</w:t>
            </w:r>
            <w:r w:rsidR="00322017">
              <w:rPr>
                <w:color w:val="000000" w:themeColor="text1"/>
                <w:sz w:val="22"/>
                <w:szCs w:val="22"/>
              </w:rPr>
              <w:t xml:space="preserve"> tiks pieprasīts </w:t>
            </w:r>
            <w:r w:rsidRPr="00BB4BB8">
              <w:rPr>
                <w:color w:val="000000" w:themeColor="text1"/>
                <w:sz w:val="22"/>
                <w:szCs w:val="22"/>
              </w:rPr>
              <w:t xml:space="preserve">saskaņā ar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10.2.4. punktā noteiktajam, t.i., VARAM „bāzes” </w:t>
            </w:r>
            <w:r w:rsidRPr="00BB4BB8">
              <w:rPr>
                <w:color w:val="000000" w:themeColor="text1"/>
                <w:sz w:val="22"/>
                <w:szCs w:val="22"/>
              </w:rPr>
              <w:lastRenderedPageBreak/>
              <w:t>izdevumos.</w:t>
            </w:r>
          </w:p>
        </w:tc>
      </w:tr>
    </w:tbl>
    <w:p w:rsidR="00E57372" w:rsidRPr="0034370D" w:rsidRDefault="00E57372" w:rsidP="00E57372">
      <w:pPr>
        <w:pStyle w:val="naisf"/>
        <w:spacing w:before="0" w:after="0"/>
        <w:ind w:firstLine="0"/>
        <w:jc w:val="center"/>
        <w:rPr>
          <w:b/>
          <w:color w:val="000000" w:themeColor="text1"/>
        </w:rPr>
      </w:pPr>
    </w:p>
    <w:p w:rsidR="00E57372" w:rsidRPr="0034370D" w:rsidRDefault="00E57372" w:rsidP="00E57372">
      <w:pPr>
        <w:pStyle w:val="naisf"/>
        <w:spacing w:before="0" w:after="0"/>
        <w:ind w:firstLine="0"/>
        <w:jc w:val="center"/>
        <w:rPr>
          <w:b/>
          <w:color w:val="000000" w:themeColor="text1"/>
        </w:rPr>
      </w:pPr>
      <w:r w:rsidRPr="0034370D">
        <w:rPr>
          <w:b/>
          <w:color w:val="000000" w:themeColor="text1"/>
        </w:rPr>
        <w:t>Anotācijas IV sadaļa – projekts šo jomu neskar</w:t>
      </w:r>
    </w:p>
    <w:p w:rsidR="00E57372" w:rsidRPr="0034370D" w:rsidRDefault="00E57372" w:rsidP="00E57372">
      <w:pPr>
        <w:pStyle w:val="naisf"/>
        <w:spacing w:before="0" w:after="0"/>
        <w:ind w:firstLine="0"/>
        <w:jc w:val="center"/>
        <w:rPr>
          <w:b/>
          <w:color w:val="000000" w:themeColor="text1"/>
        </w:rPr>
      </w:pPr>
    </w:p>
    <w:tbl>
      <w:tblPr>
        <w:tblW w:w="9639" w:type="dxa"/>
        <w:jc w:val="center"/>
        <w:tblBorders>
          <w:top w:val="outset" w:sz="6" w:space="0" w:color="414142"/>
          <w:left w:val="outset" w:sz="6" w:space="0" w:color="414142"/>
          <w:bottom w:val="outset" w:sz="6" w:space="0" w:color="414142"/>
          <w:right w:val="outset" w:sz="6" w:space="0" w:color="414142"/>
        </w:tblBorders>
        <w:tblCellMar>
          <w:left w:w="57" w:type="dxa"/>
          <w:right w:w="57" w:type="dxa"/>
        </w:tblCellMar>
        <w:tblLook w:val="04A0" w:firstRow="1" w:lastRow="0" w:firstColumn="1" w:lastColumn="0" w:noHBand="0" w:noVBand="1"/>
      </w:tblPr>
      <w:tblGrid>
        <w:gridCol w:w="482"/>
        <w:gridCol w:w="2637"/>
        <w:gridCol w:w="6520"/>
      </w:tblGrid>
      <w:tr w:rsidR="0034370D" w:rsidRPr="006A32CD" w:rsidTr="00590493">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A32CD" w:rsidRPr="006A32CD" w:rsidRDefault="006A32CD" w:rsidP="0034370D">
            <w:pPr>
              <w:spacing w:after="0"/>
              <w:jc w:val="center"/>
              <w:rPr>
                <w:rFonts w:ascii="Times New Roman" w:eastAsia="Times New Roman" w:hAnsi="Times New Roman" w:cs="Times New Roman"/>
                <w:b/>
                <w:bCs/>
                <w:color w:val="000000" w:themeColor="text1"/>
                <w:sz w:val="21"/>
                <w:szCs w:val="21"/>
                <w:lang w:eastAsia="lv-LV"/>
              </w:rPr>
            </w:pPr>
            <w:r w:rsidRPr="006A32CD">
              <w:rPr>
                <w:rFonts w:ascii="Times New Roman" w:eastAsia="Times New Roman" w:hAnsi="Times New Roman" w:cs="Times New Roman"/>
                <w:b/>
                <w:bCs/>
                <w:color w:val="000000" w:themeColor="text1"/>
                <w:sz w:val="21"/>
                <w:szCs w:val="21"/>
                <w:lang w:eastAsia="lv-LV"/>
              </w:rPr>
              <w:t>V. Tiesību akta projekta atbilstība Latvijas Republikas starptautiskajām saistībām</w:t>
            </w:r>
          </w:p>
        </w:tc>
      </w:tr>
      <w:tr w:rsidR="0034370D" w:rsidRPr="006A32CD" w:rsidTr="00590493">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sz w:val="21"/>
                <w:szCs w:val="21"/>
                <w:lang w:eastAsia="lv-LV"/>
              </w:rPr>
            </w:pPr>
            <w:r w:rsidRPr="006A32CD">
              <w:rPr>
                <w:rFonts w:ascii="Times New Roman" w:eastAsia="Times New Roman" w:hAnsi="Times New Roman" w:cs="Times New Roman"/>
                <w:color w:val="000000" w:themeColor="text1"/>
                <w:sz w:val="21"/>
                <w:szCs w:val="21"/>
                <w:lang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sz w:val="21"/>
                <w:szCs w:val="21"/>
                <w:lang w:eastAsia="lv-LV"/>
              </w:rPr>
            </w:pPr>
            <w:r w:rsidRPr="006A32CD">
              <w:rPr>
                <w:rFonts w:ascii="Times New Roman" w:eastAsia="Times New Roman" w:hAnsi="Times New Roman" w:cs="Times New Roman"/>
                <w:color w:val="000000" w:themeColor="text1"/>
                <w:sz w:val="21"/>
                <w:szCs w:val="21"/>
                <w:lang w:eastAsia="lv-LV"/>
              </w:rPr>
              <w:t>Saistības pret Eiropas Savienību</w:t>
            </w:r>
          </w:p>
        </w:tc>
        <w:tc>
          <w:tcPr>
            <w:tcW w:w="3382" w:type="pct"/>
            <w:tcBorders>
              <w:top w:val="outset" w:sz="6" w:space="0" w:color="414142"/>
              <w:left w:val="outset" w:sz="6" w:space="0" w:color="414142"/>
              <w:bottom w:val="outset" w:sz="6" w:space="0" w:color="414142"/>
              <w:right w:val="outset" w:sz="6" w:space="0" w:color="414142"/>
            </w:tcBorders>
            <w:hideMark/>
          </w:tcPr>
          <w:p w:rsidR="00E57372" w:rsidRPr="0034370D" w:rsidRDefault="00E57372" w:rsidP="004D7C36">
            <w:pPr>
              <w:autoSpaceDE w:val="0"/>
              <w:autoSpaceDN w:val="0"/>
              <w:adjustRightInd w:val="0"/>
              <w:spacing w:after="60"/>
              <w:ind w:firstLine="289"/>
              <w:rPr>
                <w:rFonts w:ascii="Times New Roman" w:hAnsi="Times New Roman" w:cs="Times New Roman"/>
                <w:color w:val="000000" w:themeColor="text1"/>
                <w:shd w:val="clear" w:color="auto" w:fill="FFFFFF"/>
              </w:rPr>
            </w:pPr>
            <w:r w:rsidRPr="0034370D">
              <w:rPr>
                <w:rFonts w:ascii="Times New Roman" w:hAnsi="Times New Roman" w:cs="Times New Roman"/>
                <w:color w:val="000000" w:themeColor="text1"/>
                <w:shd w:val="clear" w:color="auto" w:fill="FFFFFF"/>
              </w:rPr>
              <w:t>Eiropas Parlamenta un Padomes 2003.gada 13.oktobra Direktīva 2003/87/EK, ar kuru nosaka siltumnīcefekta gāzu emisijas kvotu tirdzniecības sistēmas izveidi Kopienā un groza Padomes Direktīvu 96/61/EK;</w:t>
            </w:r>
          </w:p>
          <w:p w:rsidR="00E57372" w:rsidRPr="0034370D" w:rsidRDefault="00E57372" w:rsidP="004D7C36">
            <w:pPr>
              <w:autoSpaceDE w:val="0"/>
              <w:autoSpaceDN w:val="0"/>
              <w:adjustRightInd w:val="0"/>
              <w:spacing w:after="60"/>
              <w:ind w:firstLine="289"/>
              <w:rPr>
                <w:rFonts w:ascii="Times New Roman" w:hAnsi="Times New Roman" w:cs="Times New Roman"/>
                <w:color w:val="000000" w:themeColor="text1"/>
                <w:shd w:val="clear" w:color="auto" w:fill="FFFFFF"/>
              </w:rPr>
            </w:pPr>
            <w:r w:rsidRPr="0034370D">
              <w:rPr>
                <w:rFonts w:ascii="Times New Roman" w:hAnsi="Times New Roman" w:cs="Times New Roman"/>
                <w:color w:val="000000" w:themeColor="text1"/>
                <w:shd w:val="clear" w:color="auto" w:fill="FFFFFF"/>
              </w:rPr>
              <w:t>Eiropas Parlamenta un Padomes 2008.gada 19.novembra Direktīva 2008/101/EK, ar ko groza Direktīvu 2003/87/EK, lai aviācijas darbības iekļautu Kopienas siltumnīcas efektu izraisošo gāzu emisijas kvotu tirdzniecības sistēmā;</w:t>
            </w:r>
          </w:p>
          <w:p w:rsidR="00E57372" w:rsidRPr="0034370D" w:rsidRDefault="00E57372" w:rsidP="004D7C36">
            <w:pPr>
              <w:autoSpaceDE w:val="0"/>
              <w:autoSpaceDN w:val="0"/>
              <w:adjustRightInd w:val="0"/>
              <w:spacing w:after="60"/>
              <w:ind w:firstLine="289"/>
              <w:rPr>
                <w:rFonts w:ascii="Times New Roman" w:hAnsi="Times New Roman" w:cs="Times New Roman"/>
                <w:color w:val="000000" w:themeColor="text1"/>
                <w:shd w:val="clear" w:color="auto" w:fill="FFFFFF"/>
              </w:rPr>
            </w:pPr>
            <w:r w:rsidRPr="0034370D">
              <w:rPr>
                <w:rFonts w:ascii="Times New Roman" w:hAnsi="Times New Roman" w:cs="Times New Roman"/>
                <w:color w:val="000000" w:themeColor="text1"/>
                <w:shd w:val="clear" w:color="auto" w:fill="FFFFFF"/>
              </w:rPr>
              <w:t>Eiropas Parlamenta un Padomes 2009.gada 23.aprīļa Direktīva 2009/29/EK, ar ko groza Direktīvu 2003/87/EK, lai uzlabotu un paplašinātu Kopienas siltumnīcas efektu izraisošo gāzu emisiju kvotu tirdzniecības sistēmu;</w:t>
            </w:r>
          </w:p>
          <w:p w:rsidR="00E57372" w:rsidRPr="0034370D" w:rsidRDefault="00E57372" w:rsidP="008148E0">
            <w:pPr>
              <w:autoSpaceDE w:val="0"/>
              <w:autoSpaceDN w:val="0"/>
              <w:adjustRightInd w:val="0"/>
              <w:spacing w:after="60"/>
              <w:ind w:firstLine="289"/>
              <w:rPr>
                <w:rFonts w:ascii="Times New Roman" w:hAnsi="Times New Roman" w:cs="Times New Roman"/>
                <w:color w:val="000000" w:themeColor="text1"/>
              </w:rPr>
            </w:pPr>
            <w:r w:rsidRPr="0034370D">
              <w:rPr>
                <w:rFonts w:ascii="Times New Roman" w:hAnsi="Times New Roman" w:cs="Times New Roman"/>
                <w:iCs/>
                <w:color w:val="000000" w:themeColor="text1"/>
              </w:rPr>
              <w:t>Eiropas Komisijas 2012.gada 21.jūnija Regula Nr. 601/2012 par siltumnīcefekta gāzu emisiju monitoringu un ziņošanu saskaņā ar Eiropas Parlamenta un Padomes Direktīvu 2003/87/EK</w:t>
            </w:r>
            <w:r w:rsidR="008148E0">
              <w:rPr>
                <w:rFonts w:ascii="Times New Roman" w:hAnsi="Times New Roman" w:cs="Times New Roman"/>
                <w:iCs/>
                <w:color w:val="000000" w:themeColor="text1"/>
              </w:rPr>
              <w:t>.</w:t>
            </w:r>
          </w:p>
        </w:tc>
      </w:tr>
      <w:tr w:rsidR="0034370D" w:rsidRPr="006A32CD" w:rsidTr="00590493">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sz w:val="21"/>
                <w:szCs w:val="21"/>
                <w:lang w:eastAsia="lv-LV"/>
              </w:rPr>
            </w:pPr>
            <w:r w:rsidRPr="006A32CD">
              <w:rPr>
                <w:rFonts w:ascii="Times New Roman" w:eastAsia="Times New Roman" w:hAnsi="Times New Roman" w:cs="Times New Roman"/>
                <w:color w:val="000000" w:themeColor="text1"/>
                <w:sz w:val="21"/>
                <w:szCs w:val="21"/>
                <w:lang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sz w:val="21"/>
                <w:szCs w:val="21"/>
                <w:lang w:eastAsia="lv-LV"/>
              </w:rPr>
            </w:pPr>
            <w:r w:rsidRPr="006A32CD">
              <w:rPr>
                <w:rFonts w:ascii="Times New Roman" w:eastAsia="Times New Roman" w:hAnsi="Times New Roman" w:cs="Times New Roman"/>
                <w:color w:val="000000" w:themeColor="text1"/>
                <w:sz w:val="21"/>
                <w:szCs w:val="21"/>
                <w:lang w:eastAsia="lv-LV"/>
              </w:rPr>
              <w:t>Citas starptautiskās saistības</w:t>
            </w:r>
          </w:p>
        </w:tc>
        <w:tc>
          <w:tcPr>
            <w:tcW w:w="3382" w:type="pct"/>
            <w:tcBorders>
              <w:top w:val="outset" w:sz="6" w:space="0" w:color="414142"/>
              <w:left w:val="outset" w:sz="6" w:space="0" w:color="414142"/>
              <w:bottom w:val="outset" w:sz="6" w:space="0" w:color="414142"/>
              <w:right w:val="outset" w:sz="6" w:space="0" w:color="414142"/>
            </w:tcBorders>
            <w:hideMark/>
          </w:tcPr>
          <w:p w:rsidR="00E57372" w:rsidRPr="0034370D" w:rsidRDefault="00E57372" w:rsidP="0034370D">
            <w:pPr>
              <w:spacing w:after="0"/>
              <w:ind w:left="57" w:firstLine="199"/>
              <w:rPr>
                <w:rFonts w:ascii="Times New Roman" w:hAnsi="Times New Roman" w:cs="Times New Roman"/>
                <w:color w:val="000000" w:themeColor="text1"/>
              </w:rPr>
            </w:pPr>
            <w:r w:rsidRPr="0034370D">
              <w:rPr>
                <w:rFonts w:ascii="Times New Roman" w:hAnsi="Times New Roman" w:cs="Times New Roman"/>
                <w:color w:val="000000" w:themeColor="text1"/>
              </w:rPr>
              <w:t>Projekts šo jomu neskar</w:t>
            </w:r>
          </w:p>
        </w:tc>
      </w:tr>
      <w:tr w:rsidR="0034370D" w:rsidRPr="006A32CD" w:rsidTr="00590493">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sz w:val="21"/>
                <w:szCs w:val="21"/>
                <w:lang w:eastAsia="lv-LV"/>
              </w:rPr>
            </w:pPr>
            <w:r w:rsidRPr="006A32CD">
              <w:rPr>
                <w:rFonts w:ascii="Times New Roman" w:eastAsia="Times New Roman" w:hAnsi="Times New Roman" w:cs="Times New Roman"/>
                <w:color w:val="000000" w:themeColor="text1"/>
                <w:sz w:val="21"/>
                <w:szCs w:val="21"/>
                <w:lang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rsidR="00E57372" w:rsidRPr="006A32CD" w:rsidRDefault="00E57372" w:rsidP="0034370D">
            <w:pPr>
              <w:spacing w:after="0"/>
              <w:jc w:val="left"/>
              <w:rPr>
                <w:rFonts w:ascii="Times New Roman" w:eastAsia="Times New Roman" w:hAnsi="Times New Roman" w:cs="Times New Roman"/>
                <w:color w:val="000000" w:themeColor="text1"/>
                <w:sz w:val="21"/>
                <w:szCs w:val="21"/>
                <w:lang w:eastAsia="lv-LV"/>
              </w:rPr>
            </w:pPr>
            <w:r w:rsidRPr="006A32CD">
              <w:rPr>
                <w:rFonts w:ascii="Times New Roman" w:eastAsia="Times New Roman" w:hAnsi="Times New Roman" w:cs="Times New Roman"/>
                <w:color w:val="000000" w:themeColor="text1"/>
                <w:sz w:val="21"/>
                <w:szCs w:val="21"/>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E57372" w:rsidRPr="0034370D" w:rsidRDefault="00E57372" w:rsidP="0034370D">
            <w:pPr>
              <w:spacing w:after="0"/>
              <w:ind w:left="57" w:firstLine="199"/>
              <w:rPr>
                <w:rFonts w:ascii="Times New Roman" w:hAnsi="Times New Roman" w:cs="Times New Roman"/>
                <w:color w:val="000000" w:themeColor="text1"/>
              </w:rPr>
            </w:pPr>
            <w:r w:rsidRPr="0034370D">
              <w:rPr>
                <w:rFonts w:ascii="Times New Roman" w:hAnsi="Times New Roman" w:cs="Times New Roman"/>
                <w:color w:val="000000" w:themeColor="text1"/>
              </w:rPr>
              <w:t>Nav</w:t>
            </w:r>
          </w:p>
        </w:tc>
      </w:tr>
    </w:tbl>
    <w:p w:rsidR="00E57372" w:rsidRPr="0034370D" w:rsidRDefault="00E57372" w:rsidP="0034370D">
      <w:pPr>
        <w:spacing w:after="0"/>
        <w:ind w:firstLine="301"/>
        <w:jc w:val="left"/>
        <w:rPr>
          <w:rFonts w:ascii="Times New Roman" w:eastAsia="Times New Roman" w:hAnsi="Times New Roman" w:cs="Times New Roman"/>
          <w:color w:val="000000" w:themeColor="text1"/>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
        <w:gridCol w:w="1266"/>
        <w:gridCol w:w="1626"/>
        <w:gridCol w:w="1181"/>
        <w:gridCol w:w="1683"/>
        <w:gridCol w:w="3401"/>
      </w:tblGrid>
      <w:tr w:rsidR="004D7C36" w:rsidRPr="0034370D" w:rsidTr="00590493">
        <w:trPr>
          <w:trHeight w:val="284"/>
          <w:jc w:val="center"/>
        </w:trPr>
        <w:tc>
          <w:tcPr>
            <w:tcW w:w="9639" w:type="dxa"/>
            <w:gridSpan w:val="6"/>
          </w:tcPr>
          <w:p w:rsidR="00E57372" w:rsidRPr="0034370D" w:rsidRDefault="00E57372" w:rsidP="007F74DA">
            <w:pPr>
              <w:spacing w:after="0"/>
              <w:jc w:val="center"/>
              <w:rPr>
                <w:rFonts w:ascii="Times New Roman" w:hAnsi="Times New Roman" w:cs="Times New Roman"/>
                <w:b/>
                <w:color w:val="000000" w:themeColor="text1"/>
              </w:rPr>
            </w:pPr>
            <w:r w:rsidRPr="0034370D">
              <w:rPr>
                <w:rFonts w:ascii="Times New Roman" w:hAnsi="Times New Roman" w:cs="Times New Roman"/>
                <w:b/>
                <w:color w:val="000000" w:themeColor="text1"/>
              </w:rPr>
              <w:t>1.tabula</w:t>
            </w:r>
          </w:p>
          <w:p w:rsidR="00E57372" w:rsidRPr="0034370D" w:rsidRDefault="00E57372" w:rsidP="007F74DA">
            <w:pPr>
              <w:spacing w:after="0"/>
              <w:ind w:left="57"/>
              <w:jc w:val="center"/>
              <w:rPr>
                <w:rFonts w:ascii="Times New Roman" w:hAnsi="Times New Roman" w:cs="Times New Roman"/>
                <w:color w:val="000000" w:themeColor="text1"/>
              </w:rPr>
            </w:pPr>
            <w:r w:rsidRPr="0034370D">
              <w:rPr>
                <w:rFonts w:ascii="Times New Roman" w:hAnsi="Times New Roman" w:cs="Times New Roman"/>
                <w:b/>
                <w:color w:val="000000" w:themeColor="text1"/>
              </w:rPr>
              <w:t>Tiesību akta projekta atbilstība ES tiesību aktiem</w:t>
            </w:r>
          </w:p>
        </w:tc>
      </w:tr>
      <w:tr w:rsidR="004D7C36" w:rsidRPr="0034370D" w:rsidTr="00590493">
        <w:trPr>
          <w:trHeight w:val="284"/>
          <w:jc w:val="center"/>
        </w:trPr>
        <w:tc>
          <w:tcPr>
            <w:tcW w:w="1748" w:type="dxa"/>
            <w:gridSpan w:val="2"/>
          </w:tcPr>
          <w:p w:rsidR="00E57372" w:rsidRPr="0034370D" w:rsidRDefault="00E57372" w:rsidP="007F74DA">
            <w:pPr>
              <w:spacing w:after="0"/>
              <w:jc w:val="center"/>
              <w:rPr>
                <w:rFonts w:ascii="Times New Roman" w:hAnsi="Times New Roman" w:cs="Times New Roman"/>
                <w:color w:val="000000" w:themeColor="text1"/>
              </w:rPr>
            </w:pPr>
            <w:r w:rsidRPr="0034370D">
              <w:rPr>
                <w:rFonts w:ascii="Times New Roman" w:hAnsi="Times New Roman" w:cs="Times New Roman"/>
                <w:color w:val="000000" w:themeColor="text1"/>
              </w:rPr>
              <w:t>Attiecīgā Eiropas Savienības tiesību akta datums, numurs un nosaukums</w:t>
            </w:r>
          </w:p>
        </w:tc>
        <w:tc>
          <w:tcPr>
            <w:tcW w:w="7891" w:type="dxa"/>
            <w:gridSpan w:val="4"/>
          </w:tcPr>
          <w:p w:rsidR="00E57372" w:rsidRPr="0034370D" w:rsidRDefault="00E57372" w:rsidP="007F74DA">
            <w:pPr>
              <w:autoSpaceDE w:val="0"/>
              <w:autoSpaceDN w:val="0"/>
              <w:adjustRightInd w:val="0"/>
              <w:spacing w:after="0"/>
              <w:ind w:firstLine="289"/>
              <w:jc w:val="center"/>
              <w:rPr>
                <w:rFonts w:ascii="Times New Roman" w:hAnsi="Times New Roman" w:cs="Times New Roman"/>
                <w:color w:val="000000" w:themeColor="text1"/>
                <w:shd w:val="clear" w:color="auto" w:fill="FFFFFF"/>
              </w:rPr>
            </w:pPr>
            <w:r w:rsidRPr="0034370D">
              <w:rPr>
                <w:rFonts w:ascii="Times New Roman" w:hAnsi="Times New Roman" w:cs="Times New Roman"/>
                <w:color w:val="000000" w:themeColor="text1"/>
                <w:shd w:val="clear" w:color="auto" w:fill="FFFFFF"/>
              </w:rPr>
              <w:t>Eiropas Parlamenta un Padomes 2003.gada 13.oktobra Direktīva 2003/87/EK, ar kuru nosaka siltumnīcefekta gāzu emisijas kvotu tirdzniecības sistēmas izveidi Kopienā un groza Padomes Direktīvu 96/61/EK</w:t>
            </w:r>
          </w:p>
        </w:tc>
      </w:tr>
      <w:tr w:rsidR="004D7C36" w:rsidRPr="004D7C36" w:rsidTr="00E524D1">
        <w:trPr>
          <w:trHeight w:val="284"/>
          <w:jc w:val="center"/>
        </w:trPr>
        <w:tc>
          <w:tcPr>
            <w:tcW w:w="1748" w:type="dxa"/>
            <w:gridSpan w:val="2"/>
            <w:vAlign w:val="center"/>
          </w:tcPr>
          <w:p w:rsidR="00E57372" w:rsidRPr="004D7C36" w:rsidRDefault="00E57372" w:rsidP="007F74DA">
            <w:pPr>
              <w:spacing w:after="0"/>
              <w:jc w:val="center"/>
              <w:rPr>
                <w:rFonts w:ascii="Times New Roman" w:hAnsi="Times New Roman" w:cs="Times New Roman"/>
                <w:color w:val="000000" w:themeColor="text1"/>
                <w:sz w:val="20"/>
                <w:szCs w:val="20"/>
              </w:rPr>
            </w:pPr>
            <w:r w:rsidRPr="004D7C36">
              <w:rPr>
                <w:rFonts w:ascii="Times New Roman" w:hAnsi="Times New Roman" w:cs="Times New Roman"/>
                <w:color w:val="000000" w:themeColor="text1"/>
                <w:sz w:val="20"/>
                <w:szCs w:val="20"/>
              </w:rPr>
              <w:t>A</w:t>
            </w:r>
          </w:p>
        </w:tc>
        <w:tc>
          <w:tcPr>
            <w:tcW w:w="2807" w:type="dxa"/>
            <w:gridSpan w:val="2"/>
            <w:vAlign w:val="center"/>
          </w:tcPr>
          <w:p w:rsidR="00E57372" w:rsidRPr="004D7C36" w:rsidRDefault="00E57372" w:rsidP="007F74DA">
            <w:pPr>
              <w:spacing w:after="0"/>
              <w:ind w:left="57"/>
              <w:jc w:val="center"/>
              <w:rPr>
                <w:rFonts w:ascii="Times New Roman" w:hAnsi="Times New Roman" w:cs="Times New Roman"/>
                <w:color w:val="000000" w:themeColor="text1"/>
                <w:sz w:val="20"/>
                <w:szCs w:val="20"/>
              </w:rPr>
            </w:pPr>
            <w:r w:rsidRPr="004D7C36">
              <w:rPr>
                <w:rFonts w:ascii="Times New Roman" w:hAnsi="Times New Roman" w:cs="Times New Roman"/>
                <w:color w:val="000000" w:themeColor="text1"/>
                <w:sz w:val="20"/>
                <w:szCs w:val="20"/>
              </w:rPr>
              <w:t>B</w:t>
            </w:r>
          </w:p>
        </w:tc>
        <w:tc>
          <w:tcPr>
            <w:tcW w:w="1683" w:type="dxa"/>
            <w:vAlign w:val="center"/>
          </w:tcPr>
          <w:p w:rsidR="00E57372" w:rsidRPr="004D7C36" w:rsidRDefault="00E57372" w:rsidP="007F74DA">
            <w:pPr>
              <w:spacing w:after="0"/>
              <w:ind w:left="57"/>
              <w:jc w:val="center"/>
              <w:rPr>
                <w:rFonts w:ascii="Times New Roman" w:hAnsi="Times New Roman" w:cs="Times New Roman"/>
                <w:color w:val="000000" w:themeColor="text1"/>
                <w:sz w:val="20"/>
                <w:szCs w:val="20"/>
              </w:rPr>
            </w:pPr>
            <w:r w:rsidRPr="004D7C36">
              <w:rPr>
                <w:rFonts w:ascii="Times New Roman" w:hAnsi="Times New Roman" w:cs="Times New Roman"/>
                <w:color w:val="000000" w:themeColor="text1"/>
                <w:sz w:val="20"/>
                <w:szCs w:val="20"/>
              </w:rPr>
              <w:t>C</w:t>
            </w:r>
          </w:p>
        </w:tc>
        <w:tc>
          <w:tcPr>
            <w:tcW w:w="3401" w:type="dxa"/>
            <w:vAlign w:val="center"/>
          </w:tcPr>
          <w:p w:rsidR="00E57372" w:rsidRPr="004D7C36" w:rsidRDefault="00E57372" w:rsidP="007F74DA">
            <w:pPr>
              <w:spacing w:after="0"/>
              <w:ind w:left="57"/>
              <w:jc w:val="center"/>
              <w:rPr>
                <w:rFonts w:ascii="Times New Roman" w:hAnsi="Times New Roman" w:cs="Times New Roman"/>
                <w:color w:val="000000" w:themeColor="text1"/>
                <w:sz w:val="20"/>
                <w:szCs w:val="20"/>
              </w:rPr>
            </w:pPr>
            <w:r w:rsidRPr="004D7C36">
              <w:rPr>
                <w:rFonts w:ascii="Times New Roman" w:hAnsi="Times New Roman" w:cs="Times New Roman"/>
                <w:color w:val="000000" w:themeColor="text1"/>
                <w:sz w:val="20"/>
                <w:szCs w:val="20"/>
              </w:rPr>
              <w:t>D</w:t>
            </w:r>
          </w:p>
        </w:tc>
      </w:tr>
      <w:tr w:rsidR="004D7C36" w:rsidRPr="004D7C36" w:rsidTr="00E524D1">
        <w:trPr>
          <w:trHeight w:val="284"/>
          <w:jc w:val="center"/>
        </w:trPr>
        <w:tc>
          <w:tcPr>
            <w:tcW w:w="1748" w:type="dxa"/>
            <w:gridSpan w:val="2"/>
          </w:tcPr>
          <w:p w:rsidR="00E57372" w:rsidRPr="004D7C36" w:rsidRDefault="00E57372" w:rsidP="007F74DA">
            <w:pPr>
              <w:spacing w:after="0"/>
              <w:jc w:val="center"/>
              <w:rPr>
                <w:rFonts w:ascii="Times New Roman" w:hAnsi="Times New Roman" w:cs="Times New Roman"/>
                <w:color w:val="000000" w:themeColor="text1"/>
                <w:spacing w:val="-3"/>
                <w:sz w:val="20"/>
                <w:szCs w:val="20"/>
              </w:rPr>
            </w:pPr>
            <w:r w:rsidRPr="004D7C36">
              <w:rPr>
                <w:rFonts w:ascii="Times New Roman" w:hAnsi="Times New Roman" w:cs="Times New Roman"/>
                <w:color w:val="000000" w:themeColor="text1"/>
                <w:spacing w:val="-3"/>
                <w:sz w:val="20"/>
                <w:szCs w:val="20"/>
              </w:rPr>
              <w:t>Attiecīgā ES tiesību akta panta numurs (uzskaitot katru tiesību akta vienību – pantu, daļu, punktu, apakšpunktu)</w:t>
            </w:r>
          </w:p>
        </w:tc>
        <w:tc>
          <w:tcPr>
            <w:tcW w:w="2807" w:type="dxa"/>
            <w:gridSpan w:val="2"/>
          </w:tcPr>
          <w:p w:rsidR="00E57372" w:rsidRPr="004D7C36" w:rsidRDefault="00E57372" w:rsidP="007F74DA">
            <w:pPr>
              <w:spacing w:after="0"/>
              <w:ind w:left="57"/>
              <w:jc w:val="center"/>
              <w:rPr>
                <w:rFonts w:ascii="Times New Roman" w:hAnsi="Times New Roman" w:cs="Times New Roman"/>
                <w:color w:val="000000" w:themeColor="text1"/>
                <w:spacing w:val="-3"/>
                <w:sz w:val="20"/>
                <w:szCs w:val="20"/>
              </w:rPr>
            </w:pPr>
            <w:r w:rsidRPr="004D7C36">
              <w:rPr>
                <w:rFonts w:ascii="Times New Roman" w:hAnsi="Times New Roman" w:cs="Times New Roman"/>
                <w:color w:val="000000" w:themeColor="text1"/>
                <w:spacing w:val="-3"/>
                <w:sz w:val="20"/>
                <w:szCs w:val="20"/>
              </w:rPr>
              <w:t>Projekta vienība, kas pārņem vai ievieš katru šīs tabulas A ailē minēto ES tiesību akta vienību, vai tiesību akts, kur attiecīgā ES tiesību akta vienība pārņemta vai ieviesta</w:t>
            </w:r>
          </w:p>
        </w:tc>
        <w:tc>
          <w:tcPr>
            <w:tcW w:w="1683" w:type="dxa"/>
          </w:tcPr>
          <w:p w:rsidR="00E57372" w:rsidRPr="004D7C36" w:rsidRDefault="00E57372" w:rsidP="007F74DA">
            <w:pPr>
              <w:spacing w:after="0"/>
              <w:ind w:left="57"/>
              <w:jc w:val="center"/>
              <w:rPr>
                <w:rFonts w:ascii="Times New Roman" w:hAnsi="Times New Roman" w:cs="Times New Roman"/>
                <w:color w:val="000000" w:themeColor="text1"/>
                <w:spacing w:val="-3"/>
                <w:sz w:val="20"/>
                <w:szCs w:val="20"/>
              </w:rPr>
            </w:pPr>
            <w:r w:rsidRPr="004D7C36">
              <w:rPr>
                <w:rFonts w:ascii="Times New Roman" w:hAnsi="Times New Roman" w:cs="Times New Roman"/>
                <w:color w:val="000000" w:themeColor="text1"/>
                <w:spacing w:val="-3"/>
                <w:sz w:val="20"/>
                <w:szCs w:val="20"/>
              </w:rPr>
              <w:t>Informācija par to, vai šīs tabulas A ailē minētās ES tiesību akta vienības tiek pārņemtas vai ieviestas pilnībā vai daļēji.</w:t>
            </w:r>
          </w:p>
          <w:p w:rsidR="00E57372" w:rsidRPr="004D7C36" w:rsidRDefault="00E57372" w:rsidP="007F74DA">
            <w:pPr>
              <w:spacing w:after="0"/>
              <w:ind w:left="57"/>
              <w:jc w:val="center"/>
              <w:rPr>
                <w:rFonts w:ascii="Times New Roman" w:hAnsi="Times New Roman" w:cs="Times New Roman"/>
                <w:color w:val="000000" w:themeColor="text1"/>
                <w:spacing w:val="-3"/>
                <w:sz w:val="20"/>
                <w:szCs w:val="20"/>
              </w:rPr>
            </w:pPr>
            <w:r w:rsidRPr="004D7C36">
              <w:rPr>
                <w:rFonts w:ascii="Times New Roman" w:hAnsi="Times New Roman" w:cs="Times New Roman"/>
                <w:color w:val="000000" w:themeColor="text1"/>
                <w:spacing w:val="-3"/>
                <w:sz w:val="20"/>
                <w:szCs w:val="20"/>
              </w:rPr>
              <w:t>Ja attiecīgā ES tiesību akta vienība tiek pārņemta vai ieviesta daļēji, sniedz attiecīgu skaidrojumu, kā arī precīzi norāda, kad un kādā veidā ES tiesību akta vienība tiks pārņemta vai ieviesta pilnībā.</w:t>
            </w:r>
          </w:p>
          <w:p w:rsidR="00E57372" w:rsidRPr="004D7C36" w:rsidRDefault="00E57372" w:rsidP="007F74DA">
            <w:pPr>
              <w:spacing w:after="0"/>
              <w:ind w:left="57"/>
              <w:jc w:val="center"/>
              <w:rPr>
                <w:rFonts w:ascii="Times New Roman" w:hAnsi="Times New Roman" w:cs="Times New Roman"/>
                <w:color w:val="000000" w:themeColor="text1"/>
                <w:spacing w:val="-3"/>
                <w:sz w:val="20"/>
                <w:szCs w:val="20"/>
              </w:rPr>
            </w:pPr>
            <w:r w:rsidRPr="004D7C36">
              <w:rPr>
                <w:rFonts w:ascii="Times New Roman" w:hAnsi="Times New Roman" w:cs="Times New Roman"/>
                <w:color w:val="000000" w:themeColor="text1"/>
                <w:spacing w:val="-3"/>
                <w:sz w:val="20"/>
                <w:szCs w:val="20"/>
              </w:rPr>
              <w:t>Norāda institūciju, kas ir atbildīga par šo saistību izpildi pilnībā</w:t>
            </w:r>
          </w:p>
        </w:tc>
        <w:tc>
          <w:tcPr>
            <w:tcW w:w="3401" w:type="dxa"/>
          </w:tcPr>
          <w:p w:rsidR="00E57372" w:rsidRPr="004D7C36" w:rsidRDefault="00E57372" w:rsidP="007F74DA">
            <w:pPr>
              <w:spacing w:after="0"/>
              <w:ind w:left="57"/>
              <w:jc w:val="center"/>
              <w:rPr>
                <w:rFonts w:ascii="Times New Roman" w:hAnsi="Times New Roman" w:cs="Times New Roman"/>
                <w:color w:val="000000" w:themeColor="text1"/>
                <w:sz w:val="20"/>
                <w:szCs w:val="20"/>
              </w:rPr>
            </w:pPr>
            <w:r w:rsidRPr="004D7C36">
              <w:rPr>
                <w:rFonts w:ascii="Times New Roman" w:hAnsi="Times New Roman" w:cs="Times New Roman"/>
                <w:color w:val="000000" w:themeColor="text1"/>
                <w:spacing w:val="-3"/>
                <w:sz w:val="20"/>
                <w:szCs w:val="20"/>
              </w:rPr>
              <w:t xml:space="preserve">Informācija par to, vai šīs </w:t>
            </w:r>
            <w:r w:rsidRPr="004D7C36">
              <w:rPr>
                <w:rFonts w:ascii="Times New Roman" w:hAnsi="Times New Roman" w:cs="Times New Roman"/>
                <w:color w:val="000000" w:themeColor="text1"/>
                <w:sz w:val="20"/>
                <w:szCs w:val="20"/>
              </w:rPr>
              <w:t>tabulas B ailē minētās projekta vienības paredz stingrākas prasības nekā šīs tabulas A ailē minētās ES tiesību akta vienības.</w:t>
            </w:r>
          </w:p>
          <w:p w:rsidR="00E57372" w:rsidRPr="004D7C36" w:rsidRDefault="00E57372" w:rsidP="007F74DA">
            <w:pPr>
              <w:spacing w:after="0"/>
              <w:ind w:left="57"/>
              <w:jc w:val="center"/>
              <w:rPr>
                <w:rFonts w:ascii="Times New Roman" w:hAnsi="Times New Roman" w:cs="Times New Roman"/>
                <w:color w:val="000000" w:themeColor="text1"/>
                <w:sz w:val="20"/>
                <w:szCs w:val="20"/>
              </w:rPr>
            </w:pPr>
            <w:r w:rsidRPr="004D7C36">
              <w:rPr>
                <w:rFonts w:ascii="Times New Roman" w:hAnsi="Times New Roman" w:cs="Times New Roman"/>
                <w:color w:val="000000" w:themeColor="text1"/>
                <w:sz w:val="20"/>
                <w:szCs w:val="20"/>
              </w:rPr>
              <w:t>Ja projekts satur stingrākas prasības nekā attiecīgais ES tiesību akts, norāda pamatojumu un samērīgumu.</w:t>
            </w:r>
          </w:p>
          <w:p w:rsidR="00E57372" w:rsidRPr="004D7C36" w:rsidRDefault="00E57372" w:rsidP="007F74DA">
            <w:pPr>
              <w:spacing w:after="0"/>
              <w:ind w:left="57"/>
              <w:jc w:val="center"/>
              <w:rPr>
                <w:rFonts w:ascii="Times New Roman" w:hAnsi="Times New Roman" w:cs="Times New Roman"/>
                <w:color w:val="000000" w:themeColor="text1"/>
                <w:spacing w:val="-3"/>
                <w:sz w:val="20"/>
                <w:szCs w:val="20"/>
              </w:rPr>
            </w:pPr>
            <w:r w:rsidRPr="004D7C36">
              <w:rPr>
                <w:rFonts w:ascii="Times New Roman" w:hAnsi="Times New Roman" w:cs="Times New Roman"/>
                <w:color w:val="000000" w:themeColor="text1"/>
                <w:sz w:val="20"/>
                <w:szCs w:val="20"/>
              </w:rPr>
              <w:t>Norāda iespējamās alternatīvas (t.sk. alternatīvas, kas neparedz tiesiskā regulējuma izstrādi) – kādos gadījumos būtu iespējams izvairīties no stingrāku prasību</w:t>
            </w:r>
            <w:r w:rsidRPr="004D7C36">
              <w:rPr>
                <w:rFonts w:ascii="Times New Roman" w:hAnsi="Times New Roman" w:cs="Times New Roman"/>
                <w:color w:val="000000" w:themeColor="text1"/>
                <w:spacing w:val="-3"/>
                <w:sz w:val="20"/>
                <w:szCs w:val="20"/>
              </w:rPr>
              <w:t xml:space="preserve"> noteikšanas, nekā paredzēts attiecīgajos ES tiesību aktos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3.panta a)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3.</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3.panta b)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3.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3.panta c)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10.</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3.panta d)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19.panta piektajā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3.panta e)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24.</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pirmajā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3.panta f)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5.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3.panta g)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5.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3.panta h)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 xml:space="preserve">2 </w:t>
            </w:r>
            <w:r w:rsidRPr="0034370D">
              <w:rPr>
                <w:rFonts w:ascii="Times New Roman" w:hAnsi="Times New Roman" w:cs="Times New Roman"/>
                <w:color w:val="000000" w:themeColor="text1"/>
              </w:rPr>
              <w:t>panta ceturtajā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3.panta i)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2.panta 9.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3.panta j)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3.1punktā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4.pants</w:t>
            </w:r>
          </w:p>
          <w:p w:rsidR="00E57372" w:rsidRPr="0034370D" w:rsidRDefault="00E57372" w:rsidP="007F74DA">
            <w:pPr>
              <w:spacing w:after="0"/>
              <w:jc w:val="left"/>
              <w:rPr>
                <w:rFonts w:ascii="Times New Roman" w:hAnsi="Times New Roman" w:cs="Times New Roman"/>
                <w:color w:val="000000" w:themeColor="text1"/>
              </w:rPr>
            </w:pP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 piektajā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5.pant</w:t>
            </w:r>
            <w:r w:rsidR="00660684">
              <w:rPr>
                <w:rFonts w:ascii="Times New Roman" w:hAnsi="Times New Roman" w:cs="Times New Roman"/>
                <w:iCs/>
                <w:color w:val="000000" w:themeColor="text1"/>
              </w:rPr>
              <w:t>a pirmā rindkopas a) apakšpunkts</w:t>
            </w:r>
          </w:p>
        </w:tc>
        <w:tc>
          <w:tcPr>
            <w:tcW w:w="2807" w:type="dxa"/>
            <w:gridSpan w:val="2"/>
            <w:vAlign w:val="center"/>
          </w:tcPr>
          <w:p w:rsidR="00660684"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 otr</w:t>
            </w:r>
            <w:r w:rsidR="00660684">
              <w:rPr>
                <w:rFonts w:ascii="Times New Roman" w:hAnsi="Times New Roman" w:cs="Times New Roman"/>
                <w:color w:val="000000" w:themeColor="text1"/>
              </w:rPr>
              <w:t>ās daļas 1.punkts;</w:t>
            </w:r>
          </w:p>
          <w:p w:rsidR="00E57372" w:rsidRPr="0034370D" w:rsidRDefault="00660684" w:rsidP="00660684">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Nr.769 4.punktā ir noteikts, ka operators sagatavo iesniegumu atļaujas saņemšanai, izmantojot noteikumu Nr.769 1.pielikumā iekļauto veidlapu (noteikumu projekta 20.punkts) – B sadaļas 1.punkts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165328" w:rsidRPr="0034370D" w:rsidTr="00E524D1">
        <w:trPr>
          <w:trHeight w:val="284"/>
          <w:jc w:val="center"/>
        </w:trPr>
        <w:tc>
          <w:tcPr>
            <w:tcW w:w="1748" w:type="dxa"/>
            <w:gridSpan w:val="2"/>
            <w:vAlign w:val="center"/>
          </w:tcPr>
          <w:p w:rsidR="00165328" w:rsidRPr="0034370D" w:rsidRDefault="00165328" w:rsidP="00660684">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5.pant</w:t>
            </w:r>
            <w:r>
              <w:rPr>
                <w:rFonts w:ascii="Times New Roman" w:hAnsi="Times New Roman" w:cs="Times New Roman"/>
                <w:iCs/>
                <w:color w:val="000000" w:themeColor="text1"/>
              </w:rPr>
              <w:t>a pirmā rindkopas b) apakšpunkts</w:t>
            </w:r>
          </w:p>
        </w:tc>
        <w:tc>
          <w:tcPr>
            <w:tcW w:w="2807" w:type="dxa"/>
            <w:gridSpan w:val="2"/>
            <w:vAlign w:val="center"/>
          </w:tcPr>
          <w:p w:rsidR="00165328" w:rsidRDefault="00165328" w:rsidP="00660684">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 otr</w:t>
            </w:r>
            <w:r>
              <w:rPr>
                <w:rFonts w:ascii="Times New Roman" w:hAnsi="Times New Roman" w:cs="Times New Roman"/>
                <w:color w:val="000000" w:themeColor="text1"/>
              </w:rPr>
              <w:t>ās daļas 2.punkts;</w:t>
            </w:r>
          </w:p>
          <w:p w:rsidR="00165328" w:rsidRPr="0034370D" w:rsidRDefault="00165328" w:rsidP="007F74DA">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20.punktā iekļautās iesnieguma atļaujas saņemšanai veidlapas B sadaļas 2.punkts</w:t>
            </w:r>
          </w:p>
        </w:tc>
        <w:tc>
          <w:tcPr>
            <w:tcW w:w="1683" w:type="dxa"/>
            <w:vAlign w:val="center"/>
          </w:tcPr>
          <w:p w:rsidR="00165328" w:rsidRPr="0034370D" w:rsidRDefault="00165328"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165328" w:rsidRPr="0034370D" w:rsidRDefault="00165328" w:rsidP="007F74DA">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165328" w:rsidRPr="0034370D" w:rsidTr="00E524D1">
        <w:trPr>
          <w:trHeight w:val="284"/>
          <w:jc w:val="center"/>
        </w:trPr>
        <w:tc>
          <w:tcPr>
            <w:tcW w:w="1748" w:type="dxa"/>
            <w:gridSpan w:val="2"/>
            <w:vAlign w:val="center"/>
          </w:tcPr>
          <w:p w:rsidR="00165328" w:rsidRPr="0034370D" w:rsidRDefault="00165328" w:rsidP="00165328">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5.pant</w:t>
            </w:r>
            <w:r>
              <w:rPr>
                <w:rFonts w:ascii="Times New Roman" w:hAnsi="Times New Roman" w:cs="Times New Roman"/>
                <w:iCs/>
                <w:color w:val="000000" w:themeColor="text1"/>
              </w:rPr>
              <w:t>a pirmā rindkopas c) apakšpunkts</w:t>
            </w:r>
          </w:p>
        </w:tc>
        <w:tc>
          <w:tcPr>
            <w:tcW w:w="2807" w:type="dxa"/>
            <w:gridSpan w:val="2"/>
            <w:vAlign w:val="center"/>
          </w:tcPr>
          <w:p w:rsidR="00165328" w:rsidRDefault="00165328" w:rsidP="00165328">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 otr</w:t>
            </w:r>
            <w:r>
              <w:rPr>
                <w:rFonts w:ascii="Times New Roman" w:hAnsi="Times New Roman" w:cs="Times New Roman"/>
                <w:color w:val="000000" w:themeColor="text1"/>
              </w:rPr>
              <w:t>ās daļas 3.punkts;</w:t>
            </w:r>
          </w:p>
          <w:p w:rsidR="00165328" w:rsidRPr="0034370D" w:rsidRDefault="00165328" w:rsidP="00165328">
            <w:pPr>
              <w:spacing w:after="0"/>
              <w:jc w:val="left"/>
              <w:rPr>
                <w:rFonts w:ascii="Times New Roman" w:hAnsi="Times New Roman" w:cs="Times New Roman"/>
                <w:color w:val="000000" w:themeColor="text1"/>
              </w:rPr>
            </w:pPr>
            <w:r>
              <w:rPr>
                <w:rFonts w:ascii="Times New Roman" w:hAnsi="Times New Roman" w:cs="Times New Roman"/>
                <w:color w:val="000000" w:themeColor="text1"/>
              </w:rPr>
              <w:lastRenderedPageBreak/>
              <w:t>noteikumu projekta 20.punktā iekļautās iesnieguma atļaujas saņemšanai veidlapas B sadaļas 3.punkts</w:t>
            </w:r>
          </w:p>
        </w:tc>
        <w:tc>
          <w:tcPr>
            <w:tcW w:w="1683" w:type="dxa"/>
            <w:vAlign w:val="center"/>
          </w:tcPr>
          <w:p w:rsidR="00165328" w:rsidRPr="0034370D" w:rsidRDefault="00165328"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pārņemts pilnībā</w:t>
            </w:r>
          </w:p>
        </w:tc>
        <w:tc>
          <w:tcPr>
            <w:tcW w:w="3401" w:type="dxa"/>
            <w:vAlign w:val="center"/>
          </w:tcPr>
          <w:p w:rsidR="00165328" w:rsidRPr="0034370D" w:rsidRDefault="00165328" w:rsidP="007F74DA">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165328" w:rsidRPr="0034370D" w:rsidTr="00E524D1">
        <w:trPr>
          <w:trHeight w:val="284"/>
          <w:jc w:val="center"/>
        </w:trPr>
        <w:tc>
          <w:tcPr>
            <w:tcW w:w="1748" w:type="dxa"/>
            <w:gridSpan w:val="2"/>
            <w:vAlign w:val="center"/>
          </w:tcPr>
          <w:p w:rsidR="00165328" w:rsidRPr="0034370D" w:rsidRDefault="00165328"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lastRenderedPageBreak/>
              <w:t>5.pant</w:t>
            </w:r>
            <w:r>
              <w:rPr>
                <w:rFonts w:ascii="Times New Roman" w:hAnsi="Times New Roman" w:cs="Times New Roman"/>
                <w:iCs/>
                <w:color w:val="000000" w:themeColor="text1"/>
              </w:rPr>
              <w:t>a pirmā rindkopas d) apakšpunkts</w:t>
            </w:r>
          </w:p>
        </w:tc>
        <w:tc>
          <w:tcPr>
            <w:tcW w:w="2807" w:type="dxa"/>
            <w:gridSpan w:val="2"/>
            <w:vAlign w:val="center"/>
          </w:tcPr>
          <w:p w:rsidR="00165328" w:rsidRDefault="00165328" w:rsidP="00165328">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 otr</w:t>
            </w:r>
            <w:r>
              <w:rPr>
                <w:rFonts w:ascii="Times New Roman" w:hAnsi="Times New Roman" w:cs="Times New Roman"/>
                <w:color w:val="000000" w:themeColor="text1"/>
              </w:rPr>
              <w:t>ās daļas 4.punkts;</w:t>
            </w:r>
          </w:p>
          <w:p w:rsidR="00165328" w:rsidRPr="0034370D" w:rsidRDefault="00165328" w:rsidP="00165328">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20.punktā iekļautās iesnieguma atļaujas saņemšanai veidlapas B sadaļas 5.punkts</w:t>
            </w:r>
          </w:p>
        </w:tc>
        <w:tc>
          <w:tcPr>
            <w:tcW w:w="1683" w:type="dxa"/>
            <w:vAlign w:val="center"/>
          </w:tcPr>
          <w:p w:rsidR="00165328" w:rsidRPr="0034370D" w:rsidRDefault="00165328"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165328" w:rsidRPr="0034370D" w:rsidRDefault="00165328" w:rsidP="007F74DA">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165328" w:rsidRPr="0034370D" w:rsidTr="00E524D1">
        <w:trPr>
          <w:trHeight w:val="284"/>
          <w:jc w:val="center"/>
        </w:trPr>
        <w:tc>
          <w:tcPr>
            <w:tcW w:w="1748" w:type="dxa"/>
            <w:gridSpan w:val="2"/>
            <w:vAlign w:val="center"/>
          </w:tcPr>
          <w:p w:rsidR="00165328" w:rsidRPr="0034370D" w:rsidRDefault="00165328"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5.pant</w:t>
            </w:r>
            <w:r>
              <w:rPr>
                <w:rFonts w:ascii="Times New Roman" w:hAnsi="Times New Roman" w:cs="Times New Roman"/>
                <w:iCs/>
                <w:color w:val="000000" w:themeColor="text1"/>
              </w:rPr>
              <w:t>a otrā rindkopa</w:t>
            </w:r>
          </w:p>
        </w:tc>
        <w:tc>
          <w:tcPr>
            <w:tcW w:w="2807" w:type="dxa"/>
            <w:gridSpan w:val="2"/>
            <w:vAlign w:val="center"/>
          </w:tcPr>
          <w:p w:rsidR="00165328" w:rsidRPr="0034370D" w:rsidRDefault="00165328" w:rsidP="00165328">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w:t>
            </w:r>
            <w:r>
              <w:rPr>
                <w:rFonts w:ascii="Times New Roman" w:hAnsi="Times New Roman" w:cs="Times New Roman"/>
                <w:color w:val="000000" w:themeColor="text1"/>
              </w:rPr>
              <w:t xml:space="preserve"> trešā daļa</w:t>
            </w:r>
          </w:p>
        </w:tc>
        <w:tc>
          <w:tcPr>
            <w:tcW w:w="1683" w:type="dxa"/>
            <w:vAlign w:val="center"/>
          </w:tcPr>
          <w:p w:rsidR="00165328" w:rsidRPr="0034370D" w:rsidRDefault="00165328"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165328" w:rsidRPr="0034370D" w:rsidRDefault="00165328" w:rsidP="007F74DA">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6.panta 1.punkta 1.rindkopa</w:t>
            </w:r>
          </w:p>
        </w:tc>
        <w:tc>
          <w:tcPr>
            <w:tcW w:w="2807" w:type="dxa"/>
            <w:gridSpan w:val="2"/>
            <w:vAlign w:val="center"/>
          </w:tcPr>
          <w:p w:rsidR="00165328" w:rsidRDefault="00165328" w:rsidP="00165328">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w:t>
            </w:r>
            <w:r>
              <w:rPr>
                <w:rFonts w:ascii="Times New Roman" w:hAnsi="Times New Roman" w:cs="Times New Roman"/>
                <w:color w:val="000000" w:themeColor="text1"/>
              </w:rPr>
              <w:t xml:space="preserve"> ceturtā daļa;</w:t>
            </w:r>
          </w:p>
          <w:p w:rsidR="00E57372" w:rsidRPr="0034370D" w:rsidRDefault="00165328" w:rsidP="00165328">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Nr.769 24.punkts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6.panta 1.punkta 2.rindkopa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24.</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pirmajā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6.panta 2.punkt</w:t>
            </w:r>
            <w:r w:rsidR="00165328">
              <w:rPr>
                <w:rFonts w:ascii="Times New Roman" w:hAnsi="Times New Roman" w:cs="Times New Roman"/>
                <w:color w:val="000000" w:themeColor="text1"/>
              </w:rPr>
              <w:t>a a) apakšpunkts</w:t>
            </w:r>
          </w:p>
        </w:tc>
        <w:tc>
          <w:tcPr>
            <w:tcW w:w="2807" w:type="dxa"/>
            <w:gridSpan w:val="2"/>
            <w:vAlign w:val="center"/>
          </w:tcPr>
          <w:p w:rsidR="00E57372" w:rsidRDefault="00165328" w:rsidP="007F74DA">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Nr.769 26.punktā ir noteiktas, ka pārvalde izsniedz atļauju atbilstoši noteikumu Nr.769 3.pielikumā norādītajai atļaujas veidlapai (noteikumu projekta 21.punkts);</w:t>
            </w:r>
          </w:p>
          <w:p w:rsidR="00165328" w:rsidRPr="0034370D" w:rsidRDefault="00165328" w:rsidP="007F74DA">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21.punktā iekļautās atļaujas veidlapas A sadaļas iedaļa „Operators”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18158A" w:rsidRPr="0034370D" w:rsidTr="00E524D1">
        <w:trPr>
          <w:trHeight w:val="284"/>
          <w:jc w:val="center"/>
        </w:trPr>
        <w:tc>
          <w:tcPr>
            <w:tcW w:w="1748" w:type="dxa"/>
            <w:gridSpan w:val="2"/>
            <w:vAlign w:val="center"/>
          </w:tcPr>
          <w:p w:rsidR="0018158A" w:rsidRPr="0034370D" w:rsidRDefault="0018158A" w:rsidP="007F74DA">
            <w:pPr>
              <w:spacing w:after="0"/>
              <w:jc w:val="left"/>
              <w:rPr>
                <w:rFonts w:ascii="Times New Roman" w:hAnsi="Times New Roman" w:cs="Times New Roman"/>
                <w:iCs/>
                <w:color w:val="000000" w:themeColor="text1"/>
              </w:rPr>
            </w:pPr>
            <w:r w:rsidRPr="0034370D">
              <w:rPr>
                <w:rFonts w:ascii="Times New Roman" w:hAnsi="Times New Roman" w:cs="Times New Roman"/>
                <w:color w:val="000000" w:themeColor="text1"/>
              </w:rPr>
              <w:t>6.panta 2.punkt</w:t>
            </w:r>
            <w:r>
              <w:rPr>
                <w:rFonts w:ascii="Times New Roman" w:hAnsi="Times New Roman" w:cs="Times New Roman"/>
                <w:color w:val="000000" w:themeColor="text1"/>
              </w:rPr>
              <w:t>a b) apakšpunkts</w:t>
            </w:r>
          </w:p>
        </w:tc>
        <w:tc>
          <w:tcPr>
            <w:tcW w:w="2807" w:type="dxa"/>
            <w:gridSpan w:val="2"/>
            <w:vAlign w:val="center"/>
          </w:tcPr>
          <w:p w:rsidR="0018158A" w:rsidRPr="0034370D" w:rsidRDefault="0018158A" w:rsidP="00165328">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31.</w:t>
            </w:r>
            <w:r w:rsidRPr="0034370D">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panta pirmā daļa;</w:t>
            </w:r>
          </w:p>
          <w:p w:rsidR="0018158A" w:rsidRPr="0034370D" w:rsidRDefault="0018158A" w:rsidP="00165328">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21.punktā iekļautās atļaujas veidlapas B sadaļas 5.punkts</w:t>
            </w:r>
          </w:p>
        </w:tc>
        <w:tc>
          <w:tcPr>
            <w:tcW w:w="1683" w:type="dxa"/>
            <w:vAlign w:val="center"/>
          </w:tcPr>
          <w:p w:rsidR="0018158A" w:rsidRPr="0034370D" w:rsidRDefault="0018158A"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18158A" w:rsidRPr="0034370D" w:rsidRDefault="0018158A" w:rsidP="007F74DA">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18158A" w:rsidRPr="0034370D" w:rsidTr="00E524D1">
        <w:trPr>
          <w:trHeight w:val="284"/>
          <w:jc w:val="center"/>
        </w:trPr>
        <w:tc>
          <w:tcPr>
            <w:tcW w:w="1748" w:type="dxa"/>
            <w:gridSpan w:val="2"/>
            <w:vAlign w:val="center"/>
          </w:tcPr>
          <w:p w:rsidR="0018158A" w:rsidRPr="0034370D" w:rsidRDefault="0018158A" w:rsidP="00875362">
            <w:pPr>
              <w:spacing w:after="0"/>
              <w:jc w:val="left"/>
              <w:rPr>
                <w:rFonts w:ascii="Times New Roman" w:hAnsi="Times New Roman" w:cs="Times New Roman"/>
                <w:iCs/>
                <w:color w:val="000000" w:themeColor="text1"/>
              </w:rPr>
            </w:pPr>
            <w:r w:rsidRPr="0034370D">
              <w:rPr>
                <w:rFonts w:ascii="Times New Roman" w:hAnsi="Times New Roman" w:cs="Times New Roman"/>
                <w:color w:val="000000" w:themeColor="text1"/>
              </w:rPr>
              <w:t>6.panta 2.punkt</w:t>
            </w:r>
            <w:r>
              <w:rPr>
                <w:rFonts w:ascii="Times New Roman" w:hAnsi="Times New Roman" w:cs="Times New Roman"/>
                <w:color w:val="000000" w:themeColor="text1"/>
              </w:rPr>
              <w:t>a c) apakšpunkt</w:t>
            </w:r>
            <w:r w:rsidR="00875362">
              <w:rPr>
                <w:rFonts w:ascii="Times New Roman" w:hAnsi="Times New Roman" w:cs="Times New Roman"/>
                <w:color w:val="000000" w:themeColor="text1"/>
              </w:rPr>
              <w:t>s</w:t>
            </w:r>
          </w:p>
        </w:tc>
        <w:tc>
          <w:tcPr>
            <w:tcW w:w="2807" w:type="dxa"/>
            <w:gridSpan w:val="2"/>
            <w:vAlign w:val="center"/>
          </w:tcPr>
          <w:p w:rsidR="0018158A" w:rsidRDefault="0018158A" w:rsidP="008B16AB">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31.</w:t>
            </w:r>
            <w:r w:rsidRPr="0034370D">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panta otrā daļa;</w:t>
            </w:r>
          </w:p>
          <w:p w:rsidR="0018158A" w:rsidRPr="0034370D" w:rsidRDefault="0018158A" w:rsidP="008B16AB">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21.punktā iekļautās atļaujas veidlapas nodaļa „Pielikumi” 19.punkts</w:t>
            </w:r>
          </w:p>
        </w:tc>
        <w:tc>
          <w:tcPr>
            <w:tcW w:w="1683" w:type="dxa"/>
            <w:vAlign w:val="center"/>
          </w:tcPr>
          <w:p w:rsidR="0018158A" w:rsidRPr="0034370D" w:rsidRDefault="0018158A"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18158A" w:rsidRPr="0034370D" w:rsidRDefault="0018158A" w:rsidP="008B16AB">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5804F8" w:rsidRPr="0034370D" w:rsidTr="00E524D1">
        <w:trPr>
          <w:trHeight w:val="284"/>
          <w:jc w:val="center"/>
        </w:trPr>
        <w:tc>
          <w:tcPr>
            <w:tcW w:w="1748" w:type="dxa"/>
            <w:gridSpan w:val="2"/>
            <w:vAlign w:val="center"/>
          </w:tcPr>
          <w:p w:rsidR="005804F8" w:rsidRPr="0034370D" w:rsidRDefault="005804F8" w:rsidP="007F74DA">
            <w:pPr>
              <w:spacing w:after="0"/>
              <w:jc w:val="left"/>
              <w:rPr>
                <w:rFonts w:ascii="Times New Roman" w:hAnsi="Times New Roman" w:cs="Times New Roman"/>
                <w:iCs/>
                <w:color w:val="000000" w:themeColor="text1"/>
              </w:rPr>
            </w:pPr>
            <w:r w:rsidRPr="0034370D">
              <w:rPr>
                <w:rFonts w:ascii="Times New Roman" w:hAnsi="Times New Roman" w:cs="Times New Roman"/>
                <w:color w:val="000000" w:themeColor="text1"/>
              </w:rPr>
              <w:t>6.panta 2.punkt</w:t>
            </w:r>
            <w:r>
              <w:rPr>
                <w:rFonts w:ascii="Times New Roman" w:hAnsi="Times New Roman" w:cs="Times New Roman"/>
                <w:color w:val="000000" w:themeColor="text1"/>
              </w:rPr>
              <w:t>a d) apakšpunkts</w:t>
            </w:r>
          </w:p>
        </w:tc>
        <w:tc>
          <w:tcPr>
            <w:tcW w:w="2807" w:type="dxa"/>
            <w:gridSpan w:val="2"/>
            <w:vAlign w:val="center"/>
          </w:tcPr>
          <w:p w:rsidR="005804F8" w:rsidRDefault="005804F8" w:rsidP="005804F8">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31.</w:t>
            </w:r>
            <w:r w:rsidRPr="0034370D">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panta ceturtā daļa;</w:t>
            </w:r>
          </w:p>
          <w:p w:rsidR="005804F8" w:rsidRPr="0034370D" w:rsidRDefault="005804F8" w:rsidP="005804F8">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21.punktā iekļautās atļaujas veidlapas D sadaļas 15.punkts</w:t>
            </w:r>
          </w:p>
        </w:tc>
        <w:tc>
          <w:tcPr>
            <w:tcW w:w="1683" w:type="dxa"/>
            <w:vAlign w:val="center"/>
          </w:tcPr>
          <w:p w:rsidR="005804F8" w:rsidRPr="0034370D" w:rsidRDefault="005804F8"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5804F8" w:rsidRPr="0034370D" w:rsidRDefault="005804F8" w:rsidP="007F74DA">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5804F8" w:rsidRPr="0034370D" w:rsidTr="00E524D1">
        <w:trPr>
          <w:trHeight w:val="284"/>
          <w:jc w:val="center"/>
        </w:trPr>
        <w:tc>
          <w:tcPr>
            <w:tcW w:w="1748" w:type="dxa"/>
            <w:gridSpan w:val="2"/>
            <w:vAlign w:val="center"/>
          </w:tcPr>
          <w:p w:rsidR="005804F8" w:rsidRPr="0034370D" w:rsidRDefault="005804F8" w:rsidP="007F74DA">
            <w:pPr>
              <w:spacing w:after="0"/>
              <w:jc w:val="left"/>
              <w:rPr>
                <w:rFonts w:ascii="Times New Roman" w:hAnsi="Times New Roman" w:cs="Times New Roman"/>
                <w:iCs/>
                <w:color w:val="000000" w:themeColor="text1"/>
              </w:rPr>
            </w:pPr>
            <w:r w:rsidRPr="0034370D">
              <w:rPr>
                <w:rFonts w:ascii="Times New Roman" w:hAnsi="Times New Roman" w:cs="Times New Roman"/>
                <w:color w:val="000000" w:themeColor="text1"/>
              </w:rPr>
              <w:t>6.panta 2.punkt</w:t>
            </w:r>
            <w:r>
              <w:rPr>
                <w:rFonts w:ascii="Times New Roman" w:hAnsi="Times New Roman" w:cs="Times New Roman"/>
                <w:color w:val="000000" w:themeColor="text1"/>
              </w:rPr>
              <w:t>a e) apakšpunkts</w:t>
            </w:r>
          </w:p>
        </w:tc>
        <w:tc>
          <w:tcPr>
            <w:tcW w:w="2807" w:type="dxa"/>
            <w:gridSpan w:val="2"/>
            <w:vAlign w:val="center"/>
          </w:tcPr>
          <w:p w:rsidR="005804F8" w:rsidRDefault="005804F8" w:rsidP="000C3F9F">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31.</w:t>
            </w:r>
            <w:r w:rsidRPr="0034370D">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panta piektā daļa;</w:t>
            </w:r>
          </w:p>
          <w:p w:rsidR="005804F8" w:rsidRPr="0034370D" w:rsidRDefault="005804F8" w:rsidP="005804F8">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21.punktā iekļautās atļaujas veidlapas D sadaļas 16.punkts</w:t>
            </w:r>
          </w:p>
        </w:tc>
        <w:tc>
          <w:tcPr>
            <w:tcW w:w="1683" w:type="dxa"/>
            <w:vAlign w:val="center"/>
          </w:tcPr>
          <w:p w:rsidR="005804F8" w:rsidRPr="0034370D" w:rsidRDefault="005804F8"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5804F8" w:rsidRPr="0034370D" w:rsidRDefault="005804F8" w:rsidP="007F74DA">
            <w:pPr>
              <w:pStyle w:val="naisc"/>
              <w:spacing w:before="0" w:after="0"/>
              <w:jc w:val="left"/>
              <w:rPr>
                <w:color w:val="000000" w:themeColor="text1"/>
                <w:sz w:val="22"/>
                <w:szCs w:val="22"/>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7.panta 1.teikums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projekta 5.punkts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iCs/>
                <w:color w:val="000000" w:themeColor="text1"/>
              </w:rPr>
              <w:t>7.panta 2.teikums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35.punkts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iCs/>
                <w:color w:val="000000" w:themeColor="text1"/>
              </w:rPr>
              <w:t>7.panta 3.teikums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40.punkts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8.pants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17.punkts</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Ministru kabineta 2010.gada 30.novembra noteikumu Nr.1082 „Kārtība, kādā piesakāmas A, B un C kategorijas piesārņojošas darbības un izsniedzamas atļaujas A un B kategorijas piesārņojošo darbību veikšanai” 9.punkts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9.pants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pirmajā, otrajā, trešajā, ceturtajā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10.pants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trešajā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11.panta 1., 2.,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pirmajā daļā un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pirmajā un piektajā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11.panta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sestajā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12.panta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piektajā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12.panta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septītajā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12.panta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pirmajā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12.panta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sestajā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13.panta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otrajā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13.panta 2.,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ceturtajā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14.panta 2.,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attiecas uz iepriekšējo emisijas kvotu tirdzniecības sistēmas periodu, kas beidzas 2012.gada 31.decembrī</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15.panta pirmā 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3.2.apakšnodaļa, 74.2.apakšpunkts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15.panta 2.rindkopa</w:t>
            </w:r>
          </w:p>
        </w:tc>
        <w:tc>
          <w:tcPr>
            <w:tcW w:w="2807" w:type="dxa"/>
            <w:gridSpan w:val="2"/>
            <w:vAlign w:val="center"/>
          </w:tcPr>
          <w:p w:rsidR="00E57372" w:rsidRPr="0034370D" w:rsidRDefault="009846E7" w:rsidP="009846E7">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noteikumu Nr.769 </w:t>
            </w:r>
            <w:r>
              <w:rPr>
                <w:rFonts w:ascii="Times New Roman" w:hAnsi="Times New Roman" w:cs="Times New Roman"/>
                <w:color w:val="000000" w:themeColor="text1"/>
              </w:rPr>
              <w:t>85.</w:t>
            </w:r>
            <w:r w:rsidRPr="0034370D">
              <w:rPr>
                <w:rFonts w:ascii="Times New Roman" w:hAnsi="Times New Roman" w:cs="Times New Roman"/>
                <w:color w:val="000000" w:themeColor="text1"/>
              </w:rPr>
              <w:t>2.apakš</w:t>
            </w:r>
            <w:r>
              <w:rPr>
                <w:rFonts w:ascii="Times New Roman" w:hAnsi="Times New Roman" w:cs="Times New Roman"/>
                <w:color w:val="000000" w:themeColor="text1"/>
              </w:rPr>
              <w:t>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16.panta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83.punkts</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Administratīvo pārkāpumu kodeksa 84.pants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 xml:space="preserve">Netiek pārņemts, paredzot stingrākas </w:t>
            </w:r>
            <w:r w:rsidRPr="0034370D">
              <w:rPr>
                <w:color w:val="000000" w:themeColor="text1"/>
                <w:sz w:val="22"/>
                <w:szCs w:val="22"/>
              </w:rPr>
              <w:lastRenderedPageBreak/>
              <w:t>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16.panta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31.</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otrajā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16.panta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31.</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trešajā daļā un Dabas resursu nodokļa likuma 17.pantā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16.panta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attiecas uz iepriekšējo emisijas kvotu tirdzniecības sistēmas periodu, kas beidzas 2008.gada 31.decembrī</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17.pants</w:t>
            </w:r>
          </w:p>
        </w:tc>
        <w:tc>
          <w:tcPr>
            <w:tcW w:w="2807" w:type="dxa"/>
            <w:gridSpan w:val="2"/>
            <w:vAlign w:val="center"/>
          </w:tcPr>
          <w:p w:rsidR="0074752B" w:rsidRDefault="0074752B" w:rsidP="00955789">
            <w:pPr>
              <w:spacing w:after="0"/>
              <w:jc w:val="left"/>
              <w:rPr>
                <w:rFonts w:ascii="Times New Roman" w:hAnsi="Times New Roman" w:cs="Times New Roman"/>
                <w:color w:val="000000" w:themeColor="text1"/>
              </w:rPr>
            </w:pPr>
            <w:r>
              <w:rPr>
                <w:rFonts w:ascii="Times New Roman" w:hAnsi="Times New Roman" w:cs="Times New Roman"/>
                <w:color w:val="000000" w:themeColor="text1"/>
              </w:rPr>
              <w:t>Likuma „Par piesārņojumu” 32.</w:t>
            </w:r>
            <w:r w:rsidR="00FF098F" w:rsidRPr="00FF098F">
              <w:rPr>
                <w:rFonts w:ascii="Times New Roman" w:hAnsi="Times New Roman" w:cs="Times New Roman"/>
                <w:color w:val="000000" w:themeColor="text1"/>
                <w:vertAlign w:val="superscript"/>
              </w:rPr>
              <w:t>7</w:t>
            </w:r>
            <w:r>
              <w:rPr>
                <w:rFonts w:ascii="Times New Roman" w:hAnsi="Times New Roman" w:cs="Times New Roman"/>
                <w:color w:val="000000" w:themeColor="text1"/>
              </w:rPr>
              <w:t xml:space="preserve"> panta trešā daļa;</w:t>
            </w:r>
          </w:p>
          <w:p w:rsidR="00E57372" w:rsidRDefault="00E57372" w:rsidP="00955789">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projekta 18.punkt</w:t>
            </w:r>
            <w:r w:rsidR="00955789">
              <w:rPr>
                <w:rFonts w:ascii="Times New Roman" w:hAnsi="Times New Roman" w:cs="Times New Roman"/>
                <w:color w:val="000000" w:themeColor="text1"/>
              </w:rPr>
              <w:t>ā izteiktais Noteikumu Nr.769 89.8.apakšpunkts – attiecībā uz ziņojumiem par emisijām;</w:t>
            </w:r>
          </w:p>
          <w:p w:rsidR="00955789" w:rsidRPr="0034370D" w:rsidRDefault="00955789" w:rsidP="00955789">
            <w:pPr>
              <w:spacing w:after="0"/>
              <w:jc w:val="left"/>
              <w:rPr>
                <w:rFonts w:ascii="Times New Roman" w:hAnsi="Times New Roman" w:cs="Times New Roman"/>
                <w:color w:val="000000" w:themeColor="text1"/>
              </w:rPr>
            </w:pPr>
            <w:r>
              <w:rPr>
                <w:rFonts w:ascii="Times New Roman" w:hAnsi="Times New Roman" w:cs="Times New Roman"/>
                <w:color w:val="000000" w:themeColor="text1"/>
              </w:rPr>
              <w:t xml:space="preserve">Ministru kabineta 26.02.2013. noteikumu Nr.112 </w:t>
            </w:r>
            <w:r w:rsidR="0074752B">
              <w:rPr>
                <w:rFonts w:ascii="Times New Roman" w:hAnsi="Times New Roman" w:cs="Times New Roman"/>
                <w:color w:val="000000" w:themeColor="text1"/>
              </w:rPr>
              <w:t xml:space="preserve">3.punkts un </w:t>
            </w:r>
            <w:r>
              <w:rPr>
                <w:rFonts w:ascii="Times New Roman" w:hAnsi="Times New Roman" w:cs="Times New Roman"/>
                <w:color w:val="000000" w:themeColor="text1"/>
              </w:rPr>
              <w:t>48.3.apakšpunkts – lēmumi attiecībā uz emisijas kvotu sadali</w:t>
            </w:r>
            <w:r w:rsidR="0074752B">
              <w:rPr>
                <w:rFonts w:ascii="Times New Roman" w:hAnsi="Times New Roman" w:cs="Times New Roman"/>
                <w:color w:val="000000" w:themeColor="text1"/>
              </w:rPr>
              <w:t xml:space="preserve"> un emisijas kvotu apjoma grozījumiem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18.pants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47., 49.pantā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19.panta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4</w:t>
            </w:r>
            <w:r w:rsidRPr="0034370D">
              <w:rPr>
                <w:rFonts w:ascii="Times New Roman" w:hAnsi="Times New Roman" w:cs="Times New Roman"/>
                <w:color w:val="000000" w:themeColor="text1"/>
              </w:rPr>
              <w:t xml:space="preserve"> panta pirmajā, otrajā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19.panta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piektajā, otrajā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19.panta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20.pants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21.panta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8</w:t>
            </w:r>
            <w:r w:rsidRPr="0034370D">
              <w:rPr>
                <w:rFonts w:ascii="Times New Roman" w:hAnsi="Times New Roman" w:cs="Times New Roman"/>
                <w:color w:val="000000" w:themeColor="text1"/>
              </w:rPr>
              <w:t xml:space="preserve"> panta pirmajā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21.panta 2.,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22.pants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23.pants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24.panta 1.,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24.</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trešajā daļā,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1.</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24.panta 3.,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25.pants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27.pants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attiecas uz laika periodu līdz 2007.gada 31.decembrim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28.pants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nav jāpārņem, jo attiecas uz </w:t>
            </w:r>
            <w:r w:rsidRPr="0034370D">
              <w:rPr>
                <w:rFonts w:ascii="Times New Roman" w:hAnsi="Times New Roman" w:cs="Times New Roman"/>
                <w:color w:val="000000" w:themeColor="text1"/>
              </w:rPr>
              <w:lastRenderedPageBreak/>
              <w:t>iepriekšējo emisijas kvotu tirdzniecības sistēmas periodu, kas beidzas 2012.gada 31.decembrī</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29.pants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attiecas uz iepriekšējo emisijas kvotu tirdzniecības sistēmas periodu, kas beidzas 2008.gada 31.decembrī</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30.pants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31.pants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attiecas uz laika periodu līdz 2003.gada 31.decembrim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 pielikums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2.pielikuma I.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II pielikums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10.</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III pielikums </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trešajā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 „Oglekļa dioksīda emisijas monitorings”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7.punkts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nodaļas „Aprēķināšana” 1.rindkopa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ar noteikumu projekta 8.punktu ir noteikts, ka operators emisiju monitoringa rezultātus norāda emisiju ziņojumā, kas sagatavots izmantojot vienotu 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nodaļas „Aprēķināšana” 2.rindkopa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ar noteikumu projekta 8.punktu ir noteikts, ka operators emisiju monitoringa rezultātus norāda emisiju ziņojumā, kas sagatavots izmantojot vienotu 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nodaļas „Aprēķināšana” 3.rindkopa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2.pielikuma IV.nodaļa, 2.pielikuma 22.punkts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IV pielikuma A </w:t>
            </w:r>
            <w:r w:rsidRPr="0034370D">
              <w:rPr>
                <w:rFonts w:ascii="Times New Roman" w:hAnsi="Times New Roman" w:cs="Times New Roman"/>
                <w:color w:val="000000" w:themeColor="text1"/>
              </w:rPr>
              <w:lastRenderedPageBreak/>
              <w:t>daļas nodaļas „Aprēķināšana” 4.rindkopa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 xml:space="preserve">noteikumu Nr.769 </w:t>
            </w:r>
            <w:r w:rsidRPr="0034370D">
              <w:rPr>
                <w:rFonts w:ascii="Times New Roman" w:hAnsi="Times New Roman" w:cs="Times New Roman"/>
                <w:color w:val="000000" w:themeColor="text1"/>
              </w:rPr>
              <w:lastRenderedPageBreak/>
              <w:t>2.pielikuma 16.punkts, Eiropas Komisijas izstrādātā emisiju ziņojumu veidlapa</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 xml:space="preserve">Netiek pārņemts paredzot stingrākas </w:t>
            </w:r>
            <w:r w:rsidRPr="0034370D">
              <w:rPr>
                <w:color w:val="000000" w:themeColor="text1"/>
                <w:sz w:val="22"/>
                <w:szCs w:val="22"/>
              </w:rPr>
              <w:lastRenderedPageBreak/>
              <w:t>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IV pielikuma A daļas nodaļas „Aprēķināšana” 5.rindkopa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2.pielikuma 16.punkts, Eiropas Komisijas izstrādātā emisiju ziņojumu veidlapa</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nodaļas „Aprēķināšana” 6.rindkopa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ar noteikumu projekta 8.punktu ir noteikts, ka operators emisiju monitoringa rezultātus norāda emisiju ziņojumā, kas sagatavots izmantojot vienotu 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 „Mērījumi”</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2.pielikuma VII nodaļa, Eiropas Komisijas izstrādātā emisiju ziņojumu veidlapa</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 „Citu siltumnīcas efekta izraisošo gāzu emisijas monitorings”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7.punkts, 47.1.apakšpunkts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nodaļas „Ziņošana” A.sadaļa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ar noteikumu projekta 8.punktu ir noteikts, ka operators emisiju monitoringa rezultātus norāda emisiju ziņojumā, kas sagatavots izmantojot vienotu 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nodaļas „Ziņošana” B.sadaļa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ar noteikumu projekta 8.punktu ir noteikts, ka operators emisiju monitoringa rezultātus norāda emisiju ziņojumā, kas sagatavots izmantojot vienotu 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A daļas nodaļas „Ziņošana” C.sadaļa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nav jāpārņem, jo ar noteikumu projekta 8.punktu ir noteikts, ka operators emisiju monitoringa rezultātus norāda emisiju ziņojumā, kas </w:t>
            </w:r>
            <w:r w:rsidRPr="0034370D">
              <w:rPr>
                <w:rFonts w:ascii="Times New Roman" w:hAnsi="Times New Roman" w:cs="Times New Roman"/>
                <w:color w:val="000000" w:themeColor="text1"/>
              </w:rPr>
              <w:lastRenderedPageBreak/>
              <w:t>sagatavots izmantojot vienotu 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IV pielikuma A daļas nodaļas „Ziņošana” D.sadaļa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ar noteikumu projekta 8.punktu ir noteikts, ka operators emisiju monitoringa rezultātus norāda emisiju ziņojumā, kas sagatavots izmantojot vienotu 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IV pielikuma B daļa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52.punkts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53.punkts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62.punkts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56.punkts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5.punkts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55.1.apakšpunkts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6.punkts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54.1.apakšpunkts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7.punkts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54.2.apakšpunkts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8, 9.punkts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54.3.apakšpunkts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10.punkts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55.2.apakšpunkts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11.punkts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61.punkts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V pielikuma 12.punkts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51., 52.punkts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590493">
        <w:trPr>
          <w:trHeight w:val="284"/>
          <w:jc w:val="center"/>
        </w:trPr>
        <w:tc>
          <w:tcPr>
            <w:tcW w:w="9639" w:type="dxa"/>
            <w:gridSpan w:val="6"/>
          </w:tcPr>
          <w:p w:rsidR="00E57372" w:rsidRPr="0034370D" w:rsidRDefault="00E57372" w:rsidP="007F74DA">
            <w:pPr>
              <w:autoSpaceDE w:val="0"/>
              <w:autoSpaceDN w:val="0"/>
              <w:adjustRightInd w:val="0"/>
              <w:spacing w:after="0"/>
              <w:ind w:firstLine="289"/>
              <w:jc w:val="left"/>
              <w:rPr>
                <w:rFonts w:ascii="Times New Roman" w:hAnsi="Times New Roman" w:cs="Times New Roman"/>
                <w:color w:val="000000" w:themeColor="text1"/>
                <w:shd w:val="clear" w:color="auto" w:fill="FFFFFF"/>
              </w:rPr>
            </w:pPr>
          </w:p>
        </w:tc>
      </w:tr>
      <w:tr w:rsidR="004D7C36" w:rsidRPr="0034370D" w:rsidTr="00590493">
        <w:trPr>
          <w:trHeight w:val="284"/>
          <w:jc w:val="center"/>
        </w:trPr>
        <w:tc>
          <w:tcPr>
            <w:tcW w:w="1748" w:type="dxa"/>
            <w:gridSpan w:val="2"/>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Attiecīgā Eiropas Savienības tiesību akta datums, numurs un nosaukums</w:t>
            </w:r>
          </w:p>
        </w:tc>
        <w:tc>
          <w:tcPr>
            <w:tcW w:w="7891" w:type="dxa"/>
            <w:gridSpan w:val="4"/>
          </w:tcPr>
          <w:p w:rsidR="00E57372" w:rsidRPr="0034370D" w:rsidRDefault="00E57372" w:rsidP="007F74DA">
            <w:pPr>
              <w:autoSpaceDE w:val="0"/>
              <w:autoSpaceDN w:val="0"/>
              <w:adjustRightInd w:val="0"/>
              <w:spacing w:after="0"/>
              <w:ind w:firstLine="289"/>
              <w:jc w:val="left"/>
              <w:rPr>
                <w:rFonts w:ascii="Times New Roman" w:hAnsi="Times New Roman" w:cs="Times New Roman"/>
                <w:color w:val="000000" w:themeColor="text1"/>
                <w:shd w:val="clear" w:color="auto" w:fill="FFFFFF"/>
              </w:rPr>
            </w:pPr>
            <w:r w:rsidRPr="0034370D">
              <w:rPr>
                <w:rFonts w:ascii="Times New Roman" w:hAnsi="Times New Roman" w:cs="Times New Roman"/>
                <w:color w:val="000000" w:themeColor="text1"/>
                <w:shd w:val="clear" w:color="auto" w:fill="FFFFFF"/>
              </w:rPr>
              <w:t>Eiropas Parlamenta un Padomes 2008.gada 19.novembra Direktīva 2008/101/EK, ar ko groza Direktīvu 2003/87/EK, lai aviācijas darbības iekļautu Kopienas siltumnīcas efektu izraisošo gāzu emisijas kvotu tirdzniecības sistēmā</w:t>
            </w:r>
          </w:p>
        </w:tc>
      </w:tr>
      <w:tr w:rsidR="004D7C36" w:rsidRPr="007F74DA" w:rsidTr="00E524D1">
        <w:trPr>
          <w:trHeight w:val="250"/>
          <w:jc w:val="center"/>
        </w:trPr>
        <w:tc>
          <w:tcPr>
            <w:tcW w:w="1748" w:type="dxa"/>
            <w:gridSpan w:val="2"/>
            <w:vAlign w:val="center"/>
          </w:tcPr>
          <w:p w:rsidR="00E57372" w:rsidRPr="007F74DA" w:rsidRDefault="00E57372" w:rsidP="007F74DA">
            <w:pPr>
              <w:spacing w:after="0"/>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A</w:t>
            </w:r>
          </w:p>
        </w:tc>
        <w:tc>
          <w:tcPr>
            <w:tcW w:w="2807" w:type="dxa"/>
            <w:gridSpan w:val="2"/>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B</w:t>
            </w:r>
          </w:p>
        </w:tc>
        <w:tc>
          <w:tcPr>
            <w:tcW w:w="1683" w:type="dxa"/>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C</w:t>
            </w:r>
          </w:p>
        </w:tc>
        <w:tc>
          <w:tcPr>
            <w:tcW w:w="3401" w:type="dxa"/>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D</w:t>
            </w:r>
          </w:p>
        </w:tc>
      </w:tr>
      <w:tr w:rsidR="004D7C36" w:rsidRPr="0034370D" w:rsidTr="00E524D1">
        <w:trPr>
          <w:trHeight w:val="284"/>
          <w:jc w:val="center"/>
        </w:trPr>
        <w:tc>
          <w:tcPr>
            <w:tcW w:w="1748" w:type="dxa"/>
            <w:gridSpan w:val="2"/>
          </w:tcPr>
          <w:p w:rsidR="00E57372" w:rsidRPr="0034370D" w:rsidRDefault="00E57372" w:rsidP="007F74DA">
            <w:pPr>
              <w:spacing w:after="0"/>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 xml:space="preserve">Attiecīgā ES tiesību akta panta numurs (uzskaitot katru tiesību akta vienību – pantu, </w:t>
            </w:r>
            <w:r w:rsidRPr="0034370D">
              <w:rPr>
                <w:rFonts w:ascii="Times New Roman" w:hAnsi="Times New Roman" w:cs="Times New Roman"/>
                <w:color w:val="000000" w:themeColor="text1"/>
                <w:spacing w:val="-3"/>
              </w:rPr>
              <w:lastRenderedPageBreak/>
              <w:t>daļu, punktu, apakšpunktu)</w:t>
            </w:r>
          </w:p>
        </w:tc>
        <w:tc>
          <w:tcPr>
            <w:tcW w:w="2807" w:type="dxa"/>
            <w:gridSpan w:val="2"/>
          </w:tcPr>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lastRenderedPageBreak/>
              <w:t>Projekta vienība, kas pārņem vai ievieš katru šīs tabulas A ailē minēto ES tiesību akta vienību, vai tiesību akts, kur attiecīgā ES tiesību akta vienība pārņemta vai ieviesta</w:t>
            </w:r>
          </w:p>
        </w:tc>
        <w:tc>
          <w:tcPr>
            <w:tcW w:w="1683" w:type="dxa"/>
          </w:tcPr>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 xml:space="preserve">Informācija par to, vai šīs tabulas A ailē minētās ES tiesību akta vienības tiek pārņemtas vai </w:t>
            </w:r>
            <w:r w:rsidRPr="0034370D">
              <w:rPr>
                <w:rFonts w:ascii="Times New Roman" w:hAnsi="Times New Roman" w:cs="Times New Roman"/>
                <w:color w:val="000000" w:themeColor="text1"/>
                <w:spacing w:val="-3"/>
              </w:rPr>
              <w:lastRenderedPageBreak/>
              <w:t>ieviestas pilnībā vai daļēji.</w:t>
            </w:r>
          </w:p>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Ja attiecīgā ES tiesību akta vienība tiek pārņemta vai ieviesta daļēji, sniedz attiecīgu skaidrojumu, kā arī precīzi norāda, kad un kādā veidā ES tiesību akta vienība tiks pārņemta vai ieviesta pilnībā.</w:t>
            </w:r>
          </w:p>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Norāda institūciju, kas ir atbildīga par šo saistību izpildi pilnībā</w:t>
            </w:r>
          </w:p>
        </w:tc>
        <w:tc>
          <w:tcPr>
            <w:tcW w:w="3401" w:type="dxa"/>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spacing w:val="-3"/>
              </w:rPr>
              <w:lastRenderedPageBreak/>
              <w:t xml:space="preserve">Informācija par to, vai šīs </w:t>
            </w:r>
            <w:r w:rsidRPr="0034370D">
              <w:rPr>
                <w:rFonts w:ascii="Times New Roman" w:hAnsi="Times New Roman" w:cs="Times New Roman"/>
                <w:color w:val="000000" w:themeColor="text1"/>
              </w:rPr>
              <w:t>tabulas B ailē minētās projekta vienības paredz stingrākas prasības nekā šīs tabulas A ailē minētās ES tiesību akta vienības.</w:t>
            </w:r>
          </w:p>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Ja projekts satur stingrākas prasības </w:t>
            </w:r>
            <w:r w:rsidRPr="0034370D">
              <w:rPr>
                <w:rFonts w:ascii="Times New Roman" w:hAnsi="Times New Roman" w:cs="Times New Roman"/>
                <w:color w:val="000000" w:themeColor="text1"/>
              </w:rPr>
              <w:lastRenderedPageBreak/>
              <w:t>nekā attiecīgais ES tiesību akts, norāda pamatojumu un samērīgumu.</w:t>
            </w:r>
          </w:p>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rPr>
              <w:t>Norāda iespējamās alternatīvas (t.sk. alternatīvas, kas neparedz tiesiskā regulējuma izstrādi) – kādos gadījumos būtu iespējams izvairīties no stingrāku prasību</w:t>
            </w:r>
            <w:r w:rsidRPr="0034370D">
              <w:rPr>
                <w:rFonts w:ascii="Times New Roman" w:hAnsi="Times New Roman" w:cs="Times New Roman"/>
                <w:color w:val="000000" w:themeColor="text1"/>
                <w:spacing w:val="-3"/>
              </w:rPr>
              <w:t xml:space="preserve"> noteikšanas, nekā paredzēts attiecīgajos ES tiesību aktos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3.punkta a) apakšpunktā izteiktais b)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3.punktā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3.punkta b) apakšpunktā izteiktais o)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3.</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 xml:space="preserve">3.punkta b) apakšpunktā izteiktais p) apakšpunkts </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3.</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 xml:space="preserve">3.punkta b) apakšpunktā izteiktais q) apakšpunkts </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3.</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tcBorders>
              <w:bottom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3.punkta b) apakšpunktā izteiktais r) apakšpunkts</w:t>
            </w:r>
          </w:p>
        </w:tc>
        <w:tc>
          <w:tcPr>
            <w:tcW w:w="2807" w:type="dxa"/>
            <w:gridSpan w:val="2"/>
            <w:tcBorders>
              <w:bottom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 panta 10.</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punktā</w:t>
            </w:r>
          </w:p>
        </w:tc>
        <w:tc>
          <w:tcPr>
            <w:tcW w:w="1683" w:type="dxa"/>
            <w:tcBorders>
              <w:bottom w:val="single" w:sz="4" w:space="0" w:color="auto"/>
            </w:tcBorders>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tcBorders>
              <w:bottom w:val="single" w:sz="4" w:space="0" w:color="auto"/>
            </w:tcBorders>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3.punkta </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s) apakšpunkts</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attiecas uz gaisa kuģu operatoriem </w:t>
            </w:r>
          </w:p>
        </w:tc>
        <w:tc>
          <w:tcPr>
            <w:tcW w:w="1683" w:type="dxa"/>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p>
        </w:tc>
        <w:tc>
          <w:tcPr>
            <w:tcW w:w="3401" w:type="dxa"/>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izteiktais</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3.b pants</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p>
        </w:tc>
        <w:tc>
          <w:tcPr>
            <w:tcW w:w="3401" w:type="dxa"/>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1398"/>
          <w:jc w:val="center"/>
        </w:trPr>
        <w:tc>
          <w:tcPr>
            <w:tcW w:w="1748" w:type="dxa"/>
            <w:gridSpan w:val="2"/>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izteiktā</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3.c panta 1.punkts</w:t>
            </w:r>
          </w:p>
        </w:tc>
        <w:tc>
          <w:tcPr>
            <w:tcW w:w="2807" w:type="dxa"/>
            <w:gridSpan w:val="2"/>
            <w:vMerge w:val="restart"/>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attiecas uz Eiropas Komisiju (ir noteikts Eiropas Komisijas 2011.gada 30.jūnija lēmumā Nr. 2011/389/ES par Savienības mēroga kvotu daudzumu, kas minēts 3.e panta 3. punkta a) līdz d) apakšpunktā Eiropas Parlamenta un Padomes Direktīvā 2003/87/EK, ar </w:t>
            </w:r>
            <w:r w:rsidRPr="0034370D">
              <w:rPr>
                <w:rFonts w:ascii="Times New Roman" w:hAnsi="Times New Roman" w:cs="Times New Roman"/>
                <w:color w:val="000000" w:themeColor="text1"/>
              </w:rPr>
              <w:lastRenderedPageBreak/>
              <w:t>kuru nosaka sistēmu siltumnīcas efektu izraisošo gāzu emisijas kvotu tirdzniecībai Kopienā)</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Merge w:val="restart"/>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izteiktā</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3.c panta 2.punkts</w:t>
            </w:r>
          </w:p>
        </w:tc>
        <w:tc>
          <w:tcPr>
            <w:tcW w:w="2807" w:type="dxa"/>
            <w:gridSpan w:val="2"/>
            <w:vMerge/>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4.punktā izteiktā</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3.c panta 3.punkts</w:t>
            </w:r>
          </w:p>
        </w:tc>
        <w:tc>
          <w:tcPr>
            <w:tcW w:w="2807" w:type="dxa"/>
            <w:gridSpan w:val="2"/>
            <w:vMerge w:val="restart"/>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Merge w:val="restart"/>
            <w:tcBorders>
              <w:top w:val="single" w:sz="4" w:space="0" w:color="auto"/>
              <w:left w:val="single" w:sz="4" w:space="0" w:color="auto"/>
              <w:bottom w:val="single" w:sz="4" w:space="0" w:color="auto"/>
              <w:right w:val="single" w:sz="4" w:space="0" w:color="auto"/>
            </w:tcBorders>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tcBorders>
              <w:top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izteiktā</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3.c panta 4.punkts</w:t>
            </w:r>
          </w:p>
        </w:tc>
        <w:tc>
          <w:tcPr>
            <w:tcW w:w="2807" w:type="dxa"/>
            <w:gridSpan w:val="2"/>
            <w:vMerge/>
            <w:tcBorders>
              <w:top w:val="single" w:sz="4" w:space="0" w:color="auto"/>
            </w:tcBorders>
            <w:vAlign w:val="center"/>
          </w:tcPr>
          <w:p w:rsidR="00E57372" w:rsidRPr="0034370D" w:rsidRDefault="00E57372" w:rsidP="007F74DA">
            <w:pPr>
              <w:spacing w:after="0"/>
              <w:jc w:val="left"/>
              <w:rPr>
                <w:rFonts w:ascii="Times New Roman" w:hAnsi="Times New Roman" w:cs="Times New Roman"/>
                <w:color w:val="000000" w:themeColor="text1"/>
              </w:rPr>
            </w:pPr>
          </w:p>
        </w:tc>
        <w:tc>
          <w:tcPr>
            <w:tcW w:w="1683" w:type="dxa"/>
            <w:vMerge/>
            <w:tcBorders>
              <w:top w:val="single" w:sz="4" w:space="0" w:color="auto"/>
            </w:tcBorders>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Merge/>
            <w:tcBorders>
              <w:top w:val="single" w:sz="4" w:space="0" w:color="auto"/>
            </w:tcBorders>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izteiktā</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3.d panta 1.punkts</w:t>
            </w:r>
          </w:p>
        </w:tc>
        <w:tc>
          <w:tcPr>
            <w:tcW w:w="2807" w:type="dxa"/>
            <w:gridSpan w:val="2"/>
            <w:vMerge w:val="restart"/>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 (ir noteikts Eiropas Komisijas 2011.gada 30.jūnija lēmumā Nr. 2011/389/ES par Savienības mēroga kvotu daudzumu, kas minēts 3.e panta 3. punkta a) līdz d) apakšpunktā Eiropas Parlamenta un Padomes Direktīvā 2003/87/EK, ar kuru nosaka sistēmu siltumnīcas efektu izraisošo gāzu emisijas kvotu tirdzniecībai Kopienā)</w:t>
            </w:r>
          </w:p>
        </w:tc>
        <w:tc>
          <w:tcPr>
            <w:tcW w:w="1683" w:type="dxa"/>
            <w:vMerge w:val="restart"/>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Merge w:val="restart"/>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izteiktā</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3.d panta 2.punkts</w:t>
            </w:r>
          </w:p>
        </w:tc>
        <w:tc>
          <w:tcPr>
            <w:tcW w:w="2807" w:type="dxa"/>
            <w:gridSpan w:val="2"/>
            <w:vMerge/>
            <w:vAlign w:val="center"/>
          </w:tcPr>
          <w:p w:rsidR="00E57372" w:rsidRPr="0034370D" w:rsidRDefault="00E57372" w:rsidP="007F74DA">
            <w:pPr>
              <w:spacing w:after="0"/>
              <w:jc w:val="left"/>
              <w:rPr>
                <w:rFonts w:ascii="Times New Roman" w:hAnsi="Times New Roman" w:cs="Times New Roman"/>
                <w:color w:val="000000" w:themeColor="text1"/>
              </w:rPr>
            </w:pPr>
          </w:p>
        </w:tc>
        <w:tc>
          <w:tcPr>
            <w:tcW w:w="1683" w:type="dxa"/>
            <w:vMerge/>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Merge/>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izteiktā</w:t>
            </w:r>
          </w:p>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color w:val="000000" w:themeColor="text1"/>
              </w:rPr>
              <w:t>3.d 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4.punktā izteiktā</w:t>
            </w:r>
          </w:p>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color w:val="000000" w:themeColor="text1"/>
              </w:rPr>
              <w:t>3.d panta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ar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4.</w:t>
            </w:r>
            <w:r w:rsidRPr="0034370D">
              <w:rPr>
                <w:rFonts w:ascii="Times New Roman" w:hAnsi="Times New Roman" w:cs="Times New Roman"/>
                <w:color w:val="000000" w:themeColor="text1"/>
                <w:vertAlign w:val="superscript"/>
              </w:rPr>
              <w:t>4</w:t>
            </w:r>
            <w:r w:rsidRPr="0034370D">
              <w:rPr>
                <w:rFonts w:ascii="Times New Roman" w:hAnsi="Times New Roman" w:cs="Times New Roman"/>
                <w:color w:val="000000" w:themeColor="text1"/>
              </w:rPr>
              <w:t>, 4.</w:t>
            </w:r>
            <w:r w:rsidRPr="0034370D">
              <w:rPr>
                <w:rFonts w:ascii="Times New Roman" w:hAnsi="Times New Roman" w:cs="Times New Roman"/>
                <w:color w:val="000000" w:themeColor="text1"/>
                <w:vertAlign w:val="superscript"/>
              </w:rPr>
              <w:t>5</w:t>
            </w:r>
            <w:r w:rsidRPr="0034370D">
              <w:rPr>
                <w:rFonts w:ascii="Times New Roman" w:hAnsi="Times New Roman" w:cs="Times New Roman"/>
                <w:color w:val="000000" w:themeColor="text1"/>
              </w:rPr>
              <w:t>, 4.</w:t>
            </w:r>
            <w:r w:rsidRPr="0034370D">
              <w:rPr>
                <w:rFonts w:ascii="Times New Roman" w:hAnsi="Times New Roman" w:cs="Times New Roman"/>
                <w:color w:val="000000" w:themeColor="text1"/>
                <w:vertAlign w:val="superscript"/>
              </w:rPr>
              <w:t>6</w:t>
            </w:r>
            <w:r w:rsidRPr="0034370D">
              <w:rPr>
                <w:rFonts w:ascii="Times New Roman" w:hAnsi="Times New Roman" w:cs="Times New Roman"/>
                <w:color w:val="000000" w:themeColor="text1"/>
              </w:rPr>
              <w:t xml:space="preserve"> un 4.</w:t>
            </w:r>
            <w:r w:rsidRPr="0034370D">
              <w:rPr>
                <w:rFonts w:ascii="Times New Roman" w:hAnsi="Times New Roman" w:cs="Times New Roman"/>
                <w:color w:val="000000" w:themeColor="text1"/>
                <w:vertAlign w:val="superscript"/>
              </w:rPr>
              <w:t>7</w:t>
            </w:r>
            <w:r w:rsidRPr="0034370D">
              <w:rPr>
                <w:rFonts w:ascii="Times New Roman" w:hAnsi="Times New Roman" w:cs="Times New Roman"/>
                <w:color w:val="000000" w:themeColor="text1"/>
              </w:rPr>
              <w:t xml:space="preserve"> daļu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4.punktā izteiktā 3.e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autoSpaceDE w:val="0"/>
              <w:autoSpaceDN w:val="0"/>
              <w:adjustRightInd w:val="0"/>
              <w:spacing w:after="0"/>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4.punktā izteiktā 3.f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iCs/>
                <w:color w:val="000000" w:themeColor="text1"/>
              </w:rPr>
              <w:t>4.punktā izteiktais 3.g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6.punkts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trešās daļas 5.punktā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8.punkts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10.punkta a)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attiecas uz gaisa kuģu operatoriem </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septītajā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10.punkta b)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pirmā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10.punkta c)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pirmā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ceturtajā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12.punkta a) apakšpunktā izteiktais 14.panta </w:t>
            </w:r>
            <w:r w:rsidRPr="0034370D">
              <w:rPr>
                <w:rFonts w:ascii="Times New Roman" w:hAnsi="Times New Roman" w:cs="Times New Roman"/>
                <w:color w:val="000000" w:themeColor="text1"/>
              </w:rPr>
              <w:lastRenderedPageBreak/>
              <w:t>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12.punkta b) apakšpunktā izteiktais 14.panta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77.punkts</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45.panta septītā un 7.</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daļa,</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13.punktā izteiktā 15.panta 1.rindkopa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3.2.apakšnodaļa, 77.2.apakšpunkts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13.punktā izteiktā 15.panta 2.rindkopa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projekta 16.punkts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13.punktā izteiktā 15.panta 3.rindkopa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a) apakšpunktā izteiktai 16.panta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83.punkts</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Administratīvo pārkāpumu kodeksa 84.pants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b) apakšpunktā izteiktais 16.panta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31.</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otrajā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b) apakšpunktā izteiktais 16.panta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otrajā daļā un Dabas resursu nodokļa likuma 17.pantā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c) apakšpunktā izteiktais 16.panta 5.punkts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3.</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c) apakšpunktā izteiktais 16.panta 6.punkts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c) apakšpunktā izteiktais 16.panta 7.punkts, 8.punkts, 9.punkts, 10.punkts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c) apakšpunktā izteiktais 16.panta 11.punkts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14.punkta c) apakšpunktā izteiktais 16.panta 12.punkts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15.punkts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ind w:firstLine="266"/>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16.punkts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ind w:firstLine="266"/>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17.punkts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ind w:firstLine="266"/>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18.punkts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ind w:firstLine="266"/>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19.punkts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iepriekšējo emisijas kvotu tirdzniecības sistēmas periodu, kas beidzas 2012.gada 31.decembrī</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ind w:firstLine="266"/>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20.punkts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22. 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Pielikuma 1.punkta c)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pielikumā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Pielikuma 2.punkta b)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Pielikuma 3.punkta b)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590493">
        <w:trPr>
          <w:trHeight w:val="284"/>
          <w:jc w:val="center"/>
        </w:trPr>
        <w:tc>
          <w:tcPr>
            <w:tcW w:w="9639" w:type="dxa"/>
            <w:gridSpan w:val="6"/>
          </w:tcPr>
          <w:p w:rsidR="00E57372" w:rsidRPr="0034370D" w:rsidRDefault="00E57372" w:rsidP="007F74DA">
            <w:pPr>
              <w:autoSpaceDE w:val="0"/>
              <w:autoSpaceDN w:val="0"/>
              <w:adjustRightInd w:val="0"/>
              <w:spacing w:after="0"/>
              <w:ind w:firstLine="289"/>
              <w:jc w:val="left"/>
              <w:rPr>
                <w:rFonts w:ascii="Times New Roman" w:hAnsi="Times New Roman" w:cs="Times New Roman"/>
                <w:color w:val="000000" w:themeColor="text1"/>
                <w:shd w:val="clear" w:color="auto" w:fill="FFFFFF"/>
              </w:rPr>
            </w:pPr>
          </w:p>
        </w:tc>
      </w:tr>
      <w:tr w:rsidR="004D7C36" w:rsidRPr="0034370D" w:rsidTr="00590493">
        <w:trPr>
          <w:trHeight w:val="284"/>
          <w:jc w:val="center"/>
        </w:trPr>
        <w:tc>
          <w:tcPr>
            <w:tcW w:w="1748" w:type="dxa"/>
            <w:gridSpan w:val="2"/>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Attiecīgā Eiropas Savienības tiesību akta datums, numurs un nosaukums</w:t>
            </w:r>
          </w:p>
        </w:tc>
        <w:tc>
          <w:tcPr>
            <w:tcW w:w="7891" w:type="dxa"/>
            <w:gridSpan w:val="4"/>
          </w:tcPr>
          <w:p w:rsidR="00E57372" w:rsidRPr="0034370D" w:rsidRDefault="00E57372" w:rsidP="007F74DA">
            <w:pPr>
              <w:autoSpaceDE w:val="0"/>
              <w:autoSpaceDN w:val="0"/>
              <w:adjustRightInd w:val="0"/>
              <w:spacing w:after="0"/>
              <w:ind w:firstLine="289"/>
              <w:jc w:val="left"/>
              <w:rPr>
                <w:rFonts w:ascii="Times New Roman" w:hAnsi="Times New Roman" w:cs="Times New Roman"/>
                <w:color w:val="000000" w:themeColor="text1"/>
                <w:shd w:val="clear" w:color="auto" w:fill="FFFFFF"/>
              </w:rPr>
            </w:pPr>
            <w:r w:rsidRPr="0034370D">
              <w:rPr>
                <w:rFonts w:ascii="Times New Roman" w:hAnsi="Times New Roman" w:cs="Times New Roman"/>
                <w:color w:val="000000" w:themeColor="text1"/>
                <w:shd w:val="clear" w:color="auto" w:fill="FFFFFF"/>
              </w:rPr>
              <w:t>Eiropas Parlamenta un Padomes 2009.gada 23.aprīļa Direktīva 2009/29/EK, ar ko Direktīvu 2003/87/EK groza, lai uzlabotu un paplašinātu Kopienas siltumnīcas efektu izraisošo gāzu emisiju kvotu tirdzniecības sistēmu.</w:t>
            </w:r>
          </w:p>
        </w:tc>
      </w:tr>
      <w:tr w:rsidR="004D7C36" w:rsidRPr="007F74DA" w:rsidTr="00E524D1">
        <w:trPr>
          <w:trHeight w:val="284"/>
          <w:jc w:val="center"/>
        </w:trPr>
        <w:tc>
          <w:tcPr>
            <w:tcW w:w="1748" w:type="dxa"/>
            <w:gridSpan w:val="2"/>
            <w:vAlign w:val="center"/>
          </w:tcPr>
          <w:p w:rsidR="00E57372" w:rsidRPr="007F74DA" w:rsidRDefault="00E57372" w:rsidP="007F74DA">
            <w:pPr>
              <w:spacing w:after="0"/>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A</w:t>
            </w:r>
          </w:p>
        </w:tc>
        <w:tc>
          <w:tcPr>
            <w:tcW w:w="2807" w:type="dxa"/>
            <w:gridSpan w:val="2"/>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B</w:t>
            </w:r>
          </w:p>
        </w:tc>
        <w:tc>
          <w:tcPr>
            <w:tcW w:w="1683" w:type="dxa"/>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C</w:t>
            </w:r>
          </w:p>
        </w:tc>
        <w:tc>
          <w:tcPr>
            <w:tcW w:w="3401" w:type="dxa"/>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D</w:t>
            </w:r>
          </w:p>
        </w:tc>
      </w:tr>
      <w:tr w:rsidR="004D7C36" w:rsidRPr="0034370D" w:rsidTr="00E524D1">
        <w:trPr>
          <w:trHeight w:val="284"/>
          <w:jc w:val="center"/>
        </w:trPr>
        <w:tc>
          <w:tcPr>
            <w:tcW w:w="1748" w:type="dxa"/>
            <w:gridSpan w:val="2"/>
          </w:tcPr>
          <w:p w:rsidR="00E57372" w:rsidRPr="0034370D" w:rsidRDefault="00E57372" w:rsidP="007F74DA">
            <w:pPr>
              <w:spacing w:after="0"/>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Attiecīgā ES tiesību akta panta numurs (uzskaitot katru tiesību akta vienību – pantu, daļu, punktu, apakšpunktu)</w:t>
            </w:r>
          </w:p>
        </w:tc>
        <w:tc>
          <w:tcPr>
            <w:tcW w:w="2807" w:type="dxa"/>
            <w:gridSpan w:val="2"/>
          </w:tcPr>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Projekta vienība, kas pārņem vai ievieš katru šīs tabulas A ailē minēto ES tiesību akta vienību, vai tiesību akts, kur attiecīgā ES tiesību akta vienība pārņemta vai ieviesta</w:t>
            </w:r>
          </w:p>
        </w:tc>
        <w:tc>
          <w:tcPr>
            <w:tcW w:w="1683" w:type="dxa"/>
          </w:tcPr>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Informācija par to, vai šīs tabulas A ailē minētās ES tiesību akta vienības tiek pārņemtas vai ieviestas pilnībā vai daļēji.</w:t>
            </w:r>
          </w:p>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Ja attiecīgā ES tiesību akta vienība tiek pārņemta vai ieviesta daļēji, sniedz attiecīgu skaidrojumu, kā arī precīzi norāda, kad un kādā veidā ES tiesību akta vienība tiks pārņemta vai ieviesta pilnībā.</w:t>
            </w:r>
          </w:p>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spacing w:val="-3"/>
              </w:rPr>
              <w:t>Norāda institūciju, kas ir atbildīga par šo saistību izpildi pilnībā</w:t>
            </w:r>
          </w:p>
        </w:tc>
        <w:tc>
          <w:tcPr>
            <w:tcW w:w="3401" w:type="dxa"/>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spacing w:val="-3"/>
              </w:rPr>
              <w:t xml:space="preserve">Informācija par to, vai šīs </w:t>
            </w:r>
            <w:r w:rsidRPr="0034370D">
              <w:rPr>
                <w:rFonts w:ascii="Times New Roman" w:hAnsi="Times New Roman" w:cs="Times New Roman"/>
                <w:color w:val="000000" w:themeColor="text1"/>
              </w:rPr>
              <w:t>tabulas B ailē minētās projekta vienības paredz stingrākas prasības nekā šīs tabulas A ailē minētās ES tiesību akta vienības.</w:t>
            </w:r>
          </w:p>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Ja projekts satur stingrākas prasības nekā attiecīgais ES tiesību akts, norāda pamatojumu un samērīgumu.</w:t>
            </w:r>
          </w:p>
          <w:p w:rsidR="00E57372" w:rsidRPr="0034370D" w:rsidRDefault="00E57372" w:rsidP="007F74DA">
            <w:pPr>
              <w:spacing w:after="0"/>
              <w:ind w:left="57"/>
              <w:jc w:val="left"/>
              <w:rPr>
                <w:rFonts w:ascii="Times New Roman" w:hAnsi="Times New Roman" w:cs="Times New Roman"/>
                <w:color w:val="000000" w:themeColor="text1"/>
                <w:spacing w:val="-3"/>
              </w:rPr>
            </w:pPr>
            <w:r w:rsidRPr="0034370D">
              <w:rPr>
                <w:rFonts w:ascii="Times New Roman" w:hAnsi="Times New Roman" w:cs="Times New Roman"/>
                <w:color w:val="000000" w:themeColor="text1"/>
              </w:rPr>
              <w:t>Norāda iespējamās alternatīvas (t.sk. alternatīvas, kas neparedz tiesiskā regulējuma izstrādi) – kādos gadījumos būtu iespējams izvairīties no stingrāku prasību</w:t>
            </w:r>
            <w:r w:rsidRPr="0034370D">
              <w:rPr>
                <w:rFonts w:ascii="Times New Roman" w:hAnsi="Times New Roman" w:cs="Times New Roman"/>
                <w:color w:val="000000" w:themeColor="text1"/>
                <w:spacing w:val="-3"/>
              </w:rPr>
              <w:t xml:space="preserve"> noteikšanas, nekā paredzēts attiecīgajos ES tiesību aktos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2.punkta a) apakšpunktā izteiktais 3.panta c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1.panta 10.</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2.punkta b) apakšpunktā izteiktais 3.panta h)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 xml:space="preserve">2 </w:t>
            </w:r>
            <w:r w:rsidRPr="0034370D">
              <w:rPr>
                <w:rFonts w:ascii="Times New Roman" w:hAnsi="Times New Roman" w:cs="Times New Roman"/>
                <w:color w:val="000000" w:themeColor="text1"/>
              </w:rPr>
              <w:t>panta ceturtajā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nav jāpārņem, jo direktīvā ar to redakcionāli labota atsauce;</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gaisa kuģu operatoriem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5.punktā izteiktais 4.pants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 piektajā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875362" w:rsidRPr="0034370D" w:rsidTr="00E524D1">
        <w:trPr>
          <w:trHeight w:val="284"/>
          <w:jc w:val="center"/>
        </w:trPr>
        <w:tc>
          <w:tcPr>
            <w:tcW w:w="1748" w:type="dxa"/>
            <w:gridSpan w:val="2"/>
            <w:vAlign w:val="center"/>
          </w:tcPr>
          <w:p w:rsidR="00875362" w:rsidRPr="0034370D" w:rsidRDefault="0087536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6.punktā izteiktais 5.panta d) apakšpunkts</w:t>
            </w:r>
          </w:p>
        </w:tc>
        <w:tc>
          <w:tcPr>
            <w:tcW w:w="2807" w:type="dxa"/>
            <w:gridSpan w:val="2"/>
            <w:vAlign w:val="center"/>
          </w:tcPr>
          <w:p w:rsidR="00875362" w:rsidRDefault="00875362" w:rsidP="000C3F9F">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28.</w:t>
            </w:r>
            <w:r w:rsidRPr="0034370D">
              <w:rPr>
                <w:rFonts w:ascii="Times New Roman" w:hAnsi="Times New Roman" w:cs="Times New Roman"/>
                <w:color w:val="000000" w:themeColor="text1"/>
                <w:vertAlign w:val="superscript"/>
              </w:rPr>
              <w:t xml:space="preserve">1 </w:t>
            </w:r>
            <w:r w:rsidRPr="0034370D">
              <w:rPr>
                <w:rFonts w:ascii="Times New Roman" w:hAnsi="Times New Roman" w:cs="Times New Roman"/>
                <w:color w:val="000000" w:themeColor="text1"/>
              </w:rPr>
              <w:t>panta otr</w:t>
            </w:r>
            <w:r>
              <w:rPr>
                <w:rFonts w:ascii="Times New Roman" w:hAnsi="Times New Roman" w:cs="Times New Roman"/>
                <w:color w:val="000000" w:themeColor="text1"/>
              </w:rPr>
              <w:t>ās daļas 4.punkts;</w:t>
            </w:r>
          </w:p>
          <w:p w:rsidR="00875362" w:rsidRPr="0034370D" w:rsidRDefault="00875362" w:rsidP="007F74DA">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20.punktā iekļautās iesnieguma atļaujas saņemšanai veidlapas B sadaļas 5.punkts</w:t>
            </w:r>
          </w:p>
        </w:tc>
        <w:tc>
          <w:tcPr>
            <w:tcW w:w="1683" w:type="dxa"/>
            <w:vAlign w:val="center"/>
          </w:tcPr>
          <w:p w:rsidR="00875362" w:rsidRPr="0034370D" w:rsidRDefault="0087536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875362" w:rsidRPr="0034370D" w:rsidRDefault="0087536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iCs/>
                <w:color w:val="000000" w:themeColor="text1"/>
              </w:rPr>
              <w:t>7.punktā izteiktais 6.panta 1.punkta 3.rindkopa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43.punkts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875362" w:rsidRPr="0034370D" w:rsidTr="00E524D1">
        <w:trPr>
          <w:trHeight w:val="284"/>
          <w:jc w:val="center"/>
        </w:trPr>
        <w:tc>
          <w:tcPr>
            <w:tcW w:w="1748" w:type="dxa"/>
            <w:gridSpan w:val="2"/>
            <w:vAlign w:val="center"/>
          </w:tcPr>
          <w:p w:rsidR="00875362" w:rsidRPr="0034370D" w:rsidRDefault="0087536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7.punktā izteiktais 6.panta 2.punkta c) apakšpunkt</w:t>
            </w:r>
            <w:r>
              <w:rPr>
                <w:rFonts w:ascii="Times New Roman" w:hAnsi="Times New Roman" w:cs="Times New Roman"/>
                <w:color w:val="000000" w:themeColor="text1"/>
              </w:rPr>
              <w:t>a 1.teikums</w:t>
            </w:r>
          </w:p>
        </w:tc>
        <w:tc>
          <w:tcPr>
            <w:tcW w:w="2807" w:type="dxa"/>
            <w:gridSpan w:val="2"/>
            <w:vAlign w:val="center"/>
          </w:tcPr>
          <w:p w:rsidR="00875362" w:rsidRDefault="00875362" w:rsidP="000C3F9F">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31.</w:t>
            </w:r>
            <w:r w:rsidRPr="0034370D">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panta otrā daļa;</w:t>
            </w:r>
          </w:p>
          <w:p w:rsidR="00875362" w:rsidRPr="0034370D" w:rsidRDefault="00875362" w:rsidP="007F74DA">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21.punktā iekļautās atļaujas veidlapas nodaļa „Pielikumi” 19.punkts</w:t>
            </w:r>
          </w:p>
        </w:tc>
        <w:tc>
          <w:tcPr>
            <w:tcW w:w="1683" w:type="dxa"/>
            <w:vAlign w:val="center"/>
          </w:tcPr>
          <w:p w:rsidR="00875362" w:rsidRPr="0034370D" w:rsidRDefault="0087536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875362" w:rsidRPr="0034370D" w:rsidRDefault="0087536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875362" w:rsidRPr="0034370D" w:rsidTr="00E524D1">
        <w:trPr>
          <w:trHeight w:val="284"/>
          <w:jc w:val="center"/>
        </w:trPr>
        <w:tc>
          <w:tcPr>
            <w:tcW w:w="1748" w:type="dxa"/>
            <w:gridSpan w:val="2"/>
            <w:vAlign w:val="center"/>
          </w:tcPr>
          <w:p w:rsidR="00875362" w:rsidRPr="0034370D" w:rsidRDefault="00875362" w:rsidP="000C3F9F">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7.punktā izteiktais 6.panta 2.punkt</w:t>
            </w:r>
            <w:r>
              <w:rPr>
                <w:rFonts w:ascii="Times New Roman" w:hAnsi="Times New Roman" w:cs="Times New Roman"/>
                <w:color w:val="000000" w:themeColor="text1"/>
              </w:rPr>
              <w:t>a c) apakšpunkta 2.un 3.teikums</w:t>
            </w:r>
          </w:p>
        </w:tc>
        <w:tc>
          <w:tcPr>
            <w:tcW w:w="2807" w:type="dxa"/>
            <w:gridSpan w:val="2"/>
            <w:vAlign w:val="center"/>
          </w:tcPr>
          <w:p w:rsidR="00875362" w:rsidRDefault="00875362" w:rsidP="000C3F9F">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Nr.769 31.punkts;</w:t>
            </w:r>
          </w:p>
          <w:p w:rsidR="00875362" w:rsidRDefault="00875362" w:rsidP="000C3F9F">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5.punkts;</w:t>
            </w:r>
          </w:p>
          <w:p w:rsidR="00875362" w:rsidRPr="0034370D" w:rsidRDefault="00875362" w:rsidP="000C3F9F">
            <w:pPr>
              <w:spacing w:after="0"/>
              <w:jc w:val="left"/>
              <w:rPr>
                <w:rFonts w:ascii="Times New Roman" w:hAnsi="Times New Roman" w:cs="Times New Roman"/>
                <w:color w:val="000000" w:themeColor="text1"/>
              </w:rPr>
            </w:pPr>
            <w:r>
              <w:rPr>
                <w:rFonts w:ascii="Times New Roman" w:hAnsi="Times New Roman" w:cs="Times New Roman"/>
                <w:color w:val="000000" w:themeColor="text1"/>
              </w:rPr>
              <w:t>Eiropas Komisijas regulas Nr.601/2012 14. un 15.pants</w:t>
            </w:r>
          </w:p>
        </w:tc>
        <w:tc>
          <w:tcPr>
            <w:tcW w:w="1683" w:type="dxa"/>
            <w:vAlign w:val="center"/>
          </w:tcPr>
          <w:p w:rsidR="00875362" w:rsidRPr="0034370D" w:rsidRDefault="00875362" w:rsidP="000C3F9F">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875362" w:rsidRPr="0034370D" w:rsidRDefault="00875362" w:rsidP="000C3F9F">
            <w:pPr>
              <w:pStyle w:val="naisc"/>
              <w:spacing w:before="0" w:after="0"/>
              <w:jc w:val="left"/>
              <w:rPr>
                <w:color w:val="000000" w:themeColor="text1"/>
                <w:sz w:val="22"/>
                <w:szCs w:val="22"/>
              </w:rPr>
            </w:pPr>
            <w:r>
              <w:rPr>
                <w:color w:val="000000" w:themeColor="text1"/>
                <w:sz w:val="22"/>
                <w:szCs w:val="22"/>
              </w:rPr>
              <w:t>Lai gan direktīva atļauj noteikt operatoriem atjaunoti monitoringa plānus, negrozot atļauju, Noteikumos Nr.769 tas netiek paredzēts – lai veiktu izmaiņas monitoringa plānā un monitoringa nosacījumos, noteikti veiktu grozījumus atļaujā</w:t>
            </w:r>
          </w:p>
        </w:tc>
      </w:tr>
      <w:tr w:rsidR="00875362" w:rsidRPr="0034370D" w:rsidTr="00E524D1">
        <w:trPr>
          <w:trHeight w:val="284"/>
          <w:jc w:val="center"/>
        </w:trPr>
        <w:tc>
          <w:tcPr>
            <w:tcW w:w="1748" w:type="dxa"/>
            <w:gridSpan w:val="2"/>
            <w:vAlign w:val="center"/>
          </w:tcPr>
          <w:p w:rsidR="00875362" w:rsidRPr="0034370D" w:rsidRDefault="00875362" w:rsidP="007F74DA">
            <w:pPr>
              <w:spacing w:after="0"/>
              <w:jc w:val="left"/>
              <w:rPr>
                <w:rFonts w:ascii="Times New Roman" w:hAnsi="Times New Roman" w:cs="Times New Roman"/>
                <w:color w:val="000000" w:themeColor="text1"/>
              </w:rPr>
            </w:pPr>
          </w:p>
        </w:tc>
        <w:tc>
          <w:tcPr>
            <w:tcW w:w="2807" w:type="dxa"/>
            <w:gridSpan w:val="2"/>
            <w:vAlign w:val="center"/>
          </w:tcPr>
          <w:p w:rsidR="00875362" w:rsidRPr="0034370D" w:rsidRDefault="00875362" w:rsidP="007F74DA">
            <w:pPr>
              <w:spacing w:after="0"/>
              <w:jc w:val="left"/>
              <w:rPr>
                <w:rFonts w:ascii="Times New Roman" w:hAnsi="Times New Roman" w:cs="Times New Roman"/>
                <w:color w:val="000000" w:themeColor="text1"/>
              </w:rPr>
            </w:pPr>
          </w:p>
        </w:tc>
        <w:tc>
          <w:tcPr>
            <w:tcW w:w="1683" w:type="dxa"/>
            <w:vAlign w:val="center"/>
          </w:tcPr>
          <w:p w:rsidR="00875362" w:rsidRPr="0034370D" w:rsidRDefault="00875362" w:rsidP="007F74DA">
            <w:pPr>
              <w:spacing w:after="0"/>
              <w:ind w:left="57"/>
              <w:jc w:val="left"/>
              <w:rPr>
                <w:rFonts w:ascii="Times New Roman" w:hAnsi="Times New Roman" w:cs="Times New Roman"/>
                <w:color w:val="000000" w:themeColor="text1"/>
              </w:rPr>
            </w:pPr>
          </w:p>
        </w:tc>
        <w:tc>
          <w:tcPr>
            <w:tcW w:w="3401" w:type="dxa"/>
            <w:vAlign w:val="center"/>
          </w:tcPr>
          <w:p w:rsidR="00875362" w:rsidRPr="0034370D" w:rsidRDefault="00875362" w:rsidP="007F74DA">
            <w:pPr>
              <w:pStyle w:val="naisc"/>
              <w:spacing w:before="0" w:after="0"/>
              <w:jc w:val="left"/>
              <w:rPr>
                <w:color w:val="000000" w:themeColor="text1"/>
                <w:sz w:val="22"/>
                <w:szCs w:val="22"/>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iCs/>
                <w:color w:val="000000" w:themeColor="text1"/>
              </w:rPr>
            </w:pPr>
            <w:r w:rsidRPr="0034370D">
              <w:rPr>
                <w:rFonts w:ascii="Times New Roman" w:hAnsi="Times New Roman" w:cs="Times New Roman"/>
                <w:color w:val="000000" w:themeColor="text1"/>
              </w:rPr>
              <w:t xml:space="preserve">8.punktā izteiktā </w:t>
            </w:r>
            <w:r w:rsidRPr="0034370D">
              <w:rPr>
                <w:rFonts w:ascii="Times New Roman" w:hAnsi="Times New Roman" w:cs="Times New Roman"/>
                <w:iCs/>
                <w:color w:val="000000" w:themeColor="text1"/>
              </w:rPr>
              <w:t>7.panta 1.teikums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projekta 5.punkts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8.punktā izteiktā </w:t>
            </w:r>
            <w:r w:rsidRPr="0034370D">
              <w:rPr>
                <w:rFonts w:ascii="Times New Roman" w:hAnsi="Times New Roman" w:cs="Times New Roman"/>
                <w:iCs/>
                <w:color w:val="000000" w:themeColor="text1"/>
              </w:rPr>
              <w:t>7.panta 2.teikums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35.punkts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8.punktā izteiktā </w:t>
            </w:r>
            <w:r w:rsidRPr="0034370D">
              <w:rPr>
                <w:rFonts w:ascii="Times New Roman" w:hAnsi="Times New Roman" w:cs="Times New Roman"/>
                <w:iCs/>
                <w:color w:val="000000" w:themeColor="text1"/>
              </w:rPr>
              <w:t>7.panta 3.teikums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40.punkts</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9.punktā izteiktais 9.pants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10.punktā izteiktais 9.a panta 1.,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periodu līdz 2010.gada 30.jūnijam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10.punktā izteiktais 9.a panta 3.,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11.punktā izteiktais 10.panta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trešajā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11.punktā izteiktais 10.panta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 jo katras dalībvalsts izsoļu apjomu noteiks Eiropas Komisija</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11.punktā izteiktais 10.panta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4.</w:t>
            </w:r>
            <w:r w:rsidRPr="0034370D">
              <w:rPr>
                <w:rFonts w:ascii="Times New Roman" w:hAnsi="Times New Roman" w:cs="Times New Roman"/>
                <w:color w:val="000000" w:themeColor="text1"/>
                <w:vertAlign w:val="superscript"/>
              </w:rPr>
              <w:t>4</w:t>
            </w:r>
            <w:r w:rsidRPr="0034370D">
              <w:rPr>
                <w:rFonts w:ascii="Times New Roman" w:hAnsi="Times New Roman" w:cs="Times New Roman"/>
                <w:color w:val="000000" w:themeColor="text1"/>
              </w:rPr>
              <w:t>, 4.</w:t>
            </w:r>
            <w:r w:rsidRPr="0034370D">
              <w:rPr>
                <w:rFonts w:ascii="Times New Roman" w:hAnsi="Times New Roman" w:cs="Times New Roman"/>
                <w:color w:val="000000" w:themeColor="text1"/>
                <w:vertAlign w:val="superscript"/>
              </w:rPr>
              <w:t>5</w:t>
            </w:r>
            <w:r w:rsidRPr="0034370D">
              <w:rPr>
                <w:rFonts w:ascii="Times New Roman" w:hAnsi="Times New Roman" w:cs="Times New Roman"/>
                <w:color w:val="000000" w:themeColor="text1"/>
              </w:rPr>
              <w:t>, 4.</w:t>
            </w:r>
            <w:r w:rsidRPr="0034370D">
              <w:rPr>
                <w:rFonts w:ascii="Times New Roman" w:hAnsi="Times New Roman" w:cs="Times New Roman"/>
                <w:color w:val="000000" w:themeColor="text1"/>
                <w:vertAlign w:val="superscript"/>
              </w:rPr>
              <w:t>6</w:t>
            </w:r>
            <w:r w:rsidRPr="0034370D">
              <w:rPr>
                <w:rFonts w:ascii="Times New Roman" w:hAnsi="Times New Roman" w:cs="Times New Roman"/>
                <w:color w:val="000000" w:themeColor="text1"/>
              </w:rPr>
              <w:t>, 4.</w:t>
            </w:r>
            <w:r w:rsidRPr="0034370D">
              <w:rPr>
                <w:rFonts w:ascii="Times New Roman" w:hAnsi="Times New Roman" w:cs="Times New Roman"/>
                <w:color w:val="000000" w:themeColor="text1"/>
                <w:vertAlign w:val="superscript"/>
              </w:rPr>
              <w:t>7</w:t>
            </w:r>
            <w:r w:rsidRPr="0034370D">
              <w:rPr>
                <w:rFonts w:ascii="Times New Roman" w:hAnsi="Times New Roman" w:cs="Times New Roman"/>
                <w:color w:val="000000" w:themeColor="text1"/>
              </w:rPr>
              <w:t xml:space="preserve">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11.punktā izteiktais 10.panta 4., 5.punkts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12.punktā izteiktais 10.a panta 1.-9.punkts, 11.-20.punkts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12.punktā izteiktais 10.a panta 10.punkts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septītajā daļā, Pārejas noteikumu 30.punktā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12.punktā izteiktais 10.b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12.punktā izteiktais 10.c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septītajā daļā, Pārejas noteikumu 30.punktā</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Ministru kabinets pieņēmuma lēmumu nepiešķirt bezmaksas emisijas kvotas elektroenerģijas ražotājiem, līdz ar to direktīvas 10.c pantā noteiktie nosacījumi nav jāpārņem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13.punktā izteiktais 11.panta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piektajā, sestajā, septītajā daļā, Pārejas noteikumu 31.punktā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13.punktā izteiktais 11.panta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sestajā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13.punktā izteiktais 11.a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neattiecas uz normatīvā akta projektu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neattiecas uz normatīvā akta projektu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15.punkta a) apakšpunktā izteiktais 12.panta 1.a 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15.punkta b) apakšpunktā izteiktais 12.panta 3.a 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nav jāpārņem, jo ar noteikumu projekta 8.punktu ir noteikts, ka operators emisiju monitoringa rezultātus norāda emisiju ziņojumā, kas sagatavots izmantojot vienotu </w:t>
            </w:r>
            <w:r w:rsidRPr="0034370D">
              <w:rPr>
                <w:rFonts w:ascii="Times New Roman" w:hAnsi="Times New Roman" w:cs="Times New Roman"/>
                <w:color w:val="000000" w:themeColor="text1"/>
              </w:rPr>
              <w:lastRenderedPageBreak/>
              <w:t>Eiropas Komisijas izstrādāto emisiju ziņojuma veidlapu, kurā visi direktīvas Nr.2003/87/EK nosacījumi ir iekļauti</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16.punktā izteiktais 13.panta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pārņemta likuma „Par piesārņojumu”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otrajā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16.punktā izteiktā 13.panta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pārņemta likuma „Par piesārņojumu” 32.</w:t>
            </w:r>
            <w:r w:rsidRPr="0034370D">
              <w:rPr>
                <w:rFonts w:ascii="Times New Roman" w:hAnsi="Times New Roman" w:cs="Times New Roman"/>
                <w:color w:val="000000" w:themeColor="text1"/>
                <w:vertAlign w:val="superscript"/>
              </w:rPr>
              <w:t>3</w:t>
            </w:r>
            <w:r w:rsidRPr="0034370D">
              <w:rPr>
                <w:rFonts w:ascii="Times New Roman" w:hAnsi="Times New Roman" w:cs="Times New Roman"/>
                <w:color w:val="000000" w:themeColor="text1"/>
              </w:rPr>
              <w:t xml:space="preserve"> panta ceturtajā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17.punktā izteiktais 14.panta 1., 2.punkts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17.punktā izteiktais 14.panta 3.punkts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47., 74.punkts</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likuma „Par piesārņojumu” 45.panta septītā un 7.</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daļa,</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17.punktā izteiktais 14.panta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18.punkts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19.punktā izteiktā 15.a panta 1.rindkopa</w:t>
            </w:r>
          </w:p>
        </w:tc>
        <w:tc>
          <w:tcPr>
            <w:tcW w:w="2807" w:type="dxa"/>
            <w:gridSpan w:val="2"/>
            <w:vAlign w:val="center"/>
          </w:tcPr>
          <w:p w:rsidR="0074752B" w:rsidRDefault="0074752B" w:rsidP="0074752B">
            <w:pPr>
              <w:spacing w:after="0"/>
              <w:jc w:val="left"/>
              <w:rPr>
                <w:rFonts w:ascii="Times New Roman" w:hAnsi="Times New Roman" w:cs="Times New Roman"/>
                <w:color w:val="000000" w:themeColor="text1"/>
              </w:rPr>
            </w:pPr>
            <w:r>
              <w:rPr>
                <w:rFonts w:ascii="Times New Roman" w:hAnsi="Times New Roman" w:cs="Times New Roman"/>
                <w:color w:val="000000" w:themeColor="text1"/>
              </w:rPr>
              <w:t>Likuma „Par piesārņojumu” 32.</w:t>
            </w:r>
            <w:r w:rsidRPr="00796911">
              <w:rPr>
                <w:rFonts w:ascii="Times New Roman" w:hAnsi="Times New Roman" w:cs="Times New Roman"/>
                <w:color w:val="000000" w:themeColor="text1"/>
                <w:vertAlign w:val="superscript"/>
              </w:rPr>
              <w:t>7</w:t>
            </w:r>
            <w:r>
              <w:rPr>
                <w:rFonts w:ascii="Times New Roman" w:hAnsi="Times New Roman" w:cs="Times New Roman"/>
                <w:color w:val="000000" w:themeColor="text1"/>
              </w:rPr>
              <w:t xml:space="preserve"> panta trešā daļa;</w:t>
            </w:r>
          </w:p>
          <w:p w:rsidR="000C3F9F" w:rsidRDefault="00875362">
            <w:pPr>
              <w:spacing w:after="0"/>
              <w:jc w:val="left"/>
              <w:rPr>
                <w:rFonts w:ascii="Times New Roman" w:hAnsi="Times New Roman" w:cs="Times New Roman"/>
                <w:color w:val="000000" w:themeColor="text1"/>
              </w:rPr>
            </w:pPr>
            <w:r>
              <w:rPr>
                <w:rFonts w:ascii="Times New Roman" w:hAnsi="Times New Roman" w:cs="Times New Roman"/>
                <w:color w:val="000000" w:themeColor="text1"/>
              </w:rPr>
              <w:t>Ministru kabineta 26.02.2013. noteikumu Nr.112</w:t>
            </w:r>
            <w:r w:rsidR="0074752B">
              <w:rPr>
                <w:rFonts w:ascii="Times New Roman" w:hAnsi="Times New Roman" w:cs="Times New Roman"/>
                <w:color w:val="000000" w:themeColor="text1"/>
              </w:rPr>
              <w:t xml:space="preserve"> 3.punkts un</w:t>
            </w:r>
            <w:r>
              <w:rPr>
                <w:rFonts w:ascii="Times New Roman" w:hAnsi="Times New Roman" w:cs="Times New Roman"/>
                <w:color w:val="000000" w:themeColor="text1"/>
              </w:rPr>
              <w:t xml:space="preserve"> 48.3.apakšpunkts – lēmumi par emisijas kvotu </w:t>
            </w:r>
            <w:r w:rsidR="0074752B">
              <w:rPr>
                <w:rFonts w:ascii="Times New Roman" w:hAnsi="Times New Roman" w:cs="Times New Roman"/>
                <w:color w:val="000000" w:themeColor="text1"/>
              </w:rPr>
              <w:t>piešķiršanu un grozījumiem;</w:t>
            </w:r>
          </w:p>
          <w:p w:rsidR="000C3F9F" w:rsidRDefault="0074752B">
            <w:pPr>
              <w:spacing w:after="0"/>
              <w:jc w:val="left"/>
              <w:rPr>
                <w:rFonts w:ascii="Times New Roman" w:hAnsi="Times New Roman" w:cs="Times New Roman"/>
                <w:color w:val="000000" w:themeColor="text1"/>
              </w:rPr>
            </w:pPr>
            <w:r>
              <w:rPr>
                <w:rFonts w:ascii="Times New Roman" w:hAnsi="Times New Roman" w:cs="Times New Roman"/>
                <w:color w:val="000000" w:themeColor="text1"/>
              </w:rPr>
              <w:t>Noteikumu projekta 18.punktā izteiktais Noteikumu Nr.769 89.5., 89.6., 89.8.apakšpunkts – attiecībā uz atļaujām, atļaujas grozījumiem un emisiju ziņojumiem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19.punktā izteiktā 15.a panta 2.rindkopa</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noteikts Informācijas atklātības likumā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20.punkts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21.punkta a) apakšpunktā izteiktais 19.panta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4</w:t>
            </w:r>
            <w:r w:rsidRPr="0034370D">
              <w:rPr>
                <w:rFonts w:ascii="Times New Roman" w:hAnsi="Times New Roman" w:cs="Times New Roman"/>
                <w:color w:val="000000" w:themeColor="text1"/>
              </w:rPr>
              <w:t xml:space="preserve"> panta pirmajā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21.punkta b)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22.punkta a) apakšpunktā izteiktais 21.panta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32.</w:t>
            </w:r>
            <w:r w:rsidRPr="0034370D">
              <w:rPr>
                <w:rFonts w:ascii="Times New Roman" w:hAnsi="Times New Roman" w:cs="Times New Roman"/>
                <w:color w:val="000000" w:themeColor="text1"/>
                <w:vertAlign w:val="superscript"/>
              </w:rPr>
              <w:t>8</w:t>
            </w:r>
            <w:r w:rsidRPr="0034370D">
              <w:rPr>
                <w:rFonts w:ascii="Times New Roman" w:hAnsi="Times New Roman" w:cs="Times New Roman"/>
                <w:color w:val="000000" w:themeColor="text1"/>
              </w:rPr>
              <w:t xml:space="preserve"> panta pirmajā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22.punkta b) apakšpunkts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25.punktā izteiktais 24.panta </w:t>
            </w:r>
            <w:r w:rsidRPr="0034370D">
              <w:rPr>
                <w:rFonts w:ascii="Times New Roman" w:hAnsi="Times New Roman" w:cs="Times New Roman"/>
                <w:color w:val="000000" w:themeColor="text1"/>
              </w:rPr>
              <w:lastRenderedPageBreak/>
              <w:t>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pārņemts likuma "Par piesārņojumu" 24.</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w:t>
            </w:r>
            <w:r w:rsidRPr="0034370D">
              <w:rPr>
                <w:rFonts w:ascii="Times New Roman" w:hAnsi="Times New Roman" w:cs="Times New Roman"/>
                <w:color w:val="000000" w:themeColor="text1"/>
              </w:rPr>
              <w:lastRenderedPageBreak/>
              <w:t>trešajā daļā, 32.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panta 1.</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daļā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25.punktā 24.panta 2., 3., 4.punkts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26.punktā izteiktais 24.a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27.punktā izteiktie 25.panta grozījumi</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attiecas uz Eiropas Komisiju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28.punkts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neattiecas uz noteikumu projektu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29.punkts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neattiecas uz noteikumu projektu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2. pants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Informatīva atsauce uz Eiropas Savienības direktīvām</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pilnībā</w:t>
            </w:r>
          </w:p>
        </w:tc>
        <w:tc>
          <w:tcPr>
            <w:tcW w:w="3401" w:type="dxa"/>
            <w:vAlign w:val="center"/>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Netiek pārņemts, paredzot stingrākas vai mazāk stingras prasības</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 pielikums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pārņemts likuma "Par piesārņojumu" 24.</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panta otrajā, 2.</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2.</w:t>
            </w:r>
            <w:r w:rsidRPr="0034370D">
              <w:rPr>
                <w:rFonts w:ascii="Times New Roman" w:hAnsi="Times New Roman" w:cs="Times New Roman"/>
                <w:color w:val="000000" w:themeColor="text1"/>
                <w:vertAlign w:val="superscript"/>
              </w:rPr>
              <w:t>2</w:t>
            </w:r>
            <w:r w:rsidRPr="0034370D">
              <w:rPr>
                <w:rFonts w:ascii="Times New Roman" w:hAnsi="Times New Roman" w:cs="Times New Roman"/>
                <w:color w:val="000000" w:themeColor="text1"/>
              </w:rPr>
              <w:t xml:space="preserve"> ceturtajā daļā; 1.</w:t>
            </w:r>
            <w:r w:rsidRPr="0034370D">
              <w:rPr>
                <w:rFonts w:ascii="Times New Roman" w:hAnsi="Times New Roman" w:cs="Times New Roman"/>
                <w:color w:val="000000" w:themeColor="text1"/>
                <w:vertAlign w:val="superscript"/>
              </w:rPr>
              <w:t>1</w:t>
            </w:r>
            <w:r w:rsidRPr="0034370D">
              <w:rPr>
                <w:rFonts w:ascii="Times New Roman" w:hAnsi="Times New Roman" w:cs="Times New Roman"/>
                <w:color w:val="000000" w:themeColor="text1"/>
              </w:rPr>
              <w:t xml:space="preserve"> un 2.pielikumā</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II pielikums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neattiecas uz noteikumu projektu</w:t>
            </w:r>
          </w:p>
        </w:tc>
        <w:tc>
          <w:tcPr>
            <w:tcW w:w="1683" w:type="dxa"/>
            <w:vAlign w:val="center"/>
          </w:tcPr>
          <w:p w:rsidR="00E57372" w:rsidRPr="0034370D" w:rsidRDefault="00E57372" w:rsidP="007F74DA">
            <w:pPr>
              <w:spacing w:after="0"/>
              <w:ind w:left="57"/>
              <w:jc w:val="left"/>
              <w:rPr>
                <w:rFonts w:ascii="Times New Roman" w:hAnsi="Times New Roman" w:cs="Times New Roman"/>
                <w:color w:val="000000" w:themeColor="text1"/>
              </w:rPr>
            </w:pP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590493">
        <w:trPr>
          <w:trHeight w:val="284"/>
          <w:jc w:val="center"/>
        </w:trPr>
        <w:tc>
          <w:tcPr>
            <w:tcW w:w="9639" w:type="dxa"/>
            <w:gridSpan w:val="6"/>
          </w:tcPr>
          <w:p w:rsidR="00E57372" w:rsidRPr="0034370D" w:rsidRDefault="00E57372" w:rsidP="007F74DA">
            <w:pPr>
              <w:autoSpaceDE w:val="0"/>
              <w:autoSpaceDN w:val="0"/>
              <w:adjustRightInd w:val="0"/>
              <w:spacing w:after="0"/>
              <w:ind w:firstLine="289"/>
              <w:jc w:val="left"/>
              <w:rPr>
                <w:rFonts w:ascii="Times New Roman" w:hAnsi="Times New Roman" w:cs="Times New Roman"/>
                <w:color w:val="000000" w:themeColor="text1"/>
                <w:shd w:val="clear" w:color="auto" w:fill="FFFFFF"/>
              </w:rPr>
            </w:pPr>
          </w:p>
        </w:tc>
      </w:tr>
      <w:tr w:rsidR="004D7C36" w:rsidRPr="0034370D" w:rsidTr="00590493">
        <w:trPr>
          <w:trHeight w:val="284"/>
          <w:jc w:val="center"/>
        </w:trPr>
        <w:tc>
          <w:tcPr>
            <w:tcW w:w="1748" w:type="dxa"/>
            <w:gridSpan w:val="2"/>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Attiecīgā Eiropas Savienības tiesību akta datums, numurs un nosaukums</w:t>
            </w:r>
          </w:p>
        </w:tc>
        <w:tc>
          <w:tcPr>
            <w:tcW w:w="7891" w:type="dxa"/>
            <w:gridSpan w:val="4"/>
          </w:tcPr>
          <w:p w:rsidR="00E57372" w:rsidRPr="0034370D" w:rsidRDefault="00E57372" w:rsidP="007F74DA">
            <w:pPr>
              <w:autoSpaceDE w:val="0"/>
              <w:autoSpaceDN w:val="0"/>
              <w:adjustRightInd w:val="0"/>
              <w:spacing w:after="0"/>
              <w:ind w:firstLine="289"/>
              <w:jc w:val="left"/>
              <w:rPr>
                <w:rFonts w:ascii="Times New Roman" w:hAnsi="Times New Roman" w:cs="Times New Roman"/>
                <w:iCs/>
                <w:color w:val="000000" w:themeColor="text1"/>
              </w:rPr>
            </w:pPr>
            <w:r w:rsidRPr="0034370D">
              <w:rPr>
                <w:rFonts w:ascii="Times New Roman" w:hAnsi="Times New Roman" w:cs="Times New Roman"/>
                <w:iCs/>
                <w:color w:val="000000" w:themeColor="text1"/>
              </w:rPr>
              <w:t>Eiropas Komisijas 2012.gada 21.jūnija Regula Nr. 601/2012 par siltumnīcefekta gāzu emisiju monitoringu un ziņošanu saskaņā ar Eiropas Parlamenta un Padomes Direktīvu 2003/87/EK</w:t>
            </w:r>
          </w:p>
        </w:tc>
      </w:tr>
      <w:tr w:rsidR="004D7C36" w:rsidRPr="007F74DA" w:rsidTr="00E524D1">
        <w:trPr>
          <w:trHeight w:val="234"/>
          <w:jc w:val="center"/>
        </w:trPr>
        <w:tc>
          <w:tcPr>
            <w:tcW w:w="1748" w:type="dxa"/>
            <w:gridSpan w:val="2"/>
            <w:vAlign w:val="center"/>
          </w:tcPr>
          <w:p w:rsidR="00E57372" w:rsidRPr="007F74DA" w:rsidRDefault="00E57372" w:rsidP="007F74DA">
            <w:pPr>
              <w:spacing w:after="0"/>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A</w:t>
            </w:r>
          </w:p>
        </w:tc>
        <w:tc>
          <w:tcPr>
            <w:tcW w:w="2807" w:type="dxa"/>
            <w:gridSpan w:val="2"/>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B</w:t>
            </w:r>
          </w:p>
        </w:tc>
        <w:tc>
          <w:tcPr>
            <w:tcW w:w="1683" w:type="dxa"/>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C</w:t>
            </w:r>
          </w:p>
        </w:tc>
        <w:tc>
          <w:tcPr>
            <w:tcW w:w="3401" w:type="dxa"/>
            <w:vAlign w:val="center"/>
          </w:tcPr>
          <w:p w:rsidR="00E57372" w:rsidRPr="007F74DA" w:rsidRDefault="00E57372" w:rsidP="007F74DA">
            <w:pPr>
              <w:spacing w:after="0"/>
              <w:ind w:left="57"/>
              <w:jc w:val="center"/>
              <w:rPr>
                <w:rFonts w:ascii="Times New Roman" w:hAnsi="Times New Roman" w:cs="Times New Roman"/>
                <w:color w:val="000000" w:themeColor="text1"/>
                <w:sz w:val="20"/>
                <w:szCs w:val="20"/>
              </w:rPr>
            </w:pPr>
            <w:r w:rsidRPr="007F74DA">
              <w:rPr>
                <w:rFonts w:ascii="Times New Roman" w:hAnsi="Times New Roman" w:cs="Times New Roman"/>
                <w:color w:val="000000" w:themeColor="text1"/>
                <w:sz w:val="20"/>
                <w:szCs w:val="20"/>
              </w:rPr>
              <w:t>D</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15.pant</w:t>
            </w:r>
            <w:r w:rsidR="00F315C4">
              <w:rPr>
                <w:rFonts w:ascii="Times New Roman" w:hAnsi="Times New Roman" w:cs="Times New Roman"/>
                <w:color w:val="000000" w:themeColor="text1"/>
              </w:rPr>
              <w:t>a 1.punkts</w:t>
            </w:r>
          </w:p>
        </w:tc>
        <w:tc>
          <w:tcPr>
            <w:tcW w:w="2807"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projekta 5.punkts,</w:t>
            </w:r>
          </w:p>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Nr.769 35.punkts</w:t>
            </w:r>
          </w:p>
        </w:tc>
        <w:tc>
          <w:tcPr>
            <w:tcW w:w="1683" w:type="dxa"/>
            <w:vAlign w:val="center"/>
          </w:tcPr>
          <w:p w:rsidR="00E57372" w:rsidRPr="0034370D" w:rsidRDefault="00F315C4" w:rsidP="007F74DA">
            <w:pPr>
              <w:spacing w:after="0"/>
              <w:ind w:left="57"/>
              <w:jc w:val="left"/>
              <w:rPr>
                <w:rFonts w:ascii="Times New Roman" w:hAnsi="Times New Roman" w:cs="Times New Roman"/>
                <w:color w:val="000000" w:themeColor="text1"/>
              </w:rPr>
            </w:pPr>
            <w:r>
              <w:rPr>
                <w:rFonts w:ascii="Times New Roman" w:hAnsi="Times New Roman" w:cs="Times New Roman"/>
                <w:color w:val="000000" w:themeColor="text1"/>
              </w:rPr>
              <w:t>Ieviests</w:t>
            </w: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16.pant</w:t>
            </w:r>
            <w:r w:rsidR="00F315C4">
              <w:rPr>
                <w:rFonts w:ascii="Times New Roman" w:hAnsi="Times New Roman" w:cs="Times New Roman"/>
                <w:color w:val="000000" w:themeColor="text1"/>
              </w:rPr>
              <w:t>a 1.punkts</w:t>
            </w:r>
          </w:p>
        </w:tc>
        <w:tc>
          <w:tcPr>
            <w:tcW w:w="2807" w:type="dxa"/>
            <w:gridSpan w:val="2"/>
            <w:vAlign w:val="center"/>
          </w:tcPr>
          <w:p w:rsidR="00E57372" w:rsidRPr="0034370D" w:rsidRDefault="00BB4BB8">
            <w:pPr>
              <w:spacing w:after="0"/>
              <w:jc w:val="left"/>
              <w:rPr>
                <w:rFonts w:ascii="Times New Roman" w:hAnsi="Times New Roman" w:cs="Times New Roman"/>
                <w:color w:val="000000" w:themeColor="text1"/>
              </w:rPr>
            </w:pPr>
            <w:r>
              <w:rPr>
                <w:rFonts w:ascii="Times New Roman" w:hAnsi="Times New Roman" w:cs="Times New Roman"/>
                <w:color w:val="000000" w:themeColor="text1"/>
              </w:rPr>
              <w:t xml:space="preserve">Lai gan regulas 16.panta 1.punktā ir noteikts, ka operators var veikt monitoringu un ziņošanu, izmantojot grozīto monitoringa plānu pirms tas ir apstiprināts, </w:t>
            </w:r>
            <w:r w:rsidR="00E57372" w:rsidRPr="0034370D">
              <w:rPr>
                <w:rFonts w:ascii="Times New Roman" w:hAnsi="Times New Roman" w:cs="Times New Roman"/>
                <w:color w:val="000000" w:themeColor="text1"/>
              </w:rPr>
              <w:t xml:space="preserve">noteikumu projekta 6.punktā izteiktajā 32. un 33.punktā ir noteikts, ka operators iesniedz pārvaldē iesniegumu atļaujas grozījumiem pirms jebkādām izmaiņām likuma „Par piesārņojumu” 2.pielikumā minētajās piesārņojošās darbībās. Līdz ar to operatoram </w:t>
            </w:r>
            <w:r w:rsidR="00F315C4" w:rsidRPr="0034370D">
              <w:rPr>
                <w:rFonts w:ascii="Times New Roman" w:hAnsi="Times New Roman" w:cs="Times New Roman"/>
                <w:color w:val="000000" w:themeColor="text1"/>
              </w:rPr>
              <w:t>n</w:t>
            </w:r>
            <w:r w:rsidR="00F315C4">
              <w:rPr>
                <w:rFonts w:ascii="Times New Roman" w:hAnsi="Times New Roman" w:cs="Times New Roman"/>
                <w:color w:val="000000" w:themeColor="text1"/>
              </w:rPr>
              <w:t>etiek</w:t>
            </w:r>
            <w:r w:rsidR="00F315C4" w:rsidRPr="0034370D">
              <w:rPr>
                <w:rFonts w:ascii="Times New Roman" w:hAnsi="Times New Roman" w:cs="Times New Roman"/>
                <w:color w:val="000000" w:themeColor="text1"/>
              </w:rPr>
              <w:t xml:space="preserve"> </w:t>
            </w:r>
            <w:r w:rsidR="00E57372" w:rsidRPr="0034370D">
              <w:rPr>
                <w:rFonts w:ascii="Times New Roman" w:hAnsi="Times New Roman" w:cs="Times New Roman"/>
                <w:color w:val="000000" w:themeColor="text1"/>
              </w:rPr>
              <w:t>atļauts veikt monitoringu, izmantojot mainītos monitoringa nosacījumus, pirms tos nav apstiprinājusi Pārvalde.</w:t>
            </w:r>
          </w:p>
        </w:tc>
        <w:tc>
          <w:tcPr>
            <w:tcW w:w="1683" w:type="dxa"/>
            <w:vAlign w:val="center"/>
          </w:tcPr>
          <w:p w:rsidR="00E57372" w:rsidRPr="0034370D" w:rsidRDefault="00F315C4" w:rsidP="007F74DA">
            <w:pPr>
              <w:spacing w:after="0"/>
              <w:ind w:left="57"/>
              <w:jc w:val="left"/>
              <w:rPr>
                <w:rFonts w:ascii="Times New Roman" w:hAnsi="Times New Roman" w:cs="Times New Roman"/>
                <w:color w:val="000000" w:themeColor="text1"/>
              </w:rPr>
            </w:pPr>
            <w:r>
              <w:rPr>
                <w:rFonts w:ascii="Times New Roman" w:hAnsi="Times New Roman" w:cs="Times New Roman"/>
                <w:color w:val="000000" w:themeColor="text1"/>
              </w:rPr>
              <w:t>Ieviests</w:t>
            </w:r>
          </w:p>
        </w:tc>
        <w:tc>
          <w:tcPr>
            <w:tcW w:w="3401" w:type="dxa"/>
            <w:vAlign w:val="center"/>
          </w:tcPr>
          <w:p w:rsidR="000C3F9F" w:rsidRDefault="0074752B" w:rsidP="00870977">
            <w:pPr>
              <w:pStyle w:val="naisc"/>
              <w:spacing w:before="0" w:after="0"/>
              <w:jc w:val="both"/>
              <w:rPr>
                <w:color w:val="000000" w:themeColor="text1"/>
                <w:sz w:val="22"/>
                <w:szCs w:val="22"/>
              </w:rPr>
            </w:pPr>
            <w:r>
              <w:rPr>
                <w:color w:val="000000" w:themeColor="text1"/>
                <w:sz w:val="22"/>
                <w:szCs w:val="22"/>
              </w:rPr>
              <w:t xml:space="preserve">Noteikumos Nr.769 32. un 33.punktā (noteikumu projekta 6.punkts) tiek noteikts, ka operatoram visi grozījumi monitoringa nosacījumos (atļaujas grozījumi) ir jāiesniedz </w:t>
            </w:r>
            <w:r w:rsidRPr="0074752B">
              <w:rPr>
                <w:color w:val="000000" w:themeColor="text1"/>
                <w:sz w:val="22"/>
                <w:szCs w:val="22"/>
              </w:rPr>
              <w:t>pirms izmaiņu ieviešanas likuma</w:t>
            </w:r>
            <w:r>
              <w:rPr>
                <w:color w:val="000000" w:themeColor="text1"/>
                <w:sz w:val="22"/>
                <w:szCs w:val="22"/>
              </w:rPr>
              <w:t xml:space="preserve"> „Par piesārņojumu”</w:t>
            </w:r>
            <w:r w:rsidRPr="0074752B">
              <w:rPr>
                <w:color w:val="000000" w:themeColor="text1"/>
                <w:sz w:val="22"/>
                <w:szCs w:val="22"/>
              </w:rPr>
              <w:t xml:space="preserve"> 2.pielikumā minētajā darbībā vai monitoringa plāna nosacījumos</w:t>
            </w:r>
            <w:r>
              <w:rPr>
                <w:color w:val="000000" w:themeColor="text1"/>
                <w:sz w:val="22"/>
                <w:szCs w:val="22"/>
              </w:rPr>
              <w:t>. Tādējādi netiek atļauts, ka operators var veikt monitoringu vai ziņošanu pirms ir saņemts kompetentās iestādes apstiprinājums.</w:t>
            </w:r>
          </w:p>
          <w:p w:rsidR="00471D1C" w:rsidRDefault="00471D1C" w:rsidP="00870977">
            <w:pPr>
              <w:pStyle w:val="naisc"/>
              <w:spacing w:before="0" w:after="0"/>
              <w:jc w:val="both"/>
              <w:rPr>
                <w:color w:val="000000" w:themeColor="text1"/>
                <w:sz w:val="22"/>
                <w:szCs w:val="22"/>
              </w:rPr>
            </w:pPr>
            <w:r>
              <w:rPr>
                <w:color w:val="000000" w:themeColor="text1"/>
                <w:sz w:val="22"/>
                <w:szCs w:val="22"/>
              </w:rPr>
              <w:t>Šis nosacījums tiek noteikts, lai:</w:t>
            </w:r>
          </w:p>
          <w:p w:rsidR="00471D1C" w:rsidRDefault="00471D1C" w:rsidP="00870977">
            <w:pPr>
              <w:pStyle w:val="naisc"/>
              <w:spacing w:before="0" w:after="0"/>
              <w:jc w:val="both"/>
              <w:rPr>
                <w:color w:val="000000" w:themeColor="text1"/>
                <w:sz w:val="22"/>
                <w:szCs w:val="22"/>
              </w:rPr>
            </w:pPr>
            <w:r>
              <w:rPr>
                <w:color w:val="000000" w:themeColor="text1"/>
                <w:sz w:val="22"/>
                <w:szCs w:val="22"/>
              </w:rPr>
              <w:t>- atļauju izsniegšanas un grozīšanas nosacījumus pielīdzinātu atļaujas A vai B kategorijas piesārņojošās darbības veikšanai</w:t>
            </w:r>
            <w:r w:rsidR="00157133">
              <w:rPr>
                <w:color w:val="000000" w:themeColor="text1"/>
                <w:sz w:val="22"/>
                <w:szCs w:val="22"/>
              </w:rPr>
              <w:t xml:space="preserve"> (atbilstoši Eiropas Parlamenta un Padomes direktīvas Nr.2003/87/EK 8.pantam, kurā ir noteikts, ka </w:t>
            </w:r>
            <w:r w:rsidR="00383D36">
              <w:rPr>
                <w:color w:val="000000" w:themeColor="text1"/>
                <w:sz w:val="22"/>
                <w:szCs w:val="22"/>
              </w:rPr>
              <w:t xml:space="preserve">siltumnīcefekta gāzu </w:t>
            </w:r>
            <w:r w:rsidR="00383D36">
              <w:rPr>
                <w:color w:val="000000" w:themeColor="text1"/>
                <w:sz w:val="22"/>
                <w:szCs w:val="22"/>
              </w:rPr>
              <w:lastRenderedPageBreak/>
              <w:t>emisijas atļaujas piešķiršanas nosacījumi nepieciešamības gadījumā ir jāpiemēro direktīvas 96/61/EK ietvaros noteikto atļauju izsniegšanas nosacījumiem)</w:t>
            </w:r>
            <w:r w:rsidR="00552B20">
              <w:rPr>
                <w:color w:val="000000" w:themeColor="text1"/>
                <w:sz w:val="22"/>
                <w:szCs w:val="22"/>
              </w:rPr>
              <w:t>;</w:t>
            </w:r>
          </w:p>
          <w:p w:rsidR="00552B20" w:rsidRDefault="00552B20" w:rsidP="00870977">
            <w:pPr>
              <w:pStyle w:val="naisc"/>
              <w:spacing w:before="0" w:after="0"/>
              <w:jc w:val="both"/>
              <w:rPr>
                <w:color w:val="000000" w:themeColor="text1"/>
                <w:sz w:val="22"/>
                <w:szCs w:val="22"/>
              </w:rPr>
            </w:pPr>
            <w:r>
              <w:rPr>
                <w:color w:val="000000" w:themeColor="text1"/>
                <w:sz w:val="22"/>
                <w:szCs w:val="22"/>
              </w:rPr>
              <w:t>- lai uzraudzītu un kontrolētu operatora veiktās darbības</w:t>
            </w:r>
            <w:r w:rsidR="009F7EAD">
              <w:rPr>
                <w:color w:val="000000" w:themeColor="text1"/>
                <w:sz w:val="22"/>
                <w:szCs w:val="22"/>
              </w:rPr>
              <w:t>, lai nodrošinātu, ka operatori veic grozījumus atļaujās, kā arī lai nodrošinātu, ka operatoru ieviestie grozījumi monitoringa nosacījumiem un iekārtu darbībās ir atbilstoši Eiropas Savienības un Latvijas tiesību aktos noteiktajiem nosacījumiem;</w:t>
            </w:r>
          </w:p>
          <w:p w:rsidR="009F7EAD" w:rsidRDefault="009F7EAD" w:rsidP="00870977">
            <w:pPr>
              <w:pStyle w:val="naisc"/>
              <w:spacing w:before="0" w:after="0"/>
              <w:jc w:val="both"/>
              <w:rPr>
                <w:color w:val="000000" w:themeColor="text1"/>
                <w:sz w:val="22"/>
                <w:szCs w:val="22"/>
              </w:rPr>
            </w:pPr>
            <w:r>
              <w:rPr>
                <w:color w:val="000000" w:themeColor="text1"/>
                <w:sz w:val="22"/>
                <w:szCs w:val="22"/>
              </w:rPr>
              <w:t>- lai mazinātu operatora risku un lai mazinātu administratīvo slogu gadījumā, ja ieviestie grozījumi monitoringa nosacījumos vai iekārtu darbībās ir neatbilstoši tiesību aktos noteiktajiem nosacījumiem (piemēram, ja operators veic fiziskas izmaiņas iekārtas darbībā, pēc kurām, iesniedzot grozījumus siltumnīcefekta gāzu emisijas atļaujā, tiek secināts, ka veiktie grozījumi nav atbilstoši un ir jāmaina).</w:t>
            </w:r>
          </w:p>
          <w:p w:rsidR="00BB4BB8" w:rsidRDefault="00BB4BB8" w:rsidP="00870977">
            <w:pPr>
              <w:pStyle w:val="naisc"/>
              <w:spacing w:before="0" w:after="0"/>
              <w:jc w:val="both"/>
              <w:rPr>
                <w:color w:val="000000" w:themeColor="text1"/>
              </w:rPr>
            </w:pPr>
            <w:r>
              <w:rPr>
                <w:color w:val="000000" w:themeColor="text1"/>
                <w:sz w:val="22"/>
                <w:szCs w:val="22"/>
              </w:rPr>
              <w:t>Tā kā regulas Nr.601/2012 16.panta 1.punktā ir noteikta operatora rīcības brīvība, tad stingrāki nosacījumi ir jānosaka Ministru kabineta noteikumos, tādējādi nosakot vienādus nosacījumus visiem operatoriem gan siltumnīcefekta gāzu emisijas atļaujas, gan atļaujas A vai B kategorijas piesārņojošās darbības saņemšanā un grozīšanā.</w:t>
            </w:r>
          </w:p>
        </w:tc>
      </w:tr>
      <w:tr w:rsidR="004D7C36" w:rsidRPr="0034370D" w:rsidTr="00E524D1">
        <w:trPr>
          <w:trHeight w:val="284"/>
          <w:jc w:val="center"/>
        </w:trPr>
        <w:tc>
          <w:tcPr>
            <w:tcW w:w="1748" w:type="dxa"/>
            <w:gridSpan w:val="2"/>
            <w:vAlign w:val="center"/>
          </w:tcPr>
          <w:p w:rsidR="00E57372" w:rsidRPr="0034370D" w:rsidRDefault="00E57372" w:rsidP="007F74DA">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71.pants</w:t>
            </w:r>
          </w:p>
        </w:tc>
        <w:tc>
          <w:tcPr>
            <w:tcW w:w="2807" w:type="dxa"/>
            <w:gridSpan w:val="2"/>
            <w:vAlign w:val="center"/>
          </w:tcPr>
          <w:p w:rsidR="00E57372" w:rsidRPr="0034370D" w:rsidRDefault="00E57372">
            <w:pPr>
              <w:spacing w:after="0"/>
              <w:jc w:val="left"/>
              <w:rPr>
                <w:rFonts w:ascii="Times New Roman" w:hAnsi="Times New Roman" w:cs="Times New Roman"/>
                <w:color w:val="000000" w:themeColor="text1"/>
              </w:rPr>
            </w:pPr>
            <w:r w:rsidRPr="0034370D">
              <w:rPr>
                <w:rFonts w:ascii="Times New Roman" w:hAnsi="Times New Roman" w:cs="Times New Roman"/>
                <w:color w:val="000000" w:themeColor="text1"/>
              </w:rPr>
              <w:t>noteikumu projekta 18.punkts</w:t>
            </w:r>
          </w:p>
        </w:tc>
        <w:tc>
          <w:tcPr>
            <w:tcW w:w="1683" w:type="dxa"/>
            <w:vAlign w:val="center"/>
          </w:tcPr>
          <w:p w:rsidR="00E57372" w:rsidRPr="0034370D" w:rsidRDefault="00F315C4" w:rsidP="007F74DA">
            <w:pPr>
              <w:spacing w:after="0"/>
              <w:ind w:left="57"/>
              <w:jc w:val="left"/>
              <w:rPr>
                <w:rFonts w:ascii="Times New Roman" w:hAnsi="Times New Roman" w:cs="Times New Roman"/>
                <w:color w:val="000000" w:themeColor="text1"/>
              </w:rPr>
            </w:pPr>
            <w:r>
              <w:rPr>
                <w:rFonts w:ascii="Times New Roman" w:hAnsi="Times New Roman" w:cs="Times New Roman"/>
                <w:color w:val="000000" w:themeColor="text1"/>
              </w:rPr>
              <w:t>Ieviests</w:t>
            </w:r>
          </w:p>
        </w:tc>
        <w:tc>
          <w:tcPr>
            <w:tcW w:w="3401" w:type="dxa"/>
            <w:vAlign w:val="center"/>
          </w:tcPr>
          <w:p w:rsidR="00E57372" w:rsidRPr="0034370D" w:rsidRDefault="00E57372" w:rsidP="007F74DA">
            <w:pPr>
              <w:pStyle w:val="naisc"/>
              <w:spacing w:before="0" w:after="0"/>
              <w:jc w:val="left"/>
              <w:rPr>
                <w:color w:val="000000" w:themeColor="text1"/>
              </w:rPr>
            </w:pPr>
          </w:p>
        </w:tc>
      </w:tr>
      <w:tr w:rsidR="004D7C36" w:rsidRPr="0034370D" w:rsidTr="00590493">
        <w:trPr>
          <w:trHeight w:val="284"/>
          <w:jc w:val="center"/>
        </w:trPr>
        <w:tc>
          <w:tcPr>
            <w:tcW w:w="9639" w:type="dxa"/>
            <w:gridSpan w:val="6"/>
          </w:tcPr>
          <w:p w:rsidR="00E57372" w:rsidRPr="0034370D" w:rsidRDefault="00E57372" w:rsidP="007F74DA">
            <w:pPr>
              <w:autoSpaceDE w:val="0"/>
              <w:autoSpaceDN w:val="0"/>
              <w:adjustRightInd w:val="0"/>
              <w:spacing w:after="0"/>
              <w:ind w:firstLine="289"/>
              <w:jc w:val="left"/>
              <w:rPr>
                <w:rFonts w:ascii="Times New Roman" w:hAnsi="Times New Roman" w:cs="Times New Roman"/>
                <w:color w:val="000000" w:themeColor="text1"/>
                <w:shd w:val="clear" w:color="auto" w:fill="FFFFFF"/>
              </w:rPr>
            </w:pPr>
          </w:p>
        </w:tc>
      </w:tr>
      <w:tr w:rsidR="004D7C36" w:rsidRPr="0034370D" w:rsidTr="00590493">
        <w:trPr>
          <w:trHeight w:val="284"/>
          <w:jc w:val="center"/>
        </w:trPr>
        <w:tc>
          <w:tcPr>
            <w:tcW w:w="1748" w:type="dxa"/>
            <w:gridSpan w:val="2"/>
          </w:tcPr>
          <w:p w:rsidR="00E57372" w:rsidRPr="0034370D" w:rsidRDefault="00E57372" w:rsidP="007F74DA">
            <w:pPr>
              <w:pStyle w:val="naisc"/>
              <w:spacing w:before="0" w:after="0"/>
              <w:jc w:val="left"/>
              <w:rPr>
                <w:color w:val="000000" w:themeColor="text1"/>
              </w:rPr>
            </w:pPr>
            <w:r w:rsidRPr="0034370D">
              <w:rPr>
                <w:color w:val="000000" w:themeColor="text1"/>
                <w:sz w:val="22"/>
                <w:szCs w:val="22"/>
              </w:rPr>
              <w:t>Kā ir izmantota ES tiesību aktā paredzētā rīcības brīvība dalībvalstij pārņemt vai ieviest noteiktas ES tiesību akta normas?</w:t>
            </w:r>
          </w:p>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Kādēļ?</w:t>
            </w:r>
            <w:r w:rsidRPr="0034370D">
              <w:rPr>
                <w:rFonts w:ascii="Times New Roman" w:hAnsi="Times New Roman" w:cs="Times New Roman"/>
                <w:color w:val="000000" w:themeColor="text1"/>
              </w:rPr>
              <w:tab/>
            </w:r>
          </w:p>
        </w:tc>
        <w:tc>
          <w:tcPr>
            <w:tcW w:w="7891" w:type="dxa"/>
            <w:gridSpan w:val="4"/>
          </w:tcPr>
          <w:p w:rsidR="00E57372" w:rsidRPr="0034370D" w:rsidRDefault="00F315C4" w:rsidP="007F74DA">
            <w:pPr>
              <w:pStyle w:val="naisc"/>
              <w:spacing w:before="0" w:after="0"/>
              <w:jc w:val="left"/>
              <w:rPr>
                <w:color w:val="000000" w:themeColor="text1"/>
              </w:rPr>
            </w:pPr>
            <w:r>
              <w:rPr>
                <w:color w:val="000000" w:themeColor="text1"/>
                <w:sz w:val="22"/>
                <w:szCs w:val="22"/>
              </w:rPr>
              <w:t>Regula ir tieši piemērojama, tomēr, tā kā regulas Nr. 601/2012 vairākos punktos ir pieļauta kompetento iestāžu vai operatoru / gaisa kuģu operatoru izvēles brīvība („var/nevar”, „drīkst/nedrīkst”), ar noteikumu projektu tiek noteikti nosacījumi, kuros regulā Nr.601/2012 ir pieļauta izvēle.</w:t>
            </w:r>
          </w:p>
        </w:tc>
      </w:tr>
      <w:tr w:rsidR="004D7C36" w:rsidRPr="0034370D" w:rsidTr="00590493">
        <w:trPr>
          <w:trHeight w:val="284"/>
          <w:jc w:val="center"/>
        </w:trPr>
        <w:tc>
          <w:tcPr>
            <w:tcW w:w="1748" w:type="dxa"/>
            <w:gridSpan w:val="2"/>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t xml:space="preserve">Saistības sniegt paziņojumu ES institūcijām un ES dalībvalstīm atbilstoši </w:t>
            </w:r>
            <w:r w:rsidRPr="0034370D">
              <w:rPr>
                <w:rFonts w:ascii="Times New Roman" w:hAnsi="Times New Roman" w:cs="Times New Roman"/>
                <w:color w:val="000000" w:themeColor="text1"/>
              </w:rPr>
              <w:lastRenderedPageBreak/>
              <w:t>normatīvajiem aktiem, kas regulē informācijas sniegšanu par tehnisko noteikumu, valsts atbalsts piešķiršanas un finanšu noteikumus (attiecībā un monetāro politiku)</w:t>
            </w:r>
          </w:p>
        </w:tc>
        <w:tc>
          <w:tcPr>
            <w:tcW w:w="7891" w:type="dxa"/>
            <w:gridSpan w:val="4"/>
          </w:tcPr>
          <w:p w:rsidR="00E57372" w:rsidRPr="0034370D" w:rsidRDefault="00E57372" w:rsidP="007F74DA">
            <w:pPr>
              <w:pStyle w:val="naisc"/>
              <w:spacing w:before="0" w:after="0"/>
              <w:ind w:firstLine="266"/>
              <w:jc w:val="left"/>
              <w:rPr>
                <w:color w:val="000000" w:themeColor="text1"/>
              </w:rPr>
            </w:pPr>
          </w:p>
        </w:tc>
      </w:tr>
      <w:tr w:rsidR="004D7C36" w:rsidRPr="0034370D" w:rsidTr="00590493">
        <w:trPr>
          <w:trHeight w:val="284"/>
          <w:jc w:val="center"/>
        </w:trPr>
        <w:tc>
          <w:tcPr>
            <w:tcW w:w="1748" w:type="dxa"/>
            <w:gridSpan w:val="2"/>
          </w:tcPr>
          <w:p w:rsidR="00E57372" w:rsidRPr="0034370D" w:rsidRDefault="00E57372" w:rsidP="007F74DA">
            <w:pPr>
              <w:spacing w:after="0"/>
              <w:ind w:left="57"/>
              <w:jc w:val="left"/>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Cita informācija</w:t>
            </w:r>
          </w:p>
        </w:tc>
        <w:tc>
          <w:tcPr>
            <w:tcW w:w="7891" w:type="dxa"/>
            <w:gridSpan w:val="4"/>
          </w:tcPr>
          <w:p w:rsidR="00E57372" w:rsidRPr="0034370D" w:rsidRDefault="00E57372" w:rsidP="007F74DA">
            <w:pPr>
              <w:pStyle w:val="naisc"/>
              <w:spacing w:before="0" w:after="0"/>
              <w:ind w:firstLine="266"/>
              <w:jc w:val="left"/>
              <w:rPr>
                <w:color w:val="000000" w:themeColor="text1"/>
              </w:rPr>
            </w:pPr>
            <w:r w:rsidRPr="0034370D">
              <w:rPr>
                <w:iCs/>
                <w:color w:val="000000" w:themeColor="text1"/>
                <w:sz w:val="22"/>
                <w:szCs w:val="22"/>
                <w:lang w:val="de-DE"/>
              </w:rPr>
              <w:t>Nav</w:t>
            </w:r>
          </w:p>
        </w:tc>
      </w:tr>
      <w:tr w:rsidR="004D7C36" w:rsidRPr="0034370D" w:rsidTr="00590493">
        <w:trPr>
          <w:trHeight w:val="284"/>
          <w:jc w:val="center"/>
        </w:trPr>
        <w:tc>
          <w:tcPr>
            <w:tcW w:w="9639" w:type="dxa"/>
            <w:gridSpan w:val="6"/>
          </w:tcPr>
          <w:p w:rsidR="00E57372" w:rsidRPr="0034370D" w:rsidRDefault="00E57372" w:rsidP="007F74DA">
            <w:pPr>
              <w:pStyle w:val="naisc"/>
              <w:spacing w:before="0" w:after="0"/>
              <w:ind w:firstLine="266"/>
              <w:rPr>
                <w:b/>
                <w:color w:val="000000" w:themeColor="text1"/>
              </w:rPr>
            </w:pPr>
            <w:r w:rsidRPr="0034370D">
              <w:rPr>
                <w:b/>
                <w:color w:val="000000" w:themeColor="text1"/>
              </w:rPr>
              <w:t>2.tabula</w:t>
            </w:r>
          </w:p>
          <w:p w:rsidR="00E57372" w:rsidRPr="0034370D" w:rsidRDefault="00E57372" w:rsidP="007F74DA">
            <w:pPr>
              <w:pStyle w:val="naisc"/>
              <w:spacing w:before="0" w:after="0"/>
              <w:ind w:firstLine="266"/>
              <w:rPr>
                <w:b/>
                <w:color w:val="000000" w:themeColor="text1"/>
              </w:rPr>
            </w:pPr>
            <w:r w:rsidRPr="0034370D">
              <w:rPr>
                <w:b/>
                <w:color w:val="000000" w:themeColor="text1"/>
              </w:rPr>
              <w:t>Ar tiesību akta projektu izpildītās vai uzņemtās saistības, kas izriet no starptautiskajiem tiesību aktiem vai starptautiskas institūcijas vai organizācijas dokumentiem.</w:t>
            </w:r>
          </w:p>
          <w:p w:rsidR="00E57372" w:rsidRPr="0034370D" w:rsidRDefault="00E57372" w:rsidP="007F74DA">
            <w:pPr>
              <w:pStyle w:val="naisc"/>
              <w:spacing w:before="0" w:after="0"/>
              <w:ind w:firstLine="266"/>
              <w:rPr>
                <w:i/>
                <w:color w:val="000000" w:themeColor="text1"/>
              </w:rPr>
            </w:pPr>
            <w:r w:rsidRPr="0034370D">
              <w:rPr>
                <w:b/>
                <w:color w:val="000000" w:themeColor="text1"/>
              </w:rPr>
              <w:t>Pasākumi šo saistību izpildei</w:t>
            </w:r>
          </w:p>
        </w:tc>
      </w:tr>
      <w:tr w:rsidR="004D7C36" w:rsidRPr="0034370D" w:rsidTr="00590493">
        <w:trPr>
          <w:trHeight w:val="284"/>
          <w:jc w:val="center"/>
        </w:trPr>
        <w:tc>
          <w:tcPr>
            <w:tcW w:w="9639" w:type="dxa"/>
            <w:gridSpan w:val="6"/>
          </w:tcPr>
          <w:p w:rsidR="00E57372" w:rsidRPr="0034370D" w:rsidRDefault="00E57372" w:rsidP="007F74DA">
            <w:pPr>
              <w:pStyle w:val="naisc"/>
              <w:spacing w:before="0" w:after="0"/>
              <w:ind w:firstLine="266"/>
              <w:jc w:val="left"/>
              <w:rPr>
                <w:color w:val="000000" w:themeColor="text1"/>
              </w:rPr>
            </w:pPr>
            <w:r w:rsidRPr="0034370D">
              <w:rPr>
                <w:color w:val="000000" w:themeColor="text1"/>
                <w:sz w:val="22"/>
                <w:szCs w:val="22"/>
              </w:rPr>
              <w:t>Projekts šo jomu neskar</w:t>
            </w:r>
          </w:p>
        </w:tc>
      </w:tr>
      <w:tr w:rsidR="0034370D" w:rsidRPr="0034370D" w:rsidTr="009E76F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rPr>
          <w:trHeight w:val="420"/>
          <w:jc w:val="center"/>
        </w:trPr>
        <w:tc>
          <w:tcPr>
            <w:tcW w:w="9639" w:type="dxa"/>
            <w:gridSpan w:val="6"/>
            <w:tcBorders>
              <w:top w:val="outset" w:sz="6" w:space="0" w:color="414142"/>
              <w:left w:val="outset" w:sz="6" w:space="0" w:color="414142"/>
              <w:bottom w:val="outset" w:sz="6" w:space="0" w:color="414142"/>
              <w:right w:val="outset" w:sz="6" w:space="0" w:color="414142"/>
            </w:tcBorders>
            <w:vAlign w:val="center"/>
            <w:hideMark/>
          </w:tcPr>
          <w:p w:rsidR="006A32CD" w:rsidRPr="006A32CD" w:rsidRDefault="006A32CD" w:rsidP="0034370D">
            <w:pPr>
              <w:spacing w:after="0"/>
              <w:jc w:val="center"/>
              <w:rPr>
                <w:rFonts w:ascii="Times New Roman" w:eastAsia="Times New Roman" w:hAnsi="Times New Roman" w:cs="Times New Roman"/>
                <w:b/>
                <w:bCs/>
                <w:color w:val="000000" w:themeColor="text1"/>
                <w:sz w:val="24"/>
                <w:szCs w:val="24"/>
                <w:lang w:eastAsia="lv-LV"/>
              </w:rPr>
            </w:pPr>
            <w:r w:rsidRPr="006A32CD">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34370D" w:rsidRPr="0034370D" w:rsidTr="009E76F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rPr>
          <w:trHeight w:val="540"/>
          <w:jc w:val="center"/>
        </w:trPr>
        <w:tc>
          <w:tcPr>
            <w:tcW w:w="482" w:type="dxa"/>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1.</w:t>
            </w:r>
          </w:p>
        </w:tc>
        <w:tc>
          <w:tcPr>
            <w:tcW w:w="2892" w:type="dxa"/>
            <w:gridSpan w:val="2"/>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Plānotās sabiedrības līdzdalības un komunikācijas aktivitātes saistībā ar projektu</w:t>
            </w:r>
          </w:p>
        </w:tc>
        <w:tc>
          <w:tcPr>
            <w:tcW w:w="6265" w:type="dxa"/>
            <w:gridSpan w:val="3"/>
            <w:tcBorders>
              <w:top w:val="outset" w:sz="6" w:space="0" w:color="414142"/>
              <w:left w:val="outset" w:sz="6" w:space="0" w:color="414142"/>
              <w:bottom w:val="outset" w:sz="6" w:space="0" w:color="414142"/>
              <w:right w:val="outset" w:sz="6" w:space="0" w:color="414142"/>
            </w:tcBorders>
            <w:hideMark/>
          </w:tcPr>
          <w:p w:rsidR="006A32CD" w:rsidRPr="006A32CD" w:rsidRDefault="00E57372" w:rsidP="007F74DA">
            <w:pPr>
              <w:spacing w:after="60"/>
              <w:ind w:firstLine="255"/>
              <w:jc w:val="left"/>
              <w:rPr>
                <w:rFonts w:ascii="Times New Roman" w:eastAsia="Times New Roman" w:hAnsi="Times New Roman" w:cs="Times New Roman"/>
                <w:color w:val="000000" w:themeColor="text1"/>
                <w:lang w:eastAsia="lv-LV"/>
              </w:rPr>
            </w:pPr>
            <w:r w:rsidRPr="0034370D">
              <w:rPr>
                <w:rFonts w:ascii="Times New Roman" w:hAnsi="Times New Roman" w:cs="Times New Roman"/>
                <w:color w:val="000000" w:themeColor="text1"/>
              </w:rPr>
              <w:t>Noteikumu projekts ievietots publiskai apspriešanai Vides aizsardzības un reģionālās attīstības ministrijas tīmekļa vietnē 2013.gada 5.augustā.</w:t>
            </w:r>
          </w:p>
        </w:tc>
      </w:tr>
      <w:tr w:rsidR="0034370D" w:rsidRPr="0034370D" w:rsidTr="009E76F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rPr>
          <w:trHeight w:val="330"/>
          <w:jc w:val="center"/>
        </w:trPr>
        <w:tc>
          <w:tcPr>
            <w:tcW w:w="482" w:type="dxa"/>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2.</w:t>
            </w:r>
          </w:p>
        </w:tc>
        <w:tc>
          <w:tcPr>
            <w:tcW w:w="2892" w:type="dxa"/>
            <w:gridSpan w:val="2"/>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Sabiedrības līdzdalība projekta izstrādē</w:t>
            </w:r>
          </w:p>
        </w:tc>
        <w:tc>
          <w:tcPr>
            <w:tcW w:w="6265" w:type="dxa"/>
            <w:gridSpan w:val="3"/>
            <w:tcBorders>
              <w:top w:val="outset" w:sz="6" w:space="0" w:color="414142"/>
              <w:left w:val="outset" w:sz="6" w:space="0" w:color="414142"/>
              <w:bottom w:val="outset" w:sz="6" w:space="0" w:color="414142"/>
              <w:right w:val="outset" w:sz="6" w:space="0" w:color="414142"/>
            </w:tcBorders>
            <w:hideMark/>
          </w:tcPr>
          <w:p w:rsidR="006A32CD" w:rsidRPr="006A32CD" w:rsidRDefault="00E57372" w:rsidP="007F74DA">
            <w:pPr>
              <w:spacing w:after="60"/>
              <w:ind w:firstLine="255"/>
              <w:jc w:val="left"/>
              <w:rPr>
                <w:rFonts w:ascii="Times New Roman" w:eastAsia="Times New Roman" w:hAnsi="Times New Roman" w:cs="Times New Roman"/>
                <w:color w:val="000000" w:themeColor="text1"/>
                <w:lang w:eastAsia="lv-LV"/>
              </w:rPr>
            </w:pPr>
            <w:r w:rsidRPr="0034370D">
              <w:rPr>
                <w:rFonts w:ascii="Times New Roman" w:hAnsi="Times New Roman" w:cs="Times New Roman"/>
                <w:color w:val="000000" w:themeColor="text1"/>
              </w:rPr>
              <w:t>Projekts šo jomu neskar</w:t>
            </w:r>
          </w:p>
        </w:tc>
      </w:tr>
      <w:tr w:rsidR="0034370D" w:rsidRPr="0034370D" w:rsidTr="009E76F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rPr>
          <w:trHeight w:val="465"/>
          <w:jc w:val="center"/>
        </w:trPr>
        <w:tc>
          <w:tcPr>
            <w:tcW w:w="482" w:type="dxa"/>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3.</w:t>
            </w:r>
          </w:p>
        </w:tc>
        <w:tc>
          <w:tcPr>
            <w:tcW w:w="2892" w:type="dxa"/>
            <w:gridSpan w:val="2"/>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Sabiedrības līdzdalības rezultāti</w:t>
            </w:r>
          </w:p>
        </w:tc>
        <w:tc>
          <w:tcPr>
            <w:tcW w:w="6265" w:type="dxa"/>
            <w:gridSpan w:val="3"/>
            <w:tcBorders>
              <w:top w:val="outset" w:sz="6" w:space="0" w:color="414142"/>
              <w:left w:val="outset" w:sz="6" w:space="0" w:color="414142"/>
              <w:bottom w:val="outset" w:sz="6" w:space="0" w:color="414142"/>
              <w:right w:val="outset" w:sz="6" w:space="0" w:color="414142"/>
            </w:tcBorders>
            <w:hideMark/>
          </w:tcPr>
          <w:p w:rsidR="006A32CD" w:rsidRPr="006A32CD" w:rsidRDefault="00E57372" w:rsidP="007F74DA">
            <w:pPr>
              <w:spacing w:after="60"/>
              <w:ind w:firstLine="255"/>
              <w:jc w:val="left"/>
              <w:rPr>
                <w:rFonts w:ascii="Times New Roman" w:eastAsia="Times New Roman" w:hAnsi="Times New Roman" w:cs="Times New Roman"/>
                <w:color w:val="000000" w:themeColor="text1"/>
                <w:lang w:eastAsia="lv-LV"/>
              </w:rPr>
            </w:pPr>
            <w:r w:rsidRPr="0034370D">
              <w:rPr>
                <w:rFonts w:ascii="Times New Roman" w:hAnsi="Times New Roman" w:cs="Times New Roman"/>
                <w:color w:val="000000" w:themeColor="text1"/>
              </w:rPr>
              <w:t>Pēc noteikumu projekta ievietošanas tīmekļa vietnē netika saņemti iebildumi vai priekšlikumi par noteikumu projektu.</w:t>
            </w:r>
          </w:p>
        </w:tc>
      </w:tr>
      <w:tr w:rsidR="0034370D" w:rsidRPr="0034370D" w:rsidTr="009E76F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rPr>
          <w:trHeight w:val="465"/>
          <w:jc w:val="center"/>
        </w:trPr>
        <w:tc>
          <w:tcPr>
            <w:tcW w:w="482" w:type="dxa"/>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4.</w:t>
            </w:r>
          </w:p>
        </w:tc>
        <w:tc>
          <w:tcPr>
            <w:tcW w:w="2892" w:type="dxa"/>
            <w:gridSpan w:val="2"/>
            <w:tcBorders>
              <w:top w:val="outset" w:sz="6" w:space="0" w:color="414142"/>
              <w:left w:val="outset" w:sz="6" w:space="0" w:color="414142"/>
              <w:bottom w:val="outset" w:sz="6" w:space="0" w:color="414142"/>
              <w:right w:val="outset" w:sz="6" w:space="0" w:color="414142"/>
            </w:tcBorders>
            <w:hideMark/>
          </w:tcPr>
          <w:p w:rsidR="006A32CD" w:rsidRPr="006A32CD" w:rsidRDefault="006A32CD" w:rsidP="0034370D">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Cita informācija</w:t>
            </w:r>
          </w:p>
        </w:tc>
        <w:tc>
          <w:tcPr>
            <w:tcW w:w="6265" w:type="dxa"/>
            <w:gridSpan w:val="3"/>
            <w:tcBorders>
              <w:top w:val="outset" w:sz="6" w:space="0" w:color="414142"/>
              <w:left w:val="outset" w:sz="6" w:space="0" w:color="414142"/>
              <w:bottom w:val="outset" w:sz="6" w:space="0" w:color="414142"/>
              <w:right w:val="outset" w:sz="6" w:space="0" w:color="414142"/>
            </w:tcBorders>
            <w:hideMark/>
          </w:tcPr>
          <w:p w:rsidR="006A32CD" w:rsidRPr="006A32CD" w:rsidRDefault="00E57372" w:rsidP="007F74DA">
            <w:pPr>
              <w:spacing w:after="60"/>
              <w:ind w:firstLine="255"/>
              <w:jc w:val="left"/>
              <w:rPr>
                <w:rFonts w:ascii="Times New Roman" w:eastAsia="Times New Roman" w:hAnsi="Times New Roman" w:cs="Times New Roman"/>
                <w:color w:val="000000" w:themeColor="text1"/>
                <w:lang w:eastAsia="lv-LV"/>
              </w:rPr>
            </w:pPr>
            <w:r w:rsidRPr="0034370D">
              <w:rPr>
                <w:rFonts w:ascii="Times New Roman" w:eastAsia="Times New Roman" w:hAnsi="Times New Roman" w:cs="Times New Roman"/>
                <w:color w:val="000000" w:themeColor="text1"/>
                <w:lang w:eastAsia="lv-LV"/>
              </w:rPr>
              <w:t>Nav</w:t>
            </w:r>
          </w:p>
        </w:tc>
      </w:tr>
    </w:tbl>
    <w:p w:rsidR="006A32CD" w:rsidRPr="007F74DA" w:rsidRDefault="006A32CD" w:rsidP="0034370D">
      <w:pPr>
        <w:spacing w:after="0"/>
        <w:ind w:firstLine="301"/>
        <w:jc w:val="left"/>
        <w:rPr>
          <w:rFonts w:ascii="Times New Roman" w:eastAsia="Times New Roman" w:hAnsi="Times New Roman" w:cs="Times New Roman"/>
          <w:color w:val="000000" w:themeColor="text1"/>
          <w:sz w:val="24"/>
          <w:szCs w:val="24"/>
          <w:lang w:eastAsia="lv-LV"/>
        </w:rPr>
      </w:pPr>
      <w:r w:rsidRPr="006A32CD">
        <w:rPr>
          <w:rFonts w:ascii="Times New Roman" w:eastAsia="Times New Roman" w:hAnsi="Times New Roman" w:cs="Times New Roman"/>
          <w:color w:val="000000" w:themeColor="text1"/>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1"/>
        <w:gridCol w:w="3146"/>
        <w:gridCol w:w="6122"/>
      </w:tblGrid>
      <w:tr w:rsidR="0034370D" w:rsidRPr="0034370D" w:rsidTr="00590493">
        <w:trPr>
          <w:jc w:val="center"/>
        </w:trPr>
        <w:tc>
          <w:tcPr>
            <w:tcW w:w="9639" w:type="dxa"/>
            <w:gridSpan w:val="3"/>
          </w:tcPr>
          <w:p w:rsidR="00E57372" w:rsidRPr="0034370D" w:rsidRDefault="00E57372" w:rsidP="0034370D">
            <w:pPr>
              <w:pStyle w:val="naisnod"/>
              <w:spacing w:before="0" w:after="0"/>
              <w:ind w:left="57" w:right="57"/>
              <w:rPr>
                <w:color w:val="000000" w:themeColor="text1"/>
              </w:rPr>
            </w:pPr>
            <w:r w:rsidRPr="0034370D">
              <w:rPr>
                <w:color w:val="000000" w:themeColor="text1"/>
              </w:rPr>
              <w:t>VII. Tiesību akta projekta izpildes nodrošināšana un tās ietekme uz institūcijām</w:t>
            </w:r>
          </w:p>
        </w:tc>
      </w:tr>
      <w:tr w:rsidR="0034370D" w:rsidRPr="0034370D" w:rsidTr="00590493">
        <w:trPr>
          <w:trHeight w:val="427"/>
          <w:jc w:val="center"/>
        </w:trPr>
        <w:tc>
          <w:tcPr>
            <w:tcW w:w="371" w:type="dxa"/>
          </w:tcPr>
          <w:p w:rsidR="00E57372" w:rsidRPr="0034370D" w:rsidRDefault="00E57372" w:rsidP="0034370D">
            <w:pPr>
              <w:spacing w:after="0"/>
              <w:ind w:left="57" w:right="57"/>
              <w:rPr>
                <w:rFonts w:ascii="Times New Roman" w:hAnsi="Times New Roman" w:cs="Times New Roman"/>
                <w:color w:val="000000" w:themeColor="text1"/>
              </w:rPr>
            </w:pPr>
            <w:r w:rsidRPr="0034370D">
              <w:rPr>
                <w:rFonts w:ascii="Times New Roman" w:hAnsi="Times New Roman" w:cs="Times New Roman"/>
                <w:color w:val="000000" w:themeColor="text1"/>
              </w:rPr>
              <w:t>1.</w:t>
            </w:r>
          </w:p>
        </w:tc>
        <w:tc>
          <w:tcPr>
            <w:tcW w:w="3146" w:type="dxa"/>
          </w:tcPr>
          <w:p w:rsidR="00E57372" w:rsidRPr="0034370D" w:rsidRDefault="00E57372" w:rsidP="0034370D">
            <w:pPr>
              <w:pStyle w:val="Header"/>
              <w:ind w:left="57" w:right="57"/>
              <w:rPr>
                <w:color w:val="000000" w:themeColor="text1"/>
              </w:rPr>
            </w:pPr>
            <w:r w:rsidRPr="0034370D">
              <w:rPr>
                <w:color w:val="000000" w:themeColor="text1"/>
                <w:sz w:val="22"/>
                <w:szCs w:val="22"/>
              </w:rPr>
              <w:t xml:space="preserve">Projekta izpildē iesaistītās institūcijas </w:t>
            </w:r>
          </w:p>
        </w:tc>
        <w:tc>
          <w:tcPr>
            <w:tcW w:w="6122" w:type="dxa"/>
          </w:tcPr>
          <w:p w:rsidR="00E57372" w:rsidRPr="0034370D" w:rsidRDefault="00E57372" w:rsidP="003E5242">
            <w:pPr>
              <w:pStyle w:val="naisnod"/>
              <w:spacing w:before="0" w:after="60"/>
              <w:ind w:left="141"/>
              <w:jc w:val="left"/>
              <w:rPr>
                <w:b w:val="0"/>
                <w:color w:val="000000" w:themeColor="text1"/>
              </w:rPr>
            </w:pPr>
            <w:r w:rsidRPr="0034370D">
              <w:rPr>
                <w:b w:val="0"/>
                <w:color w:val="000000" w:themeColor="text1"/>
                <w:sz w:val="22"/>
                <w:szCs w:val="22"/>
              </w:rPr>
              <w:t>Vides aizsardzības un reģionālās attīstības ministrija;</w:t>
            </w:r>
          </w:p>
          <w:p w:rsidR="00E57372" w:rsidRPr="0034370D" w:rsidRDefault="00E57372" w:rsidP="003E5242">
            <w:pPr>
              <w:pStyle w:val="naisnod"/>
              <w:spacing w:before="0" w:after="60"/>
              <w:ind w:left="141"/>
              <w:jc w:val="left"/>
              <w:rPr>
                <w:b w:val="0"/>
                <w:color w:val="000000" w:themeColor="text1"/>
              </w:rPr>
            </w:pPr>
            <w:r w:rsidRPr="0034370D">
              <w:rPr>
                <w:b w:val="0"/>
                <w:color w:val="000000" w:themeColor="text1"/>
                <w:sz w:val="22"/>
                <w:szCs w:val="22"/>
              </w:rPr>
              <w:t>Valsts vides dienests;</w:t>
            </w:r>
          </w:p>
          <w:p w:rsidR="00E57372" w:rsidRPr="0034370D" w:rsidRDefault="00E57372" w:rsidP="003E5242">
            <w:pPr>
              <w:pStyle w:val="naisnod"/>
              <w:spacing w:before="0" w:after="60"/>
              <w:ind w:left="141"/>
              <w:jc w:val="left"/>
              <w:rPr>
                <w:b w:val="0"/>
                <w:color w:val="000000" w:themeColor="text1"/>
              </w:rPr>
            </w:pPr>
            <w:r w:rsidRPr="0034370D">
              <w:rPr>
                <w:b w:val="0"/>
                <w:color w:val="000000" w:themeColor="text1"/>
                <w:sz w:val="22"/>
                <w:szCs w:val="22"/>
              </w:rPr>
              <w:t>Valsts vides dienesta reģionālās vides pārvaldes;</w:t>
            </w:r>
          </w:p>
          <w:p w:rsidR="00E57372" w:rsidRPr="0034370D" w:rsidRDefault="00E57372" w:rsidP="003E5242">
            <w:pPr>
              <w:pStyle w:val="naisnod"/>
              <w:spacing w:before="0" w:after="60"/>
              <w:ind w:left="141"/>
              <w:jc w:val="left"/>
              <w:rPr>
                <w:b w:val="0"/>
                <w:color w:val="000000" w:themeColor="text1"/>
              </w:rPr>
            </w:pPr>
            <w:r w:rsidRPr="0034370D">
              <w:rPr>
                <w:b w:val="0"/>
                <w:color w:val="000000" w:themeColor="text1"/>
                <w:sz w:val="22"/>
                <w:szCs w:val="22"/>
              </w:rPr>
              <w:t>Latvijas Nacionālais Akreditācijas birojs;</w:t>
            </w:r>
          </w:p>
          <w:p w:rsidR="00E57372" w:rsidRPr="0034370D" w:rsidRDefault="00E57372" w:rsidP="003E5242">
            <w:pPr>
              <w:pStyle w:val="naisnod"/>
              <w:spacing w:before="0" w:after="60"/>
              <w:ind w:left="141"/>
              <w:jc w:val="left"/>
              <w:rPr>
                <w:b w:val="0"/>
                <w:color w:val="000000" w:themeColor="text1"/>
              </w:rPr>
            </w:pPr>
            <w:r w:rsidRPr="0034370D">
              <w:rPr>
                <w:b w:val="0"/>
                <w:color w:val="000000" w:themeColor="text1"/>
                <w:sz w:val="22"/>
                <w:szCs w:val="22"/>
              </w:rPr>
              <w:t>Valsts sabiedrība ar ierobežotu atbildību „Latvijas Vides, ģeoloģijas un meteoroloģijas centrs”.</w:t>
            </w:r>
          </w:p>
        </w:tc>
      </w:tr>
      <w:tr w:rsidR="0034370D" w:rsidRPr="0034370D" w:rsidTr="00590493">
        <w:trPr>
          <w:trHeight w:val="463"/>
          <w:jc w:val="center"/>
        </w:trPr>
        <w:tc>
          <w:tcPr>
            <w:tcW w:w="371" w:type="dxa"/>
          </w:tcPr>
          <w:p w:rsidR="00E57372" w:rsidRPr="0034370D" w:rsidRDefault="00E57372" w:rsidP="0034370D">
            <w:pPr>
              <w:spacing w:after="0"/>
              <w:ind w:left="57" w:right="57"/>
              <w:rPr>
                <w:rFonts w:ascii="Times New Roman" w:hAnsi="Times New Roman" w:cs="Times New Roman"/>
                <w:color w:val="000000" w:themeColor="text1"/>
              </w:rPr>
            </w:pPr>
            <w:r w:rsidRPr="0034370D">
              <w:rPr>
                <w:rFonts w:ascii="Times New Roman" w:hAnsi="Times New Roman" w:cs="Times New Roman"/>
                <w:color w:val="000000" w:themeColor="text1"/>
              </w:rPr>
              <w:t>2.</w:t>
            </w:r>
          </w:p>
        </w:tc>
        <w:tc>
          <w:tcPr>
            <w:tcW w:w="3146" w:type="dxa"/>
          </w:tcPr>
          <w:p w:rsidR="00E57372" w:rsidRPr="0034370D" w:rsidRDefault="00E57372" w:rsidP="0034370D">
            <w:pPr>
              <w:pStyle w:val="Header"/>
              <w:ind w:left="57" w:right="57"/>
              <w:rPr>
                <w:color w:val="000000" w:themeColor="text1"/>
              </w:rPr>
            </w:pPr>
            <w:r w:rsidRPr="0034370D">
              <w:rPr>
                <w:color w:val="000000" w:themeColor="text1"/>
                <w:sz w:val="22"/>
                <w:szCs w:val="22"/>
              </w:rPr>
              <w:t xml:space="preserve">Projekta izpildes ietekme uz pārvaldes funkcijām </w:t>
            </w:r>
          </w:p>
        </w:tc>
        <w:tc>
          <w:tcPr>
            <w:tcW w:w="6122" w:type="dxa"/>
          </w:tcPr>
          <w:p w:rsidR="00E57372" w:rsidRPr="0034370D" w:rsidRDefault="00E57372" w:rsidP="007F74DA">
            <w:pPr>
              <w:pStyle w:val="naisnod"/>
              <w:spacing w:before="0" w:after="60"/>
              <w:ind w:firstLine="278"/>
              <w:jc w:val="both"/>
              <w:rPr>
                <w:b w:val="0"/>
                <w:color w:val="000000" w:themeColor="text1"/>
                <w:sz w:val="22"/>
                <w:szCs w:val="22"/>
              </w:rPr>
            </w:pPr>
            <w:r w:rsidRPr="0034370D">
              <w:rPr>
                <w:b w:val="0"/>
                <w:color w:val="000000" w:themeColor="text1"/>
                <w:sz w:val="22"/>
                <w:szCs w:val="22"/>
              </w:rPr>
              <w:t>Noteikumu projektā noteiktie noteikumu Nr.769 grozījumi neietekmē jau ar noteikumiem Nr.769 noteiktās Pārvaldes funkcijas.</w:t>
            </w:r>
          </w:p>
          <w:p w:rsidR="00E57372" w:rsidRPr="0034370D" w:rsidRDefault="00E57372" w:rsidP="007F74DA">
            <w:pPr>
              <w:pStyle w:val="naisnod"/>
              <w:spacing w:before="0" w:after="60"/>
              <w:ind w:firstLine="278"/>
              <w:jc w:val="both"/>
              <w:rPr>
                <w:b w:val="0"/>
                <w:color w:val="000000" w:themeColor="text1"/>
              </w:rPr>
            </w:pPr>
            <w:r w:rsidRPr="0034370D">
              <w:rPr>
                <w:b w:val="0"/>
                <w:color w:val="000000" w:themeColor="text1"/>
                <w:sz w:val="22"/>
                <w:szCs w:val="22"/>
              </w:rPr>
              <w:t>Noteikumu projekts precizē Pārvaldes pienākumus un nosaka termiņus Pārvaldes procedūru veikšanai.</w:t>
            </w:r>
          </w:p>
        </w:tc>
      </w:tr>
      <w:tr w:rsidR="0034370D" w:rsidRPr="0034370D" w:rsidTr="00590493">
        <w:trPr>
          <w:trHeight w:val="725"/>
          <w:jc w:val="center"/>
        </w:trPr>
        <w:tc>
          <w:tcPr>
            <w:tcW w:w="371" w:type="dxa"/>
          </w:tcPr>
          <w:p w:rsidR="00E57372" w:rsidRPr="0034370D" w:rsidRDefault="00E57372" w:rsidP="0034370D">
            <w:pPr>
              <w:spacing w:after="0"/>
              <w:ind w:left="57" w:right="57"/>
              <w:rPr>
                <w:rFonts w:ascii="Times New Roman" w:hAnsi="Times New Roman" w:cs="Times New Roman"/>
                <w:color w:val="000000" w:themeColor="text1"/>
              </w:rPr>
            </w:pPr>
            <w:r w:rsidRPr="0034370D">
              <w:rPr>
                <w:rFonts w:ascii="Times New Roman" w:hAnsi="Times New Roman" w:cs="Times New Roman"/>
                <w:color w:val="000000" w:themeColor="text1"/>
              </w:rPr>
              <w:t>3.</w:t>
            </w:r>
          </w:p>
        </w:tc>
        <w:tc>
          <w:tcPr>
            <w:tcW w:w="3146" w:type="dxa"/>
          </w:tcPr>
          <w:p w:rsidR="00E57372" w:rsidRPr="0034370D" w:rsidRDefault="00E57372" w:rsidP="0034370D">
            <w:pPr>
              <w:pStyle w:val="Header"/>
              <w:ind w:left="57" w:right="57"/>
              <w:rPr>
                <w:color w:val="000000" w:themeColor="text1"/>
              </w:rPr>
            </w:pPr>
            <w:r w:rsidRPr="0034370D">
              <w:rPr>
                <w:color w:val="000000" w:themeColor="text1"/>
                <w:sz w:val="22"/>
                <w:szCs w:val="22"/>
              </w:rPr>
              <w:t>Projekta izpildes ietekme uz pārvaldes institucionālo struktūru.</w:t>
            </w:r>
          </w:p>
          <w:p w:rsidR="00E57372" w:rsidRPr="0034370D" w:rsidRDefault="00E57372" w:rsidP="0034370D">
            <w:pPr>
              <w:pStyle w:val="Header"/>
              <w:ind w:left="57" w:right="57"/>
              <w:rPr>
                <w:color w:val="000000" w:themeColor="text1"/>
              </w:rPr>
            </w:pPr>
            <w:r w:rsidRPr="0034370D">
              <w:rPr>
                <w:color w:val="000000" w:themeColor="text1"/>
                <w:sz w:val="22"/>
                <w:szCs w:val="22"/>
              </w:rPr>
              <w:t>Jaunu institūciju izveide</w:t>
            </w:r>
          </w:p>
        </w:tc>
        <w:tc>
          <w:tcPr>
            <w:tcW w:w="6122" w:type="dxa"/>
          </w:tcPr>
          <w:p w:rsidR="00E57372" w:rsidRPr="0034370D" w:rsidRDefault="00E57372" w:rsidP="007F74DA">
            <w:pPr>
              <w:pStyle w:val="naisnod"/>
              <w:spacing w:before="0" w:after="60"/>
              <w:ind w:firstLine="278"/>
              <w:jc w:val="left"/>
              <w:rPr>
                <w:b w:val="0"/>
                <w:color w:val="000000" w:themeColor="text1"/>
              </w:rPr>
            </w:pPr>
            <w:r w:rsidRPr="0034370D">
              <w:rPr>
                <w:b w:val="0"/>
                <w:color w:val="000000" w:themeColor="text1"/>
                <w:sz w:val="22"/>
                <w:szCs w:val="22"/>
              </w:rPr>
              <w:t>Projekts šo jomu neskar.</w:t>
            </w:r>
          </w:p>
        </w:tc>
      </w:tr>
      <w:tr w:rsidR="0034370D" w:rsidRPr="0034370D" w:rsidTr="00590493">
        <w:trPr>
          <w:trHeight w:val="780"/>
          <w:jc w:val="center"/>
        </w:trPr>
        <w:tc>
          <w:tcPr>
            <w:tcW w:w="371" w:type="dxa"/>
          </w:tcPr>
          <w:p w:rsidR="00E57372" w:rsidRPr="0034370D" w:rsidRDefault="00E57372" w:rsidP="0034370D">
            <w:pPr>
              <w:spacing w:after="0"/>
              <w:ind w:left="57" w:right="57"/>
              <w:rPr>
                <w:rFonts w:ascii="Times New Roman" w:hAnsi="Times New Roman" w:cs="Times New Roman"/>
                <w:color w:val="000000" w:themeColor="text1"/>
              </w:rPr>
            </w:pPr>
            <w:r w:rsidRPr="0034370D">
              <w:rPr>
                <w:rFonts w:ascii="Times New Roman" w:hAnsi="Times New Roman" w:cs="Times New Roman"/>
                <w:color w:val="000000" w:themeColor="text1"/>
              </w:rPr>
              <w:t>4.</w:t>
            </w:r>
          </w:p>
        </w:tc>
        <w:tc>
          <w:tcPr>
            <w:tcW w:w="3146" w:type="dxa"/>
          </w:tcPr>
          <w:p w:rsidR="00E57372" w:rsidRPr="0034370D" w:rsidRDefault="00E57372" w:rsidP="0034370D">
            <w:pPr>
              <w:pStyle w:val="Header"/>
              <w:ind w:left="57" w:right="57"/>
              <w:rPr>
                <w:color w:val="000000" w:themeColor="text1"/>
              </w:rPr>
            </w:pPr>
            <w:r w:rsidRPr="0034370D">
              <w:rPr>
                <w:color w:val="000000" w:themeColor="text1"/>
                <w:sz w:val="22"/>
                <w:szCs w:val="22"/>
              </w:rPr>
              <w:t>Projekta izpildes ietekme uz pārvaldes institucionālo struktūru.</w:t>
            </w:r>
          </w:p>
          <w:p w:rsidR="00E57372" w:rsidRPr="0034370D" w:rsidRDefault="00E57372" w:rsidP="0034370D">
            <w:pPr>
              <w:pStyle w:val="Header"/>
              <w:ind w:left="57" w:right="57"/>
              <w:rPr>
                <w:color w:val="000000" w:themeColor="text1"/>
              </w:rPr>
            </w:pPr>
            <w:r w:rsidRPr="0034370D">
              <w:rPr>
                <w:color w:val="000000" w:themeColor="text1"/>
                <w:sz w:val="22"/>
                <w:szCs w:val="22"/>
              </w:rPr>
              <w:t>Esošu institūciju likvidācija</w:t>
            </w:r>
          </w:p>
        </w:tc>
        <w:tc>
          <w:tcPr>
            <w:tcW w:w="6122" w:type="dxa"/>
          </w:tcPr>
          <w:p w:rsidR="00E57372" w:rsidRPr="0034370D" w:rsidRDefault="00E57372" w:rsidP="007F74DA">
            <w:pPr>
              <w:pStyle w:val="naisnod"/>
              <w:spacing w:before="0" w:after="60"/>
              <w:ind w:firstLine="278"/>
              <w:jc w:val="left"/>
              <w:rPr>
                <w:b w:val="0"/>
                <w:color w:val="000000" w:themeColor="text1"/>
              </w:rPr>
            </w:pPr>
            <w:r w:rsidRPr="0034370D">
              <w:rPr>
                <w:b w:val="0"/>
                <w:color w:val="000000" w:themeColor="text1"/>
                <w:sz w:val="22"/>
                <w:szCs w:val="22"/>
              </w:rPr>
              <w:t>Projekts šo jomu neskar.</w:t>
            </w:r>
          </w:p>
        </w:tc>
      </w:tr>
      <w:tr w:rsidR="0034370D" w:rsidRPr="0034370D" w:rsidTr="00590493">
        <w:trPr>
          <w:trHeight w:val="703"/>
          <w:jc w:val="center"/>
        </w:trPr>
        <w:tc>
          <w:tcPr>
            <w:tcW w:w="371" w:type="dxa"/>
          </w:tcPr>
          <w:p w:rsidR="00E57372" w:rsidRPr="0034370D" w:rsidRDefault="00E57372" w:rsidP="0034370D">
            <w:pPr>
              <w:spacing w:after="0"/>
              <w:ind w:left="57" w:right="57"/>
              <w:rPr>
                <w:rFonts w:ascii="Times New Roman" w:hAnsi="Times New Roman" w:cs="Times New Roman"/>
                <w:color w:val="000000" w:themeColor="text1"/>
              </w:rPr>
            </w:pPr>
            <w:r w:rsidRPr="0034370D">
              <w:rPr>
                <w:rFonts w:ascii="Times New Roman" w:hAnsi="Times New Roman" w:cs="Times New Roman"/>
                <w:color w:val="000000" w:themeColor="text1"/>
              </w:rPr>
              <w:lastRenderedPageBreak/>
              <w:t>5.</w:t>
            </w:r>
          </w:p>
        </w:tc>
        <w:tc>
          <w:tcPr>
            <w:tcW w:w="3146" w:type="dxa"/>
          </w:tcPr>
          <w:p w:rsidR="00E57372" w:rsidRPr="0034370D" w:rsidRDefault="00E57372" w:rsidP="0034370D">
            <w:pPr>
              <w:pStyle w:val="Header"/>
              <w:ind w:left="57" w:right="57"/>
              <w:rPr>
                <w:color w:val="000000" w:themeColor="text1"/>
              </w:rPr>
            </w:pPr>
            <w:r w:rsidRPr="0034370D">
              <w:rPr>
                <w:color w:val="000000" w:themeColor="text1"/>
                <w:sz w:val="22"/>
                <w:szCs w:val="22"/>
              </w:rPr>
              <w:t>Projekta izpildes ietekme uz pārvaldes institucionālo struktūru.</w:t>
            </w:r>
          </w:p>
          <w:p w:rsidR="00E57372" w:rsidRPr="0034370D" w:rsidRDefault="00E57372" w:rsidP="0034370D">
            <w:pPr>
              <w:pStyle w:val="Header"/>
              <w:ind w:left="57" w:right="57"/>
              <w:rPr>
                <w:color w:val="000000" w:themeColor="text1"/>
              </w:rPr>
            </w:pPr>
            <w:r w:rsidRPr="0034370D">
              <w:rPr>
                <w:color w:val="000000" w:themeColor="text1"/>
                <w:sz w:val="22"/>
                <w:szCs w:val="22"/>
              </w:rPr>
              <w:t>Esošu institūciju reorganizācija</w:t>
            </w:r>
          </w:p>
        </w:tc>
        <w:tc>
          <w:tcPr>
            <w:tcW w:w="6122" w:type="dxa"/>
          </w:tcPr>
          <w:p w:rsidR="00E57372" w:rsidRPr="0034370D" w:rsidRDefault="00E57372" w:rsidP="007F74DA">
            <w:pPr>
              <w:pStyle w:val="naisnod"/>
              <w:spacing w:before="0" w:after="60"/>
              <w:ind w:firstLine="278"/>
              <w:jc w:val="left"/>
              <w:rPr>
                <w:b w:val="0"/>
                <w:color w:val="000000" w:themeColor="text1"/>
              </w:rPr>
            </w:pPr>
            <w:r w:rsidRPr="0034370D">
              <w:rPr>
                <w:b w:val="0"/>
                <w:color w:val="000000" w:themeColor="text1"/>
                <w:sz w:val="22"/>
                <w:szCs w:val="22"/>
              </w:rPr>
              <w:t>Projekts šo jomu neskar.</w:t>
            </w:r>
          </w:p>
        </w:tc>
      </w:tr>
      <w:tr w:rsidR="0034370D" w:rsidRPr="0034370D" w:rsidTr="00590493">
        <w:trPr>
          <w:trHeight w:val="476"/>
          <w:jc w:val="center"/>
        </w:trPr>
        <w:tc>
          <w:tcPr>
            <w:tcW w:w="371" w:type="dxa"/>
          </w:tcPr>
          <w:p w:rsidR="00E57372" w:rsidRPr="0034370D" w:rsidRDefault="00E57372" w:rsidP="0034370D">
            <w:pPr>
              <w:spacing w:after="0"/>
              <w:ind w:left="57" w:right="57"/>
              <w:rPr>
                <w:rFonts w:ascii="Times New Roman" w:hAnsi="Times New Roman" w:cs="Times New Roman"/>
                <w:color w:val="000000" w:themeColor="text1"/>
              </w:rPr>
            </w:pPr>
            <w:r w:rsidRPr="0034370D">
              <w:rPr>
                <w:rFonts w:ascii="Times New Roman" w:hAnsi="Times New Roman" w:cs="Times New Roman"/>
                <w:color w:val="000000" w:themeColor="text1"/>
              </w:rPr>
              <w:t>6.</w:t>
            </w:r>
          </w:p>
        </w:tc>
        <w:tc>
          <w:tcPr>
            <w:tcW w:w="3146" w:type="dxa"/>
          </w:tcPr>
          <w:p w:rsidR="00E57372" w:rsidRPr="0034370D" w:rsidRDefault="00E57372" w:rsidP="0034370D">
            <w:pPr>
              <w:spacing w:after="0"/>
              <w:ind w:left="57" w:right="57"/>
              <w:rPr>
                <w:rFonts w:ascii="Times New Roman" w:hAnsi="Times New Roman" w:cs="Times New Roman"/>
                <w:color w:val="000000" w:themeColor="text1"/>
              </w:rPr>
            </w:pPr>
            <w:r w:rsidRPr="0034370D">
              <w:rPr>
                <w:rFonts w:ascii="Times New Roman" w:hAnsi="Times New Roman" w:cs="Times New Roman"/>
                <w:color w:val="000000" w:themeColor="text1"/>
              </w:rPr>
              <w:t>Cita informācija</w:t>
            </w:r>
          </w:p>
        </w:tc>
        <w:tc>
          <w:tcPr>
            <w:tcW w:w="6122" w:type="dxa"/>
          </w:tcPr>
          <w:p w:rsidR="00E57372" w:rsidRPr="0034370D" w:rsidRDefault="00E57372" w:rsidP="007F74DA">
            <w:pPr>
              <w:pStyle w:val="naiskr"/>
              <w:spacing w:before="0" w:after="60"/>
              <w:ind w:right="57" w:firstLine="278"/>
              <w:rPr>
                <w:color w:val="000000" w:themeColor="text1"/>
              </w:rPr>
            </w:pPr>
            <w:r w:rsidRPr="0034370D">
              <w:rPr>
                <w:color w:val="000000" w:themeColor="text1"/>
                <w:sz w:val="22"/>
                <w:szCs w:val="22"/>
              </w:rPr>
              <w:t>Nav</w:t>
            </w:r>
          </w:p>
        </w:tc>
      </w:tr>
    </w:tbl>
    <w:p w:rsidR="00A11276" w:rsidRDefault="00A11276" w:rsidP="00E57372">
      <w:pPr>
        <w:shd w:val="clear" w:color="auto" w:fill="FFFFFF"/>
        <w:spacing w:after="0"/>
        <w:rPr>
          <w:rFonts w:ascii="Times New Roman" w:hAnsi="Times New Roman" w:cs="Times New Roman"/>
          <w:color w:val="000000" w:themeColor="text1"/>
          <w:sz w:val="28"/>
          <w:szCs w:val="28"/>
        </w:rPr>
      </w:pPr>
    </w:p>
    <w:p w:rsidR="007B1273" w:rsidRDefault="007B1273" w:rsidP="00E57372">
      <w:pPr>
        <w:shd w:val="clear" w:color="auto" w:fill="FFFFFF"/>
        <w:spacing w:after="0"/>
        <w:rPr>
          <w:rFonts w:ascii="Times New Roman" w:hAnsi="Times New Roman" w:cs="Times New Roman"/>
          <w:color w:val="000000" w:themeColor="text1"/>
          <w:sz w:val="28"/>
          <w:szCs w:val="28"/>
        </w:rPr>
      </w:pPr>
    </w:p>
    <w:p w:rsidR="007B1273" w:rsidRDefault="007B1273" w:rsidP="00E57372">
      <w:pPr>
        <w:shd w:val="clear" w:color="auto" w:fill="FFFFFF"/>
        <w:spacing w:after="0"/>
        <w:rPr>
          <w:rFonts w:ascii="Times New Roman" w:hAnsi="Times New Roman" w:cs="Times New Roman"/>
          <w:color w:val="000000" w:themeColor="text1"/>
          <w:sz w:val="28"/>
          <w:szCs w:val="28"/>
        </w:rPr>
      </w:pPr>
    </w:p>
    <w:p w:rsidR="00E57372" w:rsidRPr="0034370D" w:rsidRDefault="00E57372" w:rsidP="00E57372">
      <w:pPr>
        <w:shd w:val="clear" w:color="auto" w:fill="FFFFFF"/>
        <w:spacing w:after="0"/>
        <w:rPr>
          <w:rFonts w:ascii="Times New Roman" w:hAnsi="Times New Roman" w:cs="Times New Roman"/>
          <w:color w:val="000000" w:themeColor="text1"/>
          <w:sz w:val="28"/>
          <w:szCs w:val="28"/>
        </w:rPr>
      </w:pPr>
      <w:r w:rsidRPr="0034370D">
        <w:rPr>
          <w:rFonts w:ascii="Times New Roman" w:hAnsi="Times New Roman" w:cs="Times New Roman"/>
          <w:color w:val="000000" w:themeColor="text1"/>
          <w:sz w:val="28"/>
          <w:szCs w:val="28"/>
        </w:rPr>
        <w:t xml:space="preserve">Vides aizsardzības un </w:t>
      </w:r>
    </w:p>
    <w:p w:rsidR="00590493" w:rsidRDefault="00E57372" w:rsidP="00590493">
      <w:pPr>
        <w:shd w:val="clear" w:color="auto" w:fill="FFFFFF"/>
        <w:tabs>
          <w:tab w:val="left" w:pos="7230"/>
        </w:tabs>
        <w:spacing w:after="0"/>
        <w:rPr>
          <w:rFonts w:ascii="Times New Roman" w:hAnsi="Times New Roman" w:cs="Times New Roman"/>
          <w:color w:val="000000" w:themeColor="text1"/>
          <w:sz w:val="12"/>
          <w:szCs w:val="12"/>
        </w:rPr>
      </w:pPr>
      <w:r w:rsidRPr="0034370D">
        <w:rPr>
          <w:rFonts w:ascii="Times New Roman" w:hAnsi="Times New Roman" w:cs="Times New Roman"/>
          <w:color w:val="000000" w:themeColor="text1"/>
          <w:sz w:val="28"/>
          <w:szCs w:val="28"/>
        </w:rPr>
        <w:t>reģionālās attīstības ministr</w:t>
      </w:r>
      <w:r w:rsidR="00A11276">
        <w:rPr>
          <w:rFonts w:ascii="Times New Roman" w:hAnsi="Times New Roman" w:cs="Times New Roman"/>
          <w:color w:val="000000" w:themeColor="text1"/>
          <w:sz w:val="28"/>
          <w:szCs w:val="28"/>
        </w:rPr>
        <w:t xml:space="preserve">s </w:t>
      </w:r>
      <w:r w:rsidR="00A11276">
        <w:rPr>
          <w:rFonts w:ascii="Times New Roman" w:hAnsi="Times New Roman" w:cs="Times New Roman"/>
          <w:color w:val="000000" w:themeColor="text1"/>
          <w:sz w:val="28"/>
          <w:szCs w:val="28"/>
        </w:rPr>
        <w:tab/>
        <w:t>R.Naudiņš</w:t>
      </w:r>
      <w:r w:rsidR="003D3065">
        <w:rPr>
          <w:rFonts w:ascii="Times New Roman" w:hAnsi="Times New Roman" w:cs="Times New Roman"/>
          <w:color w:val="000000" w:themeColor="text1"/>
          <w:sz w:val="28"/>
          <w:szCs w:val="28"/>
        </w:rPr>
        <w:tab/>
      </w:r>
    </w:p>
    <w:p w:rsidR="00590493" w:rsidRDefault="00590493" w:rsidP="00590493">
      <w:pPr>
        <w:shd w:val="clear" w:color="auto" w:fill="FFFFFF"/>
        <w:tabs>
          <w:tab w:val="left" w:pos="7230"/>
        </w:tabs>
        <w:spacing w:after="0"/>
        <w:rPr>
          <w:rFonts w:ascii="Times New Roman" w:hAnsi="Times New Roman" w:cs="Times New Roman"/>
          <w:color w:val="000000" w:themeColor="text1"/>
          <w:sz w:val="12"/>
          <w:szCs w:val="12"/>
        </w:rPr>
      </w:pPr>
    </w:p>
    <w:p w:rsidR="00590493" w:rsidRDefault="00590493" w:rsidP="00590493">
      <w:pPr>
        <w:shd w:val="clear" w:color="auto" w:fill="FFFFFF"/>
        <w:tabs>
          <w:tab w:val="left" w:pos="7230"/>
        </w:tabs>
        <w:spacing w:after="0"/>
        <w:rPr>
          <w:rFonts w:ascii="Times New Roman" w:hAnsi="Times New Roman" w:cs="Times New Roman"/>
          <w:color w:val="000000" w:themeColor="text1"/>
          <w:sz w:val="12"/>
          <w:szCs w:val="12"/>
        </w:rPr>
      </w:pPr>
    </w:p>
    <w:p w:rsidR="007B1273" w:rsidRDefault="007B1273" w:rsidP="00590493">
      <w:pPr>
        <w:shd w:val="clear" w:color="auto" w:fill="FFFFFF"/>
        <w:tabs>
          <w:tab w:val="left" w:pos="7230"/>
        </w:tabs>
        <w:spacing w:after="0"/>
        <w:rPr>
          <w:rFonts w:ascii="Times New Roman" w:hAnsi="Times New Roman" w:cs="Times New Roman"/>
          <w:color w:val="000000" w:themeColor="text1"/>
          <w:sz w:val="12"/>
          <w:szCs w:val="12"/>
        </w:rPr>
      </w:pPr>
    </w:p>
    <w:p w:rsidR="007B1273" w:rsidRDefault="007B1273" w:rsidP="00590493">
      <w:pPr>
        <w:shd w:val="clear" w:color="auto" w:fill="FFFFFF"/>
        <w:tabs>
          <w:tab w:val="left" w:pos="7230"/>
        </w:tabs>
        <w:spacing w:after="0"/>
        <w:rPr>
          <w:rFonts w:ascii="Times New Roman" w:hAnsi="Times New Roman" w:cs="Times New Roman"/>
          <w:color w:val="000000" w:themeColor="text1"/>
          <w:sz w:val="12"/>
          <w:szCs w:val="12"/>
        </w:rPr>
      </w:pPr>
    </w:p>
    <w:p w:rsidR="007B1273" w:rsidRDefault="007B1273" w:rsidP="00590493">
      <w:pPr>
        <w:shd w:val="clear" w:color="auto" w:fill="FFFFFF"/>
        <w:tabs>
          <w:tab w:val="left" w:pos="7230"/>
        </w:tabs>
        <w:spacing w:after="0"/>
        <w:rPr>
          <w:rFonts w:ascii="Times New Roman" w:hAnsi="Times New Roman" w:cs="Times New Roman"/>
          <w:color w:val="000000" w:themeColor="text1"/>
          <w:sz w:val="12"/>
          <w:szCs w:val="12"/>
        </w:rPr>
      </w:pPr>
    </w:p>
    <w:p w:rsidR="009E76FB" w:rsidRDefault="009E76FB" w:rsidP="00590493">
      <w:pPr>
        <w:shd w:val="clear" w:color="auto" w:fill="FFFFFF"/>
        <w:tabs>
          <w:tab w:val="left" w:pos="7230"/>
        </w:tabs>
        <w:spacing w:after="0"/>
        <w:rPr>
          <w:rFonts w:ascii="Times New Roman" w:hAnsi="Times New Roman" w:cs="Times New Roman"/>
          <w:color w:val="000000" w:themeColor="text1"/>
          <w:sz w:val="12"/>
          <w:szCs w:val="12"/>
        </w:rPr>
      </w:pPr>
    </w:p>
    <w:p w:rsidR="00E57372" w:rsidRPr="0034370D" w:rsidRDefault="00E57372" w:rsidP="00590493">
      <w:pPr>
        <w:shd w:val="clear" w:color="auto" w:fill="FFFFFF"/>
        <w:tabs>
          <w:tab w:val="left" w:pos="7230"/>
        </w:tabs>
        <w:spacing w:after="0"/>
        <w:rPr>
          <w:rFonts w:ascii="Times New Roman" w:hAnsi="Times New Roman" w:cs="Times New Roman"/>
          <w:color w:val="000000" w:themeColor="text1"/>
          <w:sz w:val="28"/>
          <w:szCs w:val="28"/>
        </w:rPr>
      </w:pPr>
      <w:r w:rsidRPr="0034370D">
        <w:rPr>
          <w:rFonts w:ascii="Times New Roman" w:hAnsi="Times New Roman" w:cs="Times New Roman"/>
          <w:color w:val="000000" w:themeColor="text1"/>
          <w:sz w:val="28"/>
          <w:szCs w:val="28"/>
        </w:rPr>
        <w:t>Vīza:</w:t>
      </w:r>
    </w:p>
    <w:p w:rsidR="00E57372" w:rsidRPr="0034370D" w:rsidRDefault="00E57372" w:rsidP="00E57372">
      <w:pPr>
        <w:shd w:val="clear" w:color="auto" w:fill="FFFFFF"/>
        <w:tabs>
          <w:tab w:val="left" w:pos="7230"/>
        </w:tabs>
        <w:spacing w:after="0"/>
        <w:rPr>
          <w:rFonts w:ascii="Times New Roman" w:hAnsi="Times New Roman" w:cs="Times New Roman"/>
          <w:color w:val="000000" w:themeColor="text1"/>
          <w:sz w:val="28"/>
          <w:szCs w:val="28"/>
        </w:rPr>
      </w:pPr>
      <w:r w:rsidRPr="0034370D">
        <w:rPr>
          <w:rFonts w:ascii="Times New Roman" w:hAnsi="Times New Roman" w:cs="Times New Roman"/>
          <w:color w:val="000000" w:themeColor="text1"/>
          <w:sz w:val="28"/>
          <w:szCs w:val="28"/>
        </w:rPr>
        <w:t>valsts sekretārs</w:t>
      </w:r>
      <w:r w:rsidRPr="0034370D">
        <w:rPr>
          <w:rFonts w:ascii="Times New Roman" w:hAnsi="Times New Roman" w:cs="Times New Roman"/>
          <w:color w:val="000000" w:themeColor="text1"/>
          <w:sz w:val="28"/>
          <w:szCs w:val="28"/>
        </w:rPr>
        <w:tab/>
      </w:r>
      <w:r w:rsidR="00410CDD">
        <w:rPr>
          <w:rFonts w:ascii="Times New Roman" w:hAnsi="Times New Roman" w:cs="Times New Roman"/>
          <w:color w:val="000000" w:themeColor="text1"/>
          <w:sz w:val="28"/>
          <w:szCs w:val="28"/>
        </w:rPr>
        <w:tab/>
      </w:r>
      <w:r w:rsidR="00054B73">
        <w:rPr>
          <w:rFonts w:ascii="Times New Roman" w:hAnsi="Times New Roman" w:cs="Times New Roman"/>
          <w:color w:val="000000" w:themeColor="text1"/>
          <w:sz w:val="28"/>
          <w:szCs w:val="28"/>
        </w:rPr>
        <w:t>G.Puķītis</w:t>
      </w:r>
    </w:p>
    <w:p w:rsidR="00590493" w:rsidRDefault="00590493" w:rsidP="00E57372">
      <w:pPr>
        <w:spacing w:after="0"/>
        <w:rPr>
          <w:rFonts w:ascii="Times New Roman" w:hAnsi="Times New Roman" w:cs="Times New Roman"/>
          <w:color w:val="000000" w:themeColor="text1"/>
          <w:sz w:val="8"/>
          <w:szCs w:val="8"/>
        </w:rPr>
      </w:pPr>
    </w:p>
    <w:p w:rsidR="00590493" w:rsidRDefault="00590493" w:rsidP="00E57372">
      <w:pPr>
        <w:spacing w:after="0"/>
        <w:rPr>
          <w:rFonts w:ascii="Times New Roman" w:hAnsi="Times New Roman" w:cs="Times New Roman"/>
          <w:color w:val="000000" w:themeColor="text1"/>
          <w:sz w:val="8"/>
          <w:szCs w:val="8"/>
        </w:rPr>
      </w:pPr>
    </w:p>
    <w:p w:rsidR="00590493" w:rsidRDefault="00590493" w:rsidP="00E57372">
      <w:pPr>
        <w:spacing w:after="0"/>
        <w:rPr>
          <w:rFonts w:ascii="Times New Roman" w:hAnsi="Times New Roman" w:cs="Times New Roman"/>
          <w:color w:val="000000" w:themeColor="text1"/>
          <w:sz w:val="8"/>
          <w:szCs w:val="8"/>
        </w:rPr>
      </w:pPr>
    </w:p>
    <w:p w:rsidR="00590493" w:rsidRDefault="0059049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7B1273" w:rsidRDefault="007B1273" w:rsidP="00E57372">
      <w:pPr>
        <w:spacing w:after="0"/>
        <w:rPr>
          <w:rFonts w:ascii="Times New Roman" w:hAnsi="Times New Roman" w:cs="Times New Roman"/>
          <w:color w:val="000000" w:themeColor="text1"/>
          <w:sz w:val="8"/>
          <w:szCs w:val="8"/>
        </w:rPr>
      </w:pPr>
    </w:p>
    <w:p w:rsidR="009E76FB" w:rsidRDefault="009E76FB" w:rsidP="00E57372">
      <w:pPr>
        <w:spacing w:after="0"/>
        <w:rPr>
          <w:rFonts w:ascii="Times New Roman" w:hAnsi="Times New Roman" w:cs="Times New Roman"/>
          <w:color w:val="000000" w:themeColor="text1"/>
          <w:sz w:val="8"/>
          <w:szCs w:val="8"/>
        </w:rPr>
      </w:pPr>
    </w:p>
    <w:p w:rsidR="009E76FB" w:rsidRDefault="009E76FB" w:rsidP="00E57372">
      <w:pPr>
        <w:spacing w:after="0"/>
        <w:rPr>
          <w:rFonts w:ascii="Times New Roman" w:hAnsi="Times New Roman" w:cs="Times New Roman"/>
          <w:color w:val="000000" w:themeColor="text1"/>
          <w:sz w:val="8"/>
          <w:szCs w:val="8"/>
        </w:rPr>
      </w:pPr>
    </w:p>
    <w:p w:rsidR="0028217A" w:rsidRDefault="0028217A" w:rsidP="00E57372">
      <w:pPr>
        <w:spacing w:after="0"/>
        <w:rPr>
          <w:rFonts w:ascii="Times New Roman" w:hAnsi="Times New Roman" w:cs="Times New Roman"/>
          <w:color w:val="000000" w:themeColor="text1"/>
          <w:sz w:val="8"/>
          <w:szCs w:val="8"/>
        </w:rPr>
      </w:pPr>
    </w:p>
    <w:p w:rsidR="0028217A" w:rsidRDefault="0028217A" w:rsidP="00E57372">
      <w:pPr>
        <w:spacing w:after="0"/>
        <w:rPr>
          <w:rFonts w:ascii="Times New Roman" w:hAnsi="Times New Roman" w:cs="Times New Roman"/>
          <w:color w:val="000000" w:themeColor="text1"/>
          <w:sz w:val="8"/>
          <w:szCs w:val="8"/>
        </w:rPr>
      </w:pPr>
    </w:p>
    <w:p w:rsidR="00E57372" w:rsidRPr="0034370D" w:rsidRDefault="007B1273" w:rsidP="00E57372">
      <w:pPr>
        <w:spacing w:after="0"/>
        <w:rPr>
          <w:rFonts w:ascii="Times New Roman" w:hAnsi="Times New Roman" w:cs="Times New Roman"/>
          <w:color w:val="000000" w:themeColor="text1"/>
        </w:rPr>
      </w:pPr>
      <w:r>
        <w:rPr>
          <w:rFonts w:ascii="Times New Roman" w:hAnsi="Times New Roman" w:cs="Times New Roman"/>
          <w:color w:val="000000" w:themeColor="text1"/>
        </w:rPr>
        <w:t>27</w:t>
      </w:r>
      <w:r w:rsidR="00C066C0">
        <w:rPr>
          <w:rFonts w:ascii="Times New Roman" w:hAnsi="Times New Roman" w:cs="Times New Roman"/>
          <w:color w:val="000000" w:themeColor="text1"/>
        </w:rPr>
        <w:t>.0</w:t>
      </w:r>
      <w:r w:rsidR="00E524D1">
        <w:rPr>
          <w:rFonts w:ascii="Times New Roman" w:hAnsi="Times New Roman" w:cs="Times New Roman"/>
          <w:color w:val="000000" w:themeColor="text1"/>
        </w:rPr>
        <w:t>5</w:t>
      </w:r>
      <w:r w:rsidR="00590493">
        <w:rPr>
          <w:rFonts w:ascii="Times New Roman" w:hAnsi="Times New Roman" w:cs="Times New Roman"/>
          <w:color w:val="000000" w:themeColor="text1"/>
        </w:rPr>
        <w:t>.2014</w:t>
      </w:r>
      <w:r w:rsidR="00E57372" w:rsidRPr="0034370D">
        <w:rPr>
          <w:rFonts w:ascii="Times New Roman" w:hAnsi="Times New Roman" w:cs="Times New Roman"/>
          <w:color w:val="000000" w:themeColor="text1"/>
        </w:rPr>
        <w:t xml:space="preserve">. </w:t>
      </w:r>
      <w:r>
        <w:rPr>
          <w:rFonts w:ascii="Times New Roman" w:hAnsi="Times New Roman" w:cs="Times New Roman"/>
          <w:color w:val="000000" w:themeColor="text1"/>
        </w:rPr>
        <w:t>11</w:t>
      </w:r>
      <w:r w:rsidR="00E57372" w:rsidRPr="0034370D">
        <w:rPr>
          <w:rFonts w:ascii="Times New Roman" w:hAnsi="Times New Roman" w:cs="Times New Roman"/>
          <w:color w:val="000000" w:themeColor="text1"/>
        </w:rPr>
        <w:t>:00</w:t>
      </w:r>
    </w:p>
    <w:p w:rsidR="00E57372" w:rsidRPr="0034370D" w:rsidRDefault="007A4C0D" w:rsidP="00E57372">
      <w:pPr>
        <w:pStyle w:val="Header"/>
        <w:tabs>
          <w:tab w:val="clear" w:pos="4153"/>
          <w:tab w:val="clear" w:pos="8306"/>
        </w:tabs>
        <w:rPr>
          <w:color w:val="000000" w:themeColor="text1"/>
          <w:sz w:val="22"/>
          <w:szCs w:val="22"/>
        </w:rPr>
      </w:pPr>
      <w:r w:rsidRPr="0034370D">
        <w:rPr>
          <w:color w:val="000000" w:themeColor="text1"/>
          <w:sz w:val="22"/>
          <w:szCs w:val="22"/>
        </w:rPr>
        <w:fldChar w:fldCharType="begin"/>
      </w:r>
      <w:r w:rsidR="00E57372" w:rsidRPr="0034370D">
        <w:rPr>
          <w:color w:val="000000" w:themeColor="text1"/>
          <w:sz w:val="22"/>
          <w:szCs w:val="22"/>
        </w:rPr>
        <w:instrText xml:space="preserve"> NUMWORDS  \* Lower </w:instrText>
      </w:r>
      <w:r w:rsidRPr="0034370D">
        <w:rPr>
          <w:color w:val="000000" w:themeColor="text1"/>
          <w:sz w:val="22"/>
          <w:szCs w:val="22"/>
        </w:rPr>
        <w:fldChar w:fldCharType="separate"/>
      </w:r>
      <w:r w:rsidR="007B1273">
        <w:rPr>
          <w:noProof/>
          <w:color w:val="000000" w:themeColor="text1"/>
          <w:sz w:val="22"/>
          <w:szCs w:val="22"/>
        </w:rPr>
        <w:t>6910</w:t>
      </w:r>
      <w:r w:rsidRPr="0034370D">
        <w:rPr>
          <w:noProof/>
          <w:color w:val="000000" w:themeColor="text1"/>
          <w:sz w:val="22"/>
          <w:szCs w:val="22"/>
        </w:rPr>
        <w:fldChar w:fldCharType="end"/>
      </w:r>
    </w:p>
    <w:p w:rsidR="00E57372" w:rsidRPr="0034370D" w:rsidRDefault="00E57372" w:rsidP="00E57372">
      <w:pPr>
        <w:pStyle w:val="naisf"/>
        <w:tabs>
          <w:tab w:val="left" w:pos="6840"/>
        </w:tabs>
        <w:spacing w:before="0" w:after="0"/>
        <w:ind w:firstLine="0"/>
        <w:rPr>
          <w:color w:val="000000" w:themeColor="text1"/>
          <w:sz w:val="22"/>
          <w:szCs w:val="22"/>
        </w:rPr>
      </w:pPr>
      <w:r w:rsidRPr="0034370D">
        <w:rPr>
          <w:color w:val="000000" w:themeColor="text1"/>
          <w:sz w:val="22"/>
          <w:szCs w:val="22"/>
        </w:rPr>
        <w:t>H.Rimša</w:t>
      </w:r>
    </w:p>
    <w:p w:rsidR="00840C2F" w:rsidRPr="0034370D" w:rsidRDefault="00E57372" w:rsidP="00590493">
      <w:pPr>
        <w:pStyle w:val="naisf"/>
        <w:tabs>
          <w:tab w:val="left" w:pos="6840"/>
        </w:tabs>
        <w:spacing w:before="0" w:after="0"/>
        <w:ind w:firstLine="0"/>
        <w:rPr>
          <w:color w:val="000000" w:themeColor="text1"/>
        </w:rPr>
      </w:pPr>
      <w:r w:rsidRPr="0034370D">
        <w:rPr>
          <w:color w:val="000000" w:themeColor="text1"/>
          <w:sz w:val="22"/>
          <w:szCs w:val="22"/>
        </w:rPr>
        <w:t>670265</w:t>
      </w:r>
      <w:r w:rsidR="00F47E37">
        <w:rPr>
          <w:color w:val="000000" w:themeColor="text1"/>
          <w:sz w:val="22"/>
          <w:szCs w:val="22"/>
        </w:rPr>
        <w:t>12</w:t>
      </w:r>
      <w:bookmarkStart w:id="2" w:name="_GoBack"/>
      <w:bookmarkEnd w:id="2"/>
      <w:r w:rsidRPr="0034370D">
        <w:rPr>
          <w:color w:val="000000" w:themeColor="text1"/>
          <w:sz w:val="22"/>
          <w:szCs w:val="22"/>
        </w:rPr>
        <w:t xml:space="preserve">, </w:t>
      </w:r>
      <w:hyperlink r:id="rId8" w:history="1">
        <w:r w:rsidRPr="0034370D">
          <w:rPr>
            <w:rStyle w:val="Hyperlink"/>
            <w:color w:val="000000" w:themeColor="text1"/>
            <w:sz w:val="22"/>
            <w:szCs w:val="22"/>
          </w:rPr>
          <w:t>Helena.Rimsa@varam.gov.lv</w:t>
        </w:r>
      </w:hyperlink>
    </w:p>
    <w:sectPr w:rsidR="00840C2F" w:rsidRPr="0034370D" w:rsidSect="004D7C36">
      <w:headerReference w:type="default" r:id="rId9"/>
      <w:footerReference w:type="default" r:id="rId10"/>
      <w:footerReference w:type="first" r:id="rId11"/>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B6" w:rsidRDefault="000A2EB6" w:rsidP="004D7C36">
      <w:pPr>
        <w:spacing w:after="0"/>
      </w:pPr>
      <w:r>
        <w:separator/>
      </w:r>
    </w:p>
  </w:endnote>
  <w:endnote w:type="continuationSeparator" w:id="0">
    <w:p w:rsidR="000A2EB6" w:rsidRDefault="000A2EB6" w:rsidP="004D7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85" w:rsidRPr="004D7C36" w:rsidRDefault="00B43585" w:rsidP="004D7C36">
    <w:pPr>
      <w:spacing w:after="0"/>
      <w:rPr>
        <w:rFonts w:ascii="Times New Roman" w:hAnsi="Times New Roman" w:cs="Times New Roman"/>
        <w:sz w:val="8"/>
        <w:szCs w:val="8"/>
      </w:rPr>
    </w:pPr>
  </w:p>
  <w:p w:rsidR="00B43585" w:rsidRPr="004D7C36" w:rsidRDefault="00F47E37" w:rsidP="004D7C36">
    <w:pPr>
      <w:spacing w:after="0"/>
      <w:rPr>
        <w:rFonts w:ascii="Times New Roman" w:hAnsi="Times New Roman" w:cs="Times New Roman"/>
        <w:sz w:val="20"/>
        <w:szCs w:val="20"/>
      </w:rPr>
    </w:pPr>
    <w:r>
      <w:fldChar w:fldCharType="begin"/>
    </w:r>
    <w:r>
      <w:instrText xml:space="preserve"> FILENAME   \* MERGEFORMAT </w:instrText>
    </w:r>
    <w:r>
      <w:fldChar w:fldCharType="separate"/>
    </w:r>
    <w:r w:rsidR="007B1273" w:rsidRPr="007B1273">
      <w:rPr>
        <w:rFonts w:ascii="Times New Roman" w:hAnsi="Times New Roman" w:cs="Times New Roman"/>
        <w:noProof/>
        <w:sz w:val="20"/>
        <w:szCs w:val="20"/>
      </w:rPr>
      <w:t>VARAMAnot_Groz769_270514</w:t>
    </w:r>
    <w:r>
      <w:rPr>
        <w:rFonts w:ascii="Times New Roman" w:hAnsi="Times New Roman" w:cs="Times New Roman"/>
        <w:noProof/>
        <w:sz w:val="20"/>
        <w:szCs w:val="20"/>
      </w:rPr>
      <w:fldChar w:fldCharType="end"/>
    </w:r>
    <w:r w:rsidR="00B43585" w:rsidRPr="00DC346E">
      <w:rPr>
        <w:rFonts w:ascii="Times New Roman" w:hAnsi="Times New Roman" w:cs="Times New Roman"/>
        <w:sz w:val="20"/>
        <w:szCs w:val="20"/>
      </w:rPr>
      <w:t>; Ministru kabineta noteikumu projekta</w:t>
    </w:r>
    <w:r w:rsidR="00B43585" w:rsidRPr="004D7C36">
      <w:rPr>
        <w:rFonts w:ascii="Times New Roman" w:hAnsi="Times New Roman" w:cs="Times New Roman"/>
        <w:sz w:val="20"/>
        <w:szCs w:val="20"/>
      </w:rPr>
      <w:t xml:space="preserve"> „Grozījumi Ministru kabineta 2012.gada 13.novembra noteikumos Nr.769 „Noteikumi par stacionāro tehnoloģisko iekārtu dalību Eiropas Savienības emisijas kvotu tirdzniecības sistēmā””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85" w:rsidRPr="004D7C36" w:rsidRDefault="00B43585" w:rsidP="004D7C36">
    <w:pPr>
      <w:spacing w:after="0"/>
      <w:rPr>
        <w:rFonts w:ascii="Times New Roman" w:hAnsi="Times New Roman" w:cs="Times New Roman"/>
        <w:sz w:val="8"/>
        <w:szCs w:val="8"/>
      </w:rPr>
    </w:pPr>
  </w:p>
  <w:p w:rsidR="00B43585" w:rsidRPr="004D7C36" w:rsidRDefault="00F47E37" w:rsidP="004D7C36">
    <w:pPr>
      <w:spacing w:after="0"/>
      <w:rPr>
        <w:rFonts w:ascii="Times New Roman" w:hAnsi="Times New Roman" w:cs="Times New Roman"/>
        <w:sz w:val="20"/>
        <w:szCs w:val="20"/>
      </w:rPr>
    </w:pPr>
    <w:r>
      <w:fldChar w:fldCharType="begin"/>
    </w:r>
    <w:r>
      <w:instrText xml:space="preserve"> FILENAME   \* MERGEFORMAT </w:instrText>
    </w:r>
    <w:r>
      <w:fldChar w:fldCharType="separate"/>
    </w:r>
    <w:r w:rsidR="007B1273" w:rsidRPr="007B1273">
      <w:rPr>
        <w:rFonts w:ascii="Times New Roman" w:hAnsi="Times New Roman" w:cs="Times New Roman"/>
        <w:noProof/>
        <w:sz w:val="20"/>
        <w:szCs w:val="20"/>
      </w:rPr>
      <w:t>VARAMAnot_Groz769_270514</w:t>
    </w:r>
    <w:r>
      <w:rPr>
        <w:rFonts w:ascii="Times New Roman" w:hAnsi="Times New Roman" w:cs="Times New Roman"/>
        <w:noProof/>
        <w:sz w:val="20"/>
        <w:szCs w:val="20"/>
      </w:rPr>
      <w:fldChar w:fldCharType="end"/>
    </w:r>
    <w:r w:rsidR="00B43585" w:rsidRPr="00DC346E">
      <w:rPr>
        <w:rFonts w:ascii="Times New Roman" w:hAnsi="Times New Roman" w:cs="Times New Roman"/>
        <w:sz w:val="20"/>
        <w:szCs w:val="20"/>
      </w:rPr>
      <w:t>; Ministru kabineta noteikumu projekta</w:t>
    </w:r>
    <w:r w:rsidR="00B43585" w:rsidRPr="004D7C36">
      <w:rPr>
        <w:rFonts w:ascii="Times New Roman" w:hAnsi="Times New Roman" w:cs="Times New Roman"/>
        <w:sz w:val="20"/>
        <w:szCs w:val="20"/>
      </w:rPr>
      <w:t xml:space="preserve"> „Grozījumi Ministru kabineta 2012.gada 13.novembra noteikumos Nr.769 „Noteikumi par stacionāro tehnoloģisko iekārtu dalību Eiropas Savienības emisijas kvotu tirdzniecības sistēmā””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B6" w:rsidRDefault="000A2EB6" w:rsidP="004D7C36">
      <w:pPr>
        <w:spacing w:after="0"/>
      </w:pPr>
      <w:r>
        <w:separator/>
      </w:r>
    </w:p>
  </w:footnote>
  <w:footnote w:type="continuationSeparator" w:id="0">
    <w:p w:rsidR="000A2EB6" w:rsidRDefault="000A2EB6" w:rsidP="004D7C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46012"/>
      <w:docPartObj>
        <w:docPartGallery w:val="Page Numbers (Top of Page)"/>
        <w:docPartUnique/>
      </w:docPartObj>
    </w:sdtPr>
    <w:sdtEndPr>
      <w:rPr>
        <w:noProof/>
      </w:rPr>
    </w:sdtEndPr>
    <w:sdtContent>
      <w:p w:rsidR="00B43585" w:rsidRDefault="007A4C0D">
        <w:pPr>
          <w:pStyle w:val="Header"/>
          <w:jc w:val="center"/>
        </w:pPr>
        <w:r>
          <w:fldChar w:fldCharType="begin"/>
        </w:r>
        <w:r w:rsidR="00B43585">
          <w:instrText xml:space="preserve"> PAGE   \* MERGEFORMAT </w:instrText>
        </w:r>
        <w:r>
          <w:fldChar w:fldCharType="separate"/>
        </w:r>
        <w:r w:rsidR="00F47E37">
          <w:rPr>
            <w:noProof/>
          </w:rPr>
          <w:t>24</w:t>
        </w:r>
        <w:r>
          <w:rPr>
            <w:noProof/>
          </w:rPr>
          <w:fldChar w:fldCharType="end"/>
        </w:r>
      </w:p>
    </w:sdtContent>
  </w:sdt>
  <w:p w:rsidR="00B43585" w:rsidRDefault="00B4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cs="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cs="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cs="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2">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8E84DFA"/>
    <w:multiLevelType w:val="hybridMultilevel"/>
    <w:tmpl w:val="477CF7E0"/>
    <w:lvl w:ilvl="0" w:tplc="1390D23E">
      <w:start w:val="1"/>
      <w:numFmt w:val="bullet"/>
      <w:lvlText w:val=""/>
      <w:lvlJc w:val="left"/>
      <w:pPr>
        <w:ind w:left="530" w:hanging="360"/>
      </w:pPr>
      <w:rPr>
        <w:rFonts w:ascii="Symbol" w:hAnsi="Symbol"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12">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4C0D42B7"/>
    <w:multiLevelType w:val="hybridMultilevel"/>
    <w:tmpl w:val="261EBF62"/>
    <w:lvl w:ilvl="0" w:tplc="89D4F0C4">
      <w:start w:val="46"/>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4">
    <w:nsid w:val="7C9120D9"/>
    <w:multiLevelType w:val="hybridMultilevel"/>
    <w:tmpl w:val="CABC0CBE"/>
    <w:lvl w:ilvl="0" w:tplc="1390D2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4"/>
  </w:num>
  <w:num w:numId="4">
    <w:abstractNumId w:val="9"/>
  </w:num>
  <w:num w:numId="5">
    <w:abstractNumId w:val="21"/>
  </w:num>
  <w:num w:numId="6">
    <w:abstractNumId w:val="7"/>
  </w:num>
  <w:num w:numId="7">
    <w:abstractNumId w:val="4"/>
  </w:num>
  <w:num w:numId="8">
    <w:abstractNumId w:val="0"/>
  </w:num>
  <w:num w:numId="9">
    <w:abstractNumId w:val="17"/>
  </w:num>
  <w:num w:numId="10">
    <w:abstractNumId w:val="22"/>
  </w:num>
  <w:num w:numId="11">
    <w:abstractNumId w:val="13"/>
  </w:num>
  <w:num w:numId="12">
    <w:abstractNumId w:val="6"/>
  </w:num>
  <w:num w:numId="13">
    <w:abstractNumId w:val="14"/>
  </w:num>
  <w:num w:numId="14">
    <w:abstractNumId w:val="15"/>
  </w:num>
  <w:num w:numId="15">
    <w:abstractNumId w:val="18"/>
  </w:num>
  <w:num w:numId="16">
    <w:abstractNumId w:val="20"/>
  </w:num>
  <w:num w:numId="17">
    <w:abstractNumId w:val="10"/>
  </w:num>
  <w:num w:numId="18">
    <w:abstractNumId w:val="2"/>
  </w:num>
  <w:num w:numId="19">
    <w:abstractNumId w:val="19"/>
  </w:num>
  <w:num w:numId="20">
    <w:abstractNumId w:val="8"/>
  </w:num>
  <w:num w:numId="21">
    <w:abstractNumId w:val="12"/>
  </w:num>
  <w:num w:numId="22">
    <w:abstractNumId w:val="3"/>
  </w:num>
  <w:num w:numId="23">
    <w:abstractNumId w:val="5"/>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D"/>
    <w:rsid w:val="00005263"/>
    <w:rsid w:val="00054B73"/>
    <w:rsid w:val="000A2EB6"/>
    <w:rsid w:val="000A5328"/>
    <w:rsid w:val="000B00B7"/>
    <w:rsid w:val="000C3F9F"/>
    <w:rsid w:val="000E3A0E"/>
    <w:rsid w:val="000E73F7"/>
    <w:rsid w:val="00135CDE"/>
    <w:rsid w:val="00157133"/>
    <w:rsid w:val="00157710"/>
    <w:rsid w:val="001604B9"/>
    <w:rsid w:val="00165328"/>
    <w:rsid w:val="0018158A"/>
    <w:rsid w:val="0028217A"/>
    <w:rsid w:val="002C6CA6"/>
    <w:rsid w:val="002C7797"/>
    <w:rsid w:val="002D0FB5"/>
    <w:rsid w:val="002E5FF2"/>
    <w:rsid w:val="00307433"/>
    <w:rsid w:val="00322017"/>
    <w:rsid w:val="00324FE7"/>
    <w:rsid w:val="00333FAA"/>
    <w:rsid w:val="0034370D"/>
    <w:rsid w:val="00356575"/>
    <w:rsid w:val="0035716E"/>
    <w:rsid w:val="00362787"/>
    <w:rsid w:val="00383D36"/>
    <w:rsid w:val="0038624E"/>
    <w:rsid w:val="003D3065"/>
    <w:rsid w:val="003E5242"/>
    <w:rsid w:val="003E6D40"/>
    <w:rsid w:val="00410902"/>
    <w:rsid w:val="00410CDD"/>
    <w:rsid w:val="00417E2B"/>
    <w:rsid w:val="004679AD"/>
    <w:rsid w:val="00471D1C"/>
    <w:rsid w:val="0049563D"/>
    <w:rsid w:val="004D7C36"/>
    <w:rsid w:val="004E72BB"/>
    <w:rsid w:val="004F0372"/>
    <w:rsid w:val="004F2CB3"/>
    <w:rsid w:val="00542D64"/>
    <w:rsid w:val="00552B20"/>
    <w:rsid w:val="0056592D"/>
    <w:rsid w:val="005804F8"/>
    <w:rsid w:val="00590493"/>
    <w:rsid w:val="005F0098"/>
    <w:rsid w:val="006255E7"/>
    <w:rsid w:val="00660684"/>
    <w:rsid w:val="00687104"/>
    <w:rsid w:val="006A32CD"/>
    <w:rsid w:val="006B6658"/>
    <w:rsid w:val="006F1A15"/>
    <w:rsid w:val="00737BE0"/>
    <w:rsid w:val="0074752B"/>
    <w:rsid w:val="0076657B"/>
    <w:rsid w:val="007A3B64"/>
    <w:rsid w:val="007A4C0D"/>
    <w:rsid w:val="007B1273"/>
    <w:rsid w:val="007F74DA"/>
    <w:rsid w:val="00805918"/>
    <w:rsid w:val="008148E0"/>
    <w:rsid w:val="00840C2F"/>
    <w:rsid w:val="008442F4"/>
    <w:rsid w:val="00870977"/>
    <w:rsid w:val="00875362"/>
    <w:rsid w:val="008B0A23"/>
    <w:rsid w:val="008B16AB"/>
    <w:rsid w:val="008D1DB4"/>
    <w:rsid w:val="00906338"/>
    <w:rsid w:val="00955789"/>
    <w:rsid w:val="00982FEC"/>
    <w:rsid w:val="009846E7"/>
    <w:rsid w:val="009E76FB"/>
    <w:rsid w:val="009F26D0"/>
    <w:rsid w:val="009F7EAD"/>
    <w:rsid w:val="00A11276"/>
    <w:rsid w:val="00A170DE"/>
    <w:rsid w:val="00A74BE4"/>
    <w:rsid w:val="00A8634F"/>
    <w:rsid w:val="00B22D26"/>
    <w:rsid w:val="00B43585"/>
    <w:rsid w:val="00B54BF6"/>
    <w:rsid w:val="00B609FF"/>
    <w:rsid w:val="00B73564"/>
    <w:rsid w:val="00B90CE9"/>
    <w:rsid w:val="00BB4BB8"/>
    <w:rsid w:val="00BF7184"/>
    <w:rsid w:val="00C066C0"/>
    <w:rsid w:val="00C855B1"/>
    <w:rsid w:val="00C9072D"/>
    <w:rsid w:val="00CF4796"/>
    <w:rsid w:val="00D24D7B"/>
    <w:rsid w:val="00D318B7"/>
    <w:rsid w:val="00DC346E"/>
    <w:rsid w:val="00DD12A3"/>
    <w:rsid w:val="00E524D1"/>
    <w:rsid w:val="00E57372"/>
    <w:rsid w:val="00E91D02"/>
    <w:rsid w:val="00ED4A2A"/>
    <w:rsid w:val="00EF23FC"/>
    <w:rsid w:val="00EF536D"/>
    <w:rsid w:val="00F315C4"/>
    <w:rsid w:val="00F47E37"/>
    <w:rsid w:val="00F50027"/>
    <w:rsid w:val="00F62D9A"/>
    <w:rsid w:val="00F64A7F"/>
    <w:rsid w:val="00F66214"/>
    <w:rsid w:val="00F8482A"/>
    <w:rsid w:val="00FB0DBE"/>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style>
  <w:style w:type="paragraph" w:customStyle="1" w:styleId="labojumupamats">
    <w:name w:val="labojumu_pamats"/>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A32CD"/>
    <w:rPr>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cs="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E57372"/>
    <w:rPr>
      <w:rFonts w:ascii="Times New Roman" w:eastAsia="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5737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cs="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5737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E57372"/>
    <w:rPr>
      <w:rFonts w:ascii="Tahoma" w:eastAsia="Times New Roman" w:hAnsi="Tahoma" w:cs="Tahoma"/>
      <w:sz w:val="16"/>
      <w:szCs w:val="16"/>
      <w:lang w:eastAsia="lv-LV"/>
    </w:rPr>
  </w:style>
  <w:style w:type="table" w:styleId="TableGrid">
    <w:name w:val="Table Grid"/>
    <w:basedOn w:val="TableNormal"/>
    <w:uiPriority w:val="99"/>
    <w:rsid w:val="00E57372"/>
    <w:pPr>
      <w:spacing w:after="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E5737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rsid w:val="00E573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57372"/>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57372"/>
    <w:rPr>
      <w:rFonts w:ascii="Tahoma" w:eastAsia="Times New Roman" w:hAnsi="Tahoma" w:cs="Tahoma"/>
      <w:sz w:val="20"/>
      <w:szCs w:val="20"/>
      <w:shd w:val="clear" w:color="auto" w:fill="000080"/>
      <w:lang w:eastAsia="lv-LV"/>
    </w:rPr>
  </w:style>
  <w:style w:type="paragraph" w:styleId="ListParagraph">
    <w:name w:val="List Paragraph"/>
    <w:basedOn w:val="Normal"/>
    <w:uiPriority w:val="99"/>
    <w:qFormat/>
    <w:rsid w:val="00E57372"/>
    <w:pPr>
      <w:ind w:left="720" w:firstLine="720"/>
      <w:contextualSpacing/>
    </w:pPr>
    <w:rPr>
      <w:rFonts w:ascii="Times New Roman" w:eastAsia="Times New Roman" w:hAnsi="Times New Roman" w:cs="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cs="Times New Roman"/>
      <w:b/>
      <w:bCs/>
      <w:sz w:val="28"/>
      <w:szCs w:val="28"/>
    </w:rPr>
  </w:style>
  <w:style w:type="character" w:customStyle="1" w:styleId="BodyText2Char">
    <w:name w:val="Body Text 2 Char"/>
    <w:basedOn w:val="DefaultParagraphFont"/>
    <w:link w:val="BodyText2"/>
    <w:uiPriority w:val="99"/>
    <w:rsid w:val="00E57372"/>
    <w:rPr>
      <w:rFonts w:ascii="Times New Roman" w:eastAsia="Times New Roman" w:hAnsi="Times New Roman" w:cs="Times New Roman"/>
      <w:b/>
      <w:bCs/>
      <w:sz w:val="28"/>
      <w:szCs w:val="28"/>
    </w:rPr>
  </w:style>
  <w:style w:type="paragraph" w:customStyle="1" w:styleId="Default">
    <w:name w:val="Default"/>
    <w:uiPriority w:val="99"/>
    <w:rsid w:val="00E57372"/>
    <w:pPr>
      <w:autoSpaceDE w:val="0"/>
      <w:autoSpaceDN w:val="0"/>
      <w:adjustRightInd w:val="0"/>
      <w:spacing w:after="0"/>
      <w:jc w:val="left"/>
    </w:pPr>
    <w:rPr>
      <w:rFonts w:ascii="Arial" w:eastAsia="Times New Roman" w:hAnsi="Arial" w:cs="Arial"/>
      <w:color w:val="000000"/>
      <w:sz w:val="24"/>
      <w:szCs w:val="24"/>
      <w:lang w:eastAsia="lv-LV"/>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57372"/>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E57372"/>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cs="Times New Roman"/>
      <w:sz w:val="12"/>
      <w:szCs w:val="12"/>
      <w:lang w:eastAsia="lv-LV"/>
    </w:rPr>
  </w:style>
  <w:style w:type="paragraph" w:styleId="Revision">
    <w:name w:val="Revision"/>
    <w:hidden/>
    <w:uiPriority w:val="99"/>
    <w:semiHidden/>
    <w:rsid w:val="00E57372"/>
    <w:pPr>
      <w:spacing w:after="0"/>
      <w:jc w:val="left"/>
    </w:pPr>
    <w:rPr>
      <w:rFonts w:ascii="Times New Roman" w:eastAsia="Times New Roman" w:hAnsi="Times New Roman" w:cs="Times New Roman"/>
      <w:sz w:val="24"/>
      <w:szCs w:val="24"/>
      <w:lang w:eastAsia="lv-LV"/>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s="Times New Roman"/>
      <w:color w:val="30606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style>
  <w:style w:type="paragraph" w:customStyle="1" w:styleId="labojumupamats">
    <w:name w:val="labojumu_pamats"/>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A32CD"/>
    <w:rPr>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cs="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E57372"/>
    <w:rPr>
      <w:rFonts w:ascii="Times New Roman" w:eastAsia="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5737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cs="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5737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E57372"/>
    <w:rPr>
      <w:rFonts w:ascii="Tahoma" w:eastAsia="Times New Roman" w:hAnsi="Tahoma" w:cs="Tahoma"/>
      <w:sz w:val="16"/>
      <w:szCs w:val="16"/>
      <w:lang w:eastAsia="lv-LV"/>
    </w:rPr>
  </w:style>
  <w:style w:type="table" w:styleId="TableGrid">
    <w:name w:val="Table Grid"/>
    <w:basedOn w:val="TableNormal"/>
    <w:uiPriority w:val="99"/>
    <w:rsid w:val="00E57372"/>
    <w:pPr>
      <w:spacing w:after="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E5737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rsid w:val="00E573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57372"/>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57372"/>
    <w:rPr>
      <w:rFonts w:ascii="Tahoma" w:eastAsia="Times New Roman" w:hAnsi="Tahoma" w:cs="Tahoma"/>
      <w:sz w:val="20"/>
      <w:szCs w:val="20"/>
      <w:shd w:val="clear" w:color="auto" w:fill="000080"/>
      <w:lang w:eastAsia="lv-LV"/>
    </w:rPr>
  </w:style>
  <w:style w:type="paragraph" w:styleId="ListParagraph">
    <w:name w:val="List Paragraph"/>
    <w:basedOn w:val="Normal"/>
    <w:uiPriority w:val="99"/>
    <w:qFormat/>
    <w:rsid w:val="00E57372"/>
    <w:pPr>
      <w:ind w:left="720" w:firstLine="720"/>
      <w:contextualSpacing/>
    </w:pPr>
    <w:rPr>
      <w:rFonts w:ascii="Times New Roman" w:eastAsia="Times New Roman" w:hAnsi="Times New Roman" w:cs="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cs="Times New Roman"/>
      <w:b/>
      <w:bCs/>
      <w:sz w:val="28"/>
      <w:szCs w:val="28"/>
    </w:rPr>
  </w:style>
  <w:style w:type="character" w:customStyle="1" w:styleId="BodyText2Char">
    <w:name w:val="Body Text 2 Char"/>
    <w:basedOn w:val="DefaultParagraphFont"/>
    <w:link w:val="BodyText2"/>
    <w:uiPriority w:val="99"/>
    <w:rsid w:val="00E57372"/>
    <w:rPr>
      <w:rFonts w:ascii="Times New Roman" w:eastAsia="Times New Roman" w:hAnsi="Times New Roman" w:cs="Times New Roman"/>
      <w:b/>
      <w:bCs/>
      <w:sz w:val="28"/>
      <w:szCs w:val="28"/>
    </w:rPr>
  </w:style>
  <w:style w:type="paragraph" w:customStyle="1" w:styleId="Default">
    <w:name w:val="Default"/>
    <w:uiPriority w:val="99"/>
    <w:rsid w:val="00E57372"/>
    <w:pPr>
      <w:autoSpaceDE w:val="0"/>
      <w:autoSpaceDN w:val="0"/>
      <w:adjustRightInd w:val="0"/>
      <w:spacing w:after="0"/>
      <w:jc w:val="left"/>
    </w:pPr>
    <w:rPr>
      <w:rFonts w:ascii="Arial" w:eastAsia="Times New Roman" w:hAnsi="Arial" w:cs="Arial"/>
      <w:color w:val="000000"/>
      <w:sz w:val="24"/>
      <w:szCs w:val="24"/>
      <w:lang w:eastAsia="lv-LV"/>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57372"/>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E57372"/>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cs="Times New Roman"/>
      <w:sz w:val="12"/>
      <w:szCs w:val="12"/>
      <w:lang w:eastAsia="lv-LV"/>
    </w:rPr>
  </w:style>
  <w:style w:type="paragraph" w:styleId="Revision">
    <w:name w:val="Revision"/>
    <w:hidden/>
    <w:uiPriority w:val="99"/>
    <w:semiHidden/>
    <w:rsid w:val="00E57372"/>
    <w:pPr>
      <w:spacing w:after="0"/>
      <w:jc w:val="left"/>
    </w:pPr>
    <w:rPr>
      <w:rFonts w:ascii="Times New Roman" w:eastAsia="Times New Roman" w:hAnsi="Times New Roman" w:cs="Times New Roman"/>
      <w:sz w:val="24"/>
      <w:szCs w:val="24"/>
      <w:lang w:eastAsia="lv-LV"/>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s="Times New Roman"/>
      <w:color w:val="30606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007">
      <w:bodyDiv w:val="1"/>
      <w:marLeft w:val="0"/>
      <w:marRight w:val="0"/>
      <w:marTop w:val="0"/>
      <w:marBottom w:val="0"/>
      <w:divBdr>
        <w:top w:val="none" w:sz="0" w:space="0" w:color="auto"/>
        <w:left w:val="none" w:sz="0" w:space="0" w:color="auto"/>
        <w:bottom w:val="none" w:sz="0" w:space="0" w:color="auto"/>
        <w:right w:val="none" w:sz="0" w:space="0" w:color="auto"/>
      </w:divBdr>
      <w:divsChild>
        <w:div w:id="287203860">
          <w:marLeft w:val="0"/>
          <w:marRight w:val="0"/>
          <w:marTop w:val="0"/>
          <w:marBottom w:val="0"/>
          <w:divBdr>
            <w:top w:val="none" w:sz="0" w:space="0" w:color="auto"/>
            <w:left w:val="none" w:sz="0" w:space="0" w:color="auto"/>
            <w:bottom w:val="none" w:sz="0" w:space="0" w:color="auto"/>
            <w:right w:val="none" w:sz="0" w:space="0" w:color="auto"/>
          </w:divBdr>
          <w:divsChild>
            <w:div w:id="1308894418">
              <w:marLeft w:val="0"/>
              <w:marRight w:val="0"/>
              <w:marTop w:val="0"/>
              <w:marBottom w:val="0"/>
              <w:divBdr>
                <w:top w:val="none" w:sz="0" w:space="0" w:color="auto"/>
                <w:left w:val="none" w:sz="0" w:space="0" w:color="auto"/>
                <w:bottom w:val="none" w:sz="0" w:space="0" w:color="auto"/>
                <w:right w:val="none" w:sz="0" w:space="0" w:color="auto"/>
              </w:divBdr>
              <w:divsChild>
                <w:div w:id="550505378">
                  <w:marLeft w:val="150"/>
                  <w:marRight w:val="150"/>
                  <w:marTop w:val="480"/>
                  <w:marBottom w:val="0"/>
                  <w:divBdr>
                    <w:top w:val="single" w:sz="6" w:space="28" w:color="D4D4D4"/>
                    <w:left w:val="none" w:sz="0" w:space="0" w:color="auto"/>
                    <w:bottom w:val="none" w:sz="0" w:space="0" w:color="auto"/>
                    <w:right w:val="none" w:sz="0" w:space="0" w:color="auto"/>
                  </w:divBdr>
                </w:div>
                <w:div w:id="1252471790">
                  <w:marLeft w:val="0"/>
                  <w:marRight w:val="0"/>
                  <w:marTop w:val="240"/>
                  <w:marBottom w:val="0"/>
                  <w:divBdr>
                    <w:top w:val="none" w:sz="0" w:space="0" w:color="auto"/>
                    <w:left w:val="none" w:sz="0" w:space="0" w:color="auto"/>
                    <w:bottom w:val="none" w:sz="0" w:space="0" w:color="auto"/>
                    <w:right w:val="none" w:sz="0" w:space="0" w:color="auto"/>
                  </w:divBdr>
                </w:div>
                <w:div w:id="142773051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32343698">
          <w:marLeft w:val="0"/>
          <w:marRight w:val="0"/>
          <w:marTop w:val="0"/>
          <w:marBottom w:val="0"/>
          <w:divBdr>
            <w:top w:val="none" w:sz="0" w:space="0" w:color="auto"/>
            <w:left w:val="none" w:sz="0" w:space="0" w:color="auto"/>
            <w:bottom w:val="none" w:sz="0" w:space="0" w:color="auto"/>
            <w:right w:val="none" w:sz="0" w:space="0" w:color="auto"/>
          </w:divBdr>
          <w:divsChild>
            <w:div w:id="768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6991</Words>
  <Characters>48874</Characters>
  <Application>Microsoft Office Word</Application>
  <DocSecurity>0</DocSecurity>
  <Lines>2572</Lines>
  <Paragraphs>1074</Paragraphs>
  <ScaleCrop>false</ScaleCrop>
  <HeadingPairs>
    <vt:vector size="2" baseType="variant">
      <vt:variant>
        <vt:lpstr>Title</vt:lpstr>
      </vt:variant>
      <vt:variant>
        <vt:i4>1</vt:i4>
      </vt:variant>
    </vt:vector>
  </HeadingPairs>
  <TitlesOfParts>
    <vt:vector size="1" baseType="lpstr">
      <vt:lpstr>anotācijas MKN projektam „Grozījumi Ministru kabineta 2012.gada 13.novembra noteikumos Nr.769 „Noteikumi par stacionāro tehnoloģisko iekārtu dalību Eiropas Savienības emisijas kvotu tirdzniecības sistēmā””</vt:lpstr>
    </vt:vector>
  </TitlesOfParts>
  <Manager>Helena.Rimsa@varam.gov.lv</Manager>
  <Company>Vides aizsardzības un reģionālās attīstības ministrija</Company>
  <LinksUpToDate>false</LinksUpToDate>
  <CharactersWithSpaces>54791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anotācijas MKN projektam „Grozījumi Ministru kabineta 2012.gada 13.novembra noteikumos Nr.769 „Noteikumi par stacionāro tehnoloģisko iekārtu dalību Eiropas Savienības emisijas kvotu tirdzniecības sistēmā””</dc:title>
  <dc:subject>anotācijas MKN projektam „Grozījumi Ministru kabineta 2012.gada 13.novembra noteikumos Nr.769 „Noteikumi par stacionāro tehnoloģisko iekārtu dalību Eiropas Savienības emisijas kvotu tirdzniecības sistēmā””</dc:subject>
  <dc:creator>Helena Rimsa</dc:creator>
  <cp:lastModifiedBy>Helena Rimsa</cp:lastModifiedBy>
  <cp:revision>4</cp:revision>
  <dcterms:created xsi:type="dcterms:W3CDTF">2014-05-20T07:55:00Z</dcterms:created>
  <dcterms:modified xsi:type="dcterms:W3CDTF">2014-05-27T08:22:00Z</dcterms:modified>
  <cp:category>Vides politika</cp:category>
</cp:coreProperties>
</file>