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16" w:rsidRPr="00EF2069" w:rsidRDefault="0000205F" w:rsidP="00EF2069">
      <w:pPr>
        <w:tabs>
          <w:tab w:val="left" w:pos="6804"/>
        </w:tabs>
        <w:jc w:val="center"/>
        <w:rPr>
          <w:b/>
        </w:rPr>
      </w:pPr>
      <w:r>
        <w:rPr>
          <w:b/>
          <w:bCs/>
        </w:rPr>
        <w:t>M</w:t>
      </w:r>
      <w:r w:rsidR="00EF2069" w:rsidRPr="00EF2069">
        <w:rPr>
          <w:b/>
          <w:bCs/>
        </w:rPr>
        <w:t xml:space="preserve">inistru kabineta noteikumu projekta </w:t>
      </w:r>
      <w:bookmarkStart w:id="0" w:name="OLE_LINK1"/>
      <w:bookmarkStart w:id="1" w:name="OLE_LINK2"/>
      <w:r w:rsidR="00EF2069" w:rsidRPr="00EF2069">
        <w:rPr>
          <w:b/>
          <w:bCs/>
        </w:rPr>
        <w:t>„</w:t>
      </w:r>
      <w:bookmarkEnd w:id="0"/>
      <w:bookmarkEnd w:id="1"/>
      <w:r w:rsidR="00EF2069" w:rsidRPr="00EF2069">
        <w:rPr>
          <w:b/>
          <w:bCs/>
        </w:rPr>
        <w:t>Grozījumi Ministru kabineta 2010.</w:t>
      </w:r>
      <w:r w:rsidR="00495644" w:rsidRPr="00655EC2">
        <w:t> </w:t>
      </w:r>
      <w:r w:rsidR="00EF2069" w:rsidRPr="00EF2069">
        <w:rPr>
          <w:b/>
          <w:bCs/>
        </w:rPr>
        <w:t>gada 10.</w:t>
      </w:r>
      <w:r w:rsidR="00495644" w:rsidRPr="00655EC2">
        <w:t> </w:t>
      </w:r>
      <w:r w:rsidR="00EF2069" w:rsidRPr="00EF2069">
        <w:rPr>
          <w:b/>
          <w:bCs/>
        </w:rPr>
        <w:t>augusta noteikumos Nr.</w:t>
      </w:r>
      <w:r w:rsidR="00495644" w:rsidRPr="00655EC2">
        <w:t> </w:t>
      </w:r>
      <w:r w:rsidR="00EF2069" w:rsidRPr="00EF2069">
        <w:rPr>
          <w:b/>
          <w:bCs/>
        </w:rPr>
        <w:t>766 „Noteikumi par darbības programmas „Infrastruktūra un pakalpojumi” papildinājuma 3.2.2.1.1.</w:t>
      </w:r>
      <w:r w:rsidR="00495644" w:rsidRPr="00655EC2">
        <w:t> </w:t>
      </w:r>
      <w:r w:rsidR="00EF2069" w:rsidRPr="00EF2069">
        <w:rPr>
          <w:b/>
          <w:bCs/>
        </w:rPr>
        <w:t>apakšaktivitātes „Informācijas sistēmu un elektronisko pakalpojumu attīstība” projektu iesniegumu atlases otro, trešo, ceturto un piekto kārtu”” sākotnējās ietekmes novērtējuma ziņojums</w:t>
      </w:r>
      <w:r w:rsidR="00EF2069" w:rsidRPr="00EF2069">
        <w:rPr>
          <w:b/>
        </w:rPr>
        <w:t xml:space="preserve"> (anotācija)</w:t>
      </w:r>
    </w:p>
    <w:p w:rsidR="00DF5207" w:rsidRPr="00B22FEF" w:rsidRDefault="00DF5207" w:rsidP="008539C0">
      <w:pPr>
        <w:pStyle w:val="naisc"/>
        <w:spacing w:before="0" w:after="0"/>
        <w:rPr>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5C6885">
        <w:trPr>
          <w:trHeight w:val="405"/>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b/>
                <w:bCs/>
                <w:color w:val="000000"/>
              </w:rPr>
              <w:t>I. Tiesību akta projekta izstrādes nepieciešamība</w:t>
            </w:r>
          </w:p>
        </w:tc>
      </w:tr>
      <w:tr w:rsidR="00385F0D" w:rsidRPr="0031684F" w:rsidTr="004711D1">
        <w:trPr>
          <w:trHeight w:val="4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Pamatojums</w:t>
            </w:r>
          </w:p>
        </w:tc>
        <w:tc>
          <w:tcPr>
            <w:tcW w:w="3312" w:type="pct"/>
            <w:hideMark/>
          </w:tcPr>
          <w:p w:rsidR="00385F0D" w:rsidRPr="0031684F" w:rsidRDefault="00385F0D" w:rsidP="00506C16">
            <w:pPr>
              <w:ind w:left="167"/>
              <w:jc w:val="both"/>
              <w:rPr>
                <w:color w:val="000000"/>
              </w:rPr>
            </w:pPr>
            <w:r w:rsidRPr="0031684F">
              <w:rPr>
                <w:color w:val="000000"/>
              </w:rPr>
              <w:t xml:space="preserve">Ministru kabineta (turpmāk – MK) noteikumu projektu </w:t>
            </w:r>
            <w:r w:rsidR="00EF2069" w:rsidRPr="00EF2069">
              <w:rPr>
                <w:color w:val="000000"/>
              </w:rPr>
              <w:t>„Grozījumi Ministru kabineta 2010.</w:t>
            </w:r>
            <w:r w:rsidR="00495644" w:rsidRPr="00655EC2">
              <w:t> </w:t>
            </w:r>
            <w:r w:rsidR="00EF2069" w:rsidRPr="00EF2069">
              <w:rPr>
                <w:color w:val="000000"/>
              </w:rPr>
              <w:t>gada 10.</w:t>
            </w:r>
            <w:r w:rsidR="00495644" w:rsidRPr="00655EC2">
              <w:t> </w:t>
            </w:r>
            <w:r w:rsidR="00EF2069" w:rsidRPr="00EF2069">
              <w:rPr>
                <w:color w:val="000000"/>
              </w:rPr>
              <w:t>augusta noteikumos Nr.</w:t>
            </w:r>
            <w:r w:rsidR="00495644" w:rsidRPr="00655EC2">
              <w:t> </w:t>
            </w:r>
            <w:r w:rsidR="00EF2069" w:rsidRPr="00EF2069">
              <w:rPr>
                <w:color w:val="000000"/>
              </w:rPr>
              <w:t>766 „Noteikumi par darbības programmas „Infrastruktūra un pakalpojumi” papildinājuma 3.2.2.1.1.</w:t>
            </w:r>
            <w:r w:rsidR="00495644" w:rsidRPr="00655EC2">
              <w:t> </w:t>
            </w:r>
            <w:r w:rsidR="00EF2069" w:rsidRPr="00EF2069">
              <w:rPr>
                <w:color w:val="000000"/>
              </w:rPr>
              <w:t>apakšaktivitātes „Informācijas sistēmu un elektronisko pakalpojumu attīstība” projektu iesniegumu atlases otro, trešo, ceturto un piekto kārtu””</w:t>
            </w:r>
            <w:r w:rsidR="00506C16">
              <w:rPr>
                <w:b/>
              </w:rPr>
              <w:t xml:space="preserve"> </w:t>
            </w:r>
            <w:r w:rsidRPr="0031684F">
              <w:rPr>
                <w:color w:val="000000"/>
              </w:rPr>
              <w:t>(turpmāk – noteikumu projekts) Vides aizsardzības un reģionālās attīstības ministrija (turpmāk – VARAM) izstrādājusi saskaņā ar Eiropas Savienības struktūrfondu un Kohēzijas fonda vadības likuma 18.</w:t>
            </w:r>
            <w:r w:rsidR="00506C16" w:rsidRPr="00655EC2">
              <w:t> </w:t>
            </w:r>
            <w:r w:rsidRPr="0031684F">
              <w:rPr>
                <w:color w:val="000000"/>
              </w:rPr>
              <w:t>panta 10.</w:t>
            </w:r>
            <w:r w:rsidR="00506C16" w:rsidRPr="00655EC2">
              <w:t> </w:t>
            </w:r>
            <w:r w:rsidRPr="0031684F">
              <w:rPr>
                <w:color w:val="000000"/>
              </w:rPr>
              <w:t>punktu.</w:t>
            </w:r>
          </w:p>
        </w:tc>
      </w:tr>
      <w:tr w:rsidR="00385F0D" w:rsidRPr="0031684F" w:rsidTr="004711D1">
        <w:trPr>
          <w:trHeight w:val="5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Pašreizējā situācija un problēmas, kuru risināšanai tiesību akta projekts izstrādāts, tiesiskā regulējuma mērķis un būtība</w:t>
            </w:r>
          </w:p>
        </w:tc>
        <w:tc>
          <w:tcPr>
            <w:tcW w:w="3312" w:type="pct"/>
            <w:hideMark/>
          </w:tcPr>
          <w:p w:rsidR="00F36E84" w:rsidRPr="00F36E84" w:rsidRDefault="00EF2069" w:rsidP="00F36E84">
            <w:pPr>
              <w:ind w:left="144" w:right="72"/>
              <w:jc w:val="both"/>
            </w:pPr>
            <w:r>
              <w:t>1</w:t>
            </w:r>
            <w:r w:rsidR="00F36E84">
              <w:t>)</w:t>
            </w:r>
            <w:r w:rsidR="00F36E84" w:rsidRPr="00F36E84">
              <w:t>Labklājības ministrija</w:t>
            </w:r>
            <w:r w:rsidR="00251161">
              <w:t xml:space="preserve"> (turpmāk – LM)</w:t>
            </w:r>
            <w:r w:rsidR="00F36E84" w:rsidRPr="00F36E84">
              <w:t xml:space="preserve"> 3.2.2.1.1.</w:t>
            </w:r>
            <w:r w:rsidR="00495644" w:rsidRPr="00655EC2">
              <w:t> </w:t>
            </w:r>
            <w:r w:rsidR="00F36E84" w:rsidRPr="00F36E84">
              <w:t>apakšaktivitātes pirmās kārtas ietvaros īsteno projektu Nr. 3DP/3.2.2.1.1./09/IPIA/IUMEPLS/023 „Sociālās politikas monitoringa sistēmas pilnveide – SPP vienotās informācijas sistēmas izstrāde, ieviešana un e-pakalpojumu attīstīšana” un otrās kārtas ietvaros - projektu Nr.3D</w:t>
            </w:r>
            <w:r w:rsidR="00C47A70">
              <w:t>P/3.2.2.1.1/12/IPIA/CFLA/001</w:t>
            </w:r>
            <w:r w:rsidR="00F36E84" w:rsidRPr="00F36E84">
              <w:t xml:space="preserve"> "Vienotās Labklājības informācijas sistēmas (</w:t>
            </w:r>
            <w:proofErr w:type="spellStart"/>
            <w:r w:rsidR="00F36E84" w:rsidRPr="00F36E84">
              <w:t>LabIS</w:t>
            </w:r>
            <w:proofErr w:type="spellEnd"/>
            <w:r w:rsidR="00F36E84" w:rsidRPr="00F36E84">
              <w:t>), nozares centralizēto funkciju informācijas sistēmu un centralizētas IKT infrastruktūras attīstība".</w:t>
            </w:r>
          </w:p>
          <w:p w:rsidR="00F36E84" w:rsidRPr="00F36E84" w:rsidRDefault="004105CD" w:rsidP="00F36E84">
            <w:pPr>
              <w:ind w:left="144" w:right="72"/>
              <w:jc w:val="both"/>
            </w:pPr>
            <w:proofErr w:type="spellStart"/>
            <w:r>
              <w:t>Starpmoduļa</w:t>
            </w:r>
            <w:proofErr w:type="spellEnd"/>
            <w:r>
              <w:t xml:space="preserve"> izstrādei</w:t>
            </w:r>
            <w:r w:rsidR="00F36E84" w:rsidRPr="00F36E84">
              <w:t xml:space="preserve"> datu apmaiņai starp pašvaldību sistēmām un nozares informācijas sistēmām </w:t>
            </w:r>
            <w:r w:rsidR="00593B7E" w:rsidRPr="00F36E84">
              <w:t>(</w:t>
            </w:r>
            <w:r w:rsidR="00593B7E">
              <w:t xml:space="preserve">LM </w:t>
            </w:r>
            <w:r w:rsidR="00593B7E" w:rsidRPr="00F36E84">
              <w:t xml:space="preserve">Sociālās politikas monitoringa sistēma, </w:t>
            </w:r>
            <w:r w:rsidR="0036283B" w:rsidRPr="0036283B">
              <w:t>Valsts sociālās apdrošināšanas aģentūras Informācijas servisa sistēma</w:t>
            </w:r>
            <w:r w:rsidR="00593B7E">
              <w:t xml:space="preserve">, </w:t>
            </w:r>
            <w:r w:rsidR="0036283B" w:rsidRPr="0036283B">
              <w:t>Nodarbinātības valsts aģentūras Bezdarbnieku uzskaites un reģistrēto vakanču informācijas sistēma</w:t>
            </w:r>
            <w:r w:rsidR="00593B7E">
              <w:t xml:space="preserve"> un </w:t>
            </w:r>
            <w:r w:rsidR="0036283B" w:rsidRPr="0036283B">
              <w:t>Veselības un darbspēju ekspertīzes ārstu valsts komisijas Invaliditātes informācijas sistēma</w:t>
            </w:r>
            <w:r w:rsidR="00593B7E">
              <w:t>)</w:t>
            </w:r>
            <w:r w:rsidR="00F36E84" w:rsidRPr="00F36E84">
              <w:t xml:space="preserve"> finansējums tiek piesaistīts no abu projektu budžetiem. </w:t>
            </w:r>
            <w:r>
              <w:t>P</w:t>
            </w:r>
            <w:r w:rsidR="00F36E84" w:rsidRPr="00F36E84">
              <w:t xml:space="preserve">rojektā </w:t>
            </w:r>
            <w:r w:rsidRPr="00F36E84">
              <w:t>3DP/3.2.2.1.1./09/IPIA/IUMEPLS/023 „Sociālās politikas monitoringa sistēmas pilnveide – SPP vienotās informācijas sistēmas izstrāde, ieviešan</w:t>
            </w:r>
            <w:r>
              <w:t>a un e-pakalpojumu attīstīšana”</w:t>
            </w:r>
            <w:r w:rsidR="00F36E84" w:rsidRPr="00F36E84">
              <w:t xml:space="preserve"> </w:t>
            </w:r>
            <w:r w:rsidR="00251161">
              <w:t xml:space="preserve">aktivitātes </w:t>
            </w:r>
            <w:r w:rsidR="00251161" w:rsidRPr="00F36E84">
              <w:t>„Pašvaldību sociālo dienestu informācijas sistēmu un sistēmas SPOLIS datu apmaiņas risinājuma izstrāde”</w:t>
            </w:r>
            <w:r w:rsidR="00251161">
              <w:t xml:space="preserve"> ietvaros </w:t>
            </w:r>
            <w:r w:rsidR="00F36E84" w:rsidRPr="00F36E84">
              <w:t>tiek plānots izstrādāt pašvaldību datu nodošanu Labklājības ministrijai uz sistēmu SPOLIS, savukārt projektā Nr.3D</w:t>
            </w:r>
            <w:r w:rsidR="00C47A70">
              <w:t>P/3.2.2.1.1/12/IPIA/CFLA/001</w:t>
            </w:r>
            <w:r w:rsidR="00251161">
              <w:t xml:space="preserve"> </w:t>
            </w:r>
            <w:r w:rsidR="00251161" w:rsidRPr="00F36E84">
              <w:t>"Vienotās Labklājības informācijas sistēmas (</w:t>
            </w:r>
            <w:proofErr w:type="spellStart"/>
            <w:r w:rsidR="00251161" w:rsidRPr="00F36E84">
              <w:t>LabIS</w:t>
            </w:r>
            <w:proofErr w:type="spellEnd"/>
            <w:r w:rsidR="00251161" w:rsidRPr="00F36E84">
              <w:t>), nozares centralizēto funkciju informācijas sistēmu un centralizētas IKT infrastruktūras attīstība"</w:t>
            </w:r>
            <w:r w:rsidR="00F36E84" w:rsidRPr="00F36E84">
              <w:t xml:space="preserve"> </w:t>
            </w:r>
            <w:r w:rsidR="00251161">
              <w:t xml:space="preserve">aktivitātes </w:t>
            </w:r>
            <w:r w:rsidR="00251161" w:rsidRPr="00F36E84">
              <w:t>„VSAA IS uzlabojumu un e-pakalpojumu izstrāde</w:t>
            </w:r>
            <w:r w:rsidR="00F63FC7">
              <w:t xml:space="preserve">” </w:t>
            </w:r>
            <w:r w:rsidR="00F63FC7">
              <w:lastRenderedPageBreak/>
              <w:t>apakšaktivitāti „</w:t>
            </w:r>
            <w:r w:rsidR="00251161" w:rsidRPr="00F36E84">
              <w:t>Datu apmaiņa ar pašvaldībām”</w:t>
            </w:r>
            <w:r w:rsidR="00251161">
              <w:t xml:space="preserve"> ietvaros </w:t>
            </w:r>
            <w:r w:rsidR="00F36E84" w:rsidRPr="00F36E84">
              <w:t xml:space="preserve">ir paredzēta labklājības nozares datu nodošana pašvaldībām. </w:t>
            </w:r>
            <w:r w:rsidR="00251161">
              <w:t>LM projektu īstenošanas procesā ir secinājusi, ka a</w:t>
            </w:r>
            <w:r w:rsidR="00F36E84" w:rsidRPr="00F36E84">
              <w:t xml:space="preserve">pvienojot abu projektu </w:t>
            </w:r>
            <w:r w:rsidR="00251161">
              <w:t xml:space="preserve">iepriekšminētās </w:t>
            </w:r>
            <w:r w:rsidR="00F36E84" w:rsidRPr="00F36E84">
              <w:t>aktivitātes</w:t>
            </w:r>
            <w:r w:rsidR="00251161">
              <w:t xml:space="preserve"> vienā, ti</w:t>
            </w:r>
            <w:r w:rsidR="00F36E84" w:rsidRPr="00F36E84">
              <w:t>k</w:t>
            </w:r>
            <w:r w:rsidR="00251161">
              <w:t>tu</w:t>
            </w:r>
            <w:r w:rsidR="00F36E84" w:rsidRPr="00F36E84">
              <w:t xml:space="preserve"> optimizēts abu projektu ieviešanas process – samazināts iepirkumu skaits no četriem uz diviem, kā arī optimizēta līgumu uzraudzība. Jaunā </w:t>
            </w:r>
            <w:r w:rsidR="00251161">
              <w:t xml:space="preserve">apvienotā </w:t>
            </w:r>
            <w:r w:rsidR="00F36E84" w:rsidRPr="00F36E84">
              <w:t xml:space="preserve">aktivitāte „Labklājības nozares datu apmaiņa ar pašvaldībām” projektā 3DP/3.2.2.1.1./09/IPIA/IUMEPLS/023 </w:t>
            </w:r>
            <w:r w:rsidR="00251161" w:rsidRPr="00F36E84">
              <w:t>„Sociālās politikas monitoringa sistēmas pilnveide – SPP vienotās informācijas sistēmas izstrāde, ieviešana un e-pakalpojumu attīstīšana”</w:t>
            </w:r>
            <w:r w:rsidR="00251161">
              <w:t xml:space="preserve"> </w:t>
            </w:r>
            <w:r w:rsidR="00F36E84" w:rsidRPr="00F36E84">
              <w:t>nodrošinās kvalitatīv</w:t>
            </w:r>
            <w:r w:rsidR="00251161">
              <w:t>u</w:t>
            </w:r>
            <w:r w:rsidR="00F36E84" w:rsidRPr="00F36E84">
              <w:t xml:space="preserve"> </w:t>
            </w:r>
            <w:r w:rsidR="00251161">
              <w:t>informācijas tehnoloģiju</w:t>
            </w:r>
            <w:r w:rsidR="00F36E84" w:rsidRPr="00F36E84">
              <w:t xml:space="preserve"> risinājumu, jo izstrādes, testēšanas un ieviešanas process tiks organizēts ar vienu izpildītāju katrai pašvaldību informācijas sistēmai</w:t>
            </w:r>
            <w:r w:rsidR="00593B7E">
              <w:t>.</w:t>
            </w:r>
          </w:p>
          <w:p w:rsidR="00F36E84" w:rsidRPr="00DE37DD" w:rsidRDefault="00251161" w:rsidP="00251161">
            <w:pPr>
              <w:ind w:left="144" w:right="72"/>
              <w:jc w:val="both"/>
            </w:pPr>
            <w:r>
              <w:t>A</w:t>
            </w:r>
            <w:r w:rsidR="00F36E84" w:rsidRPr="00F36E84">
              <w:t xml:space="preserve">pvienojot abu projektu finansējumu datu apmaiņas risinājuma izstrādei, tiek </w:t>
            </w:r>
            <w:r w:rsidR="00F36E84" w:rsidRPr="00DE37DD">
              <w:t>nodrošināts finanšu izlietojuma caurspīdīgums un mazināts dubultā finansējuma iespējamības risks.</w:t>
            </w:r>
          </w:p>
          <w:p w:rsidR="00811B9E" w:rsidRPr="00DE37DD" w:rsidRDefault="00811B9E" w:rsidP="00251161">
            <w:pPr>
              <w:ind w:left="144" w:right="72"/>
              <w:jc w:val="both"/>
            </w:pPr>
            <w:r w:rsidRPr="00DE37DD">
              <w:t>Ņemot vērā iepriekšminēto, noteikumu projekts paredz no 3.2.2.1.1.apakšaktivitātes otrās kārtas projekta Nr.3DP/3.2.2.</w:t>
            </w:r>
            <w:r w:rsidR="000A422D" w:rsidRPr="00DE37DD">
              <w:t>1.1/12/IPIA/CFLA/001</w:t>
            </w:r>
            <w:r w:rsidRPr="00DE37DD">
              <w:t xml:space="preserve"> "Vienotās Labklājības informācijas sistēmas (</w:t>
            </w:r>
            <w:proofErr w:type="spellStart"/>
            <w:r w:rsidRPr="00DE37DD">
              <w:t>LabIS</w:t>
            </w:r>
            <w:proofErr w:type="spellEnd"/>
            <w:r w:rsidRPr="00DE37DD">
              <w:t xml:space="preserve">), nozares centralizēto funkciju informācijas sistēmu un centralizētas IKT infrastruktūras attīstība" pārcelt </w:t>
            </w:r>
            <w:r w:rsidR="00F63FC7" w:rsidRPr="00DE37DD">
              <w:t>aktivitātes „VSAA IS uzlabojumu un e-pakalpojumu izstrāde” apakšaktivitāti „Datu apmaiņa ar pašvaldībām”</w:t>
            </w:r>
            <w:proofErr w:type="gramStart"/>
            <w:r w:rsidR="00F63FC7" w:rsidRPr="00DE37DD">
              <w:t xml:space="preserve"> </w:t>
            </w:r>
            <w:r w:rsidRPr="00DE37DD">
              <w:t xml:space="preserve"> </w:t>
            </w:r>
            <w:proofErr w:type="gramEnd"/>
            <w:r w:rsidRPr="00DE37DD">
              <w:t xml:space="preserve">un tai paredzēto finansējumu </w:t>
            </w:r>
            <w:r w:rsidR="00C27473" w:rsidRPr="00DE37DD">
              <w:t xml:space="preserve">251 683 </w:t>
            </w:r>
            <w:r w:rsidRPr="00DE37DD">
              <w:t xml:space="preserve"> </w:t>
            </w:r>
            <w:proofErr w:type="spellStart"/>
            <w:r w:rsidRPr="00DE37DD">
              <w:rPr>
                <w:i/>
              </w:rPr>
              <w:t>euro</w:t>
            </w:r>
            <w:proofErr w:type="spellEnd"/>
            <w:r w:rsidRPr="00DE37DD">
              <w:t xml:space="preserve"> apmērā uz pirmās kārtas projektu</w:t>
            </w:r>
            <w:r w:rsidRPr="00DE37DD">
              <w:rPr>
                <w:sz w:val="28"/>
                <w:szCs w:val="28"/>
              </w:rPr>
              <w:t xml:space="preserve"> </w:t>
            </w:r>
            <w:r w:rsidRPr="00DE37DD">
              <w:t>3DP/3.2.2.1.1./09/IPIA/IUMEPLS/023 „Sociālās politikas monitoringa sistēmas pilnveide – SPP vienotās informācijas sistēmas izstrāde, ieviešana un e-pakalpojumu attīstīšana”</w:t>
            </w:r>
            <w:r w:rsidR="00EA7DDF" w:rsidRPr="00DE37DD">
              <w:t>.</w:t>
            </w:r>
          </w:p>
          <w:p w:rsidR="008B6781" w:rsidRPr="00DE37DD" w:rsidRDefault="00EF2069" w:rsidP="008B6781">
            <w:pPr>
              <w:ind w:left="144" w:right="72"/>
              <w:jc w:val="both"/>
            </w:pPr>
            <w:r w:rsidRPr="00DE37DD">
              <w:t>2</w:t>
            </w:r>
            <w:r w:rsidR="00811B9E" w:rsidRPr="00DE37DD">
              <w:t>)</w:t>
            </w:r>
            <w:r w:rsidR="00EA7DDF" w:rsidRPr="00DE37DD">
              <w:t xml:space="preserve"> </w:t>
            </w:r>
            <w:r w:rsidR="00FB58CC" w:rsidRPr="00DE37DD">
              <w:t xml:space="preserve">Ar </w:t>
            </w:r>
            <w:r w:rsidR="00EA7DDF" w:rsidRPr="00DE37DD">
              <w:t>Ministru kabineta 2013.</w:t>
            </w:r>
            <w:r w:rsidR="00495644" w:rsidRPr="00DE37DD">
              <w:t> </w:t>
            </w:r>
            <w:r w:rsidR="00EA7DDF" w:rsidRPr="00DE37DD">
              <w:t>gada 20.</w:t>
            </w:r>
            <w:r w:rsidR="00495644" w:rsidRPr="00DE37DD">
              <w:t> </w:t>
            </w:r>
            <w:r w:rsidR="00EA7DDF" w:rsidRPr="00DE37DD">
              <w:t xml:space="preserve">augusta </w:t>
            </w:r>
            <w:proofErr w:type="spellStart"/>
            <w:r w:rsidR="00EA7DDF" w:rsidRPr="00DE37DD">
              <w:t>protokollēmuma</w:t>
            </w:r>
            <w:proofErr w:type="spellEnd"/>
            <w:r w:rsidR="00EA7DDF" w:rsidRPr="00DE37DD">
              <w:t xml:space="preserve"> (Nr.</w:t>
            </w:r>
            <w:r w:rsidR="00495644" w:rsidRPr="00DE37DD">
              <w:t> </w:t>
            </w:r>
            <w:r w:rsidR="00EA7DDF" w:rsidRPr="00DE37DD">
              <w:t>45 97.§) 10.5.</w:t>
            </w:r>
            <w:r w:rsidR="00495644" w:rsidRPr="00DE37DD">
              <w:t> </w:t>
            </w:r>
            <w:r w:rsidR="00EA7DDF" w:rsidRPr="00DE37DD">
              <w:t>apakšpunktu tika pieņemts lēmums konceptuāli atbalstīt finansējuma piešķiršanu darbības programmas „Cilvēkresursi un nodarbinātība” papildinājuma 1.2.1.1.4.</w:t>
            </w:r>
            <w:r w:rsidR="00495644" w:rsidRPr="00DE37DD">
              <w:t> </w:t>
            </w:r>
            <w:r w:rsidR="00EA7DDF" w:rsidRPr="00DE37DD">
              <w:t>apakšaktivitātei „Sākotnējās profesionālās izglītības pievilcības veicināšana” (turpmāk – 1.2.1.1.4.</w:t>
            </w:r>
            <w:r w:rsidR="00495644" w:rsidRPr="00DE37DD">
              <w:t> </w:t>
            </w:r>
            <w:r w:rsidR="00EA7DDF" w:rsidRPr="00DE37DD">
              <w:t xml:space="preserve">apakšaktivitāte) </w:t>
            </w:r>
            <w:r w:rsidR="008B6781" w:rsidRPr="00DE37DD">
              <w:t xml:space="preserve">13 349 976 </w:t>
            </w:r>
            <w:proofErr w:type="spellStart"/>
            <w:r w:rsidR="008B6781" w:rsidRPr="00DE37DD">
              <w:rPr>
                <w:i/>
              </w:rPr>
              <w:t>euro</w:t>
            </w:r>
            <w:proofErr w:type="spellEnd"/>
            <w:r w:rsidR="008B6781" w:rsidRPr="00DE37DD">
              <w:t xml:space="preserve"> </w:t>
            </w:r>
            <w:r w:rsidR="00EA7DDF" w:rsidRPr="00DE37DD">
              <w:t xml:space="preserve">apmērā un pārdalīt finansējumu no Izglītības un zinātnes ministrijas </w:t>
            </w:r>
            <w:r w:rsidR="00E7171F" w:rsidRPr="00DE37DD">
              <w:t xml:space="preserve">(turpmāk – IZM) </w:t>
            </w:r>
            <w:r w:rsidR="00EA7DDF" w:rsidRPr="00DE37DD">
              <w:t xml:space="preserve">pārziņā esošajām aktivitātēm </w:t>
            </w:r>
            <w:r w:rsidR="008B6781" w:rsidRPr="00DE37DD">
              <w:t>6 855 393</w:t>
            </w:r>
            <w:r w:rsidR="008B6781" w:rsidRPr="00DE37DD">
              <w:rPr>
                <w:i/>
              </w:rPr>
              <w:t xml:space="preserve"> </w:t>
            </w:r>
            <w:proofErr w:type="spellStart"/>
            <w:r w:rsidR="008B6781" w:rsidRPr="00DE37DD">
              <w:rPr>
                <w:i/>
              </w:rPr>
              <w:t>euro</w:t>
            </w:r>
            <w:proofErr w:type="spellEnd"/>
            <w:r w:rsidR="00EA7DDF" w:rsidRPr="00DE37DD">
              <w:t xml:space="preserve"> apmērā </w:t>
            </w:r>
            <w:proofErr w:type="spellStart"/>
            <w:r w:rsidR="00EA7DDF" w:rsidRPr="00DE37DD">
              <w:t>mērķstipendiju</w:t>
            </w:r>
            <w:proofErr w:type="spellEnd"/>
            <w:r w:rsidR="00EA7DDF" w:rsidRPr="00DE37DD">
              <w:t xml:space="preserve"> izmaksai 2013./2014.</w:t>
            </w:r>
            <w:r w:rsidR="00495644" w:rsidRPr="00DE37DD">
              <w:t> </w:t>
            </w:r>
            <w:r w:rsidR="00EA7DDF" w:rsidRPr="00DE37DD">
              <w:t>mācību gadā, kā arī par stipendiju izmaksu finansējuma avotu 2014./2015.</w:t>
            </w:r>
            <w:r w:rsidR="00495644" w:rsidRPr="00DE37DD">
              <w:t> </w:t>
            </w:r>
            <w:r w:rsidR="00EA7DDF" w:rsidRPr="00DE37DD">
              <w:t xml:space="preserve">mācību gadam </w:t>
            </w:r>
            <w:r w:rsidR="008B6781" w:rsidRPr="00DE37DD">
              <w:t xml:space="preserve">6 494 583 </w:t>
            </w:r>
            <w:proofErr w:type="spellStart"/>
            <w:r w:rsidR="008B6781" w:rsidRPr="00DE37DD">
              <w:rPr>
                <w:i/>
              </w:rPr>
              <w:t>euro</w:t>
            </w:r>
            <w:proofErr w:type="spellEnd"/>
            <w:r w:rsidR="008B6781" w:rsidRPr="00DE37DD">
              <w:t xml:space="preserve"> </w:t>
            </w:r>
            <w:r w:rsidR="00EA7DDF" w:rsidRPr="00DE37DD">
              <w:t>apmērā lemt 2013.</w:t>
            </w:r>
            <w:r w:rsidR="00495644" w:rsidRPr="00DE37DD">
              <w:t> </w:t>
            </w:r>
            <w:r w:rsidR="00EA7DDF" w:rsidRPr="00DE37DD">
              <w:t>gada 4.</w:t>
            </w:r>
            <w:r w:rsidR="00495644" w:rsidRPr="00DE37DD">
              <w:t> </w:t>
            </w:r>
            <w:r w:rsidR="00EA7DDF" w:rsidRPr="00DE37DD">
              <w:t>ceturksnī vai 2014.</w:t>
            </w:r>
            <w:r w:rsidR="00495644" w:rsidRPr="00DE37DD">
              <w:t> </w:t>
            </w:r>
            <w:r w:rsidR="00EA7DDF" w:rsidRPr="00DE37DD">
              <w:t>gadā, vērtējot ES fondu neapgūtos līdzekļus un atlikumus citu ES fondu aktivitāšu ietvaros. 2014.</w:t>
            </w:r>
            <w:r w:rsidR="00495644" w:rsidRPr="00DE37DD">
              <w:t> </w:t>
            </w:r>
            <w:r w:rsidR="00EA7DDF" w:rsidRPr="00DE37DD">
              <w:t>gada 19.</w:t>
            </w:r>
            <w:r w:rsidR="00495644" w:rsidRPr="00DE37DD">
              <w:t> </w:t>
            </w:r>
            <w:r w:rsidR="00EA7DDF" w:rsidRPr="00DE37DD">
              <w:t>marta Koalīcijas darba grupas sanāksmē par ES fondu jautājumiem tika atbalstīta papildu finansējuma piešķiršana 1.2.1.1.4.</w:t>
            </w:r>
            <w:r w:rsidR="00495644" w:rsidRPr="00DE37DD">
              <w:t> </w:t>
            </w:r>
            <w:r w:rsidR="00EA7DDF" w:rsidRPr="00DE37DD">
              <w:t>apakšaktivitātei mērķstipendiju izmaksai profesionālās izglītības iestāžu audzēkņiem 2014./2015.</w:t>
            </w:r>
            <w:r w:rsidR="00495644" w:rsidRPr="00DE37DD">
              <w:t> </w:t>
            </w:r>
            <w:r w:rsidR="00EA7DDF" w:rsidRPr="00DE37DD">
              <w:t>mācību gadā</w:t>
            </w:r>
            <w:r w:rsidR="000839D8" w:rsidRPr="00DE37DD">
              <w:t xml:space="preserve"> 6 494 583 </w:t>
            </w:r>
            <w:proofErr w:type="spellStart"/>
            <w:r w:rsidR="000839D8" w:rsidRPr="00DE37DD">
              <w:rPr>
                <w:i/>
              </w:rPr>
              <w:t>euro</w:t>
            </w:r>
            <w:proofErr w:type="spellEnd"/>
            <w:r w:rsidR="000839D8" w:rsidRPr="00DE37DD">
              <w:t xml:space="preserve"> </w:t>
            </w:r>
            <w:r w:rsidR="008B6781" w:rsidRPr="00DE37DD">
              <w:lastRenderedPageBreak/>
              <w:t>apmērā</w:t>
            </w:r>
            <w:r w:rsidR="00EA7DDF" w:rsidRPr="00DE37DD">
              <w:t xml:space="preserve">, </w:t>
            </w:r>
            <w:r w:rsidR="00AD347C" w:rsidRPr="00DE37DD">
              <w:t>tādējādi veicinot profesionālās izglītības pievilcību, jauniešu iesaisti izglītības sistēmā un konkurētspēju darba tirgū</w:t>
            </w:r>
            <w:r w:rsidR="008B6781" w:rsidRPr="00DE37DD">
              <w:t>:</w:t>
            </w:r>
          </w:p>
          <w:p w:rsidR="008B6781" w:rsidRPr="00DE37DD" w:rsidRDefault="00C43E62" w:rsidP="008B6781">
            <w:pPr>
              <w:ind w:left="144" w:right="72"/>
              <w:jc w:val="both"/>
            </w:pPr>
            <w:r w:rsidRPr="00DE37DD">
              <w:t>a)</w:t>
            </w:r>
            <w:r w:rsidR="008B6781" w:rsidRPr="00DE37DD">
              <w:t xml:space="preserve">indikatīvi 1 856 210 </w:t>
            </w:r>
            <w:proofErr w:type="spellStart"/>
            <w:r w:rsidR="008B6781" w:rsidRPr="00DE37DD">
              <w:rPr>
                <w:i/>
              </w:rPr>
              <w:t>euro</w:t>
            </w:r>
            <w:proofErr w:type="spellEnd"/>
            <w:r w:rsidR="008B6781" w:rsidRPr="00DE37DD">
              <w:t xml:space="preserve"> apmērā no IZM 3.2.2.1.2.</w:t>
            </w:r>
            <w:r w:rsidR="00495644" w:rsidRPr="00DE37DD">
              <w:t> </w:t>
            </w:r>
            <w:r w:rsidR="008B6781" w:rsidRPr="00DE37DD">
              <w:t>apakšaktivitātes „Izglītības iestāžu informatizācija” finansējuma atlikumiem;</w:t>
            </w:r>
          </w:p>
          <w:p w:rsidR="00EA7DDF" w:rsidRPr="00DE37DD" w:rsidRDefault="008B6781" w:rsidP="008B6781">
            <w:pPr>
              <w:ind w:left="144" w:right="72"/>
              <w:jc w:val="both"/>
            </w:pPr>
            <w:r w:rsidRPr="00DE37DD">
              <w:t xml:space="preserve">b)indikatīvi 4 638 373 </w:t>
            </w:r>
            <w:proofErr w:type="spellStart"/>
            <w:r w:rsidRPr="00DE37DD">
              <w:rPr>
                <w:i/>
              </w:rPr>
              <w:t>euro</w:t>
            </w:r>
            <w:proofErr w:type="spellEnd"/>
            <w:r w:rsidRPr="00DE37DD">
              <w:t xml:space="preserve"> apmērā no V</w:t>
            </w:r>
            <w:r w:rsidR="00C43E62" w:rsidRPr="00DE37DD">
              <w:t>ARAM 3.2.2.1.1.</w:t>
            </w:r>
            <w:r w:rsidR="00495644" w:rsidRPr="00DE37DD">
              <w:t> </w:t>
            </w:r>
            <w:r w:rsidR="00C43E62" w:rsidRPr="00DE37DD">
              <w:t>apakšaktivitātes atlikumiem.</w:t>
            </w:r>
          </w:p>
          <w:p w:rsidR="001B2BDB" w:rsidRPr="00DE37DD" w:rsidRDefault="006028E5" w:rsidP="00495644">
            <w:pPr>
              <w:ind w:left="144" w:right="72"/>
              <w:jc w:val="both"/>
            </w:pPr>
            <w:r w:rsidRPr="00DE37DD">
              <w:t xml:space="preserve">Ņemot vērā iepriekšminēto, lai nodrošinātu </w:t>
            </w:r>
            <w:r w:rsidR="007D14AB" w:rsidRPr="00DE37DD">
              <w:t xml:space="preserve">2014. gada 19. marta Koalīcijas darba grupas sanāksmes par ES fondu jautājumiem lēmuma izpildi un nodrošinātu </w:t>
            </w:r>
            <w:proofErr w:type="spellStart"/>
            <w:r w:rsidRPr="00DE37DD">
              <w:t>virssaistību</w:t>
            </w:r>
            <w:proofErr w:type="spellEnd"/>
            <w:r w:rsidRPr="00DE37DD">
              <w:t xml:space="preserve"> finansējuma 6 494 583 </w:t>
            </w:r>
            <w:proofErr w:type="spellStart"/>
            <w:r w:rsidRPr="00DE37DD">
              <w:rPr>
                <w:i/>
              </w:rPr>
              <w:t>euro</w:t>
            </w:r>
            <w:proofErr w:type="spellEnd"/>
            <w:r w:rsidRPr="00DE37DD">
              <w:t xml:space="preserve"> apmērā</w:t>
            </w:r>
            <w:r w:rsidR="001B2BDB" w:rsidRPr="00DE37DD">
              <w:t xml:space="preserve"> </w:t>
            </w:r>
            <w:r w:rsidRPr="00DE37DD">
              <w:rPr>
                <w:bCs/>
              </w:rPr>
              <w:t>pārdali</w:t>
            </w:r>
            <w:r w:rsidR="001B2BDB" w:rsidRPr="00DE37DD">
              <w:rPr>
                <w:bCs/>
              </w:rPr>
              <w:t xml:space="preserve"> no 3.2.2.1.1.</w:t>
            </w:r>
            <w:r w:rsidR="00495644" w:rsidRPr="00DE37DD">
              <w:t> </w:t>
            </w:r>
            <w:r w:rsidR="001B2BDB" w:rsidRPr="00DE37DD">
              <w:rPr>
                <w:bCs/>
              </w:rPr>
              <w:t xml:space="preserve">apakšaktivitātes uz </w:t>
            </w:r>
            <w:r w:rsidR="001B2BDB" w:rsidRPr="00DE37DD">
              <w:t>1.2.1.1.4.</w:t>
            </w:r>
            <w:r w:rsidR="00495644" w:rsidRPr="00DE37DD">
              <w:t> </w:t>
            </w:r>
            <w:r w:rsidR="001B2BDB" w:rsidRPr="00DE37DD">
              <w:t>apakšaktivitāti</w:t>
            </w:r>
            <w:r w:rsidRPr="00DE37DD">
              <w:t>,</w:t>
            </w:r>
            <w:r w:rsidR="001B2BDB" w:rsidRPr="00DE37DD">
              <w:rPr>
                <w:bCs/>
              </w:rPr>
              <w:t xml:space="preserve"> noteikumu projekts paredz:</w:t>
            </w:r>
          </w:p>
          <w:p w:rsidR="002A6833" w:rsidRPr="00DE37DD" w:rsidRDefault="00827DE3" w:rsidP="00827DE3">
            <w:pPr>
              <w:ind w:left="144" w:right="74"/>
              <w:jc w:val="both"/>
            </w:pPr>
            <w:r w:rsidRPr="00DE37DD">
              <w:t>a)</w:t>
            </w:r>
            <w:r w:rsidR="002A6833" w:rsidRPr="00DE37DD">
              <w:t>atlikt 3.2.2.1.1.</w:t>
            </w:r>
            <w:r w:rsidR="00495644" w:rsidRPr="00DE37DD">
              <w:t> </w:t>
            </w:r>
            <w:r w:rsidR="002A6833" w:rsidRPr="00DE37DD">
              <w:t xml:space="preserve">apakšaktivitātes otrās kārtas projekta „Centralizēts iesniegums (jautājums) valsts pārvaldes iestādei vai pašvaldībai, izmantojot portālu </w:t>
            </w:r>
            <w:proofErr w:type="spellStart"/>
            <w:r w:rsidR="002A6833" w:rsidRPr="00DE37DD">
              <w:t>www.latvija.lv</w:t>
            </w:r>
            <w:proofErr w:type="spellEnd"/>
            <w:r w:rsidR="002A6833" w:rsidRPr="00DE37DD">
              <w:t>” īstenošanu</w:t>
            </w:r>
            <w:r w:rsidR="00DF6C5E" w:rsidRPr="00DE37DD">
              <w:t xml:space="preserve"> -</w:t>
            </w:r>
            <w:r w:rsidR="002A6833" w:rsidRPr="00DE37DD">
              <w:t xml:space="preserve"> </w:t>
            </w:r>
            <w:r w:rsidR="00DF6C5E" w:rsidRPr="00DE37DD">
              <w:t xml:space="preserve">projektu „Centralizēts iesniegums (jautājums) valsts pārvaldes iestādei vai pašvaldībai, izmantojot </w:t>
            </w:r>
            <w:proofErr w:type="spellStart"/>
            <w:r w:rsidR="00DF6C5E" w:rsidRPr="00DE37DD">
              <w:t>protālu</w:t>
            </w:r>
            <w:proofErr w:type="spellEnd"/>
            <w:r w:rsidR="00DF6C5E" w:rsidRPr="00DE37DD">
              <w:t xml:space="preserve"> </w:t>
            </w:r>
            <w:hyperlink r:id="rId8" w:history="1">
              <w:r w:rsidR="00DF6C5E" w:rsidRPr="00DE37DD">
                <w:rPr>
                  <w:rStyle w:val="Hyperlink"/>
                </w:rPr>
                <w:t>www.latvija.lv</w:t>
              </w:r>
            </w:hyperlink>
            <w:r w:rsidR="00DF6C5E" w:rsidRPr="00DE37DD">
              <w:t>” nav paredzēts īstenot Eiropas Savienības struktūrfondu un Kohēzijas fonda 2007.–2013.gada plānošanas periodā</w:t>
            </w:r>
            <w:r w:rsidR="002A6833" w:rsidRPr="00DE37DD">
              <w:t>;</w:t>
            </w:r>
          </w:p>
          <w:p w:rsidR="006028E5" w:rsidRPr="00DE37DD" w:rsidRDefault="00827DE3" w:rsidP="006028E5">
            <w:pPr>
              <w:ind w:left="144" w:right="74"/>
              <w:jc w:val="both"/>
            </w:pPr>
            <w:r w:rsidRPr="00DE37DD">
              <w:t>b)</w:t>
            </w:r>
            <w:r w:rsidR="006047C7" w:rsidRPr="00DE37DD">
              <w:t>atlikt 3.2.2.1.1.</w:t>
            </w:r>
            <w:r w:rsidR="00495644" w:rsidRPr="00DE37DD">
              <w:t> </w:t>
            </w:r>
            <w:r w:rsidR="006047C7" w:rsidRPr="00DE37DD">
              <w:t xml:space="preserve">apakšaktivitātes otrās kārtas projekta „Skolu portāla izveide – 3.kārta” īstenošanu </w:t>
            </w:r>
            <w:r w:rsidR="00912AC0" w:rsidRPr="00DE37DD">
              <w:t>Eiropas Savienības struktūrfondu un Kohēzijas fonda 2007.–2013.gada plānošanas periodā</w:t>
            </w:r>
            <w:r w:rsidR="00AE3AFB" w:rsidRPr="00DE37DD">
              <w:t>;</w:t>
            </w:r>
            <w:r w:rsidR="006047C7" w:rsidRPr="00DE37DD">
              <w:t xml:space="preserve"> </w:t>
            </w:r>
          </w:p>
          <w:p w:rsidR="001B2BDB" w:rsidRPr="00DE37DD" w:rsidRDefault="00827DE3" w:rsidP="00827DE3">
            <w:pPr>
              <w:ind w:left="166" w:right="74"/>
              <w:jc w:val="both"/>
              <w:rPr>
                <w:bCs/>
              </w:rPr>
            </w:pPr>
            <w:r w:rsidRPr="00DE37DD">
              <w:t>c)</w:t>
            </w:r>
            <w:r w:rsidR="001B2BDB" w:rsidRPr="00DE37DD">
              <w:t>3.2.2.1.1.</w:t>
            </w:r>
            <w:r w:rsidR="00495644" w:rsidRPr="00DE37DD">
              <w:t> </w:t>
            </w:r>
            <w:r w:rsidR="001B2BDB" w:rsidRPr="00DE37DD">
              <w:t xml:space="preserve">apakšaktivitātes </w:t>
            </w:r>
            <w:r w:rsidR="006028E5" w:rsidRPr="00DE37DD">
              <w:t xml:space="preserve">Eiropas Reģionālās attīstības fonda </w:t>
            </w:r>
            <w:r w:rsidR="002A6833" w:rsidRPr="00DE37DD">
              <w:t>finansējumu</w:t>
            </w:r>
            <w:r w:rsidR="00401AF2" w:rsidRPr="00DE37DD">
              <w:t xml:space="preserve"> </w:t>
            </w:r>
            <w:r w:rsidR="00E466F2" w:rsidRPr="00DE37DD">
              <w:t>4 637  913</w:t>
            </w:r>
            <w:r w:rsidR="00D62788" w:rsidRPr="00DE37DD">
              <w:t xml:space="preserve"> </w:t>
            </w:r>
            <w:proofErr w:type="spellStart"/>
            <w:r w:rsidR="00401AF2" w:rsidRPr="00DE37DD">
              <w:rPr>
                <w:i/>
              </w:rPr>
              <w:t>euro</w:t>
            </w:r>
            <w:proofErr w:type="spellEnd"/>
            <w:r w:rsidR="002A6833" w:rsidRPr="00DE37DD">
              <w:rPr>
                <w:i/>
              </w:rPr>
              <w:t xml:space="preserve"> </w:t>
            </w:r>
            <w:r w:rsidR="002A6833" w:rsidRPr="00DE37DD">
              <w:t xml:space="preserve">(t.sk. projekta „Centralizēts iesniegums (jautājums) valsts pārvaldes iestādei vai pašvaldībai, izmantojot portālu </w:t>
            </w:r>
            <w:proofErr w:type="spellStart"/>
            <w:r w:rsidR="002A6833" w:rsidRPr="00DE37DD">
              <w:t>www.latvija.lv</w:t>
            </w:r>
            <w:proofErr w:type="spellEnd"/>
            <w:r w:rsidR="002A6833" w:rsidRPr="00DE37DD">
              <w:t xml:space="preserve">” finansējums 1 134 697,58 </w:t>
            </w:r>
            <w:proofErr w:type="spellStart"/>
            <w:r w:rsidR="002A6833" w:rsidRPr="00DE37DD">
              <w:rPr>
                <w:i/>
              </w:rPr>
              <w:t>euro</w:t>
            </w:r>
            <w:proofErr w:type="spellEnd"/>
            <w:r w:rsidR="002A6833" w:rsidRPr="00DE37DD">
              <w:t xml:space="preserve"> apmērā, 3.2.2.1.1.</w:t>
            </w:r>
            <w:r w:rsidR="00495644" w:rsidRPr="00DE37DD">
              <w:t> </w:t>
            </w:r>
            <w:r w:rsidR="002A6833" w:rsidRPr="00DE37DD">
              <w:t>apakšaktivitātes ietaupījums</w:t>
            </w:r>
            <w:r w:rsidR="006047C7" w:rsidRPr="00DE37DD">
              <w:t xml:space="preserve"> 2 109 229,01 </w:t>
            </w:r>
            <w:proofErr w:type="spellStart"/>
            <w:r w:rsidR="006047C7" w:rsidRPr="00DE37DD">
              <w:rPr>
                <w:i/>
              </w:rPr>
              <w:t>euro</w:t>
            </w:r>
            <w:proofErr w:type="spellEnd"/>
            <w:r w:rsidR="006047C7" w:rsidRPr="00DE37DD">
              <w:t xml:space="preserve"> apmērā</w:t>
            </w:r>
            <w:r w:rsidR="002A6833" w:rsidRPr="00DE37DD">
              <w:t>, daļa no projekta „Skolu portāla izveide – 3.kārta” īstenošanai paredzētā finansējuma – 1 39</w:t>
            </w:r>
            <w:r w:rsidR="006028E5" w:rsidRPr="00DE37DD">
              <w:t>3</w:t>
            </w:r>
            <w:r w:rsidR="002A6833" w:rsidRPr="00DE37DD">
              <w:t> </w:t>
            </w:r>
            <w:r w:rsidR="006028E5" w:rsidRPr="00DE37DD">
              <w:t>98</w:t>
            </w:r>
            <w:r w:rsidR="002A6833" w:rsidRPr="00DE37DD">
              <w:t xml:space="preserve">6,41 </w:t>
            </w:r>
            <w:proofErr w:type="spellStart"/>
            <w:r w:rsidR="002A6833" w:rsidRPr="00DE37DD">
              <w:rPr>
                <w:i/>
              </w:rPr>
              <w:t>euro</w:t>
            </w:r>
            <w:proofErr w:type="spellEnd"/>
            <w:r w:rsidR="002A6833" w:rsidRPr="00DE37DD">
              <w:t xml:space="preserve"> apmērā) </w:t>
            </w:r>
            <w:r w:rsidR="00401AF2" w:rsidRPr="00DE37DD">
              <w:t>apmērā</w:t>
            </w:r>
            <w:r w:rsidR="006028E5" w:rsidRPr="00DE37DD">
              <w:t xml:space="preserve"> un darbības programmas „Infrastruktūra un pakalpojumi” papildinājuma </w:t>
            </w:r>
            <w:r w:rsidR="006028E5" w:rsidRPr="00DE37DD">
              <w:rPr>
                <w:rFonts w:hint="eastAsia"/>
              </w:rPr>
              <w:t>3.2.2.1.2.apakšaktivitātes "Izglītības iestāžu informatizācija"</w:t>
            </w:r>
            <w:r w:rsidR="006028E5" w:rsidRPr="00DE37DD">
              <w:t xml:space="preserve"> Eiropas Reģionālās attīstības fonda finansējumu </w:t>
            </w:r>
            <w:r w:rsidR="006028E5" w:rsidRPr="00DE37DD">
              <w:rPr>
                <w:rFonts w:hint="eastAsia"/>
              </w:rPr>
              <w:t>1 856</w:t>
            </w:r>
            <w:r w:rsidR="006028E5" w:rsidRPr="00DE37DD">
              <w:t> </w:t>
            </w:r>
            <w:r w:rsidR="006028E5" w:rsidRPr="00DE37DD">
              <w:rPr>
                <w:rFonts w:hint="eastAsia"/>
              </w:rPr>
              <w:t>670</w:t>
            </w:r>
            <w:r w:rsidR="006028E5" w:rsidRPr="00DE37DD">
              <w:t xml:space="preserve"> </w:t>
            </w:r>
            <w:proofErr w:type="spellStart"/>
            <w:r w:rsidR="006028E5" w:rsidRPr="00DE37DD">
              <w:rPr>
                <w:i/>
              </w:rPr>
              <w:t>euro</w:t>
            </w:r>
            <w:proofErr w:type="spellEnd"/>
            <w:r w:rsidR="006028E5" w:rsidRPr="00DE37DD">
              <w:t xml:space="preserve"> apmērā</w:t>
            </w:r>
            <w:r w:rsidR="00401AF2" w:rsidRPr="00DE37DD">
              <w:t xml:space="preserve"> </w:t>
            </w:r>
            <w:r w:rsidR="00401AF2" w:rsidRPr="00DE37DD">
              <w:rPr>
                <w:bCs/>
              </w:rPr>
              <w:t xml:space="preserve">novirzīt uz </w:t>
            </w:r>
            <w:r w:rsidR="00401AF2" w:rsidRPr="00DE37DD">
              <w:t xml:space="preserve">3.2.2.1.1.apakšaktivitātes </w:t>
            </w:r>
            <w:r w:rsidR="00495644" w:rsidRPr="00DE37DD">
              <w:t xml:space="preserve">ceturto </w:t>
            </w:r>
            <w:r w:rsidR="00401AF2" w:rsidRPr="00DE37DD">
              <w:t>kārtu</w:t>
            </w:r>
            <w:r w:rsidR="006028E5" w:rsidRPr="00DE37DD">
              <w:t>, vienlaikus</w:t>
            </w:r>
            <w:r w:rsidR="00401AF2" w:rsidRPr="00DE37DD">
              <w:t xml:space="preserve"> par tādu pašu summu </w:t>
            </w:r>
            <w:r w:rsidR="00495644" w:rsidRPr="00DE37DD">
              <w:t xml:space="preserve">ceturtās </w:t>
            </w:r>
            <w:r w:rsidR="00401AF2" w:rsidRPr="00DE37DD">
              <w:t xml:space="preserve">kārtas ietvaros samazinot </w:t>
            </w:r>
            <w:proofErr w:type="spellStart"/>
            <w:r w:rsidR="00401AF2" w:rsidRPr="00DE37DD">
              <w:t>virssaistību</w:t>
            </w:r>
            <w:proofErr w:type="spellEnd"/>
            <w:r w:rsidR="00401AF2" w:rsidRPr="00DE37DD">
              <w:t xml:space="preserve"> finansējumu, lai nodrošinātu </w:t>
            </w:r>
            <w:r w:rsidR="00401AF2" w:rsidRPr="00DE37DD">
              <w:rPr>
                <w:bCs/>
              </w:rPr>
              <w:t xml:space="preserve">Eiropas Reģionālās attīstības fonda </w:t>
            </w:r>
            <w:r w:rsidR="00401AF2" w:rsidRPr="00DE37DD">
              <w:t xml:space="preserve">finansējuma un </w:t>
            </w:r>
            <w:proofErr w:type="spellStart"/>
            <w:r w:rsidR="00401AF2" w:rsidRPr="00DE37DD">
              <w:t>virssaistību</w:t>
            </w:r>
            <w:proofErr w:type="spellEnd"/>
            <w:r w:rsidR="00401AF2" w:rsidRPr="00DE37DD">
              <w:t xml:space="preserve"> finansējuma savstarpējo pārdaļu kompensēšanas mehānismu un E</w:t>
            </w:r>
            <w:r w:rsidR="006028E5" w:rsidRPr="00DE37DD">
              <w:t>iropas Savienības</w:t>
            </w:r>
            <w:r w:rsidR="00401AF2" w:rsidRPr="00DE37DD">
              <w:t xml:space="preserve"> fond</w:t>
            </w:r>
            <w:r w:rsidR="0066073A" w:rsidRPr="00DE37DD">
              <w:t>u atlikumu efektīvu izmantošanu.</w:t>
            </w:r>
            <w:r w:rsidR="00E3771F" w:rsidRPr="00DE37DD">
              <w:t xml:space="preserve"> </w:t>
            </w:r>
          </w:p>
          <w:p w:rsidR="00AD347C" w:rsidRPr="00DE37DD" w:rsidRDefault="00827DE3" w:rsidP="000839D8">
            <w:pPr>
              <w:ind w:left="166" w:right="74"/>
              <w:jc w:val="both"/>
            </w:pPr>
            <w:r w:rsidRPr="00DE37DD">
              <w:t>3)</w:t>
            </w:r>
            <w:r w:rsidR="000839D8" w:rsidRPr="00DE37DD">
              <w:t xml:space="preserve"> </w:t>
            </w:r>
            <w:r w:rsidR="00E7171F" w:rsidRPr="00DE37DD">
              <w:t>IZM</w:t>
            </w:r>
            <w:r w:rsidR="000839D8" w:rsidRPr="00DE37DD">
              <w:t>, a</w:t>
            </w:r>
            <w:r w:rsidRPr="00DE37DD">
              <w:t>tkārtoti izvērtējot projekta aktualitāti un prioritāti</w:t>
            </w:r>
            <w:r w:rsidR="000839D8" w:rsidRPr="00DE37DD">
              <w:t>,</w:t>
            </w:r>
            <w:r w:rsidRPr="00DE37DD">
              <w:t xml:space="preserve"> ir </w:t>
            </w:r>
            <w:r w:rsidR="00E3771F" w:rsidRPr="00DE37DD">
              <w:t xml:space="preserve">informējusi VARAM, ka projekts „Skolu portāla izveide – 3. kārta” netiks īstenots </w:t>
            </w:r>
            <w:r w:rsidRPr="00DE37DD">
              <w:t>2007.-2013.g. Eiropas Savienības fondu plānošanas periodā</w:t>
            </w:r>
            <w:r w:rsidR="00E3771F" w:rsidRPr="00DE37DD">
              <w:t xml:space="preserve">. </w:t>
            </w:r>
            <w:r w:rsidRPr="00DE37DD">
              <w:t xml:space="preserve">Vienlaikus, tā ir informējusi VARAM par nepieciešamību </w:t>
            </w:r>
            <w:r w:rsidR="00AE3AFB" w:rsidRPr="00DE37DD">
              <w:t>3.2.2.1.1.</w:t>
            </w:r>
            <w:r w:rsidR="00495644" w:rsidRPr="00DE37DD">
              <w:t> </w:t>
            </w:r>
            <w:r w:rsidR="00AE3AFB" w:rsidRPr="00DE37DD">
              <w:t xml:space="preserve">apakšaktivitātes otrās kārtas ietvaros īstenot projektu „Valsts izglītības </w:t>
            </w:r>
            <w:r w:rsidR="00AE3AFB" w:rsidRPr="00DE37DD">
              <w:lastRenderedPageBreak/>
              <w:t>informācijas sistēmas attīstība – 3.</w:t>
            </w:r>
            <w:r w:rsidR="00495644" w:rsidRPr="00DE37DD">
              <w:t> </w:t>
            </w:r>
            <w:r w:rsidR="00AE3AFB" w:rsidRPr="00DE37DD">
              <w:t>kārta”, tam novirzot projekta „Skolu portāla izveide – 3.</w:t>
            </w:r>
            <w:r w:rsidR="00495644" w:rsidRPr="00DE37DD">
              <w:t> </w:t>
            </w:r>
            <w:r w:rsidR="00AE3AFB" w:rsidRPr="00DE37DD">
              <w:t xml:space="preserve">kārta” atlikušo finansējumu </w:t>
            </w:r>
            <w:r w:rsidR="00701557" w:rsidRPr="00DE37DD">
              <w:rPr>
                <w:bCs/>
                <w:szCs w:val="28"/>
              </w:rPr>
              <w:t>1 271 249,56</w:t>
            </w:r>
            <w:r w:rsidR="00AE3AFB" w:rsidRPr="00DE37DD">
              <w:rPr>
                <w:bCs/>
                <w:szCs w:val="28"/>
              </w:rPr>
              <w:t xml:space="preserve"> </w:t>
            </w:r>
            <w:proofErr w:type="spellStart"/>
            <w:r w:rsidR="00AE3AFB" w:rsidRPr="00DE37DD">
              <w:rPr>
                <w:bCs/>
                <w:i/>
                <w:szCs w:val="28"/>
              </w:rPr>
              <w:t>euro</w:t>
            </w:r>
            <w:proofErr w:type="spellEnd"/>
            <w:r w:rsidR="00AE3AFB" w:rsidRPr="00DE37DD">
              <w:rPr>
                <w:bCs/>
                <w:szCs w:val="28"/>
              </w:rPr>
              <w:t xml:space="preserve"> apmērā.</w:t>
            </w:r>
            <w:r w:rsidRPr="00DE37DD">
              <w:rPr>
                <w:bCs/>
                <w:szCs w:val="28"/>
              </w:rPr>
              <w:t xml:space="preserve"> </w:t>
            </w:r>
            <w:r w:rsidR="00E7171F" w:rsidRPr="00DE37DD">
              <w:rPr>
                <w:bCs/>
                <w:szCs w:val="28"/>
              </w:rPr>
              <w:t xml:space="preserve">VARAM atbalsta projekta īstenošanu </w:t>
            </w:r>
            <w:r w:rsidR="00E7171F" w:rsidRPr="00DE37DD">
              <w:t>3.2.2.1.1. apakšaktivitātes ietvaros.</w:t>
            </w:r>
            <w:r w:rsidR="00E7171F" w:rsidRPr="00DE37DD">
              <w:rPr>
                <w:bCs/>
                <w:szCs w:val="28"/>
              </w:rPr>
              <w:t xml:space="preserve"> IZM</w:t>
            </w:r>
            <w:r w:rsidRPr="00DE37DD">
              <w:rPr>
                <w:bCs/>
                <w:szCs w:val="28"/>
              </w:rPr>
              <w:t xml:space="preserve"> ir izstrādājusi projekta </w:t>
            </w:r>
            <w:r w:rsidRPr="00DE37DD">
              <w:t>informācijas sistēmas darbības koncepcijas aprakstu</w:t>
            </w:r>
            <w:r w:rsidR="00E7171F" w:rsidRPr="00DE37DD">
              <w:t xml:space="preserve"> (turpmāk – koncepcija)</w:t>
            </w:r>
            <w:r w:rsidRPr="00DE37DD">
              <w:t>, ko tā virzīs apstiprināšanai Ministru kabinetā, ņemot vērā 2010.</w:t>
            </w:r>
            <w:r w:rsidR="00495644" w:rsidRPr="00DE37DD">
              <w:t> </w:t>
            </w:r>
            <w:r w:rsidRPr="00DE37DD">
              <w:t xml:space="preserve">gada </w:t>
            </w:r>
            <w:r w:rsidR="000839D8" w:rsidRPr="00DE37DD">
              <w:t>10.</w:t>
            </w:r>
            <w:r w:rsidR="00495644" w:rsidRPr="00DE37DD">
              <w:t> </w:t>
            </w:r>
            <w:r w:rsidR="000839D8" w:rsidRPr="00DE37DD">
              <w:t xml:space="preserve">augusta Ministru kabineta </w:t>
            </w:r>
            <w:proofErr w:type="spellStart"/>
            <w:r w:rsidR="000839D8" w:rsidRPr="00DE37DD">
              <w:t>protokollēmuma</w:t>
            </w:r>
            <w:proofErr w:type="spellEnd"/>
            <w:r w:rsidR="000839D8" w:rsidRPr="00DE37DD">
              <w:t xml:space="preserve"> (</w:t>
            </w:r>
            <w:bookmarkStart w:id="2" w:name="71"/>
            <w:r w:rsidR="000839D8" w:rsidRPr="00DE37DD">
              <w:t>Nr.</w:t>
            </w:r>
            <w:r w:rsidR="00495644" w:rsidRPr="00DE37DD">
              <w:t> </w:t>
            </w:r>
            <w:r w:rsidR="000839D8" w:rsidRPr="00DE37DD">
              <w:t>41 71.</w:t>
            </w:r>
            <w:r w:rsidR="00495644" w:rsidRPr="00DE37DD">
              <w:t> </w:t>
            </w:r>
            <w:r w:rsidR="000839D8" w:rsidRPr="00DE37DD">
              <w:t>§</w:t>
            </w:r>
            <w:bookmarkEnd w:id="2"/>
            <w:r w:rsidR="000839D8" w:rsidRPr="00DE37DD">
              <w:t>) 5.</w:t>
            </w:r>
            <w:r w:rsidR="00495644" w:rsidRPr="00DE37DD">
              <w:t> </w:t>
            </w:r>
            <w:r w:rsidR="000839D8" w:rsidRPr="00DE37DD">
              <w:t xml:space="preserve">punktā noteikto. </w:t>
            </w:r>
          </w:p>
          <w:p w:rsidR="00AD347C" w:rsidRPr="00DE37DD" w:rsidRDefault="00AD347C" w:rsidP="00AD347C">
            <w:pPr>
              <w:ind w:left="166" w:right="74"/>
              <w:jc w:val="both"/>
              <w:rPr>
                <w:sz w:val="20"/>
              </w:rPr>
            </w:pPr>
            <w:r w:rsidRPr="00DE37DD">
              <w:rPr>
                <w:szCs w:val="28"/>
              </w:rPr>
              <w:t xml:space="preserve">Izglītības reformu kontekstā aktualizējusies nepieciešamība integrēt </w:t>
            </w:r>
            <w:r w:rsidRPr="00DE37DD">
              <w:t>izglītības</w:t>
            </w:r>
            <w:r w:rsidRPr="00DE37DD">
              <w:rPr>
                <w:szCs w:val="28"/>
              </w:rPr>
              <w:t xml:space="preserve"> sistēmā esošās informācijas sistēmas, t.sk. Latvijas augstskolu pārziņā esošās informācijas sistēmas, lai iegūtu ticamus datus par studējošajiem, mācībspēkiem un studiju finansējumu un nodrošinātu elektroniskas informācijas apmaiņu un pieejamību par izglītības dokumentiem, iegūto kvalifikāciju un veidotu jaunus izglītības jomas e-pakalpojumus iedzīvotājiem. Tajā skaitā aktuālākais un akūtākais uzlabojums, kas nepieciešams ministrijas informācijas sistēmās ir saistīts ar iespēju veikt pedagogu atalgojuma mērķdotāciju iespējamā apjoma modelēšanu, izmantojot </w:t>
            </w:r>
            <w:bookmarkStart w:id="3" w:name="_GoBack"/>
            <w:bookmarkEnd w:id="3"/>
            <w:r w:rsidRPr="00DE37DD">
              <w:t>Valsts izglītības informācijas sistēmā (turpmāk – VIIS)</w:t>
            </w:r>
            <w:r w:rsidRPr="00DE37DD">
              <w:rPr>
                <w:szCs w:val="28"/>
              </w:rPr>
              <w:t xml:space="preserve"> uzkrātos datus un veikt aprēķinus. Šādu funkcionalitāti ir iespējams nodrošināt ar papildus funkcionalitātes izstrādi VIIS.</w:t>
            </w:r>
          </w:p>
          <w:p w:rsidR="00E7171F" w:rsidRPr="00DE37DD" w:rsidRDefault="000839D8" w:rsidP="00E7171F">
            <w:pPr>
              <w:ind w:left="166" w:right="74"/>
              <w:jc w:val="both"/>
              <w:rPr>
                <w:bCs/>
                <w:szCs w:val="28"/>
              </w:rPr>
            </w:pPr>
            <w:r w:rsidRPr="00DE37DD">
              <w:t xml:space="preserve">Ņemot vērā iepriekšminēto, noteikumu projekts paredz aizstāt projekta </w:t>
            </w:r>
            <w:r w:rsidRPr="00DE37DD">
              <w:rPr>
                <w:szCs w:val="28"/>
              </w:rPr>
              <w:t>tēmu</w:t>
            </w:r>
            <w:r w:rsidRPr="00DE37DD">
              <w:t xml:space="preserve"> „Skolu portāla izveide – 3.</w:t>
            </w:r>
            <w:r w:rsidR="00495644" w:rsidRPr="00DE37DD">
              <w:t> </w:t>
            </w:r>
            <w:r w:rsidRPr="00DE37DD">
              <w:t xml:space="preserve">kārta” un tai paredzēto finansējumu 2 665 235,97 </w:t>
            </w:r>
            <w:proofErr w:type="spellStart"/>
            <w:r w:rsidRPr="00DE37DD">
              <w:rPr>
                <w:i/>
              </w:rPr>
              <w:t>euro</w:t>
            </w:r>
            <w:proofErr w:type="spellEnd"/>
            <w:r w:rsidRPr="00DE37DD">
              <w:t xml:space="preserve"> apmērā ar projekta tēmu „Valsts izglītības informācijas sistēmas attīstība – 3.</w:t>
            </w:r>
            <w:r w:rsidR="00495644" w:rsidRPr="00DE37DD">
              <w:t> </w:t>
            </w:r>
            <w:r w:rsidRPr="00DE37DD">
              <w:t xml:space="preserve">kārta” un tai paredzēto finansējumu </w:t>
            </w:r>
            <w:r w:rsidRPr="00DE37DD">
              <w:rPr>
                <w:bCs/>
                <w:szCs w:val="28"/>
              </w:rPr>
              <w:t xml:space="preserve">1 270 789,56 </w:t>
            </w:r>
            <w:proofErr w:type="spellStart"/>
            <w:r w:rsidRPr="00DE37DD">
              <w:rPr>
                <w:bCs/>
                <w:i/>
                <w:szCs w:val="28"/>
              </w:rPr>
              <w:t>euro</w:t>
            </w:r>
            <w:proofErr w:type="spellEnd"/>
            <w:r w:rsidRPr="00DE37DD">
              <w:rPr>
                <w:bCs/>
                <w:szCs w:val="28"/>
              </w:rPr>
              <w:t xml:space="preserve"> apmērā.</w:t>
            </w:r>
          </w:p>
          <w:p w:rsidR="00E7171F" w:rsidRPr="00DE37DD" w:rsidRDefault="00E7171F" w:rsidP="00E7171F">
            <w:pPr>
              <w:ind w:left="166" w:right="74"/>
              <w:jc w:val="both"/>
            </w:pPr>
            <w:r w:rsidRPr="00DE37DD">
              <w:t xml:space="preserve">Pamatojoties uz IZM 2014.gada </w:t>
            </w:r>
            <w:r w:rsidR="000565A2">
              <w:t>30.aprīļa vēstulē Nr.</w:t>
            </w:r>
            <w:r w:rsidR="000565A2" w:rsidRPr="000565A2">
              <w:t xml:space="preserve"> 01-06/1952</w:t>
            </w:r>
            <w:r w:rsidRPr="00DE37DD">
              <w:t xml:space="preserve"> sniegto informāciju, IZM ir apstiprinājusi, ka saskaņā ar esošo koncepcijas virzību, koncepcija tiks iesniegta un izskatīta Ministru kabinetā līdz 2014.gada 31.maijam. Ņemot vērā projekta īstenošanas specifiku un esošo cilvēkresursu kapacitāti, IZM plāno nodrošināt efektīvu projekta pārvaldību, piesaistot ārpakalpojumā gan projekta vadītāju, gan izstrādātājus. Nepieciešamā publiskā iepirkuma procedūra tiks nodrošināta saskaņā ar projekta īstenošanas laika </w:t>
            </w:r>
            <w:proofErr w:type="spellStart"/>
            <w:r w:rsidRPr="00DE37DD">
              <w:t>grafikuun</w:t>
            </w:r>
            <w:proofErr w:type="spellEnd"/>
            <w:r w:rsidRPr="00DE37DD">
              <w:t xml:space="preserve"> tam ir atvēlēti nepieciešamie finanšu līdzekļi. IZM ir sniegusi informāciju, ka koncepcijas apstiprināšanas gadījumā plānotās aktivitātes tiks īstenotas līdz 2015.gada 30.jūnijam.</w:t>
            </w:r>
          </w:p>
          <w:p w:rsidR="0066073A" w:rsidRPr="00AE3AFB" w:rsidRDefault="0066073A" w:rsidP="00E97E1D">
            <w:pPr>
              <w:ind w:left="96" w:right="113"/>
              <w:jc w:val="both"/>
              <w:rPr>
                <w:bCs/>
              </w:rPr>
            </w:pPr>
            <w:r w:rsidRPr="00DE37DD">
              <w:rPr>
                <w:bCs/>
                <w:szCs w:val="28"/>
              </w:rPr>
              <w:t>4)</w:t>
            </w:r>
            <w:r w:rsidRPr="00DE37DD">
              <w:t xml:space="preserve"> Vienlaikus noteikumu projekts paredz precizēt atsevišķu projektu attiecināmo izmaksu apmēru</w:t>
            </w:r>
            <w:r w:rsidR="00E97E1D" w:rsidRPr="00DE37DD">
              <w:t xml:space="preserve"> (noteikumu projekta 4.-6.punkts, 8.punkts un 11.punkts) atbilstoši Eiropas Savienības struktūrfondu un Kohēzijas fonda vadības informācijas sistēmā norādītajai informācijai, ņemot vērā projektu ietvaros radušos ietaupījumu vai neatbilstoši veiktos izdevumus.</w:t>
            </w:r>
            <w:r w:rsidR="00E97E1D" w:rsidRPr="00D47290">
              <w:rPr>
                <w:b/>
              </w:rPr>
              <w:t xml:space="preserve"> </w:t>
            </w:r>
          </w:p>
        </w:tc>
      </w:tr>
      <w:tr w:rsidR="00385F0D" w:rsidRPr="0031684F" w:rsidTr="004711D1">
        <w:trPr>
          <w:trHeight w:val="46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lastRenderedPageBreak/>
              <w:t>3.</w:t>
            </w:r>
          </w:p>
        </w:tc>
        <w:tc>
          <w:tcPr>
            <w:tcW w:w="1377" w:type="pct"/>
            <w:hideMark/>
          </w:tcPr>
          <w:p w:rsidR="00385F0D" w:rsidRPr="0031684F" w:rsidRDefault="00385F0D">
            <w:pPr>
              <w:rPr>
                <w:color w:val="000000"/>
              </w:rPr>
            </w:pPr>
            <w:r w:rsidRPr="0031684F">
              <w:rPr>
                <w:color w:val="000000"/>
              </w:rPr>
              <w:t>Projekta izstrādē iesaistītās institūcijas</w:t>
            </w:r>
          </w:p>
        </w:tc>
        <w:tc>
          <w:tcPr>
            <w:tcW w:w="3312" w:type="pct"/>
            <w:hideMark/>
          </w:tcPr>
          <w:p w:rsidR="00385F0D" w:rsidRPr="0031684F" w:rsidRDefault="003B51F8" w:rsidP="00506C16">
            <w:pPr>
              <w:ind w:left="170"/>
              <w:rPr>
                <w:color w:val="000000"/>
              </w:rPr>
            </w:pPr>
            <w:r>
              <w:rPr>
                <w:color w:val="000000"/>
              </w:rPr>
              <w:t xml:space="preserve">Nav </w:t>
            </w:r>
          </w:p>
        </w:tc>
      </w:tr>
      <w:tr w:rsidR="00385F0D" w:rsidRPr="0031684F" w:rsidTr="004711D1">
        <w:trPr>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506C16" w:rsidRPr="0031684F" w:rsidRDefault="00385F0D" w:rsidP="00506C16">
            <w:pPr>
              <w:spacing w:before="100" w:beforeAutospacing="1" w:after="100" w:afterAutospacing="1"/>
              <w:ind w:left="170"/>
              <w:jc w:val="both"/>
              <w:rPr>
                <w:color w:val="000000"/>
              </w:rPr>
            </w:pPr>
            <w:r w:rsidRPr="0031684F">
              <w:rPr>
                <w:color w:val="000000"/>
              </w:rPr>
              <w:t>Sabiedrības līdzdalība noteikumu projekta izstrādē netika nodrošināta, jo projekts nemaina pastāvošo tiesisko regulējumu pēc būtības.</w:t>
            </w:r>
          </w:p>
        </w:tc>
      </w:tr>
    </w:tbl>
    <w:p w:rsidR="00506C16" w:rsidRDefault="00506C16"/>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401AF2">
        <w:trPr>
          <w:trHeight w:val="371"/>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color w:val="000000"/>
              </w:rPr>
              <w:t> </w:t>
            </w:r>
            <w:r w:rsidRPr="0031684F">
              <w:rPr>
                <w:b/>
                <w:bCs/>
                <w:color w:val="000000"/>
              </w:rPr>
              <w:t>II. Tiesību akta projekta ietekme uz sabiedrību, tautsaimniecības attīstību un administratīvo slogu</w:t>
            </w:r>
          </w:p>
        </w:tc>
      </w:tr>
      <w:tr w:rsidR="00385F0D" w:rsidRPr="0031684F" w:rsidTr="00593B7E">
        <w:trPr>
          <w:trHeight w:val="465"/>
          <w:tblCellSpacing w:w="15" w:type="dxa"/>
        </w:trPr>
        <w:tc>
          <w:tcPr>
            <w:tcW w:w="245" w:type="pct"/>
            <w:hideMark/>
          </w:tcPr>
          <w:p w:rsidR="00385F0D" w:rsidRPr="0031684F" w:rsidRDefault="00385F0D">
            <w:pPr>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Sabiedrības mērķgrupas, kuras tiesiskais regulējums ietekmē vai varētu ietekmēt</w:t>
            </w:r>
          </w:p>
        </w:tc>
        <w:tc>
          <w:tcPr>
            <w:tcW w:w="3312" w:type="pct"/>
            <w:hideMark/>
          </w:tcPr>
          <w:p w:rsidR="00385F0D" w:rsidRPr="0031684F" w:rsidRDefault="00506C16" w:rsidP="00401AF2">
            <w:pPr>
              <w:ind w:left="144" w:right="72"/>
              <w:jc w:val="both"/>
              <w:rPr>
                <w:color w:val="000000"/>
              </w:rPr>
            </w:pPr>
            <w:r>
              <w:t xml:space="preserve">Saskaņā ar MK noteikumu </w:t>
            </w:r>
            <w:r w:rsidR="00EF2069" w:rsidRPr="00EF2069">
              <w:t>2010.</w:t>
            </w:r>
            <w:r w:rsidR="00495644">
              <w:t> </w:t>
            </w:r>
            <w:r w:rsidR="00EF2069" w:rsidRPr="00EF2069">
              <w:t>gada 10.</w:t>
            </w:r>
            <w:r w:rsidR="00495644">
              <w:t> </w:t>
            </w:r>
            <w:r w:rsidR="00EF2069" w:rsidRPr="00EF2069">
              <w:t>augusta noteikumos Nr.</w:t>
            </w:r>
            <w:r w:rsidR="00495644">
              <w:t> </w:t>
            </w:r>
            <w:r w:rsidR="00EF2069" w:rsidRPr="00EF2069">
              <w:t>766 „Noteikumi par darbības programmas „Infrastruktūra un pakalpojumi” papildinājuma 3.2.2.1.1.apakšaktivitātes „Informācijas sistēmu un elektronisko pakalpojumu attīstība” projektu iesniegumu atlases otro, trešo, ceturto un piekto kārtu””</w:t>
            </w:r>
            <w:r>
              <w:t xml:space="preserve"> </w:t>
            </w:r>
            <w:r w:rsidR="00EF2069">
              <w:t>8</w:t>
            </w:r>
            <w:r>
              <w:t>.</w:t>
            </w:r>
            <w:r w:rsidR="00495644">
              <w:t> </w:t>
            </w:r>
            <w:r>
              <w:t>punktu 3.2.2.1.1.</w:t>
            </w:r>
            <w:r w:rsidR="00495644">
              <w:t> </w:t>
            </w:r>
            <w:r>
              <w:t xml:space="preserve">apakšaktivitātes mērķa grupa ir </w:t>
            </w:r>
            <w:r w:rsidR="00EF2069">
              <w:t>ikviena pārvaldes iestāde, pilnvarotā persona valsts pārvaldes uzdevumu veikšanai un citi informācijas sistēmu un elektronisko pakalpojumu lietotāji.</w:t>
            </w:r>
          </w:p>
        </w:tc>
      </w:tr>
      <w:tr w:rsidR="00385F0D" w:rsidRPr="0031684F" w:rsidTr="00593B7E">
        <w:trPr>
          <w:trHeight w:val="510"/>
          <w:tblCellSpacing w:w="15" w:type="dxa"/>
        </w:trPr>
        <w:tc>
          <w:tcPr>
            <w:tcW w:w="245" w:type="pct"/>
            <w:hideMark/>
          </w:tcPr>
          <w:p w:rsidR="00385F0D" w:rsidRPr="0031684F" w:rsidRDefault="00385F0D">
            <w:pPr>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Tiesiskā regulējuma ietekme uz tautsaimniecību un administratīvo slogu</w:t>
            </w:r>
          </w:p>
        </w:tc>
        <w:tc>
          <w:tcPr>
            <w:tcW w:w="3312" w:type="pct"/>
            <w:hideMark/>
          </w:tcPr>
          <w:p w:rsidR="00385F0D" w:rsidRPr="00401AF2" w:rsidRDefault="00632608" w:rsidP="00401AF2">
            <w:pPr>
              <w:ind w:left="144" w:right="72"/>
              <w:jc w:val="both"/>
            </w:pPr>
            <w:r w:rsidRPr="00401AF2">
              <w:t>Sabiedrības grupām un institūcijām projekta tiesiskais regulējums nemaina tiesības un pienākumus</w:t>
            </w:r>
            <w:r w:rsidR="007F4AC9" w:rsidRPr="00401AF2">
              <w:t>.</w:t>
            </w:r>
          </w:p>
        </w:tc>
      </w:tr>
      <w:tr w:rsidR="00385F0D" w:rsidRPr="0031684F" w:rsidTr="00593B7E">
        <w:trPr>
          <w:trHeight w:val="510"/>
          <w:tblCellSpacing w:w="15" w:type="dxa"/>
        </w:trPr>
        <w:tc>
          <w:tcPr>
            <w:tcW w:w="245" w:type="pct"/>
            <w:hideMark/>
          </w:tcPr>
          <w:p w:rsidR="00385F0D" w:rsidRPr="0031684F" w:rsidRDefault="00385F0D">
            <w:pPr>
              <w:rPr>
                <w:color w:val="000000"/>
              </w:rPr>
            </w:pPr>
            <w:r w:rsidRPr="0031684F">
              <w:rPr>
                <w:color w:val="000000"/>
              </w:rPr>
              <w:t>3.</w:t>
            </w:r>
          </w:p>
        </w:tc>
        <w:tc>
          <w:tcPr>
            <w:tcW w:w="1377" w:type="pct"/>
            <w:hideMark/>
          </w:tcPr>
          <w:p w:rsidR="00385F0D" w:rsidRPr="0031684F" w:rsidRDefault="00385F0D">
            <w:pPr>
              <w:rPr>
                <w:color w:val="000000"/>
              </w:rPr>
            </w:pPr>
            <w:r w:rsidRPr="0031684F">
              <w:rPr>
                <w:color w:val="000000"/>
              </w:rPr>
              <w:t>Administratīvo izmaksu monetārs novērtējums</w:t>
            </w:r>
          </w:p>
        </w:tc>
        <w:tc>
          <w:tcPr>
            <w:tcW w:w="3312" w:type="pct"/>
            <w:hideMark/>
          </w:tcPr>
          <w:p w:rsidR="00385F0D" w:rsidRPr="00401AF2" w:rsidRDefault="0031684F" w:rsidP="00401AF2">
            <w:pPr>
              <w:ind w:left="144" w:right="72"/>
              <w:jc w:val="both"/>
            </w:pPr>
            <w:r w:rsidRPr="00401AF2">
              <w:t>Projekts šo jomu neskar</w:t>
            </w:r>
          </w:p>
        </w:tc>
      </w:tr>
      <w:tr w:rsidR="00385F0D" w:rsidRPr="0031684F" w:rsidTr="00593B7E">
        <w:trPr>
          <w:trHeight w:val="345"/>
          <w:tblCellSpacing w:w="15" w:type="dxa"/>
        </w:trPr>
        <w:tc>
          <w:tcPr>
            <w:tcW w:w="245" w:type="pct"/>
            <w:hideMark/>
          </w:tcPr>
          <w:p w:rsidR="00385F0D" w:rsidRPr="0031684F" w:rsidRDefault="00385F0D">
            <w:pPr>
              <w:rPr>
                <w:color w:val="000000"/>
              </w:rPr>
            </w:pPr>
            <w:r w:rsidRPr="0031684F">
              <w:rPr>
                <w:color w:val="000000"/>
              </w:rPr>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385F0D" w:rsidRPr="00401AF2" w:rsidRDefault="00385F0D" w:rsidP="00401AF2">
            <w:pPr>
              <w:ind w:left="144" w:right="72"/>
              <w:jc w:val="both"/>
            </w:pPr>
            <w:r w:rsidRPr="00401AF2">
              <w:t>Nav</w:t>
            </w:r>
          </w:p>
        </w:tc>
      </w:tr>
    </w:tbl>
    <w:p w:rsidR="00401AF2" w:rsidRDefault="00401AF2" w:rsidP="004711D1">
      <w:pPr>
        <w:ind w:firstLine="346"/>
        <w:rPr>
          <w:i/>
          <w:iCs/>
        </w:rPr>
      </w:pPr>
    </w:p>
    <w:tbl>
      <w:tblPr>
        <w:tblW w:w="9179" w:type="dxa"/>
        <w:jc w:val="center"/>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03"/>
        <w:gridCol w:w="2528"/>
        <w:gridCol w:w="6148"/>
      </w:tblGrid>
      <w:tr w:rsidR="00401AF2" w:rsidRPr="00F82133" w:rsidTr="00401AF2">
        <w:trPr>
          <w:jc w:val="center"/>
        </w:trPr>
        <w:tc>
          <w:tcPr>
            <w:tcW w:w="9179" w:type="dxa"/>
            <w:gridSpan w:val="3"/>
          </w:tcPr>
          <w:p w:rsidR="00401AF2" w:rsidRPr="00401AF2" w:rsidRDefault="00401AF2" w:rsidP="00401AF2">
            <w:pPr>
              <w:spacing w:before="100" w:beforeAutospacing="1" w:after="100" w:afterAutospacing="1"/>
              <w:ind w:firstLine="346"/>
              <w:jc w:val="center"/>
              <w:rPr>
                <w:color w:val="000000"/>
              </w:rPr>
            </w:pPr>
            <w:r w:rsidRPr="00401AF2">
              <w:rPr>
                <w:b/>
                <w:bCs/>
                <w:color w:val="000000"/>
              </w:rPr>
              <w:t>IV. Tiesību akta projekta ietekme uz spēkā esošo tiesību normu sistēmu</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sidRPr="00F82133">
              <w:rPr>
                <w:iCs/>
                <w:sz w:val="28"/>
                <w:szCs w:val="28"/>
              </w:rPr>
              <w:t>1.</w:t>
            </w:r>
          </w:p>
        </w:tc>
        <w:tc>
          <w:tcPr>
            <w:tcW w:w="2528" w:type="dxa"/>
          </w:tcPr>
          <w:p w:rsidR="00401AF2" w:rsidRPr="00401AF2" w:rsidRDefault="00401AF2" w:rsidP="00593B7E">
            <w:pPr>
              <w:spacing w:before="100" w:beforeAutospacing="1" w:after="100" w:afterAutospacing="1"/>
              <w:rPr>
                <w:color w:val="000000"/>
              </w:rPr>
            </w:pPr>
            <w:r w:rsidRPr="00401AF2">
              <w:rPr>
                <w:color w:val="000000"/>
              </w:rPr>
              <w:t>Nepieciešamie saistītie tiesību aktu projekti</w:t>
            </w:r>
          </w:p>
        </w:tc>
        <w:tc>
          <w:tcPr>
            <w:tcW w:w="6148" w:type="dxa"/>
          </w:tcPr>
          <w:p w:rsidR="00401AF2" w:rsidRPr="00401AF2" w:rsidRDefault="00401AF2" w:rsidP="00593B7E">
            <w:pPr>
              <w:ind w:left="144" w:right="72"/>
              <w:jc w:val="both"/>
              <w:rPr>
                <w:color w:val="000000"/>
              </w:rPr>
            </w:pPr>
            <w:r w:rsidRPr="00401AF2">
              <w:t xml:space="preserve">Ar noteikumu projektu vienlaicīgi tiek plānots virzīt grozījumus </w:t>
            </w:r>
            <w:r w:rsidR="00593B7E" w:rsidRPr="008D0D17">
              <w:t>darbības programmas „Infrastruktūra un pakalpojumi” papildinājumā</w:t>
            </w:r>
            <w:r w:rsidR="00593B7E" w:rsidRPr="00401AF2">
              <w:t xml:space="preserve"> </w:t>
            </w:r>
            <w:r w:rsidR="00593B7E">
              <w:t xml:space="preserve">un grozījumus </w:t>
            </w:r>
            <w:r w:rsidRPr="00401AF2">
              <w:t>Ministru kabineta 2008. gada 21. jūlija noteikumos Nr. 576 „Noteikumi par darbības programmas „Infrastruktūra un pakalpojumi</w:t>
            </w:r>
            <w:r w:rsidRPr="00DE37DD">
              <w:t>” papildinājuma 3.2.2.1.1. apakšaktivitātes „Informācijas sistēmu un elektronisko pakalpojumu attīstība” projektu iesniegumu atlases pirmo kārtu”</w:t>
            </w:r>
            <w:r w:rsidR="00E7171F" w:rsidRPr="00DE37DD">
              <w:t>, kā arī grozījumus 2008. gada 5. augusta noteikumos Nr. 649 „Noteikumi par darbības programmas “Infrastruktūra un pakalpojumi” papildinājuma 3.2.2.1.2. apakšaktivitāti “Izglītības iestāžu informatizācija””.</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sidRPr="00F82133">
              <w:rPr>
                <w:iCs/>
                <w:sz w:val="28"/>
                <w:szCs w:val="28"/>
              </w:rPr>
              <w:t>2.</w:t>
            </w:r>
          </w:p>
        </w:tc>
        <w:tc>
          <w:tcPr>
            <w:tcW w:w="2528" w:type="dxa"/>
          </w:tcPr>
          <w:p w:rsidR="00401AF2" w:rsidRPr="00401AF2" w:rsidRDefault="00401AF2" w:rsidP="00593B7E">
            <w:pPr>
              <w:spacing w:before="100" w:beforeAutospacing="1" w:after="100" w:afterAutospacing="1"/>
              <w:rPr>
                <w:color w:val="000000"/>
              </w:rPr>
            </w:pPr>
            <w:r w:rsidRPr="00401AF2">
              <w:rPr>
                <w:color w:val="000000"/>
              </w:rPr>
              <w:t>Atbildīgā institūcija</w:t>
            </w:r>
          </w:p>
        </w:tc>
        <w:tc>
          <w:tcPr>
            <w:tcW w:w="6148" w:type="dxa"/>
          </w:tcPr>
          <w:p w:rsidR="00401AF2" w:rsidRPr="00401AF2" w:rsidRDefault="00401AF2" w:rsidP="00401AF2">
            <w:pPr>
              <w:ind w:left="144" w:right="72"/>
              <w:jc w:val="both"/>
            </w:pPr>
            <w:r w:rsidRPr="00401AF2">
              <w:t>VARAM</w:t>
            </w:r>
            <w:r w:rsidR="00E7171F">
              <w:t>, IZM</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Pr>
                <w:iCs/>
                <w:sz w:val="28"/>
                <w:szCs w:val="28"/>
              </w:rPr>
              <w:t>3.</w:t>
            </w:r>
          </w:p>
        </w:tc>
        <w:tc>
          <w:tcPr>
            <w:tcW w:w="2528" w:type="dxa"/>
          </w:tcPr>
          <w:p w:rsidR="00401AF2" w:rsidRPr="00401AF2" w:rsidRDefault="00401AF2" w:rsidP="00593B7E">
            <w:pPr>
              <w:spacing w:before="100" w:beforeAutospacing="1" w:after="100" w:afterAutospacing="1"/>
              <w:rPr>
                <w:color w:val="000000"/>
              </w:rPr>
            </w:pPr>
            <w:r w:rsidRPr="00401AF2">
              <w:rPr>
                <w:color w:val="000000"/>
              </w:rPr>
              <w:t>Cita informācija</w:t>
            </w:r>
          </w:p>
        </w:tc>
        <w:tc>
          <w:tcPr>
            <w:tcW w:w="6148" w:type="dxa"/>
          </w:tcPr>
          <w:p w:rsidR="00401AF2" w:rsidRPr="00401AF2" w:rsidRDefault="00401AF2" w:rsidP="00401AF2">
            <w:pPr>
              <w:ind w:left="144" w:right="72"/>
              <w:jc w:val="both"/>
            </w:pPr>
            <w:r w:rsidRPr="00401AF2">
              <w:t>Nav</w:t>
            </w:r>
          </w:p>
        </w:tc>
      </w:tr>
    </w:tbl>
    <w:p w:rsidR="00401AF2" w:rsidRDefault="00401AF2" w:rsidP="004711D1">
      <w:pPr>
        <w:ind w:firstLine="346"/>
        <w:rPr>
          <w:i/>
          <w:iCs/>
        </w:rPr>
      </w:pPr>
    </w:p>
    <w:p w:rsidR="00DE37DD" w:rsidRDefault="00DE37DD" w:rsidP="004711D1">
      <w:pPr>
        <w:ind w:firstLine="346"/>
        <w:rPr>
          <w:i/>
          <w:iCs/>
        </w:rPr>
      </w:pPr>
    </w:p>
    <w:p w:rsidR="00385A38" w:rsidRDefault="004711D1" w:rsidP="004711D1">
      <w:pPr>
        <w:ind w:firstLine="346"/>
        <w:rPr>
          <w:i/>
          <w:iCs/>
        </w:rPr>
      </w:pPr>
      <w:r>
        <w:rPr>
          <w:i/>
          <w:iCs/>
        </w:rPr>
        <w:t xml:space="preserve"> </w:t>
      </w:r>
      <w:r w:rsidR="001C5104" w:rsidRPr="00385A38">
        <w:rPr>
          <w:i/>
          <w:iCs/>
        </w:rPr>
        <w:t>Anotācijas III</w:t>
      </w:r>
      <w:r w:rsidR="00401AF2">
        <w:rPr>
          <w:i/>
          <w:iCs/>
        </w:rPr>
        <w:t>, V</w:t>
      </w:r>
      <w:r w:rsidR="00291C9A" w:rsidRPr="00385A38">
        <w:rPr>
          <w:i/>
          <w:iCs/>
        </w:rPr>
        <w:t xml:space="preserve"> </w:t>
      </w:r>
      <w:r w:rsidR="001C5104" w:rsidRPr="00385A38">
        <w:rPr>
          <w:i/>
          <w:iCs/>
        </w:rPr>
        <w:t>–</w:t>
      </w:r>
      <w:r w:rsidR="00E02090" w:rsidRPr="00385A38">
        <w:rPr>
          <w:i/>
          <w:iCs/>
        </w:rPr>
        <w:t xml:space="preserve"> VI</w:t>
      </w:r>
      <w:r w:rsidR="001C5104" w:rsidRPr="00385A38">
        <w:rPr>
          <w:i/>
          <w:iCs/>
        </w:rPr>
        <w:t xml:space="preserve">I </w:t>
      </w:r>
      <w:r w:rsidR="00291C9A" w:rsidRPr="00385A38">
        <w:rPr>
          <w:i/>
          <w:iCs/>
        </w:rPr>
        <w:t>sadaļa – projekts šīs jomas neskar</w:t>
      </w:r>
      <w:r w:rsidR="00D92014" w:rsidRPr="00385A38">
        <w:rPr>
          <w:i/>
          <w:iCs/>
        </w:rPr>
        <w:t>.</w:t>
      </w:r>
    </w:p>
    <w:p w:rsidR="004711D1" w:rsidRDefault="004711D1" w:rsidP="004711D1"/>
    <w:p w:rsidR="00385A38" w:rsidRPr="00506C16" w:rsidRDefault="004711D1" w:rsidP="004711D1">
      <w:r>
        <w:t>I</w:t>
      </w:r>
      <w:r w:rsidR="00C83C8B" w:rsidRPr="00506C16">
        <w:t>esniedzējs:</w:t>
      </w:r>
    </w:p>
    <w:p w:rsidR="00BA0344" w:rsidRPr="00506C16" w:rsidRDefault="00BA0344" w:rsidP="00385A38">
      <w:r w:rsidRPr="00506C16">
        <w:t xml:space="preserve">vides aizsardzības un </w:t>
      </w:r>
    </w:p>
    <w:p w:rsidR="00CB04E2" w:rsidRPr="00506C16" w:rsidRDefault="00BA0344" w:rsidP="00385A38">
      <w:r w:rsidRPr="00506C16">
        <w:lastRenderedPageBreak/>
        <w:t>reģionālās attīstības mini</w:t>
      </w:r>
      <w:r w:rsidR="00401AF2">
        <w:t>strs</w:t>
      </w:r>
      <w:r w:rsidR="00401AF2">
        <w:tab/>
      </w:r>
      <w:r w:rsidR="00401AF2">
        <w:tab/>
      </w:r>
      <w:r w:rsidR="00401AF2">
        <w:tab/>
      </w:r>
      <w:r w:rsidR="00401AF2">
        <w:tab/>
      </w:r>
      <w:r w:rsidR="00401AF2">
        <w:tab/>
      </w:r>
      <w:r w:rsidR="00401AF2">
        <w:tab/>
      </w:r>
      <w:r w:rsidR="00401AF2">
        <w:tab/>
      </w:r>
      <w:proofErr w:type="spellStart"/>
      <w:r w:rsidR="00401AF2">
        <w:t>R.Naudiņš</w:t>
      </w:r>
      <w:proofErr w:type="spellEnd"/>
      <w:r w:rsidR="00CB04E2" w:rsidRPr="00506C16">
        <w:t xml:space="preserve"> </w:t>
      </w:r>
    </w:p>
    <w:p w:rsidR="00385A38" w:rsidRPr="00506C16" w:rsidRDefault="00385A38" w:rsidP="00CD3118">
      <w:pPr>
        <w:tabs>
          <w:tab w:val="left" w:pos="6804"/>
        </w:tabs>
      </w:pPr>
    </w:p>
    <w:p w:rsidR="00506C16" w:rsidRPr="00506C16" w:rsidRDefault="00506C16" w:rsidP="00506C16">
      <w:pPr>
        <w:tabs>
          <w:tab w:val="left" w:pos="6521"/>
        </w:tabs>
        <w:ind w:right="26"/>
        <w:jc w:val="both"/>
      </w:pPr>
      <w:r w:rsidRPr="00506C16">
        <w:t xml:space="preserve">Vīza: </w:t>
      </w:r>
    </w:p>
    <w:p w:rsidR="005B71D1" w:rsidRPr="00506C16" w:rsidRDefault="005D5F06" w:rsidP="005D5F06">
      <w:pPr>
        <w:tabs>
          <w:tab w:val="left" w:pos="7230"/>
        </w:tabs>
        <w:ind w:right="26"/>
        <w:jc w:val="both"/>
      </w:pPr>
      <w:r>
        <w:t>valsts sekretārs</w:t>
      </w:r>
      <w:r w:rsidR="00506C16">
        <w:tab/>
      </w:r>
      <w:r>
        <w:t>G.Puķītis</w:t>
      </w:r>
    </w:p>
    <w:p w:rsidR="005D5F06" w:rsidRDefault="005D5F06" w:rsidP="009A45EA">
      <w:pPr>
        <w:tabs>
          <w:tab w:val="left" w:pos="6315"/>
        </w:tabs>
        <w:jc w:val="both"/>
        <w:rPr>
          <w:sz w:val="20"/>
        </w:rPr>
      </w:pPr>
    </w:p>
    <w:p w:rsidR="005D5F06" w:rsidRDefault="005D5F06" w:rsidP="009A45EA">
      <w:pPr>
        <w:tabs>
          <w:tab w:val="left" w:pos="6315"/>
        </w:tabs>
        <w:jc w:val="both"/>
        <w:rPr>
          <w:sz w:val="20"/>
        </w:rPr>
      </w:pPr>
    </w:p>
    <w:p w:rsidR="005D5F06" w:rsidRDefault="005D5F06" w:rsidP="009A45EA">
      <w:pPr>
        <w:tabs>
          <w:tab w:val="left" w:pos="6315"/>
        </w:tabs>
        <w:jc w:val="both"/>
        <w:rPr>
          <w:sz w:val="20"/>
        </w:rPr>
      </w:pPr>
    </w:p>
    <w:p w:rsidR="009A45EA" w:rsidRPr="00385A38" w:rsidRDefault="008C73B2" w:rsidP="009A45EA">
      <w:pPr>
        <w:tabs>
          <w:tab w:val="left" w:pos="6315"/>
        </w:tabs>
        <w:jc w:val="both"/>
        <w:rPr>
          <w:sz w:val="20"/>
        </w:rPr>
      </w:pPr>
      <w:r>
        <w:rPr>
          <w:sz w:val="20"/>
        </w:rPr>
        <w:t>14</w:t>
      </w:r>
      <w:r w:rsidR="00DE37DD">
        <w:rPr>
          <w:sz w:val="20"/>
        </w:rPr>
        <w:t>.05</w:t>
      </w:r>
      <w:r w:rsidR="005B71D1" w:rsidRPr="00385A38">
        <w:rPr>
          <w:sz w:val="20"/>
        </w:rPr>
        <w:t>.</w:t>
      </w:r>
      <w:r w:rsidR="009A45EA" w:rsidRPr="00385A38">
        <w:rPr>
          <w:sz w:val="20"/>
        </w:rPr>
        <w:t>201</w:t>
      </w:r>
      <w:r w:rsidR="005B71D1" w:rsidRPr="00385A38">
        <w:rPr>
          <w:sz w:val="20"/>
        </w:rPr>
        <w:t>4</w:t>
      </w:r>
      <w:r w:rsidR="009A45EA" w:rsidRPr="00385A38">
        <w:rPr>
          <w:sz w:val="20"/>
        </w:rPr>
        <w:t xml:space="preserve">. </w:t>
      </w:r>
      <w:r w:rsidR="00593B7E">
        <w:rPr>
          <w:sz w:val="20"/>
        </w:rPr>
        <w:t>15</w:t>
      </w:r>
      <w:r w:rsidR="009A45EA" w:rsidRPr="00385A38">
        <w:rPr>
          <w:sz w:val="20"/>
        </w:rPr>
        <w:t>:</w:t>
      </w:r>
      <w:r w:rsidR="00506C16">
        <w:rPr>
          <w:sz w:val="20"/>
        </w:rPr>
        <w:t>1</w:t>
      </w:r>
      <w:r w:rsidR="003C3FD9">
        <w:rPr>
          <w:sz w:val="20"/>
        </w:rPr>
        <w:t>1</w:t>
      </w:r>
    </w:p>
    <w:p w:rsidR="003C3FD9" w:rsidRDefault="00A4789E" w:rsidP="009A45EA">
      <w:pPr>
        <w:jc w:val="both"/>
        <w:rPr>
          <w:sz w:val="20"/>
        </w:rPr>
      </w:pPr>
      <w:fldSimple w:instr=" NUMWORDS   \* MERGEFORMAT ">
        <w:r w:rsidR="008C73B2" w:rsidRPr="008C73B2">
          <w:rPr>
            <w:noProof/>
            <w:sz w:val="20"/>
          </w:rPr>
          <w:t>1482</w:t>
        </w:r>
      </w:fldSimple>
    </w:p>
    <w:p w:rsidR="009A45EA" w:rsidRPr="00385A38" w:rsidRDefault="00506C16" w:rsidP="009A45EA">
      <w:pPr>
        <w:jc w:val="both"/>
        <w:rPr>
          <w:sz w:val="20"/>
        </w:rPr>
      </w:pPr>
      <w:r>
        <w:rPr>
          <w:sz w:val="20"/>
        </w:rPr>
        <w:t>Ieva Briņķe</w:t>
      </w:r>
    </w:p>
    <w:p w:rsidR="009A45EA" w:rsidRPr="003C3FD9" w:rsidRDefault="009A45EA" w:rsidP="004711D1">
      <w:pPr>
        <w:jc w:val="both"/>
        <w:rPr>
          <w:sz w:val="20"/>
        </w:rPr>
      </w:pPr>
      <w:r w:rsidRPr="00385A38">
        <w:rPr>
          <w:sz w:val="20"/>
        </w:rPr>
        <w:t>66016</w:t>
      </w:r>
      <w:r w:rsidR="00506C16">
        <w:rPr>
          <w:sz w:val="20"/>
        </w:rPr>
        <w:t>716</w:t>
      </w:r>
      <w:r w:rsidRPr="00385A38">
        <w:rPr>
          <w:sz w:val="20"/>
        </w:rPr>
        <w:t xml:space="preserve">; </w:t>
      </w:r>
      <w:r w:rsidR="00506C16">
        <w:rPr>
          <w:sz w:val="20"/>
        </w:rPr>
        <w:t>ieva.brinke</w:t>
      </w:r>
      <w:r w:rsidRPr="00524DED">
        <w:rPr>
          <w:sz w:val="20"/>
        </w:rPr>
        <w:t>@varam.gov.lv</w:t>
      </w:r>
      <w:r w:rsidRPr="00385A38">
        <w:rPr>
          <w:sz w:val="20"/>
        </w:rPr>
        <w:t xml:space="preserve"> </w:t>
      </w:r>
      <w:r w:rsidR="003C3FD9">
        <w:rPr>
          <w:sz w:val="20"/>
        </w:rPr>
        <w:tab/>
      </w:r>
    </w:p>
    <w:sectPr w:rsidR="009A45EA" w:rsidRPr="003C3FD9" w:rsidSect="00B22FEF">
      <w:headerReference w:type="even" r:id="rId9"/>
      <w:headerReference w:type="default" r:id="rId10"/>
      <w:footerReference w:type="default" r:id="rId11"/>
      <w:footerReference w:type="first" r:id="rId12"/>
      <w:pgSz w:w="11906" w:h="16838"/>
      <w:pgMar w:top="1135" w:right="1134" w:bottom="1134" w:left="1701" w:header="709" w:footer="4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ED" w:rsidRDefault="001C2BED">
      <w:r>
        <w:separator/>
      </w:r>
    </w:p>
  </w:endnote>
  <w:endnote w:type="continuationSeparator" w:id="0">
    <w:p w:rsidR="001C2BED" w:rsidRDefault="001C2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90" w:rsidRPr="00EF2069" w:rsidRDefault="00D47290" w:rsidP="00EF2069">
    <w:pPr>
      <w:tabs>
        <w:tab w:val="left" w:pos="6804"/>
      </w:tabs>
      <w:jc w:val="both"/>
      <w:rPr>
        <w:b/>
        <w:bCs/>
        <w:sz w:val="20"/>
        <w:szCs w:val="20"/>
      </w:rPr>
    </w:pPr>
    <w:r w:rsidRPr="00EF2069">
      <w:rPr>
        <w:sz w:val="20"/>
        <w:szCs w:val="20"/>
      </w:rPr>
      <w:t>VARAMAnot_</w:t>
    </w:r>
    <w:r w:rsidR="008C73B2">
      <w:rPr>
        <w:sz w:val="20"/>
        <w:szCs w:val="20"/>
      </w:rPr>
      <w:t>14</w:t>
    </w:r>
    <w:r w:rsidR="00DE37DD">
      <w:rPr>
        <w:sz w:val="20"/>
        <w:szCs w:val="20"/>
      </w:rPr>
      <w:t>05</w:t>
    </w:r>
    <w:r>
      <w:rPr>
        <w:sz w:val="20"/>
        <w:szCs w:val="20"/>
      </w:rPr>
      <w:t>14</w:t>
    </w:r>
    <w:r w:rsidRPr="00EF2069">
      <w:rPr>
        <w:sz w:val="20"/>
        <w:szCs w:val="20"/>
      </w:rPr>
      <w:t>_groz766; Ministru kabineta noteikumu projekta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90" w:rsidRPr="00EF2069" w:rsidRDefault="00D47290" w:rsidP="00EF2069">
    <w:pPr>
      <w:tabs>
        <w:tab w:val="left" w:pos="6804"/>
      </w:tabs>
      <w:jc w:val="both"/>
      <w:rPr>
        <w:b/>
        <w:bCs/>
        <w:sz w:val="20"/>
        <w:szCs w:val="20"/>
      </w:rPr>
    </w:pPr>
    <w:r w:rsidRPr="00EF2069">
      <w:rPr>
        <w:sz w:val="20"/>
        <w:szCs w:val="20"/>
      </w:rPr>
      <w:t>VARAMAnot_</w:t>
    </w:r>
    <w:r w:rsidR="008C73B2">
      <w:rPr>
        <w:sz w:val="20"/>
        <w:szCs w:val="20"/>
      </w:rPr>
      <w:t>14</w:t>
    </w:r>
    <w:r w:rsidR="00DE37DD">
      <w:rPr>
        <w:sz w:val="20"/>
        <w:szCs w:val="20"/>
      </w:rPr>
      <w:t>05</w:t>
    </w:r>
    <w:r>
      <w:rPr>
        <w:sz w:val="20"/>
        <w:szCs w:val="20"/>
      </w:rPr>
      <w:t>14</w:t>
    </w:r>
    <w:r w:rsidRPr="00EF2069">
      <w:rPr>
        <w:sz w:val="20"/>
        <w:szCs w:val="20"/>
      </w:rPr>
      <w:t>_groz766; Ministru kabineta noteikumu projekta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ED" w:rsidRDefault="001C2BED">
      <w:r>
        <w:separator/>
      </w:r>
    </w:p>
  </w:footnote>
  <w:footnote w:type="continuationSeparator" w:id="0">
    <w:p w:rsidR="001C2BED" w:rsidRDefault="001C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90" w:rsidRDefault="00A4789E" w:rsidP="002935F0">
    <w:pPr>
      <w:pStyle w:val="Header"/>
      <w:framePr w:wrap="around" w:vAnchor="text" w:hAnchor="margin" w:xAlign="center" w:y="1"/>
      <w:rPr>
        <w:rStyle w:val="PageNumber"/>
      </w:rPr>
    </w:pPr>
    <w:r>
      <w:rPr>
        <w:rStyle w:val="PageNumber"/>
      </w:rPr>
      <w:fldChar w:fldCharType="begin"/>
    </w:r>
    <w:r w:rsidR="00D47290">
      <w:rPr>
        <w:rStyle w:val="PageNumber"/>
      </w:rPr>
      <w:instrText xml:space="preserve">PAGE  </w:instrText>
    </w:r>
    <w:r>
      <w:rPr>
        <w:rStyle w:val="PageNumber"/>
      </w:rPr>
      <w:fldChar w:fldCharType="end"/>
    </w:r>
  </w:p>
  <w:p w:rsidR="00D47290" w:rsidRDefault="00D47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90" w:rsidRDefault="00A4789E" w:rsidP="002935F0">
    <w:pPr>
      <w:pStyle w:val="Header"/>
      <w:framePr w:wrap="around" w:vAnchor="text" w:hAnchor="margin" w:xAlign="center" w:y="1"/>
      <w:rPr>
        <w:rStyle w:val="PageNumber"/>
      </w:rPr>
    </w:pPr>
    <w:r>
      <w:rPr>
        <w:rStyle w:val="PageNumber"/>
      </w:rPr>
      <w:fldChar w:fldCharType="begin"/>
    </w:r>
    <w:r w:rsidR="00D47290">
      <w:rPr>
        <w:rStyle w:val="PageNumber"/>
      </w:rPr>
      <w:instrText xml:space="preserve">PAGE  </w:instrText>
    </w:r>
    <w:r>
      <w:rPr>
        <w:rStyle w:val="PageNumber"/>
      </w:rPr>
      <w:fldChar w:fldCharType="separate"/>
    </w:r>
    <w:r w:rsidR="0000205F">
      <w:rPr>
        <w:rStyle w:val="PageNumber"/>
        <w:noProof/>
      </w:rPr>
      <w:t>6</w:t>
    </w:r>
    <w:r>
      <w:rPr>
        <w:rStyle w:val="PageNumber"/>
      </w:rPr>
      <w:fldChar w:fldCharType="end"/>
    </w:r>
  </w:p>
  <w:p w:rsidR="00D47290" w:rsidRDefault="00D47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1">
    <w:nsid w:val="28E45D9E"/>
    <w:multiLevelType w:val="hybridMultilevel"/>
    <w:tmpl w:val="73C81CBE"/>
    <w:lvl w:ilvl="0" w:tplc="04260011">
      <w:start w:val="1"/>
      <w:numFmt w:val="decimal"/>
      <w:lvlText w:val="%1)"/>
      <w:lvlJc w:val="left"/>
      <w:pPr>
        <w:ind w:left="720" w:hanging="360"/>
      </w:pPr>
    </w:lvl>
    <w:lvl w:ilvl="1" w:tplc="04260019">
      <w:start w:val="1"/>
      <w:numFmt w:val="lowerLetter"/>
      <w:lvlText w:val="%2."/>
      <w:lvlJc w:val="left"/>
      <w:pPr>
        <w:ind w:left="78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6">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3B002226"/>
    <w:multiLevelType w:val="hybridMultilevel"/>
    <w:tmpl w:val="506826FA"/>
    <w:lvl w:ilvl="0" w:tplc="C172E038">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9">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2">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5">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D010883"/>
    <w:multiLevelType w:val="hybridMultilevel"/>
    <w:tmpl w:val="0FF217EA"/>
    <w:lvl w:ilvl="0" w:tplc="70ECB16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9"/>
  </w:num>
  <w:num w:numId="5">
    <w:abstractNumId w:val="5"/>
  </w:num>
  <w:num w:numId="6">
    <w:abstractNumId w:val="14"/>
  </w:num>
  <w:num w:numId="7">
    <w:abstractNumId w:val="20"/>
  </w:num>
  <w:num w:numId="8">
    <w:abstractNumId w:val="23"/>
  </w:num>
  <w:num w:numId="9">
    <w:abstractNumId w:val="12"/>
  </w:num>
  <w:num w:numId="10">
    <w:abstractNumId w:val="26"/>
  </w:num>
  <w:num w:numId="11">
    <w:abstractNumId w:val="13"/>
  </w:num>
  <w:num w:numId="12">
    <w:abstractNumId w:val="21"/>
  </w:num>
  <w:num w:numId="13">
    <w:abstractNumId w:val="3"/>
  </w:num>
  <w:num w:numId="14">
    <w:abstractNumId w:val="15"/>
  </w:num>
  <w:num w:numId="15">
    <w:abstractNumId w:val="22"/>
  </w:num>
  <w:num w:numId="16">
    <w:abstractNumId w:val="10"/>
  </w:num>
  <w:num w:numId="17">
    <w:abstractNumId w:val="6"/>
  </w:num>
  <w:num w:numId="18">
    <w:abstractNumId w:val="0"/>
  </w:num>
  <w:num w:numId="19">
    <w:abstractNumId w:val="8"/>
  </w:num>
  <w:num w:numId="20">
    <w:abstractNumId w:val="17"/>
  </w:num>
  <w:num w:numId="21">
    <w:abstractNumId w:val="1"/>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2"/>
  </w:num>
  <w:num w:numId="27">
    <w:abstractNumId w:val="24"/>
  </w:num>
  <w:num w:numId="28">
    <w:abstractNumId w:val="25"/>
  </w:num>
  <w:num w:numId="29">
    <w:abstractNumId w:val="11"/>
  </w:num>
  <w:num w:numId="30">
    <w:abstractNumId w:val="18"/>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05F"/>
    <w:rsid w:val="00002571"/>
    <w:rsid w:val="00002ED1"/>
    <w:rsid w:val="00003293"/>
    <w:rsid w:val="0000528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36467"/>
    <w:rsid w:val="0004064A"/>
    <w:rsid w:val="00040CB0"/>
    <w:rsid w:val="000433F8"/>
    <w:rsid w:val="000434BF"/>
    <w:rsid w:val="00044274"/>
    <w:rsid w:val="00044482"/>
    <w:rsid w:val="0004470C"/>
    <w:rsid w:val="00045656"/>
    <w:rsid w:val="0004660D"/>
    <w:rsid w:val="000473CC"/>
    <w:rsid w:val="00047F28"/>
    <w:rsid w:val="0005008C"/>
    <w:rsid w:val="00050917"/>
    <w:rsid w:val="00051FC0"/>
    <w:rsid w:val="000543E3"/>
    <w:rsid w:val="00054ABA"/>
    <w:rsid w:val="00055A2E"/>
    <w:rsid w:val="000565A2"/>
    <w:rsid w:val="0005783D"/>
    <w:rsid w:val="00057A45"/>
    <w:rsid w:val="00060185"/>
    <w:rsid w:val="00060333"/>
    <w:rsid w:val="00060BC0"/>
    <w:rsid w:val="00061664"/>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55A1"/>
    <w:rsid w:val="000764DA"/>
    <w:rsid w:val="00076EF5"/>
    <w:rsid w:val="00081BF2"/>
    <w:rsid w:val="000821FE"/>
    <w:rsid w:val="000831F6"/>
    <w:rsid w:val="000839D8"/>
    <w:rsid w:val="00083DCD"/>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DEE"/>
    <w:rsid w:val="00095E47"/>
    <w:rsid w:val="00095FEE"/>
    <w:rsid w:val="000962C0"/>
    <w:rsid w:val="00096762"/>
    <w:rsid w:val="00096910"/>
    <w:rsid w:val="00096FC7"/>
    <w:rsid w:val="00097499"/>
    <w:rsid w:val="000A00B4"/>
    <w:rsid w:val="000A1568"/>
    <w:rsid w:val="000A2217"/>
    <w:rsid w:val="000A3B85"/>
    <w:rsid w:val="000A422D"/>
    <w:rsid w:val="000A48C5"/>
    <w:rsid w:val="000A5BE0"/>
    <w:rsid w:val="000A68BF"/>
    <w:rsid w:val="000A6FA4"/>
    <w:rsid w:val="000A70A6"/>
    <w:rsid w:val="000A7140"/>
    <w:rsid w:val="000B03CD"/>
    <w:rsid w:val="000B2399"/>
    <w:rsid w:val="000B2E5D"/>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4747"/>
    <w:rsid w:val="000D4CC0"/>
    <w:rsid w:val="000D5011"/>
    <w:rsid w:val="000D6357"/>
    <w:rsid w:val="000D67B5"/>
    <w:rsid w:val="000D709F"/>
    <w:rsid w:val="000D7863"/>
    <w:rsid w:val="000E0DDB"/>
    <w:rsid w:val="000E14E9"/>
    <w:rsid w:val="000E5026"/>
    <w:rsid w:val="000E52AF"/>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5CC0"/>
    <w:rsid w:val="00106273"/>
    <w:rsid w:val="00106A76"/>
    <w:rsid w:val="00107BDD"/>
    <w:rsid w:val="00107CE4"/>
    <w:rsid w:val="00110C66"/>
    <w:rsid w:val="001116A8"/>
    <w:rsid w:val="001134EF"/>
    <w:rsid w:val="00114E39"/>
    <w:rsid w:val="00117E8F"/>
    <w:rsid w:val="00120DC4"/>
    <w:rsid w:val="00122EC4"/>
    <w:rsid w:val="00123BFA"/>
    <w:rsid w:val="0012473C"/>
    <w:rsid w:val="00124882"/>
    <w:rsid w:val="00124BC0"/>
    <w:rsid w:val="001256C9"/>
    <w:rsid w:val="00125F63"/>
    <w:rsid w:val="00126108"/>
    <w:rsid w:val="00127E66"/>
    <w:rsid w:val="001300D5"/>
    <w:rsid w:val="001308AE"/>
    <w:rsid w:val="001312F0"/>
    <w:rsid w:val="00131685"/>
    <w:rsid w:val="00131B2A"/>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74BE"/>
    <w:rsid w:val="0016187F"/>
    <w:rsid w:val="00165557"/>
    <w:rsid w:val="001659AD"/>
    <w:rsid w:val="001659F0"/>
    <w:rsid w:val="00165E97"/>
    <w:rsid w:val="001666A0"/>
    <w:rsid w:val="00171EBB"/>
    <w:rsid w:val="00173A11"/>
    <w:rsid w:val="00173D08"/>
    <w:rsid w:val="001749B8"/>
    <w:rsid w:val="001755A9"/>
    <w:rsid w:val="001758BA"/>
    <w:rsid w:val="00176455"/>
    <w:rsid w:val="00176719"/>
    <w:rsid w:val="00177B2B"/>
    <w:rsid w:val="00183013"/>
    <w:rsid w:val="001845DE"/>
    <w:rsid w:val="00190603"/>
    <w:rsid w:val="0019194A"/>
    <w:rsid w:val="001948E9"/>
    <w:rsid w:val="00194BE7"/>
    <w:rsid w:val="00196092"/>
    <w:rsid w:val="00196280"/>
    <w:rsid w:val="001966C0"/>
    <w:rsid w:val="001967AE"/>
    <w:rsid w:val="001978A2"/>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2BDB"/>
    <w:rsid w:val="001B463D"/>
    <w:rsid w:val="001C1363"/>
    <w:rsid w:val="001C2BED"/>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6E6A"/>
    <w:rsid w:val="001E7ECF"/>
    <w:rsid w:val="001F194B"/>
    <w:rsid w:val="001F30CC"/>
    <w:rsid w:val="001F4193"/>
    <w:rsid w:val="001F4341"/>
    <w:rsid w:val="001F523F"/>
    <w:rsid w:val="001F554E"/>
    <w:rsid w:val="001F56B9"/>
    <w:rsid w:val="001F63D7"/>
    <w:rsid w:val="001F7CC8"/>
    <w:rsid w:val="002008EB"/>
    <w:rsid w:val="00201278"/>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161"/>
    <w:rsid w:val="00251E53"/>
    <w:rsid w:val="00253B7F"/>
    <w:rsid w:val="002543F7"/>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5F54"/>
    <w:rsid w:val="002817C8"/>
    <w:rsid w:val="00282986"/>
    <w:rsid w:val="00282C82"/>
    <w:rsid w:val="002849BE"/>
    <w:rsid w:val="00284A74"/>
    <w:rsid w:val="00285B78"/>
    <w:rsid w:val="00285EFB"/>
    <w:rsid w:val="0028632C"/>
    <w:rsid w:val="002864B7"/>
    <w:rsid w:val="00287276"/>
    <w:rsid w:val="0028743D"/>
    <w:rsid w:val="002878B7"/>
    <w:rsid w:val="00287B3F"/>
    <w:rsid w:val="00287BEF"/>
    <w:rsid w:val="0029092A"/>
    <w:rsid w:val="00291C9A"/>
    <w:rsid w:val="002935F0"/>
    <w:rsid w:val="00295590"/>
    <w:rsid w:val="002964D0"/>
    <w:rsid w:val="002969A7"/>
    <w:rsid w:val="00296B9D"/>
    <w:rsid w:val="00297F81"/>
    <w:rsid w:val="002A179C"/>
    <w:rsid w:val="002A3159"/>
    <w:rsid w:val="002A33C2"/>
    <w:rsid w:val="002A3CA8"/>
    <w:rsid w:val="002A42B3"/>
    <w:rsid w:val="002A4AD6"/>
    <w:rsid w:val="002A4CF3"/>
    <w:rsid w:val="002A60C7"/>
    <w:rsid w:val="002A6833"/>
    <w:rsid w:val="002B0A39"/>
    <w:rsid w:val="002B1874"/>
    <w:rsid w:val="002B3F8F"/>
    <w:rsid w:val="002B5960"/>
    <w:rsid w:val="002B6EB8"/>
    <w:rsid w:val="002B7B9C"/>
    <w:rsid w:val="002C0FE8"/>
    <w:rsid w:val="002C2C45"/>
    <w:rsid w:val="002C3604"/>
    <w:rsid w:val="002C3A19"/>
    <w:rsid w:val="002C3C06"/>
    <w:rsid w:val="002C458D"/>
    <w:rsid w:val="002C6C0C"/>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3D81"/>
    <w:rsid w:val="002F41F3"/>
    <w:rsid w:val="002F47A4"/>
    <w:rsid w:val="002F47BA"/>
    <w:rsid w:val="002F608C"/>
    <w:rsid w:val="002F6FE9"/>
    <w:rsid w:val="00301648"/>
    <w:rsid w:val="00301D6E"/>
    <w:rsid w:val="003028D9"/>
    <w:rsid w:val="003036B1"/>
    <w:rsid w:val="00303B31"/>
    <w:rsid w:val="00310936"/>
    <w:rsid w:val="00310E53"/>
    <w:rsid w:val="003119A3"/>
    <w:rsid w:val="00313142"/>
    <w:rsid w:val="00316096"/>
    <w:rsid w:val="0031684F"/>
    <w:rsid w:val="00316933"/>
    <w:rsid w:val="00316A16"/>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6E8E"/>
    <w:rsid w:val="003575FB"/>
    <w:rsid w:val="00360BB3"/>
    <w:rsid w:val="0036283B"/>
    <w:rsid w:val="00362B79"/>
    <w:rsid w:val="003630A9"/>
    <w:rsid w:val="003633FB"/>
    <w:rsid w:val="003636DA"/>
    <w:rsid w:val="00365EF3"/>
    <w:rsid w:val="00367367"/>
    <w:rsid w:val="00370AEE"/>
    <w:rsid w:val="0037102C"/>
    <w:rsid w:val="00371078"/>
    <w:rsid w:val="00371EAD"/>
    <w:rsid w:val="00372694"/>
    <w:rsid w:val="00372B71"/>
    <w:rsid w:val="0037305E"/>
    <w:rsid w:val="00373A9B"/>
    <w:rsid w:val="00373E17"/>
    <w:rsid w:val="00373E80"/>
    <w:rsid w:val="003747BF"/>
    <w:rsid w:val="0037697F"/>
    <w:rsid w:val="00377076"/>
    <w:rsid w:val="00377C24"/>
    <w:rsid w:val="00377E31"/>
    <w:rsid w:val="00380C1F"/>
    <w:rsid w:val="00381889"/>
    <w:rsid w:val="00381E19"/>
    <w:rsid w:val="00382559"/>
    <w:rsid w:val="00383F73"/>
    <w:rsid w:val="0038492D"/>
    <w:rsid w:val="00385A38"/>
    <w:rsid w:val="00385F0D"/>
    <w:rsid w:val="003866E7"/>
    <w:rsid w:val="00391168"/>
    <w:rsid w:val="00391A41"/>
    <w:rsid w:val="00391DDE"/>
    <w:rsid w:val="003926E4"/>
    <w:rsid w:val="003929C9"/>
    <w:rsid w:val="003933AA"/>
    <w:rsid w:val="00393424"/>
    <w:rsid w:val="0039373A"/>
    <w:rsid w:val="00394A3E"/>
    <w:rsid w:val="00397334"/>
    <w:rsid w:val="003979C6"/>
    <w:rsid w:val="003A0287"/>
    <w:rsid w:val="003A1092"/>
    <w:rsid w:val="003A3766"/>
    <w:rsid w:val="003A3B77"/>
    <w:rsid w:val="003A4617"/>
    <w:rsid w:val="003A59D4"/>
    <w:rsid w:val="003A706E"/>
    <w:rsid w:val="003B1D2A"/>
    <w:rsid w:val="003B31FC"/>
    <w:rsid w:val="003B3F67"/>
    <w:rsid w:val="003B47F9"/>
    <w:rsid w:val="003B4806"/>
    <w:rsid w:val="003B51F8"/>
    <w:rsid w:val="003B6067"/>
    <w:rsid w:val="003B608B"/>
    <w:rsid w:val="003B6B74"/>
    <w:rsid w:val="003B7353"/>
    <w:rsid w:val="003B761D"/>
    <w:rsid w:val="003C0EC4"/>
    <w:rsid w:val="003C2F80"/>
    <w:rsid w:val="003C307D"/>
    <w:rsid w:val="003C3FD9"/>
    <w:rsid w:val="003D06D8"/>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F05E4"/>
    <w:rsid w:val="003F1F1E"/>
    <w:rsid w:val="003F2FB6"/>
    <w:rsid w:val="003F3652"/>
    <w:rsid w:val="003F3B6A"/>
    <w:rsid w:val="003F3E66"/>
    <w:rsid w:val="003F46D8"/>
    <w:rsid w:val="003F779B"/>
    <w:rsid w:val="003F7FE3"/>
    <w:rsid w:val="00400152"/>
    <w:rsid w:val="00400DD1"/>
    <w:rsid w:val="00400FBA"/>
    <w:rsid w:val="00401AF2"/>
    <w:rsid w:val="00402ED5"/>
    <w:rsid w:val="004032FD"/>
    <w:rsid w:val="00404748"/>
    <w:rsid w:val="00405968"/>
    <w:rsid w:val="00405D1B"/>
    <w:rsid w:val="004063D1"/>
    <w:rsid w:val="00406AAB"/>
    <w:rsid w:val="00407053"/>
    <w:rsid w:val="00407591"/>
    <w:rsid w:val="004105CD"/>
    <w:rsid w:val="004112B0"/>
    <w:rsid w:val="00411ECA"/>
    <w:rsid w:val="0041222E"/>
    <w:rsid w:val="004139EB"/>
    <w:rsid w:val="00415C56"/>
    <w:rsid w:val="00415F0C"/>
    <w:rsid w:val="0041648C"/>
    <w:rsid w:val="00417088"/>
    <w:rsid w:val="004173F7"/>
    <w:rsid w:val="00421411"/>
    <w:rsid w:val="004230B8"/>
    <w:rsid w:val="00423B3F"/>
    <w:rsid w:val="004249A6"/>
    <w:rsid w:val="00424B13"/>
    <w:rsid w:val="004266A0"/>
    <w:rsid w:val="00426858"/>
    <w:rsid w:val="004304AA"/>
    <w:rsid w:val="00430C70"/>
    <w:rsid w:val="0043117C"/>
    <w:rsid w:val="00431381"/>
    <w:rsid w:val="00431666"/>
    <w:rsid w:val="00432B1F"/>
    <w:rsid w:val="00432E7A"/>
    <w:rsid w:val="00433876"/>
    <w:rsid w:val="0043606D"/>
    <w:rsid w:val="0043688C"/>
    <w:rsid w:val="004408D5"/>
    <w:rsid w:val="00443205"/>
    <w:rsid w:val="00443880"/>
    <w:rsid w:val="0044472C"/>
    <w:rsid w:val="004455EB"/>
    <w:rsid w:val="00445853"/>
    <w:rsid w:val="00446565"/>
    <w:rsid w:val="00450B9F"/>
    <w:rsid w:val="00451EFC"/>
    <w:rsid w:val="00453B00"/>
    <w:rsid w:val="0045427B"/>
    <w:rsid w:val="0045534E"/>
    <w:rsid w:val="00456D3E"/>
    <w:rsid w:val="004600CF"/>
    <w:rsid w:val="00460803"/>
    <w:rsid w:val="00460AC8"/>
    <w:rsid w:val="00461408"/>
    <w:rsid w:val="00461C4C"/>
    <w:rsid w:val="00462DBD"/>
    <w:rsid w:val="00462EC3"/>
    <w:rsid w:val="00465521"/>
    <w:rsid w:val="00466AC2"/>
    <w:rsid w:val="00466C97"/>
    <w:rsid w:val="00467F17"/>
    <w:rsid w:val="004704F1"/>
    <w:rsid w:val="004711D1"/>
    <w:rsid w:val="00473C34"/>
    <w:rsid w:val="00477210"/>
    <w:rsid w:val="00481282"/>
    <w:rsid w:val="00481822"/>
    <w:rsid w:val="0048244C"/>
    <w:rsid w:val="00482B5D"/>
    <w:rsid w:val="00482DF9"/>
    <w:rsid w:val="00483C9C"/>
    <w:rsid w:val="004849C0"/>
    <w:rsid w:val="00486CD5"/>
    <w:rsid w:val="0049046C"/>
    <w:rsid w:val="00491120"/>
    <w:rsid w:val="00491397"/>
    <w:rsid w:val="00492287"/>
    <w:rsid w:val="00492755"/>
    <w:rsid w:val="00492FF8"/>
    <w:rsid w:val="00493DBB"/>
    <w:rsid w:val="00494935"/>
    <w:rsid w:val="00495644"/>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515D"/>
    <w:rsid w:val="004B646C"/>
    <w:rsid w:val="004B76DB"/>
    <w:rsid w:val="004C02DF"/>
    <w:rsid w:val="004C0C8E"/>
    <w:rsid w:val="004C4E0E"/>
    <w:rsid w:val="004C55B1"/>
    <w:rsid w:val="004C69B4"/>
    <w:rsid w:val="004C7131"/>
    <w:rsid w:val="004D004B"/>
    <w:rsid w:val="004D0540"/>
    <w:rsid w:val="004D1B63"/>
    <w:rsid w:val="004D3156"/>
    <w:rsid w:val="004D3906"/>
    <w:rsid w:val="004D4D2A"/>
    <w:rsid w:val="004D659D"/>
    <w:rsid w:val="004D7360"/>
    <w:rsid w:val="004E1AAD"/>
    <w:rsid w:val="004E3F23"/>
    <w:rsid w:val="004E6D36"/>
    <w:rsid w:val="004E791C"/>
    <w:rsid w:val="004F20D0"/>
    <w:rsid w:val="004F2D4D"/>
    <w:rsid w:val="004F34C2"/>
    <w:rsid w:val="004F419B"/>
    <w:rsid w:val="004F56BF"/>
    <w:rsid w:val="004F5A60"/>
    <w:rsid w:val="00501E3D"/>
    <w:rsid w:val="00503330"/>
    <w:rsid w:val="005034B3"/>
    <w:rsid w:val="00503730"/>
    <w:rsid w:val="00503D5F"/>
    <w:rsid w:val="00503FCB"/>
    <w:rsid w:val="00504C11"/>
    <w:rsid w:val="005051CD"/>
    <w:rsid w:val="00506C16"/>
    <w:rsid w:val="00507697"/>
    <w:rsid w:val="0050793D"/>
    <w:rsid w:val="00507DCA"/>
    <w:rsid w:val="0051018D"/>
    <w:rsid w:val="005106F4"/>
    <w:rsid w:val="00512B4B"/>
    <w:rsid w:val="005140DE"/>
    <w:rsid w:val="0051494F"/>
    <w:rsid w:val="0051523F"/>
    <w:rsid w:val="00515F68"/>
    <w:rsid w:val="00516354"/>
    <w:rsid w:val="00516977"/>
    <w:rsid w:val="005177D9"/>
    <w:rsid w:val="00521B2E"/>
    <w:rsid w:val="00523325"/>
    <w:rsid w:val="005236E8"/>
    <w:rsid w:val="00523EA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5390"/>
    <w:rsid w:val="00540EBF"/>
    <w:rsid w:val="005417C1"/>
    <w:rsid w:val="005417D0"/>
    <w:rsid w:val="005450C1"/>
    <w:rsid w:val="005454DA"/>
    <w:rsid w:val="00546C82"/>
    <w:rsid w:val="0054723B"/>
    <w:rsid w:val="005525F5"/>
    <w:rsid w:val="005539AA"/>
    <w:rsid w:val="00553E6B"/>
    <w:rsid w:val="00555137"/>
    <w:rsid w:val="00555427"/>
    <w:rsid w:val="00560D19"/>
    <w:rsid w:val="005621A7"/>
    <w:rsid w:val="0056326B"/>
    <w:rsid w:val="005635FF"/>
    <w:rsid w:val="005640A5"/>
    <w:rsid w:val="00564EDB"/>
    <w:rsid w:val="00565983"/>
    <w:rsid w:val="00566F9A"/>
    <w:rsid w:val="00573363"/>
    <w:rsid w:val="00573C15"/>
    <w:rsid w:val="00573D35"/>
    <w:rsid w:val="0057459A"/>
    <w:rsid w:val="005766B0"/>
    <w:rsid w:val="00576D6D"/>
    <w:rsid w:val="005810A5"/>
    <w:rsid w:val="00581146"/>
    <w:rsid w:val="00581426"/>
    <w:rsid w:val="005819A8"/>
    <w:rsid w:val="00583266"/>
    <w:rsid w:val="00583E50"/>
    <w:rsid w:val="0058438D"/>
    <w:rsid w:val="005844C6"/>
    <w:rsid w:val="0058469A"/>
    <w:rsid w:val="005869FB"/>
    <w:rsid w:val="00586AA1"/>
    <w:rsid w:val="005916D7"/>
    <w:rsid w:val="005935E3"/>
    <w:rsid w:val="00593B7E"/>
    <w:rsid w:val="005975AC"/>
    <w:rsid w:val="005A0EEA"/>
    <w:rsid w:val="005A15CD"/>
    <w:rsid w:val="005A16C1"/>
    <w:rsid w:val="005A3335"/>
    <w:rsid w:val="005A3967"/>
    <w:rsid w:val="005A4BD8"/>
    <w:rsid w:val="005A52AD"/>
    <w:rsid w:val="005A69A2"/>
    <w:rsid w:val="005A6AB3"/>
    <w:rsid w:val="005A74C7"/>
    <w:rsid w:val="005B038B"/>
    <w:rsid w:val="005B16C5"/>
    <w:rsid w:val="005B19A3"/>
    <w:rsid w:val="005B2103"/>
    <w:rsid w:val="005B2D34"/>
    <w:rsid w:val="005B3146"/>
    <w:rsid w:val="005B3AAA"/>
    <w:rsid w:val="005B443E"/>
    <w:rsid w:val="005B58AE"/>
    <w:rsid w:val="005B67B4"/>
    <w:rsid w:val="005B71D1"/>
    <w:rsid w:val="005B7836"/>
    <w:rsid w:val="005C0283"/>
    <w:rsid w:val="005C1B7D"/>
    <w:rsid w:val="005C2ECF"/>
    <w:rsid w:val="005C3255"/>
    <w:rsid w:val="005C3707"/>
    <w:rsid w:val="005C3EFA"/>
    <w:rsid w:val="005C62ED"/>
    <w:rsid w:val="005C6885"/>
    <w:rsid w:val="005D1A9D"/>
    <w:rsid w:val="005D2F2A"/>
    <w:rsid w:val="005D3635"/>
    <w:rsid w:val="005D51A6"/>
    <w:rsid w:val="005D57DF"/>
    <w:rsid w:val="005D5F06"/>
    <w:rsid w:val="005D7DA3"/>
    <w:rsid w:val="005E0609"/>
    <w:rsid w:val="005E0A9B"/>
    <w:rsid w:val="005E479D"/>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28E5"/>
    <w:rsid w:val="00603288"/>
    <w:rsid w:val="00603309"/>
    <w:rsid w:val="00603E03"/>
    <w:rsid w:val="006047C7"/>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2608"/>
    <w:rsid w:val="006330A8"/>
    <w:rsid w:val="00633261"/>
    <w:rsid w:val="00633F12"/>
    <w:rsid w:val="0063432D"/>
    <w:rsid w:val="00634E2E"/>
    <w:rsid w:val="00635C36"/>
    <w:rsid w:val="0063613B"/>
    <w:rsid w:val="00640890"/>
    <w:rsid w:val="00642E5E"/>
    <w:rsid w:val="006438EC"/>
    <w:rsid w:val="00644556"/>
    <w:rsid w:val="00644C7A"/>
    <w:rsid w:val="00646358"/>
    <w:rsid w:val="00646708"/>
    <w:rsid w:val="00647610"/>
    <w:rsid w:val="00647F7B"/>
    <w:rsid w:val="006508B7"/>
    <w:rsid w:val="00653074"/>
    <w:rsid w:val="0065378F"/>
    <w:rsid w:val="00653A79"/>
    <w:rsid w:val="00657209"/>
    <w:rsid w:val="0066073A"/>
    <w:rsid w:val="006613DE"/>
    <w:rsid w:val="00662C14"/>
    <w:rsid w:val="0066300C"/>
    <w:rsid w:val="006630AE"/>
    <w:rsid w:val="006637F3"/>
    <w:rsid w:val="00664D0E"/>
    <w:rsid w:val="00664E30"/>
    <w:rsid w:val="006679CF"/>
    <w:rsid w:val="00667EF5"/>
    <w:rsid w:val="0067038D"/>
    <w:rsid w:val="0067125B"/>
    <w:rsid w:val="00671D41"/>
    <w:rsid w:val="0067214D"/>
    <w:rsid w:val="006734E7"/>
    <w:rsid w:val="00673859"/>
    <w:rsid w:val="0067509B"/>
    <w:rsid w:val="00676E95"/>
    <w:rsid w:val="006773BB"/>
    <w:rsid w:val="00677543"/>
    <w:rsid w:val="006778CD"/>
    <w:rsid w:val="00680A5B"/>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8D5"/>
    <w:rsid w:val="00696DB4"/>
    <w:rsid w:val="0069748A"/>
    <w:rsid w:val="006978EE"/>
    <w:rsid w:val="0069791F"/>
    <w:rsid w:val="006A1C7A"/>
    <w:rsid w:val="006A20B8"/>
    <w:rsid w:val="006A3F8D"/>
    <w:rsid w:val="006A4614"/>
    <w:rsid w:val="006A4961"/>
    <w:rsid w:val="006A5694"/>
    <w:rsid w:val="006A5C27"/>
    <w:rsid w:val="006B044B"/>
    <w:rsid w:val="006B0E8C"/>
    <w:rsid w:val="006B0FFD"/>
    <w:rsid w:val="006B14DA"/>
    <w:rsid w:val="006B1B47"/>
    <w:rsid w:val="006B2722"/>
    <w:rsid w:val="006B3AA3"/>
    <w:rsid w:val="006B7549"/>
    <w:rsid w:val="006C0F84"/>
    <w:rsid w:val="006C0FEE"/>
    <w:rsid w:val="006C2222"/>
    <w:rsid w:val="006C27E6"/>
    <w:rsid w:val="006C5847"/>
    <w:rsid w:val="006D1793"/>
    <w:rsid w:val="006D17CE"/>
    <w:rsid w:val="006D1EDE"/>
    <w:rsid w:val="006D1F71"/>
    <w:rsid w:val="006D20FF"/>
    <w:rsid w:val="006D29EB"/>
    <w:rsid w:val="006D3CDB"/>
    <w:rsid w:val="006D53CE"/>
    <w:rsid w:val="006D5B27"/>
    <w:rsid w:val="006D66BE"/>
    <w:rsid w:val="006D7C56"/>
    <w:rsid w:val="006D7CB0"/>
    <w:rsid w:val="006E0689"/>
    <w:rsid w:val="006E0702"/>
    <w:rsid w:val="006E0829"/>
    <w:rsid w:val="006E0A07"/>
    <w:rsid w:val="006E2110"/>
    <w:rsid w:val="006E2B18"/>
    <w:rsid w:val="006E39BF"/>
    <w:rsid w:val="006E61AD"/>
    <w:rsid w:val="006F05CC"/>
    <w:rsid w:val="006F2671"/>
    <w:rsid w:val="006F3FC1"/>
    <w:rsid w:val="006F674F"/>
    <w:rsid w:val="006F6BAF"/>
    <w:rsid w:val="006F78E5"/>
    <w:rsid w:val="00700459"/>
    <w:rsid w:val="00701557"/>
    <w:rsid w:val="00704C14"/>
    <w:rsid w:val="00705FFB"/>
    <w:rsid w:val="007061B7"/>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1F7"/>
    <w:rsid w:val="007469B8"/>
    <w:rsid w:val="00746D3D"/>
    <w:rsid w:val="00747827"/>
    <w:rsid w:val="00747AFC"/>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6264"/>
    <w:rsid w:val="0078006C"/>
    <w:rsid w:val="0078204B"/>
    <w:rsid w:val="00783474"/>
    <w:rsid w:val="0078366C"/>
    <w:rsid w:val="0078415D"/>
    <w:rsid w:val="00784919"/>
    <w:rsid w:val="00784C05"/>
    <w:rsid w:val="007857FC"/>
    <w:rsid w:val="00785AB3"/>
    <w:rsid w:val="00785E02"/>
    <w:rsid w:val="007909E8"/>
    <w:rsid w:val="00791001"/>
    <w:rsid w:val="007929F2"/>
    <w:rsid w:val="00792DAA"/>
    <w:rsid w:val="00794184"/>
    <w:rsid w:val="007950B1"/>
    <w:rsid w:val="0079534B"/>
    <w:rsid w:val="007956B3"/>
    <w:rsid w:val="0079601D"/>
    <w:rsid w:val="00797783"/>
    <w:rsid w:val="007A066B"/>
    <w:rsid w:val="007A14AD"/>
    <w:rsid w:val="007A1581"/>
    <w:rsid w:val="007A2A37"/>
    <w:rsid w:val="007A33BB"/>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DD1"/>
    <w:rsid w:val="007C3B68"/>
    <w:rsid w:val="007C4091"/>
    <w:rsid w:val="007C5288"/>
    <w:rsid w:val="007D0086"/>
    <w:rsid w:val="007D145C"/>
    <w:rsid w:val="007D14AB"/>
    <w:rsid w:val="007D2589"/>
    <w:rsid w:val="007D35AD"/>
    <w:rsid w:val="007D5814"/>
    <w:rsid w:val="007D6A73"/>
    <w:rsid w:val="007D7DDA"/>
    <w:rsid w:val="007E0B03"/>
    <w:rsid w:val="007E14C6"/>
    <w:rsid w:val="007E2D6E"/>
    <w:rsid w:val="007E3403"/>
    <w:rsid w:val="007E3871"/>
    <w:rsid w:val="007E4109"/>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A7"/>
    <w:rsid w:val="00805158"/>
    <w:rsid w:val="0080641F"/>
    <w:rsid w:val="0080702E"/>
    <w:rsid w:val="00807FD7"/>
    <w:rsid w:val="00811173"/>
    <w:rsid w:val="00811992"/>
    <w:rsid w:val="00811B9E"/>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DB5"/>
    <w:rsid w:val="00827DE3"/>
    <w:rsid w:val="00827E56"/>
    <w:rsid w:val="0083054E"/>
    <w:rsid w:val="00830687"/>
    <w:rsid w:val="0083069A"/>
    <w:rsid w:val="00831B68"/>
    <w:rsid w:val="00832487"/>
    <w:rsid w:val="0083293B"/>
    <w:rsid w:val="0083336E"/>
    <w:rsid w:val="0083349B"/>
    <w:rsid w:val="008340D0"/>
    <w:rsid w:val="00835514"/>
    <w:rsid w:val="008364C7"/>
    <w:rsid w:val="00836C4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D3F"/>
    <w:rsid w:val="0086144B"/>
    <w:rsid w:val="00861E99"/>
    <w:rsid w:val="008621EB"/>
    <w:rsid w:val="0086289C"/>
    <w:rsid w:val="00863672"/>
    <w:rsid w:val="00864610"/>
    <w:rsid w:val="0086498E"/>
    <w:rsid w:val="008653C2"/>
    <w:rsid w:val="0086609D"/>
    <w:rsid w:val="00866431"/>
    <w:rsid w:val="00866445"/>
    <w:rsid w:val="00870D5B"/>
    <w:rsid w:val="008725D2"/>
    <w:rsid w:val="00872730"/>
    <w:rsid w:val="008728D9"/>
    <w:rsid w:val="00874123"/>
    <w:rsid w:val="00874477"/>
    <w:rsid w:val="0087467A"/>
    <w:rsid w:val="00875CD1"/>
    <w:rsid w:val="00877784"/>
    <w:rsid w:val="00880DFE"/>
    <w:rsid w:val="008832DD"/>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5B0C"/>
    <w:rsid w:val="00897203"/>
    <w:rsid w:val="008A0247"/>
    <w:rsid w:val="008A0CA2"/>
    <w:rsid w:val="008A1F46"/>
    <w:rsid w:val="008A36F0"/>
    <w:rsid w:val="008A37A5"/>
    <w:rsid w:val="008A3927"/>
    <w:rsid w:val="008A506A"/>
    <w:rsid w:val="008A556A"/>
    <w:rsid w:val="008A5DBB"/>
    <w:rsid w:val="008A64CE"/>
    <w:rsid w:val="008B1233"/>
    <w:rsid w:val="008B149A"/>
    <w:rsid w:val="008B1E9C"/>
    <w:rsid w:val="008B26BC"/>
    <w:rsid w:val="008B29AF"/>
    <w:rsid w:val="008B423F"/>
    <w:rsid w:val="008B4462"/>
    <w:rsid w:val="008B4D46"/>
    <w:rsid w:val="008B4E1C"/>
    <w:rsid w:val="008B56E6"/>
    <w:rsid w:val="008B642C"/>
    <w:rsid w:val="008B6431"/>
    <w:rsid w:val="008B6781"/>
    <w:rsid w:val="008C0108"/>
    <w:rsid w:val="008C1628"/>
    <w:rsid w:val="008C5E5D"/>
    <w:rsid w:val="008C7223"/>
    <w:rsid w:val="008C73B2"/>
    <w:rsid w:val="008C7509"/>
    <w:rsid w:val="008C7550"/>
    <w:rsid w:val="008C782C"/>
    <w:rsid w:val="008D1432"/>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23E"/>
    <w:rsid w:val="008F34D9"/>
    <w:rsid w:val="008F3A9C"/>
    <w:rsid w:val="008F3F2D"/>
    <w:rsid w:val="008F4BD4"/>
    <w:rsid w:val="008F5ACE"/>
    <w:rsid w:val="008F6BBA"/>
    <w:rsid w:val="008F7C1F"/>
    <w:rsid w:val="009005A7"/>
    <w:rsid w:val="00902655"/>
    <w:rsid w:val="009047E1"/>
    <w:rsid w:val="00904938"/>
    <w:rsid w:val="0090568D"/>
    <w:rsid w:val="00905C16"/>
    <w:rsid w:val="00905F0F"/>
    <w:rsid w:val="00907316"/>
    <w:rsid w:val="009074DB"/>
    <w:rsid w:val="009077DF"/>
    <w:rsid w:val="00911108"/>
    <w:rsid w:val="00911740"/>
    <w:rsid w:val="00911C37"/>
    <w:rsid w:val="0091273E"/>
    <w:rsid w:val="00912AC0"/>
    <w:rsid w:val="00913434"/>
    <w:rsid w:val="009134C6"/>
    <w:rsid w:val="009140C4"/>
    <w:rsid w:val="00916D86"/>
    <w:rsid w:val="00916ECC"/>
    <w:rsid w:val="009170B8"/>
    <w:rsid w:val="00917782"/>
    <w:rsid w:val="00920D0B"/>
    <w:rsid w:val="00921376"/>
    <w:rsid w:val="009244A7"/>
    <w:rsid w:val="0093274C"/>
    <w:rsid w:val="00933172"/>
    <w:rsid w:val="0093455F"/>
    <w:rsid w:val="00934B3E"/>
    <w:rsid w:val="009363C3"/>
    <w:rsid w:val="00937C0C"/>
    <w:rsid w:val="009413AE"/>
    <w:rsid w:val="00942222"/>
    <w:rsid w:val="00942CBC"/>
    <w:rsid w:val="00943216"/>
    <w:rsid w:val="0094321D"/>
    <w:rsid w:val="00943A5B"/>
    <w:rsid w:val="00950138"/>
    <w:rsid w:val="00950BC9"/>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673D0"/>
    <w:rsid w:val="00970402"/>
    <w:rsid w:val="00971180"/>
    <w:rsid w:val="009720B1"/>
    <w:rsid w:val="00972578"/>
    <w:rsid w:val="00973C12"/>
    <w:rsid w:val="00974066"/>
    <w:rsid w:val="00976784"/>
    <w:rsid w:val="00977526"/>
    <w:rsid w:val="00980383"/>
    <w:rsid w:val="009811B9"/>
    <w:rsid w:val="009819A0"/>
    <w:rsid w:val="00982600"/>
    <w:rsid w:val="009830B5"/>
    <w:rsid w:val="009831C6"/>
    <w:rsid w:val="00983E9C"/>
    <w:rsid w:val="009844F2"/>
    <w:rsid w:val="00985838"/>
    <w:rsid w:val="00985CAD"/>
    <w:rsid w:val="00986A71"/>
    <w:rsid w:val="00990413"/>
    <w:rsid w:val="00990794"/>
    <w:rsid w:val="00991DBB"/>
    <w:rsid w:val="00991F47"/>
    <w:rsid w:val="009924BC"/>
    <w:rsid w:val="00993514"/>
    <w:rsid w:val="00993A72"/>
    <w:rsid w:val="00994106"/>
    <w:rsid w:val="00994A1E"/>
    <w:rsid w:val="0099629F"/>
    <w:rsid w:val="009A0212"/>
    <w:rsid w:val="009A1739"/>
    <w:rsid w:val="009A2B40"/>
    <w:rsid w:val="009A3C20"/>
    <w:rsid w:val="009A42F3"/>
    <w:rsid w:val="009A45EA"/>
    <w:rsid w:val="009A4622"/>
    <w:rsid w:val="009A6EAC"/>
    <w:rsid w:val="009A750C"/>
    <w:rsid w:val="009B003B"/>
    <w:rsid w:val="009B011C"/>
    <w:rsid w:val="009B1523"/>
    <w:rsid w:val="009B35B2"/>
    <w:rsid w:val="009B3FD5"/>
    <w:rsid w:val="009B55A0"/>
    <w:rsid w:val="009B598B"/>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57B"/>
    <w:rsid w:val="009D6D24"/>
    <w:rsid w:val="009D6EF1"/>
    <w:rsid w:val="009D72B1"/>
    <w:rsid w:val="009D7477"/>
    <w:rsid w:val="009E1961"/>
    <w:rsid w:val="009E276A"/>
    <w:rsid w:val="009E3037"/>
    <w:rsid w:val="009E37E4"/>
    <w:rsid w:val="009E41BA"/>
    <w:rsid w:val="009E5704"/>
    <w:rsid w:val="009E5CF8"/>
    <w:rsid w:val="009E66D5"/>
    <w:rsid w:val="009F00FD"/>
    <w:rsid w:val="009F202B"/>
    <w:rsid w:val="009F34FF"/>
    <w:rsid w:val="009F3B8D"/>
    <w:rsid w:val="009F473E"/>
    <w:rsid w:val="009F703C"/>
    <w:rsid w:val="009F7598"/>
    <w:rsid w:val="009F7AB6"/>
    <w:rsid w:val="009F7BD5"/>
    <w:rsid w:val="009F7DD3"/>
    <w:rsid w:val="00A01AA1"/>
    <w:rsid w:val="00A0333E"/>
    <w:rsid w:val="00A0416C"/>
    <w:rsid w:val="00A04539"/>
    <w:rsid w:val="00A05683"/>
    <w:rsid w:val="00A06749"/>
    <w:rsid w:val="00A1027C"/>
    <w:rsid w:val="00A11407"/>
    <w:rsid w:val="00A11859"/>
    <w:rsid w:val="00A12D3A"/>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77E0"/>
    <w:rsid w:val="00A4789E"/>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997"/>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575B"/>
    <w:rsid w:val="00A76AF4"/>
    <w:rsid w:val="00A7741F"/>
    <w:rsid w:val="00A82509"/>
    <w:rsid w:val="00A82671"/>
    <w:rsid w:val="00A828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BFB"/>
    <w:rsid w:val="00AB2C02"/>
    <w:rsid w:val="00AB4D5B"/>
    <w:rsid w:val="00AB55F1"/>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47C"/>
    <w:rsid w:val="00AD3A88"/>
    <w:rsid w:val="00AD5280"/>
    <w:rsid w:val="00AD54FE"/>
    <w:rsid w:val="00AD657F"/>
    <w:rsid w:val="00AD73EE"/>
    <w:rsid w:val="00AD770E"/>
    <w:rsid w:val="00AD7C3D"/>
    <w:rsid w:val="00AE18A1"/>
    <w:rsid w:val="00AE2DE9"/>
    <w:rsid w:val="00AE329C"/>
    <w:rsid w:val="00AE3AFB"/>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48C"/>
    <w:rsid w:val="00B21C89"/>
    <w:rsid w:val="00B224BC"/>
    <w:rsid w:val="00B22A60"/>
    <w:rsid w:val="00B22FEF"/>
    <w:rsid w:val="00B24590"/>
    <w:rsid w:val="00B249F5"/>
    <w:rsid w:val="00B25B2F"/>
    <w:rsid w:val="00B30EA9"/>
    <w:rsid w:val="00B30EB3"/>
    <w:rsid w:val="00B31329"/>
    <w:rsid w:val="00B31E22"/>
    <w:rsid w:val="00B32D2D"/>
    <w:rsid w:val="00B340FA"/>
    <w:rsid w:val="00B34951"/>
    <w:rsid w:val="00B357EA"/>
    <w:rsid w:val="00B36B79"/>
    <w:rsid w:val="00B36E6B"/>
    <w:rsid w:val="00B36FD6"/>
    <w:rsid w:val="00B3719A"/>
    <w:rsid w:val="00B40229"/>
    <w:rsid w:val="00B40F79"/>
    <w:rsid w:val="00B436BE"/>
    <w:rsid w:val="00B4513E"/>
    <w:rsid w:val="00B4543A"/>
    <w:rsid w:val="00B4720D"/>
    <w:rsid w:val="00B479F5"/>
    <w:rsid w:val="00B51A00"/>
    <w:rsid w:val="00B53986"/>
    <w:rsid w:val="00B53B2C"/>
    <w:rsid w:val="00B53CDD"/>
    <w:rsid w:val="00B57027"/>
    <w:rsid w:val="00B61CB6"/>
    <w:rsid w:val="00B628F4"/>
    <w:rsid w:val="00B631C8"/>
    <w:rsid w:val="00B63FCF"/>
    <w:rsid w:val="00B63FD8"/>
    <w:rsid w:val="00B64970"/>
    <w:rsid w:val="00B64F9A"/>
    <w:rsid w:val="00B657F2"/>
    <w:rsid w:val="00B664B0"/>
    <w:rsid w:val="00B665D6"/>
    <w:rsid w:val="00B66A5F"/>
    <w:rsid w:val="00B67CDB"/>
    <w:rsid w:val="00B67E1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1C1F"/>
    <w:rsid w:val="00B9253C"/>
    <w:rsid w:val="00B92C96"/>
    <w:rsid w:val="00B93576"/>
    <w:rsid w:val="00B9399C"/>
    <w:rsid w:val="00B9407C"/>
    <w:rsid w:val="00B940A6"/>
    <w:rsid w:val="00BA0328"/>
    <w:rsid w:val="00BA0344"/>
    <w:rsid w:val="00BA1D5B"/>
    <w:rsid w:val="00BA1E7C"/>
    <w:rsid w:val="00BA5559"/>
    <w:rsid w:val="00BA589E"/>
    <w:rsid w:val="00BA5A7C"/>
    <w:rsid w:val="00BA63B9"/>
    <w:rsid w:val="00BA77EC"/>
    <w:rsid w:val="00BA7B14"/>
    <w:rsid w:val="00BB07F0"/>
    <w:rsid w:val="00BB114E"/>
    <w:rsid w:val="00BB145C"/>
    <w:rsid w:val="00BB252A"/>
    <w:rsid w:val="00BB3AC9"/>
    <w:rsid w:val="00BB44FA"/>
    <w:rsid w:val="00BB7ACB"/>
    <w:rsid w:val="00BB7B9F"/>
    <w:rsid w:val="00BC1328"/>
    <w:rsid w:val="00BC35DD"/>
    <w:rsid w:val="00BC3CDB"/>
    <w:rsid w:val="00BC4336"/>
    <w:rsid w:val="00BC4C54"/>
    <w:rsid w:val="00BC51CB"/>
    <w:rsid w:val="00BC51D3"/>
    <w:rsid w:val="00BC530F"/>
    <w:rsid w:val="00BC5975"/>
    <w:rsid w:val="00BC6842"/>
    <w:rsid w:val="00BC6CCD"/>
    <w:rsid w:val="00BD0303"/>
    <w:rsid w:val="00BD2957"/>
    <w:rsid w:val="00BD2CD1"/>
    <w:rsid w:val="00BD2EBB"/>
    <w:rsid w:val="00BD482C"/>
    <w:rsid w:val="00BD7AA4"/>
    <w:rsid w:val="00BD7F4E"/>
    <w:rsid w:val="00BE04B4"/>
    <w:rsid w:val="00BE0A96"/>
    <w:rsid w:val="00BE1501"/>
    <w:rsid w:val="00BE17DE"/>
    <w:rsid w:val="00BE4D75"/>
    <w:rsid w:val="00BE4DB4"/>
    <w:rsid w:val="00BE5015"/>
    <w:rsid w:val="00BE5825"/>
    <w:rsid w:val="00BE6BCE"/>
    <w:rsid w:val="00BE7109"/>
    <w:rsid w:val="00BF00E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DCB"/>
    <w:rsid w:val="00C1502A"/>
    <w:rsid w:val="00C21AA0"/>
    <w:rsid w:val="00C21F5C"/>
    <w:rsid w:val="00C22F3D"/>
    <w:rsid w:val="00C2354E"/>
    <w:rsid w:val="00C23C8F"/>
    <w:rsid w:val="00C248B6"/>
    <w:rsid w:val="00C263DE"/>
    <w:rsid w:val="00C26A7C"/>
    <w:rsid w:val="00C27473"/>
    <w:rsid w:val="00C30C36"/>
    <w:rsid w:val="00C31D15"/>
    <w:rsid w:val="00C3214E"/>
    <w:rsid w:val="00C350A3"/>
    <w:rsid w:val="00C36068"/>
    <w:rsid w:val="00C361F1"/>
    <w:rsid w:val="00C36591"/>
    <w:rsid w:val="00C413CB"/>
    <w:rsid w:val="00C42955"/>
    <w:rsid w:val="00C43542"/>
    <w:rsid w:val="00C438E8"/>
    <w:rsid w:val="00C43E62"/>
    <w:rsid w:val="00C44385"/>
    <w:rsid w:val="00C44811"/>
    <w:rsid w:val="00C46E3E"/>
    <w:rsid w:val="00C47256"/>
    <w:rsid w:val="00C47A70"/>
    <w:rsid w:val="00C47FE5"/>
    <w:rsid w:val="00C509EB"/>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1FB4"/>
    <w:rsid w:val="00C735D1"/>
    <w:rsid w:val="00C73C88"/>
    <w:rsid w:val="00C75BAB"/>
    <w:rsid w:val="00C762DB"/>
    <w:rsid w:val="00C807AC"/>
    <w:rsid w:val="00C809BE"/>
    <w:rsid w:val="00C80F19"/>
    <w:rsid w:val="00C81572"/>
    <w:rsid w:val="00C81781"/>
    <w:rsid w:val="00C8260E"/>
    <w:rsid w:val="00C830F9"/>
    <w:rsid w:val="00C83293"/>
    <w:rsid w:val="00C83C8B"/>
    <w:rsid w:val="00C856FD"/>
    <w:rsid w:val="00C85C04"/>
    <w:rsid w:val="00C86446"/>
    <w:rsid w:val="00C8644F"/>
    <w:rsid w:val="00C90E35"/>
    <w:rsid w:val="00C9138C"/>
    <w:rsid w:val="00C91F44"/>
    <w:rsid w:val="00C921E6"/>
    <w:rsid w:val="00C9385D"/>
    <w:rsid w:val="00C93FBA"/>
    <w:rsid w:val="00C94F96"/>
    <w:rsid w:val="00C9596E"/>
    <w:rsid w:val="00C960B5"/>
    <w:rsid w:val="00C97FD1"/>
    <w:rsid w:val="00CA00E8"/>
    <w:rsid w:val="00CA0A6B"/>
    <w:rsid w:val="00CA129B"/>
    <w:rsid w:val="00CA2570"/>
    <w:rsid w:val="00CA25D9"/>
    <w:rsid w:val="00CA3F8D"/>
    <w:rsid w:val="00CA47DF"/>
    <w:rsid w:val="00CA5057"/>
    <w:rsid w:val="00CA68B5"/>
    <w:rsid w:val="00CB04E2"/>
    <w:rsid w:val="00CB27A1"/>
    <w:rsid w:val="00CB573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526C"/>
    <w:rsid w:val="00CF72B4"/>
    <w:rsid w:val="00CF73DB"/>
    <w:rsid w:val="00CF76C8"/>
    <w:rsid w:val="00D00DCD"/>
    <w:rsid w:val="00D01CC8"/>
    <w:rsid w:val="00D029C2"/>
    <w:rsid w:val="00D03AE8"/>
    <w:rsid w:val="00D0475C"/>
    <w:rsid w:val="00D1073B"/>
    <w:rsid w:val="00D121A9"/>
    <w:rsid w:val="00D12C32"/>
    <w:rsid w:val="00D13DC6"/>
    <w:rsid w:val="00D16E78"/>
    <w:rsid w:val="00D1707B"/>
    <w:rsid w:val="00D1788F"/>
    <w:rsid w:val="00D17C4D"/>
    <w:rsid w:val="00D2056A"/>
    <w:rsid w:val="00D21FE8"/>
    <w:rsid w:val="00D220D7"/>
    <w:rsid w:val="00D22BD1"/>
    <w:rsid w:val="00D23862"/>
    <w:rsid w:val="00D24555"/>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290"/>
    <w:rsid w:val="00D474C0"/>
    <w:rsid w:val="00D4760A"/>
    <w:rsid w:val="00D47BD6"/>
    <w:rsid w:val="00D507C7"/>
    <w:rsid w:val="00D50B30"/>
    <w:rsid w:val="00D51B2F"/>
    <w:rsid w:val="00D5219F"/>
    <w:rsid w:val="00D52F87"/>
    <w:rsid w:val="00D54687"/>
    <w:rsid w:val="00D552BB"/>
    <w:rsid w:val="00D569FD"/>
    <w:rsid w:val="00D575D1"/>
    <w:rsid w:val="00D57EDA"/>
    <w:rsid w:val="00D62788"/>
    <w:rsid w:val="00D63D04"/>
    <w:rsid w:val="00D646D2"/>
    <w:rsid w:val="00D6478D"/>
    <w:rsid w:val="00D6520D"/>
    <w:rsid w:val="00D65B59"/>
    <w:rsid w:val="00D67FB2"/>
    <w:rsid w:val="00D70C29"/>
    <w:rsid w:val="00D70E11"/>
    <w:rsid w:val="00D70E51"/>
    <w:rsid w:val="00D71875"/>
    <w:rsid w:val="00D71DFC"/>
    <w:rsid w:val="00D73109"/>
    <w:rsid w:val="00D7316B"/>
    <w:rsid w:val="00D73F7F"/>
    <w:rsid w:val="00D7406D"/>
    <w:rsid w:val="00D7628C"/>
    <w:rsid w:val="00D767AF"/>
    <w:rsid w:val="00D77148"/>
    <w:rsid w:val="00D8282B"/>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183E"/>
    <w:rsid w:val="00DE1B6B"/>
    <w:rsid w:val="00DE2A72"/>
    <w:rsid w:val="00DE2AA1"/>
    <w:rsid w:val="00DE37DD"/>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5207"/>
    <w:rsid w:val="00DF60D0"/>
    <w:rsid w:val="00DF6293"/>
    <w:rsid w:val="00DF647D"/>
    <w:rsid w:val="00DF6C5E"/>
    <w:rsid w:val="00E0019D"/>
    <w:rsid w:val="00E004AE"/>
    <w:rsid w:val="00E00BBE"/>
    <w:rsid w:val="00E01583"/>
    <w:rsid w:val="00E0183D"/>
    <w:rsid w:val="00E01A67"/>
    <w:rsid w:val="00E01AE4"/>
    <w:rsid w:val="00E02090"/>
    <w:rsid w:val="00E02A8D"/>
    <w:rsid w:val="00E03C22"/>
    <w:rsid w:val="00E05B89"/>
    <w:rsid w:val="00E06602"/>
    <w:rsid w:val="00E06E1F"/>
    <w:rsid w:val="00E107A6"/>
    <w:rsid w:val="00E1221A"/>
    <w:rsid w:val="00E1243F"/>
    <w:rsid w:val="00E12A5E"/>
    <w:rsid w:val="00E13550"/>
    <w:rsid w:val="00E1370C"/>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3DF"/>
    <w:rsid w:val="00E337D5"/>
    <w:rsid w:val="00E35FFA"/>
    <w:rsid w:val="00E36CCD"/>
    <w:rsid w:val="00E3771F"/>
    <w:rsid w:val="00E3778A"/>
    <w:rsid w:val="00E37A1B"/>
    <w:rsid w:val="00E40430"/>
    <w:rsid w:val="00E41321"/>
    <w:rsid w:val="00E42153"/>
    <w:rsid w:val="00E44340"/>
    <w:rsid w:val="00E44B75"/>
    <w:rsid w:val="00E44CD2"/>
    <w:rsid w:val="00E4530A"/>
    <w:rsid w:val="00E45D63"/>
    <w:rsid w:val="00E466F2"/>
    <w:rsid w:val="00E46850"/>
    <w:rsid w:val="00E4790E"/>
    <w:rsid w:val="00E50DF3"/>
    <w:rsid w:val="00E51DD3"/>
    <w:rsid w:val="00E54AE9"/>
    <w:rsid w:val="00E62028"/>
    <w:rsid w:val="00E635D2"/>
    <w:rsid w:val="00E63B6A"/>
    <w:rsid w:val="00E646EE"/>
    <w:rsid w:val="00E64E73"/>
    <w:rsid w:val="00E6597E"/>
    <w:rsid w:val="00E66418"/>
    <w:rsid w:val="00E70CA3"/>
    <w:rsid w:val="00E711A2"/>
    <w:rsid w:val="00E7171F"/>
    <w:rsid w:val="00E73FD1"/>
    <w:rsid w:val="00E74048"/>
    <w:rsid w:val="00E748C0"/>
    <w:rsid w:val="00E749AE"/>
    <w:rsid w:val="00E777AA"/>
    <w:rsid w:val="00E778BB"/>
    <w:rsid w:val="00E778C4"/>
    <w:rsid w:val="00E77FBF"/>
    <w:rsid w:val="00E800B4"/>
    <w:rsid w:val="00E800EF"/>
    <w:rsid w:val="00E8140D"/>
    <w:rsid w:val="00E832CD"/>
    <w:rsid w:val="00E84517"/>
    <w:rsid w:val="00E855F7"/>
    <w:rsid w:val="00E87391"/>
    <w:rsid w:val="00E91FFC"/>
    <w:rsid w:val="00E94C5C"/>
    <w:rsid w:val="00E94E1A"/>
    <w:rsid w:val="00E95C3B"/>
    <w:rsid w:val="00E960D6"/>
    <w:rsid w:val="00E9690C"/>
    <w:rsid w:val="00E96954"/>
    <w:rsid w:val="00E96DCA"/>
    <w:rsid w:val="00E96E8C"/>
    <w:rsid w:val="00E97E1D"/>
    <w:rsid w:val="00EA0DA3"/>
    <w:rsid w:val="00EA1227"/>
    <w:rsid w:val="00EA1AC0"/>
    <w:rsid w:val="00EA588C"/>
    <w:rsid w:val="00EA5AB7"/>
    <w:rsid w:val="00EA6B96"/>
    <w:rsid w:val="00EA7DDF"/>
    <w:rsid w:val="00EB059E"/>
    <w:rsid w:val="00EB0EE3"/>
    <w:rsid w:val="00EB32FD"/>
    <w:rsid w:val="00EB3ADE"/>
    <w:rsid w:val="00EB50D5"/>
    <w:rsid w:val="00EB7156"/>
    <w:rsid w:val="00EC10B4"/>
    <w:rsid w:val="00EC1A2E"/>
    <w:rsid w:val="00EC2217"/>
    <w:rsid w:val="00EC32B8"/>
    <w:rsid w:val="00EC36F4"/>
    <w:rsid w:val="00EC4701"/>
    <w:rsid w:val="00EC4A79"/>
    <w:rsid w:val="00EC60FA"/>
    <w:rsid w:val="00EC6FB5"/>
    <w:rsid w:val="00EC7A72"/>
    <w:rsid w:val="00ED186C"/>
    <w:rsid w:val="00ED1C49"/>
    <w:rsid w:val="00ED1F08"/>
    <w:rsid w:val="00ED2067"/>
    <w:rsid w:val="00ED47C6"/>
    <w:rsid w:val="00ED4CAF"/>
    <w:rsid w:val="00ED6460"/>
    <w:rsid w:val="00EE0CAC"/>
    <w:rsid w:val="00EE5BCE"/>
    <w:rsid w:val="00EE606B"/>
    <w:rsid w:val="00EE66FE"/>
    <w:rsid w:val="00EE788C"/>
    <w:rsid w:val="00EE7B3B"/>
    <w:rsid w:val="00EF0898"/>
    <w:rsid w:val="00EF08AD"/>
    <w:rsid w:val="00EF2069"/>
    <w:rsid w:val="00EF24D9"/>
    <w:rsid w:val="00EF287C"/>
    <w:rsid w:val="00EF311A"/>
    <w:rsid w:val="00EF40F4"/>
    <w:rsid w:val="00EF42D0"/>
    <w:rsid w:val="00EF453D"/>
    <w:rsid w:val="00EF4FF8"/>
    <w:rsid w:val="00EF64C4"/>
    <w:rsid w:val="00EF6A54"/>
    <w:rsid w:val="00F01D9C"/>
    <w:rsid w:val="00F03A69"/>
    <w:rsid w:val="00F06ED7"/>
    <w:rsid w:val="00F07083"/>
    <w:rsid w:val="00F077FB"/>
    <w:rsid w:val="00F106CF"/>
    <w:rsid w:val="00F125D3"/>
    <w:rsid w:val="00F13D2E"/>
    <w:rsid w:val="00F162B2"/>
    <w:rsid w:val="00F17D86"/>
    <w:rsid w:val="00F202F0"/>
    <w:rsid w:val="00F2203D"/>
    <w:rsid w:val="00F241D3"/>
    <w:rsid w:val="00F26CD9"/>
    <w:rsid w:val="00F27664"/>
    <w:rsid w:val="00F27761"/>
    <w:rsid w:val="00F313C4"/>
    <w:rsid w:val="00F31F7E"/>
    <w:rsid w:val="00F32BB0"/>
    <w:rsid w:val="00F32C94"/>
    <w:rsid w:val="00F32E9D"/>
    <w:rsid w:val="00F34C18"/>
    <w:rsid w:val="00F34E0C"/>
    <w:rsid w:val="00F3590D"/>
    <w:rsid w:val="00F35E0C"/>
    <w:rsid w:val="00F36E84"/>
    <w:rsid w:val="00F37D5A"/>
    <w:rsid w:val="00F40850"/>
    <w:rsid w:val="00F41A48"/>
    <w:rsid w:val="00F41B55"/>
    <w:rsid w:val="00F41F4C"/>
    <w:rsid w:val="00F42F35"/>
    <w:rsid w:val="00F43922"/>
    <w:rsid w:val="00F443B0"/>
    <w:rsid w:val="00F44EB1"/>
    <w:rsid w:val="00F45376"/>
    <w:rsid w:val="00F52EA7"/>
    <w:rsid w:val="00F52F11"/>
    <w:rsid w:val="00F52FAF"/>
    <w:rsid w:val="00F5498A"/>
    <w:rsid w:val="00F55522"/>
    <w:rsid w:val="00F5568D"/>
    <w:rsid w:val="00F56608"/>
    <w:rsid w:val="00F56903"/>
    <w:rsid w:val="00F578CE"/>
    <w:rsid w:val="00F57B67"/>
    <w:rsid w:val="00F611AC"/>
    <w:rsid w:val="00F626FA"/>
    <w:rsid w:val="00F62712"/>
    <w:rsid w:val="00F62EBA"/>
    <w:rsid w:val="00F63B25"/>
    <w:rsid w:val="00F63FC7"/>
    <w:rsid w:val="00F6490A"/>
    <w:rsid w:val="00F65F01"/>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5A6D"/>
    <w:rsid w:val="00F860A9"/>
    <w:rsid w:val="00F876D9"/>
    <w:rsid w:val="00F90AB9"/>
    <w:rsid w:val="00F90CF5"/>
    <w:rsid w:val="00F90E2B"/>
    <w:rsid w:val="00F915A5"/>
    <w:rsid w:val="00F91CAC"/>
    <w:rsid w:val="00F925D3"/>
    <w:rsid w:val="00F928E9"/>
    <w:rsid w:val="00F928F0"/>
    <w:rsid w:val="00F92F38"/>
    <w:rsid w:val="00F93984"/>
    <w:rsid w:val="00F93BC3"/>
    <w:rsid w:val="00F94C0D"/>
    <w:rsid w:val="00F94DF5"/>
    <w:rsid w:val="00F96356"/>
    <w:rsid w:val="00F96FEC"/>
    <w:rsid w:val="00F970AD"/>
    <w:rsid w:val="00FA0BB1"/>
    <w:rsid w:val="00FA623A"/>
    <w:rsid w:val="00FB07A8"/>
    <w:rsid w:val="00FB1C87"/>
    <w:rsid w:val="00FB26DA"/>
    <w:rsid w:val="00FB319B"/>
    <w:rsid w:val="00FB3D69"/>
    <w:rsid w:val="00FB58BC"/>
    <w:rsid w:val="00FB58CC"/>
    <w:rsid w:val="00FB6109"/>
    <w:rsid w:val="00FB7BE3"/>
    <w:rsid w:val="00FC0C49"/>
    <w:rsid w:val="00FC0E39"/>
    <w:rsid w:val="00FC174D"/>
    <w:rsid w:val="00FC1F7B"/>
    <w:rsid w:val="00FC49C8"/>
    <w:rsid w:val="00FC54B9"/>
    <w:rsid w:val="00FD1220"/>
    <w:rsid w:val="00FD1DB6"/>
    <w:rsid w:val="00FD1E39"/>
    <w:rsid w:val="00FD1FF3"/>
    <w:rsid w:val="00FD2233"/>
    <w:rsid w:val="00FD33C4"/>
    <w:rsid w:val="00FD4A56"/>
    <w:rsid w:val="00FD5827"/>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83762140">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3402297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8DD28-A7F9-45EA-873E-7CCC53CB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13021</CharactersWithSpaces>
  <SharedDoc>false</SharedDoc>
  <HLinks>
    <vt:vector size="6" baseType="variant">
      <vt:variant>
        <vt:i4>1048648</vt:i4>
      </vt:variant>
      <vt:variant>
        <vt:i4>0</vt:i4>
      </vt:variant>
      <vt:variant>
        <vt:i4>0</vt:i4>
      </vt:variant>
      <vt:variant>
        <vt:i4>5</vt:i4>
      </vt:variant>
      <vt:variant>
        <vt:lpwstr>http://m.likumi.lv/doc.php?id=168377</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larisat</cp:lastModifiedBy>
  <cp:revision>9</cp:revision>
  <cp:lastPrinted>2013-10-07T14:34:00Z</cp:lastPrinted>
  <dcterms:created xsi:type="dcterms:W3CDTF">2014-04-22T11:22:00Z</dcterms:created>
  <dcterms:modified xsi:type="dcterms:W3CDTF">2014-05-20T05:54:00Z</dcterms:modified>
</cp:coreProperties>
</file>