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32" w:rsidRPr="002225BF" w:rsidRDefault="00DC398B">
      <w:pPr>
        <w:rPr>
          <w:rFonts w:ascii="Times New Roman" w:hAnsi="Times New Roman" w:cs="Times New Roman"/>
          <w:b/>
          <w:sz w:val="24"/>
          <w:szCs w:val="24"/>
        </w:rPr>
      </w:pPr>
      <w:r w:rsidRPr="002225BF">
        <w:rPr>
          <w:rFonts w:ascii="Times New Roman" w:hAnsi="Times New Roman" w:cs="Times New Roman"/>
          <w:b/>
          <w:sz w:val="24"/>
          <w:szCs w:val="24"/>
        </w:rPr>
        <w:t xml:space="preserve">Starpreģionu sadarbības programmas </w:t>
      </w:r>
      <w:r w:rsidR="00BF2B54">
        <w:rPr>
          <w:rFonts w:ascii="Times New Roman" w:hAnsi="Times New Roman" w:cs="Times New Roman"/>
          <w:b/>
          <w:sz w:val="24"/>
          <w:szCs w:val="24"/>
        </w:rPr>
        <w:t>URBACTIII</w:t>
      </w:r>
      <w:r w:rsidRPr="002225BF">
        <w:rPr>
          <w:rFonts w:ascii="Times New Roman" w:hAnsi="Times New Roman" w:cs="Times New Roman"/>
          <w:b/>
          <w:sz w:val="24"/>
          <w:szCs w:val="24"/>
        </w:rPr>
        <w:t xml:space="preserve"> 2014.-2020.gadam</w:t>
      </w:r>
      <w:r w:rsidR="00B64CE3" w:rsidRPr="002225BF">
        <w:rPr>
          <w:rFonts w:ascii="Times New Roman" w:hAnsi="Times New Roman" w:cs="Times New Roman"/>
          <w:b/>
          <w:sz w:val="24"/>
          <w:szCs w:val="24"/>
        </w:rPr>
        <w:t xml:space="preserve"> projekta</w:t>
      </w:r>
    </w:p>
    <w:p w:rsidR="00DC398B" w:rsidRPr="002225BF" w:rsidRDefault="00DC398B">
      <w:pPr>
        <w:rPr>
          <w:rFonts w:ascii="Times New Roman" w:hAnsi="Times New Roman" w:cs="Times New Roman"/>
          <w:b/>
          <w:sz w:val="24"/>
          <w:szCs w:val="24"/>
        </w:rPr>
      </w:pPr>
      <w:r w:rsidRPr="002225BF">
        <w:rPr>
          <w:rFonts w:ascii="Times New Roman" w:hAnsi="Times New Roman" w:cs="Times New Roman"/>
          <w:b/>
          <w:sz w:val="24"/>
          <w:szCs w:val="24"/>
        </w:rPr>
        <w:t>KOPSAVILKUMS</w:t>
      </w:r>
    </w:p>
    <w:p w:rsidR="00DC398B" w:rsidRPr="002225BF" w:rsidRDefault="00DC398B">
      <w:pPr>
        <w:rPr>
          <w:rFonts w:ascii="Times New Roman" w:hAnsi="Times New Roman" w:cs="Times New Roman"/>
          <w:b/>
          <w:sz w:val="24"/>
          <w:szCs w:val="24"/>
        </w:rPr>
      </w:pPr>
    </w:p>
    <w:p w:rsidR="00DC398B" w:rsidRDefault="00A51B0C" w:rsidP="00812325">
      <w:pPr>
        <w:ind w:left="-284" w:right="-524" w:firstLine="284"/>
        <w:jc w:val="both"/>
        <w:rPr>
          <w:rFonts w:ascii="Times New Roman" w:hAnsi="Times New Roman" w:cs="Times New Roman"/>
          <w:b/>
          <w:sz w:val="24"/>
          <w:szCs w:val="24"/>
        </w:rPr>
      </w:pPr>
      <w:r w:rsidRPr="002225BF">
        <w:rPr>
          <w:rFonts w:ascii="Times New Roman" w:hAnsi="Times New Roman" w:cs="Times New Roman"/>
          <w:b/>
          <w:sz w:val="24"/>
          <w:szCs w:val="24"/>
        </w:rPr>
        <w:t>1.Risināmā jautājuma būtība</w:t>
      </w:r>
    </w:p>
    <w:p w:rsidR="00812325" w:rsidRPr="002225BF" w:rsidRDefault="00812325" w:rsidP="00812325">
      <w:pPr>
        <w:ind w:left="-284" w:right="-524" w:firstLine="284"/>
        <w:jc w:val="both"/>
        <w:rPr>
          <w:rFonts w:ascii="Times New Roman" w:hAnsi="Times New Roman" w:cs="Times New Roman"/>
          <w:b/>
          <w:sz w:val="24"/>
          <w:szCs w:val="24"/>
        </w:rPr>
      </w:pPr>
    </w:p>
    <w:p w:rsidR="00471CBD" w:rsidRPr="002225BF" w:rsidRDefault="00471CBD"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 xml:space="preserve">Pamatojoties uz Ministru Kabineta </w:t>
      </w:r>
      <w:r w:rsidR="009F54DB">
        <w:rPr>
          <w:rFonts w:ascii="Times New Roman" w:hAnsi="Times New Roman" w:cs="Times New Roman"/>
          <w:sz w:val="24"/>
          <w:szCs w:val="24"/>
        </w:rPr>
        <w:t xml:space="preserve">(turpmāk – MK) </w:t>
      </w:r>
      <w:r w:rsidRPr="002225BF">
        <w:rPr>
          <w:rFonts w:ascii="Times New Roman" w:hAnsi="Times New Roman" w:cs="Times New Roman"/>
          <w:sz w:val="24"/>
          <w:szCs w:val="24"/>
        </w:rPr>
        <w:t xml:space="preserve">2013.gada 19.novembra sēdes protokolu Nr.61 52§ un MK 2013.gada 22.novembra </w:t>
      </w:r>
      <w:r w:rsidR="00BC4993">
        <w:rPr>
          <w:rFonts w:ascii="Times New Roman" w:hAnsi="Times New Roman" w:cs="Times New Roman"/>
          <w:sz w:val="24"/>
          <w:szCs w:val="24"/>
        </w:rPr>
        <w:t>rīkojuma</w:t>
      </w:r>
      <w:r w:rsidR="00812325">
        <w:rPr>
          <w:rFonts w:ascii="Times New Roman" w:hAnsi="Times New Roman" w:cs="Times New Roman"/>
          <w:sz w:val="24"/>
          <w:szCs w:val="24"/>
        </w:rPr>
        <w:t xml:space="preserve"> </w:t>
      </w:r>
      <w:r w:rsidR="00812325" w:rsidRPr="00074196">
        <w:rPr>
          <w:rFonts w:ascii="Times New Roman" w:hAnsi="Times New Roman"/>
          <w:sz w:val="24"/>
          <w:szCs w:val="24"/>
        </w:rPr>
        <w:t>Nr.561 „Par uzdevumiem Eiropas Savienības strukturālo un investīciju fondu mērķa "Eiropas teritoriālā sadarbība" 2014.–2020.gada plānošanas periodam vadības, uzraudzības un kontroles sistēmas ievi</w:t>
      </w:r>
      <w:r w:rsidR="00812325">
        <w:rPr>
          <w:rFonts w:ascii="Times New Roman" w:hAnsi="Times New Roman"/>
          <w:sz w:val="24"/>
          <w:szCs w:val="24"/>
        </w:rPr>
        <w:t xml:space="preserve">ešanai” </w:t>
      </w:r>
      <w:r w:rsidR="00812325" w:rsidRPr="00074196">
        <w:rPr>
          <w:rFonts w:ascii="Times New Roman" w:hAnsi="Times New Roman"/>
          <w:sz w:val="24"/>
          <w:szCs w:val="24"/>
        </w:rPr>
        <w:t>2.2.punktā doto uzdevumu</w:t>
      </w:r>
      <w:r w:rsidR="00BC4993">
        <w:rPr>
          <w:rFonts w:ascii="Times New Roman" w:hAnsi="Times New Roman" w:cs="Times New Roman"/>
          <w:sz w:val="24"/>
          <w:szCs w:val="24"/>
        </w:rPr>
        <w:t xml:space="preserve"> </w:t>
      </w:r>
      <w:r w:rsidR="002E1A6F">
        <w:rPr>
          <w:rFonts w:ascii="Times New Roman" w:hAnsi="Times New Roman" w:cs="Times New Roman"/>
          <w:sz w:val="24"/>
          <w:szCs w:val="24"/>
        </w:rPr>
        <w:t>2.2.6</w:t>
      </w:r>
      <w:r w:rsidRPr="002225BF">
        <w:rPr>
          <w:rFonts w:ascii="Times New Roman" w:hAnsi="Times New Roman" w:cs="Times New Roman"/>
          <w:sz w:val="24"/>
          <w:szCs w:val="24"/>
        </w:rPr>
        <w:t xml:space="preserve">.apakšpunktā doto uzdevumu, Vides aizsardzības un reģionālās attīstības ministrija (turpmāk – VARAM) ir sagatavojusi starpreģionu sadarbības programmas </w:t>
      </w:r>
      <w:r w:rsidR="00974435">
        <w:rPr>
          <w:rFonts w:ascii="Times New Roman" w:hAnsi="Times New Roman" w:cs="Times New Roman"/>
          <w:sz w:val="24"/>
          <w:szCs w:val="24"/>
        </w:rPr>
        <w:t>URBACTIII</w:t>
      </w:r>
      <w:r w:rsidRPr="002225BF">
        <w:rPr>
          <w:rFonts w:ascii="Times New Roman" w:hAnsi="Times New Roman" w:cs="Times New Roman"/>
          <w:sz w:val="24"/>
          <w:szCs w:val="24"/>
        </w:rPr>
        <w:t xml:space="preserve"> 2014.-2020.gadam projektu (turpmāk - Programma), kas tiks īstenota Eiropas Savienības Struktu</w:t>
      </w:r>
      <w:r w:rsidR="00812325">
        <w:rPr>
          <w:rFonts w:ascii="Times New Roman" w:hAnsi="Times New Roman" w:cs="Times New Roman"/>
          <w:sz w:val="24"/>
          <w:szCs w:val="24"/>
        </w:rPr>
        <w:t xml:space="preserve">rālo un investīciju fondu mērķa </w:t>
      </w:r>
      <w:r w:rsidRPr="002225BF">
        <w:rPr>
          <w:rFonts w:ascii="Times New Roman" w:hAnsi="Times New Roman" w:cs="Times New Roman"/>
          <w:sz w:val="24"/>
          <w:szCs w:val="24"/>
        </w:rPr>
        <w:t>„Eiropas teritoriālā sadarbība” (turpmāk – ETS) ietvaros.</w:t>
      </w:r>
    </w:p>
    <w:p w:rsidR="00471CBD" w:rsidRPr="002225BF" w:rsidRDefault="00471CBD" w:rsidP="00812325">
      <w:pPr>
        <w:ind w:left="0" w:right="-524"/>
        <w:jc w:val="both"/>
        <w:rPr>
          <w:rFonts w:ascii="Times New Roman" w:hAnsi="Times New Roman" w:cs="Times New Roman"/>
          <w:sz w:val="24"/>
          <w:szCs w:val="24"/>
        </w:rPr>
      </w:pPr>
    </w:p>
    <w:p w:rsidR="00471CBD" w:rsidRPr="002225BF" w:rsidRDefault="00471CBD"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Eiropas Savienības Strukturālo un investīciju fondu 2014.-2020.gadam perioda ETS mērķis paredz pārrobežu, transnacionālās un starpreģionu sadarbības programmu ieviešanu, kas tiks finansētas no Eiropas Reģionālās attīstības fonda līdzekļiem.</w:t>
      </w:r>
    </w:p>
    <w:p w:rsidR="00471CBD" w:rsidRPr="002225BF" w:rsidRDefault="00471CBD" w:rsidP="00812325">
      <w:pPr>
        <w:ind w:left="-284" w:right="-524" w:firstLine="284"/>
        <w:jc w:val="both"/>
        <w:rPr>
          <w:rFonts w:ascii="Times New Roman" w:hAnsi="Times New Roman" w:cs="Times New Roman"/>
          <w:sz w:val="24"/>
          <w:szCs w:val="24"/>
        </w:rPr>
      </w:pPr>
    </w:p>
    <w:p w:rsidR="00471CBD" w:rsidRDefault="00471CBD" w:rsidP="00812325">
      <w:pPr>
        <w:ind w:left="0" w:right="-524"/>
        <w:jc w:val="both"/>
        <w:rPr>
          <w:rFonts w:ascii="Times New Roman" w:hAnsi="Times New Roman" w:cs="Times New Roman"/>
          <w:b/>
          <w:sz w:val="24"/>
          <w:szCs w:val="24"/>
        </w:rPr>
      </w:pPr>
      <w:r w:rsidRPr="002225BF">
        <w:rPr>
          <w:rFonts w:ascii="Times New Roman" w:hAnsi="Times New Roman" w:cs="Times New Roman"/>
          <w:b/>
          <w:sz w:val="24"/>
          <w:szCs w:val="24"/>
        </w:rPr>
        <w:t>Programma ir izstrādāta atbilstoši:</w:t>
      </w:r>
    </w:p>
    <w:p w:rsidR="00BF620B" w:rsidRPr="002225BF" w:rsidRDefault="00BF620B" w:rsidP="00812325">
      <w:pPr>
        <w:ind w:left="0" w:right="-524"/>
        <w:jc w:val="both"/>
        <w:rPr>
          <w:rFonts w:ascii="Times New Roman" w:hAnsi="Times New Roman" w:cs="Times New Roman"/>
          <w:b/>
          <w:sz w:val="24"/>
          <w:szCs w:val="24"/>
        </w:rPr>
      </w:pPr>
    </w:p>
    <w:p w:rsidR="00471CBD" w:rsidRPr="00BF620B" w:rsidRDefault="00471CBD" w:rsidP="00CA251B">
      <w:pPr>
        <w:pStyle w:val="ListParagraph"/>
        <w:numPr>
          <w:ilvl w:val="0"/>
          <w:numId w:val="6"/>
        </w:numPr>
        <w:tabs>
          <w:tab w:val="left" w:pos="284"/>
        </w:tabs>
        <w:ind w:left="284" w:right="-52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Eiropas Parlamenta un Padomes Regulai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p>
    <w:p w:rsidR="00471CBD" w:rsidRPr="00BF620B" w:rsidRDefault="00471CBD" w:rsidP="00CA251B">
      <w:pPr>
        <w:pStyle w:val="ListParagraph"/>
        <w:numPr>
          <w:ilvl w:val="0"/>
          <w:numId w:val="6"/>
        </w:numPr>
        <w:tabs>
          <w:tab w:val="left" w:pos="284"/>
        </w:tabs>
        <w:ind w:left="284" w:right="-524" w:hanging="284"/>
        <w:jc w:val="both"/>
        <w:rPr>
          <w:rFonts w:ascii="Times New Roman" w:hAnsi="Times New Roman" w:cs="Times New Roman"/>
          <w:sz w:val="24"/>
          <w:szCs w:val="24"/>
        </w:rPr>
      </w:pPr>
      <w:r w:rsidRPr="002225BF">
        <w:rPr>
          <w:rFonts w:ascii="Times New Roman" w:hAnsi="Times New Roman" w:cs="Times New Roman"/>
          <w:sz w:val="24"/>
          <w:szCs w:val="24"/>
        </w:rPr>
        <w:t>Eiropas Parlamenta un Padomes Regulai (ES) Nr.1301/2013 (2013.gada 17.decembris) par Eiropas Reģionālās attīstības fondu un īpašiem noteikumiem attiecībā uz mērķi „Investīcijas izaugsmei un nodarbinātībai” un ar ko atceļ Regulu (EK) Nr. 1080/2006;</w:t>
      </w:r>
    </w:p>
    <w:p w:rsidR="00471CBD" w:rsidRPr="00BF620B" w:rsidRDefault="00471CBD" w:rsidP="00CA251B">
      <w:pPr>
        <w:pStyle w:val="ListParagraph"/>
        <w:numPr>
          <w:ilvl w:val="0"/>
          <w:numId w:val="6"/>
        </w:numPr>
        <w:tabs>
          <w:tab w:val="left" w:pos="284"/>
        </w:tabs>
        <w:ind w:left="284" w:right="-52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 Eiropas Parlamenta un Padomes Regulai (ES) Nr.1299/2013 (2013.gada 17.decembris) par īpašiem noteikumiem par atbalstu no Eiropas Reģionālās attīstības fonda saistībā ar mērķi „Eiropas teritoriālā sadarbība”, </w:t>
      </w:r>
    </w:p>
    <w:p w:rsidR="00471CBD" w:rsidRPr="00BF620B" w:rsidRDefault="00471CBD" w:rsidP="00CA251B">
      <w:pPr>
        <w:pStyle w:val="ListParagraph"/>
        <w:numPr>
          <w:ilvl w:val="0"/>
          <w:numId w:val="6"/>
        </w:numPr>
        <w:tabs>
          <w:tab w:val="left" w:pos="284"/>
        </w:tabs>
        <w:ind w:left="284" w:right="-524" w:hanging="284"/>
        <w:jc w:val="both"/>
        <w:rPr>
          <w:rFonts w:ascii="Times New Roman" w:hAnsi="Times New Roman" w:cs="Times New Roman"/>
          <w:sz w:val="24"/>
          <w:szCs w:val="24"/>
        </w:rPr>
      </w:pPr>
      <w:r w:rsidRPr="002225BF">
        <w:rPr>
          <w:rFonts w:ascii="Times New Roman" w:hAnsi="Times New Roman" w:cs="Times New Roman"/>
          <w:sz w:val="24"/>
          <w:szCs w:val="24"/>
        </w:rPr>
        <w:t>Stratēģijai „Eiropa 2020”,</w:t>
      </w:r>
    </w:p>
    <w:p w:rsidR="00471CBD" w:rsidRPr="002225BF" w:rsidRDefault="00471CBD" w:rsidP="00CA251B">
      <w:pPr>
        <w:pStyle w:val="ListParagraph"/>
        <w:numPr>
          <w:ilvl w:val="0"/>
          <w:numId w:val="6"/>
        </w:numPr>
        <w:tabs>
          <w:tab w:val="left" w:pos="284"/>
        </w:tabs>
        <w:ind w:left="284" w:right="-52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 Nacionālajiem plānošanas dokumentiem.</w:t>
      </w:r>
    </w:p>
    <w:p w:rsidR="00E676F4" w:rsidRPr="002225BF" w:rsidRDefault="00E676F4" w:rsidP="00812325">
      <w:pPr>
        <w:ind w:left="0" w:right="-524"/>
        <w:jc w:val="both"/>
        <w:rPr>
          <w:rFonts w:ascii="Times New Roman" w:hAnsi="Times New Roman" w:cs="Times New Roman"/>
          <w:sz w:val="24"/>
          <w:szCs w:val="24"/>
        </w:rPr>
      </w:pPr>
    </w:p>
    <w:p w:rsidR="00E676F4" w:rsidRPr="002225BF" w:rsidRDefault="002C252E"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Saskaņā ar</w:t>
      </w:r>
      <w:r w:rsidR="00E676F4" w:rsidRPr="002225BF">
        <w:rPr>
          <w:rFonts w:ascii="Times New Roman" w:hAnsi="Times New Roman" w:cs="Times New Roman"/>
          <w:sz w:val="24"/>
          <w:szCs w:val="24"/>
        </w:rPr>
        <w:t xml:space="preserve"> Eiropas Parlamenta un Padomes Regulas (ES) Nr. 1299/</w:t>
      </w:r>
      <w:r w:rsidRPr="002225BF">
        <w:rPr>
          <w:rFonts w:ascii="Times New Roman" w:hAnsi="Times New Roman" w:cs="Times New Roman"/>
          <w:sz w:val="24"/>
          <w:szCs w:val="24"/>
        </w:rPr>
        <w:t xml:space="preserve">2013 (ETS) </w:t>
      </w:r>
      <w:r w:rsidR="002E5112" w:rsidRPr="002225BF">
        <w:rPr>
          <w:rFonts w:ascii="Times New Roman" w:hAnsi="Times New Roman" w:cs="Times New Roman"/>
          <w:sz w:val="24"/>
          <w:szCs w:val="24"/>
        </w:rPr>
        <w:t>8.panta 9.punktu</w:t>
      </w:r>
      <w:r w:rsidRPr="002225BF">
        <w:rPr>
          <w:rFonts w:ascii="Times New Roman" w:hAnsi="Times New Roman" w:cs="Times New Roman"/>
          <w:sz w:val="24"/>
          <w:szCs w:val="24"/>
        </w:rPr>
        <w:t xml:space="preserve"> pirms sadarbības programmas iesniegšanas Eiropas Komisijā iesaistītajām dalībvalstīm rakstiski jāapstiprina sava piekrišana sadarbības programmas saturam. Šī piekrišana aptver arī visu iesaistīto</w:t>
      </w:r>
      <w:r w:rsidR="003F3F01" w:rsidRPr="002225BF">
        <w:rPr>
          <w:rFonts w:ascii="Times New Roman" w:hAnsi="Times New Roman" w:cs="Times New Roman"/>
          <w:sz w:val="24"/>
          <w:szCs w:val="24"/>
        </w:rPr>
        <w:t xml:space="preserve"> dalībvalstu </w:t>
      </w:r>
      <w:r w:rsidRPr="002225BF">
        <w:rPr>
          <w:rFonts w:ascii="Times New Roman" w:hAnsi="Times New Roman" w:cs="Times New Roman"/>
          <w:sz w:val="24"/>
          <w:szCs w:val="24"/>
        </w:rPr>
        <w:t xml:space="preserve">saistības nodrošināt sadarbības programmas īstenošanai vajadzīgo </w:t>
      </w:r>
      <w:r w:rsidR="00471CBD" w:rsidRPr="002225BF">
        <w:rPr>
          <w:rFonts w:ascii="Times New Roman" w:hAnsi="Times New Roman" w:cs="Times New Roman"/>
          <w:sz w:val="24"/>
          <w:szCs w:val="24"/>
        </w:rPr>
        <w:t xml:space="preserve">nacionālo </w:t>
      </w:r>
      <w:r w:rsidRPr="002225BF">
        <w:rPr>
          <w:rFonts w:ascii="Times New Roman" w:hAnsi="Times New Roman" w:cs="Times New Roman"/>
          <w:sz w:val="24"/>
          <w:szCs w:val="24"/>
        </w:rPr>
        <w:t>līdzfinansējumu.</w:t>
      </w:r>
    </w:p>
    <w:p w:rsidR="002C252E" w:rsidRPr="002225BF" w:rsidRDefault="002C252E" w:rsidP="00812325">
      <w:pPr>
        <w:ind w:left="0" w:right="-524"/>
        <w:jc w:val="both"/>
        <w:rPr>
          <w:rFonts w:ascii="Times New Roman" w:hAnsi="Times New Roman" w:cs="Times New Roman"/>
          <w:sz w:val="24"/>
          <w:szCs w:val="24"/>
        </w:rPr>
      </w:pPr>
    </w:p>
    <w:p w:rsidR="002C252E" w:rsidRPr="002225BF" w:rsidRDefault="001F1BE1"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Saskaņā ar Ministru kabineta 2013.gada 22.novembra rīkojumu Nr. 561 „Par uzdevumiem Eiropas Savienības strukturālo un investīciju fondu mērķa</w:t>
      </w:r>
      <w:r w:rsidR="00681E5B" w:rsidRPr="002225BF">
        <w:rPr>
          <w:rFonts w:ascii="Times New Roman" w:hAnsi="Times New Roman" w:cs="Times New Roman"/>
          <w:sz w:val="24"/>
          <w:szCs w:val="24"/>
        </w:rPr>
        <w:t xml:space="preserve"> </w:t>
      </w:r>
      <w:r w:rsidRPr="002225BF">
        <w:rPr>
          <w:rFonts w:ascii="Times New Roman" w:hAnsi="Times New Roman" w:cs="Times New Roman"/>
          <w:sz w:val="24"/>
          <w:szCs w:val="24"/>
        </w:rPr>
        <w:t>”Eiropas teritoriālā sadarbība”</w:t>
      </w:r>
      <w:r w:rsidR="00681E5B" w:rsidRPr="002225BF">
        <w:rPr>
          <w:rFonts w:ascii="Times New Roman" w:hAnsi="Times New Roman" w:cs="Times New Roman"/>
          <w:sz w:val="24"/>
          <w:szCs w:val="24"/>
        </w:rPr>
        <w:t xml:space="preserve"> </w:t>
      </w:r>
      <w:r w:rsidRPr="002225BF">
        <w:rPr>
          <w:rFonts w:ascii="Times New Roman" w:hAnsi="Times New Roman" w:cs="Times New Roman"/>
          <w:sz w:val="24"/>
          <w:szCs w:val="24"/>
        </w:rPr>
        <w:t xml:space="preserve"> 2014.-2020.gada plānošanas periodam vadības, uzraudzības un kontroles sistēmas ieviešanai” 1.punktu </w:t>
      </w:r>
      <w:r w:rsidR="00B56457">
        <w:rPr>
          <w:rFonts w:ascii="Times New Roman" w:hAnsi="Times New Roman" w:cs="Times New Roman"/>
          <w:sz w:val="24"/>
          <w:szCs w:val="24"/>
        </w:rPr>
        <w:t>VARAM</w:t>
      </w:r>
      <w:r w:rsidR="00471CBD" w:rsidRPr="002225BF">
        <w:rPr>
          <w:rFonts w:ascii="Times New Roman" w:hAnsi="Times New Roman" w:cs="Times New Roman"/>
          <w:sz w:val="24"/>
          <w:szCs w:val="24"/>
        </w:rPr>
        <w:t xml:space="preserve"> </w:t>
      </w:r>
      <w:r w:rsidRPr="002225BF">
        <w:rPr>
          <w:rFonts w:ascii="Times New Roman" w:hAnsi="Times New Roman" w:cs="Times New Roman"/>
          <w:sz w:val="24"/>
          <w:szCs w:val="24"/>
        </w:rPr>
        <w:t xml:space="preserve">noteikta par nacionālo atbildīgo iestādi </w:t>
      </w:r>
      <w:r w:rsidR="005F4610" w:rsidRPr="002225BF">
        <w:rPr>
          <w:rFonts w:ascii="Times New Roman" w:hAnsi="Times New Roman" w:cs="Times New Roman"/>
          <w:sz w:val="24"/>
          <w:szCs w:val="24"/>
        </w:rPr>
        <w:t xml:space="preserve">ETS </w:t>
      </w:r>
      <w:r w:rsidRPr="002225BF">
        <w:rPr>
          <w:rFonts w:ascii="Times New Roman" w:hAnsi="Times New Roman" w:cs="Times New Roman"/>
          <w:sz w:val="24"/>
          <w:szCs w:val="24"/>
        </w:rPr>
        <w:t>mērķa  programmu politikas izstrādei un koordinēšanai.</w:t>
      </w:r>
    </w:p>
    <w:p w:rsidR="001F1BE1" w:rsidRPr="002225BF" w:rsidRDefault="001F1BE1" w:rsidP="00812325">
      <w:pPr>
        <w:ind w:left="-284" w:right="-524" w:firstLine="284"/>
        <w:jc w:val="both"/>
        <w:rPr>
          <w:rFonts w:ascii="Times New Roman" w:hAnsi="Times New Roman" w:cs="Times New Roman"/>
          <w:sz w:val="24"/>
          <w:szCs w:val="24"/>
        </w:rPr>
      </w:pPr>
    </w:p>
    <w:p w:rsidR="001F1BE1" w:rsidRPr="002225BF" w:rsidRDefault="001F1BE1"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2012.gadā VARAM sadarbībā ar attiecīgo Programmas partnervalstu pārstāvjiem uzsāka Programmas izstrādi, izveidojot Programmēšanas komiteju</w:t>
      </w:r>
      <w:r w:rsidR="007B5D59" w:rsidRPr="002225BF">
        <w:rPr>
          <w:rFonts w:ascii="Times New Roman" w:hAnsi="Times New Roman" w:cs="Times New Roman"/>
          <w:sz w:val="24"/>
          <w:szCs w:val="24"/>
        </w:rPr>
        <w:t xml:space="preserve">, kurā piedalās visu Eiropas </w:t>
      </w:r>
      <w:r w:rsidR="007B5D59" w:rsidRPr="002225BF">
        <w:rPr>
          <w:rFonts w:ascii="Times New Roman" w:hAnsi="Times New Roman" w:cs="Times New Roman"/>
          <w:sz w:val="24"/>
          <w:szCs w:val="24"/>
        </w:rPr>
        <w:lastRenderedPageBreak/>
        <w:t>Savienības dalībvalstu/partnervalstu (Šveice, Norvēģija) pārstāvji, kā arī Eiropas Komisijas pārstāvji.</w:t>
      </w:r>
    </w:p>
    <w:p w:rsidR="006812A8" w:rsidRPr="002225BF" w:rsidRDefault="006812A8" w:rsidP="00812325">
      <w:pPr>
        <w:ind w:left="0" w:right="-524"/>
        <w:jc w:val="both"/>
        <w:rPr>
          <w:rFonts w:ascii="Times New Roman" w:hAnsi="Times New Roman" w:cs="Times New Roman"/>
          <w:sz w:val="24"/>
          <w:szCs w:val="24"/>
        </w:rPr>
      </w:pPr>
    </w:p>
    <w:p w:rsidR="00D22911" w:rsidRPr="002225BF" w:rsidRDefault="00D22911"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 xml:space="preserve">Latvijā, lai nodrošinātu Eiropas Savienības Strukturālo un investīciju </w:t>
      </w:r>
      <w:r w:rsidRPr="002225BF">
        <w:rPr>
          <w:rFonts w:ascii="Times New Roman" w:eastAsia="Calibri" w:hAnsi="Times New Roman" w:cs="Times New Roman"/>
          <w:sz w:val="24"/>
          <w:szCs w:val="24"/>
        </w:rPr>
        <w:t>fondu 2014.-2020.gada plānošanas perioda ETS mērķa darbības programmu izstrādes uzraudzību</w:t>
      </w:r>
      <w:r w:rsidRPr="002225BF">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w:t>
      </w:r>
      <w:r w:rsidR="00471CBD" w:rsidRPr="002225BF">
        <w:rPr>
          <w:rFonts w:ascii="Times New Roman" w:hAnsi="Times New Roman" w:cs="Times New Roman"/>
          <w:sz w:val="24"/>
          <w:szCs w:val="24"/>
        </w:rPr>
        <w:t xml:space="preserve">Ārlietu ministrijas, Ekonomikas ministrijas, Finanšu ministrijas, Iekšlietu ministrijas, Izglītības un zinātnes ministrijas, </w:t>
      </w:r>
      <w:r w:rsidRPr="002225BF">
        <w:rPr>
          <w:rFonts w:ascii="Times New Roman" w:hAnsi="Times New Roman" w:cs="Times New Roman"/>
          <w:sz w:val="24"/>
          <w:szCs w:val="24"/>
          <w:shd w:val="clear" w:color="auto" w:fill="FFFFFF"/>
        </w:rPr>
        <w:t xml:space="preserve">Finanšu ministrijas, </w:t>
      </w:r>
      <w:r w:rsidR="00471CBD" w:rsidRPr="002225BF">
        <w:rPr>
          <w:rFonts w:ascii="Times New Roman" w:hAnsi="Times New Roman" w:cs="Times New Roman"/>
          <w:sz w:val="24"/>
          <w:szCs w:val="24"/>
          <w:shd w:val="clear" w:color="auto" w:fill="FFFFFF"/>
        </w:rPr>
        <w:t>Kultūras ministrijas</w:t>
      </w:r>
      <w:r w:rsidRPr="002225BF">
        <w:rPr>
          <w:rFonts w:ascii="Times New Roman" w:hAnsi="Times New Roman" w:cs="Times New Roman"/>
          <w:sz w:val="24"/>
          <w:szCs w:val="24"/>
          <w:shd w:val="clear" w:color="auto" w:fill="FFFFFF"/>
        </w:rPr>
        <w:t>,</w:t>
      </w:r>
      <w:r w:rsidR="00471CBD" w:rsidRPr="002225BF">
        <w:rPr>
          <w:rFonts w:ascii="Times New Roman" w:hAnsi="Times New Roman" w:cs="Times New Roman"/>
          <w:sz w:val="24"/>
          <w:szCs w:val="24"/>
          <w:shd w:val="clear" w:color="auto" w:fill="FFFFFF"/>
        </w:rPr>
        <w:t xml:space="preserve"> Labklājības ministrijas, Satiksmes ministrijas, Veselības ministrijas, Vides aizsardzības un reģionālās attīstības ministrijas, Zemkopības ministrijas,</w:t>
      </w:r>
      <w:r w:rsidRPr="002225BF">
        <w:rPr>
          <w:rFonts w:ascii="Times New Roman" w:hAnsi="Times New Roman" w:cs="Times New Roman"/>
          <w:sz w:val="24"/>
          <w:szCs w:val="24"/>
          <w:shd w:val="clear" w:color="auto" w:fill="FFFFFF"/>
        </w:rPr>
        <w:t xml:space="preserve"> Latgales, Vidzemes, Rīgas, Kurzemes un Zemgales plānošanas reģionu, Pārresoru koordinācijas centra, biedrības "Latvijas Pašvaldību savienība" un biedrības "Latvijas Lielo Pilsētu asociācija" pārstāvji.</w:t>
      </w:r>
      <w:r w:rsidRPr="002225BF">
        <w:rPr>
          <w:rFonts w:ascii="Times New Roman" w:hAnsi="Times New Roman" w:cs="Times New Roman"/>
          <w:sz w:val="24"/>
          <w:szCs w:val="24"/>
        </w:rPr>
        <w:t xml:space="preserve"> </w:t>
      </w:r>
    </w:p>
    <w:p w:rsidR="00681E5B" w:rsidRPr="002225BF" w:rsidRDefault="00681E5B" w:rsidP="00812325">
      <w:pPr>
        <w:ind w:left="-284" w:right="-524" w:firstLine="284"/>
        <w:jc w:val="both"/>
        <w:rPr>
          <w:rFonts w:ascii="Times New Roman" w:hAnsi="Times New Roman" w:cs="Times New Roman"/>
          <w:sz w:val="24"/>
          <w:szCs w:val="24"/>
        </w:rPr>
      </w:pPr>
    </w:p>
    <w:p w:rsidR="00812325" w:rsidRDefault="00D22911" w:rsidP="00812325">
      <w:pPr>
        <w:ind w:left="-284" w:right="-524" w:firstLine="284"/>
        <w:jc w:val="both"/>
        <w:rPr>
          <w:rFonts w:ascii="Times New Roman" w:hAnsi="Times New Roman" w:cs="Times New Roman"/>
          <w:sz w:val="24"/>
          <w:szCs w:val="24"/>
        </w:rPr>
      </w:pPr>
      <w:r w:rsidRPr="002225BF">
        <w:rPr>
          <w:rFonts w:ascii="Times New Roman" w:hAnsi="Times New Roman" w:cs="Times New Roman"/>
          <w:sz w:val="24"/>
          <w:szCs w:val="24"/>
        </w:rPr>
        <w:t>Programmas projektam tika veikta sākotnējā izvērtēšana (</w:t>
      </w:r>
      <w:r w:rsidRPr="002225BF">
        <w:rPr>
          <w:rFonts w:ascii="Times New Roman" w:hAnsi="Times New Roman" w:cs="Times New Roman"/>
          <w:i/>
          <w:sz w:val="24"/>
          <w:szCs w:val="24"/>
        </w:rPr>
        <w:t>ex-ante</w:t>
      </w:r>
      <w:r w:rsidR="00974435">
        <w:rPr>
          <w:rFonts w:ascii="Times New Roman" w:hAnsi="Times New Roman" w:cs="Times New Roman"/>
          <w:sz w:val="24"/>
          <w:szCs w:val="24"/>
        </w:rPr>
        <w:t>)</w:t>
      </w:r>
      <w:r w:rsidRPr="002225BF">
        <w:rPr>
          <w:rFonts w:ascii="Times New Roman" w:hAnsi="Times New Roman" w:cs="Times New Roman"/>
          <w:sz w:val="24"/>
          <w:szCs w:val="24"/>
        </w:rPr>
        <w:t xml:space="preserve">. </w:t>
      </w:r>
    </w:p>
    <w:p w:rsidR="00812325" w:rsidRDefault="00812325" w:rsidP="00812325">
      <w:pPr>
        <w:ind w:left="0" w:right="-524"/>
        <w:jc w:val="both"/>
        <w:rPr>
          <w:rFonts w:ascii="Times New Roman" w:hAnsi="Times New Roman" w:cs="Times New Roman"/>
          <w:sz w:val="24"/>
          <w:szCs w:val="24"/>
        </w:rPr>
      </w:pPr>
    </w:p>
    <w:p w:rsidR="006812A8" w:rsidRPr="002225BF" w:rsidRDefault="000C4E0A"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2</w:t>
      </w:r>
      <w:r w:rsidR="006812A8" w:rsidRPr="002225BF">
        <w:rPr>
          <w:rFonts w:ascii="Times New Roman" w:hAnsi="Times New Roman" w:cs="Times New Roman"/>
          <w:sz w:val="24"/>
          <w:szCs w:val="24"/>
        </w:rPr>
        <w:t>01</w:t>
      </w:r>
      <w:r w:rsidR="00974435">
        <w:rPr>
          <w:rFonts w:ascii="Times New Roman" w:hAnsi="Times New Roman" w:cs="Times New Roman"/>
          <w:sz w:val="24"/>
          <w:szCs w:val="24"/>
        </w:rPr>
        <w:t>4</w:t>
      </w:r>
      <w:r w:rsidR="006812A8" w:rsidRPr="002225BF">
        <w:rPr>
          <w:rFonts w:ascii="Times New Roman" w:hAnsi="Times New Roman" w:cs="Times New Roman"/>
          <w:sz w:val="24"/>
          <w:szCs w:val="24"/>
        </w:rPr>
        <w:t xml:space="preserve">.gada </w:t>
      </w:r>
      <w:r w:rsidR="00974435">
        <w:rPr>
          <w:rFonts w:ascii="Times New Roman" w:hAnsi="Times New Roman" w:cs="Times New Roman"/>
          <w:sz w:val="24"/>
          <w:szCs w:val="24"/>
        </w:rPr>
        <w:t>aprīlī</w:t>
      </w:r>
      <w:r w:rsidR="006812A8" w:rsidRPr="002225BF">
        <w:rPr>
          <w:rFonts w:ascii="Times New Roman" w:hAnsi="Times New Roman" w:cs="Times New Roman"/>
          <w:sz w:val="24"/>
          <w:szCs w:val="24"/>
        </w:rPr>
        <w:t xml:space="preserve"> partnervalstis apstiprināja Programmas projektu</w:t>
      </w:r>
      <w:r w:rsidR="00D22911" w:rsidRPr="002225BF">
        <w:rPr>
          <w:rFonts w:ascii="Times New Roman" w:hAnsi="Times New Roman" w:cs="Times New Roman"/>
          <w:sz w:val="24"/>
          <w:szCs w:val="24"/>
        </w:rPr>
        <w:t>, kas kopā ar stratēģiskā ietekmes uz vidi novērtējuma ziņojumu tika nodots publiskajai apspriešanai</w:t>
      </w:r>
      <w:r w:rsidR="006812A8" w:rsidRPr="002225BF">
        <w:rPr>
          <w:rFonts w:ascii="Times New Roman" w:hAnsi="Times New Roman" w:cs="Times New Roman"/>
          <w:sz w:val="24"/>
          <w:szCs w:val="24"/>
        </w:rPr>
        <w:t>. Latvijā publiskā apspriešana ti</w:t>
      </w:r>
      <w:r w:rsidR="00974435">
        <w:rPr>
          <w:rFonts w:ascii="Times New Roman" w:hAnsi="Times New Roman" w:cs="Times New Roman"/>
          <w:sz w:val="24"/>
          <w:szCs w:val="24"/>
        </w:rPr>
        <w:t>ek</w:t>
      </w:r>
      <w:r w:rsidR="006812A8" w:rsidRPr="002225BF">
        <w:rPr>
          <w:rFonts w:ascii="Times New Roman" w:hAnsi="Times New Roman" w:cs="Times New Roman"/>
          <w:sz w:val="24"/>
          <w:szCs w:val="24"/>
        </w:rPr>
        <w:t xml:space="preserve"> organizēta laikā no 2014.gada </w:t>
      </w:r>
      <w:r w:rsidR="00974435">
        <w:rPr>
          <w:rFonts w:ascii="Times New Roman" w:hAnsi="Times New Roman" w:cs="Times New Roman"/>
          <w:sz w:val="24"/>
          <w:szCs w:val="24"/>
        </w:rPr>
        <w:t>17</w:t>
      </w:r>
      <w:r w:rsidR="006812A8" w:rsidRPr="002225BF">
        <w:rPr>
          <w:rFonts w:ascii="Times New Roman" w:hAnsi="Times New Roman" w:cs="Times New Roman"/>
          <w:sz w:val="24"/>
          <w:szCs w:val="24"/>
        </w:rPr>
        <w:t>.</w:t>
      </w:r>
      <w:r w:rsidR="00974435">
        <w:rPr>
          <w:rFonts w:ascii="Times New Roman" w:hAnsi="Times New Roman" w:cs="Times New Roman"/>
          <w:sz w:val="24"/>
          <w:szCs w:val="24"/>
        </w:rPr>
        <w:t>aprīļa</w:t>
      </w:r>
      <w:r w:rsidR="006812A8" w:rsidRPr="002225BF">
        <w:rPr>
          <w:rFonts w:ascii="Times New Roman" w:hAnsi="Times New Roman" w:cs="Times New Roman"/>
          <w:sz w:val="24"/>
          <w:szCs w:val="24"/>
        </w:rPr>
        <w:t xml:space="preserve"> līdz 2014.gada 1</w:t>
      </w:r>
      <w:r w:rsidR="00974435">
        <w:rPr>
          <w:rFonts w:ascii="Times New Roman" w:hAnsi="Times New Roman" w:cs="Times New Roman"/>
          <w:sz w:val="24"/>
          <w:szCs w:val="24"/>
        </w:rPr>
        <w:t>6</w:t>
      </w:r>
      <w:r w:rsidR="006812A8" w:rsidRPr="002225BF">
        <w:rPr>
          <w:rFonts w:ascii="Times New Roman" w:hAnsi="Times New Roman" w:cs="Times New Roman"/>
          <w:sz w:val="24"/>
          <w:szCs w:val="24"/>
        </w:rPr>
        <w:t>.ma</w:t>
      </w:r>
      <w:r w:rsidR="00974435">
        <w:rPr>
          <w:rFonts w:ascii="Times New Roman" w:hAnsi="Times New Roman" w:cs="Times New Roman"/>
          <w:sz w:val="24"/>
          <w:szCs w:val="24"/>
        </w:rPr>
        <w:t>ij</w:t>
      </w:r>
      <w:r w:rsidR="006812A8" w:rsidRPr="002225BF">
        <w:rPr>
          <w:rFonts w:ascii="Times New Roman" w:hAnsi="Times New Roman" w:cs="Times New Roman"/>
          <w:sz w:val="24"/>
          <w:szCs w:val="24"/>
        </w:rPr>
        <w:t>am, savukārt sabiedriskās apspriedes sanāksme notik</w:t>
      </w:r>
      <w:r w:rsidR="00974435">
        <w:rPr>
          <w:rFonts w:ascii="Times New Roman" w:hAnsi="Times New Roman" w:cs="Times New Roman"/>
          <w:sz w:val="24"/>
          <w:szCs w:val="24"/>
        </w:rPr>
        <w:t>s</w:t>
      </w:r>
      <w:r w:rsidR="006812A8" w:rsidRPr="002225BF">
        <w:rPr>
          <w:rFonts w:ascii="Times New Roman" w:hAnsi="Times New Roman" w:cs="Times New Roman"/>
          <w:sz w:val="24"/>
          <w:szCs w:val="24"/>
        </w:rPr>
        <w:t xml:space="preserve"> 2014.gada </w:t>
      </w:r>
      <w:r w:rsidR="00974435">
        <w:rPr>
          <w:rFonts w:ascii="Times New Roman" w:hAnsi="Times New Roman" w:cs="Times New Roman"/>
          <w:sz w:val="24"/>
          <w:szCs w:val="24"/>
        </w:rPr>
        <w:t>6.maijā</w:t>
      </w:r>
      <w:r w:rsidR="006812A8" w:rsidRPr="002225BF">
        <w:rPr>
          <w:rFonts w:ascii="Times New Roman" w:hAnsi="Times New Roman" w:cs="Times New Roman"/>
          <w:sz w:val="24"/>
          <w:szCs w:val="24"/>
        </w:rPr>
        <w:t>.</w:t>
      </w:r>
    </w:p>
    <w:p w:rsidR="00471CBD" w:rsidRPr="002225BF" w:rsidRDefault="00471CBD" w:rsidP="00812325">
      <w:pPr>
        <w:ind w:left="-284" w:firstLine="284"/>
        <w:jc w:val="both"/>
        <w:rPr>
          <w:rFonts w:ascii="Times New Roman" w:hAnsi="Times New Roman" w:cs="Times New Roman"/>
          <w:sz w:val="24"/>
          <w:szCs w:val="24"/>
        </w:rPr>
      </w:pPr>
    </w:p>
    <w:p w:rsidR="00A51B0C" w:rsidRPr="002225BF" w:rsidRDefault="00A51B0C" w:rsidP="00812325">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2.</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Piedāvātais risinājums</w:t>
      </w:r>
    </w:p>
    <w:p w:rsidR="000C4E0A" w:rsidRPr="002225BF" w:rsidRDefault="000C4E0A" w:rsidP="00812325">
      <w:pPr>
        <w:ind w:left="-284" w:firstLine="284"/>
        <w:jc w:val="both"/>
        <w:rPr>
          <w:rFonts w:ascii="Times New Roman" w:hAnsi="Times New Roman" w:cs="Times New Roman"/>
          <w:b/>
          <w:sz w:val="24"/>
          <w:szCs w:val="24"/>
        </w:rPr>
      </w:pPr>
    </w:p>
    <w:p w:rsidR="00676213" w:rsidRPr="00974435" w:rsidRDefault="00676213"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u w:val="single"/>
        </w:rPr>
        <w:t>Programmas mērķis</w:t>
      </w:r>
      <w:r w:rsidRPr="002225BF">
        <w:rPr>
          <w:rFonts w:ascii="Times New Roman" w:hAnsi="Times New Roman" w:cs="Times New Roman"/>
          <w:sz w:val="24"/>
          <w:szCs w:val="24"/>
        </w:rPr>
        <w:t xml:space="preserve"> ir </w:t>
      </w:r>
      <w:r w:rsidR="00974435" w:rsidRPr="00974435">
        <w:rPr>
          <w:rFonts w:ascii="Times New Roman" w:eastAsia="Verdana" w:hAnsi="Times New Roman" w:cs="Times New Roman"/>
          <w:sz w:val="24"/>
          <w:szCs w:val="24"/>
        </w:rPr>
        <w:t>veicināt integrētu ilgtspējīgu attīstību un uzlabot reģionālās un kohēzijas politikas efektivitāti</w:t>
      </w:r>
      <w:r w:rsidRPr="00974435">
        <w:rPr>
          <w:rFonts w:ascii="Times New Roman" w:hAnsi="Times New Roman" w:cs="Times New Roman"/>
          <w:sz w:val="24"/>
          <w:szCs w:val="24"/>
        </w:rPr>
        <w:t>.</w:t>
      </w:r>
    </w:p>
    <w:p w:rsidR="00B00F99" w:rsidRPr="002225BF" w:rsidRDefault="00B00F99" w:rsidP="00812325">
      <w:pPr>
        <w:ind w:left="-284" w:firstLine="284"/>
        <w:jc w:val="both"/>
        <w:rPr>
          <w:rFonts w:ascii="Times New Roman" w:eastAsia="Arial" w:hAnsi="Times New Roman" w:cs="Times New Roman"/>
          <w:sz w:val="24"/>
          <w:szCs w:val="24"/>
        </w:rPr>
      </w:pPr>
    </w:p>
    <w:p w:rsidR="00812325" w:rsidRDefault="00E00DBA" w:rsidP="00812325">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Šī programma ietver visu Eiropas Savienības (ES), Norvēģijas un Šveices teritoriju. </w:t>
      </w:r>
    </w:p>
    <w:p w:rsidR="00812325" w:rsidRDefault="00812325" w:rsidP="00812325">
      <w:pPr>
        <w:ind w:left="0"/>
        <w:jc w:val="both"/>
        <w:rPr>
          <w:rFonts w:ascii="Times New Roman" w:hAnsi="Times New Roman" w:cs="Times New Roman"/>
          <w:sz w:val="24"/>
          <w:szCs w:val="24"/>
        </w:rPr>
      </w:pPr>
    </w:p>
    <w:p w:rsidR="00812325" w:rsidRPr="00CA251B" w:rsidRDefault="007A736F" w:rsidP="00812325">
      <w:pPr>
        <w:ind w:left="0"/>
        <w:jc w:val="both"/>
        <w:rPr>
          <w:rFonts w:ascii="Times New Roman" w:eastAsia="Verdana" w:hAnsi="Times New Roman" w:cs="Times New Roman"/>
          <w:color w:val="000000"/>
          <w:sz w:val="24"/>
          <w:szCs w:val="24"/>
        </w:rPr>
      </w:pPr>
      <w:r w:rsidRPr="007A736F">
        <w:rPr>
          <w:rFonts w:ascii="Times New Roman" w:hAnsi="Times New Roman" w:cs="Times New Roman"/>
          <w:sz w:val="24"/>
          <w:szCs w:val="24"/>
        </w:rPr>
        <w:t xml:space="preserve">Programmas partnervalstis vienojušās, ka </w:t>
      </w:r>
      <w:r w:rsidR="00686941">
        <w:rPr>
          <w:rFonts w:ascii="Times New Roman" w:eastAsia="Verdana" w:hAnsi="Times New Roman" w:cs="Times New Roman"/>
          <w:color w:val="000000"/>
          <w:sz w:val="24"/>
          <w:szCs w:val="24"/>
        </w:rPr>
        <w:t>URBACT</w:t>
      </w:r>
      <w:r w:rsidRPr="007A736F">
        <w:rPr>
          <w:rFonts w:ascii="Times New Roman" w:eastAsia="Verdana" w:hAnsi="Times New Roman" w:cs="Times New Roman"/>
          <w:color w:val="000000"/>
          <w:sz w:val="24"/>
          <w:szCs w:val="24"/>
        </w:rPr>
        <w:t>III tiks īstenota tematiskā mērķa</w:t>
      </w:r>
      <w:proofErr w:type="gramStart"/>
      <w:r w:rsidRPr="007A736F">
        <w:rPr>
          <w:rFonts w:ascii="Times New Roman" w:eastAsia="Verdana" w:hAnsi="Times New Roman" w:cs="Times New Roman"/>
          <w:color w:val="000000"/>
          <w:sz w:val="24"/>
          <w:szCs w:val="24"/>
        </w:rPr>
        <w:t xml:space="preserve"> </w:t>
      </w:r>
      <w:r>
        <w:rPr>
          <w:rFonts w:ascii="Times New Roman" w:eastAsia="Verdana" w:hAnsi="Times New Roman" w:cs="Times New Roman"/>
          <w:color w:val="000000"/>
          <w:sz w:val="24"/>
          <w:szCs w:val="24"/>
        </w:rPr>
        <w:t xml:space="preserve"> </w:t>
      </w:r>
      <w:proofErr w:type="gramEnd"/>
      <w:r w:rsidRPr="007A736F">
        <w:rPr>
          <w:rFonts w:ascii="Times New Roman" w:eastAsia="Verdana" w:hAnsi="Times New Roman" w:cs="Times New Roman"/>
          <w:color w:val="000000"/>
          <w:sz w:val="24"/>
          <w:szCs w:val="24"/>
        </w:rPr>
        <w:t xml:space="preserve">Nr. 11 „Institucionālo spēju un publiskās pārvaldes efektivitātes palielināšana” ietvaros fokusējoties uz zināšanu apmaiņu un apguvi jautājumiem, kas saistīti ar pieciem tematiskajiem mērķiem, kam tiks atvēlēta lielākā daļa </w:t>
      </w:r>
      <w:r w:rsidRPr="00935E89">
        <w:rPr>
          <w:rFonts w:ascii="Times New Roman" w:eastAsia="Verdana" w:hAnsi="Times New Roman" w:cs="Times New Roman"/>
          <w:b/>
          <w:color w:val="000000"/>
          <w:sz w:val="24"/>
          <w:szCs w:val="24"/>
        </w:rPr>
        <w:t>(70%)</w:t>
      </w:r>
      <w:r w:rsidRPr="007A736F">
        <w:rPr>
          <w:rFonts w:ascii="Times New Roman" w:eastAsia="Verdana" w:hAnsi="Times New Roman" w:cs="Times New Roman"/>
          <w:color w:val="000000"/>
          <w:sz w:val="24"/>
          <w:szCs w:val="24"/>
        </w:rPr>
        <w:t xml:space="preserve"> programmas resursu:</w:t>
      </w:r>
    </w:p>
    <w:p w:rsidR="007A736F" w:rsidRPr="00812325" w:rsidRDefault="007A736F" w:rsidP="00812325">
      <w:pPr>
        <w:pStyle w:val="ListParagraph"/>
        <w:numPr>
          <w:ilvl w:val="0"/>
          <w:numId w:val="10"/>
        </w:numPr>
        <w:jc w:val="both"/>
        <w:rPr>
          <w:rFonts w:ascii="Times New Roman" w:hAnsi="Times New Roman" w:cs="Times New Roman"/>
          <w:sz w:val="24"/>
          <w:szCs w:val="24"/>
        </w:rPr>
      </w:pPr>
      <w:r w:rsidRPr="00812325">
        <w:rPr>
          <w:rFonts w:ascii="Times New Roman" w:eastAsia="Verdana" w:hAnsi="Times New Roman" w:cs="Times New Roman"/>
          <w:sz w:val="24"/>
          <w:szCs w:val="24"/>
        </w:rPr>
        <w:t>pētniecības, tehnoloģiju attīstības un inovāciju veicināšana (TM1);</w:t>
      </w:r>
    </w:p>
    <w:p w:rsidR="007A736F" w:rsidRPr="00812325" w:rsidRDefault="007A736F" w:rsidP="00812325">
      <w:pPr>
        <w:pStyle w:val="ListParagraph"/>
        <w:numPr>
          <w:ilvl w:val="0"/>
          <w:numId w:val="10"/>
        </w:numPr>
        <w:jc w:val="both"/>
        <w:rPr>
          <w:rFonts w:ascii="Times New Roman" w:hAnsi="Times New Roman" w:cs="Times New Roman"/>
          <w:sz w:val="24"/>
          <w:szCs w:val="24"/>
        </w:rPr>
      </w:pPr>
      <w:r w:rsidRPr="00812325">
        <w:rPr>
          <w:rFonts w:ascii="Times New Roman" w:eastAsia="Verdana" w:hAnsi="Times New Roman" w:cs="Times New Roman"/>
          <w:sz w:val="24"/>
          <w:szCs w:val="24"/>
        </w:rPr>
        <w:t>pārejas uz ekonomiku ar zemu oglekļa dioksīda emisiju līmeni visās nozarēs atbalstīšana (TM4);</w:t>
      </w:r>
    </w:p>
    <w:p w:rsidR="007A736F" w:rsidRPr="00812325" w:rsidRDefault="007A736F" w:rsidP="00812325">
      <w:pPr>
        <w:pStyle w:val="ListParagraph"/>
        <w:numPr>
          <w:ilvl w:val="0"/>
          <w:numId w:val="10"/>
        </w:numPr>
        <w:jc w:val="both"/>
        <w:rPr>
          <w:rFonts w:ascii="Times New Roman" w:eastAsia="MS ??" w:hAnsi="Times New Roman" w:cs="Times New Roman"/>
          <w:sz w:val="24"/>
          <w:szCs w:val="24"/>
        </w:rPr>
      </w:pPr>
      <w:r w:rsidRPr="00812325">
        <w:rPr>
          <w:rFonts w:ascii="Times New Roman" w:eastAsia="Verdana" w:hAnsi="Times New Roman" w:cs="Times New Roman"/>
          <w:sz w:val="24"/>
          <w:szCs w:val="24"/>
        </w:rPr>
        <w:t>vides aizsardzība un resursu efektīvas izmantošanas veicināšana (TM6);</w:t>
      </w:r>
    </w:p>
    <w:p w:rsidR="007A736F" w:rsidRPr="00812325" w:rsidRDefault="007A736F" w:rsidP="00812325">
      <w:pPr>
        <w:pStyle w:val="ListParagraph"/>
        <w:numPr>
          <w:ilvl w:val="0"/>
          <w:numId w:val="10"/>
        </w:numPr>
        <w:jc w:val="both"/>
        <w:rPr>
          <w:rFonts w:ascii="Times New Roman" w:eastAsia="MS ??" w:hAnsi="Times New Roman" w:cs="Times New Roman"/>
          <w:sz w:val="24"/>
          <w:szCs w:val="24"/>
        </w:rPr>
      </w:pPr>
      <w:r w:rsidRPr="00812325">
        <w:rPr>
          <w:rFonts w:ascii="Times New Roman" w:eastAsia="Verdana" w:hAnsi="Times New Roman" w:cs="Times New Roman"/>
          <w:sz w:val="24"/>
          <w:szCs w:val="24"/>
        </w:rPr>
        <w:t>sociālās iekļaušanas un nabadzības apkarošanas veicināšana (TM9);</w:t>
      </w:r>
    </w:p>
    <w:p w:rsidR="00812325" w:rsidRPr="00CA251B" w:rsidRDefault="007A736F" w:rsidP="00CA251B">
      <w:pPr>
        <w:pStyle w:val="ListParagraph"/>
        <w:numPr>
          <w:ilvl w:val="0"/>
          <w:numId w:val="10"/>
        </w:numPr>
        <w:jc w:val="both"/>
        <w:rPr>
          <w:rFonts w:ascii="Times New Roman" w:eastAsia="Verdana" w:hAnsi="Times New Roman" w:cs="Times New Roman"/>
          <w:sz w:val="24"/>
          <w:szCs w:val="24"/>
        </w:rPr>
      </w:pPr>
      <w:r w:rsidRPr="00812325">
        <w:rPr>
          <w:rFonts w:ascii="Times New Roman" w:eastAsia="Verdana" w:hAnsi="Times New Roman" w:cs="Times New Roman"/>
          <w:sz w:val="24"/>
          <w:szCs w:val="24"/>
        </w:rPr>
        <w:t>nodarbinātību veicināšana un darbaspēka mobilitātes atbalstīšana (TM8).</w:t>
      </w:r>
    </w:p>
    <w:p w:rsidR="00812325" w:rsidRDefault="00256F5B" w:rsidP="00812325">
      <w:pPr>
        <w:ind w:left="0"/>
        <w:jc w:val="both"/>
        <w:rPr>
          <w:rFonts w:ascii="Times New Roman" w:hAnsi="Times New Roman"/>
          <w:color w:val="000000"/>
          <w:sz w:val="24"/>
        </w:rPr>
      </w:pPr>
      <w:r w:rsidRPr="002474FA">
        <w:rPr>
          <w:rFonts w:ascii="Times New Roman" w:eastAsia="Verdana" w:hAnsi="Times New Roman"/>
          <w:sz w:val="24"/>
        </w:rPr>
        <w:t>Koncentrācija tiks nodrošināta, organizējot atk</w:t>
      </w:r>
      <w:r w:rsidR="003E0DC8">
        <w:rPr>
          <w:rFonts w:ascii="Times New Roman" w:eastAsia="Verdana" w:hAnsi="Times New Roman"/>
          <w:sz w:val="24"/>
        </w:rPr>
        <w:t>lātos projektu konkursus URBACT</w:t>
      </w:r>
      <w:r w:rsidRPr="002474FA">
        <w:rPr>
          <w:rFonts w:ascii="Times New Roman" w:eastAsia="Verdana" w:hAnsi="Times New Roman"/>
          <w:sz w:val="24"/>
        </w:rPr>
        <w:t xml:space="preserve">III tīkliem. </w:t>
      </w:r>
    </w:p>
    <w:p w:rsidR="00812325" w:rsidRDefault="00812325" w:rsidP="00812325">
      <w:pPr>
        <w:ind w:left="0"/>
        <w:jc w:val="both"/>
        <w:rPr>
          <w:rFonts w:ascii="Times New Roman" w:hAnsi="Times New Roman"/>
          <w:color w:val="000000"/>
          <w:sz w:val="24"/>
        </w:rPr>
      </w:pPr>
    </w:p>
    <w:p w:rsidR="007A736F" w:rsidRPr="00812325" w:rsidRDefault="007A736F" w:rsidP="00812325">
      <w:pPr>
        <w:ind w:left="0"/>
        <w:jc w:val="both"/>
        <w:rPr>
          <w:rFonts w:ascii="Times New Roman" w:hAnsi="Times New Roman"/>
          <w:color w:val="000000"/>
          <w:sz w:val="24"/>
        </w:rPr>
      </w:pPr>
      <w:r w:rsidRPr="00812325">
        <w:rPr>
          <w:rFonts w:ascii="Times New Roman" w:eastAsia="Verdana" w:hAnsi="Times New Roman" w:cs="Times New Roman"/>
          <w:color w:val="000000"/>
          <w:sz w:val="24"/>
          <w:szCs w:val="24"/>
        </w:rPr>
        <w:t>Atlikušie 30% budžeta</w:t>
      </w:r>
      <w:r w:rsidRPr="007A736F">
        <w:rPr>
          <w:rFonts w:ascii="Times New Roman" w:eastAsia="Verdana" w:hAnsi="Times New Roman" w:cs="Times New Roman"/>
          <w:color w:val="000000"/>
          <w:sz w:val="24"/>
          <w:szCs w:val="24"/>
        </w:rPr>
        <w:t xml:space="preserve"> līdzekļu zināšanu apmaiņai un apguvei, tiks izmantoti jautājumiem, kas saistīti ar pārējiem pieciem tematiskajiem mērķiem atbilstoši pilsētu pieprasījumam. Šie tematiskie mērķi ir šādi:</w:t>
      </w:r>
    </w:p>
    <w:p w:rsidR="007A736F" w:rsidRPr="00812325" w:rsidRDefault="007A736F" w:rsidP="00812325">
      <w:pPr>
        <w:pStyle w:val="ListParagraph"/>
        <w:numPr>
          <w:ilvl w:val="0"/>
          <w:numId w:val="12"/>
        </w:numPr>
        <w:jc w:val="both"/>
        <w:rPr>
          <w:rFonts w:ascii="Times New Roman" w:hAnsi="Times New Roman" w:cs="Times New Roman"/>
          <w:color w:val="000000"/>
          <w:sz w:val="24"/>
          <w:szCs w:val="24"/>
        </w:rPr>
      </w:pPr>
      <w:r w:rsidRPr="00812325">
        <w:rPr>
          <w:rFonts w:ascii="Times New Roman" w:eastAsia="Verdana" w:hAnsi="Times New Roman" w:cs="Times New Roman"/>
          <w:color w:val="000000"/>
          <w:sz w:val="24"/>
          <w:szCs w:val="24"/>
        </w:rPr>
        <w:t>Informācijas un komunikāciju tehnoloģiju pieejamības, izmantošanas un kvalitātes veicināšana (TM2);</w:t>
      </w:r>
    </w:p>
    <w:p w:rsidR="007A736F" w:rsidRPr="00812325" w:rsidRDefault="007A736F" w:rsidP="00812325">
      <w:pPr>
        <w:pStyle w:val="ListParagraph"/>
        <w:numPr>
          <w:ilvl w:val="0"/>
          <w:numId w:val="12"/>
        </w:numPr>
        <w:spacing w:before="60" w:after="200" w:line="276" w:lineRule="auto"/>
        <w:jc w:val="both"/>
        <w:rPr>
          <w:rFonts w:ascii="Times New Roman" w:hAnsi="Times New Roman" w:cs="Times New Roman"/>
          <w:color w:val="000000"/>
          <w:sz w:val="24"/>
          <w:szCs w:val="24"/>
        </w:rPr>
      </w:pPr>
      <w:r w:rsidRPr="00812325">
        <w:rPr>
          <w:rFonts w:ascii="Times New Roman" w:eastAsia="Verdana" w:hAnsi="Times New Roman" w:cs="Times New Roman"/>
          <w:color w:val="000000"/>
          <w:sz w:val="24"/>
          <w:szCs w:val="24"/>
        </w:rPr>
        <w:t>MUV konkurētspējas uzlabošana (TM3);</w:t>
      </w:r>
    </w:p>
    <w:p w:rsidR="007A736F" w:rsidRPr="00812325" w:rsidRDefault="007A736F" w:rsidP="00812325">
      <w:pPr>
        <w:pStyle w:val="ListParagraph"/>
        <w:numPr>
          <w:ilvl w:val="0"/>
          <w:numId w:val="12"/>
        </w:numPr>
        <w:spacing w:before="60" w:after="200" w:line="276" w:lineRule="auto"/>
        <w:jc w:val="both"/>
        <w:rPr>
          <w:rFonts w:ascii="Times New Roman" w:hAnsi="Times New Roman" w:cs="Times New Roman"/>
          <w:color w:val="000000"/>
          <w:sz w:val="24"/>
          <w:szCs w:val="24"/>
        </w:rPr>
      </w:pPr>
      <w:r w:rsidRPr="00812325">
        <w:rPr>
          <w:rFonts w:ascii="Times New Roman" w:eastAsia="Verdana" w:hAnsi="Times New Roman" w:cs="Times New Roman"/>
          <w:color w:val="000000"/>
          <w:sz w:val="24"/>
          <w:szCs w:val="24"/>
        </w:rPr>
        <w:t>pielāgošanās klimata pārmaiņām, to riska novēršanas un pārvaldības veicināšana (TM5);</w:t>
      </w:r>
    </w:p>
    <w:p w:rsidR="007A736F" w:rsidRPr="00812325" w:rsidRDefault="007A736F" w:rsidP="00812325">
      <w:pPr>
        <w:pStyle w:val="ListParagraph"/>
        <w:numPr>
          <w:ilvl w:val="0"/>
          <w:numId w:val="12"/>
        </w:numPr>
        <w:spacing w:before="60" w:after="200" w:line="276" w:lineRule="auto"/>
        <w:jc w:val="both"/>
        <w:rPr>
          <w:rFonts w:ascii="Times New Roman" w:hAnsi="Times New Roman" w:cs="Times New Roman"/>
          <w:color w:val="000000"/>
          <w:sz w:val="24"/>
          <w:szCs w:val="24"/>
        </w:rPr>
      </w:pPr>
      <w:r w:rsidRPr="00812325">
        <w:rPr>
          <w:rFonts w:ascii="Times New Roman" w:eastAsia="Verdana" w:hAnsi="Times New Roman" w:cs="Times New Roman"/>
          <w:color w:val="000000"/>
          <w:sz w:val="24"/>
          <w:szCs w:val="24"/>
        </w:rPr>
        <w:lastRenderedPageBreak/>
        <w:t>ilgtspējīga transporta veicināšana un galveno tīkla infrastruktūru trūkumu novēršana (TM7);</w:t>
      </w:r>
    </w:p>
    <w:p w:rsidR="007A736F" w:rsidRPr="00812325" w:rsidRDefault="007A736F" w:rsidP="00812325">
      <w:pPr>
        <w:pStyle w:val="ListParagraph"/>
        <w:numPr>
          <w:ilvl w:val="0"/>
          <w:numId w:val="12"/>
        </w:numPr>
        <w:spacing w:before="60" w:after="200" w:line="276" w:lineRule="auto"/>
        <w:jc w:val="both"/>
        <w:rPr>
          <w:rFonts w:ascii="Times New Roman" w:hAnsi="Times New Roman" w:cs="Times New Roman"/>
          <w:color w:val="000000"/>
          <w:sz w:val="24"/>
          <w:szCs w:val="24"/>
        </w:rPr>
      </w:pPr>
      <w:r w:rsidRPr="00812325">
        <w:rPr>
          <w:rFonts w:ascii="Times New Roman" w:eastAsia="Verdana" w:hAnsi="Times New Roman" w:cs="Times New Roman"/>
          <w:color w:val="000000"/>
          <w:sz w:val="24"/>
          <w:szCs w:val="24"/>
        </w:rPr>
        <w:t>izveidojot izglītības un apmācību infrastruktūru investēt izglītībā, prasmju pilnveidošanā un mūžizglītībā (TM10).</w:t>
      </w:r>
    </w:p>
    <w:p w:rsidR="00702A2E" w:rsidRDefault="00702A2E" w:rsidP="002225BF">
      <w:pPr>
        <w:ind w:left="-284" w:firstLine="284"/>
        <w:jc w:val="both"/>
        <w:rPr>
          <w:rFonts w:ascii="Times New Roman" w:hAnsi="Times New Roman"/>
          <w:b/>
          <w:sz w:val="24"/>
        </w:rPr>
      </w:pPr>
      <w:r>
        <w:rPr>
          <w:rFonts w:ascii="Times New Roman" w:hAnsi="Times New Roman"/>
          <w:b/>
          <w:sz w:val="24"/>
        </w:rPr>
        <w:t>TM11 ietvaros programma tiks īstenota 2 prioritāros virzienos:</w:t>
      </w:r>
    </w:p>
    <w:p w:rsidR="00812325" w:rsidRDefault="00812325" w:rsidP="002225BF">
      <w:pPr>
        <w:ind w:left="-284" w:firstLine="284"/>
        <w:jc w:val="both"/>
        <w:rPr>
          <w:rFonts w:ascii="Times New Roman" w:hAnsi="Times New Roman"/>
          <w:b/>
          <w:sz w:val="24"/>
        </w:rPr>
      </w:pPr>
    </w:p>
    <w:p w:rsidR="00702A2E" w:rsidRPr="00702A2E" w:rsidRDefault="00106370" w:rsidP="00256F5B">
      <w:pPr>
        <w:pStyle w:val="ListParagraph"/>
        <w:numPr>
          <w:ilvl w:val="0"/>
          <w:numId w:val="8"/>
        </w:numPr>
        <w:ind w:left="426" w:right="254"/>
        <w:jc w:val="both"/>
        <w:rPr>
          <w:rFonts w:ascii="Times New Roman" w:hAnsi="Times New Roman"/>
          <w:b/>
          <w:sz w:val="24"/>
        </w:rPr>
      </w:pPr>
      <w:r w:rsidRPr="00702A2E">
        <w:rPr>
          <w:rFonts w:ascii="Times New Roman" w:hAnsi="Times New Roman"/>
          <w:b/>
          <w:sz w:val="24"/>
        </w:rPr>
        <w:t>Veicināt ilgtspējīgu pilsētu attīstību</w:t>
      </w:r>
      <w:r w:rsidR="00702A2E" w:rsidRPr="00702A2E">
        <w:rPr>
          <w:rFonts w:ascii="Times New Roman" w:hAnsi="Times New Roman"/>
          <w:b/>
          <w:sz w:val="24"/>
        </w:rPr>
        <w:t xml:space="preserve">, kā </w:t>
      </w:r>
      <w:r w:rsidR="00702A2E" w:rsidRPr="00702A2E">
        <w:rPr>
          <w:rFonts w:ascii="Times New Roman" w:eastAsia="Verdana" w:hAnsi="Times New Roman"/>
          <w:b/>
          <w:sz w:val="24"/>
        </w:rPr>
        <w:t>specifiskais mērķ</w:t>
      </w:r>
      <w:r w:rsidR="00702A2E">
        <w:rPr>
          <w:rFonts w:ascii="Times New Roman" w:eastAsia="Verdana" w:hAnsi="Times New Roman"/>
          <w:b/>
          <w:sz w:val="24"/>
        </w:rPr>
        <w:t>us izvirzot:</w:t>
      </w:r>
    </w:p>
    <w:p w:rsidR="00256F5B" w:rsidRDefault="00702A2E" w:rsidP="00256F5B">
      <w:pPr>
        <w:pStyle w:val="ListParagraph"/>
        <w:numPr>
          <w:ilvl w:val="1"/>
          <w:numId w:val="9"/>
        </w:numPr>
        <w:ind w:right="254"/>
        <w:jc w:val="both"/>
        <w:rPr>
          <w:rFonts w:ascii="Times New Roman" w:eastAsia="Verdana" w:hAnsi="Times New Roman"/>
          <w:sz w:val="24"/>
        </w:rPr>
      </w:pPr>
      <w:r w:rsidRPr="00702A2E">
        <w:rPr>
          <w:rFonts w:ascii="Times New Roman" w:eastAsia="Verdana" w:hAnsi="Times New Roman"/>
          <w:sz w:val="24"/>
        </w:rPr>
        <w:t>Uzlabot pilsētu kapacitāti pārvaldīt ilgtspējīgu pilsētu politiku un praksi, lai tā būtu integrēta un tiktu iesaistītas visas atbildīgās puses</w:t>
      </w:r>
      <w:r w:rsidR="00256F5B">
        <w:rPr>
          <w:rFonts w:ascii="Times New Roman" w:eastAsia="Verdana" w:hAnsi="Times New Roman"/>
          <w:sz w:val="24"/>
        </w:rPr>
        <w:t>;</w:t>
      </w:r>
    </w:p>
    <w:p w:rsidR="00256F5B" w:rsidRPr="00256F5B" w:rsidRDefault="00702A2E" w:rsidP="00256F5B">
      <w:pPr>
        <w:pStyle w:val="ListParagraph"/>
        <w:numPr>
          <w:ilvl w:val="1"/>
          <w:numId w:val="9"/>
        </w:numPr>
        <w:ind w:right="254"/>
        <w:jc w:val="both"/>
        <w:rPr>
          <w:rFonts w:ascii="Times New Roman" w:hAnsi="Times New Roman"/>
          <w:b/>
          <w:sz w:val="24"/>
        </w:rPr>
      </w:pPr>
      <w:r w:rsidRPr="00256F5B">
        <w:rPr>
          <w:rFonts w:ascii="Times New Roman" w:eastAsia="Verdana" w:hAnsi="Times New Roman"/>
          <w:sz w:val="24"/>
        </w:rPr>
        <w:t>Uzlabot ilgtspējīgu pilsētu stratēģiju un rīcības plānu kvalitāti</w:t>
      </w:r>
      <w:r w:rsidR="00256F5B" w:rsidRPr="00256F5B">
        <w:rPr>
          <w:rFonts w:ascii="Times New Roman" w:eastAsia="Verdana" w:hAnsi="Times New Roman"/>
          <w:sz w:val="24"/>
        </w:rPr>
        <w:t>”;</w:t>
      </w:r>
    </w:p>
    <w:p w:rsidR="00256F5B" w:rsidRPr="00256F5B" w:rsidRDefault="00256F5B" w:rsidP="00256F5B">
      <w:pPr>
        <w:pStyle w:val="ListParagraph"/>
        <w:numPr>
          <w:ilvl w:val="1"/>
          <w:numId w:val="9"/>
        </w:numPr>
        <w:ind w:right="254"/>
        <w:jc w:val="both"/>
        <w:rPr>
          <w:rFonts w:ascii="Times New Roman" w:hAnsi="Times New Roman"/>
          <w:b/>
          <w:sz w:val="24"/>
        </w:rPr>
      </w:pPr>
      <w:r w:rsidRPr="00256F5B">
        <w:rPr>
          <w:rFonts w:ascii="Times New Roman" w:eastAsia="Verdana" w:hAnsi="Times New Roman"/>
          <w:sz w:val="24"/>
        </w:rPr>
        <w:t>Uzlabot Ilgtspējīgu pilsētu stratēģiju un darbību īstenošanu;</w:t>
      </w:r>
    </w:p>
    <w:p w:rsidR="00256F5B" w:rsidRPr="00256F5B" w:rsidRDefault="00256F5B" w:rsidP="00256F5B">
      <w:pPr>
        <w:pStyle w:val="ListParagraph"/>
        <w:numPr>
          <w:ilvl w:val="1"/>
          <w:numId w:val="9"/>
        </w:numPr>
        <w:ind w:right="254"/>
        <w:jc w:val="both"/>
        <w:rPr>
          <w:rFonts w:ascii="Times New Roman" w:hAnsi="Times New Roman"/>
          <w:b/>
          <w:sz w:val="24"/>
        </w:rPr>
      </w:pPr>
      <w:r w:rsidRPr="00256F5B">
        <w:rPr>
          <w:rFonts w:ascii="Times New Roman" w:eastAsia="Verdana" w:hAnsi="Times New Roman"/>
          <w:sz w:val="24"/>
        </w:rPr>
        <w:t>Nodrošināt, ka speciālistiem un lēmumu pieņēmējiem pilsētu attīstības politiku uzlabošanai visos līmeņos ir pieejamas zināšanās un zinātība par visiem ilgtspējīgas pilsētu attīstības aspektiem.</w:t>
      </w:r>
    </w:p>
    <w:p w:rsidR="00256F5B" w:rsidRPr="00256F5B" w:rsidRDefault="00256F5B" w:rsidP="00256F5B">
      <w:pPr>
        <w:pStyle w:val="ListParagraph"/>
        <w:numPr>
          <w:ilvl w:val="0"/>
          <w:numId w:val="8"/>
        </w:numPr>
        <w:ind w:left="426" w:hanging="426"/>
        <w:jc w:val="both"/>
        <w:rPr>
          <w:rFonts w:ascii="Times New Roman" w:hAnsi="Times New Roman" w:cs="Times New Roman"/>
          <w:sz w:val="24"/>
          <w:szCs w:val="24"/>
        </w:rPr>
      </w:pPr>
      <w:r w:rsidRPr="00256F5B">
        <w:rPr>
          <w:rFonts w:ascii="Times New Roman" w:hAnsi="Times New Roman"/>
          <w:b/>
          <w:sz w:val="24"/>
        </w:rPr>
        <w:t xml:space="preserve">Tehniskā palīdzība - </w:t>
      </w:r>
      <w:r w:rsidRPr="00256F5B">
        <w:rPr>
          <w:rFonts w:ascii="Times New Roman" w:hAnsi="Times New Roman"/>
          <w:sz w:val="24"/>
        </w:rPr>
        <w:t>a</w:t>
      </w:r>
      <w:r w:rsidRPr="00256F5B">
        <w:rPr>
          <w:rFonts w:ascii="Times New Roman" w:hAnsi="Times New Roman" w:cs="Times New Roman"/>
          <w:sz w:val="24"/>
          <w:szCs w:val="24"/>
        </w:rPr>
        <w:t>tbalsts efektīvai Programmas ieviešanai.</w:t>
      </w:r>
    </w:p>
    <w:p w:rsidR="00812325" w:rsidRDefault="00812325" w:rsidP="00812325">
      <w:pPr>
        <w:ind w:left="-284"/>
        <w:jc w:val="both"/>
        <w:rPr>
          <w:rFonts w:ascii="Times New Roman" w:hAnsi="Times New Roman" w:cs="Times New Roman"/>
          <w:sz w:val="24"/>
          <w:szCs w:val="24"/>
        </w:rPr>
      </w:pPr>
    </w:p>
    <w:p w:rsidR="003C0DD8" w:rsidRPr="002225BF" w:rsidRDefault="00B00F99" w:rsidP="00812325">
      <w:pPr>
        <w:ind w:left="0"/>
        <w:jc w:val="both"/>
        <w:rPr>
          <w:rFonts w:ascii="Times New Roman" w:hAnsi="Times New Roman" w:cs="Times New Roman"/>
          <w:sz w:val="24"/>
          <w:szCs w:val="24"/>
        </w:rPr>
      </w:pPr>
      <w:r w:rsidRPr="00256F5B">
        <w:rPr>
          <w:rFonts w:ascii="Times New Roman" w:hAnsi="Times New Roman" w:cs="Times New Roman"/>
          <w:sz w:val="24"/>
          <w:szCs w:val="24"/>
        </w:rPr>
        <w:t>Programmas</w:t>
      </w:r>
      <w:r w:rsidRPr="002225BF">
        <w:rPr>
          <w:rFonts w:ascii="Times New Roman" w:hAnsi="Times New Roman" w:cs="Times New Roman"/>
          <w:sz w:val="24"/>
          <w:szCs w:val="24"/>
        </w:rPr>
        <w:t xml:space="preserve"> </w:t>
      </w:r>
      <w:r w:rsidR="00B674C4" w:rsidRPr="002225BF">
        <w:rPr>
          <w:rFonts w:ascii="Times New Roman" w:hAnsi="Times New Roman" w:cs="Times New Roman"/>
          <w:sz w:val="24"/>
          <w:szCs w:val="24"/>
        </w:rPr>
        <w:t>finansējuma</w:t>
      </w:r>
      <w:r w:rsidRPr="002225BF">
        <w:rPr>
          <w:rFonts w:ascii="Times New Roman" w:hAnsi="Times New Roman" w:cs="Times New Roman"/>
          <w:sz w:val="24"/>
          <w:szCs w:val="24"/>
        </w:rPr>
        <w:t xml:space="preserve"> saņēmēji var būt valsts, reģionālās un vietējās pašvaldības un iestādes (tai skaitā universitātes un zinātniskās institūcijas); </w:t>
      </w:r>
      <w:r w:rsidR="005D67F8" w:rsidRPr="002225BF">
        <w:rPr>
          <w:rFonts w:ascii="Times New Roman" w:hAnsi="Times New Roman" w:cs="Times New Roman"/>
          <w:sz w:val="24"/>
          <w:szCs w:val="24"/>
        </w:rPr>
        <w:t>nevalstiskās</w:t>
      </w:r>
      <w:r w:rsidRPr="002225BF">
        <w:rPr>
          <w:rFonts w:ascii="Times New Roman" w:hAnsi="Times New Roman" w:cs="Times New Roman"/>
          <w:sz w:val="24"/>
          <w:szCs w:val="24"/>
        </w:rPr>
        <w:t xml:space="preserve"> organizācijas.</w:t>
      </w:r>
    </w:p>
    <w:p w:rsidR="00812325" w:rsidRDefault="00812325" w:rsidP="00812325">
      <w:pPr>
        <w:ind w:left="0"/>
        <w:jc w:val="both"/>
        <w:rPr>
          <w:rFonts w:ascii="Times New Roman" w:hAnsi="Times New Roman" w:cs="Times New Roman"/>
          <w:sz w:val="24"/>
          <w:szCs w:val="24"/>
        </w:rPr>
      </w:pPr>
    </w:p>
    <w:p w:rsidR="00B00F99" w:rsidRPr="002225BF" w:rsidRDefault="00B00F99" w:rsidP="00812325">
      <w:pPr>
        <w:ind w:left="0"/>
        <w:jc w:val="both"/>
        <w:rPr>
          <w:rFonts w:ascii="Times New Roman" w:hAnsi="Times New Roman" w:cs="Times New Roman"/>
          <w:sz w:val="24"/>
          <w:szCs w:val="24"/>
        </w:rPr>
      </w:pPr>
      <w:r w:rsidRPr="002225BF">
        <w:rPr>
          <w:rFonts w:ascii="Times New Roman" w:hAnsi="Times New Roman" w:cs="Times New Roman"/>
          <w:sz w:val="24"/>
          <w:szCs w:val="24"/>
        </w:rPr>
        <w:t xml:space="preserve">Partnervalstis vienojušās, ka Programmas Vadošās iestādes/Kopīgā Sekretariāta </w:t>
      </w:r>
      <w:r w:rsidRPr="00524EE7">
        <w:rPr>
          <w:rFonts w:ascii="Times New Roman" w:hAnsi="Times New Roman" w:cs="Times New Roman"/>
          <w:sz w:val="24"/>
          <w:szCs w:val="24"/>
        </w:rPr>
        <w:t xml:space="preserve">funkcijas pildīs </w:t>
      </w:r>
      <w:r w:rsidR="00524EE7" w:rsidRPr="00524EE7">
        <w:rPr>
          <w:rFonts w:ascii="Times New Roman" w:hAnsi="Times New Roman"/>
          <w:i/>
          <w:sz w:val="24"/>
          <w:lang w:val="fr-FR"/>
        </w:rPr>
        <w:t>Commissariat Général à l’Egalité des Territoires</w:t>
      </w:r>
      <w:r w:rsidR="00140968" w:rsidRPr="00524EE7">
        <w:rPr>
          <w:rFonts w:ascii="Times New Roman" w:hAnsi="Times New Roman" w:cs="Times New Roman"/>
          <w:sz w:val="24"/>
          <w:szCs w:val="24"/>
        </w:rPr>
        <w:t xml:space="preserve">, </w:t>
      </w:r>
      <w:r w:rsidR="00524EE7" w:rsidRPr="00524EE7">
        <w:rPr>
          <w:rFonts w:ascii="Times New Roman" w:hAnsi="Times New Roman" w:cs="Times New Roman"/>
          <w:sz w:val="24"/>
          <w:szCs w:val="24"/>
        </w:rPr>
        <w:t>Parīz</w:t>
      </w:r>
      <w:r w:rsidR="00140968" w:rsidRPr="00524EE7">
        <w:rPr>
          <w:rFonts w:ascii="Times New Roman" w:hAnsi="Times New Roman" w:cs="Times New Roman"/>
          <w:sz w:val="24"/>
          <w:szCs w:val="24"/>
        </w:rPr>
        <w:t>ē, Francijā, nodrošinot sadarbības programmas pārvaldību</w:t>
      </w:r>
      <w:r w:rsidR="004161F1" w:rsidRPr="00524EE7">
        <w:rPr>
          <w:rFonts w:ascii="Times New Roman" w:hAnsi="Times New Roman" w:cs="Times New Roman"/>
          <w:sz w:val="24"/>
          <w:szCs w:val="24"/>
        </w:rPr>
        <w:t xml:space="preserve">, </w:t>
      </w:r>
      <w:r w:rsidR="00140968" w:rsidRPr="00524EE7">
        <w:rPr>
          <w:rFonts w:ascii="Times New Roman" w:hAnsi="Times New Roman" w:cs="Times New Roman"/>
          <w:sz w:val="24"/>
          <w:szCs w:val="24"/>
        </w:rPr>
        <w:t>ievēr</w:t>
      </w:r>
      <w:r w:rsidR="004161F1" w:rsidRPr="00524EE7">
        <w:rPr>
          <w:rFonts w:ascii="Times New Roman" w:hAnsi="Times New Roman" w:cs="Times New Roman"/>
          <w:sz w:val="24"/>
          <w:szCs w:val="24"/>
        </w:rPr>
        <w:t>o</w:t>
      </w:r>
      <w:r w:rsidR="00140968" w:rsidRPr="00524EE7">
        <w:rPr>
          <w:rFonts w:ascii="Times New Roman" w:hAnsi="Times New Roman" w:cs="Times New Roman"/>
          <w:sz w:val="24"/>
          <w:szCs w:val="24"/>
        </w:rPr>
        <w:t>jot pareizas finanšu pārvaldības principu. Partnervalstu nacionālās intereses tiks pārstāvētas, nodrošinot dalību Programmas Uzraudzības komitejā, pieņemot lēmumus par finansējuma piešķiršanu, kā arī uzraugot Programmas īstenošanas progresu.</w:t>
      </w:r>
    </w:p>
    <w:p w:rsidR="003C0DD8" w:rsidRPr="002225BF" w:rsidRDefault="003C0DD8" w:rsidP="002225BF">
      <w:pPr>
        <w:ind w:left="-284" w:firstLine="284"/>
        <w:jc w:val="both"/>
        <w:rPr>
          <w:rFonts w:ascii="Times New Roman" w:hAnsi="Times New Roman" w:cs="Times New Roman"/>
          <w:b/>
          <w:sz w:val="24"/>
          <w:szCs w:val="24"/>
        </w:rPr>
      </w:pPr>
    </w:p>
    <w:p w:rsidR="00A51B0C" w:rsidRPr="002225BF" w:rsidRDefault="00A51B0C" w:rsidP="00812325">
      <w:pPr>
        <w:ind w:left="0"/>
        <w:jc w:val="both"/>
        <w:rPr>
          <w:rFonts w:ascii="Times New Roman" w:hAnsi="Times New Roman" w:cs="Times New Roman"/>
          <w:b/>
          <w:sz w:val="24"/>
          <w:szCs w:val="24"/>
        </w:rPr>
      </w:pPr>
      <w:r w:rsidRPr="002225BF">
        <w:rPr>
          <w:rFonts w:ascii="Times New Roman" w:hAnsi="Times New Roman" w:cs="Times New Roman"/>
          <w:b/>
          <w:sz w:val="24"/>
          <w:szCs w:val="24"/>
        </w:rPr>
        <w:t>3.</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Politikas dokumenta īstenošanai papildus nepieciešamais finansējums un paredzētie finansēšanas avoti</w:t>
      </w:r>
    </w:p>
    <w:p w:rsidR="00676213" w:rsidRPr="002225BF" w:rsidRDefault="00676213" w:rsidP="002225BF">
      <w:pPr>
        <w:ind w:left="-284" w:firstLine="284"/>
        <w:jc w:val="both"/>
        <w:rPr>
          <w:rFonts w:ascii="Times New Roman" w:hAnsi="Times New Roman" w:cs="Times New Roman"/>
          <w:b/>
          <w:sz w:val="24"/>
          <w:szCs w:val="24"/>
        </w:rPr>
      </w:pPr>
    </w:p>
    <w:p w:rsidR="00676213" w:rsidRPr="00A62177" w:rsidRDefault="00524EE7" w:rsidP="00812325">
      <w:pPr>
        <w:ind w:left="0"/>
        <w:jc w:val="both"/>
        <w:rPr>
          <w:rFonts w:ascii="Times New Roman" w:hAnsi="Times New Roman"/>
          <w:sz w:val="24"/>
          <w:szCs w:val="24"/>
        </w:rPr>
      </w:pPr>
      <w:r w:rsidRPr="00A62177">
        <w:rPr>
          <w:rFonts w:ascii="Times New Roman" w:eastAsia="Verdana" w:hAnsi="Times New Roman"/>
          <w:sz w:val="24"/>
          <w:szCs w:val="24"/>
        </w:rPr>
        <w:t xml:space="preserve">Programmu līdzfinansē Eiropas Reģionālās attīstības fonds (ERAF), 2014.–2020. gadam piešķirtais budžets ir </w:t>
      </w:r>
      <w:r w:rsidR="004C472F" w:rsidRPr="00A62177">
        <w:rPr>
          <w:rFonts w:ascii="Times New Roman" w:hAnsi="Times New Roman"/>
          <w:color w:val="000000"/>
          <w:sz w:val="24"/>
          <w:szCs w:val="24"/>
        </w:rPr>
        <w:t xml:space="preserve">74 301 909 </w:t>
      </w:r>
      <w:r w:rsidR="004C472F" w:rsidRPr="00A62177">
        <w:rPr>
          <w:rFonts w:ascii="Times New Roman" w:eastAsia="Verdana" w:hAnsi="Times New Roman"/>
          <w:sz w:val="24"/>
          <w:szCs w:val="24"/>
        </w:rPr>
        <w:t>eu</w:t>
      </w:r>
      <w:r w:rsidRPr="00A62177">
        <w:rPr>
          <w:rFonts w:ascii="Times New Roman" w:eastAsia="Verdana" w:hAnsi="Times New Roman"/>
          <w:sz w:val="24"/>
          <w:szCs w:val="24"/>
        </w:rPr>
        <w:t>ro.</w:t>
      </w:r>
      <w:r w:rsidR="00256F6D" w:rsidRPr="00A62177">
        <w:rPr>
          <w:rFonts w:ascii="Times New Roman" w:hAnsi="Times New Roman"/>
          <w:sz w:val="24"/>
          <w:szCs w:val="24"/>
        </w:rPr>
        <w:t xml:space="preserve"> </w:t>
      </w:r>
      <w:r w:rsidR="004C472F" w:rsidRPr="00A62177">
        <w:rPr>
          <w:rFonts w:ascii="Times New Roman" w:hAnsi="Times New Roman"/>
          <w:color w:val="000000"/>
          <w:sz w:val="24"/>
          <w:szCs w:val="24"/>
        </w:rPr>
        <w:t xml:space="preserve">69 843 794 </w:t>
      </w:r>
      <w:r w:rsidR="004C472F" w:rsidRPr="00A62177">
        <w:rPr>
          <w:rFonts w:ascii="Times New Roman" w:hAnsi="Times New Roman" w:cs="Times New Roman"/>
          <w:sz w:val="24"/>
          <w:szCs w:val="24"/>
        </w:rPr>
        <w:t>eu</w:t>
      </w:r>
      <w:r w:rsidR="00140968" w:rsidRPr="00A62177">
        <w:rPr>
          <w:rFonts w:ascii="Times New Roman" w:hAnsi="Times New Roman" w:cs="Times New Roman"/>
          <w:sz w:val="24"/>
          <w:szCs w:val="24"/>
        </w:rPr>
        <w:t>ro</w:t>
      </w:r>
      <w:r w:rsidR="001143F0" w:rsidRPr="00A62177">
        <w:rPr>
          <w:rFonts w:ascii="Times New Roman" w:hAnsi="Times New Roman" w:cs="Times New Roman"/>
          <w:sz w:val="24"/>
          <w:szCs w:val="24"/>
        </w:rPr>
        <w:t xml:space="preserve"> no kopējā</w:t>
      </w:r>
      <w:r w:rsidR="00256F6D" w:rsidRPr="00A62177">
        <w:rPr>
          <w:rFonts w:ascii="Times New Roman" w:hAnsi="Times New Roman" w:cs="Times New Roman"/>
          <w:sz w:val="24"/>
          <w:szCs w:val="24"/>
        </w:rPr>
        <w:t xml:space="preserve"> ERAF budžeta tiks piešķirti 1.</w:t>
      </w:r>
      <w:r w:rsidR="001143F0" w:rsidRPr="00A62177">
        <w:rPr>
          <w:rFonts w:ascii="Times New Roman" w:hAnsi="Times New Roman" w:cs="Times New Roman"/>
          <w:sz w:val="24"/>
          <w:szCs w:val="24"/>
        </w:rPr>
        <w:t>prioritā</w:t>
      </w:r>
      <w:r w:rsidR="00256F6D" w:rsidRPr="00A62177">
        <w:rPr>
          <w:rFonts w:ascii="Times New Roman" w:hAnsi="Times New Roman" w:cs="Times New Roman"/>
          <w:sz w:val="24"/>
          <w:szCs w:val="24"/>
        </w:rPr>
        <w:t>rajam virzienam</w:t>
      </w:r>
      <w:r w:rsidR="001143F0" w:rsidRPr="00A62177">
        <w:rPr>
          <w:rFonts w:ascii="Times New Roman" w:hAnsi="Times New Roman" w:cs="Times New Roman"/>
          <w:sz w:val="24"/>
          <w:szCs w:val="24"/>
        </w:rPr>
        <w:t xml:space="preserve">, savukārt </w:t>
      </w:r>
      <w:r w:rsidR="004C472F" w:rsidRPr="00A62177">
        <w:rPr>
          <w:rFonts w:ascii="Times New Roman" w:hAnsi="Times New Roman"/>
          <w:color w:val="000000"/>
          <w:sz w:val="24"/>
          <w:szCs w:val="24"/>
        </w:rPr>
        <w:t xml:space="preserve">4 458 115 </w:t>
      </w:r>
      <w:r w:rsidR="004C472F" w:rsidRPr="00A62177">
        <w:rPr>
          <w:rFonts w:ascii="Times New Roman" w:hAnsi="Times New Roman" w:cs="Times New Roman"/>
          <w:sz w:val="24"/>
          <w:szCs w:val="24"/>
        </w:rPr>
        <w:t>eu</w:t>
      </w:r>
      <w:r w:rsidR="001143F0" w:rsidRPr="00A62177">
        <w:rPr>
          <w:rFonts w:ascii="Times New Roman" w:hAnsi="Times New Roman" w:cs="Times New Roman"/>
          <w:sz w:val="24"/>
          <w:szCs w:val="24"/>
        </w:rPr>
        <w:t xml:space="preserve">ro no ERAF </w:t>
      </w:r>
      <w:r w:rsidR="00256F6D" w:rsidRPr="00A62177">
        <w:rPr>
          <w:rFonts w:ascii="Times New Roman" w:hAnsi="Times New Roman" w:cs="Times New Roman"/>
          <w:sz w:val="24"/>
          <w:szCs w:val="24"/>
        </w:rPr>
        <w:t>Tehniskajai palīdzībai (2.prioritārais virziens)</w:t>
      </w:r>
      <w:r w:rsidR="001143F0" w:rsidRPr="00A62177">
        <w:rPr>
          <w:rFonts w:ascii="Times New Roman" w:hAnsi="Times New Roman" w:cs="Times New Roman"/>
          <w:sz w:val="24"/>
          <w:szCs w:val="24"/>
        </w:rPr>
        <w:t xml:space="preserve">. </w:t>
      </w:r>
    </w:p>
    <w:p w:rsidR="001143F0" w:rsidRPr="00A62177" w:rsidRDefault="001143F0" w:rsidP="00812325">
      <w:pPr>
        <w:ind w:left="0"/>
        <w:jc w:val="both"/>
        <w:rPr>
          <w:rFonts w:ascii="Times New Roman" w:hAnsi="Times New Roman" w:cs="Times New Roman"/>
          <w:sz w:val="24"/>
          <w:szCs w:val="24"/>
          <w:highlight w:val="yellow"/>
        </w:rPr>
      </w:pPr>
    </w:p>
    <w:p w:rsidR="001143F0" w:rsidRPr="00A62177" w:rsidRDefault="001143F0" w:rsidP="00812325">
      <w:pPr>
        <w:ind w:left="0"/>
        <w:jc w:val="both"/>
        <w:rPr>
          <w:rFonts w:ascii="Times New Roman" w:hAnsi="Times New Roman" w:cs="Times New Roman"/>
          <w:sz w:val="24"/>
          <w:szCs w:val="24"/>
        </w:rPr>
      </w:pPr>
      <w:r w:rsidRPr="00A62177">
        <w:rPr>
          <w:rFonts w:ascii="Times New Roman" w:hAnsi="Times New Roman" w:cs="Times New Roman"/>
          <w:sz w:val="24"/>
          <w:szCs w:val="24"/>
        </w:rPr>
        <w:t xml:space="preserve">ERAF līdzfinansējums </w:t>
      </w:r>
      <w:r w:rsidR="00256F6D" w:rsidRPr="00A62177">
        <w:rPr>
          <w:rFonts w:ascii="Times New Roman" w:hAnsi="Times New Roman" w:cs="Times New Roman"/>
          <w:sz w:val="24"/>
          <w:szCs w:val="24"/>
        </w:rPr>
        <w:t>projektu partneriem 1.</w:t>
      </w:r>
      <w:r w:rsidRPr="00A62177">
        <w:rPr>
          <w:rFonts w:ascii="Times New Roman" w:hAnsi="Times New Roman" w:cs="Times New Roman"/>
          <w:sz w:val="24"/>
          <w:szCs w:val="24"/>
        </w:rPr>
        <w:t>prioritā</w:t>
      </w:r>
      <w:r w:rsidR="00256F6D" w:rsidRPr="00A62177">
        <w:rPr>
          <w:rFonts w:ascii="Times New Roman" w:hAnsi="Times New Roman" w:cs="Times New Roman"/>
          <w:sz w:val="24"/>
          <w:szCs w:val="24"/>
        </w:rPr>
        <w:t>rā virziena</w:t>
      </w:r>
      <w:r w:rsidRPr="00A62177">
        <w:rPr>
          <w:rFonts w:ascii="Times New Roman" w:hAnsi="Times New Roman" w:cs="Times New Roman"/>
          <w:sz w:val="24"/>
          <w:szCs w:val="24"/>
        </w:rPr>
        <w:t xml:space="preserve"> ietvaros ir </w:t>
      </w:r>
      <w:r w:rsidR="004C472F" w:rsidRPr="00A62177">
        <w:rPr>
          <w:rFonts w:ascii="Times New Roman" w:hAnsi="Times New Roman"/>
          <w:color w:val="000000"/>
          <w:sz w:val="24"/>
          <w:szCs w:val="24"/>
        </w:rPr>
        <w:t>77</w:t>
      </w:r>
      <w:r w:rsidR="00256F6D" w:rsidRPr="00A62177">
        <w:rPr>
          <w:rFonts w:ascii="Times New Roman" w:hAnsi="Times New Roman"/>
          <w:color w:val="000000"/>
          <w:sz w:val="24"/>
          <w:szCs w:val="24"/>
        </w:rPr>
        <w:t>,1</w:t>
      </w:r>
      <w:r w:rsidR="004C472F" w:rsidRPr="00A62177">
        <w:rPr>
          <w:rFonts w:ascii="Times New Roman" w:hAnsi="Times New Roman"/>
          <w:color w:val="000000"/>
          <w:sz w:val="24"/>
          <w:szCs w:val="24"/>
        </w:rPr>
        <w:t>4</w:t>
      </w:r>
      <w:r w:rsidR="00256F6D" w:rsidRPr="00A62177">
        <w:rPr>
          <w:rFonts w:ascii="Times New Roman" w:hAnsi="Times New Roman"/>
          <w:color w:val="000000"/>
          <w:sz w:val="24"/>
          <w:szCs w:val="24"/>
        </w:rPr>
        <w:t>%</w:t>
      </w:r>
      <w:r w:rsidRPr="00A62177">
        <w:rPr>
          <w:rFonts w:ascii="Times New Roman" w:hAnsi="Times New Roman" w:cs="Times New Roman"/>
          <w:sz w:val="24"/>
          <w:szCs w:val="24"/>
        </w:rPr>
        <w:t xml:space="preserve"> apmērā no attiecināmajiem izdevumiem.</w:t>
      </w:r>
      <w:r w:rsidR="001927B8" w:rsidRPr="00A62177">
        <w:rPr>
          <w:rFonts w:ascii="Times New Roman" w:hAnsi="Times New Roman" w:cs="Times New Roman"/>
          <w:sz w:val="24"/>
          <w:szCs w:val="24"/>
        </w:rPr>
        <w:t xml:space="preserve"> ERAF līdzfinansējuma koeficients </w:t>
      </w:r>
      <w:r w:rsidR="00256F6D" w:rsidRPr="00A62177">
        <w:rPr>
          <w:rFonts w:ascii="Times New Roman" w:hAnsi="Times New Roman" w:cs="Times New Roman"/>
          <w:sz w:val="24"/>
          <w:szCs w:val="24"/>
        </w:rPr>
        <w:t>2.prioritārajam virzienam ir 55%</w:t>
      </w:r>
      <w:r w:rsidR="001927B8" w:rsidRPr="00A62177">
        <w:rPr>
          <w:rFonts w:ascii="Times New Roman" w:hAnsi="Times New Roman" w:cs="Times New Roman"/>
          <w:sz w:val="24"/>
          <w:szCs w:val="24"/>
        </w:rPr>
        <w:t>.</w:t>
      </w:r>
    </w:p>
    <w:p w:rsidR="003F3F01" w:rsidRPr="00A62177" w:rsidRDefault="003F3F01" w:rsidP="00812325">
      <w:pPr>
        <w:ind w:left="0"/>
        <w:jc w:val="both"/>
        <w:rPr>
          <w:rFonts w:ascii="Times New Roman" w:hAnsi="Times New Roman" w:cs="Times New Roman"/>
          <w:sz w:val="24"/>
          <w:szCs w:val="24"/>
          <w:highlight w:val="yellow"/>
        </w:rPr>
      </w:pPr>
    </w:p>
    <w:p w:rsidR="00B13CFA" w:rsidRPr="002225BF" w:rsidRDefault="0090295E" w:rsidP="00812325">
      <w:pPr>
        <w:ind w:left="0"/>
        <w:jc w:val="both"/>
        <w:rPr>
          <w:rFonts w:ascii="Times New Roman" w:hAnsi="Times New Roman" w:cs="Times New Roman"/>
          <w:color w:val="000000"/>
          <w:sz w:val="24"/>
          <w:szCs w:val="24"/>
        </w:rPr>
      </w:pPr>
      <w:r w:rsidRPr="00A62177">
        <w:rPr>
          <w:rFonts w:ascii="Times New Roman" w:hAnsi="Times New Roman" w:cs="Times New Roman"/>
          <w:sz w:val="24"/>
          <w:szCs w:val="24"/>
        </w:rPr>
        <w:t>Dalībvalstīm ir jānodrošina nacionālais līdzfinansējums Programmas Tehniskās palīdzības budžetam</w:t>
      </w:r>
      <w:r w:rsidR="00DE268E" w:rsidRPr="00A62177">
        <w:rPr>
          <w:rFonts w:ascii="Times New Roman" w:hAnsi="Times New Roman" w:cs="Times New Roman"/>
          <w:sz w:val="24"/>
          <w:szCs w:val="24"/>
        </w:rPr>
        <w:t xml:space="preserve"> septiņos ikgadējos maksājumos laikā no 201</w:t>
      </w:r>
      <w:r w:rsidR="00256F6D" w:rsidRPr="00A62177">
        <w:rPr>
          <w:rFonts w:ascii="Times New Roman" w:hAnsi="Times New Roman" w:cs="Times New Roman"/>
          <w:sz w:val="24"/>
          <w:szCs w:val="24"/>
        </w:rPr>
        <w:t>4</w:t>
      </w:r>
      <w:r w:rsidR="00DE268E" w:rsidRPr="00A62177">
        <w:rPr>
          <w:rFonts w:ascii="Times New Roman" w:hAnsi="Times New Roman" w:cs="Times New Roman"/>
          <w:sz w:val="24"/>
          <w:szCs w:val="24"/>
        </w:rPr>
        <w:t>.-202</w:t>
      </w:r>
      <w:r w:rsidR="00256F6D" w:rsidRPr="00A62177">
        <w:rPr>
          <w:rFonts w:ascii="Times New Roman" w:hAnsi="Times New Roman" w:cs="Times New Roman"/>
          <w:sz w:val="24"/>
          <w:szCs w:val="24"/>
        </w:rPr>
        <w:t>0</w:t>
      </w:r>
      <w:r w:rsidRPr="00A62177">
        <w:rPr>
          <w:rFonts w:ascii="Times New Roman" w:hAnsi="Times New Roman" w:cs="Times New Roman"/>
          <w:sz w:val="24"/>
          <w:szCs w:val="24"/>
        </w:rPr>
        <w:t>.</w:t>
      </w:r>
      <w:r w:rsidR="00DE268E" w:rsidRPr="00A62177">
        <w:rPr>
          <w:rFonts w:ascii="Times New Roman" w:hAnsi="Times New Roman" w:cs="Times New Roman"/>
          <w:sz w:val="24"/>
          <w:szCs w:val="24"/>
        </w:rPr>
        <w:t xml:space="preserve">gadam. Latvijai nacionālā līdzfinansējuma ikgadējās iemaksas </w:t>
      </w:r>
      <w:r w:rsidR="00B13CFA" w:rsidRPr="00A62177">
        <w:rPr>
          <w:rFonts w:ascii="Times New Roman" w:hAnsi="Times New Roman" w:cs="Times New Roman"/>
          <w:color w:val="000000"/>
          <w:sz w:val="24"/>
          <w:szCs w:val="24"/>
        </w:rPr>
        <w:t xml:space="preserve">Programmas Tehniskās palīdzības budžetā saskaņā </w:t>
      </w:r>
      <w:r w:rsidR="0030455E" w:rsidRPr="00A62177">
        <w:rPr>
          <w:rFonts w:ascii="Times New Roman" w:hAnsi="Times New Roman" w:cs="Times New Roman"/>
          <w:color w:val="000000"/>
          <w:sz w:val="24"/>
          <w:szCs w:val="24"/>
        </w:rPr>
        <w:t xml:space="preserve">ar </w:t>
      </w:r>
      <w:r w:rsidR="00B13CFA" w:rsidRPr="00A62177">
        <w:rPr>
          <w:rFonts w:ascii="Times New Roman" w:hAnsi="Times New Roman" w:cs="Times New Roman"/>
          <w:color w:val="000000"/>
          <w:sz w:val="24"/>
          <w:szCs w:val="24"/>
        </w:rPr>
        <w:t>Piekrišan</w:t>
      </w:r>
      <w:r w:rsidR="0030455E" w:rsidRPr="00A62177">
        <w:rPr>
          <w:rFonts w:ascii="Times New Roman" w:hAnsi="Times New Roman" w:cs="Times New Roman"/>
          <w:color w:val="000000"/>
          <w:sz w:val="24"/>
          <w:szCs w:val="24"/>
        </w:rPr>
        <w:t>as 2.pielikumā</w:t>
      </w:r>
      <w:r w:rsidR="00B13CFA" w:rsidRPr="00A62177">
        <w:rPr>
          <w:rFonts w:ascii="Times New Roman" w:hAnsi="Times New Roman" w:cs="Times New Roman"/>
          <w:color w:val="000000"/>
          <w:sz w:val="24"/>
          <w:szCs w:val="24"/>
        </w:rPr>
        <w:t xml:space="preserve"> noteikto</w:t>
      </w:r>
      <w:r w:rsidR="0030455E" w:rsidRPr="00A62177">
        <w:rPr>
          <w:rFonts w:ascii="Times New Roman" w:hAnsi="Times New Roman" w:cs="Times New Roman"/>
          <w:color w:val="000000"/>
          <w:sz w:val="24"/>
          <w:szCs w:val="24"/>
        </w:rPr>
        <w:t xml:space="preserve"> </w:t>
      </w:r>
      <w:r w:rsidR="00DE268E" w:rsidRPr="00A62177">
        <w:rPr>
          <w:rFonts w:ascii="Times New Roman" w:hAnsi="Times New Roman" w:cs="Times New Roman"/>
          <w:color w:val="000000"/>
          <w:sz w:val="24"/>
          <w:szCs w:val="24"/>
        </w:rPr>
        <w:t xml:space="preserve">jānodrošina </w:t>
      </w:r>
      <w:r w:rsidR="0032763F" w:rsidRPr="00A62177">
        <w:rPr>
          <w:rFonts w:ascii="Times New Roman" w:hAnsi="Times New Roman" w:cs="Times New Roman"/>
          <w:color w:val="000000"/>
          <w:sz w:val="24"/>
          <w:szCs w:val="24"/>
        </w:rPr>
        <w:t>2 222</w:t>
      </w:r>
      <w:r w:rsidR="0030455E" w:rsidRPr="00A62177">
        <w:rPr>
          <w:rFonts w:ascii="Times New Roman" w:hAnsi="Times New Roman" w:cs="Times New Roman"/>
          <w:color w:val="000000"/>
          <w:sz w:val="24"/>
          <w:szCs w:val="24"/>
        </w:rPr>
        <w:t xml:space="preserve"> e</w:t>
      </w:r>
      <w:r w:rsidR="00A62177" w:rsidRPr="00A62177">
        <w:rPr>
          <w:rFonts w:ascii="Times New Roman" w:hAnsi="Times New Roman" w:cs="Times New Roman"/>
          <w:color w:val="000000"/>
          <w:sz w:val="24"/>
          <w:szCs w:val="24"/>
        </w:rPr>
        <w:t>u</w:t>
      </w:r>
      <w:r w:rsidR="0030455E" w:rsidRPr="00A62177">
        <w:rPr>
          <w:rFonts w:ascii="Times New Roman" w:hAnsi="Times New Roman" w:cs="Times New Roman"/>
          <w:color w:val="000000"/>
          <w:sz w:val="24"/>
          <w:szCs w:val="24"/>
        </w:rPr>
        <w:t>ro apmērā</w:t>
      </w:r>
      <w:r w:rsidR="00B13CFA" w:rsidRPr="00A62177">
        <w:rPr>
          <w:rFonts w:ascii="Times New Roman" w:hAnsi="Times New Roman" w:cs="Times New Roman"/>
          <w:color w:val="000000"/>
          <w:sz w:val="24"/>
          <w:szCs w:val="24"/>
        </w:rPr>
        <w:t>, nepārsniedzot kopējo nacionālā līdzfinansējuma summu</w:t>
      </w:r>
      <w:r w:rsidR="0030455E" w:rsidRPr="0032763F">
        <w:rPr>
          <w:rFonts w:ascii="Times New Roman" w:hAnsi="Times New Roman" w:cs="Times New Roman"/>
          <w:color w:val="000000"/>
          <w:sz w:val="24"/>
          <w:szCs w:val="24"/>
        </w:rPr>
        <w:t xml:space="preserve"> </w:t>
      </w:r>
      <w:r w:rsidR="0032763F" w:rsidRPr="0032763F">
        <w:rPr>
          <w:rFonts w:ascii="Times New Roman" w:hAnsi="Times New Roman" w:cs="Times New Roman"/>
          <w:color w:val="000000"/>
          <w:sz w:val="24"/>
          <w:szCs w:val="24"/>
        </w:rPr>
        <w:t>15 55</w:t>
      </w:r>
      <w:r w:rsidR="00C07560">
        <w:rPr>
          <w:rFonts w:ascii="Times New Roman" w:hAnsi="Times New Roman" w:cs="Times New Roman"/>
          <w:color w:val="000000"/>
          <w:sz w:val="24"/>
          <w:szCs w:val="24"/>
        </w:rPr>
        <w:t>1</w:t>
      </w:r>
      <w:r w:rsidR="003E0DC8">
        <w:rPr>
          <w:rFonts w:ascii="Times New Roman" w:hAnsi="Times New Roman" w:cs="Times New Roman"/>
          <w:color w:val="000000"/>
          <w:sz w:val="24"/>
          <w:szCs w:val="24"/>
        </w:rPr>
        <w:t xml:space="preserve"> eu</w:t>
      </w:r>
      <w:r w:rsidR="0030455E" w:rsidRPr="0032763F">
        <w:rPr>
          <w:rFonts w:ascii="Times New Roman" w:hAnsi="Times New Roman" w:cs="Times New Roman"/>
          <w:color w:val="000000"/>
          <w:sz w:val="24"/>
          <w:szCs w:val="24"/>
        </w:rPr>
        <w:t>ro</w:t>
      </w:r>
      <w:r w:rsidR="00B13CFA" w:rsidRPr="0032763F">
        <w:rPr>
          <w:rFonts w:ascii="Times New Roman" w:hAnsi="Times New Roman" w:cs="Times New Roman"/>
          <w:color w:val="000000"/>
          <w:sz w:val="24"/>
          <w:szCs w:val="24"/>
        </w:rPr>
        <w:t>.</w:t>
      </w:r>
    </w:p>
    <w:p w:rsidR="0090295E" w:rsidRPr="002225BF" w:rsidRDefault="0090295E" w:rsidP="00BF620B">
      <w:pPr>
        <w:ind w:left="0"/>
        <w:jc w:val="both"/>
        <w:rPr>
          <w:rFonts w:ascii="Times New Roman" w:hAnsi="Times New Roman" w:cs="Times New Roman"/>
          <w:sz w:val="24"/>
          <w:szCs w:val="24"/>
        </w:rPr>
      </w:pPr>
    </w:p>
    <w:p w:rsidR="00B13CFA" w:rsidRPr="002225BF" w:rsidRDefault="0018547D" w:rsidP="00812325">
      <w:pPr>
        <w:tabs>
          <w:tab w:val="left" w:pos="5820"/>
        </w:tabs>
        <w:ind w:left="-284" w:firstLine="284"/>
        <w:jc w:val="both"/>
        <w:rPr>
          <w:rFonts w:ascii="Times New Roman" w:hAnsi="Times New Roman" w:cs="Times New Roman"/>
          <w:sz w:val="20"/>
          <w:szCs w:val="20"/>
        </w:rPr>
      </w:pPr>
      <w:r>
        <w:rPr>
          <w:rFonts w:ascii="Times New Roman" w:hAnsi="Times New Roman" w:cs="Times New Roman"/>
          <w:sz w:val="20"/>
          <w:szCs w:val="20"/>
        </w:rPr>
        <w:t>03</w:t>
      </w:r>
      <w:r w:rsidR="00B13CFA" w:rsidRPr="002225BF">
        <w:rPr>
          <w:rFonts w:ascii="Times New Roman" w:hAnsi="Times New Roman" w:cs="Times New Roman"/>
          <w:sz w:val="20"/>
          <w:szCs w:val="20"/>
        </w:rPr>
        <w:t>.0</w:t>
      </w:r>
      <w:r w:rsidR="00686941">
        <w:rPr>
          <w:rFonts w:ascii="Times New Roman" w:hAnsi="Times New Roman" w:cs="Times New Roman"/>
          <w:sz w:val="20"/>
          <w:szCs w:val="20"/>
        </w:rPr>
        <w:t>7</w:t>
      </w:r>
      <w:r w:rsidR="00B13CFA" w:rsidRPr="002225BF">
        <w:rPr>
          <w:rFonts w:ascii="Times New Roman" w:hAnsi="Times New Roman" w:cs="Times New Roman"/>
          <w:sz w:val="20"/>
          <w:szCs w:val="20"/>
        </w:rPr>
        <w:t>.2014.</w:t>
      </w:r>
      <w:r w:rsidR="00B13CFA" w:rsidRPr="002225BF">
        <w:rPr>
          <w:rFonts w:ascii="Times New Roman" w:hAnsi="Times New Roman" w:cs="Times New Roman"/>
          <w:sz w:val="20"/>
          <w:szCs w:val="20"/>
        </w:rPr>
        <w:tab/>
      </w:r>
    </w:p>
    <w:p w:rsidR="00B13CFA" w:rsidRPr="002225BF" w:rsidRDefault="0030334B" w:rsidP="00812325">
      <w:pPr>
        <w:tabs>
          <w:tab w:val="left" w:pos="2985"/>
        </w:tabs>
        <w:ind w:left="-284" w:firstLine="284"/>
        <w:jc w:val="both"/>
        <w:rPr>
          <w:rFonts w:ascii="Times New Roman" w:hAnsi="Times New Roman" w:cs="Times New Roman"/>
          <w:sz w:val="20"/>
          <w:szCs w:val="20"/>
        </w:rPr>
      </w:pPr>
      <w:r>
        <w:rPr>
          <w:rFonts w:ascii="Times New Roman" w:hAnsi="Times New Roman" w:cs="Times New Roman"/>
          <w:sz w:val="20"/>
          <w:szCs w:val="20"/>
        </w:rPr>
        <w:t>9</w:t>
      </w:r>
      <w:r w:rsidR="00A62177">
        <w:rPr>
          <w:rFonts w:ascii="Times New Roman" w:hAnsi="Times New Roman" w:cs="Times New Roman"/>
          <w:sz w:val="20"/>
          <w:szCs w:val="20"/>
        </w:rPr>
        <w:t>7</w:t>
      </w:r>
      <w:r w:rsidR="0018547D">
        <w:rPr>
          <w:rFonts w:ascii="Times New Roman" w:hAnsi="Times New Roman" w:cs="Times New Roman"/>
          <w:sz w:val="20"/>
          <w:szCs w:val="20"/>
        </w:rPr>
        <w:t>2</w:t>
      </w:r>
      <w:r w:rsidR="00B13CFA" w:rsidRPr="002225BF">
        <w:rPr>
          <w:rFonts w:ascii="Times New Roman" w:hAnsi="Times New Roman" w:cs="Times New Roman"/>
          <w:sz w:val="20"/>
          <w:szCs w:val="20"/>
        </w:rPr>
        <w:tab/>
      </w:r>
    </w:p>
    <w:p w:rsidR="00B13CFA" w:rsidRPr="002225BF" w:rsidRDefault="0030334B" w:rsidP="00812325">
      <w:pPr>
        <w:ind w:left="-284" w:firstLine="284"/>
        <w:jc w:val="both"/>
        <w:rPr>
          <w:rFonts w:ascii="Times New Roman" w:hAnsi="Times New Roman" w:cs="Times New Roman"/>
          <w:sz w:val="20"/>
          <w:szCs w:val="20"/>
        </w:rPr>
      </w:pPr>
      <w:r>
        <w:rPr>
          <w:rFonts w:ascii="Times New Roman" w:hAnsi="Times New Roman" w:cs="Times New Roman"/>
          <w:sz w:val="20"/>
          <w:szCs w:val="20"/>
        </w:rPr>
        <w:t>V.Prokopoviča</w:t>
      </w:r>
      <w:r w:rsidR="00B13CFA" w:rsidRPr="002225BF">
        <w:rPr>
          <w:rFonts w:ascii="Times New Roman" w:hAnsi="Times New Roman" w:cs="Times New Roman"/>
          <w:sz w:val="20"/>
          <w:szCs w:val="20"/>
        </w:rPr>
        <w:t>, 6702647</w:t>
      </w:r>
      <w:r>
        <w:rPr>
          <w:rFonts w:ascii="Times New Roman" w:hAnsi="Times New Roman" w:cs="Times New Roman"/>
          <w:sz w:val="20"/>
          <w:szCs w:val="20"/>
        </w:rPr>
        <w:t>1</w:t>
      </w:r>
    </w:p>
    <w:p w:rsidR="00DC398B" w:rsidRPr="002225BF" w:rsidRDefault="00F26161" w:rsidP="00812325">
      <w:pPr>
        <w:ind w:left="-284" w:firstLine="284"/>
        <w:jc w:val="both"/>
        <w:rPr>
          <w:rFonts w:ascii="Times New Roman" w:hAnsi="Times New Roman" w:cs="Times New Roman"/>
          <w:b/>
          <w:sz w:val="20"/>
          <w:szCs w:val="20"/>
        </w:rPr>
      </w:pPr>
      <w:hyperlink r:id="rId7" w:history="1">
        <w:r w:rsidR="0030334B" w:rsidRPr="00031431">
          <w:rPr>
            <w:rStyle w:val="Hyperlink"/>
            <w:rFonts w:ascii="Times New Roman" w:hAnsi="Times New Roman" w:cs="Times New Roman"/>
            <w:sz w:val="20"/>
            <w:szCs w:val="20"/>
          </w:rPr>
          <w:t>vita.prokopovica@varam.gov.lv</w:t>
        </w:r>
      </w:hyperlink>
    </w:p>
    <w:sectPr w:rsidR="00DC398B" w:rsidRPr="002225BF" w:rsidSect="003C0DD8">
      <w:footerReference w:type="default" r:id="rId8"/>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08" w:rsidRDefault="00876508" w:rsidP="00B13CFA">
      <w:r>
        <w:separator/>
      </w:r>
    </w:p>
  </w:endnote>
  <w:endnote w:type="continuationSeparator" w:id="0">
    <w:p w:rsidR="00876508" w:rsidRDefault="00876508" w:rsidP="00B1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A" w:rsidRPr="007E4149" w:rsidRDefault="00686941" w:rsidP="00B13CFA">
    <w:pPr>
      <w:pStyle w:val="BodyText"/>
      <w:jc w:val="both"/>
      <w:rPr>
        <w:sz w:val="20"/>
        <w:szCs w:val="20"/>
      </w:rPr>
    </w:pPr>
    <w:r>
      <w:rPr>
        <w:sz w:val="20"/>
        <w:szCs w:val="20"/>
      </w:rPr>
      <w:t>VARAMK</w:t>
    </w:r>
    <w:r w:rsidR="00B13CFA">
      <w:rPr>
        <w:sz w:val="20"/>
        <w:szCs w:val="20"/>
      </w:rPr>
      <w:t>opsv</w:t>
    </w:r>
    <w:r w:rsidR="00B13CFA" w:rsidRPr="00391DA4">
      <w:rPr>
        <w:sz w:val="20"/>
        <w:szCs w:val="20"/>
      </w:rPr>
      <w:t>_</w:t>
    </w:r>
    <w:r w:rsidR="0018547D">
      <w:rPr>
        <w:sz w:val="20"/>
        <w:szCs w:val="20"/>
      </w:rPr>
      <w:t>03</w:t>
    </w:r>
    <w:r w:rsidR="00B13CFA" w:rsidRPr="00391DA4">
      <w:rPr>
        <w:sz w:val="20"/>
        <w:szCs w:val="20"/>
      </w:rPr>
      <w:t>0</w:t>
    </w:r>
    <w:r>
      <w:rPr>
        <w:sz w:val="20"/>
        <w:szCs w:val="20"/>
      </w:rPr>
      <w:t>7</w:t>
    </w:r>
    <w:r w:rsidR="00B13CFA" w:rsidRPr="00391DA4">
      <w:rPr>
        <w:sz w:val="20"/>
        <w:szCs w:val="20"/>
      </w:rPr>
      <w:t>14</w:t>
    </w:r>
    <w:r w:rsidR="00D1395B">
      <w:rPr>
        <w:sz w:val="20"/>
        <w:szCs w:val="20"/>
      </w:rPr>
      <w:t>_URBACT</w:t>
    </w:r>
    <w:r w:rsidR="00B13CFA" w:rsidRPr="00391DA4">
      <w:rPr>
        <w:sz w:val="20"/>
        <w:szCs w:val="20"/>
      </w:rPr>
      <w:t xml:space="preserve">; </w:t>
    </w:r>
    <w:r w:rsidR="00B13CFA">
      <w:rPr>
        <w:sz w:val="20"/>
        <w:szCs w:val="20"/>
      </w:rPr>
      <w:t xml:space="preserve">Starpreģionu sadarbības programmas </w:t>
    </w:r>
    <w:r w:rsidR="00974435">
      <w:rPr>
        <w:sz w:val="20"/>
        <w:szCs w:val="20"/>
      </w:rPr>
      <w:t xml:space="preserve">URBACTIII </w:t>
    </w:r>
    <w:r w:rsidR="00B13CFA" w:rsidRPr="009F363C">
      <w:rPr>
        <w:noProof/>
        <w:sz w:val="20"/>
        <w:szCs w:val="20"/>
      </w:rPr>
      <w:t>2014.–2020.</w:t>
    </w:r>
    <w:r w:rsidR="00B13CFA" w:rsidRPr="009F363C">
      <w:rPr>
        <w:sz w:val="20"/>
        <w:szCs w:val="20"/>
      </w:rPr>
      <w:t xml:space="preserve"> gadam projekta </w:t>
    </w:r>
    <w:r w:rsidR="00B13CFA">
      <w:rPr>
        <w:sz w:val="20"/>
        <w:szCs w:val="20"/>
      </w:rPr>
      <w:t>kopsavilkums</w:t>
    </w:r>
  </w:p>
  <w:p w:rsidR="00B13CFA" w:rsidRDefault="00B13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08" w:rsidRDefault="00876508" w:rsidP="00B13CFA">
      <w:r>
        <w:separator/>
      </w:r>
    </w:p>
  </w:footnote>
  <w:footnote w:type="continuationSeparator" w:id="0">
    <w:p w:rsidR="00876508" w:rsidRDefault="00876508" w:rsidP="00B13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654774F"/>
    <w:multiLevelType w:val="hybridMultilevel"/>
    <w:tmpl w:val="0A3041CA"/>
    <w:lvl w:ilvl="0" w:tplc="67E2D0AC">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3855EB"/>
    <w:multiLevelType w:val="hybridMultilevel"/>
    <w:tmpl w:val="BCC68FA8"/>
    <w:lvl w:ilvl="0" w:tplc="67E2D0AC">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EB7ED3"/>
    <w:multiLevelType w:val="hybridMultilevel"/>
    <w:tmpl w:val="90D6F2D6"/>
    <w:lvl w:ilvl="0" w:tplc="ADF40830">
      <w:start w:val="3"/>
      <w:numFmt w:val="bullet"/>
      <w:lvlText w:val="-"/>
      <w:lvlJc w:val="left"/>
      <w:pPr>
        <w:ind w:left="1068" w:hanging="360"/>
      </w:pPr>
      <w:rPr>
        <w:rFonts w:ascii="Arial" w:eastAsia="Calibri" w:hAnsi="Arial" w:cs="Arial"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4">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5">
    <w:nsid w:val="45DD02B8"/>
    <w:multiLevelType w:val="multilevel"/>
    <w:tmpl w:val="A8DEE6D2"/>
    <w:lvl w:ilvl="0">
      <w:start w:val="1"/>
      <w:numFmt w:val="decimal"/>
      <w:lvlText w:val="%1."/>
      <w:lvlJc w:val="left"/>
      <w:pPr>
        <w:ind w:left="450" w:hanging="450"/>
      </w:pPr>
      <w:rPr>
        <w:rFonts w:hint="default"/>
        <w:b/>
      </w:rPr>
    </w:lvl>
    <w:lvl w:ilvl="1">
      <w:start w:val="1"/>
      <w:numFmt w:val="decimal"/>
      <w:lvlText w:val="%1.%2."/>
      <w:lvlJc w:val="left"/>
      <w:pPr>
        <w:ind w:left="876" w:hanging="45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nsid w:val="584232A0"/>
    <w:multiLevelType w:val="hybridMultilevel"/>
    <w:tmpl w:val="BF4447C4"/>
    <w:lvl w:ilvl="0" w:tplc="B5645180">
      <w:start w:val="1"/>
      <w:numFmt w:val="bullet"/>
      <w:lvlText w:val=""/>
      <w:lvlJc w:val="left"/>
      <w:pPr>
        <w:tabs>
          <w:tab w:val="num" w:pos="720"/>
        </w:tabs>
        <w:ind w:left="720" w:hanging="360"/>
      </w:pPr>
      <w:rPr>
        <w:rFonts w:ascii="Wingdings" w:hAnsi="Wingdings" w:hint="default"/>
      </w:rPr>
    </w:lvl>
    <w:lvl w:ilvl="1" w:tplc="22AA3654" w:tentative="1">
      <w:start w:val="1"/>
      <w:numFmt w:val="bullet"/>
      <w:lvlText w:val=""/>
      <w:lvlJc w:val="left"/>
      <w:pPr>
        <w:tabs>
          <w:tab w:val="num" w:pos="1440"/>
        </w:tabs>
        <w:ind w:left="1440" w:hanging="360"/>
      </w:pPr>
      <w:rPr>
        <w:rFonts w:ascii="Wingdings" w:hAnsi="Wingdings" w:hint="default"/>
      </w:rPr>
    </w:lvl>
    <w:lvl w:ilvl="2" w:tplc="A8C2A4EE" w:tentative="1">
      <w:start w:val="1"/>
      <w:numFmt w:val="bullet"/>
      <w:lvlText w:val=""/>
      <w:lvlJc w:val="left"/>
      <w:pPr>
        <w:tabs>
          <w:tab w:val="num" w:pos="2160"/>
        </w:tabs>
        <w:ind w:left="2160" w:hanging="360"/>
      </w:pPr>
      <w:rPr>
        <w:rFonts w:ascii="Wingdings" w:hAnsi="Wingdings" w:hint="default"/>
      </w:rPr>
    </w:lvl>
    <w:lvl w:ilvl="3" w:tplc="C3146E30" w:tentative="1">
      <w:start w:val="1"/>
      <w:numFmt w:val="bullet"/>
      <w:lvlText w:val=""/>
      <w:lvlJc w:val="left"/>
      <w:pPr>
        <w:tabs>
          <w:tab w:val="num" w:pos="2880"/>
        </w:tabs>
        <w:ind w:left="2880" w:hanging="360"/>
      </w:pPr>
      <w:rPr>
        <w:rFonts w:ascii="Wingdings" w:hAnsi="Wingdings" w:hint="default"/>
      </w:rPr>
    </w:lvl>
    <w:lvl w:ilvl="4" w:tplc="99B65044" w:tentative="1">
      <w:start w:val="1"/>
      <w:numFmt w:val="bullet"/>
      <w:lvlText w:val=""/>
      <w:lvlJc w:val="left"/>
      <w:pPr>
        <w:tabs>
          <w:tab w:val="num" w:pos="3600"/>
        </w:tabs>
        <w:ind w:left="3600" w:hanging="360"/>
      </w:pPr>
      <w:rPr>
        <w:rFonts w:ascii="Wingdings" w:hAnsi="Wingdings" w:hint="default"/>
      </w:rPr>
    </w:lvl>
    <w:lvl w:ilvl="5" w:tplc="BFF4AB02" w:tentative="1">
      <w:start w:val="1"/>
      <w:numFmt w:val="bullet"/>
      <w:lvlText w:val=""/>
      <w:lvlJc w:val="left"/>
      <w:pPr>
        <w:tabs>
          <w:tab w:val="num" w:pos="4320"/>
        </w:tabs>
        <w:ind w:left="4320" w:hanging="360"/>
      </w:pPr>
      <w:rPr>
        <w:rFonts w:ascii="Wingdings" w:hAnsi="Wingdings" w:hint="default"/>
      </w:rPr>
    </w:lvl>
    <w:lvl w:ilvl="6" w:tplc="084EE0C6" w:tentative="1">
      <w:start w:val="1"/>
      <w:numFmt w:val="bullet"/>
      <w:lvlText w:val=""/>
      <w:lvlJc w:val="left"/>
      <w:pPr>
        <w:tabs>
          <w:tab w:val="num" w:pos="5040"/>
        </w:tabs>
        <w:ind w:left="5040" w:hanging="360"/>
      </w:pPr>
      <w:rPr>
        <w:rFonts w:ascii="Wingdings" w:hAnsi="Wingdings" w:hint="default"/>
      </w:rPr>
    </w:lvl>
    <w:lvl w:ilvl="7" w:tplc="9DB0D020" w:tentative="1">
      <w:start w:val="1"/>
      <w:numFmt w:val="bullet"/>
      <w:lvlText w:val=""/>
      <w:lvlJc w:val="left"/>
      <w:pPr>
        <w:tabs>
          <w:tab w:val="num" w:pos="5760"/>
        </w:tabs>
        <w:ind w:left="5760" w:hanging="360"/>
      </w:pPr>
      <w:rPr>
        <w:rFonts w:ascii="Wingdings" w:hAnsi="Wingdings" w:hint="default"/>
      </w:rPr>
    </w:lvl>
    <w:lvl w:ilvl="8" w:tplc="188634CC" w:tentative="1">
      <w:start w:val="1"/>
      <w:numFmt w:val="bullet"/>
      <w:lvlText w:val=""/>
      <w:lvlJc w:val="left"/>
      <w:pPr>
        <w:tabs>
          <w:tab w:val="num" w:pos="6480"/>
        </w:tabs>
        <w:ind w:left="6480" w:hanging="360"/>
      </w:pPr>
      <w:rPr>
        <w:rFonts w:ascii="Wingdings" w:hAnsi="Wingdings" w:hint="default"/>
      </w:rPr>
    </w:lvl>
  </w:abstractNum>
  <w:abstractNum w:abstractNumId="7">
    <w:nsid w:val="73E30F9C"/>
    <w:multiLevelType w:val="multilevel"/>
    <w:tmpl w:val="94BA33E4"/>
    <w:lvl w:ilvl="0">
      <w:start w:val="1"/>
      <w:numFmt w:val="decimal"/>
      <w:lvlText w:val="%1."/>
      <w:lvlJc w:val="left"/>
      <w:pPr>
        <w:ind w:left="720" w:hanging="360"/>
      </w:pPr>
      <w:rPr>
        <w:rFonts w:cstheme="minorBidi" w:hint="default"/>
        <w:b/>
      </w:rPr>
    </w:lvl>
    <w:lvl w:ilvl="1">
      <w:start w:val="2"/>
      <w:numFmt w:val="decimal"/>
      <w:isLgl/>
      <w:lvlText w:val="%1.%2."/>
      <w:lvlJc w:val="left"/>
      <w:pPr>
        <w:ind w:left="786" w:hanging="360"/>
      </w:pPr>
      <w:rPr>
        <w:rFonts w:eastAsia="Verdana" w:hint="default"/>
      </w:rPr>
    </w:lvl>
    <w:lvl w:ilvl="2">
      <w:start w:val="1"/>
      <w:numFmt w:val="decimal"/>
      <w:isLgl/>
      <w:lvlText w:val="%1.%2.%3."/>
      <w:lvlJc w:val="left"/>
      <w:pPr>
        <w:ind w:left="1800" w:hanging="720"/>
      </w:pPr>
      <w:rPr>
        <w:rFonts w:eastAsia="Verdana" w:hint="default"/>
      </w:rPr>
    </w:lvl>
    <w:lvl w:ilvl="3">
      <w:start w:val="1"/>
      <w:numFmt w:val="decimal"/>
      <w:isLgl/>
      <w:lvlText w:val="%1.%2.%3.%4."/>
      <w:lvlJc w:val="left"/>
      <w:pPr>
        <w:ind w:left="2160" w:hanging="720"/>
      </w:pPr>
      <w:rPr>
        <w:rFonts w:eastAsia="Verdana" w:hint="default"/>
      </w:rPr>
    </w:lvl>
    <w:lvl w:ilvl="4">
      <w:start w:val="1"/>
      <w:numFmt w:val="decimal"/>
      <w:isLgl/>
      <w:lvlText w:val="%1.%2.%3.%4.%5."/>
      <w:lvlJc w:val="left"/>
      <w:pPr>
        <w:ind w:left="2880" w:hanging="1080"/>
      </w:pPr>
      <w:rPr>
        <w:rFonts w:eastAsia="Verdana" w:hint="default"/>
      </w:rPr>
    </w:lvl>
    <w:lvl w:ilvl="5">
      <w:start w:val="1"/>
      <w:numFmt w:val="decimal"/>
      <w:isLgl/>
      <w:lvlText w:val="%1.%2.%3.%4.%5.%6."/>
      <w:lvlJc w:val="left"/>
      <w:pPr>
        <w:ind w:left="3240" w:hanging="1080"/>
      </w:pPr>
      <w:rPr>
        <w:rFonts w:eastAsia="Verdana" w:hint="default"/>
      </w:rPr>
    </w:lvl>
    <w:lvl w:ilvl="6">
      <w:start w:val="1"/>
      <w:numFmt w:val="decimal"/>
      <w:isLgl/>
      <w:lvlText w:val="%1.%2.%3.%4.%5.%6.%7."/>
      <w:lvlJc w:val="left"/>
      <w:pPr>
        <w:ind w:left="3960" w:hanging="1440"/>
      </w:pPr>
      <w:rPr>
        <w:rFonts w:eastAsia="Verdana" w:hint="default"/>
      </w:rPr>
    </w:lvl>
    <w:lvl w:ilvl="7">
      <w:start w:val="1"/>
      <w:numFmt w:val="decimal"/>
      <w:isLgl/>
      <w:lvlText w:val="%1.%2.%3.%4.%5.%6.%7.%8."/>
      <w:lvlJc w:val="left"/>
      <w:pPr>
        <w:ind w:left="4320" w:hanging="1440"/>
      </w:pPr>
      <w:rPr>
        <w:rFonts w:eastAsia="Verdana" w:hint="default"/>
      </w:rPr>
    </w:lvl>
    <w:lvl w:ilvl="8">
      <w:start w:val="1"/>
      <w:numFmt w:val="decimal"/>
      <w:isLgl/>
      <w:lvlText w:val="%1.%2.%3.%4.%5.%6.%7.%8.%9."/>
      <w:lvlJc w:val="left"/>
      <w:pPr>
        <w:ind w:left="5040" w:hanging="1800"/>
      </w:pPr>
      <w:rPr>
        <w:rFonts w:eastAsia="Verdana" w:hint="default"/>
      </w:rPr>
    </w:lvl>
  </w:abstractNum>
  <w:abstractNum w:abstractNumId="8">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nsid w:val="7954574C"/>
    <w:multiLevelType w:val="hybridMultilevel"/>
    <w:tmpl w:val="A9A24028"/>
    <w:lvl w:ilvl="0" w:tplc="8D86C702">
      <w:start w:val="1"/>
      <w:numFmt w:val="bullet"/>
      <w:lvlText w:val="•"/>
      <w:lvlJc w:val="left"/>
      <w:pPr>
        <w:tabs>
          <w:tab w:val="num" w:pos="720"/>
        </w:tabs>
        <w:ind w:left="720" w:hanging="360"/>
      </w:pPr>
      <w:rPr>
        <w:rFonts w:ascii="Times New Roman" w:hAnsi="Times New Roman" w:hint="default"/>
      </w:rPr>
    </w:lvl>
    <w:lvl w:ilvl="1" w:tplc="20A477E4" w:tentative="1">
      <w:start w:val="1"/>
      <w:numFmt w:val="bullet"/>
      <w:lvlText w:val="•"/>
      <w:lvlJc w:val="left"/>
      <w:pPr>
        <w:tabs>
          <w:tab w:val="num" w:pos="1440"/>
        </w:tabs>
        <w:ind w:left="1440" w:hanging="360"/>
      </w:pPr>
      <w:rPr>
        <w:rFonts w:ascii="Times New Roman" w:hAnsi="Times New Roman" w:hint="default"/>
      </w:rPr>
    </w:lvl>
    <w:lvl w:ilvl="2" w:tplc="C1BAA9BC" w:tentative="1">
      <w:start w:val="1"/>
      <w:numFmt w:val="bullet"/>
      <w:lvlText w:val="•"/>
      <w:lvlJc w:val="left"/>
      <w:pPr>
        <w:tabs>
          <w:tab w:val="num" w:pos="2160"/>
        </w:tabs>
        <w:ind w:left="2160" w:hanging="360"/>
      </w:pPr>
      <w:rPr>
        <w:rFonts w:ascii="Times New Roman" w:hAnsi="Times New Roman" w:hint="default"/>
      </w:rPr>
    </w:lvl>
    <w:lvl w:ilvl="3" w:tplc="196A652A" w:tentative="1">
      <w:start w:val="1"/>
      <w:numFmt w:val="bullet"/>
      <w:lvlText w:val="•"/>
      <w:lvlJc w:val="left"/>
      <w:pPr>
        <w:tabs>
          <w:tab w:val="num" w:pos="2880"/>
        </w:tabs>
        <w:ind w:left="2880" w:hanging="360"/>
      </w:pPr>
      <w:rPr>
        <w:rFonts w:ascii="Times New Roman" w:hAnsi="Times New Roman" w:hint="default"/>
      </w:rPr>
    </w:lvl>
    <w:lvl w:ilvl="4" w:tplc="87D6A080" w:tentative="1">
      <w:start w:val="1"/>
      <w:numFmt w:val="bullet"/>
      <w:lvlText w:val="•"/>
      <w:lvlJc w:val="left"/>
      <w:pPr>
        <w:tabs>
          <w:tab w:val="num" w:pos="3600"/>
        </w:tabs>
        <w:ind w:left="3600" w:hanging="360"/>
      </w:pPr>
      <w:rPr>
        <w:rFonts w:ascii="Times New Roman" w:hAnsi="Times New Roman" w:hint="default"/>
      </w:rPr>
    </w:lvl>
    <w:lvl w:ilvl="5" w:tplc="BE381738" w:tentative="1">
      <w:start w:val="1"/>
      <w:numFmt w:val="bullet"/>
      <w:lvlText w:val="•"/>
      <w:lvlJc w:val="left"/>
      <w:pPr>
        <w:tabs>
          <w:tab w:val="num" w:pos="4320"/>
        </w:tabs>
        <w:ind w:left="4320" w:hanging="360"/>
      </w:pPr>
      <w:rPr>
        <w:rFonts w:ascii="Times New Roman" w:hAnsi="Times New Roman" w:hint="default"/>
      </w:rPr>
    </w:lvl>
    <w:lvl w:ilvl="6" w:tplc="19ECEAD8" w:tentative="1">
      <w:start w:val="1"/>
      <w:numFmt w:val="bullet"/>
      <w:lvlText w:val="•"/>
      <w:lvlJc w:val="left"/>
      <w:pPr>
        <w:tabs>
          <w:tab w:val="num" w:pos="5040"/>
        </w:tabs>
        <w:ind w:left="5040" w:hanging="360"/>
      </w:pPr>
      <w:rPr>
        <w:rFonts w:ascii="Times New Roman" w:hAnsi="Times New Roman" w:hint="default"/>
      </w:rPr>
    </w:lvl>
    <w:lvl w:ilvl="7" w:tplc="DFE4BC74" w:tentative="1">
      <w:start w:val="1"/>
      <w:numFmt w:val="bullet"/>
      <w:lvlText w:val="•"/>
      <w:lvlJc w:val="left"/>
      <w:pPr>
        <w:tabs>
          <w:tab w:val="num" w:pos="5760"/>
        </w:tabs>
        <w:ind w:left="5760" w:hanging="360"/>
      </w:pPr>
      <w:rPr>
        <w:rFonts w:ascii="Times New Roman" w:hAnsi="Times New Roman" w:hint="default"/>
      </w:rPr>
    </w:lvl>
    <w:lvl w:ilvl="8" w:tplc="501479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D452248"/>
    <w:multiLevelType w:val="hybridMultilevel"/>
    <w:tmpl w:val="B8A067D4"/>
    <w:lvl w:ilvl="0" w:tplc="B848427E">
      <w:start w:val="1"/>
      <w:numFmt w:val="bullet"/>
      <w:lvlText w:val=""/>
      <w:lvlJc w:val="left"/>
      <w:pPr>
        <w:tabs>
          <w:tab w:val="num" w:pos="720"/>
        </w:tabs>
        <w:ind w:left="720" w:hanging="360"/>
      </w:pPr>
      <w:rPr>
        <w:rFonts w:ascii="Wingdings" w:hAnsi="Wingdings" w:hint="default"/>
      </w:rPr>
    </w:lvl>
    <w:lvl w:ilvl="1" w:tplc="461041E0" w:tentative="1">
      <w:start w:val="1"/>
      <w:numFmt w:val="bullet"/>
      <w:lvlText w:val=""/>
      <w:lvlJc w:val="left"/>
      <w:pPr>
        <w:tabs>
          <w:tab w:val="num" w:pos="1440"/>
        </w:tabs>
        <w:ind w:left="1440" w:hanging="360"/>
      </w:pPr>
      <w:rPr>
        <w:rFonts w:ascii="Wingdings" w:hAnsi="Wingdings" w:hint="default"/>
      </w:rPr>
    </w:lvl>
    <w:lvl w:ilvl="2" w:tplc="C0EE0868" w:tentative="1">
      <w:start w:val="1"/>
      <w:numFmt w:val="bullet"/>
      <w:lvlText w:val=""/>
      <w:lvlJc w:val="left"/>
      <w:pPr>
        <w:tabs>
          <w:tab w:val="num" w:pos="2160"/>
        </w:tabs>
        <w:ind w:left="2160" w:hanging="360"/>
      </w:pPr>
      <w:rPr>
        <w:rFonts w:ascii="Wingdings" w:hAnsi="Wingdings" w:hint="default"/>
      </w:rPr>
    </w:lvl>
    <w:lvl w:ilvl="3" w:tplc="BB6A7222" w:tentative="1">
      <w:start w:val="1"/>
      <w:numFmt w:val="bullet"/>
      <w:lvlText w:val=""/>
      <w:lvlJc w:val="left"/>
      <w:pPr>
        <w:tabs>
          <w:tab w:val="num" w:pos="2880"/>
        </w:tabs>
        <w:ind w:left="2880" w:hanging="360"/>
      </w:pPr>
      <w:rPr>
        <w:rFonts w:ascii="Wingdings" w:hAnsi="Wingdings" w:hint="default"/>
      </w:rPr>
    </w:lvl>
    <w:lvl w:ilvl="4" w:tplc="208E668E" w:tentative="1">
      <w:start w:val="1"/>
      <w:numFmt w:val="bullet"/>
      <w:lvlText w:val=""/>
      <w:lvlJc w:val="left"/>
      <w:pPr>
        <w:tabs>
          <w:tab w:val="num" w:pos="3600"/>
        </w:tabs>
        <w:ind w:left="3600" w:hanging="360"/>
      </w:pPr>
      <w:rPr>
        <w:rFonts w:ascii="Wingdings" w:hAnsi="Wingdings" w:hint="default"/>
      </w:rPr>
    </w:lvl>
    <w:lvl w:ilvl="5" w:tplc="CBD2C86E" w:tentative="1">
      <w:start w:val="1"/>
      <w:numFmt w:val="bullet"/>
      <w:lvlText w:val=""/>
      <w:lvlJc w:val="left"/>
      <w:pPr>
        <w:tabs>
          <w:tab w:val="num" w:pos="4320"/>
        </w:tabs>
        <w:ind w:left="4320" w:hanging="360"/>
      </w:pPr>
      <w:rPr>
        <w:rFonts w:ascii="Wingdings" w:hAnsi="Wingdings" w:hint="default"/>
      </w:rPr>
    </w:lvl>
    <w:lvl w:ilvl="6" w:tplc="C31A5A3A" w:tentative="1">
      <w:start w:val="1"/>
      <w:numFmt w:val="bullet"/>
      <w:lvlText w:val=""/>
      <w:lvlJc w:val="left"/>
      <w:pPr>
        <w:tabs>
          <w:tab w:val="num" w:pos="5040"/>
        </w:tabs>
        <w:ind w:left="5040" w:hanging="360"/>
      </w:pPr>
      <w:rPr>
        <w:rFonts w:ascii="Wingdings" w:hAnsi="Wingdings" w:hint="default"/>
      </w:rPr>
    </w:lvl>
    <w:lvl w:ilvl="7" w:tplc="C1542EB6" w:tentative="1">
      <w:start w:val="1"/>
      <w:numFmt w:val="bullet"/>
      <w:lvlText w:val=""/>
      <w:lvlJc w:val="left"/>
      <w:pPr>
        <w:tabs>
          <w:tab w:val="num" w:pos="5760"/>
        </w:tabs>
        <w:ind w:left="5760" w:hanging="360"/>
      </w:pPr>
      <w:rPr>
        <w:rFonts w:ascii="Wingdings" w:hAnsi="Wingdings" w:hint="default"/>
      </w:rPr>
    </w:lvl>
    <w:lvl w:ilvl="8" w:tplc="542C8D44" w:tentative="1">
      <w:start w:val="1"/>
      <w:numFmt w:val="bullet"/>
      <w:lvlText w:val=""/>
      <w:lvlJc w:val="left"/>
      <w:pPr>
        <w:tabs>
          <w:tab w:val="num" w:pos="6480"/>
        </w:tabs>
        <w:ind w:left="6480" w:hanging="360"/>
      </w:pPr>
      <w:rPr>
        <w:rFonts w:ascii="Wingdings" w:hAnsi="Wingdings" w:hint="default"/>
      </w:rPr>
    </w:lvl>
  </w:abstractNum>
  <w:abstractNum w:abstractNumId="11">
    <w:nsid w:val="7F0B1725"/>
    <w:multiLevelType w:val="hybridMultilevel"/>
    <w:tmpl w:val="576E7AA2"/>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5"/>
  </w:num>
  <w:num w:numId="10">
    <w:abstractNumId w:val="11"/>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398B"/>
    <w:rsid w:val="00021E2C"/>
    <w:rsid w:val="00044F82"/>
    <w:rsid w:val="00066EE6"/>
    <w:rsid w:val="0009084F"/>
    <w:rsid w:val="00093928"/>
    <w:rsid w:val="000A4064"/>
    <w:rsid w:val="000C4E0A"/>
    <w:rsid w:val="00103EB0"/>
    <w:rsid w:val="00106370"/>
    <w:rsid w:val="001143F0"/>
    <w:rsid w:val="0013112D"/>
    <w:rsid w:val="00140968"/>
    <w:rsid w:val="0018547D"/>
    <w:rsid w:val="001927B8"/>
    <w:rsid w:val="001C4A17"/>
    <w:rsid w:val="001F1BE1"/>
    <w:rsid w:val="001F3627"/>
    <w:rsid w:val="00206600"/>
    <w:rsid w:val="002225BF"/>
    <w:rsid w:val="00256F5B"/>
    <w:rsid w:val="00256F6D"/>
    <w:rsid w:val="002A7AFA"/>
    <w:rsid w:val="002C252E"/>
    <w:rsid w:val="002D3925"/>
    <w:rsid w:val="002D6BEB"/>
    <w:rsid w:val="002E1A6F"/>
    <w:rsid w:val="002E5112"/>
    <w:rsid w:val="002F4E77"/>
    <w:rsid w:val="0030334B"/>
    <w:rsid w:val="0030455E"/>
    <w:rsid w:val="0032763F"/>
    <w:rsid w:val="00385458"/>
    <w:rsid w:val="003C0DD8"/>
    <w:rsid w:val="003E0DC8"/>
    <w:rsid w:val="003F3F01"/>
    <w:rsid w:val="004161F1"/>
    <w:rsid w:val="004526FE"/>
    <w:rsid w:val="004647E4"/>
    <w:rsid w:val="004718A8"/>
    <w:rsid w:val="00471CBD"/>
    <w:rsid w:val="004726B1"/>
    <w:rsid w:val="004A1B08"/>
    <w:rsid w:val="004C472F"/>
    <w:rsid w:val="00524EE7"/>
    <w:rsid w:val="005903D9"/>
    <w:rsid w:val="00596025"/>
    <w:rsid w:val="005A2EF7"/>
    <w:rsid w:val="005A5B6C"/>
    <w:rsid w:val="005B7CDD"/>
    <w:rsid w:val="005D4A00"/>
    <w:rsid w:val="005D67F8"/>
    <w:rsid w:val="005F4610"/>
    <w:rsid w:val="005F5DD8"/>
    <w:rsid w:val="00603739"/>
    <w:rsid w:val="006156E7"/>
    <w:rsid w:val="00650F25"/>
    <w:rsid w:val="006577DE"/>
    <w:rsid w:val="00671409"/>
    <w:rsid w:val="00676213"/>
    <w:rsid w:val="006812A8"/>
    <w:rsid w:val="00681E5B"/>
    <w:rsid w:val="00686941"/>
    <w:rsid w:val="00693D2B"/>
    <w:rsid w:val="00702997"/>
    <w:rsid w:val="00702A2E"/>
    <w:rsid w:val="00715E69"/>
    <w:rsid w:val="0073093E"/>
    <w:rsid w:val="00740A07"/>
    <w:rsid w:val="00752DBC"/>
    <w:rsid w:val="00775E8D"/>
    <w:rsid w:val="007935C6"/>
    <w:rsid w:val="007A49E4"/>
    <w:rsid w:val="007A736F"/>
    <w:rsid w:val="007B5D59"/>
    <w:rsid w:val="007D4534"/>
    <w:rsid w:val="00812325"/>
    <w:rsid w:val="00876508"/>
    <w:rsid w:val="008A48B3"/>
    <w:rsid w:val="008E0312"/>
    <w:rsid w:val="008F6659"/>
    <w:rsid w:val="0090295E"/>
    <w:rsid w:val="009068F0"/>
    <w:rsid w:val="00911554"/>
    <w:rsid w:val="00921CD4"/>
    <w:rsid w:val="00935E89"/>
    <w:rsid w:val="00974435"/>
    <w:rsid w:val="009D378D"/>
    <w:rsid w:val="009F3F44"/>
    <w:rsid w:val="009F54DB"/>
    <w:rsid w:val="00A51B0C"/>
    <w:rsid w:val="00A62177"/>
    <w:rsid w:val="00A634C3"/>
    <w:rsid w:val="00AD7232"/>
    <w:rsid w:val="00B00F99"/>
    <w:rsid w:val="00B13CFA"/>
    <w:rsid w:val="00B56457"/>
    <w:rsid w:val="00B64CE3"/>
    <w:rsid w:val="00B674C4"/>
    <w:rsid w:val="00BC4993"/>
    <w:rsid w:val="00BF2B54"/>
    <w:rsid w:val="00BF620B"/>
    <w:rsid w:val="00C07560"/>
    <w:rsid w:val="00C3291E"/>
    <w:rsid w:val="00C42764"/>
    <w:rsid w:val="00C64850"/>
    <w:rsid w:val="00C86FD0"/>
    <w:rsid w:val="00C91690"/>
    <w:rsid w:val="00CA251B"/>
    <w:rsid w:val="00CD06DE"/>
    <w:rsid w:val="00CF197E"/>
    <w:rsid w:val="00CF71F2"/>
    <w:rsid w:val="00D05DFE"/>
    <w:rsid w:val="00D1395B"/>
    <w:rsid w:val="00D22911"/>
    <w:rsid w:val="00D458CD"/>
    <w:rsid w:val="00D53EED"/>
    <w:rsid w:val="00DC398B"/>
    <w:rsid w:val="00DE268E"/>
    <w:rsid w:val="00E00DBA"/>
    <w:rsid w:val="00E34C63"/>
    <w:rsid w:val="00E46343"/>
    <w:rsid w:val="00E62FF8"/>
    <w:rsid w:val="00E676F4"/>
    <w:rsid w:val="00ED5CB3"/>
    <w:rsid w:val="00EE5755"/>
    <w:rsid w:val="00F26161"/>
    <w:rsid w:val="00F84FEF"/>
    <w:rsid w:val="00FB62B1"/>
    <w:rsid w:val="00FE50CA"/>
    <w:rsid w:val="00FF54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739"/>
    <w:rPr>
      <w:b/>
      <w:bCs/>
    </w:rPr>
  </w:style>
  <w:style w:type="paragraph" w:styleId="ListParagraph">
    <w:name w:val="List Paragraph"/>
    <w:basedOn w:val="Normal"/>
    <w:uiPriority w:val="34"/>
    <w:qFormat/>
    <w:rsid w:val="005F4610"/>
    <w:pPr>
      <w:ind w:left="720"/>
      <w:contextualSpacing/>
    </w:pPr>
  </w:style>
  <w:style w:type="character" w:styleId="Hyperlink">
    <w:name w:val="Hyperlink"/>
    <w:basedOn w:val="DefaultParagraphFont"/>
    <w:rsid w:val="00B13CFA"/>
    <w:rPr>
      <w:color w:val="0000FF"/>
      <w:u w:val="single"/>
    </w:rPr>
  </w:style>
  <w:style w:type="paragraph" w:styleId="Header">
    <w:name w:val="header"/>
    <w:basedOn w:val="Normal"/>
    <w:link w:val="HeaderChar"/>
    <w:uiPriority w:val="99"/>
    <w:semiHidden/>
    <w:unhideWhenUsed/>
    <w:rsid w:val="00B13CFA"/>
    <w:pPr>
      <w:tabs>
        <w:tab w:val="center" w:pos="4153"/>
        <w:tab w:val="right" w:pos="8306"/>
      </w:tabs>
    </w:pPr>
  </w:style>
  <w:style w:type="character" w:customStyle="1" w:styleId="HeaderChar">
    <w:name w:val="Header Char"/>
    <w:basedOn w:val="DefaultParagraphFont"/>
    <w:link w:val="Header"/>
    <w:uiPriority w:val="99"/>
    <w:semiHidden/>
    <w:rsid w:val="00B13CFA"/>
  </w:style>
  <w:style w:type="paragraph" w:styleId="Footer">
    <w:name w:val="footer"/>
    <w:basedOn w:val="Normal"/>
    <w:link w:val="FooterChar"/>
    <w:uiPriority w:val="99"/>
    <w:semiHidden/>
    <w:unhideWhenUsed/>
    <w:rsid w:val="00B13CFA"/>
    <w:pPr>
      <w:tabs>
        <w:tab w:val="center" w:pos="4153"/>
        <w:tab w:val="right" w:pos="8306"/>
      </w:tabs>
    </w:pPr>
  </w:style>
  <w:style w:type="character" w:customStyle="1" w:styleId="FooterChar">
    <w:name w:val="Footer Char"/>
    <w:basedOn w:val="DefaultParagraphFont"/>
    <w:link w:val="Footer"/>
    <w:uiPriority w:val="99"/>
    <w:semiHidden/>
    <w:rsid w:val="00B13CFA"/>
  </w:style>
  <w:style w:type="paragraph" w:styleId="BodyText">
    <w:name w:val="Body Text"/>
    <w:basedOn w:val="Normal"/>
    <w:link w:val="BodyTextChar"/>
    <w:rsid w:val="00B13CFA"/>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13CF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2911"/>
    <w:rPr>
      <w:rFonts w:ascii="Tahoma" w:hAnsi="Tahoma" w:cs="Tahoma"/>
      <w:sz w:val="16"/>
      <w:szCs w:val="16"/>
    </w:rPr>
  </w:style>
  <w:style w:type="character" w:customStyle="1" w:styleId="BalloonTextChar">
    <w:name w:val="Balloon Text Char"/>
    <w:basedOn w:val="DefaultParagraphFont"/>
    <w:link w:val="BalloonText"/>
    <w:uiPriority w:val="99"/>
    <w:semiHidden/>
    <w:rsid w:val="00D22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61057">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sChild>
        <w:div w:id="1431898854">
          <w:marLeft w:val="547"/>
          <w:marRight w:val="0"/>
          <w:marTop w:val="160"/>
          <w:marBottom w:val="0"/>
          <w:divBdr>
            <w:top w:val="none" w:sz="0" w:space="0" w:color="auto"/>
            <w:left w:val="none" w:sz="0" w:space="0" w:color="auto"/>
            <w:bottom w:val="none" w:sz="0" w:space="0" w:color="auto"/>
            <w:right w:val="none" w:sz="0" w:space="0" w:color="auto"/>
          </w:divBdr>
        </w:div>
      </w:divsChild>
    </w:div>
    <w:div w:id="814488107">
      <w:bodyDiv w:val="1"/>
      <w:marLeft w:val="0"/>
      <w:marRight w:val="0"/>
      <w:marTop w:val="0"/>
      <w:marBottom w:val="0"/>
      <w:divBdr>
        <w:top w:val="none" w:sz="0" w:space="0" w:color="auto"/>
        <w:left w:val="none" w:sz="0" w:space="0" w:color="auto"/>
        <w:bottom w:val="none" w:sz="0" w:space="0" w:color="auto"/>
        <w:right w:val="none" w:sz="0" w:space="0" w:color="auto"/>
      </w:divBdr>
    </w:div>
    <w:div w:id="1207984068">
      <w:bodyDiv w:val="1"/>
      <w:marLeft w:val="0"/>
      <w:marRight w:val="0"/>
      <w:marTop w:val="0"/>
      <w:marBottom w:val="0"/>
      <w:divBdr>
        <w:top w:val="none" w:sz="0" w:space="0" w:color="auto"/>
        <w:left w:val="none" w:sz="0" w:space="0" w:color="auto"/>
        <w:bottom w:val="none" w:sz="0" w:space="0" w:color="auto"/>
        <w:right w:val="none" w:sz="0" w:space="0" w:color="auto"/>
      </w:divBdr>
      <w:divsChild>
        <w:div w:id="1891334921">
          <w:marLeft w:val="0"/>
          <w:marRight w:val="0"/>
          <w:marTop w:val="86"/>
          <w:marBottom w:val="0"/>
          <w:divBdr>
            <w:top w:val="none" w:sz="0" w:space="0" w:color="auto"/>
            <w:left w:val="none" w:sz="0" w:space="0" w:color="auto"/>
            <w:bottom w:val="none" w:sz="0" w:space="0" w:color="auto"/>
            <w:right w:val="none" w:sz="0" w:space="0" w:color="auto"/>
          </w:divBdr>
        </w:div>
      </w:divsChild>
    </w:div>
    <w:div w:id="2041976929">
      <w:bodyDiv w:val="1"/>
      <w:marLeft w:val="0"/>
      <w:marRight w:val="0"/>
      <w:marTop w:val="0"/>
      <w:marBottom w:val="0"/>
      <w:divBdr>
        <w:top w:val="none" w:sz="0" w:space="0" w:color="auto"/>
        <w:left w:val="none" w:sz="0" w:space="0" w:color="auto"/>
        <w:bottom w:val="none" w:sz="0" w:space="0" w:color="auto"/>
        <w:right w:val="none" w:sz="0" w:space="0" w:color="auto"/>
      </w:divBdr>
      <w:divsChild>
        <w:div w:id="163086449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a.prokopovic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5417</Words>
  <Characters>3089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IlgaGruseva</dc:creator>
  <cp:lastModifiedBy>Vita Prokopovica</cp:lastModifiedBy>
  <cp:revision>6</cp:revision>
  <dcterms:created xsi:type="dcterms:W3CDTF">2014-06-12T13:45:00Z</dcterms:created>
  <dcterms:modified xsi:type="dcterms:W3CDTF">2014-07-02T13:01:00Z</dcterms:modified>
</cp:coreProperties>
</file>