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2E" w:rsidRDefault="0060722E">
      <w:pPr>
        <w:jc w:val="both"/>
        <w:rPr>
          <w:rFonts w:ascii="Times New Roman" w:hAnsi="Times New Roman" w:cs="Times New Roman"/>
          <w:b/>
          <w:bCs/>
          <w:snapToGrid w:val="0"/>
          <w:sz w:val="28"/>
          <w:szCs w:val="28"/>
          <w:lang w:val="lv-LV"/>
        </w:rPr>
      </w:pPr>
      <w:bookmarkStart w:id="0" w:name="bookmark0"/>
      <w:r>
        <w:rPr>
          <w:rFonts w:ascii="Times New Roman" w:hAnsi="Times New Roman" w:cs="Times New Roman"/>
          <w:b/>
          <w:bCs/>
          <w:snapToGrid w:val="0"/>
          <w:sz w:val="28"/>
          <w:szCs w:val="28"/>
          <w:lang w:val="lv-LV"/>
        </w:rPr>
        <w:t>Minamatas konvencija par dzīvsudrabu</w:t>
      </w:r>
    </w:p>
    <w:bookmarkEnd w:id="0"/>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Šīs konvencijas </w:t>
      </w:r>
      <w:r w:rsidR="00762D21">
        <w:rPr>
          <w:rFonts w:ascii="Times New Roman" w:hAnsi="Times New Roman" w:cs="Times New Roman"/>
          <w:snapToGrid w:val="0"/>
          <w:lang w:val="lv-LV"/>
        </w:rPr>
        <w:t>puse</w:t>
      </w:r>
      <w:r>
        <w:rPr>
          <w:rFonts w:ascii="Times New Roman" w:hAnsi="Times New Roman" w:cs="Times New Roman"/>
          <w:snapToGrid w:val="0"/>
          <w:lang w:val="lv-LV"/>
        </w:rPr>
        <w: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atzīstot</w:t>
      </w:r>
      <w:r w:rsidRPr="00E376CC">
        <w:rPr>
          <w:rFonts w:ascii="Times New Roman" w:hAnsi="Times New Roman" w:cs="Times New Roman"/>
          <w:snapToGrid w:val="0"/>
          <w:lang w:val="lv-LV"/>
        </w:rPr>
        <w:t>,</w:t>
      </w:r>
      <w:r>
        <w:rPr>
          <w:rFonts w:ascii="Times New Roman" w:hAnsi="Times New Roman" w:cs="Times New Roman"/>
          <w:i/>
          <w:iCs/>
          <w:snapToGrid w:val="0"/>
          <w:lang w:val="lv-LV"/>
        </w:rPr>
        <w:t xml:space="preserve"> </w:t>
      </w:r>
      <w:r>
        <w:rPr>
          <w:rFonts w:ascii="Times New Roman" w:hAnsi="Times New Roman" w:cs="Times New Roman"/>
          <w:snapToGrid w:val="0"/>
          <w:lang w:val="lv-LV"/>
        </w:rPr>
        <w:t xml:space="preserve">ka dzīvsudraba </w:t>
      </w:r>
      <w:r w:rsidR="00180148">
        <w:rPr>
          <w:rFonts w:ascii="Times New Roman" w:hAnsi="Times New Roman" w:cs="Times New Roman"/>
          <w:snapToGrid w:val="0"/>
          <w:lang w:val="lv-LV"/>
        </w:rPr>
        <w:t xml:space="preserve">kā ķīmiskas vielas </w:t>
      </w:r>
      <w:r>
        <w:rPr>
          <w:rFonts w:ascii="Times New Roman" w:hAnsi="Times New Roman" w:cs="Times New Roman"/>
          <w:snapToGrid w:val="0"/>
          <w:lang w:val="lv-LV"/>
        </w:rPr>
        <w:t xml:space="preserve">jautājums skar visu pasauli, jo dzīvsudrabs tiek pārnests </w:t>
      </w:r>
      <w:r w:rsidR="00DE4C52">
        <w:rPr>
          <w:rFonts w:ascii="Times New Roman" w:hAnsi="Times New Roman" w:cs="Times New Roman"/>
          <w:snapToGrid w:val="0"/>
          <w:lang w:val="lv-LV"/>
        </w:rPr>
        <w:t xml:space="preserve">lielos attālumos </w:t>
      </w:r>
      <w:r>
        <w:rPr>
          <w:rFonts w:ascii="Times New Roman" w:hAnsi="Times New Roman" w:cs="Times New Roman"/>
          <w:snapToGrid w:val="0"/>
          <w:lang w:val="lv-LV"/>
        </w:rPr>
        <w:t>atmosfērā</w:t>
      </w:r>
      <w:r w:rsidR="005723F9">
        <w:rPr>
          <w:rFonts w:ascii="Times New Roman" w:hAnsi="Times New Roman" w:cs="Times New Roman"/>
          <w:snapToGrid w:val="0"/>
          <w:lang w:val="lv-LV"/>
        </w:rPr>
        <w:t>, pēc antropogēnā</w:t>
      </w:r>
      <w:r>
        <w:rPr>
          <w:rFonts w:ascii="Times New Roman" w:hAnsi="Times New Roman" w:cs="Times New Roman"/>
          <w:snapToGrid w:val="0"/>
          <w:lang w:val="lv-LV"/>
        </w:rPr>
        <w:t>s iedarbības tas saglabā noturību vidē, tam piemīt spēja bioloģiski akumulēties ekosistēmā</w:t>
      </w:r>
      <w:r w:rsidR="005723F9">
        <w:rPr>
          <w:rFonts w:ascii="Times New Roman" w:hAnsi="Times New Roman" w:cs="Times New Roman"/>
          <w:snapToGrid w:val="0"/>
          <w:lang w:val="lv-LV"/>
        </w:rPr>
        <w:t>,</w:t>
      </w:r>
      <w:r w:rsidR="00C21D5D">
        <w:rPr>
          <w:rFonts w:ascii="Times New Roman" w:hAnsi="Times New Roman" w:cs="Times New Roman"/>
          <w:snapToGrid w:val="0"/>
          <w:lang w:val="lv-LV"/>
        </w:rPr>
        <w:t xml:space="preserve"> un tam ir nopietna negatīva</w:t>
      </w:r>
      <w:r>
        <w:rPr>
          <w:rFonts w:ascii="Times New Roman" w:hAnsi="Times New Roman" w:cs="Times New Roman"/>
          <w:snapToGrid w:val="0"/>
          <w:lang w:val="lv-LV"/>
        </w:rPr>
        <w:t xml:space="preserve"> ietekme uz cilvēku veselību un apkārtējo vidi</w:t>
      </w:r>
      <w:r w:rsidR="005723F9">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 xml:space="preserve">atsaucoties uz </w:t>
      </w:r>
      <w:r>
        <w:rPr>
          <w:rFonts w:ascii="Times New Roman" w:hAnsi="Times New Roman" w:cs="Times New Roman"/>
          <w:snapToGrid w:val="0"/>
          <w:lang w:val="lv-LV"/>
        </w:rPr>
        <w:t xml:space="preserve">Apvienoto Nāciju Organizācijas Vides programmas Padomes lēmumu 25/5, kas datēts ar 2009. gada 20. februāri, ar kuru tiek ierosināti starptautiski pasākumi, </w:t>
      </w:r>
      <w:r w:rsidRPr="00987D79">
        <w:rPr>
          <w:rFonts w:ascii="Times New Roman" w:hAnsi="Times New Roman" w:cs="Times New Roman"/>
          <w:snapToGrid w:val="0"/>
          <w:lang w:val="lv-LV"/>
        </w:rPr>
        <w:t xml:space="preserve">lai </w:t>
      </w:r>
      <w:r w:rsidR="00F34F7D">
        <w:rPr>
          <w:rFonts w:ascii="Times New Roman" w:hAnsi="Times New Roman" w:cs="Times New Roman"/>
          <w:snapToGrid w:val="0"/>
          <w:lang w:val="lv-LV"/>
        </w:rPr>
        <w:t>dzīvsudrabu apsaimniekotu</w:t>
      </w:r>
      <w:r w:rsidRPr="00987D79">
        <w:rPr>
          <w:rFonts w:ascii="Times New Roman" w:hAnsi="Times New Roman" w:cs="Times New Roman"/>
          <w:snapToGrid w:val="0"/>
          <w:lang w:val="lv-LV"/>
        </w:rPr>
        <w:t xml:space="preserve"> </w:t>
      </w:r>
      <w:r>
        <w:rPr>
          <w:rFonts w:ascii="Times New Roman" w:hAnsi="Times New Roman" w:cs="Times New Roman"/>
          <w:snapToGrid w:val="0"/>
          <w:lang w:val="lv-LV"/>
        </w:rPr>
        <w:t>produktīvā, efektīvā un saskaņotā veidā</w:t>
      </w:r>
      <w:r w:rsidR="00987D79">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 xml:space="preserve">atsaucoties uz </w:t>
      </w:r>
      <w:r>
        <w:rPr>
          <w:rFonts w:ascii="Times New Roman" w:hAnsi="Times New Roman" w:cs="Times New Roman"/>
          <w:snapToGrid w:val="0"/>
          <w:lang w:val="lv-LV"/>
        </w:rPr>
        <w:t>ilgtspējīgai attīstībai veltītajā Apvienoto N</w:t>
      </w:r>
      <w:r w:rsidR="006F65E8">
        <w:rPr>
          <w:rFonts w:ascii="Times New Roman" w:hAnsi="Times New Roman" w:cs="Times New Roman"/>
          <w:snapToGrid w:val="0"/>
          <w:lang w:val="lv-LV"/>
        </w:rPr>
        <w:t>āciju Organizācijas konferencē „Nākotne, kuru vēlamies”</w:t>
      </w:r>
      <w:r>
        <w:rPr>
          <w:rFonts w:ascii="Times New Roman" w:hAnsi="Times New Roman" w:cs="Times New Roman"/>
          <w:snapToGrid w:val="0"/>
          <w:lang w:val="lv-LV"/>
        </w:rPr>
        <w:t xml:space="preserve"> pieņemtā apkopojošā dokumenta 221. punktu, kurā tika aicināts sekmīgi vienoties par globāli saistošu instrumentu attiecībā uz dzīvsudrabu, lai novērstu apdraudējumu cilvēku veselībai un apkārtējai videi</w:t>
      </w:r>
      <w:r w:rsidR="00987D79">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 xml:space="preserve">atsaucoties uz </w:t>
      </w:r>
      <w:r>
        <w:rPr>
          <w:rFonts w:ascii="Times New Roman" w:hAnsi="Times New Roman" w:cs="Times New Roman"/>
          <w:snapToGrid w:val="0"/>
          <w:lang w:val="lv-LV"/>
        </w:rPr>
        <w:t>ilgtspējīgai attīstībai veltītajā Apvienoto Nāciju Organizācijas konferencē atkārtoti ap</w:t>
      </w:r>
      <w:r w:rsidR="006F65E8">
        <w:rPr>
          <w:rFonts w:ascii="Times New Roman" w:hAnsi="Times New Roman" w:cs="Times New Roman"/>
          <w:snapToGrid w:val="0"/>
          <w:lang w:val="lv-LV"/>
        </w:rPr>
        <w:t>liecinātajiem Rio deklarācijas „</w:t>
      </w:r>
      <w:r>
        <w:rPr>
          <w:rFonts w:ascii="Times New Roman" w:hAnsi="Times New Roman" w:cs="Times New Roman"/>
          <w:snapToGrid w:val="0"/>
          <w:lang w:val="lv-LV"/>
        </w:rPr>
        <w:t>Par vi</w:t>
      </w:r>
      <w:r w:rsidR="006F65E8">
        <w:rPr>
          <w:rFonts w:ascii="Times New Roman" w:hAnsi="Times New Roman" w:cs="Times New Roman"/>
          <w:snapToGrid w:val="0"/>
          <w:lang w:val="lv-LV"/>
        </w:rPr>
        <w:t>di un attīstību”</w:t>
      </w:r>
      <w:r>
        <w:rPr>
          <w:rFonts w:ascii="Times New Roman" w:hAnsi="Times New Roman" w:cs="Times New Roman"/>
          <w:snapToGrid w:val="0"/>
          <w:lang w:val="lv-LV"/>
        </w:rPr>
        <w:t xml:space="preserve"> principiem, kuri cita starpā ietver kopējus, bet diferencētus pienākumus un </w:t>
      </w:r>
      <w:r w:rsidR="006F65E8">
        <w:rPr>
          <w:rFonts w:ascii="Times New Roman" w:hAnsi="Times New Roman" w:cs="Times New Roman"/>
          <w:snapToGrid w:val="0"/>
          <w:lang w:val="lv-LV"/>
        </w:rPr>
        <w:t xml:space="preserve">saistībā </w:t>
      </w:r>
      <w:r>
        <w:rPr>
          <w:rFonts w:ascii="Times New Roman" w:hAnsi="Times New Roman" w:cs="Times New Roman"/>
          <w:snapToGrid w:val="0"/>
          <w:lang w:val="lv-LV"/>
        </w:rPr>
        <w:t>ar kuriem tiek ņemti vērā valstu atšķirīgie apstākļi un iespējas, kā arī nepieciešamība rīkoties</w:t>
      </w:r>
      <w:r w:rsidR="006F65E8">
        <w:rPr>
          <w:rFonts w:ascii="Times New Roman" w:hAnsi="Times New Roman" w:cs="Times New Roman"/>
          <w:snapToGrid w:val="0"/>
          <w:lang w:val="lv-LV"/>
        </w:rPr>
        <w:t xml:space="preserve"> pasaules mērogā</w:t>
      </w:r>
      <w:r w:rsidR="00987D79">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 xml:space="preserve">apzinoties </w:t>
      </w:r>
      <w:r>
        <w:rPr>
          <w:rFonts w:ascii="Times New Roman" w:hAnsi="Times New Roman" w:cs="Times New Roman"/>
          <w:snapToGrid w:val="0"/>
          <w:lang w:val="lv-LV"/>
        </w:rPr>
        <w:t xml:space="preserve">veselības problēmas, </w:t>
      </w:r>
      <w:r w:rsidR="006F65E8">
        <w:rPr>
          <w:rFonts w:ascii="Times New Roman" w:hAnsi="Times New Roman" w:cs="Times New Roman"/>
          <w:snapToGrid w:val="0"/>
          <w:lang w:val="lv-LV"/>
        </w:rPr>
        <w:t xml:space="preserve">kuras </w:t>
      </w:r>
      <w:r>
        <w:rPr>
          <w:rFonts w:ascii="Times New Roman" w:hAnsi="Times New Roman" w:cs="Times New Roman"/>
          <w:snapToGrid w:val="0"/>
          <w:lang w:val="lv-LV"/>
        </w:rPr>
        <w:t xml:space="preserve">jo </w:t>
      </w:r>
      <w:r w:rsidR="00987D79">
        <w:rPr>
          <w:rFonts w:ascii="Times New Roman" w:hAnsi="Times New Roman" w:cs="Times New Roman"/>
          <w:snapToGrid w:val="0"/>
          <w:lang w:val="lv-LV"/>
        </w:rPr>
        <w:t>īpaš</w:t>
      </w:r>
      <w:r>
        <w:rPr>
          <w:rFonts w:ascii="Times New Roman" w:hAnsi="Times New Roman" w:cs="Times New Roman"/>
          <w:snapToGrid w:val="0"/>
          <w:lang w:val="lv-LV"/>
        </w:rPr>
        <w:t xml:space="preserve">i </w:t>
      </w:r>
      <w:r w:rsidR="006F65E8">
        <w:rPr>
          <w:rFonts w:ascii="Times New Roman" w:hAnsi="Times New Roman" w:cs="Times New Roman"/>
          <w:snapToGrid w:val="0"/>
          <w:lang w:val="lv-LV"/>
        </w:rPr>
        <w:t>rodas jaunattīstības valstīs un kuru iemesls</w:t>
      </w:r>
      <w:r>
        <w:rPr>
          <w:rFonts w:ascii="Times New Roman" w:hAnsi="Times New Roman" w:cs="Times New Roman"/>
          <w:snapToGrid w:val="0"/>
          <w:lang w:val="lv-LV"/>
        </w:rPr>
        <w:t xml:space="preserve"> </w:t>
      </w:r>
      <w:r w:rsidR="006F65E8">
        <w:rPr>
          <w:rFonts w:ascii="Times New Roman" w:hAnsi="Times New Roman" w:cs="Times New Roman"/>
          <w:snapToGrid w:val="0"/>
          <w:lang w:val="lv-LV"/>
        </w:rPr>
        <w:t>ir dzīvsudraba iedarbība, kam</w:t>
      </w:r>
      <w:r w:rsidR="00262561">
        <w:rPr>
          <w:rFonts w:ascii="Times New Roman" w:hAnsi="Times New Roman" w:cs="Times New Roman"/>
          <w:snapToGrid w:val="0"/>
          <w:lang w:val="lv-LV"/>
        </w:rPr>
        <w:t xml:space="preserve"> </w:t>
      </w:r>
      <w:r>
        <w:rPr>
          <w:rFonts w:ascii="Times New Roman" w:hAnsi="Times New Roman" w:cs="Times New Roman"/>
          <w:snapToGrid w:val="0"/>
          <w:lang w:val="lv-LV"/>
        </w:rPr>
        <w:t>pakļautas neaizsargātas iedzīvotāju grupas, sevišķi sievietes, bērni un</w:t>
      </w:r>
      <w:r w:rsidR="00987D79">
        <w:rPr>
          <w:rFonts w:ascii="Times New Roman" w:hAnsi="Times New Roman" w:cs="Times New Roman"/>
          <w:snapToGrid w:val="0"/>
          <w:lang w:val="lv-LV"/>
        </w:rPr>
        <w:t xml:space="preserve"> tādējādi </w:t>
      </w:r>
      <w:r>
        <w:rPr>
          <w:rFonts w:ascii="Times New Roman" w:hAnsi="Times New Roman" w:cs="Times New Roman"/>
          <w:snapToGrid w:val="0"/>
          <w:lang w:val="lv-LV"/>
        </w:rPr>
        <w:t>arī nākamās paaudzes</w:t>
      </w:r>
      <w:r w:rsidR="00987D79">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ņemot vērā</w:t>
      </w:r>
      <w:r w:rsidR="00987D79">
        <w:rPr>
          <w:rFonts w:ascii="Times New Roman" w:hAnsi="Times New Roman" w:cs="Times New Roman"/>
          <w:i/>
          <w:iCs/>
          <w:snapToGrid w:val="0"/>
          <w:lang w:val="lv-LV"/>
        </w:rPr>
        <w:t xml:space="preserve"> to</w:t>
      </w:r>
      <w:r>
        <w:rPr>
          <w:rFonts w:ascii="Times New Roman" w:hAnsi="Times New Roman" w:cs="Times New Roman"/>
          <w:i/>
          <w:iCs/>
          <w:snapToGrid w:val="0"/>
          <w:lang w:val="lv-LV"/>
        </w:rPr>
        <w:t xml:space="preserve">, ka </w:t>
      </w:r>
      <w:r>
        <w:rPr>
          <w:rFonts w:ascii="Times New Roman" w:hAnsi="Times New Roman" w:cs="Times New Roman"/>
          <w:snapToGrid w:val="0"/>
          <w:lang w:val="lv-LV"/>
        </w:rPr>
        <w:t xml:space="preserve">arktiskās ekosistēmas un </w:t>
      </w:r>
      <w:r w:rsidR="00987D79">
        <w:rPr>
          <w:rFonts w:ascii="Times New Roman" w:hAnsi="Times New Roman" w:cs="Times New Roman"/>
          <w:snapToGrid w:val="0"/>
          <w:lang w:val="lv-LV"/>
        </w:rPr>
        <w:t>vietēj</w:t>
      </w:r>
      <w:r>
        <w:rPr>
          <w:rFonts w:ascii="Times New Roman" w:hAnsi="Times New Roman" w:cs="Times New Roman"/>
          <w:snapToGrid w:val="0"/>
          <w:lang w:val="lv-LV"/>
        </w:rPr>
        <w:t xml:space="preserve">o </w:t>
      </w:r>
      <w:r w:rsidR="00987D79">
        <w:rPr>
          <w:rFonts w:ascii="Times New Roman" w:hAnsi="Times New Roman" w:cs="Times New Roman"/>
          <w:snapToGrid w:val="0"/>
          <w:lang w:val="lv-LV"/>
        </w:rPr>
        <w:t xml:space="preserve">iedzīvotāju </w:t>
      </w:r>
      <w:r>
        <w:rPr>
          <w:rFonts w:ascii="Times New Roman" w:hAnsi="Times New Roman" w:cs="Times New Roman"/>
          <w:snapToGrid w:val="0"/>
          <w:lang w:val="lv-LV"/>
        </w:rPr>
        <w:t xml:space="preserve">kopienas ir īpaši neaizsargātas, jo notiek dzīvsudraba bioloģiskā pastiprināšanās un tradicionālā pārtika ir piesārņota, kā arī paužot vispārējas raizes par </w:t>
      </w:r>
      <w:r w:rsidR="00987D79">
        <w:rPr>
          <w:rFonts w:ascii="Times New Roman" w:hAnsi="Times New Roman" w:cs="Times New Roman"/>
          <w:snapToGrid w:val="0"/>
          <w:lang w:val="lv-LV"/>
        </w:rPr>
        <w:t>vietējo iedzīvotāju</w:t>
      </w:r>
      <w:r>
        <w:rPr>
          <w:rFonts w:ascii="Times New Roman" w:hAnsi="Times New Roman" w:cs="Times New Roman"/>
          <w:snapToGrid w:val="0"/>
          <w:lang w:val="lv-LV"/>
        </w:rPr>
        <w:t xml:space="preserve"> kopienām saistībā ar dzīvsudraba iedarbību</w:t>
      </w:r>
      <w:r w:rsidR="00987D79">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apzinoties</w:t>
      </w:r>
      <w:r>
        <w:rPr>
          <w:rFonts w:ascii="Times New Roman" w:hAnsi="Times New Roman" w:cs="Times New Roman"/>
          <w:snapToGrid w:val="0"/>
          <w:lang w:val="lv-LV"/>
        </w:rPr>
        <w:t xml:space="preserve"> </w:t>
      </w:r>
      <w:r w:rsidR="00987D79">
        <w:rPr>
          <w:rFonts w:ascii="Times New Roman" w:hAnsi="Times New Roman" w:cs="Times New Roman"/>
          <w:snapToGrid w:val="0"/>
          <w:lang w:val="lv-LV"/>
        </w:rPr>
        <w:t xml:space="preserve">svarīgo </w:t>
      </w:r>
      <w:r>
        <w:rPr>
          <w:rFonts w:ascii="Times New Roman" w:hAnsi="Times New Roman" w:cs="Times New Roman"/>
          <w:snapToGrid w:val="0"/>
          <w:lang w:val="lv-LV"/>
        </w:rPr>
        <w:t xml:space="preserve">mācību, ko var gūt saistībā ar Minamatas slimību un jo </w:t>
      </w:r>
      <w:r w:rsidR="00987D79">
        <w:rPr>
          <w:rFonts w:ascii="Times New Roman" w:hAnsi="Times New Roman" w:cs="Times New Roman"/>
          <w:snapToGrid w:val="0"/>
          <w:lang w:val="lv-LV"/>
        </w:rPr>
        <w:t>īpaš</w:t>
      </w:r>
      <w:r>
        <w:rPr>
          <w:rFonts w:ascii="Times New Roman" w:hAnsi="Times New Roman" w:cs="Times New Roman"/>
          <w:snapToGrid w:val="0"/>
          <w:lang w:val="lv-LV"/>
        </w:rPr>
        <w:t xml:space="preserve">i saistībā ar nopietno ietekmi uz veselību un apkārtējo vidi, kas rodas dzīvsudraba piesārņojuma dēļ, kā arī nepieciešamību nodrošināt pareizu </w:t>
      </w:r>
      <w:r w:rsidR="00F34F7D">
        <w:rPr>
          <w:rFonts w:ascii="Times New Roman" w:hAnsi="Times New Roman" w:cs="Times New Roman"/>
          <w:snapToGrid w:val="0"/>
          <w:lang w:val="lv-LV"/>
        </w:rPr>
        <w:t>dzīvsudraba apsaimniekošanu</w:t>
      </w:r>
      <w:r>
        <w:rPr>
          <w:rFonts w:ascii="Times New Roman" w:hAnsi="Times New Roman" w:cs="Times New Roman"/>
          <w:snapToGrid w:val="0"/>
          <w:lang w:val="lv-LV"/>
        </w:rPr>
        <w:t xml:space="preserve"> un šādu notikumu novēršanu nākotnē</w:t>
      </w:r>
      <w:r w:rsidR="00F34F7D">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uzsverot</w:t>
      </w:r>
      <w:r w:rsidR="00F34F7D">
        <w:rPr>
          <w:rFonts w:ascii="Times New Roman" w:hAnsi="Times New Roman" w:cs="Times New Roman"/>
          <w:snapToGrid w:val="0"/>
          <w:lang w:val="lv-LV"/>
        </w:rPr>
        <w:t xml:space="preserve"> to, cik svarīgi</w:t>
      </w:r>
      <w:r>
        <w:rPr>
          <w:rFonts w:ascii="Times New Roman" w:hAnsi="Times New Roman" w:cs="Times New Roman"/>
          <w:snapToGrid w:val="0"/>
          <w:lang w:val="lv-LV"/>
        </w:rPr>
        <w:t xml:space="preserve"> ir </w:t>
      </w:r>
      <w:r w:rsidR="00F34F7D">
        <w:rPr>
          <w:rFonts w:ascii="Times New Roman" w:hAnsi="Times New Roman" w:cs="Times New Roman"/>
          <w:snapToGrid w:val="0"/>
          <w:lang w:val="lv-LV"/>
        </w:rPr>
        <w:t>sniegt finansiālo, tehnisko, tehnoloģisko</w:t>
      </w:r>
      <w:r>
        <w:rPr>
          <w:rFonts w:ascii="Times New Roman" w:hAnsi="Times New Roman" w:cs="Times New Roman"/>
          <w:snapToGrid w:val="0"/>
          <w:lang w:val="lv-LV"/>
        </w:rPr>
        <w:t xml:space="preserve"> un </w:t>
      </w:r>
      <w:r w:rsidR="00D9092E">
        <w:rPr>
          <w:rFonts w:ascii="Times New Roman" w:hAnsi="Times New Roman" w:cs="Times New Roman"/>
          <w:snapToGrid w:val="0"/>
          <w:lang w:val="lv-LV"/>
        </w:rPr>
        <w:t xml:space="preserve">rīcībspējas </w:t>
      </w:r>
      <w:r w:rsidR="00F34F7D">
        <w:rPr>
          <w:rFonts w:ascii="Times New Roman" w:hAnsi="Times New Roman" w:cs="Times New Roman"/>
          <w:snapToGrid w:val="0"/>
          <w:lang w:val="lv-LV"/>
        </w:rPr>
        <w:t>palielināšanas atbalstu</w:t>
      </w:r>
      <w:r>
        <w:rPr>
          <w:rFonts w:ascii="Times New Roman" w:hAnsi="Times New Roman" w:cs="Times New Roman"/>
          <w:snapToGrid w:val="0"/>
          <w:lang w:val="lv-LV"/>
        </w:rPr>
        <w:t xml:space="preserve">, </w:t>
      </w:r>
      <w:r w:rsidR="00F34F7D">
        <w:rPr>
          <w:rFonts w:ascii="Times New Roman" w:hAnsi="Times New Roman" w:cs="Times New Roman"/>
          <w:snapToGrid w:val="0"/>
          <w:lang w:val="lv-LV"/>
        </w:rPr>
        <w:t xml:space="preserve">it īpaši </w:t>
      </w:r>
      <w:r>
        <w:rPr>
          <w:rFonts w:ascii="Times New Roman" w:hAnsi="Times New Roman" w:cs="Times New Roman"/>
          <w:snapToGrid w:val="0"/>
          <w:lang w:val="lv-LV"/>
        </w:rPr>
        <w:t xml:space="preserve">jaunattīstības valstīm un tām valstīm, kuru ekonomika ir pārejas stadijā, lai stiprinātu šo valstu iespējas dzīvsudraba </w:t>
      </w:r>
      <w:r w:rsidR="00F34F7D">
        <w:rPr>
          <w:rFonts w:ascii="Times New Roman" w:hAnsi="Times New Roman" w:cs="Times New Roman"/>
          <w:snapToGrid w:val="0"/>
          <w:lang w:val="lv-LV"/>
        </w:rPr>
        <w:t>apsaimniekošan</w:t>
      </w:r>
      <w:r>
        <w:rPr>
          <w:rFonts w:ascii="Times New Roman" w:hAnsi="Times New Roman" w:cs="Times New Roman"/>
          <w:snapToGrid w:val="0"/>
          <w:lang w:val="lv-LV"/>
        </w:rPr>
        <w:t xml:space="preserve">as jomā un veicinātu </w:t>
      </w:r>
      <w:r w:rsidR="00F34F7D">
        <w:rPr>
          <w:rFonts w:ascii="Times New Roman" w:hAnsi="Times New Roman" w:cs="Times New Roman"/>
          <w:snapToGrid w:val="0"/>
          <w:lang w:val="lv-LV"/>
        </w:rPr>
        <w:t>sekmīg</w:t>
      </w:r>
      <w:r>
        <w:rPr>
          <w:rFonts w:ascii="Times New Roman" w:hAnsi="Times New Roman" w:cs="Times New Roman"/>
          <w:snapToGrid w:val="0"/>
          <w:lang w:val="lv-LV"/>
        </w:rPr>
        <w:t>u konvencijas īstenošanu</w:t>
      </w:r>
      <w:r w:rsidR="00F34F7D">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ED2C43">
      <w:pPr>
        <w:jc w:val="both"/>
        <w:rPr>
          <w:rFonts w:ascii="Times New Roman" w:hAnsi="Times New Roman" w:cs="Times New Roman"/>
          <w:snapToGrid w:val="0"/>
          <w:lang w:val="lv-LV"/>
        </w:rPr>
      </w:pPr>
      <w:r>
        <w:rPr>
          <w:rFonts w:ascii="Times New Roman" w:hAnsi="Times New Roman" w:cs="Times New Roman"/>
          <w:i/>
          <w:iCs/>
          <w:snapToGrid w:val="0"/>
          <w:lang w:val="lv-LV"/>
        </w:rPr>
        <w:t>atzinīgi vērtējot</w:t>
      </w:r>
      <w:r w:rsidR="0060722E">
        <w:rPr>
          <w:rFonts w:ascii="Times New Roman" w:hAnsi="Times New Roman" w:cs="Times New Roman"/>
          <w:i/>
          <w:iCs/>
          <w:snapToGrid w:val="0"/>
          <w:lang w:val="lv-LV"/>
        </w:rPr>
        <w:t xml:space="preserve"> </w:t>
      </w:r>
      <w:r w:rsidR="0060722E">
        <w:rPr>
          <w:rFonts w:ascii="Times New Roman" w:hAnsi="Times New Roman" w:cs="Times New Roman"/>
          <w:snapToGrid w:val="0"/>
          <w:lang w:val="lv-LV"/>
        </w:rPr>
        <w:t xml:space="preserve">Pasaules Veselības organizācijas </w:t>
      </w:r>
      <w:r w:rsidR="00F34F7D">
        <w:rPr>
          <w:rFonts w:ascii="Times New Roman" w:hAnsi="Times New Roman" w:cs="Times New Roman"/>
          <w:snapToGrid w:val="0"/>
          <w:lang w:val="lv-LV"/>
        </w:rPr>
        <w:t>aktivitātes cilvēku</w:t>
      </w:r>
      <w:r>
        <w:rPr>
          <w:rFonts w:ascii="Times New Roman" w:hAnsi="Times New Roman" w:cs="Times New Roman"/>
          <w:snapToGrid w:val="0"/>
          <w:lang w:val="lv-LV"/>
        </w:rPr>
        <w:t xml:space="preserve"> veselības aizsardzības jomā</w:t>
      </w:r>
      <w:r w:rsidR="0060722E">
        <w:rPr>
          <w:rFonts w:ascii="Times New Roman" w:hAnsi="Times New Roman" w:cs="Times New Roman"/>
          <w:snapToGrid w:val="0"/>
          <w:lang w:val="lv-LV"/>
        </w:rPr>
        <w:t xml:space="preserve"> saistībā ar </w:t>
      </w:r>
      <w:r w:rsidR="009C543A">
        <w:rPr>
          <w:rFonts w:ascii="Times New Roman" w:hAnsi="Times New Roman" w:cs="Times New Roman"/>
          <w:snapToGrid w:val="0"/>
          <w:lang w:val="lv-LV"/>
        </w:rPr>
        <w:t>dzīvsudrabu</w:t>
      </w:r>
      <w:r w:rsidR="0060722E" w:rsidRPr="00ED2C43">
        <w:rPr>
          <w:rFonts w:ascii="Times New Roman" w:hAnsi="Times New Roman" w:cs="Times New Roman"/>
          <w:snapToGrid w:val="0"/>
          <w:lang w:val="lv-LV"/>
        </w:rPr>
        <w:t xml:space="preserve"> </w:t>
      </w:r>
      <w:r w:rsidR="0060722E">
        <w:rPr>
          <w:rFonts w:ascii="Times New Roman" w:hAnsi="Times New Roman" w:cs="Times New Roman"/>
          <w:snapToGrid w:val="0"/>
          <w:lang w:val="lv-LV"/>
        </w:rPr>
        <w:t xml:space="preserve">un </w:t>
      </w:r>
      <w:r>
        <w:rPr>
          <w:rFonts w:ascii="Times New Roman" w:hAnsi="Times New Roman" w:cs="Times New Roman"/>
          <w:snapToGrid w:val="0"/>
          <w:lang w:val="lv-LV"/>
        </w:rPr>
        <w:t xml:space="preserve">apzinoties </w:t>
      </w:r>
      <w:r w:rsidR="0060722E">
        <w:rPr>
          <w:rFonts w:ascii="Times New Roman" w:hAnsi="Times New Roman" w:cs="Times New Roman"/>
          <w:snapToGrid w:val="0"/>
          <w:lang w:val="lv-LV"/>
        </w:rPr>
        <w:t xml:space="preserve">to, kāda nozīme ir attiecīgajiem daudzpusējiem līgumiem apkārtējās vides jomā, jo </w:t>
      </w:r>
      <w:r>
        <w:rPr>
          <w:rFonts w:ascii="Times New Roman" w:hAnsi="Times New Roman" w:cs="Times New Roman"/>
          <w:snapToGrid w:val="0"/>
          <w:lang w:val="lv-LV"/>
        </w:rPr>
        <w:t>īpaš</w:t>
      </w:r>
      <w:r w:rsidR="0060722E">
        <w:rPr>
          <w:rFonts w:ascii="Times New Roman" w:hAnsi="Times New Roman" w:cs="Times New Roman"/>
          <w:snapToGrid w:val="0"/>
          <w:lang w:val="lv-LV"/>
        </w:rPr>
        <w:t>i Bāzeles konvencijai par bīstamo atkritumu pārrobežu transporta kontroli un to galējo apstrādi un Roterdamas konvencijai par iepriekš norunātas piekrišanas procedūru attiecībā uz dažām bīstamām ķīmiskām vielām un pesticīdiem starptautiskajā tirdzniecībā</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 xml:space="preserve">apzinoties, </w:t>
      </w:r>
      <w:r>
        <w:rPr>
          <w:rFonts w:ascii="Times New Roman" w:hAnsi="Times New Roman" w:cs="Times New Roman"/>
          <w:snapToGrid w:val="0"/>
          <w:lang w:val="lv-LV"/>
        </w:rPr>
        <w:t xml:space="preserve">ka šī konvencija un citi starptautiskie līgumi apkārtējās vides jomā un tirdzniecībā </w:t>
      </w:r>
      <w:r w:rsidRPr="00ED2C43">
        <w:rPr>
          <w:rFonts w:ascii="Times New Roman" w:hAnsi="Times New Roman" w:cs="Times New Roman"/>
          <w:snapToGrid w:val="0"/>
          <w:lang w:val="lv-LV"/>
        </w:rPr>
        <w:t>ir savstarpēji saskanīgi</w:t>
      </w:r>
      <w:r w:rsidR="00ED2C43">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lastRenderedPageBreak/>
        <w:t xml:space="preserve">uzsverot to, </w:t>
      </w:r>
      <w:r>
        <w:rPr>
          <w:rFonts w:ascii="Times New Roman" w:hAnsi="Times New Roman" w:cs="Times New Roman"/>
          <w:snapToGrid w:val="0"/>
          <w:lang w:val="lv-LV"/>
        </w:rPr>
        <w:t xml:space="preserve">ka šīs konvencijas noteikumi nekādā gadījumā neietekmē nevienas </w:t>
      </w:r>
      <w:r w:rsidR="00762D21">
        <w:rPr>
          <w:rFonts w:ascii="Times New Roman" w:hAnsi="Times New Roman" w:cs="Times New Roman"/>
          <w:snapToGrid w:val="0"/>
          <w:lang w:val="lv-LV"/>
        </w:rPr>
        <w:t>puse</w:t>
      </w:r>
      <w:r>
        <w:rPr>
          <w:rFonts w:ascii="Times New Roman" w:hAnsi="Times New Roman" w:cs="Times New Roman"/>
          <w:snapToGrid w:val="0"/>
          <w:lang w:val="lv-LV"/>
        </w:rPr>
        <w:t xml:space="preserve">s tiesības un pienākumus, kuri izriet no </w:t>
      </w:r>
      <w:r w:rsidR="00ED2C43">
        <w:rPr>
          <w:rFonts w:ascii="Times New Roman" w:hAnsi="Times New Roman" w:cs="Times New Roman"/>
          <w:snapToGrid w:val="0"/>
          <w:lang w:val="lv-LV"/>
        </w:rPr>
        <w:t>kād</w:t>
      </w:r>
      <w:r>
        <w:rPr>
          <w:rFonts w:ascii="Times New Roman" w:hAnsi="Times New Roman" w:cs="Times New Roman"/>
          <w:snapToGrid w:val="0"/>
          <w:lang w:val="lv-LV"/>
        </w:rPr>
        <w:t>a spēkā esoša starptautiskā līguma</w:t>
      </w:r>
      <w:r w:rsidR="00ED2C43">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ED2C43">
      <w:pPr>
        <w:jc w:val="both"/>
        <w:rPr>
          <w:rFonts w:ascii="Times New Roman" w:hAnsi="Times New Roman" w:cs="Times New Roman"/>
          <w:snapToGrid w:val="0"/>
          <w:lang w:val="lv-LV"/>
        </w:rPr>
      </w:pPr>
      <w:r>
        <w:rPr>
          <w:rFonts w:ascii="Times New Roman" w:hAnsi="Times New Roman" w:cs="Times New Roman"/>
          <w:i/>
          <w:iCs/>
          <w:snapToGrid w:val="0"/>
          <w:lang w:val="lv-LV"/>
        </w:rPr>
        <w:t xml:space="preserve">pieņemot </w:t>
      </w:r>
      <w:r w:rsidR="0060722E">
        <w:rPr>
          <w:rFonts w:ascii="Times New Roman" w:hAnsi="Times New Roman" w:cs="Times New Roman"/>
          <w:i/>
          <w:iCs/>
          <w:snapToGrid w:val="0"/>
          <w:lang w:val="lv-LV"/>
        </w:rPr>
        <w:t>to</w:t>
      </w:r>
      <w:r w:rsidR="0060722E">
        <w:rPr>
          <w:rFonts w:ascii="Times New Roman" w:hAnsi="Times New Roman" w:cs="Times New Roman"/>
          <w:snapToGrid w:val="0"/>
          <w:lang w:val="lv-LV"/>
        </w:rPr>
        <w:t>, ka iepriekšminētais nekādā gadījumā neparedz hierarhisku pakārtotību starp šo konvenciju un citiem starptautiskiem līgumiem</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r>
        <w:rPr>
          <w:rFonts w:ascii="Times New Roman" w:hAnsi="Times New Roman" w:cs="Times New Roman"/>
          <w:i/>
          <w:iCs/>
          <w:snapToGrid w:val="0"/>
          <w:lang w:val="lv-LV"/>
        </w:rPr>
        <w:t xml:space="preserve">ņemot vērā to, </w:t>
      </w:r>
      <w:r>
        <w:rPr>
          <w:rFonts w:ascii="Times New Roman" w:hAnsi="Times New Roman" w:cs="Times New Roman"/>
          <w:snapToGrid w:val="0"/>
          <w:lang w:val="lv-LV"/>
        </w:rPr>
        <w:t xml:space="preserve">ka šīs konvencijas noteikumi nekādā gadījumā neliedz nevienai </w:t>
      </w:r>
      <w:r w:rsidR="00762D21">
        <w:rPr>
          <w:rFonts w:ascii="Times New Roman" w:hAnsi="Times New Roman" w:cs="Times New Roman"/>
          <w:snapToGrid w:val="0"/>
          <w:lang w:val="lv-LV"/>
        </w:rPr>
        <w:t xml:space="preserve">pusei </w:t>
      </w:r>
      <w:r>
        <w:rPr>
          <w:rFonts w:ascii="Times New Roman" w:hAnsi="Times New Roman" w:cs="Times New Roman"/>
          <w:snapToGrid w:val="0"/>
          <w:lang w:val="lv-LV"/>
        </w:rPr>
        <w:t xml:space="preserve">veikt konvencijas noteikumiem atbilstošus papildpasākumus valstī, lai aizsargātu cilvēku veselību un apkārtējo vidi no dzīvsudraba iedarbības saskaņā ar attiecīgās </w:t>
      </w:r>
      <w:r w:rsidR="00762D21">
        <w:rPr>
          <w:rFonts w:ascii="Times New Roman" w:hAnsi="Times New Roman" w:cs="Times New Roman"/>
          <w:snapToGrid w:val="0"/>
          <w:lang w:val="lv-LV"/>
        </w:rPr>
        <w:t>puse</w:t>
      </w:r>
      <w:r w:rsidR="00ED2C43">
        <w:rPr>
          <w:rFonts w:ascii="Times New Roman" w:hAnsi="Times New Roman" w:cs="Times New Roman"/>
          <w:snapToGrid w:val="0"/>
          <w:lang w:val="lv-LV"/>
        </w:rPr>
        <w:t>s citām saistībām, kuras</w:t>
      </w:r>
      <w:r>
        <w:rPr>
          <w:rFonts w:ascii="Times New Roman" w:hAnsi="Times New Roman" w:cs="Times New Roman"/>
          <w:snapToGrid w:val="0"/>
          <w:lang w:val="lv-LV"/>
        </w:rPr>
        <w:t xml:space="preserve"> nosaka piemērojamie starptautiskie tiesību akti,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ir vienojušās par turpmāko.</w:t>
      </w:r>
    </w:p>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bookmarkStart w:id="1" w:name="bookmark1"/>
      <w:r>
        <w:rPr>
          <w:rFonts w:ascii="Times New Roman" w:hAnsi="Times New Roman" w:cs="Times New Roman"/>
          <w:b/>
          <w:bCs/>
          <w:snapToGrid w:val="0"/>
          <w:sz w:val="28"/>
          <w:szCs w:val="28"/>
          <w:lang w:val="lv-LV"/>
        </w:rPr>
        <w:t>1. pants</w:t>
      </w:r>
    </w:p>
    <w:bookmarkEnd w:id="1"/>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Mērķis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Šīs konvencijas mērķis ir aizsargāt cilvēku veselību un apkārtējo vidi pret dzīvsudraba un dzīvsudraba savienojumu antropogēn</w:t>
      </w:r>
      <w:r w:rsidR="00D91ADF">
        <w:rPr>
          <w:rFonts w:ascii="Times New Roman" w:hAnsi="Times New Roman" w:cs="Times New Roman"/>
          <w:snapToGrid w:val="0"/>
          <w:lang w:val="lv-LV"/>
        </w:rPr>
        <w:t>aj</w:t>
      </w:r>
      <w:r>
        <w:rPr>
          <w:rFonts w:ascii="Times New Roman" w:hAnsi="Times New Roman" w:cs="Times New Roman"/>
          <w:snapToGrid w:val="0"/>
          <w:lang w:val="lv-LV"/>
        </w:rPr>
        <w:t>ām emisijām un noplūdēm.</w:t>
      </w:r>
    </w:p>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bookmarkStart w:id="2" w:name="bookmark2"/>
      <w:r>
        <w:rPr>
          <w:rFonts w:ascii="Times New Roman" w:hAnsi="Times New Roman" w:cs="Times New Roman"/>
          <w:b/>
          <w:bCs/>
          <w:snapToGrid w:val="0"/>
          <w:sz w:val="28"/>
          <w:szCs w:val="28"/>
          <w:lang w:val="lv-LV"/>
        </w:rPr>
        <w:t>2. pants</w:t>
      </w:r>
    </w:p>
    <w:bookmarkEnd w:id="2"/>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Definīcijas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Šajā konvencijā</w:t>
      </w:r>
      <w:r w:rsidR="00D91ADF" w:rsidRPr="00D91ADF">
        <w:rPr>
          <w:rFonts w:ascii="Times New Roman" w:hAnsi="Times New Roman" w:cs="Times New Roman"/>
          <w:snapToGrid w:val="0"/>
          <w:lang w:val="lv-LV"/>
        </w:rPr>
        <w:t xml:space="preserve"> </w:t>
      </w:r>
      <w:r w:rsidR="00D91ADF">
        <w:rPr>
          <w:rFonts w:ascii="Times New Roman" w:hAnsi="Times New Roman" w:cs="Times New Roman"/>
          <w:snapToGrid w:val="0"/>
          <w:lang w:val="lv-LV"/>
        </w:rPr>
        <w:t>attiecīgie termini lietoti turpmāk minētajā nozīmē</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ED2C43">
      <w:pPr>
        <w:jc w:val="both"/>
        <w:rPr>
          <w:rFonts w:ascii="Times New Roman" w:hAnsi="Times New Roman" w:cs="Times New Roman"/>
          <w:snapToGrid w:val="0"/>
          <w:lang w:val="lv-LV"/>
        </w:rPr>
      </w:pPr>
      <w:r>
        <w:rPr>
          <w:rFonts w:ascii="Times New Roman" w:hAnsi="Times New Roman" w:cs="Times New Roman"/>
          <w:snapToGrid w:val="0"/>
          <w:lang w:val="lv-LV"/>
        </w:rPr>
        <w:t>a) „</w:t>
      </w:r>
      <w:r w:rsidR="0060722E">
        <w:rPr>
          <w:rFonts w:ascii="Times New Roman" w:hAnsi="Times New Roman" w:cs="Times New Roman"/>
          <w:snapToGrid w:val="0"/>
          <w:lang w:val="lv-LV"/>
        </w:rPr>
        <w:t>nerūpnieciska</w:t>
      </w:r>
      <w:r>
        <w:rPr>
          <w:rFonts w:ascii="Times New Roman" w:hAnsi="Times New Roman" w:cs="Times New Roman"/>
          <w:snapToGrid w:val="0"/>
          <w:lang w:val="lv-LV"/>
        </w:rPr>
        <w:t xml:space="preserve"> un neliela apjoma zelta ieguve”</w:t>
      </w:r>
      <w:r w:rsidR="0060722E">
        <w:rPr>
          <w:rFonts w:ascii="Times New Roman" w:hAnsi="Times New Roman" w:cs="Times New Roman"/>
          <w:snapToGrid w:val="0"/>
          <w:lang w:val="lv-LV"/>
        </w:rPr>
        <w:t xml:space="preserve"> ir zelta ieguve, ko veic atsevišķi zeltrači vai </w:t>
      </w:r>
      <w:r w:rsidR="00D91ADF">
        <w:rPr>
          <w:rFonts w:ascii="Times New Roman" w:hAnsi="Times New Roman" w:cs="Times New Roman"/>
          <w:snapToGrid w:val="0"/>
          <w:lang w:val="lv-LV"/>
        </w:rPr>
        <w:t>neliel</w:t>
      </w:r>
      <w:r w:rsidR="0060722E">
        <w:rPr>
          <w:rFonts w:ascii="Times New Roman" w:hAnsi="Times New Roman" w:cs="Times New Roman"/>
          <w:snapToGrid w:val="0"/>
          <w:lang w:val="lv-LV"/>
        </w:rPr>
        <w:t>i uzņēmumi ar ierobežotiem kapitālieguldījumiem un ražošanu;</w:t>
      </w:r>
    </w:p>
    <w:p w:rsidR="0060722E" w:rsidRDefault="0060722E">
      <w:pPr>
        <w:jc w:val="both"/>
        <w:rPr>
          <w:rFonts w:ascii="Times New Roman" w:hAnsi="Times New Roman" w:cs="Times New Roman"/>
          <w:snapToGrid w:val="0"/>
          <w:lang w:val="lv-LV"/>
        </w:rPr>
      </w:pPr>
    </w:p>
    <w:p w:rsidR="0060722E" w:rsidRDefault="00ED2C43">
      <w:pPr>
        <w:jc w:val="both"/>
        <w:rPr>
          <w:rFonts w:ascii="Times New Roman" w:hAnsi="Times New Roman" w:cs="Times New Roman"/>
          <w:snapToGrid w:val="0"/>
          <w:lang w:val="lv-LV"/>
        </w:rPr>
      </w:pPr>
      <w:r>
        <w:rPr>
          <w:rFonts w:ascii="Times New Roman" w:hAnsi="Times New Roman" w:cs="Times New Roman"/>
          <w:snapToGrid w:val="0"/>
          <w:lang w:val="lv-LV"/>
        </w:rPr>
        <w:t>b) „</w:t>
      </w:r>
      <w:r w:rsidR="00F32658">
        <w:rPr>
          <w:rFonts w:ascii="Times New Roman" w:hAnsi="Times New Roman" w:cs="Times New Roman"/>
          <w:snapToGrid w:val="0"/>
          <w:lang w:val="lv-LV"/>
        </w:rPr>
        <w:t>labākie pieejamie tehniskie paņēmieni</w:t>
      </w:r>
      <w:r>
        <w:rPr>
          <w:rFonts w:ascii="Times New Roman" w:hAnsi="Times New Roman" w:cs="Times New Roman"/>
          <w:snapToGrid w:val="0"/>
          <w:lang w:val="lv-LV"/>
        </w:rPr>
        <w:t>”</w:t>
      </w:r>
      <w:r w:rsidR="0060722E">
        <w:rPr>
          <w:rFonts w:ascii="Times New Roman" w:hAnsi="Times New Roman" w:cs="Times New Roman"/>
          <w:snapToGrid w:val="0"/>
          <w:lang w:val="lv-LV"/>
        </w:rPr>
        <w:t xml:space="preserve"> ir </w:t>
      </w:r>
      <w:r w:rsidR="00F32658">
        <w:rPr>
          <w:rFonts w:ascii="Times New Roman" w:hAnsi="Times New Roman" w:cs="Times New Roman"/>
          <w:snapToGrid w:val="0"/>
          <w:lang w:val="lv-LV"/>
        </w:rPr>
        <w:t>tehniskie paņēmieni, kuri</w:t>
      </w:r>
      <w:r w:rsidR="0060722E">
        <w:rPr>
          <w:rFonts w:ascii="Times New Roman" w:hAnsi="Times New Roman" w:cs="Times New Roman"/>
          <w:snapToGrid w:val="0"/>
          <w:lang w:val="lv-LV"/>
        </w:rPr>
        <w:t xml:space="preserve"> ir vis</w:t>
      </w:r>
      <w:r>
        <w:rPr>
          <w:rFonts w:ascii="Times New Roman" w:hAnsi="Times New Roman" w:cs="Times New Roman"/>
          <w:snapToGrid w:val="0"/>
          <w:lang w:val="lv-LV"/>
        </w:rPr>
        <w:t>iedarbīgāk</w:t>
      </w:r>
      <w:r w:rsidR="00F32658">
        <w:rPr>
          <w:rFonts w:ascii="Times New Roman" w:hAnsi="Times New Roman" w:cs="Times New Roman"/>
          <w:snapToGrid w:val="0"/>
          <w:lang w:val="lv-LV"/>
        </w:rPr>
        <w:t>ie</w:t>
      </w:r>
      <w:r w:rsidR="0060722E">
        <w:rPr>
          <w:rFonts w:ascii="Times New Roman" w:hAnsi="Times New Roman" w:cs="Times New Roman"/>
          <w:snapToGrid w:val="0"/>
          <w:lang w:val="lv-LV"/>
        </w:rPr>
        <w:t>, lai novērstu vai, ja tas nav izpildāms, samazinātu dzīvsudraba emisijas un noplūdi gaisā, ūdenī un uz zemes un šādu emisiju un noplūdes iedarbību uz apkārtējo vidi kopumā, ņemot vērā ekonomiskos un tehniskos a</w:t>
      </w:r>
      <w:r w:rsidR="00762D21">
        <w:rPr>
          <w:rFonts w:ascii="Times New Roman" w:hAnsi="Times New Roman" w:cs="Times New Roman"/>
          <w:snapToGrid w:val="0"/>
          <w:lang w:val="lv-LV"/>
        </w:rPr>
        <w:t xml:space="preserve">psvērumus attiecībā uz konkrēto pusi </w:t>
      </w:r>
      <w:r w:rsidR="0060722E">
        <w:rPr>
          <w:rFonts w:ascii="Times New Roman" w:hAnsi="Times New Roman" w:cs="Times New Roman"/>
          <w:snapToGrid w:val="0"/>
          <w:lang w:val="lv-LV"/>
        </w:rPr>
        <w:t xml:space="preserve">vai konkrēto </w:t>
      </w:r>
      <w:r>
        <w:rPr>
          <w:rFonts w:ascii="Times New Roman" w:hAnsi="Times New Roman" w:cs="Times New Roman"/>
          <w:snapToGrid w:val="0"/>
          <w:lang w:val="lv-LV"/>
        </w:rPr>
        <w:t xml:space="preserve">ražotni </w:t>
      </w:r>
      <w:r w:rsidR="0060722E">
        <w:rPr>
          <w:rFonts w:ascii="Times New Roman" w:hAnsi="Times New Roman" w:cs="Times New Roman"/>
          <w:snapToGrid w:val="0"/>
          <w:lang w:val="lv-LV"/>
        </w:rPr>
        <w:t xml:space="preserve">attiecīgās puses teritorijā. Šajā </w:t>
      </w:r>
      <w:r>
        <w:rPr>
          <w:rFonts w:ascii="Times New Roman" w:hAnsi="Times New Roman" w:cs="Times New Roman"/>
          <w:snapToGrid w:val="0"/>
          <w:lang w:val="lv-LV"/>
        </w:rPr>
        <w:t>sakarīb</w:t>
      </w:r>
      <w:r w:rsidR="0060722E">
        <w:rPr>
          <w:rFonts w:ascii="Times New Roman" w:hAnsi="Times New Roman" w:cs="Times New Roman"/>
          <w:snapToGrid w:val="0"/>
          <w:lang w:val="lv-LV"/>
        </w:rPr>
        <w:t>ā:</w:t>
      </w:r>
    </w:p>
    <w:p w:rsidR="0060722E" w:rsidRDefault="0060722E">
      <w:pPr>
        <w:jc w:val="both"/>
        <w:rPr>
          <w:rFonts w:ascii="Times New Roman" w:hAnsi="Times New Roman" w:cs="Times New Roman"/>
          <w:snapToGrid w:val="0"/>
          <w:lang w:val="lv-LV"/>
        </w:rPr>
      </w:pPr>
    </w:p>
    <w:p w:rsidR="0060722E" w:rsidRDefault="00ED2C43">
      <w:pPr>
        <w:jc w:val="both"/>
        <w:rPr>
          <w:rFonts w:ascii="Times New Roman" w:hAnsi="Times New Roman" w:cs="Times New Roman"/>
          <w:snapToGrid w:val="0"/>
          <w:lang w:val="lv-LV"/>
        </w:rPr>
      </w:pPr>
      <w:r>
        <w:rPr>
          <w:rFonts w:ascii="Times New Roman" w:hAnsi="Times New Roman" w:cs="Times New Roman"/>
          <w:snapToGrid w:val="0"/>
          <w:lang w:val="lv-LV"/>
        </w:rPr>
        <w:t>i) „</w:t>
      </w:r>
      <w:r w:rsidR="00F32658">
        <w:rPr>
          <w:rFonts w:ascii="Times New Roman" w:hAnsi="Times New Roman" w:cs="Times New Roman"/>
          <w:snapToGrid w:val="0"/>
          <w:lang w:val="lv-LV"/>
        </w:rPr>
        <w:t>labākie</w:t>
      </w:r>
      <w:r w:rsidR="0060722E">
        <w:rPr>
          <w:rFonts w:ascii="Times New Roman" w:hAnsi="Times New Roman" w:cs="Times New Roman"/>
          <w:snapToGrid w:val="0"/>
          <w:lang w:val="lv-LV"/>
        </w:rPr>
        <w:t xml:space="preserve">” </w:t>
      </w:r>
      <w:r w:rsidR="00F32658">
        <w:rPr>
          <w:rFonts w:ascii="Times New Roman" w:hAnsi="Times New Roman" w:cs="Times New Roman"/>
          <w:snapToGrid w:val="0"/>
          <w:lang w:val="lv-LV"/>
        </w:rPr>
        <w:t>ir tie, kuri ir visiedarbīgākie</w:t>
      </w:r>
      <w:r w:rsidR="0060722E">
        <w:rPr>
          <w:rFonts w:ascii="Times New Roman" w:hAnsi="Times New Roman" w:cs="Times New Roman"/>
          <w:snapToGrid w:val="0"/>
          <w:lang w:val="lv-LV"/>
        </w:rPr>
        <w:t>, lai panāktu augstu vispārējo aizsardzības līmeni videi kopumā,</w:t>
      </w:r>
    </w:p>
    <w:p w:rsidR="0060722E" w:rsidRDefault="0060722E">
      <w:pPr>
        <w:jc w:val="both"/>
        <w:rPr>
          <w:rFonts w:ascii="Times New Roman" w:hAnsi="Times New Roman" w:cs="Times New Roman"/>
          <w:snapToGrid w:val="0"/>
          <w:lang w:val="lv-LV"/>
        </w:rPr>
      </w:pPr>
    </w:p>
    <w:p w:rsidR="0060722E" w:rsidRDefault="00ED2C43">
      <w:pPr>
        <w:jc w:val="both"/>
        <w:rPr>
          <w:rFonts w:ascii="Times New Roman" w:hAnsi="Times New Roman" w:cs="Times New Roman"/>
          <w:snapToGrid w:val="0"/>
          <w:lang w:val="lv-LV"/>
        </w:rPr>
      </w:pPr>
      <w:r>
        <w:rPr>
          <w:rFonts w:ascii="Times New Roman" w:hAnsi="Times New Roman" w:cs="Times New Roman"/>
          <w:snapToGrid w:val="0"/>
          <w:lang w:val="lv-LV"/>
        </w:rPr>
        <w:t>ii) „</w:t>
      </w:r>
      <w:r w:rsidR="00F32658">
        <w:rPr>
          <w:rFonts w:ascii="Times New Roman" w:hAnsi="Times New Roman" w:cs="Times New Roman"/>
          <w:snapToGrid w:val="0"/>
          <w:lang w:val="lv-LV"/>
        </w:rPr>
        <w:t>pieejamie</w:t>
      </w:r>
      <w:r>
        <w:rPr>
          <w:rFonts w:ascii="Times New Roman" w:hAnsi="Times New Roman" w:cs="Times New Roman"/>
          <w:snapToGrid w:val="0"/>
          <w:lang w:val="lv-LV"/>
        </w:rPr>
        <w:t>”</w:t>
      </w:r>
      <w:r w:rsidR="0060722E">
        <w:rPr>
          <w:rFonts w:ascii="Times New Roman" w:hAnsi="Times New Roman" w:cs="Times New Roman"/>
          <w:snapToGrid w:val="0"/>
          <w:lang w:val="lv-LV"/>
        </w:rPr>
        <w:t xml:space="preserve"> attiec</w:t>
      </w:r>
      <w:r w:rsidR="00762D21">
        <w:rPr>
          <w:rFonts w:ascii="Times New Roman" w:hAnsi="Times New Roman" w:cs="Times New Roman"/>
          <w:snapToGrid w:val="0"/>
          <w:lang w:val="lv-LV"/>
        </w:rPr>
        <w:t>ībā uz konkrēto</w:t>
      </w:r>
      <w:r>
        <w:rPr>
          <w:rFonts w:ascii="Times New Roman" w:hAnsi="Times New Roman" w:cs="Times New Roman"/>
          <w:snapToGrid w:val="0"/>
          <w:lang w:val="lv-LV"/>
        </w:rPr>
        <w:t xml:space="preserve"> </w:t>
      </w:r>
      <w:r w:rsidR="00762D21">
        <w:rPr>
          <w:rFonts w:ascii="Times New Roman" w:hAnsi="Times New Roman" w:cs="Times New Roman"/>
          <w:snapToGrid w:val="0"/>
          <w:lang w:val="lv-LV"/>
        </w:rPr>
        <w:t xml:space="preserve">pusi </w:t>
      </w:r>
      <w:r>
        <w:rPr>
          <w:rFonts w:ascii="Times New Roman" w:hAnsi="Times New Roman" w:cs="Times New Roman"/>
          <w:snapToGrid w:val="0"/>
          <w:lang w:val="lv-LV"/>
        </w:rPr>
        <w:t xml:space="preserve">un konkrēto ražotni </w:t>
      </w:r>
      <w:r w:rsidR="0060722E">
        <w:rPr>
          <w:rFonts w:ascii="Times New Roman" w:hAnsi="Times New Roman" w:cs="Times New Roman"/>
          <w:snapToGrid w:val="0"/>
          <w:lang w:val="lv-LV"/>
        </w:rPr>
        <w:t xml:space="preserve">šīs </w:t>
      </w:r>
      <w:r w:rsidR="00762D21">
        <w:rPr>
          <w:rFonts w:ascii="Times New Roman" w:hAnsi="Times New Roman" w:cs="Times New Roman"/>
          <w:snapToGrid w:val="0"/>
          <w:lang w:val="lv-LV"/>
        </w:rPr>
        <w:t>puse</w:t>
      </w:r>
      <w:r w:rsidR="0060722E">
        <w:rPr>
          <w:rFonts w:ascii="Times New Roman" w:hAnsi="Times New Roman" w:cs="Times New Roman"/>
          <w:snapToGrid w:val="0"/>
          <w:lang w:val="lv-LV"/>
        </w:rPr>
        <w:t>s teritorijā nozīmē</w:t>
      </w:r>
      <w:r>
        <w:rPr>
          <w:rFonts w:ascii="Times New Roman" w:hAnsi="Times New Roman" w:cs="Times New Roman"/>
          <w:snapToGrid w:val="0"/>
          <w:lang w:val="lv-LV"/>
        </w:rPr>
        <w:t xml:space="preserve"> to</w:t>
      </w:r>
      <w:r w:rsidR="00F32658">
        <w:rPr>
          <w:rFonts w:ascii="Times New Roman" w:hAnsi="Times New Roman" w:cs="Times New Roman"/>
          <w:snapToGrid w:val="0"/>
          <w:lang w:val="lv-LV"/>
        </w:rPr>
        <w:t>, ka šie tehniskie paņēmieni</w:t>
      </w:r>
      <w:r w:rsidR="0060722E">
        <w:rPr>
          <w:rFonts w:ascii="Times New Roman" w:hAnsi="Times New Roman" w:cs="Times New Roman"/>
          <w:snapToGrid w:val="0"/>
          <w:lang w:val="lv-LV"/>
        </w:rPr>
        <w:t xml:space="preserve"> </w:t>
      </w:r>
      <w:r w:rsidR="00F32658">
        <w:rPr>
          <w:rFonts w:ascii="Times New Roman" w:hAnsi="Times New Roman" w:cs="Times New Roman"/>
          <w:snapToGrid w:val="0"/>
          <w:lang w:val="lv-LV"/>
        </w:rPr>
        <w:t>ir izstrādāti tādā mērogā, kas to</w:t>
      </w:r>
      <w:r w:rsidR="0060722E">
        <w:rPr>
          <w:rFonts w:ascii="Times New Roman" w:hAnsi="Times New Roman" w:cs="Times New Roman"/>
          <w:snapToGrid w:val="0"/>
          <w:lang w:val="lv-LV"/>
        </w:rPr>
        <w:t xml:space="preserve">s </w:t>
      </w:r>
      <w:r w:rsidR="00570656">
        <w:rPr>
          <w:rFonts w:ascii="Times New Roman" w:hAnsi="Times New Roman" w:cs="Times New Roman"/>
          <w:snapToGrid w:val="0"/>
          <w:lang w:val="lv-LV"/>
        </w:rPr>
        <w:t xml:space="preserve">var izmantot </w:t>
      </w:r>
      <w:r w:rsidR="0060722E">
        <w:rPr>
          <w:rFonts w:ascii="Times New Roman" w:hAnsi="Times New Roman" w:cs="Times New Roman"/>
          <w:snapToGrid w:val="0"/>
          <w:lang w:val="lv-LV"/>
        </w:rPr>
        <w:t>at</w:t>
      </w:r>
      <w:r w:rsidR="00570656">
        <w:rPr>
          <w:rFonts w:ascii="Times New Roman" w:hAnsi="Times New Roman" w:cs="Times New Roman"/>
          <w:snapToGrid w:val="0"/>
          <w:lang w:val="lv-LV"/>
        </w:rPr>
        <w:t>tiecīg</w:t>
      </w:r>
      <w:r w:rsidR="0060722E">
        <w:rPr>
          <w:rFonts w:ascii="Times New Roman" w:hAnsi="Times New Roman" w:cs="Times New Roman"/>
          <w:snapToGrid w:val="0"/>
          <w:lang w:val="lv-LV"/>
        </w:rPr>
        <w:t>ajā rūpniec</w:t>
      </w:r>
      <w:r w:rsidR="00570656">
        <w:rPr>
          <w:rFonts w:ascii="Times New Roman" w:hAnsi="Times New Roman" w:cs="Times New Roman"/>
          <w:snapToGrid w:val="0"/>
          <w:lang w:val="lv-LV"/>
        </w:rPr>
        <w:t>ības</w:t>
      </w:r>
      <w:r w:rsidR="0060722E">
        <w:rPr>
          <w:rFonts w:ascii="Times New Roman" w:hAnsi="Times New Roman" w:cs="Times New Roman"/>
          <w:snapToGrid w:val="0"/>
          <w:lang w:val="lv-LV"/>
        </w:rPr>
        <w:t xml:space="preserve"> nozarē ekonomiski un tehniski </w:t>
      </w:r>
      <w:r w:rsidR="00AA69F9">
        <w:rPr>
          <w:rFonts w:ascii="Times New Roman" w:hAnsi="Times New Roman" w:cs="Times New Roman"/>
          <w:snapToGrid w:val="0"/>
          <w:lang w:val="lv-LV"/>
        </w:rPr>
        <w:t>dzīvotspējīg</w:t>
      </w:r>
      <w:r w:rsidR="0060722E">
        <w:rPr>
          <w:rFonts w:ascii="Times New Roman" w:hAnsi="Times New Roman" w:cs="Times New Roman"/>
          <w:snapToGrid w:val="0"/>
          <w:lang w:val="lv-LV"/>
        </w:rPr>
        <w:t>os apstākļos, ņemot vērā izmaksas un ieguv</w:t>
      </w:r>
      <w:r w:rsidR="00F32658">
        <w:rPr>
          <w:rFonts w:ascii="Times New Roman" w:hAnsi="Times New Roman" w:cs="Times New Roman"/>
          <w:snapToGrid w:val="0"/>
          <w:lang w:val="lv-LV"/>
        </w:rPr>
        <w:t>umus, neatkarīgi no tā, vai šie</w:t>
      </w:r>
      <w:r w:rsidR="0060722E">
        <w:rPr>
          <w:rFonts w:ascii="Times New Roman" w:hAnsi="Times New Roman" w:cs="Times New Roman"/>
          <w:snapToGrid w:val="0"/>
          <w:lang w:val="lv-LV"/>
        </w:rPr>
        <w:t xml:space="preserve"> </w:t>
      </w:r>
      <w:r w:rsidR="00F32658">
        <w:rPr>
          <w:rFonts w:ascii="Times New Roman" w:hAnsi="Times New Roman" w:cs="Times New Roman"/>
          <w:snapToGrid w:val="0"/>
          <w:lang w:val="lv-LV"/>
        </w:rPr>
        <w:t>tehniskie paņēmieni tiek izmantoti vai izstrādāti</w:t>
      </w:r>
      <w:r w:rsidR="0060722E">
        <w:rPr>
          <w:rFonts w:ascii="Times New Roman" w:hAnsi="Times New Roman" w:cs="Times New Roman"/>
          <w:snapToGrid w:val="0"/>
          <w:lang w:val="lv-LV"/>
        </w:rPr>
        <w:t xml:space="preserve"> šīs </w:t>
      </w:r>
      <w:r w:rsidR="00762D21">
        <w:rPr>
          <w:rFonts w:ascii="Times New Roman" w:hAnsi="Times New Roman" w:cs="Times New Roman"/>
          <w:snapToGrid w:val="0"/>
          <w:lang w:val="lv-LV"/>
        </w:rPr>
        <w:t>puse</w:t>
      </w:r>
      <w:r w:rsidR="0060722E">
        <w:rPr>
          <w:rFonts w:ascii="Times New Roman" w:hAnsi="Times New Roman" w:cs="Times New Roman"/>
          <w:snapToGrid w:val="0"/>
          <w:lang w:val="lv-LV"/>
        </w:rPr>
        <w:t>s t</w:t>
      </w:r>
      <w:r w:rsidR="00F32658">
        <w:rPr>
          <w:rFonts w:ascii="Times New Roman" w:hAnsi="Times New Roman" w:cs="Times New Roman"/>
          <w:snapToGrid w:val="0"/>
          <w:lang w:val="lv-LV"/>
        </w:rPr>
        <w:t>eritorijā, ar nosacījumu, ka tie ir pieejami</w:t>
      </w:r>
      <w:r w:rsidR="0060722E">
        <w:rPr>
          <w:rFonts w:ascii="Times New Roman" w:hAnsi="Times New Roman" w:cs="Times New Roman"/>
          <w:snapToGrid w:val="0"/>
          <w:lang w:val="lv-LV"/>
        </w:rPr>
        <w:t xml:space="preserve"> attiecīgā</w:t>
      </w:r>
      <w:r w:rsidR="00570656">
        <w:rPr>
          <w:rFonts w:ascii="Times New Roman" w:hAnsi="Times New Roman" w:cs="Times New Roman"/>
          <w:snapToGrid w:val="0"/>
          <w:lang w:val="lv-LV"/>
        </w:rPr>
        <w:t>s</w:t>
      </w:r>
      <w:r w:rsidR="0060722E">
        <w:rPr>
          <w:rFonts w:ascii="Times New Roman" w:hAnsi="Times New Roman" w:cs="Times New Roman"/>
          <w:snapToGrid w:val="0"/>
          <w:lang w:val="lv-LV"/>
        </w:rPr>
        <w:t xml:space="preserve"> </w:t>
      </w:r>
      <w:r w:rsidR="00570656">
        <w:rPr>
          <w:rFonts w:ascii="Times New Roman" w:hAnsi="Times New Roman" w:cs="Times New Roman"/>
          <w:snapToGrid w:val="0"/>
          <w:lang w:val="lv-LV"/>
        </w:rPr>
        <w:t>ražotnes pārvaldnieka</w:t>
      </w:r>
      <w:r w:rsidR="0060722E">
        <w:rPr>
          <w:rFonts w:ascii="Times New Roman" w:hAnsi="Times New Roman" w:cs="Times New Roman"/>
          <w:snapToGrid w:val="0"/>
          <w:lang w:val="lv-LV"/>
        </w:rPr>
        <w:t>m, kuru norādījusi attiecīgā</w:t>
      </w:r>
      <w:r w:rsidR="00762D21">
        <w:rPr>
          <w:rFonts w:ascii="Times New Roman" w:hAnsi="Times New Roman" w:cs="Times New Roman"/>
          <w:snapToGrid w:val="0"/>
          <w:lang w:val="lv-LV"/>
        </w:rPr>
        <w:t xml:space="preserve"> puse</w:t>
      </w:r>
      <w:r w:rsidR="0060722E">
        <w:rPr>
          <w:rFonts w:ascii="Times New Roman" w:hAnsi="Times New Roman" w:cs="Times New Roman"/>
          <w:snapToGrid w:val="0"/>
          <w:lang w:val="lv-LV"/>
        </w:rPr>
        <w:t>, un</w:t>
      </w:r>
    </w:p>
    <w:p w:rsidR="0060722E" w:rsidRDefault="0060722E">
      <w:pPr>
        <w:jc w:val="both"/>
        <w:rPr>
          <w:rFonts w:ascii="Times New Roman" w:hAnsi="Times New Roman" w:cs="Times New Roman"/>
          <w:snapToGrid w:val="0"/>
          <w:lang w:val="lv-LV"/>
        </w:rPr>
      </w:pPr>
    </w:p>
    <w:p w:rsidR="0060722E" w:rsidRDefault="00F32658">
      <w:pPr>
        <w:jc w:val="both"/>
        <w:rPr>
          <w:rFonts w:ascii="Times New Roman" w:hAnsi="Times New Roman" w:cs="Times New Roman"/>
          <w:snapToGrid w:val="0"/>
          <w:lang w:val="lv-LV"/>
        </w:rPr>
      </w:pPr>
      <w:r>
        <w:rPr>
          <w:rFonts w:ascii="Times New Roman" w:hAnsi="Times New Roman" w:cs="Times New Roman"/>
          <w:snapToGrid w:val="0"/>
          <w:lang w:val="lv-LV"/>
        </w:rPr>
        <w:t>iii) „tehniskie paņēmieni</w:t>
      </w:r>
      <w:r w:rsidR="00570656">
        <w:rPr>
          <w:rFonts w:ascii="Times New Roman" w:hAnsi="Times New Roman" w:cs="Times New Roman"/>
          <w:snapToGrid w:val="0"/>
          <w:lang w:val="lv-LV"/>
        </w:rPr>
        <w:t>”</w:t>
      </w:r>
      <w:r>
        <w:rPr>
          <w:rFonts w:ascii="Times New Roman" w:hAnsi="Times New Roman" w:cs="Times New Roman"/>
          <w:snapToGrid w:val="0"/>
          <w:lang w:val="lv-LV"/>
        </w:rPr>
        <w:t xml:space="preserve"> ir izmantotie paņēmieni</w:t>
      </w:r>
      <w:r w:rsidR="0060722E">
        <w:rPr>
          <w:rFonts w:ascii="Times New Roman" w:hAnsi="Times New Roman" w:cs="Times New Roman"/>
          <w:snapToGrid w:val="0"/>
          <w:lang w:val="lv-LV"/>
        </w:rPr>
        <w:t xml:space="preserve">, </w:t>
      </w:r>
      <w:r w:rsidR="00570656">
        <w:rPr>
          <w:rFonts w:ascii="Times New Roman" w:hAnsi="Times New Roman" w:cs="Times New Roman"/>
          <w:snapToGrid w:val="0"/>
          <w:lang w:val="lv-LV"/>
        </w:rPr>
        <w:t xml:space="preserve">ekspluatācijas kārtība </w:t>
      </w:r>
      <w:r w:rsidR="0060722E">
        <w:rPr>
          <w:rFonts w:ascii="Times New Roman" w:hAnsi="Times New Roman" w:cs="Times New Roman"/>
          <w:snapToGrid w:val="0"/>
          <w:lang w:val="lv-LV"/>
        </w:rPr>
        <w:t xml:space="preserve">un veids, kā iekārtas tiek projektētas, būvētas, uzturētas, </w:t>
      </w:r>
      <w:r w:rsidR="00570656">
        <w:rPr>
          <w:rFonts w:ascii="Times New Roman" w:hAnsi="Times New Roman" w:cs="Times New Roman"/>
          <w:snapToGrid w:val="0"/>
          <w:lang w:val="lv-LV"/>
        </w:rPr>
        <w:t>darbinā</w:t>
      </w:r>
      <w:r w:rsidR="0060722E">
        <w:rPr>
          <w:rFonts w:ascii="Times New Roman" w:hAnsi="Times New Roman" w:cs="Times New Roman"/>
          <w:snapToGrid w:val="0"/>
          <w:lang w:val="lv-LV"/>
        </w:rPr>
        <w:t>tas un kā tiek pārtraukta to ekspluatācija;</w:t>
      </w:r>
    </w:p>
    <w:p w:rsidR="0060722E" w:rsidRDefault="0060722E">
      <w:pPr>
        <w:jc w:val="both"/>
        <w:rPr>
          <w:rFonts w:ascii="Times New Roman" w:hAnsi="Times New Roman" w:cs="Times New Roman"/>
          <w:snapToGrid w:val="0"/>
          <w:lang w:val="lv-LV"/>
        </w:rPr>
      </w:pPr>
    </w:p>
    <w:p w:rsidR="0060722E" w:rsidRDefault="00570656">
      <w:pPr>
        <w:jc w:val="both"/>
        <w:rPr>
          <w:rFonts w:ascii="Times New Roman" w:hAnsi="Times New Roman" w:cs="Times New Roman"/>
          <w:snapToGrid w:val="0"/>
          <w:lang w:val="lv-LV"/>
        </w:rPr>
      </w:pPr>
      <w:r>
        <w:rPr>
          <w:rFonts w:ascii="Times New Roman" w:hAnsi="Times New Roman" w:cs="Times New Roman"/>
          <w:snapToGrid w:val="0"/>
          <w:lang w:val="lv-LV"/>
        </w:rPr>
        <w:t>c) „</w:t>
      </w:r>
      <w:r w:rsidR="0060722E">
        <w:rPr>
          <w:rFonts w:ascii="Times New Roman" w:hAnsi="Times New Roman" w:cs="Times New Roman"/>
          <w:snapToGrid w:val="0"/>
          <w:lang w:val="lv-LV"/>
        </w:rPr>
        <w:t xml:space="preserve">labākā </w:t>
      </w:r>
      <w:r w:rsidR="00AC7453">
        <w:rPr>
          <w:rFonts w:ascii="Times New Roman" w:hAnsi="Times New Roman" w:cs="Times New Roman"/>
          <w:snapToGrid w:val="0"/>
          <w:lang w:val="lv-LV"/>
        </w:rPr>
        <w:t xml:space="preserve">vides </w:t>
      </w:r>
      <w:r w:rsidR="0060722E">
        <w:rPr>
          <w:rFonts w:ascii="Times New Roman" w:hAnsi="Times New Roman" w:cs="Times New Roman"/>
          <w:snapToGrid w:val="0"/>
          <w:lang w:val="lv-LV"/>
        </w:rPr>
        <w:t>prakse” nozīmē</w:t>
      </w:r>
      <w:r>
        <w:rPr>
          <w:rFonts w:ascii="Times New Roman" w:hAnsi="Times New Roman" w:cs="Times New Roman"/>
          <w:snapToGrid w:val="0"/>
          <w:lang w:val="lv-LV"/>
        </w:rPr>
        <w:t xml:space="preserve"> to</w:t>
      </w:r>
      <w:r w:rsidR="0060722E">
        <w:rPr>
          <w:rFonts w:ascii="Times New Roman" w:hAnsi="Times New Roman" w:cs="Times New Roman"/>
          <w:snapToGrid w:val="0"/>
          <w:lang w:val="lv-LV"/>
        </w:rPr>
        <w:t>, ka tiek izmantots piemērotāko vides aizsardzības pasākumu un stratēģiju kopums;</w:t>
      </w:r>
    </w:p>
    <w:p w:rsidR="0060722E" w:rsidRDefault="0060722E">
      <w:pPr>
        <w:jc w:val="both"/>
        <w:rPr>
          <w:rFonts w:ascii="Times New Roman" w:hAnsi="Times New Roman" w:cs="Times New Roman"/>
          <w:snapToGrid w:val="0"/>
          <w:lang w:val="lv-LV"/>
        </w:rPr>
      </w:pPr>
    </w:p>
    <w:p w:rsidR="0060722E" w:rsidRDefault="00570656">
      <w:pPr>
        <w:jc w:val="both"/>
        <w:rPr>
          <w:rFonts w:ascii="Times New Roman" w:hAnsi="Times New Roman" w:cs="Times New Roman"/>
          <w:snapToGrid w:val="0"/>
          <w:lang w:val="lv-LV"/>
        </w:rPr>
      </w:pPr>
      <w:r>
        <w:rPr>
          <w:rFonts w:ascii="Times New Roman" w:hAnsi="Times New Roman" w:cs="Times New Roman"/>
          <w:snapToGrid w:val="0"/>
          <w:lang w:val="lv-LV"/>
        </w:rPr>
        <w:t>d) „dzīvsudrabs”</w:t>
      </w:r>
      <w:r w:rsidR="0060722E">
        <w:rPr>
          <w:rFonts w:ascii="Times New Roman" w:hAnsi="Times New Roman" w:cs="Times New Roman"/>
          <w:snapToGrid w:val="0"/>
          <w:lang w:val="lv-LV"/>
        </w:rPr>
        <w:t xml:space="preserve"> ir elementārais dzīvsudrabs (Hg(0), </w:t>
      </w:r>
      <w:smartTag w:uri="urn:schemas-microsoft-com:office:smarttags" w:element="stockticker">
        <w:r w:rsidR="0060722E">
          <w:rPr>
            <w:rFonts w:ascii="Times New Roman" w:hAnsi="Times New Roman" w:cs="Times New Roman"/>
            <w:snapToGrid w:val="0"/>
            <w:lang w:val="lv-LV"/>
          </w:rPr>
          <w:t>CAS</w:t>
        </w:r>
      </w:smartTag>
      <w:r w:rsidR="0060722E">
        <w:rPr>
          <w:rFonts w:ascii="Times New Roman" w:hAnsi="Times New Roman" w:cs="Times New Roman"/>
          <w:snapToGrid w:val="0"/>
          <w:lang w:val="lv-LV"/>
        </w:rPr>
        <w:t xml:space="preserve"> Nr. 7439-97-6);</w:t>
      </w:r>
    </w:p>
    <w:p w:rsidR="0060722E" w:rsidRDefault="0060722E">
      <w:pPr>
        <w:jc w:val="both"/>
        <w:rPr>
          <w:rFonts w:ascii="Times New Roman" w:hAnsi="Times New Roman" w:cs="Times New Roman"/>
          <w:snapToGrid w:val="0"/>
          <w:lang w:val="lv-LV"/>
        </w:rPr>
      </w:pPr>
    </w:p>
    <w:p w:rsidR="0060722E" w:rsidRDefault="00570656">
      <w:pPr>
        <w:jc w:val="both"/>
        <w:rPr>
          <w:rFonts w:ascii="Times New Roman" w:hAnsi="Times New Roman" w:cs="Times New Roman"/>
          <w:snapToGrid w:val="0"/>
          <w:lang w:val="lv-LV"/>
        </w:rPr>
      </w:pPr>
      <w:r>
        <w:rPr>
          <w:rFonts w:ascii="Times New Roman" w:hAnsi="Times New Roman" w:cs="Times New Roman"/>
          <w:snapToGrid w:val="0"/>
          <w:lang w:val="lv-LV"/>
        </w:rPr>
        <w:t>e) „dzīvsudraba savienojums”</w:t>
      </w:r>
      <w:r w:rsidR="0060722E">
        <w:rPr>
          <w:rFonts w:ascii="Times New Roman" w:hAnsi="Times New Roman" w:cs="Times New Roman"/>
          <w:snapToGrid w:val="0"/>
          <w:lang w:val="lv-LV"/>
        </w:rPr>
        <w:t xml:space="preserve"> ir jebkura viela, kuras sastāvā ir dzīvsudraba atomi un viens vai vairāki citu ķīmisko elementu atomi un kuru var sadalīt dažādās sastāvdaļās vienīgi ķīmisku reakciju ceļā;</w:t>
      </w:r>
    </w:p>
    <w:p w:rsidR="0060722E" w:rsidRDefault="0060722E">
      <w:pPr>
        <w:jc w:val="both"/>
        <w:rPr>
          <w:rFonts w:ascii="Times New Roman" w:hAnsi="Times New Roman" w:cs="Times New Roman"/>
          <w:snapToGrid w:val="0"/>
          <w:lang w:val="lv-LV"/>
        </w:rPr>
      </w:pPr>
    </w:p>
    <w:p w:rsidR="0060722E" w:rsidRDefault="00570656">
      <w:pPr>
        <w:jc w:val="both"/>
        <w:rPr>
          <w:rFonts w:ascii="Times New Roman" w:hAnsi="Times New Roman" w:cs="Times New Roman"/>
          <w:snapToGrid w:val="0"/>
          <w:lang w:val="lv-LV"/>
        </w:rPr>
      </w:pPr>
      <w:r>
        <w:rPr>
          <w:rFonts w:ascii="Times New Roman" w:hAnsi="Times New Roman" w:cs="Times New Roman"/>
          <w:snapToGrid w:val="0"/>
          <w:lang w:val="lv-LV"/>
        </w:rPr>
        <w:t>f) „</w:t>
      </w:r>
      <w:r w:rsidR="0060722E">
        <w:rPr>
          <w:rFonts w:ascii="Times New Roman" w:hAnsi="Times New Roman" w:cs="Times New Roman"/>
          <w:snapToGrid w:val="0"/>
          <w:lang w:val="lv-LV"/>
        </w:rPr>
        <w:t>dz</w:t>
      </w:r>
      <w:r>
        <w:rPr>
          <w:rFonts w:ascii="Times New Roman" w:hAnsi="Times New Roman" w:cs="Times New Roman"/>
          <w:snapToGrid w:val="0"/>
          <w:lang w:val="lv-LV"/>
        </w:rPr>
        <w:t>īvsudrabu saturošs izstrādājums”</w:t>
      </w:r>
      <w:r w:rsidR="0060722E">
        <w:rPr>
          <w:rFonts w:ascii="Times New Roman" w:hAnsi="Times New Roman" w:cs="Times New Roman"/>
          <w:snapToGrid w:val="0"/>
          <w:lang w:val="lv-LV"/>
        </w:rPr>
        <w:t xml:space="preserve"> ir izstrādājums vai izstrādājuma sastāvdaļa, kura</w:t>
      </w:r>
      <w:r>
        <w:rPr>
          <w:rFonts w:ascii="Times New Roman" w:hAnsi="Times New Roman" w:cs="Times New Roman"/>
          <w:snapToGrid w:val="0"/>
          <w:lang w:val="lv-LV"/>
        </w:rPr>
        <w:t>/kuras</w:t>
      </w:r>
      <w:r w:rsidR="0060722E">
        <w:rPr>
          <w:rFonts w:ascii="Times New Roman" w:hAnsi="Times New Roman" w:cs="Times New Roman"/>
          <w:snapToGrid w:val="0"/>
          <w:lang w:val="lv-LV"/>
        </w:rPr>
        <w:t xml:space="preserve"> satur</w:t>
      </w:r>
      <w:r>
        <w:rPr>
          <w:rFonts w:ascii="Times New Roman" w:hAnsi="Times New Roman" w:cs="Times New Roman"/>
          <w:snapToGrid w:val="0"/>
          <w:lang w:val="lv-LV"/>
        </w:rPr>
        <w:t>ā ir dzīvsudrabs vai dzīvsudraba savienojums</w:t>
      </w:r>
      <w:r w:rsidR="0060722E">
        <w:rPr>
          <w:rFonts w:ascii="Times New Roman" w:hAnsi="Times New Roman" w:cs="Times New Roman"/>
          <w:snapToGrid w:val="0"/>
          <w:lang w:val="lv-LV"/>
        </w:rPr>
        <w:t>, kas pievienots ar nolūku;</w:t>
      </w:r>
    </w:p>
    <w:p w:rsidR="0060722E" w:rsidRDefault="0060722E">
      <w:pPr>
        <w:jc w:val="both"/>
        <w:rPr>
          <w:rFonts w:ascii="Times New Roman" w:hAnsi="Times New Roman" w:cs="Times New Roman"/>
          <w:snapToGrid w:val="0"/>
          <w:lang w:val="lv-LV"/>
        </w:rPr>
      </w:pPr>
    </w:p>
    <w:p w:rsidR="0060722E" w:rsidRDefault="00570656">
      <w:pPr>
        <w:jc w:val="both"/>
        <w:rPr>
          <w:rFonts w:ascii="Times New Roman" w:hAnsi="Times New Roman" w:cs="Times New Roman"/>
          <w:snapToGrid w:val="0"/>
          <w:lang w:val="lv-LV"/>
        </w:rPr>
      </w:pPr>
      <w:r>
        <w:rPr>
          <w:rFonts w:ascii="Times New Roman" w:hAnsi="Times New Roman" w:cs="Times New Roman"/>
          <w:snapToGrid w:val="0"/>
          <w:lang w:val="lv-LV"/>
        </w:rPr>
        <w:t>g) „puse</w:t>
      </w:r>
      <w:r w:rsidR="0060722E">
        <w:rPr>
          <w:rFonts w:ascii="Times New Roman" w:hAnsi="Times New Roman" w:cs="Times New Roman"/>
          <w:snapToGrid w:val="0"/>
          <w:lang w:val="lv-LV"/>
        </w:rPr>
        <w:t>” ir</w:t>
      </w:r>
      <w:r w:rsidR="00BC7886">
        <w:rPr>
          <w:rFonts w:ascii="Times New Roman" w:hAnsi="Times New Roman" w:cs="Times New Roman"/>
          <w:snapToGrid w:val="0"/>
          <w:lang w:val="lv-LV"/>
        </w:rPr>
        <w:t xml:space="preserve"> valsts vai reģionālā</w:t>
      </w:r>
      <w:r>
        <w:rPr>
          <w:rFonts w:ascii="Times New Roman" w:hAnsi="Times New Roman" w:cs="Times New Roman"/>
          <w:snapToGrid w:val="0"/>
          <w:lang w:val="lv-LV"/>
        </w:rPr>
        <w:t xml:space="preserve"> ekonomiskās</w:t>
      </w:r>
      <w:r w:rsidR="0060722E">
        <w:rPr>
          <w:rFonts w:ascii="Times New Roman" w:hAnsi="Times New Roman" w:cs="Times New Roman"/>
          <w:snapToGrid w:val="0"/>
          <w:lang w:val="lv-LV"/>
        </w:rPr>
        <w:t xml:space="preserve"> integrācijas organizācija, kas piekritusi uzņemties šīs konvencijas saistības un attiecībā uz kuru šī konvencija ir spēkā;</w:t>
      </w:r>
    </w:p>
    <w:p w:rsidR="0060722E" w:rsidRDefault="0060722E">
      <w:pPr>
        <w:jc w:val="both"/>
        <w:rPr>
          <w:rFonts w:ascii="Times New Roman" w:hAnsi="Times New Roman" w:cs="Times New Roman"/>
          <w:snapToGrid w:val="0"/>
          <w:lang w:val="lv-LV"/>
        </w:rPr>
      </w:pPr>
    </w:p>
    <w:p w:rsidR="0060722E" w:rsidRDefault="00570656">
      <w:pPr>
        <w:jc w:val="both"/>
        <w:rPr>
          <w:rFonts w:ascii="Times New Roman" w:hAnsi="Times New Roman" w:cs="Times New Roman"/>
          <w:snapToGrid w:val="0"/>
          <w:lang w:val="lv-LV"/>
        </w:rPr>
      </w:pPr>
      <w:r>
        <w:rPr>
          <w:rFonts w:ascii="Times New Roman" w:hAnsi="Times New Roman" w:cs="Times New Roman"/>
          <w:snapToGrid w:val="0"/>
          <w:lang w:val="lv-LV"/>
        </w:rPr>
        <w:t>h) „</w:t>
      </w:r>
      <w:r w:rsidR="0060722E">
        <w:rPr>
          <w:rFonts w:ascii="Times New Roman" w:hAnsi="Times New Roman" w:cs="Times New Roman"/>
          <w:snapToGrid w:val="0"/>
          <w:lang w:val="lv-LV"/>
        </w:rPr>
        <w:t xml:space="preserve">klātesošās un balsojošās puses” ir puses, kas piedalās pušu sanāksmē un balso </w:t>
      </w:r>
      <w:r>
        <w:rPr>
          <w:rFonts w:ascii="Times New Roman" w:hAnsi="Times New Roman" w:cs="Times New Roman"/>
          <w:snapToGrid w:val="0"/>
          <w:lang w:val="lv-LV"/>
        </w:rPr>
        <w:t>„</w:t>
      </w:r>
      <w:r w:rsidR="0060722E">
        <w:rPr>
          <w:rFonts w:ascii="Times New Roman" w:hAnsi="Times New Roman" w:cs="Times New Roman"/>
          <w:snapToGrid w:val="0"/>
          <w:lang w:val="lv-LV"/>
        </w:rPr>
        <w:t>par</w:t>
      </w:r>
      <w:r>
        <w:rPr>
          <w:rFonts w:ascii="Times New Roman" w:hAnsi="Times New Roman" w:cs="Times New Roman"/>
          <w:snapToGrid w:val="0"/>
          <w:lang w:val="lv-LV"/>
        </w:rPr>
        <w:t>”</w:t>
      </w:r>
      <w:r w:rsidR="0060722E">
        <w:rPr>
          <w:rFonts w:ascii="Times New Roman" w:hAnsi="Times New Roman" w:cs="Times New Roman"/>
          <w:snapToGrid w:val="0"/>
          <w:lang w:val="lv-LV"/>
        </w:rPr>
        <w:t xml:space="preserve"> vai </w:t>
      </w:r>
      <w:r>
        <w:rPr>
          <w:rFonts w:ascii="Times New Roman" w:hAnsi="Times New Roman" w:cs="Times New Roman"/>
          <w:snapToGrid w:val="0"/>
          <w:lang w:val="lv-LV"/>
        </w:rPr>
        <w:t>„</w:t>
      </w:r>
      <w:r w:rsidR="0060722E">
        <w:rPr>
          <w:rFonts w:ascii="Times New Roman" w:hAnsi="Times New Roman" w:cs="Times New Roman"/>
          <w:snapToGrid w:val="0"/>
          <w:lang w:val="lv-LV"/>
        </w:rPr>
        <w:t>pret</w:t>
      </w:r>
      <w:r>
        <w:rPr>
          <w:rFonts w:ascii="Times New Roman" w:hAnsi="Times New Roman" w:cs="Times New Roman"/>
          <w:snapToGrid w:val="0"/>
          <w:lang w:val="lv-LV"/>
        </w:rPr>
        <w:t>”</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570656">
      <w:pPr>
        <w:jc w:val="both"/>
        <w:rPr>
          <w:rFonts w:ascii="Times New Roman" w:hAnsi="Times New Roman" w:cs="Times New Roman"/>
          <w:snapToGrid w:val="0"/>
          <w:lang w:val="lv-LV"/>
        </w:rPr>
      </w:pPr>
      <w:r>
        <w:rPr>
          <w:rFonts w:ascii="Times New Roman" w:hAnsi="Times New Roman" w:cs="Times New Roman"/>
          <w:snapToGrid w:val="0"/>
          <w:lang w:val="lv-LV"/>
        </w:rPr>
        <w:t>i) „primārā dzīvsudraba ieguve”</w:t>
      </w:r>
      <w:r w:rsidR="0060722E">
        <w:rPr>
          <w:rFonts w:ascii="Times New Roman" w:hAnsi="Times New Roman" w:cs="Times New Roman"/>
          <w:snapToGrid w:val="0"/>
          <w:lang w:val="lv-LV"/>
        </w:rPr>
        <w:t xml:space="preserve"> ir tad, kad galvenais materiāls, kas tiek meklēts</w:t>
      </w:r>
      <w:r w:rsidR="009C543A">
        <w:rPr>
          <w:rFonts w:ascii="Times New Roman" w:hAnsi="Times New Roman" w:cs="Times New Roman"/>
          <w:snapToGrid w:val="0"/>
          <w:lang w:val="lv-LV"/>
        </w:rPr>
        <w:t xml:space="preserve"> ieguvei</w:t>
      </w:r>
      <w:r w:rsidR="0060722E">
        <w:rPr>
          <w:rFonts w:ascii="Times New Roman" w:hAnsi="Times New Roman" w:cs="Times New Roman"/>
          <w:snapToGrid w:val="0"/>
          <w:lang w:val="lv-LV"/>
        </w:rPr>
        <w:t>, ir dzīvsudrabs;</w:t>
      </w:r>
    </w:p>
    <w:p w:rsidR="0060722E" w:rsidRDefault="0060722E">
      <w:pPr>
        <w:jc w:val="both"/>
        <w:rPr>
          <w:rFonts w:ascii="Times New Roman" w:hAnsi="Times New Roman" w:cs="Times New Roman"/>
          <w:snapToGrid w:val="0"/>
          <w:lang w:val="lv-LV"/>
        </w:rPr>
      </w:pPr>
    </w:p>
    <w:p w:rsidR="0060722E" w:rsidRPr="0099054D" w:rsidRDefault="00570656">
      <w:pPr>
        <w:jc w:val="both"/>
        <w:rPr>
          <w:rFonts w:ascii="Times New Roman" w:hAnsi="Times New Roman" w:cs="Times New Roman"/>
          <w:snapToGrid w:val="0"/>
          <w:lang w:val="lv-LV"/>
        </w:rPr>
      </w:pPr>
      <w:r w:rsidRPr="0099054D">
        <w:rPr>
          <w:rFonts w:ascii="Times New Roman" w:hAnsi="Times New Roman" w:cs="Times New Roman"/>
          <w:snapToGrid w:val="0"/>
          <w:lang w:val="lv-LV"/>
        </w:rPr>
        <w:t>j) „reģionālā ekonomiskās</w:t>
      </w:r>
      <w:r w:rsidR="0060722E" w:rsidRPr="0099054D">
        <w:rPr>
          <w:rFonts w:ascii="Times New Roman" w:hAnsi="Times New Roman" w:cs="Times New Roman"/>
          <w:snapToGrid w:val="0"/>
          <w:lang w:val="lv-LV"/>
        </w:rPr>
        <w:t xml:space="preserve"> integrācijas or</w:t>
      </w:r>
      <w:r w:rsidRPr="0099054D">
        <w:rPr>
          <w:rFonts w:ascii="Times New Roman" w:hAnsi="Times New Roman" w:cs="Times New Roman"/>
          <w:snapToGrid w:val="0"/>
          <w:lang w:val="lv-LV"/>
        </w:rPr>
        <w:t>ga</w:t>
      </w:r>
      <w:r w:rsidR="0099054D" w:rsidRPr="0099054D">
        <w:rPr>
          <w:rFonts w:ascii="Times New Roman" w:hAnsi="Times New Roman" w:cs="Times New Roman"/>
          <w:snapToGrid w:val="0"/>
          <w:lang w:val="lv-LV"/>
        </w:rPr>
        <w:t>nizācija” ir organizācija, kuru veido</w:t>
      </w:r>
      <w:r w:rsidR="0060722E" w:rsidRPr="0099054D">
        <w:rPr>
          <w:rFonts w:ascii="Times New Roman" w:hAnsi="Times New Roman" w:cs="Times New Roman"/>
          <w:snapToGrid w:val="0"/>
          <w:lang w:val="lv-LV"/>
        </w:rPr>
        <w:t xml:space="preserve"> suverēn</w:t>
      </w:r>
      <w:r w:rsidRPr="0099054D">
        <w:rPr>
          <w:rFonts w:ascii="Times New Roman" w:hAnsi="Times New Roman" w:cs="Times New Roman"/>
          <w:snapToGrid w:val="0"/>
          <w:lang w:val="lv-LV"/>
        </w:rPr>
        <w:t>as attiecīgā reģiona valstis un kurai</w:t>
      </w:r>
      <w:r w:rsidR="0060722E" w:rsidRPr="0099054D">
        <w:rPr>
          <w:rFonts w:ascii="Times New Roman" w:hAnsi="Times New Roman" w:cs="Times New Roman"/>
          <w:snapToGrid w:val="0"/>
          <w:lang w:val="lv-LV"/>
        </w:rPr>
        <w:t xml:space="preserve"> organizācijas dalībvalstis ir </w:t>
      </w:r>
      <w:r w:rsidRPr="0099054D">
        <w:rPr>
          <w:rFonts w:ascii="Times New Roman" w:hAnsi="Times New Roman" w:cs="Times New Roman"/>
          <w:snapToGrid w:val="0"/>
          <w:lang w:val="lv-LV"/>
        </w:rPr>
        <w:t>uzticējušas kompetenci lietās, k</w:t>
      </w:r>
      <w:r w:rsidR="0060722E" w:rsidRPr="0099054D">
        <w:rPr>
          <w:rFonts w:ascii="Times New Roman" w:hAnsi="Times New Roman" w:cs="Times New Roman"/>
          <w:snapToGrid w:val="0"/>
          <w:lang w:val="lv-LV"/>
        </w:rPr>
        <w:t>as tiek reglam</w:t>
      </w:r>
      <w:r w:rsidRPr="0099054D">
        <w:rPr>
          <w:rFonts w:ascii="Times New Roman" w:hAnsi="Times New Roman" w:cs="Times New Roman"/>
          <w:snapToGrid w:val="0"/>
          <w:lang w:val="lv-LV"/>
        </w:rPr>
        <w:t>entētas ar šo konvenciju, un kura</w:t>
      </w:r>
      <w:r w:rsidR="0060722E" w:rsidRPr="0099054D">
        <w:rPr>
          <w:rFonts w:ascii="Times New Roman" w:hAnsi="Times New Roman" w:cs="Times New Roman"/>
          <w:snapToGrid w:val="0"/>
          <w:lang w:val="lv-LV"/>
        </w:rPr>
        <w:t xml:space="preserve"> saskaņā ar organizācijas iekšējām procedūrām ir atbilstoši pilnvarota parakstīt, ratificēt, pieņemt, apstiprināt šo konvenciju vai </w:t>
      </w:r>
      <w:r w:rsidRPr="0099054D">
        <w:rPr>
          <w:rFonts w:ascii="Times New Roman" w:hAnsi="Times New Roman" w:cs="Times New Roman"/>
          <w:snapToGrid w:val="0"/>
          <w:lang w:val="lv-LV"/>
        </w:rPr>
        <w:t>tai pievienoties</w:t>
      </w:r>
      <w:r w:rsidR="0060722E" w:rsidRPr="0099054D">
        <w:rPr>
          <w:rFonts w:ascii="Times New Roman" w:hAnsi="Times New Roman" w:cs="Times New Roman"/>
          <w:snapToGrid w:val="0"/>
          <w:lang w:val="lv-LV"/>
        </w:rPr>
        <w:t>, un</w:t>
      </w:r>
    </w:p>
    <w:p w:rsidR="0060722E" w:rsidRPr="0099054D" w:rsidRDefault="0060722E">
      <w:pPr>
        <w:jc w:val="both"/>
        <w:rPr>
          <w:rFonts w:ascii="Times New Roman" w:hAnsi="Times New Roman" w:cs="Times New Roman"/>
          <w:snapToGrid w:val="0"/>
          <w:lang w:val="lv-LV"/>
        </w:rPr>
      </w:pPr>
    </w:p>
    <w:p w:rsidR="0060722E" w:rsidRDefault="00570656">
      <w:pPr>
        <w:jc w:val="both"/>
        <w:rPr>
          <w:rFonts w:ascii="Times New Roman" w:hAnsi="Times New Roman" w:cs="Times New Roman"/>
          <w:snapToGrid w:val="0"/>
          <w:lang w:val="lv-LV"/>
        </w:rPr>
      </w:pPr>
      <w:bookmarkStart w:id="3" w:name="bookmark3"/>
      <w:r w:rsidRPr="0099054D">
        <w:rPr>
          <w:rFonts w:ascii="Times New Roman" w:hAnsi="Times New Roman" w:cs="Times New Roman"/>
          <w:snapToGrid w:val="0"/>
          <w:lang w:val="lv-LV"/>
        </w:rPr>
        <w:t>k) „atļautā izmantošana”</w:t>
      </w:r>
      <w:r w:rsidR="0060722E" w:rsidRPr="0099054D">
        <w:rPr>
          <w:rFonts w:ascii="Times New Roman" w:hAnsi="Times New Roman" w:cs="Times New Roman"/>
          <w:snapToGrid w:val="0"/>
          <w:lang w:val="lv-LV"/>
        </w:rPr>
        <w:t xml:space="preserve"> ir jebkāda dzīvsudraba vai dzīvsudraba savienojumu izmantošana, ko veic puse atbilstoši šai konvencijai, ie</w:t>
      </w:r>
      <w:r w:rsidR="0099054D">
        <w:rPr>
          <w:rFonts w:ascii="Times New Roman" w:hAnsi="Times New Roman" w:cs="Times New Roman"/>
          <w:snapToGrid w:val="0"/>
          <w:lang w:val="lv-LV"/>
        </w:rPr>
        <w:t>tver</w:t>
      </w:r>
      <w:r w:rsidR="0060722E" w:rsidRPr="0099054D">
        <w:rPr>
          <w:rFonts w:ascii="Times New Roman" w:hAnsi="Times New Roman" w:cs="Times New Roman"/>
          <w:snapToGrid w:val="0"/>
          <w:lang w:val="lv-LV"/>
        </w:rPr>
        <w:t>ot arī tos izmantošanas veidus, kas minēti konvencijas 3., 4., 5., 6. un 7. pantā</w:t>
      </w:r>
      <w:r w:rsidR="0099054D">
        <w:rPr>
          <w:rFonts w:ascii="Times New Roman" w:hAnsi="Times New Roman" w:cs="Times New Roman"/>
          <w:snapToGrid w:val="0"/>
          <w:lang w:val="lv-LV"/>
        </w:rPr>
        <w:t>, bet neaprobežojoties tikai ar tiem</w:t>
      </w:r>
      <w:r w:rsidR="0060722E" w:rsidRPr="0099054D">
        <w:rPr>
          <w:rFonts w:ascii="Times New Roman" w:hAnsi="Times New Roman" w:cs="Times New Roman"/>
          <w:snapToGrid w:val="0"/>
          <w:lang w:val="lv-LV"/>
        </w:rPr>
        <w:t>.</w:t>
      </w:r>
    </w:p>
    <w:bookmarkEnd w:id="3"/>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3.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Dzīvsudraba avoti un tirdzniecība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Šajā pantā</w:t>
      </w:r>
      <w:r w:rsidR="0099054D">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99054D">
      <w:pPr>
        <w:jc w:val="both"/>
        <w:rPr>
          <w:rFonts w:ascii="Times New Roman" w:hAnsi="Times New Roman" w:cs="Times New Roman"/>
          <w:snapToGrid w:val="0"/>
          <w:lang w:val="lv-LV"/>
        </w:rPr>
      </w:pPr>
      <w:r>
        <w:rPr>
          <w:rFonts w:ascii="Times New Roman" w:hAnsi="Times New Roman" w:cs="Times New Roman"/>
          <w:snapToGrid w:val="0"/>
          <w:lang w:val="lv-LV"/>
        </w:rPr>
        <w:t>a) ja runa ir par dzīvsudrabu</w:t>
      </w:r>
      <w:r w:rsidR="0060722E">
        <w:rPr>
          <w:rFonts w:ascii="Times New Roman" w:hAnsi="Times New Roman" w:cs="Times New Roman"/>
          <w:snapToGrid w:val="0"/>
          <w:lang w:val="lv-LV"/>
        </w:rPr>
        <w:t xml:space="preserve">, </w:t>
      </w:r>
      <w:r>
        <w:rPr>
          <w:rFonts w:ascii="Times New Roman" w:hAnsi="Times New Roman" w:cs="Times New Roman"/>
          <w:snapToGrid w:val="0"/>
          <w:lang w:val="lv-LV"/>
        </w:rPr>
        <w:t xml:space="preserve">tad </w:t>
      </w:r>
      <w:r w:rsidR="0060722E">
        <w:rPr>
          <w:rFonts w:ascii="Times New Roman" w:hAnsi="Times New Roman" w:cs="Times New Roman"/>
          <w:snapToGrid w:val="0"/>
          <w:lang w:val="lv-LV"/>
        </w:rPr>
        <w:t>tas attiecas arī uz dzīvsudraba maisījumiem ar citām vielām, tostarp d</w:t>
      </w:r>
      <w:r>
        <w:rPr>
          <w:rFonts w:ascii="Times New Roman" w:hAnsi="Times New Roman" w:cs="Times New Roman"/>
          <w:snapToGrid w:val="0"/>
          <w:lang w:val="lv-LV"/>
        </w:rPr>
        <w:t>zīvsudraba sakausējumiem, kuros</w:t>
      </w:r>
      <w:r w:rsidR="0060722E">
        <w:rPr>
          <w:rFonts w:ascii="Times New Roman" w:hAnsi="Times New Roman" w:cs="Times New Roman"/>
          <w:snapToGrid w:val="0"/>
          <w:lang w:val="lv-LV"/>
        </w:rPr>
        <w:t xml:space="preserve"> dzīvsudraba koncentrācija ir vismaz 95 procenti no svara, un</w:t>
      </w:r>
    </w:p>
    <w:p w:rsidR="0060722E" w:rsidRDefault="0060722E">
      <w:pPr>
        <w:jc w:val="both"/>
        <w:rPr>
          <w:rFonts w:ascii="Times New Roman" w:hAnsi="Times New Roman" w:cs="Times New Roman"/>
          <w:snapToGrid w:val="0"/>
          <w:lang w:val="lv-LV"/>
        </w:rPr>
      </w:pPr>
    </w:p>
    <w:p w:rsidR="0060722E" w:rsidRDefault="0099054D">
      <w:pPr>
        <w:jc w:val="both"/>
        <w:rPr>
          <w:rFonts w:ascii="Times New Roman" w:hAnsi="Times New Roman" w:cs="Times New Roman"/>
          <w:snapToGrid w:val="0"/>
          <w:lang w:val="lv-LV"/>
        </w:rPr>
      </w:pPr>
      <w:r>
        <w:rPr>
          <w:rFonts w:ascii="Times New Roman" w:hAnsi="Times New Roman" w:cs="Times New Roman"/>
          <w:snapToGrid w:val="0"/>
          <w:lang w:val="lv-LV"/>
        </w:rPr>
        <w:t>b) dzīvsudraba savienojumi ir dzīvsudraba(I) hlorīds (to sauc arī par</w:t>
      </w:r>
      <w:r w:rsidR="0060722E">
        <w:rPr>
          <w:rFonts w:ascii="Times New Roman" w:hAnsi="Times New Roman" w:cs="Times New Roman"/>
          <w:snapToGrid w:val="0"/>
          <w:lang w:val="lv-LV"/>
        </w:rPr>
        <w:t xml:space="preserve"> </w:t>
      </w:r>
      <w:r>
        <w:rPr>
          <w:rFonts w:ascii="Times New Roman" w:hAnsi="Times New Roman" w:cs="Times New Roman"/>
          <w:snapToGrid w:val="0"/>
          <w:lang w:val="lv-LV"/>
        </w:rPr>
        <w:t>kalomelu</w:t>
      </w:r>
      <w:r w:rsidR="0060722E">
        <w:rPr>
          <w:rFonts w:ascii="Times New Roman" w:hAnsi="Times New Roman" w:cs="Times New Roman"/>
          <w:snapToGrid w:val="0"/>
          <w:lang w:val="lv-LV"/>
        </w:rPr>
        <w:t>), dzīvsudraba(II) oksīds, dzīvsudraba(II) sulfāts, dzīvsudraba(II) nitrāts, cinobrs un dzīvsudraba sulfīds.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Šā panta noteikumus nepiemēro</w:t>
      </w:r>
      <w:r w:rsidR="0099054D">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tādiem dzīvsudraba vai dzīvsudraba savienojumu daudzumiem, kurus paredzēts izmantot laboratorijas mēroga pētniecībai vai kā atsauces standartu, vai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nelieliem dabīgas izcelsmes dzīvsudraba un dzīvsudraba savienojumu daudzumiem, kuri ir atrodami, piemēram, nedzīvsudraba metālos, rūdā vai minerālproduktos, tostarp akmeņoglēs, </w:t>
      </w:r>
      <w:r>
        <w:rPr>
          <w:rFonts w:ascii="Times New Roman" w:hAnsi="Times New Roman" w:cs="Times New Roman"/>
          <w:snapToGrid w:val="0"/>
          <w:lang w:val="lv-LV"/>
        </w:rPr>
        <w:lastRenderedPageBreak/>
        <w:t xml:space="preserve">vai no šiem materiāliem atvasinātos </w:t>
      </w:r>
      <w:r w:rsidRPr="0099054D">
        <w:rPr>
          <w:rFonts w:ascii="Times New Roman" w:hAnsi="Times New Roman" w:cs="Times New Roman"/>
          <w:snapToGrid w:val="0"/>
          <w:lang w:val="lv-LV"/>
        </w:rPr>
        <w:t>produktos, un nelieliem daudzumiem ķīmiskajos produktos, kuri tajos nonākuši nejauši, vai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dzīvsudrabu saturošiem izstrādājumiem.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3. </w:t>
      </w:r>
      <w:r w:rsidR="0099054D">
        <w:rPr>
          <w:rFonts w:ascii="Times New Roman" w:hAnsi="Times New Roman" w:cs="Times New Roman"/>
          <w:snapToGrid w:val="0"/>
          <w:lang w:val="lv-LV"/>
        </w:rPr>
        <w:t>Ikviena puse neat</w:t>
      </w:r>
      <w:r>
        <w:rPr>
          <w:rFonts w:ascii="Times New Roman" w:hAnsi="Times New Roman" w:cs="Times New Roman"/>
          <w:snapToGrid w:val="0"/>
          <w:lang w:val="lv-LV"/>
        </w:rPr>
        <w:t xml:space="preserve">ļauj </w:t>
      </w:r>
      <w:r w:rsidR="0099054D">
        <w:rPr>
          <w:rFonts w:ascii="Times New Roman" w:hAnsi="Times New Roman" w:cs="Times New Roman"/>
          <w:snapToGrid w:val="0"/>
          <w:lang w:val="lv-LV"/>
        </w:rPr>
        <w:t xml:space="preserve">tādu </w:t>
      </w:r>
      <w:r>
        <w:rPr>
          <w:rFonts w:ascii="Times New Roman" w:hAnsi="Times New Roman" w:cs="Times New Roman"/>
          <w:snapToGrid w:val="0"/>
          <w:lang w:val="lv-LV"/>
        </w:rPr>
        <w:t>primāro dzīvsudraba ieguvi, kas nav tikusi veikta tās teritorijā dienā, kad šī konvencija stājās spēkā attiecībā uz konkrēto pusi.</w:t>
      </w: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4. Ikviena puse atļauj </w:t>
      </w:r>
      <w:r w:rsidR="0099054D">
        <w:rPr>
          <w:rFonts w:ascii="Times New Roman" w:hAnsi="Times New Roman" w:cs="Times New Roman"/>
          <w:snapToGrid w:val="0"/>
          <w:lang w:val="lv-LV"/>
        </w:rPr>
        <w:t xml:space="preserve">tādu </w:t>
      </w:r>
      <w:r>
        <w:rPr>
          <w:rFonts w:ascii="Times New Roman" w:hAnsi="Times New Roman" w:cs="Times New Roman"/>
          <w:snapToGrid w:val="0"/>
          <w:lang w:val="lv-LV"/>
        </w:rPr>
        <w:t>primāro dzīvsudraba ieguvi, kas ir tikusi veikta tās teritorijā d</w:t>
      </w:r>
      <w:r w:rsidR="00D91ADF">
        <w:rPr>
          <w:rFonts w:ascii="Times New Roman" w:hAnsi="Times New Roman" w:cs="Times New Roman"/>
          <w:snapToGrid w:val="0"/>
          <w:lang w:val="lv-LV"/>
        </w:rPr>
        <w:t>atum</w:t>
      </w:r>
      <w:r>
        <w:rPr>
          <w:rFonts w:ascii="Times New Roman" w:hAnsi="Times New Roman" w:cs="Times New Roman"/>
          <w:snapToGrid w:val="0"/>
          <w:lang w:val="lv-LV"/>
        </w:rPr>
        <w:t>ā, kad šī konvencija stājās spēkā attiecībā uz konkrēto pusi, periodā, kas nepārsnie</w:t>
      </w:r>
      <w:r w:rsidR="00D91ADF">
        <w:rPr>
          <w:rFonts w:ascii="Times New Roman" w:hAnsi="Times New Roman" w:cs="Times New Roman"/>
          <w:snapToGrid w:val="0"/>
          <w:lang w:val="lv-LV"/>
        </w:rPr>
        <w:t>dz piecpadsmit gadus pēc minētā datuma</w:t>
      </w:r>
      <w:r>
        <w:rPr>
          <w:rFonts w:ascii="Times New Roman" w:hAnsi="Times New Roman" w:cs="Times New Roman"/>
          <w:snapToGrid w:val="0"/>
          <w:lang w:val="lv-LV"/>
        </w:rPr>
        <w:t>.</w:t>
      </w:r>
      <w:r w:rsidR="006937AD">
        <w:rPr>
          <w:rFonts w:ascii="Times New Roman" w:hAnsi="Times New Roman" w:cs="Times New Roman"/>
          <w:snapToGrid w:val="0"/>
          <w:lang w:val="lv-LV"/>
        </w:rPr>
        <w:t xml:space="preserve"> </w:t>
      </w:r>
      <w:r w:rsidR="00D91ADF">
        <w:rPr>
          <w:rFonts w:ascii="Times New Roman" w:hAnsi="Times New Roman" w:cs="Times New Roman"/>
          <w:snapToGrid w:val="0"/>
          <w:lang w:val="lv-LV"/>
        </w:rPr>
        <w:t xml:space="preserve">Dzīvsudrabu, kas šajā periodā iegūts minētajā </w:t>
      </w:r>
      <w:r>
        <w:rPr>
          <w:rFonts w:ascii="Times New Roman" w:hAnsi="Times New Roman" w:cs="Times New Roman"/>
          <w:snapToGrid w:val="0"/>
          <w:lang w:val="lv-LV"/>
        </w:rPr>
        <w:t>veidā</w:t>
      </w:r>
      <w:r w:rsidR="00D91ADF">
        <w:rPr>
          <w:rFonts w:ascii="Times New Roman" w:hAnsi="Times New Roman" w:cs="Times New Roman"/>
          <w:snapToGrid w:val="0"/>
          <w:lang w:val="lv-LV"/>
        </w:rPr>
        <w:t>,</w:t>
      </w:r>
      <w:r>
        <w:rPr>
          <w:rFonts w:ascii="Times New Roman" w:hAnsi="Times New Roman" w:cs="Times New Roman"/>
          <w:snapToGrid w:val="0"/>
          <w:lang w:val="lv-LV"/>
        </w:rPr>
        <w:t xml:space="preserve"> </w:t>
      </w:r>
      <w:r w:rsidR="0099054D">
        <w:rPr>
          <w:rFonts w:ascii="Times New Roman" w:hAnsi="Times New Roman" w:cs="Times New Roman"/>
          <w:snapToGrid w:val="0"/>
          <w:lang w:val="lv-LV"/>
        </w:rPr>
        <w:t>izmanto vienīgi dzīvsudrabu</w:t>
      </w:r>
      <w:r>
        <w:rPr>
          <w:rFonts w:ascii="Times New Roman" w:hAnsi="Times New Roman" w:cs="Times New Roman"/>
          <w:snapToGrid w:val="0"/>
          <w:lang w:val="lv-LV"/>
        </w:rPr>
        <w:t xml:space="preserve"> saturošu izstrādājumu ražošanai saskaņā ar 4. pantu, ražošanas procesos saskaņā ar 5. pantu, vai tas var tikt iznīcināts saskaņā ar 11. pantu, izmantojot darbības, kuru rezultāts nav saistīts ar </w:t>
      </w:r>
      <w:r w:rsidR="00AC7453">
        <w:rPr>
          <w:rFonts w:ascii="Times New Roman" w:hAnsi="Times New Roman" w:cs="Times New Roman"/>
          <w:snapToGrid w:val="0"/>
          <w:lang w:val="lv-LV"/>
        </w:rPr>
        <w:t>reģenerācij</w:t>
      </w:r>
      <w:r>
        <w:rPr>
          <w:rFonts w:ascii="Times New Roman" w:hAnsi="Times New Roman" w:cs="Times New Roman"/>
          <w:snapToGrid w:val="0"/>
          <w:lang w:val="lv-LV"/>
        </w:rPr>
        <w:t>u, pārstrād</w:t>
      </w:r>
      <w:r w:rsidR="0099054D">
        <w:rPr>
          <w:rFonts w:ascii="Times New Roman" w:hAnsi="Times New Roman" w:cs="Times New Roman"/>
          <w:snapToGrid w:val="0"/>
          <w:lang w:val="lv-LV"/>
        </w:rPr>
        <w:t xml:space="preserve">i, </w:t>
      </w:r>
      <w:r w:rsidR="00DE4C52">
        <w:rPr>
          <w:rFonts w:ascii="Times New Roman" w:hAnsi="Times New Roman" w:cs="Times New Roman"/>
          <w:snapToGrid w:val="0"/>
          <w:lang w:val="lv-LV"/>
        </w:rPr>
        <w:t>attīrīšan</w:t>
      </w:r>
      <w:r w:rsidR="0099054D">
        <w:rPr>
          <w:rFonts w:ascii="Times New Roman" w:hAnsi="Times New Roman" w:cs="Times New Roman"/>
          <w:snapToGrid w:val="0"/>
          <w:lang w:val="lv-LV"/>
        </w:rPr>
        <w:t>u, tiešu atkārtoto</w:t>
      </w:r>
      <w:r>
        <w:rPr>
          <w:rFonts w:ascii="Times New Roman" w:hAnsi="Times New Roman" w:cs="Times New Roman"/>
          <w:snapToGrid w:val="0"/>
          <w:lang w:val="lv-LV"/>
        </w:rPr>
        <w:t xml:space="preserve"> izmantošanu un citiem izmantošanas veidiem.</w:t>
      </w: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r>
        <w:rPr>
          <w:rFonts w:ascii="Times New Roman" w:hAnsi="Times New Roman" w:cs="Times New Roman"/>
          <w:snapToGrid w:val="0"/>
          <w:lang w:val="lv-LV"/>
        </w:rPr>
        <w:t>5. Ikviena puse</w:t>
      </w:r>
      <w:r w:rsidR="0099054D">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veic pasākumus, lai identificētu atsevišķus dzīvsudraba vai dzīvsudraba savienojumu krājumus, kuru apjoms pārsniedz 50 metriskās tonnas, kā arī dzīvsudraba avotus, no kuriem veidojas krājumi, kas pārsniedz 10 metriskās tonnas gadā, un kuri atrodas tās teritorijā;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veic pasākumus, lai </w:t>
      </w:r>
      <w:r w:rsidR="0099054D">
        <w:rPr>
          <w:rFonts w:ascii="Times New Roman" w:hAnsi="Times New Roman" w:cs="Times New Roman"/>
          <w:snapToGrid w:val="0"/>
          <w:lang w:val="lv-LV"/>
        </w:rPr>
        <w:t xml:space="preserve">tad, </w:t>
      </w:r>
      <w:r>
        <w:rPr>
          <w:rFonts w:ascii="Times New Roman" w:hAnsi="Times New Roman" w:cs="Times New Roman"/>
          <w:snapToGrid w:val="0"/>
          <w:lang w:val="lv-LV"/>
        </w:rPr>
        <w:t xml:space="preserve">ja puse konstatējusi, ka </w:t>
      </w:r>
      <w:r w:rsidRPr="0099054D">
        <w:rPr>
          <w:rFonts w:ascii="Times New Roman" w:hAnsi="Times New Roman" w:cs="Times New Roman"/>
          <w:snapToGrid w:val="0"/>
          <w:lang w:val="lv-LV"/>
        </w:rPr>
        <w:t>pēc hlora–sārmu ražotņu ekspluatācijas pārtraukšanas pastāv dzīvsudraba pārpalikums</w:t>
      </w:r>
      <w:r w:rsidR="0099054D" w:rsidRPr="0099054D">
        <w:rPr>
          <w:rFonts w:ascii="Times New Roman" w:hAnsi="Times New Roman" w:cs="Times New Roman"/>
          <w:snapToGrid w:val="0"/>
          <w:lang w:val="lv-LV"/>
        </w:rPr>
        <w:t xml:space="preserve">, </w:t>
      </w:r>
      <w:r w:rsidRPr="0099054D">
        <w:rPr>
          <w:rFonts w:ascii="Times New Roman" w:hAnsi="Times New Roman" w:cs="Times New Roman"/>
          <w:snapToGrid w:val="0"/>
          <w:lang w:val="lv-LV"/>
        </w:rPr>
        <w:t>nodrošinātu to, ka šāds dzīvsudrabs tiek iznīcināts saskaņā ar videi nekaitīgas apsaimniekošanas</w:t>
      </w:r>
      <w:r>
        <w:rPr>
          <w:rFonts w:ascii="Times New Roman" w:hAnsi="Times New Roman" w:cs="Times New Roman"/>
          <w:snapToGrid w:val="0"/>
          <w:lang w:val="lv-LV"/>
        </w:rPr>
        <w:t xml:space="preserve"> </w:t>
      </w:r>
      <w:r w:rsidR="00C125C3">
        <w:rPr>
          <w:rFonts w:ascii="Times New Roman" w:hAnsi="Times New Roman" w:cs="Times New Roman"/>
          <w:snapToGrid w:val="0"/>
          <w:lang w:val="lv-LV"/>
        </w:rPr>
        <w:t>vadlīnijā</w:t>
      </w:r>
      <w:r>
        <w:rPr>
          <w:rFonts w:ascii="Times New Roman" w:hAnsi="Times New Roman" w:cs="Times New Roman"/>
          <w:snapToGrid w:val="0"/>
          <w:lang w:val="lv-LV"/>
        </w:rPr>
        <w:t xml:space="preserve">m, kas </w:t>
      </w:r>
      <w:r w:rsidR="00C125C3">
        <w:rPr>
          <w:rFonts w:ascii="Times New Roman" w:hAnsi="Times New Roman" w:cs="Times New Roman"/>
          <w:snapToGrid w:val="0"/>
          <w:lang w:val="lv-LV"/>
        </w:rPr>
        <w:t>minētas</w:t>
      </w:r>
      <w:r w:rsidR="0099054D">
        <w:rPr>
          <w:rFonts w:ascii="Times New Roman" w:hAnsi="Times New Roman" w:cs="Times New Roman"/>
          <w:snapToGrid w:val="0"/>
          <w:lang w:val="lv-LV"/>
        </w:rPr>
        <w:t xml:space="preserve"> </w:t>
      </w:r>
      <w:r>
        <w:rPr>
          <w:rFonts w:ascii="Times New Roman" w:hAnsi="Times New Roman" w:cs="Times New Roman"/>
          <w:snapToGrid w:val="0"/>
          <w:lang w:val="lv-LV"/>
        </w:rPr>
        <w:t xml:space="preserve">11. panta 3. punkta a) apakšpunktā, </w:t>
      </w:r>
      <w:r w:rsidR="0099054D">
        <w:rPr>
          <w:rFonts w:ascii="Times New Roman" w:hAnsi="Times New Roman" w:cs="Times New Roman"/>
          <w:snapToGrid w:val="0"/>
          <w:lang w:val="lv-LV"/>
        </w:rPr>
        <w:t>veic</w:t>
      </w:r>
      <w:r>
        <w:rPr>
          <w:rFonts w:ascii="Times New Roman" w:hAnsi="Times New Roman" w:cs="Times New Roman"/>
          <w:snapToGrid w:val="0"/>
          <w:lang w:val="lv-LV"/>
        </w:rPr>
        <w:t xml:space="preserve">ot darbības, kuru rezultāts nav saistīts ar </w:t>
      </w:r>
      <w:r w:rsidR="00AC7453">
        <w:rPr>
          <w:rFonts w:ascii="Times New Roman" w:hAnsi="Times New Roman" w:cs="Times New Roman"/>
          <w:snapToGrid w:val="0"/>
          <w:lang w:val="lv-LV"/>
        </w:rPr>
        <w:t xml:space="preserve">reģenerāciju, </w:t>
      </w:r>
      <w:r>
        <w:rPr>
          <w:rFonts w:ascii="Times New Roman" w:hAnsi="Times New Roman" w:cs="Times New Roman"/>
          <w:snapToGrid w:val="0"/>
          <w:lang w:val="lv-LV"/>
        </w:rPr>
        <w:t>pārstrād</w:t>
      </w:r>
      <w:r w:rsidR="0099054D">
        <w:rPr>
          <w:rFonts w:ascii="Times New Roman" w:hAnsi="Times New Roman" w:cs="Times New Roman"/>
          <w:snapToGrid w:val="0"/>
          <w:lang w:val="lv-LV"/>
        </w:rPr>
        <w:t xml:space="preserve">i, </w:t>
      </w:r>
      <w:r w:rsidR="00DE4C52">
        <w:rPr>
          <w:rFonts w:ascii="Times New Roman" w:hAnsi="Times New Roman" w:cs="Times New Roman"/>
          <w:snapToGrid w:val="0"/>
          <w:lang w:val="lv-LV"/>
        </w:rPr>
        <w:t>attīrīšan</w:t>
      </w:r>
      <w:r w:rsidR="0099054D">
        <w:rPr>
          <w:rFonts w:ascii="Times New Roman" w:hAnsi="Times New Roman" w:cs="Times New Roman"/>
          <w:snapToGrid w:val="0"/>
          <w:lang w:val="lv-LV"/>
        </w:rPr>
        <w:t>u, tiešu atkārtoto</w:t>
      </w:r>
      <w:r>
        <w:rPr>
          <w:rFonts w:ascii="Times New Roman" w:hAnsi="Times New Roman" w:cs="Times New Roman"/>
          <w:snapToGrid w:val="0"/>
          <w:lang w:val="lv-LV"/>
        </w:rPr>
        <w:t xml:space="preserve"> izmantošanu un citiem izmantošanas veidiem.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6. </w:t>
      </w:r>
      <w:r w:rsidR="007E55AC">
        <w:rPr>
          <w:rFonts w:ascii="Times New Roman" w:hAnsi="Times New Roman" w:cs="Times New Roman"/>
          <w:snapToGrid w:val="0"/>
          <w:lang w:val="lv-LV"/>
        </w:rPr>
        <w:t>Neviena puse neat</w:t>
      </w:r>
      <w:r>
        <w:rPr>
          <w:rFonts w:ascii="Times New Roman" w:hAnsi="Times New Roman" w:cs="Times New Roman"/>
          <w:snapToGrid w:val="0"/>
          <w:lang w:val="lv-LV"/>
        </w:rPr>
        <w:t>ļauj dzīvsudraba eksportu, izņemot šādus gadījumus: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ja dzīvsudrabs tiek eksportēts pusei, kura ir iesniegusi pusei eksportētājai rakstisku piekrišanu, un vienīgi šādos nolūkos: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 izmantošanai, kura ir atļauta pusei importētājai saskaņā ar šo konvenciju, vai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 videi nekaitīgai pagaidu uzglabāšanai, kā noteikts 10. pantā, vai</w:t>
      </w:r>
      <w:r w:rsidR="00A51EA6">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ja dzīvsudrabs tiek eksportēts valstij, kas nav konvencijas puse un kas ir iesniegusi pu</w:t>
      </w:r>
      <w:r w:rsidR="00A51EA6">
        <w:rPr>
          <w:rFonts w:ascii="Times New Roman" w:hAnsi="Times New Roman" w:cs="Times New Roman"/>
          <w:snapToGrid w:val="0"/>
          <w:lang w:val="lv-LV"/>
        </w:rPr>
        <w:t>sei eksportētājai savu rakstisko</w:t>
      </w:r>
      <w:r>
        <w:rPr>
          <w:rFonts w:ascii="Times New Roman" w:hAnsi="Times New Roman" w:cs="Times New Roman"/>
          <w:snapToGrid w:val="0"/>
          <w:lang w:val="lv-LV"/>
        </w:rPr>
        <w:t xml:space="preserve"> piekrišanu, kura ietver arī apliecinājumu par to, ka: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 valstī, kas nav konvencijas puse, ir veikti pasākumi, lai nodrošinātu cilvēku veselības un apkārtējās vides aizsardzību un tās atbilstību 10. un 11. panta noteikumiem,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 šāds dzīvsudrabs tiks izmantots vienīgi veidā, ko paredz konvencija tās pusēm, vai videi nekaitīgai pagaidu uzglabāšanai, kā noteikts 10. pantā.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7. Puse eksportētāja </w:t>
      </w:r>
      <w:r w:rsidR="007E55AC">
        <w:rPr>
          <w:rFonts w:ascii="Times New Roman" w:hAnsi="Times New Roman" w:cs="Times New Roman"/>
          <w:snapToGrid w:val="0"/>
          <w:lang w:val="lv-LV"/>
        </w:rPr>
        <w:t xml:space="preserve">var atsaukties uz </w:t>
      </w:r>
      <w:r>
        <w:rPr>
          <w:rFonts w:ascii="Times New Roman" w:hAnsi="Times New Roman" w:cs="Times New Roman"/>
          <w:snapToGrid w:val="0"/>
          <w:lang w:val="lv-LV"/>
        </w:rPr>
        <w:t>vispārēju paziņojumu, ko puse importētāja vai valsts, kas nav konvencijas puse, ir iesniegusi sekretariātam rakstiskas piekrišanas veidā, kā noteikts 6. punktā. Šādā vispār</w:t>
      </w:r>
      <w:r w:rsidR="007E55AC">
        <w:rPr>
          <w:rFonts w:ascii="Times New Roman" w:hAnsi="Times New Roman" w:cs="Times New Roman"/>
          <w:snapToGrid w:val="0"/>
          <w:lang w:val="lv-LV"/>
        </w:rPr>
        <w:t>ēj</w:t>
      </w:r>
      <w:r>
        <w:rPr>
          <w:rFonts w:ascii="Times New Roman" w:hAnsi="Times New Roman" w:cs="Times New Roman"/>
          <w:snapToGrid w:val="0"/>
          <w:lang w:val="lv-LV"/>
        </w:rPr>
        <w:t xml:space="preserve">ā paziņojumā jānorāda noteikumi, saskaņā ar kuriem puse importētāja vai valsts, kas nav konvencijas puse, sniegusi savu piekrišanu. Attiecīgā puse vai valsts, kas </w:t>
      </w:r>
      <w:r>
        <w:rPr>
          <w:rFonts w:ascii="Times New Roman" w:hAnsi="Times New Roman" w:cs="Times New Roman"/>
          <w:snapToGrid w:val="0"/>
          <w:lang w:val="lv-LV"/>
        </w:rPr>
        <w:lastRenderedPageBreak/>
        <w:t xml:space="preserve">nav konvencijas puse, jebkurā laikā var atsaukt šo paziņojumu. Sekretariāts uztur publisku reģistru, kurā </w:t>
      </w:r>
      <w:r w:rsidR="00564994">
        <w:rPr>
          <w:rFonts w:ascii="Times New Roman" w:hAnsi="Times New Roman" w:cs="Times New Roman"/>
          <w:snapToGrid w:val="0"/>
          <w:lang w:val="lv-LV"/>
        </w:rPr>
        <w:t>tiek glabāti</w:t>
      </w:r>
      <w:r>
        <w:rPr>
          <w:rFonts w:ascii="Times New Roman" w:hAnsi="Times New Roman" w:cs="Times New Roman"/>
          <w:snapToGrid w:val="0"/>
          <w:lang w:val="lv-LV"/>
        </w:rPr>
        <w:t xml:space="preserve"> visi šādi paziņojumi.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564994">
        <w:rPr>
          <w:rFonts w:ascii="Times New Roman" w:hAnsi="Times New Roman" w:cs="Times New Roman"/>
          <w:snapToGrid w:val="0"/>
          <w:lang w:val="lv-LV"/>
        </w:rPr>
        <w:t>8. Neviena puse neatļauj dzīvsudraba importu no v</w:t>
      </w:r>
      <w:r w:rsidR="007E55AC" w:rsidRPr="00564994">
        <w:rPr>
          <w:rFonts w:ascii="Times New Roman" w:hAnsi="Times New Roman" w:cs="Times New Roman"/>
          <w:snapToGrid w:val="0"/>
          <w:lang w:val="lv-LV"/>
        </w:rPr>
        <w:t>alsts, kura nav konvencijas puse un kurai</w:t>
      </w:r>
      <w:r w:rsidRPr="00564994">
        <w:rPr>
          <w:rFonts w:ascii="Times New Roman" w:hAnsi="Times New Roman" w:cs="Times New Roman"/>
          <w:snapToGrid w:val="0"/>
          <w:lang w:val="lv-LV"/>
        </w:rPr>
        <w:t xml:space="preserve"> tā iesniedz savu rakstisku piekrišanu, ja vien attiecīgā valsts, kas nav konvencijas puse, nav iesniegusi apliecinājumu tam, ka dzīvsudrabs nav iegūts no neatļautiem avotiem, kas norādīti 3. punktā vai 5. punkta b) apakšpunktā.</w:t>
      </w:r>
    </w:p>
    <w:p w:rsidR="0060722E" w:rsidRDefault="0060722E">
      <w:pPr>
        <w:jc w:val="both"/>
        <w:rPr>
          <w:rFonts w:ascii="Times New Roman" w:hAnsi="Times New Roman" w:cs="Times New Roman"/>
          <w:snapToGrid w:val="0"/>
          <w:lang w:val="lv-LV"/>
        </w:rPr>
      </w:pPr>
    </w:p>
    <w:p w:rsidR="0060722E" w:rsidRPr="00564994"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9. Puse, kas iesniedz vispārēju paziņojumu par piekrišanu saskaņā ar 7. punktu, var nolemt nepiemērot 8. punktu, </w:t>
      </w:r>
      <w:r w:rsidR="00564994">
        <w:rPr>
          <w:rFonts w:ascii="Times New Roman" w:hAnsi="Times New Roman" w:cs="Times New Roman"/>
          <w:snapToGrid w:val="0"/>
          <w:lang w:val="lv-LV"/>
        </w:rPr>
        <w:t xml:space="preserve">ja </w:t>
      </w:r>
      <w:r>
        <w:rPr>
          <w:rFonts w:ascii="Times New Roman" w:hAnsi="Times New Roman" w:cs="Times New Roman"/>
          <w:snapToGrid w:val="0"/>
          <w:lang w:val="lv-LV"/>
        </w:rPr>
        <w:t xml:space="preserve">tā saglabā plašus ierobežojumus attiecībā uz dzīvsudraba eksportu un </w:t>
      </w:r>
      <w:r w:rsidR="00564994">
        <w:rPr>
          <w:rFonts w:ascii="Times New Roman" w:hAnsi="Times New Roman" w:cs="Times New Roman"/>
          <w:snapToGrid w:val="0"/>
          <w:lang w:val="lv-LV"/>
        </w:rPr>
        <w:t xml:space="preserve">ja </w:t>
      </w:r>
      <w:r>
        <w:rPr>
          <w:rFonts w:ascii="Times New Roman" w:hAnsi="Times New Roman" w:cs="Times New Roman"/>
          <w:snapToGrid w:val="0"/>
          <w:lang w:val="lv-LV"/>
        </w:rPr>
        <w:t>attiecīgajā valstī tiek veikti pasākumi, lai nodrošinātu to, ka importētais dzīvsudrabs tiek apsaimniekots videi nekaitīgā veidā. Attiecīgā puse iesniedz sekretariātam paziņojumu par šā</w:t>
      </w:r>
      <w:r w:rsidR="00564994">
        <w:rPr>
          <w:rFonts w:ascii="Times New Roman" w:hAnsi="Times New Roman" w:cs="Times New Roman"/>
          <w:snapToGrid w:val="0"/>
          <w:lang w:val="lv-LV"/>
        </w:rPr>
        <w:t xml:space="preserve">du lēmumu, tostarp informāciju par </w:t>
      </w:r>
      <w:r>
        <w:rPr>
          <w:rFonts w:ascii="Times New Roman" w:hAnsi="Times New Roman" w:cs="Times New Roman"/>
          <w:snapToGrid w:val="0"/>
          <w:lang w:val="lv-LV"/>
        </w:rPr>
        <w:t>eksporta ierobežojumi</w:t>
      </w:r>
      <w:r w:rsidR="00564994">
        <w:rPr>
          <w:rFonts w:ascii="Times New Roman" w:hAnsi="Times New Roman" w:cs="Times New Roman"/>
          <w:snapToGrid w:val="0"/>
          <w:lang w:val="lv-LV"/>
        </w:rPr>
        <w:t>em</w:t>
      </w:r>
      <w:r>
        <w:rPr>
          <w:rFonts w:ascii="Times New Roman" w:hAnsi="Times New Roman" w:cs="Times New Roman"/>
          <w:snapToGrid w:val="0"/>
          <w:lang w:val="lv-LV"/>
        </w:rPr>
        <w:t xml:space="preserve"> un valsts reglamentējoš</w:t>
      </w:r>
      <w:r w:rsidR="00564994">
        <w:rPr>
          <w:rFonts w:ascii="Times New Roman" w:hAnsi="Times New Roman" w:cs="Times New Roman"/>
          <w:snapToGrid w:val="0"/>
          <w:lang w:val="lv-LV"/>
        </w:rPr>
        <w:t>aj</w:t>
      </w:r>
      <w:r>
        <w:rPr>
          <w:rFonts w:ascii="Times New Roman" w:hAnsi="Times New Roman" w:cs="Times New Roman"/>
          <w:snapToGrid w:val="0"/>
          <w:lang w:val="lv-LV"/>
        </w:rPr>
        <w:t>ie</w:t>
      </w:r>
      <w:r w:rsidR="00564994">
        <w:rPr>
          <w:rFonts w:ascii="Times New Roman" w:hAnsi="Times New Roman" w:cs="Times New Roman"/>
          <w:snapToGrid w:val="0"/>
          <w:lang w:val="lv-LV"/>
        </w:rPr>
        <w:t>m</w:t>
      </w:r>
      <w:r>
        <w:rPr>
          <w:rFonts w:ascii="Times New Roman" w:hAnsi="Times New Roman" w:cs="Times New Roman"/>
          <w:snapToGrid w:val="0"/>
          <w:lang w:val="lv-LV"/>
        </w:rPr>
        <w:t xml:space="preserve"> pasākumi</w:t>
      </w:r>
      <w:r w:rsidR="00564994">
        <w:rPr>
          <w:rFonts w:ascii="Times New Roman" w:hAnsi="Times New Roman" w:cs="Times New Roman"/>
          <w:snapToGrid w:val="0"/>
          <w:lang w:val="lv-LV"/>
        </w:rPr>
        <w:t>em</w:t>
      </w:r>
      <w:r>
        <w:rPr>
          <w:rFonts w:ascii="Times New Roman" w:hAnsi="Times New Roman" w:cs="Times New Roman"/>
          <w:snapToGrid w:val="0"/>
          <w:lang w:val="lv-LV"/>
        </w:rPr>
        <w:t xml:space="preserve">, kā arī informāciju par </w:t>
      </w:r>
      <w:r w:rsidR="00564994">
        <w:rPr>
          <w:rFonts w:ascii="Times New Roman" w:hAnsi="Times New Roman" w:cs="Times New Roman"/>
          <w:snapToGrid w:val="0"/>
          <w:lang w:val="lv-LV"/>
        </w:rPr>
        <w:t xml:space="preserve">tāda </w:t>
      </w:r>
      <w:r>
        <w:rPr>
          <w:rFonts w:ascii="Times New Roman" w:hAnsi="Times New Roman" w:cs="Times New Roman"/>
          <w:snapToGrid w:val="0"/>
          <w:lang w:val="lv-LV"/>
        </w:rPr>
        <w:t>dzīvsudraba</w:t>
      </w:r>
      <w:r w:rsidR="00564994">
        <w:rPr>
          <w:rFonts w:ascii="Times New Roman" w:hAnsi="Times New Roman" w:cs="Times New Roman"/>
          <w:snapToGrid w:val="0"/>
          <w:lang w:val="lv-LV"/>
        </w:rPr>
        <w:t xml:space="preserve"> daudzumu un izcelsmes valsti, kas</w:t>
      </w:r>
      <w:r>
        <w:rPr>
          <w:rFonts w:ascii="Times New Roman" w:hAnsi="Times New Roman" w:cs="Times New Roman"/>
          <w:snapToGrid w:val="0"/>
          <w:lang w:val="lv-LV"/>
        </w:rPr>
        <w:t xml:space="preserve"> ievests no val</w:t>
      </w:r>
      <w:r w:rsidR="00564994">
        <w:rPr>
          <w:rFonts w:ascii="Times New Roman" w:hAnsi="Times New Roman" w:cs="Times New Roman"/>
          <w:snapToGrid w:val="0"/>
          <w:lang w:val="lv-LV"/>
        </w:rPr>
        <w:t>stīm, k</w:t>
      </w:r>
      <w:r w:rsidR="00A40020">
        <w:rPr>
          <w:rFonts w:ascii="Times New Roman" w:hAnsi="Times New Roman" w:cs="Times New Roman"/>
          <w:snapToGrid w:val="0"/>
          <w:lang w:val="lv-LV"/>
        </w:rPr>
        <w:t>ur</w:t>
      </w:r>
      <w:r w:rsidR="00564994">
        <w:rPr>
          <w:rFonts w:ascii="Times New Roman" w:hAnsi="Times New Roman" w:cs="Times New Roman"/>
          <w:snapToGrid w:val="0"/>
          <w:lang w:val="lv-LV"/>
        </w:rPr>
        <w:t>as nav konvencijas puses</w:t>
      </w:r>
      <w:r>
        <w:rPr>
          <w:rFonts w:ascii="Times New Roman" w:hAnsi="Times New Roman" w:cs="Times New Roman"/>
          <w:snapToGrid w:val="0"/>
          <w:lang w:val="lv-LV"/>
        </w:rPr>
        <w:t xml:space="preserve">. Sekretariāts uztur publisku reģistru, kurā </w:t>
      </w:r>
      <w:r w:rsidR="00564994">
        <w:rPr>
          <w:rFonts w:ascii="Times New Roman" w:hAnsi="Times New Roman" w:cs="Times New Roman"/>
          <w:snapToGrid w:val="0"/>
          <w:lang w:val="lv-LV"/>
        </w:rPr>
        <w:t>tiek glabāti</w:t>
      </w:r>
      <w:r>
        <w:rPr>
          <w:rFonts w:ascii="Times New Roman" w:hAnsi="Times New Roman" w:cs="Times New Roman"/>
          <w:snapToGrid w:val="0"/>
          <w:lang w:val="lv-LV"/>
        </w:rPr>
        <w:t xml:space="preserve"> visi šādi paziņojumi</w:t>
      </w:r>
      <w:r w:rsidRPr="00564994">
        <w:rPr>
          <w:rFonts w:ascii="Times New Roman" w:hAnsi="Times New Roman" w:cs="Times New Roman"/>
          <w:snapToGrid w:val="0"/>
          <w:lang w:val="lv-LV"/>
        </w:rPr>
        <w:t>.</w:t>
      </w:r>
      <w:r w:rsidR="006951EA">
        <w:rPr>
          <w:rFonts w:ascii="Times New Roman" w:hAnsi="Times New Roman" w:cs="Times New Roman"/>
          <w:snapToGrid w:val="0"/>
          <w:lang w:val="lv-LV"/>
        </w:rPr>
        <w:t xml:space="preserve"> </w:t>
      </w:r>
      <w:r w:rsidRPr="00564994">
        <w:rPr>
          <w:rFonts w:ascii="Times New Roman" w:hAnsi="Times New Roman" w:cs="Times New Roman"/>
          <w:snapToGrid w:val="0"/>
          <w:lang w:val="lv-LV"/>
        </w:rPr>
        <w:t xml:space="preserve">Komiteja īstenošanas un atbilstības jautājumos pārskata un izvērtē </w:t>
      </w:r>
      <w:r w:rsidR="00564994" w:rsidRPr="00564994">
        <w:rPr>
          <w:rFonts w:ascii="Times New Roman" w:hAnsi="Times New Roman" w:cs="Times New Roman"/>
          <w:snapToGrid w:val="0"/>
          <w:lang w:val="lv-LV"/>
        </w:rPr>
        <w:t>ikvien</w:t>
      </w:r>
      <w:r w:rsidRPr="00564994">
        <w:rPr>
          <w:rFonts w:ascii="Times New Roman" w:hAnsi="Times New Roman" w:cs="Times New Roman"/>
          <w:snapToGrid w:val="0"/>
          <w:lang w:val="lv-LV"/>
        </w:rPr>
        <w:t>u šādu paziņojumu un papildu informāciju saskaņā ar 15. pantu, un vajadzības gadījumā tā var sniegt ieteikumus pušu konferencei.</w:t>
      </w:r>
    </w:p>
    <w:p w:rsidR="0060722E" w:rsidRPr="00564994" w:rsidRDefault="0060722E">
      <w:pPr>
        <w:jc w:val="both"/>
        <w:rPr>
          <w:rFonts w:ascii="Times New Roman" w:hAnsi="Times New Roman" w:cs="Times New Roman"/>
          <w:snapToGrid w:val="0"/>
          <w:highlight w:val="green"/>
          <w:lang w:val="lv-LV"/>
        </w:rPr>
      </w:pPr>
    </w:p>
    <w:p w:rsidR="0060722E" w:rsidRPr="00A56B4B" w:rsidRDefault="0060722E">
      <w:pPr>
        <w:jc w:val="both"/>
        <w:rPr>
          <w:rFonts w:ascii="Times New Roman" w:hAnsi="Times New Roman" w:cs="Times New Roman"/>
          <w:snapToGrid w:val="0"/>
          <w:lang w:val="lv-LV"/>
        </w:rPr>
      </w:pPr>
      <w:r w:rsidRPr="00A56B4B">
        <w:rPr>
          <w:rFonts w:ascii="Times New Roman" w:hAnsi="Times New Roman" w:cs="Times New Roman"/>
          <w:snapToGrid w:val="0"/>
          <w:lang w:val="lv-LV"/>
        </w:rPr>
        <w:t>10. Šā panta 9. punktā aprakstītā procedūra ir pieejama līdz pušu konferences otrās sanāksmes noslēgumam. Pēc tam tā vairs nav pieejama, ja vien pušu konference nenolemj citādi ar vienkāršu balsu vairākumu attiecībā uz pusē</w:t>
      </w:r>
      <w:r w:rsidR="009C543A">
        <w:rPr>
          <w:rFonts w:ascii="Times New Roman" w:hAnsi="Times New Roman" w:cs="Times New Roman"/>
          <w:snapToGrid w:val="0"/>
          <w:lang w:val="lv-LV"/>
        </w:rPr>
        <w:t>m, kuras ir klātesošas un balso, izņemot attiecībā</w:t>
      </w:r>
      <w:r w:rsidRPr="00A56B4B">
        <w:rPr>
          <w:rFonts w:ascii="Times New Roman" w:hAnsi="Times New Roman" w:cs="Times New Roman"/>
          <w:snapToGrid w:val="0"/>
          <w:lang w:val="lv-LV"/>
        </w:rPr>
        <w:t xml:space="preserve"> </w:t>
      </w:r>
      <w:r w:rsidR="009C543A">
        <w:rPr>
          <w:rFonts w:ascii="Times New Roman" w:hAnsi="Times New Roman" w:cs="Times New Roman"/>
          <w:snapToGrid w:val="0"/>
          <w:lang w:val="lv-LV"/>
        </w:rPr>
        <w:t>uz pusi</w:t>
      </w:r>
      <w:r w:rsidRPr="00A56B4B">
        <w:rPr>
          <w:rFonts w:ascii="Times New Roman" w:hAnsi="Times New Roman" w:cs="Times New Roman"/>
          <w:snapToGrid w:val="0"/>
          <w:lang w:val="lv-LV"/>
        </w:rPr>
        <w:t>, kas ir iesniegusi paziņojumu saskaņā ar 9. punktu</w:t>
      </w:r>
      <w:r w:rsidR="009C543A" w:rsidRPr="009C543A">
        <w:rPr>
          <w:rFonts w:ascii="Times New Roman" w:hAnsi="Times New Roman" w:cs="Times New Roman"/>
          <w:snapToGrid w:val="0"/>
          <w:lang w:val="lv-LV"/>
        </w:rPr>
        <w:t xml:space="preserve"> </w:t>
      </w:r>
      <w:r w:rsidR="009C543A" w:rsidRPr="00A56B4B">
        <w:rPr>
          <w:rFonts w:ascii="Times New Roman" w:hAnsi="Times New Roman" w:cs="Times New Roman"/>
          <w:snapToGrid w:val="0"/>
          <w:lang w:val="lv-LV"/>
        </w:rPr>
        <w:t>līdz pušu konferences otrās sanāksmes beigām</w:t>
      </w:r>
      <w:r w:rsidRPr="00A56B4B">
        <w:rPr>
          <w:rFonts w:ascii="Times New Roman" w:hAnsi="Times New Roman" w:cs="Times New Roman"/>
          <w:snapToGrid w:val="0"/>
          <w:lang w:val="lv-LV"/>
        </w:rPr>
        <w:t>.</w:t>
      </w:r>
    </w:p>
    <w:p w:rsidR="0060722E" w:rsidRPr="00A56B4B"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A56B4B">
        <w:rPr>
          <w:rFonts w:ascii="Times New Roman" w:hAnsi="Times New Roman" w:cs="Times New Roman"/>
          <w:snapToGrid w:val="0"/>
          <w:lang w:val="lv-LV"/>
        </w:rPr>
        <w:t>11. Ikviena puse savos ziņojumos, kuri tiek iesniegti saskaņā ar 21. pantu, iekļauj informāciju, kas apliecina to, ka šā panta prasības ir izpildītas.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12. Pušu konference savā pirmajā san</w:t>
      </w:r>
      <w:r w:rsidR="006C52CE">
        <w:rPr>
          <w:rFonts w:ascii="Times New Roman" w:hAnsi="Times New Roman" w:cs="Times New Roman"/>
          <w:snapToGrid w:val="0"/>
          <w:lang w:val="lv-LV"/>
        </w:rPr>
        <w:t>āksmē sniedz turpmāko</w:t>
      </w:r>
      <w:r>
        <w:rPr>
          <w:rFonts w:ascii="Times New Roman" w:hAnsi="Times New Roman" w:cs="Times New Roman"/>
          <w:snapToGrid w:val="0"/>
          <w:lang w:val="lv-LV"/>
        </w:rPr>
        <w:t xml:space="preserve">s norādījumus attiecībā uz šo pantu, </w:t>
      </w:r>
      <w:r w:rsidR="006C52CE">
        <w:rPr>
          <w:rFonts w:ascii="Times New Roman" w:hAnsi="Times New Roman" w:cs="Times New Roman"/>
          <w:snapToGrid w:val="0"/>
          <w:lang w:val="lv-LV"/>
        </w:rPr>
        <w:t xml:space="preserve">it īpaši </w:t>
      </w:r>
      <w:r>
        <w:rPr>
          <w:rFonts w:ascii="Times New Roman" w:hAnsi="Times New Roman" w:cs="Times New Roman"/>
          <w:snapToGrid w:val="0"/>
          <w:lang w:val="lv-LV"/>
        </w:rPr>
        <w:t xml:space="preserve">attiecībā uz 5. punkta a) apakšpunktu un 6. un 8. punktu, un izstrādā un pieņem </w:t>
      </w:r>
      <w:r w:rsidR="009C543A">
        <w:rPr>
          <w:rFonts w:ascii="Times New Roman" w:hAnsi="Times New Roman" w:cs="Times New Roman"/>
          <w:snapToGrid w:val="0"/>
          <w:lang w:val="lv-LV"/>
        </w:rPr>
        <w:t xml:space="preserve">nepieciešamo </w:t>
      </w:r>
      <w:r>
        <w:rPr>
          <w:rFonts w:ascii="Times New Roman" w:hAnsi="Times New Roman" w:cs="Times New Roman"/>
          <w:snapToGrid w:val="0"/>
          <w:lang w:val="lv-LV"/>
        </w:rPr>
        <w:t>saturu apliecinājumam, kas minēts 6. punkta b) apakšpunktā un 8. punktā.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4" w:name="bookmark4"/>
      <w:r w:rsidRPr="006C52CE">
        <w:rPr>
          <w:rFonts w:ascii="Times New Roman" w:hAnsi="Times New Roman" w:cs="Times New Roman"/>
          <w:snapToGrid w:val="0"/>
          <w:lang w:val="lv-LV"/>
        </w:rPr>
        <w:t xml:space="preserve">13. Pušu konference novērtē, vai noteiktu dzīvsudraba savienojumu tirdzniecība </w:t>
      </w:r>
      <w:r w:rsidR="006C52CE" w:rsidRPr="006C52CE">
        <w:rPr>
          <w:rFonts w:ascii="Times New Roman" w:hAnsi="Times New Roman" w:cs="Times New Roman"/>
          <w:snapToGrid w:val="0"/>
          <w:lang w:val="lv-LV"/>
        </w:rPr>
        <w:t>nav pretrunā šīs konvencijas mērķim</w:t>
      </w:r>
      <w:r w:rsidRPr="006C52CE">
        <w:rPr>
          <w:rFonts w:ascii="Times New Roman" w:hAnsi="Times New Roman" w:cs="Times New Roman"/>
          <w:snapToGrid w:val="0"/>
          <w:lang w:val="lv-LV"/>
        </w:rPr>
        <w:t>, un apsver, vai attiecībā uz noteiktiem dzīvsudraba savienojumiem, būtu jāpiemēro 6. un 8. punkts, norādot tos papildpielikumā, kas pieņemts saskaņā ar 27. pantu.</w:t>
      </w:r>
    </w:p>
    <w:bookmarkEnd w:id="4"/>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4.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Dzīvsudrabu saturoši izstrādājumi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 Neviena puse, veicot atbilstošus pasākumus, neatļauj </w:t>
      </w:r>
      <w:r w:rsidR="006C52CE">
        <w:rPr>
          <w:rFonts w:ascii="Times New Roman" w:hAnsi="Times New Roman" w:cs="Times New Roman"/>
          <w:snapToGrid w:val="0"/>
          <w:lang w:val="lv-LV"/>
        </w:rPr>
        <w:t>A pielikuma I daļā minēto dzīvsudrabu saturošo izstrādājumu</w:t>
      </w:r>
      <w:r>
        <w:rPr>
          <w:rFonts w:ascii="Times New Roman" w:hAnsi="Times New Roman" w:cs="Times New Roman"/>
          <w:snapToGrid w:val="0"/>
          <w:lang w:val="lv-LV"/>
        </w:rPr>
        <w:t xml:space="preserve"> ražošanu, importu vai eksportu pēc norādītā šo izstrādājumu ražošanas, importa vai eksporta pārtraukšanas datuma, izņemot gadījumu, ja A pielikumā ir norādīts izņēmums vai ja puse ir reģistrējusi atbrīvojumu saskaņā ar 6. pantu.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Puse, rīkojoties citādi</w:t>
      </w:r>
      <w:r w:rsidR="006C52CE">
        <w:rPr>
          <w:rFonts w:ascii="Times New Roman" w:hAnsi="Times New Roman" w:cs="Times New Roman"/>
          <w:snapToGrid w:val="0"/>
          <w:lang w:val="lv-LV"/>
        </w:rPr>
        <w:t>,</w:t>
      </w:r>
      <w:r>
        <w:rPr>
          <w:rFonts w:ascii="Times New Roman" w:hAnsi="Times New Roman" w:cs="Times New Roman"/>
          <w:snapToGrid w:val="0"/>
          <w:lang w:val="lv-LV"/>
        </w:rPr>
        <w:t xml:space="preserve"> nekā </w:t>
      </w:r>
      <w:r w:rsidR="006C52CE">
        <w:rPr>
          <w:rFonts w:ascii="Times New Roman" w:hAnsi="Times New Roman" w:cs="Times New Roman"/>
          <w:snapToGrid w:val="0"/>
          <w:lang w:val="lv-LV"/>
        </w:rPr>
        <w:t>tas minē</w:t>
      </w:r>
      <w:r>
        <w:rPr>
          <w:rFonts w:ascii="Times New Roman" w:hAnsi="Times New Roman" w:cs="Times New Roman"/>
          <w:snapToGrid w:val="0"/>
          <w:lang w:val="lv-LV"/>
        </w:rPr>
        <w:t>ts 1. punktā, var norādīt</w:t>
      </w:r>
      <w:r w:rsidR="006C52CE">
        <w:rPr>
          <w:rFonts w:ascii="Times New Roman" w:hAnsi="Times New Roman" w:cs="Times New Roman"/>
          <w:snapToGrid w:val="0"/>
          <w:lang w:val="lv-LV"/>
        </w:rPr>
        <w:t xml:space="preserve">, ka </w:t>
      </w:r>
      <w:r>
        <w:rPr>
          <w:rFonts w:ascii="Times New Roman" w:hAnsi="Times New Roman" w:cs="Times New Roman"/>
          <w:snapToGrid w:val="0"/>
          <w:lang w:val="lv-LV"/>
        </w:rPr>
        <w:t>līdz ar ratifikāciju vai A pielikuma grozījumu stāš</w:t>
      </w:r>
      <w:r w:rsidR="006C52CE">
        <w:rPr>
          <w:rFonts w:ascii="Times New Roman" w:hAnsi="Times New Roman" w:cs="Times New Roman"/>
          <w:snapToGrid w:val="0"/>
          <w:lang w:val="lv-LV"/>
        </w:rPr>
        <w:t>anos spēkā attiecībā uz to šī puse</w:t>
      </w:r>
      <w:r>
        <w:rPr>
          <w:rFonts w:ascii="Times New Roman" w:hAnsi="Times New Roman" w:cs="Times New Roman"/>
          <w:snapToGrid w:val="0"/>
          <w:lang w:val="lv-LV"/>
        </w:rPr>
        <w:t xml:space="preserve"> īstenos dažādus pasākumus vai stratēģijas saistībā ar izstrādājumiem, kas </w:t>
      </w:r>
      <w:r w:rsidR="006C52CE">
        <w:rPr>
          <w:rFonts w:ascii="Times New Roman" w:hAnsi="Times New Roman" w:cs="Times New Roman"/>
          <w:snapToGrid w:val="0"/>
          <w:lang w:val="lv-LV"/>
        </w:rPr>
        <w:t>minē</w:t>
      </w:r>
      <w:r>
        <w:rPr>
          <w:rFonts w:ascii="Times New Roman" w:hAnsi="Times New Roman" w:cs="Times New Roman"/>
          <w:snapToGrid w:val="0"/>
          <w:lang w:val="lv-LV"/>
        </w:rPr>
        <w:t xml:space="preserve">ti A pielikuma I daļā. Puse var izvēlēties šo iespēju tikai tad, ja tā var pierādīt, ka tā jau ir samazinājusi ražošanu, importu un eksportu līdz </w:t>
      </w:r>
      <w:r w:rsidR="00180148" w:rsidRPr="00180148">
        <w:rPr>
          <w:rFonts w:ascii="Times New Roman" w:hAnsi="Times New Roman" w:cs="Times New Roman"/>
          <w:i/>
          <w:iCs/>
          <w:snapToGrid w:val="0"/>
          <w:lang w:val="lv-LV"/>
        </w:rPr>
        <w:lastRenderedPageBreak/>
        <w:t>de minimis</w:t>
      </w:r>
      <w:r w:rsidR="00180148">
        <w:rPr>
          <w:rFonts w:ascii="Times New Roman" w:hAnsi="Times New Roman" w:cs="Times New Roman"/>
          <w:snapToGrid w:val="0"/>
          <w:lang w:val="lv-LV"/>
        </w:rPr>
        <w:t xml:space="preserve"> </w:t>
      </w:r>
      <w:r>
        <w:rPr>
          <w:rFonts w:ascii="Times New Roman" w:hAnsi="Times New Roman" w:cs="Times New Roman"/>
          <w:snapToGrid w:val="0"/>
          <w:lang w:val="lv-LV"/>
        </w:rPr>
        <w:t xml:space="preserve">līmenim attiecībā uz lielāko daļu to izstrādājumu, kuri </w:t>
      </w:r>
      <w:r w:rsidR="006C52CE">
        <w:rPr>
          <w:rFonts w:ascii="Times New Roman" w:hAnsi="Times New Roman" w:cs="Times New Roman"/>
          <w:snapToGrid w:val="0"/>
          <w:lang w:val="lv-LV"/>
        </w:rPr>
        <w:t>minē</w:t>
      </w:r>
      <w:r>
        <w:rPr>
          <w:rFonts w:ascii="Times New Roman" w:hAnsi="Times New Roman" w:cs="Times New Roman"/>
          <w:snapToGrid w:val="0"/>
          <w:lang w:val="lv-LV"/>
        </w:rPr>
        <w:t xml:space="preserve">ti A pielikuma I daļā, un ka tā ir īstenojusi pasākumus vai stratēģijas, lai samazinātu dzīvsudraba izmantošanu arī citos izstrādājumos, kas nav minēti A pielikuma I daļā, tad, kad tā paziņo sekretariātam par savu lēmumu izmantot šo iespēju. </w:t>
      </w:r>
      <w:r w:rsidR="006C52CE">
        <w:rPr>
          <w:rFonts w:ascii="Times New Roman" w:hAnsi="Times New Roman" w:cs="Times New Roman"/>
          <w:snapToGrid w:val="0"/>
          <w:lang w:val="lv-LV"/>
        </w:rPr>
        <w:t xml:space="preserve">Turklāt </w:t>
      </w:r>
      <w:r>
        <w:rPr>
          <w:rFonts w:ascii="Times New Roman" w:hAnsi="Times New Roman" w:cs="Times New Roman"/>
          <w:snapToGrid w:val="0"/>
          <w:lang w:val="lv-LV"/>
        </w:rPr>
        <w:t>puse, kura izvēlas šo iespēju,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a) tiklīdz </w:t>
      </w:r>
      <w:r w:rsidR="006C52CE">
        <w:rPr>
          <w:rFonts w:ascii="Times New Roman" w:hAnsi="Times New Roman" w:cs="Times New Roman"/>
          <w:snapToGrid w:val="0"/>
          <w:lang w:val="lv-LV"/>
        </w:rPr>
        <w:t xml:space="preserve">tas ir </w:t>
      </w:r>
      <w:r>
        <w:rPr>
          <w:rFonts w:ascii="Times New Roman" w:hAnsi="Times New Roman" w:cs="Times New Roman"/>
          <w:snapToGrid w:val="0"/>
          <w:lang w:val="lv-LV"/>
        </w:rPr>
        <w:t>iespējams</w:t>
      </w:r>
      <w:r w:rsidR="006C52CE">
        <w:rPr>
          <w:rFonts w:ascii="Times New Roman" w:hAnsi="Times New Roman" w:cs="Times New Roman"/>
          <w:snapToGrid w:val="0"/>
          <w:lang w:val="lv-LV"/>
        </w:rPr>
        <w:t>,</w:t>
      </w:r>
      <w:r>
        <w:rPr>
          <w:rFonts w:ascii="Times New Roman" w:hAnsi="Times New Roman" w:cs="Times New Roman"/>
          <w:snapToGrid w:val="0"/>
          <w:lang w:val="lv-LV"/>
        </w:rPr>
        <w:t xml:space="preserve"> ziņo pušu konferencei par īstenotajiem pasākumiem vai stratēģijām, tostarp par panāktā samazināšanas līmeņa kvantitatīvajiem rādītājiem;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īsteno pasākumus vai stratēģijas, lai samazinātu dzīvsudraba izmantošanu jebkuros </w:t>
      </w:r>
      <w:r w:rsidR="006C52CE">
        <w:rPr>
          <w:rFonts w:ascii="Times New Roman" w:hAnsi="Times New Roman" w:cs="Times New Roman"/>
          <w:snapToGrid w:val="0"/>
          <w:lang w:val="lv-LV"/>
        </w:rPr>
        <w:t>A pielikuma I daļā minētajos izstrādājumos, kuru</w:t>
      </w:r>
      <w:r>
        <w:rPr>
          <w:rFonts w:ascii="Times New Roman" w:hAnsi="Times New Roman" w:cs="Times New Roman"/>
          <w:snapToGrid w:val="0"/>
          <w:lang w:val="lv-LV"/>
        </w:rPr>
        <w:t xml:space="preserve"> </w:t>
      </w:r>
      <w:r w:rsidR="00180148" w:rsidRPr="00180148">
        <w:rPr>
          <w:rFonts w:ascii="Times New Roman" w:hAnsi="Times New Roman" w:cs="Times New Roman"/>
          <w:i/>
          <w:iCs/>
          <w:snapToGrid w:val="0"/>
          <w:lang w:val="lv-LV"/>
        </w:rPr>
        <w:t>de minimis</w:t>
      </w:r>
      <w:r w:rsidR="00180148">
        <w:rPr>
          <w:rFonts w:ascii="Times New Roman" w:hAnsi="Times New Roman" w:cs="Times New Roman"/>
          <w:snapToGrid w:val="0"/>
          <w:lang w:val="lv-LV"/>
        </w:rPr>
        <w:t xml:space="preserve"> </w:t>
      </w:r>
      <w:r>
        <w:rPr>
          <w:rFonts w:ascii="Times New Roman" w:hAnsi="Times New Roman" w:cs="Times New Roman"/>
          <w:snapToGrid w:val="0"/>
          <w:lang w:val="lv-LV"/>
        </w:rPr>
        <w:t>vērtība vēl nav noteikta;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apsver papildu pasākumus, lai panāktu vēl </w:t>
      </w:r>
      <w:r w:rsidR="009C543A">
        <w:rPr>
          <w:rFonts w:ascii="Times New Roman" w:hAnsi="Times New Roman" w:cs="Times New Roman"/>
          <w:snapToGrid w:val="0"/>
          <w:lang w:val="lv-LV"/>
        </w:rPr>
        <w:t>lielāku samazinājumu</w:t>
      </w:r>
      <w:r>
        <w:rPr>
          <w:rFonts w:ascii="Times New Roman" w:hAnsi="Times New Roman" w:cs="Times New Roman"/>
          <w:snapToGrid w:val="0"/>
          <w:lang w:val="lv-LV"/>
        </w:rPr>
        <w:t>,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d) nevar pieprasīt atbrīvojumus saskaņā ar 6. pantu nevienai izstrādājumu kategorijai, kurai tiek iz</w:t>
      </w:r>
      <w:r w:rsidR="00AB76A9">
        <w:rPr>
          <w:rFonts w:ascii="Times New Roman" w:hAnsi="Times New Roman" w:cs="Times New Roman"/>
          <w:snapToGrid w:val="0"/>
          <w:lang w:val="lv-LV"/>
        </w:rPr>
        <w:t>raudzī</w:t>
      </w:r>
      <w:r>
        <w:rPr>
          <w:rFonts w:ascii="Times New Roman" w:hAnsi="Times New Roman" w:cs="Times New Roman"/>
          <w:snapToGrid w:val="0"/>
          <w:lang w:val="lv-LV"/>
        </w:rPr>
        <w:t>ta šī iespēja.</w:t>
      </w:r>
    </w:p>
    <w:p w:rsidR="0060722E" w:rsidRDefault="0060722E">
      <w:pPr>
        <w:jc w:val="both"/>
        <w:rPr>
          <w:rFonts w:ascii="Times New Roman" w:hAnsi="Times New Roman" w:cs="Times New Roman"/>
          <w:snapToGrid w:val="0"/>
          <w:lang w:val="lv-LV"/>
        </w:rPr>
      </w:pPr>
    </w:p>
    <w:p w:rsidR="0060722E" w:rsidRDefault="00AB76A9">
      <w:pPr>
        <w:jc w:val="both"/>
        <w:rPr>
          <w:rFonts w:ascii="Times New Roman" w:hAnsi="Times New Roman" w:cs="Times New Roman"/>
          <w:snapToGrid w:val="0"/>
          <w:lang w:val="lv-LV"/>
        </w:rPr>
      </w:pPr>
      <w:r>
        <w:rPr>
          <w:rFonts w:ascii="Times New Roman" w:hAnsi="Times New Roman" w:cs="Times New Roman"/>
          <w:snapToGrid w:val="0"/>
          <w:lang w:val="lv-LV"/>
        </w:rPr>
        <w:t>Ne vēlāk kā piecu</w:t>
      </w:r>
      <w:r w:rsidR="0060722E">
        <w:rPr>
          <w:rFonts w:ascii="Times New Roman" w:hAnsi="Times New Roman" w:cs="Times New Roman"/>
          <w:snapToGrid w:val="0"/>
          <w:lang w:val="lv-LV"/>
        </w:rPr>
        <w:t xml:space="preserve"> g</w:t>
      </w:r>
      <w:r>
        <w:rPr>
          <w:rFonts w:ascii="Times New Roman" w:hAnsi="Times New Roman" w:cs="Times New Roman"/>
          <w:snapToGrid w:val="0"/>
          <w:lang w:val="lv-LV"/>
        </w:rPr>
        <w:t>adu laikā</w:t>
      </w:r>
      <w:r w:rsidR="0060722E">
        <w:rPr>
          <w:rFonts w:ascii="Times New Roman" w:hAnsi="Times New Roman" w:cs="Times New Roman"/>
          <w:snapToGrid w:val="0"/>
          <w:lang w:val="lv-LV"/>
        </w:rPr>
        <w:t xml:space="preserve"> pēc d</w:t>
      </w:r>
      <w:r>
        <w:rPr>
          <w:rFonts w:ascii="Times New Roman" w:hAnsi="Times New Roman" w:cs="Times New Roman"/>
          <w:snapToGrid w:val="0"/>
          <w:lang w:val="lv-LV"/>
        </w:rPr>
        <w:t>atuma, kurā</w:t>
      </w:r>
      <w:r w:rsidR="0060722E">
        <w:rPr>
          <w:rFonts w:ascii="Times New Roman" w:hAnsi="Times New Roman" w:cs="Times New Roman"/>
          <w:snapToGrid w:val="0"/>
          <w:lang w:val="lv-LV"/>
        </w:rPr>
        <w:t xml:space="preserve"> stājusies spēkā šī konven</w:t>
      </w:r>
      <w:r>
        <w:rPr>
          <w:rFonts w:ascii="Times New Roman" w:hAnsi="Times New Roman" w:cs="Times New Roman"/>
          <w:snapToGrid w:val="0"/>
          <w:lang w:val="lv-LV"/>
        </w:rPr>
        <w:t xml:space="preserve">cija, pušu konference izvērtē </w:t>
      </w:r>
      <w:r w:rsidR="0060722E">
        <w:rPr>
          <w:rFonts w:ascii="Times New Roman" w:hAnsi="Times New Roman" w:cs="Times New Roman"/>
          <w:snapToGrid w:val="0"/>
          <w:lang w:val="lv-LV"/>
        </w:rPr>
        <w:t>saskaņā ar šo punktu veikto pasākumu progresu un</w:t>
      </w:r>
      <w:r>
        <w:rPr>
          <w:rFonts w:ascii="Times New Roman" w:hAnsi="Times New Roman" w:cs="Times New Roman"/>
          <w:snapToGrid w:val="0"/>
          <w:lang w:val="lv-LV"/>
        </w:rPr>
        <w:t xml:space="preserve"> iedarbīgumu, un šī izvērtēšana ir daļa no 8. punktā noteiktā izvērtēšanas procesa</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3. Ikviena puse veic pasākumus attiecībā uz dzīvsudrabu saturošajiem izstrādājumiem, kas </w:t>
      </w:r>
      <w:r w:rsidR="00CF5695">
        <w:rPr>
          <w:rFonts w:ascii="Times New Roman" w:hAnsi="Times New Roman" w:cs="Times New Roman"/>
          <w:snapToGrid w:val="0"/>
          <w:lang w:val="lv-LV"/>
        </w:rPr>
        <w:t>minē</w:t>
      </w:r>
      <w:r>
        <w:rPr>
          <w:rFonts w:ascii="Times New Roman" w:hAnsi="Times New Roman" w:cs="Times New Roman"/>
          <w:snapToGrid w:val="0"/>
          <w:lang w:val="lv-LV"/>
        </w:rPr>
        <w:t>ti A pielikuma II d</w:t>
      </w:r>
      <w:r w:rsidR="00CF5695">
        <w:rPr>
          <w:rFonts w:ascii="Times New Roman" w:hAnsi="Times New Roman" w:cs="Times New Roman"/>
          <w:snapToGrid w:val="0"/>
          <w:lang w:val="lv-LV"/>
        </w:rPr>
        <w:t>aļā, saskaņā ar</w:t>
      </w:r>
      <w:r w:rsidR="00CF5695" w:rsidRPr="00CF5695">
        <w:rPr>
          <w:rFonts w:ascii="Times New Roman" w:hAnsi="Times New Roman" w:cs="Times New Roman"/>
          <w:snapToGrid w:val="0"/>
          <w:lang w:val="lv-LV"/>
        </w:rPr>
        <w:t xml:space="preserve"> </w:t>
      </w:r>
      <w:r w:rsidR="00CF5695">
        <w:rPr>
          <w:rFonts w:ascii="Times New Roman" w:hAnsi="Times New Roman" w:cs="Times New Roman"/>
          <w:snapToGrid w:val="0"/>
          <w:lang w:val="lv-LV"/>
        </w:rPr>
        <w:t>A pielikuma II daļas noteikumiem</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4. Sekretariāts, pamatojoties uz pušu iesniegto informāciju, savāc un saglabā informāciju par dzīvsudrabu saturošajiem izstrādājumiem un to</w:t>
      </w:r>
      <w:r w:rsidR="00CF5695">
        <w:rPr>
          <w:rFonts w:ascii="Times New Roman" w:hAnsi="Times New Roman" w:cs="Times New Roman"/>
          <w:snapToGrid w:val="0"/>
          <w:lang w:val="lv-LV"/>
        </w:rPr>
        <w:t xml:space="preserve"> alternatīvajiem izstrādājumiem</w:t>
      </w:r>
      <w:r>
        <w:rPr>
          <w:rFonts w:ascii="Times New Roman" w:hAnsi="Times New Roman" w:cs="Times New Roman"/>
          <w:snapToGrid w:val="0"/>
          <w:lang w:val="lv-LV"/>
        </w:rPr>
        <w:t xml:space="preserve"> un </w:t>
      </w:r>
      <w:r w:rsidR="00CF5695">
        <w:rPr>
          <w:rFonts w:ascii="Times New Roman" w:hAnsi="Times New Roman" w:cs="Times New Roman"/>
          <w:snapToGrid w:val="0"/>
          <w:lang w:val="lv-LV"/>
        </w:rPr>
        <w:t xml:space="preserve">minēto informāciju </w:t>
      </w:r>
      <w:r>
        <w:rPr>
          <w:rFonts w:ascii="Times New Roman" w:hAnsi="Times New Roman" w:cs="Times New Roman"/>
          <w:snapToGrid w:val="0"/>
          <w:lang w:val="lv-LV"/>
        </w:rPr>
        <w:t>publisko. Sekretariāts publisko arī citu svarīgu informāciju, ko iesniegušas puses.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5. Ikviena puse veic pasākumus, lai nepieļautu to, ka dzīvsudrabu saturoši izstrādājumi, kuru ražošana, importēšana un eksportēšana nav atļauta saskaņā ar šo pantu, tiek iestrādāti saliktos izstrādājumos.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6. Ikviena p</w:t>
      </w:r>
      <w:r w:rsidR="00A40020">
        <w:rPr>
          <w:rFonts w:ascii="Times New Roman" w:hAnsi="Times New Roman" w:cs="Times New Roman"/>
          <w:snapToGrid w:val="0"/>
          <w:lang w:val="lv-LV"/>
        </w:rPr>
        <w:t>use pirms datuma, kurā</w:t>
      </w:r>
      <w:r>
        <w:rPr>
          <w:rFonts w:ascii="Times New Roman" w:hAnsi="Times New Roman" w:cs="Times New Roman"/>
          <w:snapToGrid w:val="0"/>
          <w:lang w:val="lv-LV"/>
        </w:rPr>
        <w:t xml:space="preserve"> šī konvencija stājas spēkā attiecībā uz konkrēto pusi, novērš tādu dzīvsudrabu saturošu izstrādājumu ražošanu un izplatīšanu, kuri nav saistīti ar zināmajiem dzīvsudrabu saturošo izstrādājumu izmantošanas veidiem, ja vien riska faktoru un ieguvumu novērtējumā nav pierādīts, ka tie </w:t>
      </w:r>
      <w:r w:rsidR="00CA1EF8">
        <w:rPr>
          <w:rFonts w:ascii="Times New Roman" w:hAnsi="Times New Roman" w:cs="Times New Roman"/>
          <w:snapToGrid w:val="0"/>
          <w:lang w:val="lv-LV"/>
        </w:rPr>
        <w:t xml:space="preserve">sniedz </w:t>
      </w:r>
      <w:r>
        <w:rPr>
          <w:rFonts w:ascii="Times New Roman" w:hAnsi="Times New Roman" w:cs="Times New Roman"/>
          <w:snapToGrid w:val="0"/>
          <w:lang w:val="lv-LV"/>
        </w:rPr>
        <w:t>ieguvumus apkārtējās vides vai cilvēku veselības ziņā. Puse sniedz sekretariātam nepieciešamo informāciju par jebkuriem šādiem izstrādājumiem, tostarp informāciju par riska faktoriem un ieguvumiem attiecībā uz apkārtējo vidi un cilvēku veselību.</w:t>
      </w:r>
      <w:r w:rsidR="006937AD">
        <w:rPr>
          <w:rFonts w:ascii="Times New Roman" w:hAnsi="Times New Roman" w:cs="Times New Roman"/>
          <w:snapToGrid w:val="0"/>
          <w:lang w:val="lv-LV"/>
        </w:rPr>
        <w:t xml:space="preserve"> </w:t>
      </w:r>
      <w:r>
        <w:rPr>
          <w:rFonts w:ascii="Times New Roman" w:hAnsi="Times New Roman" w:cs="Times New Roman"/>
          <w:snapToGrid w:val="0"/>
          <w:lang w:val="lv-LV"/>
        </w:rPr>
        <w:t>Sekretariāts šo informāciju</w:t>
      </w:r>
      <w:r w:rsidR="00CF5695">
        <w:rPr>
          <w:rFonts w:ascii="Times New Roman" w:hAnsi="Times New Roman" w:cs="Times New Roman"/>
          <w:snapToGrid w:val="0"/>
          <w:lang w:val="lv-LV"/>
        </w:rPr>
        <w:t xml:space="preserve"> publisko</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7. Ikviena puse var iesniegt sekretariātam priekšlikumu attiecībā uz dzīvsudrabu saturoša izstrādājuma ie</w:t>
      </w:r>
      <w:r w:rsidR="00A40020">
        <w:rPr>
          <w:rFonts w:ascii="Times New Roman" w:hAnsi="Times New Roman" w:cs="Times New Roman"/>
          <w:snapToGrid w:val="0"/>
          <w:lang w:val="lv-LV"/>
        </w:rPr>
        <w:t>tver</w:t>
      </w:r>
      <w:r>
        <w:rPr>
          <w:rFonts w:ascii="Times New Roman" w:hAnsi="Times New Roman" w:cs="Times New Roman"/>
          <w:snapToGrid w:val="0"/>
          <w:lang w:val="lv-LV"/>
        </w:rPr>
        <w:t>šanu A pielikuma sarakstā, ie</w:t>
      </w:r>
      <w:r w:rsidR="00CF5695">
        <w:rPr>
          <w:rFonts w:ascii="Times New Roman" w:hAnsi="Times New Roman" w:cs="Times New Roman"/>
          <w:snapToGrid w:val="0"/>
          <w:lang w:val="lv-LV"/>
        </w:rPr>
        <w:t>kļauj</w:t>
      </w:r>
      <w:r>
        <w:rPr>
          <w:rFonts w:ascii="Times New Roman" w:hAnsi="Times New Roman" w:cs="Times New Roman"/>
          <w:snapToGrid w:val="0"/>
          <w:lang w:val="lv-LV"/>
        </w:rPr>
        <w:t xml:space="preserve">ot informāciju par šā izstrādājuma pieejamību, tā dzīvsudrabu nesaturošu alternatīvu tehnisko un ekonomisko pamatojumu, riska faktoriem un ieguvumiem apkārtējai videi un veselībai, ņemot vērā informāciju, kas </w:t>
      </w:r>
      <w:r w:rsidR="00CF5695">
        <w:rPr>
          <w:rFonts w:ascii="Times New Roman" w:hAnsi="Times New Roman" w:cs="Times New Roman"/>
          <w:snapToGrid w:val="0"/>
          <w:lang w:val="lv-LV"/>
        </w:rPr>
        <w:t>minē</w:t>
      </w:r>
      <w:r>
        <w:rPr>
          <w:rFonts w:ascii="Times New Roman" w:hAnsi="Times New Roman" w:cs="Times New Roman"/>
          <w:snapToGrid w:val="0"/>
          <w:lang w:val="lv-LV"/>
        </w:rPr>
        <w:t>ta 4. punktā.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8. </w:t>
      </w:r>
      <w:r w:rsidR="00CF5695">
        <w:rPr>
          <w:rFonts w:ascii="Times New Roman" w:hAnsi="Times New Roman" w:cs="Times New Roman"/>
          <w:snapToGrid w:val="0"/>
          <w:lang w:val="lv-LV"/>
        </w:rPr>
        <w:t>Ne vēlāk kā piecu gadu laikā</w:t>
      </w:r>
      <w:r>
        <w:rPr>
          <w:rFonts w:ascii="Times New Roman" w:hAnsi="Times New Roman" w:cs="Times New Roman"/>
          <w:snapToGrid w:val="0"/>
          <w:lang w:val="lv-LV"/>
        </w:rPr>
        <w:t xml:space="preserve"> pēc d</w:t>
      </w:r>
      <w:r w:rsidR="00CF5695">
        <w:rPr>
          <w:rFonts w:ascii="Times New Roman" w:hAnsi="Times New Roman" w:cs="Times New Roman"/>
          <w:snapToGrid w:val="0"/>
          <w:lang w:val="lv-LV"/>
        </w:rPr>
        <w:t>atuma, kurā</w:t>
      </w:r>
      <w:r>
        <w:rPr>
          <w:rFonts w:ascii="Times New Roman" w:hAnsi="Times New Roman" w:cs="Times New Roman"/>
          <w:snapToGrid w:val="0"/>
          <w:lang w:val="lv-LV"/>
        </w:rPr>
        <w:t xml:space="preserve"> stājusies spēkā šī konvencija, pušu konference pārskata A pielikumu un apsver iespēju pieņemt </w:t>
      </w:r>
      <w:r w:rsidR="00CF5695">
        <w:rPr>
          <w:rFonts w:ascii="Times New Roman" w:hAnsi="Times New Roman" w:cs="Times New Roman"/>
          <w:snapToGrid w:val="0"/>
          <w:lang w:val="lv-LV"/>
        </w:rPr>
        <w:t xml:space="preserve">šā pielikuma </w:t>
      </w:r>
      <w:r>
        <w:rPr>
          <w:rFonts w:ascii="Times New Roman" w:hAnsi="Times New Roman" w:cs="Times New Roman"/>
          <w:snapToGrid w:val="0"/>
          <w:lang w:val="lv-LV"/>
        </w:rPr>
        <w:t>grozījumus saskaņā ar 27. pantu.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9. Veicot A pielikuma pārskatīšanu saskaņā ar 8. punktu, pušu konference ņem vērā vismaz šo informāciju: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ikvienu priekšlikumu, kas iesniegts saskaņā ar 7. punktu;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informāciju, kas ir pieejama saskaņā ar 4. punktu,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5" w:name="bookmark5"/>
      <w:r>
        <w:rPr>
          <w:rFonts w:ascii="Times New Roman" w:hAnsi="Times New Roman" w:cs="Times New Roman"/>
          <w:snapToGrid w:val="0"/>
          <w:lang w:val="lv-LV"/>
        </w:rPr>
        <w:t xml:space="preserve">c) informāciju par </w:t>
      </w:r>
      <w:r w:rsidR="00CF5695">
        <w:rPr>
          <w:rFonts w:ascii="Times New Roman" w:hAnsi="Times New Roman" w:cs="Times New Roman"/>
          <w:snapToGrid w:val="0"/>
          <w:lang w:val="lv-LV"/>
        </w:rPr>
        <w:t xml:space="preserve">tādu </w:t>
      </w:r>
      <w:r>
        <w:rPr>
          <w:rFonts w:ascii="Times New Roman" w:hAnsi="Times New Roman" w:cs="Times New Roman"/>
          <w:snapToGrid w:val="0"/>
          <w:lang w:val="lv-LV"/>
        </w:rPr>
        <w:t>dzīvsudrabu nesaturošu alternatīvu</w:t>
      </w:r>
      <w:r w:rsidR="00CF5695">
        <w:rPr>
          <w:rFonts w:ascii="Times New Roman" w:hAnsi="Times New Roman" w:cs="Times New Roman"/>
          <w:snapToGrid w:val="0"/>
          <w:lang w:val="lv-LV"/>
        </w:rPr>
        <w:t xml:space="preserve"> pieejamību, kuras</w:t>
      </w:r>
      <w:r>
        <w:rPr>
          <w:rFonts w:ascii="Times New Roman" w:hAnsi="Times New Roman" w:cs="Times New Roman"/>
          <w:snapToGrid w:val="0"/>
          <w:lang w:val="lv-LV"/>
        </w:rPr>
        <w:t xml:space="preserve"> ir tehniski un ekonomiski pamatotas, ņemot vērā riska faktorus un iegumumus apkārtējai videi un cilvēka veselībai.</w:t>
      </w:r>
    </w:p>
    <w:bookmarkEnd w:id="5"/>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5. pants</w:t>
      </w:r>
    </w:p>
    <w:p w:rsidR="0060722E" w:rsidRDefault="0060722E">
      <w:pPr>
        <w:jc w:val="center"/>
        <w:rPr>
          <w:rFonts w:ascii="Times New Roman" w:hAnsi="Times New Roman" w:cs="Times New Roman"/>
          <w:b/>
          <w:bCs/>
          <w:snapToGrid w:val="0"/>
          <w:sz w:val="28"/>
          <w:szCs w:val="28"/>
          <w:lang w:val="lv-LV"/>
        </w:rPr>
      </w:pPr>
    </w:p>
    <w:p w:rsidR="0060722E" w:rsidRDefault="009C543A">
      <w:pPr>
        <w:jc w:val="center"/>
        <w:rPr>
          <w:rFonts w:ascii="Times New Roman" w:hAnsi="Times New Roman" w:cs="Times New Roman"/>
          <w:b/>
          <w:bCs/>
          <w:snapToGrid w:val="0"/>
          <w:sz w:val="28"/>
          <w:szCs w:val="28"/>
          <w:lang w:val="lv-LV"/>
        </w:rPr>
      </w:pPr>
      <w:bookmarkStart w:id="6" w:name="bookmark6"/>
      <w:r>
        <w:rPr>
          <w:rFonts w:ascii="Times New Roman" w:hAnsi="Times New Roman" w:cs="Times New Roman"/>
          <w:b/>
          <w:bCs/>
          <w:snapToGrid w:val="0"/>
          <w:sz w:val="28"/>
          <w:szCs w:val="28"/>
          <w:lang w:val="lv-LV"/>
        </w:rPr>
        <w:t>Ražošanas procesi, kuros</w:t>
      </w:r>
      <w:r w:rsidR="0060722E">
        <w:rPr>
          <w:rFonts w:ascii="Times New Roman" w:hAnsi="Times New Roman" w:cs="Times New Roman"/>
          <w:b/>
          <w:bCs/>
          <w:snapToGrid w:val="0"/>
          <w:sz w:val="28"/>
          <w:szCs w:val="28"/>
          <w:lang w:val="lv-LV"/>
        </w:rPr>
        <w:t xml:space="preserve"> izmanto dzīvsudrabu vai dzīvsudraba savienojumus</w:t>
      </w:r>
    </w:p>
    <w:bookmarkEnd w:id="6"/>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Šajā pantā un B pieliku</w:t>
      </w:r>
      <w:r w:rsidR="009C543A">
        <w:rPr>
          <w:rFonts w:ascii="Times New Roman" w:hAnsi="Times New Roman" w:cs="Times New Roman"/>
          <w:snapToGrid w:val="0"/>
          <w:lang w:val="lv-LV"/>
        </w:rPr>
        <w:t>mā ir runa par ražošanas procesiem, kuros</w:t>
      </w:r>
      <w:r>
        <w:rPr>
          <w:rFonts w:ascii="Times New Roman" w:hAnsi="Times New Roman" w:cs="Times New Roman"/>
          <w:snapToGrid w:val="0"/>
          <w:lang w:val="lv-LV"/>
        </w:rPr>
        <w:t xml:space="preserve"> izmanto dzīvsudrabu vai dzīvsudraba savienojumus, neietverot procesus, kuros izmanto dzīvsudrabu saturošus izstrādājumus, dzīvsudrabu saturošu izstrādājumu ražošanas procesus vai procesus, kuros tiek pārstrādāti dzīvsudrabu saturoši atkritumi.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2. </w:t>
      </w:r>
      <w:r w:rsidR="00862D25">
        <w:rPr>
          <w:rFonts w:ascii="Times New Roman" w:hAnsi="Times New Roman" w:cs="Times New Roman"/>
          <w:snapToGrid w:val="0"/>
          <w:lang w:val="lv-LV"/>
        </w:rPr>
        <w:t>Neviena puse, veicot atbilstošo</w:t>
      </w:r>
      <w:r>
        <w:rPr>
          <w:rFonts w:ascii="Times New Roman" w:hAnsi="Times New Roman" w:cs="Times New Roman"/>
          <w:snapToGrid w:val="0"/>
          <w:lang w:val="lv-LV"/>
        </w:rPr>
        <w:t>s pasākumus, neatļauj dzīvsudraba vai dzīvsudraba savienojumu izm</w:t>
      </w:r>
      <w:r w:rsidR="00582F8E">
        <w:rPr>
          <w:rFonts w:ascii="Times New Roman" w:hAnsi="Times New Roman" w:cs="Times New Roman"/>
          <w:snapToGrid w:val="0"/>
          <w:lang w:val="lv-LV"/>
        </w:rPr>
        <w:t>antošanu ražošanas procesos, kuri</w:t>
      </w:r>
      <w:r>
        <w:rPr>
          <w:rFonts w:ascii="Times New Roman" w:hAnsi="Times New Roman" w:cs="Times New Roman"/>
          <w:snapToGrid w:val="0"/>
          <w:lang w:val="lv-LV"/>
        </w:rPr>
        <w:t xml:space="preserve"> </w:t>
      </w:r>
      <w:r w:rsidR="00582F8E">
        <w:rPr>
          <w:rFonts w:ascii="Times New Roman" w:hAnsi="Times New Roman" w:cs="Times New Roman"/>
          <w:snapToGrid w:val="0"/>
          <w:lang w:val="lv-LV"/>
        </w:rPr>
        <w:t>minē</w:t>
      </w:r>
      <w:r>
        <w:rPr>
          <w:rFonts w:ascii="Times New Roman" w:hAnsi="Times New Roman" w:cs="Times New Roman"/>
          <w:snapToGrid w:val="0"/>
          <w:lang w:val="lv-LV"/>
        </w:rPr>
        <w:t xml:space="preserve">ti B pielikuma I daļā, pēc norādītā šādas izmantošanas pārtraukšanas datuma, kas </w:t>
      </w:r>
      <w:r w:rsidR="00582F8E">
        <w:rPr>
          <w:rFonts w:ascii="Times New Roman" w:hAnsi="Times New Roman" w:cs="Times New Roman"/>
          <w:snapToGrid w:val="0"/>
          <w:lang w:val="lv-LV"/>
        </w:rPr>
        <w:t xml:space="preserve">attiecībā uz </w:t>
      </w:r>
      <w:r>
        <w:rPr>
          <w:rFonts w:ascii="Times New Roman" w:hAnsi="Times New Roman" w:cs="Times New Roman"/>
          <w:snapToGrid w:val="0"/>
          <w:lang w:val="lv-LV"/>
        </w:rPr>
        <w:t>konkrētiem procesiem norādīts minētajā pielikumā, izņemot gadījumu, ja puse ir reģistrējusi atbrīvojumu saskaņā ar 6. pantu.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3. Ikviena puse veic pasākumus, lai ierobežotu dzīvsudraba un dzīvsudraba savienojumu izmantošanu procesos, kuri norādīti B pielikuma II daļā, saskaņā ar šā dokumenta noteikumiem.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4. Sekretariāts, pamatojoties uz pušu iesniegto informāciju, savāc un saglabā informāciju par procesiem, kuros tiek izmantots dzīvsudrabs vai dzīvsudraba savienojumi un to alternatīvas, un minēto informāciju</w:t>
      </w:r>
      <w:r w:rsidR="00E05A9A">
        <w:rPr>
          <w:rFonts w:ascii="Times New Roman" w:hAnsi="Times New Roman" w:cs="Times New Roman"/>
          <w:snapToGrid w:val="0"/>
          <w:lang w:val="lv-LV"/>
        </w:rPr>
        <w:t xml:space="preserve"> publisko</w:t>
      </w:r>
      <w:r>
        <w:rPr>
          <w:rFonts w:ascii="Times New Roman" w:hAnsi="Times New Roman" w:cs="Times New Roman"/>
          <w:snapToGrid w:val="0"/>
          <w:lang w:val="lv-LV"/>
        </w:rPr>
        <w:t xml:space="preserve">. Puses var iesniegt citu </w:t>
      </w:r>
      <w:r w:rsidR="00862D25">
        <w:rPr>
          <w:rFonts w:ascii="Times New Roman" w:hAnsi="Times New Roman" w:cs="Times New Roman"/>
          <w:snapToGrid w:val="0"/>
          <w:lang w:val="lv-LV"/>
        </w:rPr>
        <w:t>attiecīg</w:t>
      </w:r>
      <w:r>
        <w:rPr>
          <w:rFonts w:ascii="Times New Roman" w:hAnsi="Times New Roman" w:cs="Times New Roman"/>
          <w:snapToGrid w:val="0"/>
          <w:lang w:val="lv-LV"/>
        </w:rPr>
        <w:t xml:space="preserve">u informāciju, un sekretariāts </w:t>
      </w:r>
      <w:r w:rsidR="00E05A9A">
        <w:rPr>
          <w:rFonts w:ascii="Times New Roman" w:hAnsi="Times New Roman" w:cs="Times New Roman"/>
          <w:snapToGrid w:val="0"/>
          <w:lang w:val="lv-LV"/>
        </w:rPr>
        <w:t xml:space="preserve">to </w:t>
      </w:r>
      <w:r>
        <w:rPr>
          <w:rFonts w:ascii="Times New Roman" w:hAnsi="Times New Roman" w:cs="Times New Roman"/>
          <w:snapToGrid w:val="0"/>
          <w:lang w:val="lv-LV"/>
        </w:rPr>
        <w:t>publisko.</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5. Ikvien</w:t>
      </w:r>
      <w:r w:rsidR="00E05A9A">
        <w:rPr>
          <w:rFonts w:ascii="Times New Roman" w:hAnsi="Times New Roman" w:cs="Times New Roman"/>
          <w:snapToGrid w:val="0"/>
          <w:lang w:val="lv-LV"/>
        </w:rPr>
        <w:t>a puse, kuras vienā vai vairākā</w:t>
      </w:r>
      <w:r w:rsidR="00262561">
        <w:rPr>
          <w:rFonts w:ascii="Times New Roman" w:hAnsi="Times New Roman" w:cs="Times New Roman"/>
          <w:snapToGrid w:val="0"/>
          <w:lang w:val="lv-LV"/>
        </w:rPr>
        <w:t>s</w:t>
      </w:r>
      <w:r w:rsidR="00E05A9A">
        <w:rPr>
          <w:rFonts w:ascii="Times New Roman" w:hAnsi="Times New Roman" w:cs="Times New Roman"/>
          <w:snapToGrid w:val="0"/>
          <w:lang w:val="lv-LV"/>
        </w:rPr>
        <w:t xml:space="preserve"> ražotnēs</w:t>
      </w:r>
      <w:r>
        <w:rPr>
          <w:rFonts w:ascii="Times New Roman" w:hAnsi="Times New Roman" w:cs="Times New Roman"/>
          <w:snapToGrid w:val="0"/>
          <w:lang w:val="lv-LV"/>
        </w:rPr>
        <w:t xml:space="preserve"> tiek izmantots dzīvsudrabs vai dzīvsudraba savienojumi ražošanas procesos, kuri uzskaitīti B pielikumā,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veic pasākumus, lai novērstu dzīvsudraba vai dzīvsudraba savien</w:t>
      </w:r>
      <w:r w:rsidR="00E05A9A">
        <w:rPr>
          <w:rFonts w:ascii="Times New Roman" w:hAnsi="Times New Roman" w:cs="Times New Roman"/>
          <w:snapToGrid w:val="0"/>
          <w:lang w:val="lv-LV"/>
        </w:rPr>
        <w:t>ojumu emisijas un noplūdi no šī</w:t>
      </w:r>
      <w:r>
        <w:rPr>
          <w:rFonts w:ascii="Times New Roman" w:hAnsi="Times New Roman" w:cs="Times New Roman"/>
          <w:snapToGrid w:val="0"/>
          <w:lang w:val="lv-LV"/>
        </w:rPr>
        <w:t xml:space="preserve">m </w:t>
      </w:r>
      <w:r w:rsidR="00E05A9A">
        <w:rPr>
          <w:rFonts w:ascii="Times New Roman" w:hAnsi="Times New Roman" w:cs="Times New Roman"/>
          <w:snapToGrid w:val="0"/>
          <w:lang w:val="lv-LV"/>
        </w:rPr>
        <w:t>ražotnē</w:t>
      </w:r>
      <w:r>
        <w:rPr>
          <w:rFonts w:ascii="Times New Roman" w:hAnsi="Times New Roman" w:cs="Times New Roman"/>
          <w:snapToGrid w:val="0"/>
          <w:lang w:val="lv-LV"/>
        </w:rPr>
        <w:t>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savos ziņojumos, kuri tiek iesniegti saskaņā ar 21. pantu, iekļauj informāciju par veiktajiem pasākumiem saskaņā ar šo punktu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veic pasākumus, lai noskaidrotu</w:t>
      </w:r>
      <w:r w:rsidR="00BF0A55">
        <w:rPr>
          <w:rFonts w:ascii="Times New Roman" w:hAnsi="Times New Roman" w:cs="Times New Roman"/>
          <w:snapToGrid w:val="0"/>
          <w:lang w:val="lv-LV"/>
        </w:rPr>
        <w:t>, kuras ir tās šīs puses</w:t>
      </w:r>
      <w:r>
        <w:rPr>
          <w:rFonts w:ascii="Times New Roman" w:hAnsi="Times New Roman" w:cs="Times New Roman"/>
          <w:snapToGrid w:val="0"/>
          <w:lang w:val="lv-LV"/>
        </w:rPr>
        <w:t xml:space="preserve"> </w:t>
      </w:r>
      <w:r w:rsidR="00E05A9A">
        <w:rPr>
          <w:rFonts w:ascii="Times New Roman" w:hAnsi="Times New Roman" w:cs="Times New Roman"/>
          <w:snapToGrid w:val="0"/>
          <w:lang w:val="lv-LV"/>
        </w:rPr>
        <w:t>teritorijā esošās ražotnes, kurā</w:t>
      </w:r>
      <w:r>
        <w:rPr>
          <w:rFonts w:ascii="Times New Roman" w:hAnsi="Times New Roman" w:cs="Times New Roman"/>
          <w:snapToGrid w:val="0"/>
          <w:lang w:val="lv-LV"/>
        </w:rPr>
        <w:t>s tiek izmantots dzīvsudrabs vai dzīvsu</w:t>
      </w:r>
      <w:r w:rsidR="00241F97">
        <w:rPr>
          <w:rFonts w:ascii="Times New Roman" w:hAnsi="Times New Roman" w:cs="Times New Roman"/>
          <w:snapToGrid w:val="0"/>
          <w:lang w:val="lv-LV"/>
        </w:rPr>
        <w:t>draba savienojumi procesos, kas</w:t>
      </w:r>
      <w:r>
        <w:rPr>
          <w:rFonts w:ascii="Times New Roman" w:hAnsi="Times New Roman" w:cs="Times New Roman"/>
          <w:snapToGrid w:val="0"/>
          <w:lang w:val="lv-LV"/>
        </w:rPr>
        <w:t xml:space="preserve"> uzskaitīti B piel</w:t>
      </w:r>
      <w:r w:rsidR="00E05A9A">
        <w:rPr>
          <w:rFonts w:ascii="Times New Roman" w:hAnsi="Times New Roman" w:cs="Times New Roman"/>
          <w:snapToGrid w:val="0"/>
          <w:lang w:val="lv-LV"/>
        </w:rPr>
        <w:t>ikumā, un ne vēlāk kā trīs gadu laikā pēc datuma, kurā</w:t>
      </w:r>
      <w:r>
        <w:rPr>
          <w:rFonts w:ascii="Times New Roman" w:hAnsi="Times New Roman" w:cs="Times New Roman"/>
          <w:snapToGrid w:val="0"/>
          <w:lang w:val="lv-LV"/>
        </w:rPr>
        <w:t xml:space="preserve"> attiecībā uz minēto pusi stājusies spēkā konvencija, iesniedz sekretariātam informāciju par šādu </w:t>
      </w:r>
      <w:r w:rsidR="00E05A9A">
        <w:rPr>
          <w:rFonts w:ascii="Times New Roman" w:hAnsi="Times New Roman" w:cs="Times New Roman"/>
          <w:snapToGrid w:val="0"/>
          <w:lang w:val="lv-LV"/>
        </w:rPr>
        <w:t>ražotņ</w:t>
      </w:r>
      <w:r>
        <w:rPr>
          <w:rFonts w:ascii="Times New Roman" w:hAnsi="Times New Roman" w:cs="Times New Roman"/>
          <w:snapToGrid w:val="0"/>
          <w:lang w:val="lv-LV"/>
        </w:rPr>
        <w:t xml:space="preserve">u skaitu un veidu un aprēķināto dzīvsudraba vai dzīvsudraba savienojumu daudzumu gadā, kas </w:t>
      </w:r>
      <w:r w:rsidR="00E05A9A">
        <w:rPr>
          <w:rFonts w:ascii="Times New Roman" w:hAnsi="Times New Roman" w:cs="Times New Roman"/>
          <w:snapToGrid w:val="0"/>
          <w:lang w:val="lv-LV"/>
        </w:rPr>
        <w:t xml:space="preserve">šajā ražotnēs </w:t>
      </w:r>
      <w:r>
        <w:rPr>
          <w:rFonts w:ascii="Times New Roman" w:hAnsi="Times New Roman" w:cs="Times New Roman"/>
          <w:snapToGrid w:val="0"/>
          <w:lang w:val="lv-LV"/>
        </w:rPr>
        <w:t>tiek izmantots. Sekretariāts šo informāciju</w:t>
      </w:r>
      <w:r w:rsidR="00E05A9A">
        <w:rPr>
          <w:rFonts w:ascii="Times New Roman" w:hAnsi="Times New Roman" w:cs="Times New Roman"/>
          <w:snapToGrid w:val="0"/>
          <w:lang w:val="lv-LV"/>
        </w:rPr>
        <w:t xml:space="preserve"> publisko</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6. Neviena puse neatļauj dzīvsudraba vai dzīvsudraba savienojumu izmantošanu</w:t>
      </w:r>
      <w:r w:rsidR="00E05A9A">
        <w:rPr>
          <w:rFonts w:ascii="Times New Roman" w:hAnsi="Times New Roman" w:cs="Times New Roman"/>
          <w:snapToGrid w:val="0"/>
          <w:lang w:val="lv-LV"/>
        </w:rPr>
        <w:t xml:space="preserve"> ražotnē, kura nav pastāvējusi</w:t>
      </w:r>
      <w:r>
        <w:rPr>
          <w:rFonts w:ascii="Times New Roman" w:hAnsi="Times New Roman" w:cs="Times New Roman"/>
          <w:snapToGrid w:val="0"/>
          <w:lang w:val="lv-LV"/>
        </w:rPr>
        <w:t xml:space="preserve"> pirms d</w:t>
      </w:r>
      <w:r w:rsidR="00A40020">
        <w:rPr>
          <w:rFonts w:ascii="Times New Roman" w:hAnsi="Times New Roman" w:cs="Times New Roman"/>
          <w:snapToGrid w:val="0"/>
          <w:lang w:val="lv-LV"/>
        </w:rPr>
        <w:t>atuma, kurā</w:t>
      </w:r>
      <w:r>
        <w:rPr>
          <w:rFonts w:ascii="Times New Roman" w:hAnsi="Times New Roman" w:cs="Times New Roman"/>
          <w:snapToGrid w:val="0"/>
          <w:lang w:val="lv-LV"/>
        </w:rPr>
        <w:t xml:space="preserve"> attiecībā uz minēto pusi stājās spēkā konvencija, un kurā </w:t>
      </w:r>
      <w:r w:rsidR="00E05A9A">
        <w:rPr>
          <w:rFonts w:ascii="Times New Roman" w:hAnsi="Times New Roman" w:cs="Times New Roman"/>
          <w:snapToGrid w:val="0"/>
          <w:lang w:val="lv-LV"/>
        </w:rPr>
        <w:t xml:space="preserve">norit </w:t>
      </w:r>
      <w:r>
        <w:rPr>
          <w:rFonts w:ascii="Times New Roman" w:hAnsi="Times New Roman" w:cs="Times New Roman"/>
          <w:snapToGrid w:val="0"/>
          <w:lang w:val="lv-LV"/>
        </w:rPr>
        <w:t>ražošanas procesi, kas uzskatīt</w:t>
      </w:r>
      <w:r w:rsidR="00E05A9A">
        <w:rPr>
          <w:rFonts w:ascii="Times New Roman" w:hAnsi="Times New Roman" w:cs="Times New Roman"/>
          <w:snapToGrid w:val="0"/>
          <w:lang w:val="lv-LV"/>
        </w:rPr>
        <w:t>i B pielikumā. Attiecībā uz šādā</w:t>
      </w:r>
      <w:r>
        <w:rPr>
          <w:rFonts w:ascii="Times New Roman" w:hAnsi="Times New Roman" w:cs="Times New Roman"/>
          <w:snapToGrid w:val="0"/>
          <w:lang w:val="lv-LV"/>
        </w:rPr>
        <w:t xml:space="preserve">m </w:t>
      </w:r>
      <w:r w:rsidR="00E05A9A">
        <w:rPr>
          <w:rFonts w:ascii="Times New Roman" w:hAnsi="Times New Roman" w:cs="Times New Roman"/>
          <w:snapToGrid w:val="0"/>
          <w:lang w:val="lv-LV"/>
        </w:rPr>
        <w:t>ražotnē</w:t>
      </w:r>
      <w:r>
        <w:rPr>
          <w:rFonts w:ascii="Times New Roman" w:hAnsi="Times New Roman" w:cs="Times New Roman"/>
          <w:snapToGrid w:val="0"/>
          <w:lang w:val="lv-LV"/>
        </w:rPr>
        <w:t>m nepiemēro nekādus atbrīvojumus.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7. Ikviena puse novērš tādu</w:t>
      </w:r>
      <w:r w:rsidR="00E05A9A">
        <w:rPr>
          <w:rFonts w:ascii="Times New Roman" w:hAnsi="Times New Roman" w:cs="Times New Roman"/>
          <w:snapToGrid w:val="0"/>
          <w:lang w:val="lv-LV"/>
        </w:rPr>
        <w:t xml:space="preserve"> ražotņu attīstību, kurās tiek izmantots </w:t>
      </w:r>
      <w:r>
        <w:rPr>
          <w:rFonts w:ascii="Times New Roman" w:hAnsi="Times New Roman" w:cs="Times New Roman"/>
          <w:snapToGrid w:val="0"/>
          <w:lang w:val="lv-LV"/>
        </w:rPr>
        <w:t xml:space="preserve">kāds cits process, kurā ar nolūku tiek izmantots dzīvsudrabs vai </w:t>
      </w:r>
      <w:r w:rsidR="00E05A9A">
        <w:rPr>
          <w:rFonts w:ascii="Times New Roman" w:hAnsi="Times New Roman" w:cs="Times New Roman"/>
          <w:snapToGrid w:val="0"/>
          <w:lang w:val="lv-LV"/>
        </w:rPr>
        <w:t>dzīvsudraba savienojumi, un kuras nav pastāvējušas</w:t>
      </w:r>
      <w:r w:rsidR="00A40020">
        <w:rPr>
          <w:rFonts w:ascii="Times New Roman" w:hAnsi="Times New Roman" w:cs="Times New Roman"/>
          <w:snapToGrid w:val="0"/>
          <w:lang w:val="lv-LV"/>
        </w:rPr>
        <w:t xml:space="preserve"> pirms datuma, kurā</w:t>
      </w:r>
      <w:r>
        <w:rPr>
          <w:rFonts w:ascii="Times New Roman" w:hAnsi="Times New Roman" w:cs="Times New Roman"/>
          <w:snapToGrid w:val="0"/>
          <w:lang w:val="lv-LV"/>
        </w:rPr>
        <w:t xml:space="preserve"> stājās spēkā konvencija, izņemot gadījumu, kad puse var pierādīt, pārliecinot pušu konferenci, ka šis ražošanas process </w:t>
      </w:r>
      <w:r w:rsidR="00E05A9A">
        <w:rPr>
          <w:rFonts w:ascii="Times New Roman" w:hAnsi="Times New Roman" w:cs="Times New Roman"/>
          <w:snapToGrid w:val="0"/>
          <w:lang w:val="lv-LV"/>
        </w:rPr>
        <w:t xml:space="preserve">sniedz </w:t>
      </w:r>
      <w:r>
        <w:rPr>
          <w:rFonts w:ascii="Times New Roman" w:hAnsi="Times New Roman" w:cs="Times New Roman"/>
          <w:snapToGrid w:val="0"/>
          <w:lang w:val="lv-LV"/>
        </w:rPr>
        <w:t xml:space="preserve">būtiskus ieguvumus apkārtējai videi un veselībai un ka nav pieejamas tehniski un ekonomiski pamatotas alternatīvas, kas nav saistītas ar dzīvsudraba izmantošanu un kas </w:t>
      </w:r>
      <w:r w:rsidR="00E05A9A">
        <w:rPr>
          <w:rFonts w:ascii="Times New Roman" w:hAnsi="Times New Roman" w:cs="Times New Roman"/>
          <w:snapToGrid w:val="0"/>
          <w:lang w:val="lv-LV"/>
        </w:rPr>
        <w:t>snieg</w:t>
      </w:r>
      <w:r>
        <w:rPr>
          <w:rFonts w:ascii="Times New Roman" w:hAnsi="Times New Roman" w:cs="Times New Roman"/>
          <w:snapToGrid w:val="0"/>
          <w:lang w:val="lv-LV"/>
        </w:rPr>
        <w:t>tu tādus ieguvumus.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8. Pusēm tiek lūgts sniegt informāciju par at</w:t>
      </w:r>
      <w:r w:rsidR="00862D25">
        <w:rPr>
          <w:rFonts w:ascii="Times New Roman" w:hAnsi="Times New Roman" w:cs="Times New Roman"/>
          <w:snapToGrid w:val="0"/>
          <w:lang w:val="lv-LV"/>
        </w:rPr>
        <w:t>tiecīgajiem</w:t>
      </w:r>
      <w:r>
        <w:rPr>
          <w:rFonts w:ascii="Times New Roman" w:hAnsi="Times New Roman" w:cs="Times New Roman"/>
          <w:snapToGrid w:val="0"/>
          <w:lang w:val="lv-LV"/>
        </w:rPr>
        <w:t xml:space="preserve"> tehnoloģisk</w:t>
      </w:r>
      <w:r w:rsidR="00862D25">
        <w:rPr>
          <w:rFonts w:ascii="Times New Roman" w:hAnsi="Times New Roman" w:cs="Times New Roman"/>
          <w:snapToGrid w:val="0"/>
          <w:lang w:val="lv-LV"/>
        </w:rPr>
        <w:t>aj</w:t>
      </w:r>
      <w:r>
        <w:rPr>
          <w:rFonts w:ascii="Times New Roman" w:hAnsi="Times New Roman" w:cs="Times New Roman"/>
          <w:snapToGrid w:val="0"/>
          <w:lang w:val="lv-LV"/>
        </w:rPr>
        <w:t>iem jaunievedumiem, ekonomiski un tehniski pamatotām alternatīvām, kurās netiek izmantots dzīvsudrabs, un iespējam</w:t>
      </w:r>
      <w:r w:rsidR="00862D25">
        <w:rPr>
          <w:rFonts w:ascii="Times New Roman" w:hAnsi="Times New Roman" w:cs="Times New Roman"/>
          <w:snapToGrid w:val="0"/>
          <w:lang w:val="lv-LV"/>
        </w:rPr>
        <w:t>aj</w:t>
      </w:r>
      <w:r>
        <w:rPr>
          <w:rFonts w:ascii="Times New Roman" w:hAnsi="Times New Roman" w:cs="Times New Roman"/>
          <w:snapToGrid w:val="0"/>
          <w:lang w:val="lv-LV"/>
        </w:rPr>
        <w:t xml:space="preserve">iem pasākumiem un metodēm, lai samazinātu un, ja iespējams, pārtrauktu dzīvsudraba un dzīvsudraba savienojumu izmantošanu un dzīvsudraba un dzīvsudraba savienojumu emisijas un noplūdi saistībā ar ražošanas procesiem, kas </w:t>
      </w:r>
      <w:r w:rsidR="00E05A9A">
        <w:rPr>
          <w:rFonts w:ascii="Times New Roman" w:hAnsi="Times New Roman" w:cs="Times New Roman"/>
          <w:snapToGrid w:val="0"/>
          <w:lang w:val="lv-LV"/>
        </w:rPr>
        <w:t>minē</w:t>
      </w:r>
      <w:r>
        <w:rPr>
          <w:rFonts w:ascii="Times New Roman" w:hAnsi="Times New Roman" w:cs="Times New Roman"/>
          <w:snapToGrid w:val="0"/>
          <w:lang w:val="lv-LV"/>
        </w:rPr>
        <w:t>ti B pielikumā.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9. Ikviena puse drīkst iesniegt priekšlikumu B pielikuma grozījumiem, lai iekļautu sarakstā ražošanas procesu, kurā tiek izmantots dzīvsudrabs vai dzīvsudraba savienojumi. Tajā tiek ietverta informācija par minētā procesa alternatīvām, kas ir pieejamas, tehniski un ekonomiski pamatotas, un par to riska faktoriem un ieguvumiem apkārtējai videi un veselībai.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10. </w:t>
      </w:r>
      <w:r w:rsidR="00E05A9A">
        <w:rPr>
          <w:rFonts w:ascii="Times New Roman" w:hAnsi="Times New Roman" w:cs="Times New Roman"/>
          <w:snapToGrid w:val="0"/>
          <w:lang w:val="lv-LV"/>
        </w:rPr>
        <w:t>Ne vēlāk kā piecu gadu laikā</w:t>
      </w:r>
      <w:r>
        <w:rPr>
          <w:rFonts w:ascii="Times New Roman" w:hAnsi="Times New Roman" w:cs="Times New Roman"/>
          <w:snapToGrid w:val="0"/>
          <w:lang w:val="lv-LV"/>
        </w:rPr>
        <w:t xml:space="preserve"> pēc d</w:t>
      </w:r>
      <w:r w:rsidR="00E05A9A">
        <w:rPr>
          <w:rFonts w:ascii="Times New Roman" w:hAnsi="Times New Roman" w:cs="Times New Roman"/>
          <w:snapToGrid w:val="0"/>
          <w:lang w:val="lv-LV"/>
        </w:rPr>
        <w:t>atuma, kurā</w:t>
      </w:r>
      <w:r>
        <w:rPr>
          <w:rFonts w:ascii="Times New Roman" w:hAnsi="Times New Roman" w:cs="Times New Roman"/>
          <w:snapToGrid w:val="0"/>
          <w:lang w:val="lv-LV"/>
        </w:rPr>
        <w:t xml:space="preserve"> stājusies spēkā šī konvencija, pušu konference pārskata B pielikumu un apsver iespēju pieņemt </w:t>
      </w:r>
      <w:r w:rsidR="00E05A9A">
        <w:rPr>
          <w:rFonts w:ascii="Times New Roman" w:hAnsi="Times New Roman" w:cs="Times New Roman"/>
          <w:snapToGrid w:val="0"/>
          <w:lang w:val="lv-LV"/>
        </w:rPr>
        <w:t xml:space="preserve">šā pielikuma </w:t>
      </w:r>
      <w:r>
        <w:rPr>
          <w:rFonts w:ascii="Times New Roman" w:hAnsi="Times New Roman" w:cs="Times New Roman"/>
          <w:snapToGrid w:val="0"/>
          <w:lang w:val="lv-LV"/>
        </w:rPr>
        <w:t>grozījumus saskaņā ar 27. pantu.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11. Veicot B pielikuma pārskatīšanu saskaņā ar 10. punktu, pušu konference ņem vērā vismaz šo informāciju: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ikvienu priekšlikumu, kas iesniegts saskaņā ar 9. punktu;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informāciju, kas ir pieejama saskaņā ar 4. punktu,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7" w:name="bookmark7"/>
      <w:r>
        <w:rPr>
          <w:rFonts w:ascii="Times New Roman" w:hAnsi="Times New Roman" w:cs="Times New Roman"/>
          <w:snapToGrid w:val="0"/>
          <w:lang w:val="lv-LV"/>
        </w:rPr>
        <w:t xml:space="preserve">c) </w:t>
      </w:r>
      <w:r w:rsidR="009C543A">
        <w:rPr>
          <w:rFonts w:ascii="Times New Roman" w:hAnsi="Times New Roman" w:cs="Times New Roman"/>
          <w:snapToGrid w:val="0"/>
          <w:lang w:val="lv-LV"/>
        </w:rPr>
        <w:t xml:space="preserve">pusēm pieejamo </w:t>
      </w:r>
      <w:r>
        <w:rPr>
          <w:rFonts w:ascii="Times New Roman" w:hAnsi="Times New Roman" w:cs="Times New Roman"/>
          <w:snapToGrid w:val="0"/>
          <w:lang w:val="lv-LV"/>
        </w:rPr>
        <w:t xml:space="preserve">informāciju par </w:t>
      </w:r>
      <w:r w:rsidR="00E05A9A">
        <w:rPr>
          <w:rFonts w:ascii="Times New Roman" w:hAnsi="Times New Roman" w:cs="Times New Roman"/>
          <w:snapToGrid w:val="0"/>
          <w:lang w:val="lv-LV"/>
        </w:rPr>
        <w:t xml:space="preserve">tādu </w:t>
      </w:r>
      <w:r>
        <w:rPr>
          <w:rFonts w:ascii="Times New Roman" w:hAnsi="Times New Roman" w:cs="Times New Roman"/>
          <w:snapToGrid w:val="0"/>
          <w:lang w:val="lv-LV"/>
        </w:rPr>
        <w:t>dzīvsudrabu nesaturošu alternatīvu</w:t>
      </w:r>
      <w:r w:rsidR="00E05A9A">
        <w:rPr>
          <w:rFonts w:ascii="Times New Roman" w:hAnsi="Times New Roman" w:cs="Times New Roman"/>
          <w:snapToGrid w:val="0"/>
          <w:lang w:val="lv-LV"/>
        </w:rPr>
        <w:t xml:space="preserve"> pieejamību</w:t>
      </w:r>
      <w:r>
        <w:rPr>
          <w:rFonts w:ascii="Times New Roman" w:hAnsi="Times New Roman" w:cs="Times New Roman"/>
          <w:snapToGrid w:val="0"/>
          <w:lang w:val="lv-LV"/>
        </w:rPr>
        <w:t>, kas ir tehniski un ekonomiski pamatotas, ņemot vērā riska faktorus un ieguvumus apkārtējai videi un veselībai.</w:t>
      </w:r>
    </w:p>
    <w:bookmarkEnd w:id="7"/>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6.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bookmarkStart w:id="8" w:name="bookmark8"/>
      <w:r>
        <w:rPr>
          <w:rFonts w:ascii="Times New Roman" w:hAnsi="Times New Roman" w:cs="Times New Roman"/>
          <w:b/>
          <w:bCs/>
          <w:snapToGrid w:val="0"/>
          <w:sz w:val="28"/>
          <w:szCs w:val="28"/>
          <w:lang w:val="lv-LV"/>
        </w:rPr>
        <w:t>Pusei pēc pieprasījuma pieejamie atbrīvojumi</w:t>
      </w:r>
    </w:p>
    <w:bookmarkEnd w:id="8"/>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 Ikviena valsts vai reģionālā ekonomiskās integrācijas organizācija var reģistrēties vienam vai vairākiem atbrīvojumiem </w:t>
      </w:r>
      <w:r w:rsidR="00241F97">
        <w:rPr>
          <w:rFonts w:ascii="Times New Roman" w:hAnsi="Times New Roman" w:cs="Times New Roman"/>
          <w:snapToGrid w:val="0"/>
          <w:lang w:val="lv-LV"/>
        </w:rPr>
        <w:t>(turpmāk tekstā tie minēti kā „atbrīvojumi”</w:t>
      </w:r>
      <w:r w:rsidR="00E05A9A">
        <w:rPr>
          <w:rFonts w:ascii="Times New Roman" w:hAnsi="Times New Roman" w:cs="Times New Roman"/>
          <w:snapToGrid w:val="0"/>
          <w:lang w:val="lv-LV"/>
        </w:rPr>
        <w:t xml:space="preserve">) </w:t>
      </w:r>
      <w:r>
        <w:rPr>
          <w:rFonts w:ascii="Times New Roman" w:hAnsi="Times New Roman" w:cs="Times New Roman"/>
          <w:snapToGrid w:val="0"/>
          <w:lang w:val="lv-LV"/>
        </w:rPr>
        <w:t>attiecībā uz dzīvsudraba izmantošanas pārtraukšanas datumu, kas norādīts A</w:t>
      </w:r>
      <w:r w:rsidR="00E05A9A">
        <w:rPr>
          <w:rFonts w:ascii="Times New Roman" w:hAnsi="Times New Roman" w:cs="Times New Roman"/>
          <w:snapToGrid w:val="0"/>
          <w:lang w:val="lv-LV"/>
        </w:rPr>
        <w:t> pielikumā vai B pielikumā</w:t>
      </w:r>
      <w:r>
        <w:rPr>
          <w:rFonts w:ascii="Times New Roman" w:hAnsi="Times New Roman" w:cs="Times New Roman"/>
          <w:snapToGrid w:val="0"/>
          <w:lang w:val="lv-LV"/>
        </w:rPr>
        <w:t>, par to rakstiski paziņojot sekretariātam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d</w:t>
      </w:r>
      <w:r w:rsidR="00241F97">
        <w:rPr>
          <w:rFonts w:ascii="Times New Roman" w:hAnsi="Times New Roman" w:cs="Times New Roman"/>
          <w:snapToGrid w:val="0"/>
          <w:lang w:val="lv-LV"/>
        </w:rPr>
        <w:t>atumā, kurā</w:t>
      </w:r>
      <w:r>
        <w:rPr>
          <w:rFonts w:ascii="Times New Roman" w:hAnsi="Times New Roman" w:cs="Times New Roman"/>
          <w:snapToGrid w:val="0"/>
          <w:lang w:val="lv-LV"/>
        </w:rPr>
        <w:t xml:space="preserve"> tā kļūst par konvencijas pusi, vai</w:t>
      </w:r>
      <w:r w:rsidR="00E05A9A">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b) ja A pielikuma grozījumos tiek pievienots dz</w:t>
      </w:r>
      <w:r w:rsidR="00E05A9A">
        <w:rPr>
          <w:rFonts w:ascii="Times New Roman" w:hAnsi="Times New Roman" w:cs="Times New Roman"/>
          <w:snapToGrid w:val="0"/>
          <w:lang w:val="lv-LV"/>
        </w:rPr>
        <w:t>īvsudrabu saturošs izstrādājums</w:t>
      </w:r>
      <w:r>
        <w:rPr>
          <w:rFonts w:ascii="Times New Roman" w:hAnsi="Times New Roman" w:cs="Times New Roman"/>
          <w:snapToGrid w:val="0"/>
          <w:lang w:val="lv-LV"/>
        </w:rPr>
        <w:t xml:space="preserve"> vai ja B pielikuma grozījumos tiek pievienots ražošanas process, kurā tiek izmantots dzīvsudrabs, tad ne vēlāk kā d</w:t>
      </w:r>
      <w:r w:rsidR="00241F97">
        <w:rPr>
          <w:rFonts w:ascii="Times New Roman" w:hAnsi="Times New Roman" w:cs="Times New Roman"/>
          <w:snapToGrid w:val="0"/>
          <w:lang w:val="lv-LV"/>
        </w:rPr>
        <w:t>atum</w:t>
      </w:r>
      <w:r>
        <w:rPr>
          <w:rFonts w:ascii="Times New Roman" w:hAnsi="Times New Roman" w:cs="Times New Roman"/>
          <w:snapToGrid w:val="0"/>
          <w:lang w:val="lv-LV"/>
        </w:rPr>
        <w:t>ā, kurā attiecīgie grozījumi stājas spēkā attiecībā uz konkrēto pusi.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Šādai reģistrācijai pievieno aprakstu, kurā izskaidro nepieciešamību pēc šā atbrīvojuma.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Atbrīvojumu reģistrē attiecībā uz kategoriju, kas norādīta A vai B pielikumā, vai apakškategoriju, kuru norādījusi jebkura valsts vai reģionālā ekonomiskās integrācijas organizācija.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3. Ikviena puse, kurai piemēro vienu vai vairākus atbrīvojumus, tiek norādīta reģistrā. Sekretariāts izveido un uztur reģistru un </w:t>
      </w:r>
      <w:r w:rsidR="008B54BE">
        <w:rPr>
          <w:rFonts w:ascii="Times New Roman" w:hAnsi="Times New Roman" w:cs="Times New Roman"/>
          <w:snapToGrid w:val="0"/>
          <w:lang w:val="lv-LV"/>
        </w:rPr>
        <w:t xml:space="preserve">to </w:t>
      </w:r>
      <w:r>
        <w:rPr>
          <w:rFonts w:ascii="Times New Roman" w:hAnsi="Times New Roman" w:cs="Times New Roman"/>
          <w:snapToGrid w:val="0"/>
          <w:lang w:val="lv-LV"/>
        </w:rPr>
        <w:t>publisko.</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4. Šajā reģistrā ie</w:t>
      </w:r>
      <w:r w:rsidR="008B54BE">
        <w:rPr>
          <w:rFonts w:ascii="Times New Roman" w:hAnsi="Times New Roman" w:cs="Times New Roman"/>
          <w:snapToGrid w:val="0"/>
          <w:lang w:val="lv-LV"/>
        </w:rPr>
        <w:t>kļauj</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a) </w:t>
      </w:r>
      <w:r w:rsidR="008B54BE">
        <w:rPr>
          <w:rFonts w:ascii="Times New Roman" w:hAnsi="Times New Roman" w:cs="Times New Roman"/>
          <w:snapToGrid w:val="0"/>
          <w:lang w:val="lv-LV"/>
        </w:rPr>
        <w:t>to pušu sarakstu</w:t>
      </w:r>
      <w:r>
        <w:rPr>
          <w:rFonts w:ascii="Times New Roman" w:hAnsi="Times New Roman" w:cs="Times New Roman"/>
          <w:snapToGrid w:val="0"/>
          <w:lang w:val="lv-LV"/>
        </w:rPr>
        <w:t>, kurām piemēro vienu vai vairākus atbrīvojumus;</w:t>
      </w:r>
    </w:p>
    <w:p w:rsidR="0060722E" w:rsidRDefault="0060722E">
      <w:pPr>
        <w:jc w:val="both"/>
        <w:rPr>
          <w:rFonts w:ascii="Times New Roman" w:hAnsi="Times New Roman" w:cs="Times New Roman"/>
          <w:snapToGrid w:val="0"/>
          <w:lang w:val="lv-LV"/>
        </w:rPr>
      </w:pPr>
    </w:p>
    <w:p w:rsidR="0060722E" w:rsidRDefault="008B54BE">
      <w:pPr>
        <w:jc w:val="both"/>
        <w:rPr>
          <w:rFonts w:ascii="Times New Roman" w:hAnsi="Times New Roman" w:cs="Times New Roman"/>
          <w:snapToGrid w:val="0"/>
          <w:lang w:val="lv-LV"/>
        </w:rPr>
      </w:pPr>
      <w:r>
        <w:rPr>
          <w:rFonts w:ascii="Times New Roman" w:hAnsi="Times New Roman" w:cs="Times New Roman"/>
          <w:snapToGrid w:val="0"/>
          <w:lang w:val="lv-LV"/>
        </w:rPr>
        <w:t>b) katrai pusei reģistrēto atbrīvojumu</w:t>
      </w:r>
      <w:r w:rsidR="0060722E">
        <w:rPr>
          <w:rFonts w:ascii="Times New Roman" w:hAnsi="Times New Roman" w:cs="Times New Roman"/>
          <w:snapToGrid w:val="0"/>
          <w:lang w:val="lv-LV"/>
        </w:rPr>
        <w:t xml:space="preserve"> vai atbrīvojum</w:t>
      </w:r>
      <w:r>
        <w:rPr>
          <w:rFonts w:ascii="Times New Roman" w:hAnsi="Times New Roman" w:cs="Times New Roman"/>
          <w:snapToGrid w:val="0"/>
          <w:lang w:val="lv-LV"/>
        </w:rPr>
        <w:t>us</w:t>
      </w:r>
      <w:r w:rsidR="0060722E">
        <w:rPr>
          <w:rFonts w:ascii="Times New Roman" w:hAnsi="Times New Roman" w:cs="Times New Roman"/>
          <w:snapToGrid w:val="0"/>
          <w:lang w:val="lv-LV"/>
        </w:rPr>
        <w:t xml:space="preserve">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w:t>
      </w:r>
      <w:r w:rsidR="008B54BE">
        <w:rPr>
          <w:rFonts w:ascii="Times New Roman" w:hAnsi="Times New Roman" w:cs="Times New Roman"/>
          <w:snapToGrid w:val="0"/>
          <w:lang w:val="lv-LV"/>
        </w:rPr>
        <w:t xml:space="preserve"> katra atbrīvojuma beigu termiņu</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5. Ja vien puse nav norādījusi reģistrā īsāku periodu, visi atbrīvojumi saska</w:t>
      </w:r>
      <w:r w:rsidR="008B54BE">
        <w:rPr>
          <w:rFonts w:ascii="Times New Roman" w:hAnsi="Times New Roman" w:cs="Times New Roman"/>
          <w:snapToGrid w:val="0"/>
          <w:lang w:val="lv-LV"/>
        </w:rPr>
        <w:t>ņā ar 1. punktu beidzas piecu gadu laikā</w:t>
      </w:r>
      <w:r>
        <w:rPr>
          <w:rFonts w:ascii="Times New Roman" w:hAnsi="Times New Roman" w:cs="Times New Roman"/>
          <w:snapToGrid w:val="0"/>
          <w:lang w:val="lv-LV"/>
        </w:rPr>
        <w:t xml:space="preserve"> pēc attiecīgā dzīvsudraba izmantošanas pārtraukšanas datuma, kas norādīts A un B pielikumā.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6. Pušu konference pēc puses pieprasījuma var nolemt pagarināt atbrīvojumu par pieciem gadiem, ja vien puse nepieprasa īsāku periodu. Pieņemot lēmumu, pušu konference ņem vērā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puses iesniegto ziņojumu, kurā ir pamatota nepieciešamība pagarināt atbrīvojumu un aprakstīti veiktie un plānotie pasākumi, lai novērstu nepieciešamību pēc atbrīvojuma, tiklīdz iespējams;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pieejamo informāciju, tostarp attiecībā uz alternatīviem izstrādājumiem un procesiem, kuros netiek izmantots dzīvsudrabs vai kuros dzīvsudraba patēriņš ir mazāks nekā ar atbrīvojumu saistītajā izmantošanā,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pasākumus, kas ir plānoti vai tiek veikti, lai nodrošinātu videi nekaitīgu dzīvsudraba uzglabāšanu un dzīvsudraba atkritumu iznīcināšanu.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Atbrīvojumu var pagarināt tikai vienu reizi katram produktam attiecībā uz dzīvsudraba izmantošanas pārtraukšanas datumu.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7. Puse jebkurā laikā var atteikties no atbrīvojuma, par to rakstiski paziņojot sekretariātam. Atbrīvojuma atcelšana stājas spēkā no dienas, kas norādīta minētajā paziņojumā.</w:t>
      </w:r>
    </w:p>
    <w:p w:rsidR="0060722E" w:rsidRDefault="0060722E">
      <w:pPr>
        <w:jc w:val="both"/>
        <w:rPr>
          <w:rFonts w:ascii="Times New Roman" w:hAnsi="Times New Roman" w:cs="Times New Roman"/>
          <w:snapToGrid w:val="0"/>
          <w:lang w:val="lv-LV"/>
        </w:rPr>
      </w:pPr>
    </w:p>
    <w:p w:rsidR="0060722E" w:rsidRPr="00C21D5D" w:rsidRDefault="0060722E">
      <w:pPr>
        <w:jc w:val="both"/>
        <w:rPr>
          <w:rFonts w:ascii="Times New Roman" w:hAnsi="Times New Roman" w:cs="Times New Roman"/>
          <w:snapToGrid w:val="0"/>
          <w:lang w:val="lv-LV"/>
        </w:rPr>
      </w:pPr>
      <w:r>
        <w:rPr>
          <w:rFonts w:ascii="Times New Roman" w:hAnsi="Times New Roman" w:cs="Times New Roman"/>
          <w:snapToGrid w:val="0"/>
          <w:lang w:val="lv-LV"/>
        </w:rPr>
        <w:t>8. Neatkarīgi no 1. punktā noteiktā neviena valsts vai reģionālā ekonomiskās integrācijas organizācija nevar reģistrēties atbrīvojumam</w:t>
      </w:r>
      <w:r w:rsidR="00C21D5D">
        <w:rPr>
          <w:rFonts w:ascii="Times New Roman" w:hAnsi="Times New Roman" w:cs="Times New Roman"/>
          <w:snapToGrid w:val="0"/>
          <w:lang w:val="lv-LV"/>
        </w:rPr>
        <w:t>, kad ir apritējuši</w:t>
      </w:r>
      <w:r>
        <w:rPr>
          <w:rFonts w:ascii="Times New Roman" w:hAnsi="Times New Roman" w:cs="Times New Roman"/>
          <w:snapToGrid w:val="0"/>
          <w:lang w:val="lv-LV"/>
        </w:rPr>
        <w:t xml:space="preserve"> </w:t>
      </w:r>
      <w:r w:rsidR="00C21D5D" w:rsidRPr="00C21D5D">
        <w:rPr>
          <w:rFonts w:ascii="Times New Roman" w:hAnsi="Times New Roman" w:cs="Times New Roman"/>
          <w:snapToGrid w:val="0"/>
          <w:lang w:val="lv-LV"/>
        </w:rPr>
        <w:t>pieci gadi kopš</w:t>
      </w:r>
      <w:r w:rsidRPr="00C21D5D">
        <w:rPr>
          <w:rFonts w:ascii="Times New Roman" w:hAnsi="Times New Roman" w:cs="Times New Roman"/>
          <w:snapToGrid w:val="0"/>
          <w:lang w:val="lv-LV"/>
        </w:rPr>
        <w:t xml:space="preserve"> izmantošanas pārtraukšanas datuma attiecībā uz attiecīgo produktu vai procesu, kas </w:t>
      </w:r>
      <w:r w:rsidR="00C21D5D" w:rsidRPr="00C21D5D">
        <w:rPr>
          <w:rFonts w:ascii="Times New Roman" w:hAnsi="Times New Roman" w:cs="Times New Roman"/>
          <w:snapToGrid w:val="0"/>
          <w:lang w:val="lv-LV"/>
        </w:rPr>
        <w:t>minē</w:t>
      </w:r>
      <w:r w:rsidRPr="00C21D5D">
        <w:rPr>
          <w:rFonts w:ascii="Times New Roman" w:hAnsi="Times New Roman" w:cs="Times New Roman"/>
          <w:snapToGrid w:val="0"/>
          <w:lang w:val="lv-LV"/>
        </w:rPr>
        <w:t xml:space="preserve">ts A vai B pielikumā, izņemot gadījumu, kad viena vai vairākas puses joprojām ir reģistrējušās šim atbrīvojumam attiecībā uz konkrēto izstrādājumu vai procesu un šīs puses saņēmušas atbrīvojumu saskaņā ar 6. punktu. Šādā gadījumā valsts vai reģionālā ekonomiskās </w:t>
      </w:r>
      <w:r w:rsidRPr="00C21D5D">
        <w:rPr>
          <w:rFonts w:ascii="Times New Roman" w:hAnsi="Times New Roman" w:cs="Times New Roman"/>
          <w:snapToGrid w:val="0"/>
          <w:lang w:val="lv-LV"/>
        </w:rPr>
        <w:lastRenderedPageBreak/>
        <w:t>integrācijas organizācija var termiņos, kas norādīti 1. punkta a) un b) apakšpunktā, reģistrēties atbrīvojumam attiecībā uz šo produktu vai procesu, un šis atbrīvojums beidzas</w:t>
      </w:r>
      <w:r w:rsidR="00C21D5D">
        <w:rPr>
          <w:rFonts w:ascii="Times New Roman" w:hAnsi="Times New Roman" w:cs="Times New Roman"/>
          <w:snapToGrid w:val="0"/>
          <w:lang w:val="lv-LV"/>
        </w:rPr>
        <w:t>, kad apritējuši</w:t>
      </w:r>
      <w:r w:rsidRPr="00C21D5D">
        <w:rPr>
          <w:rFonts w:ascii="Times New Roman" w:hAnsi="Times New Roman" w:cs="Times New Roman"/>
          <w:snapToGrid w:val="0"/>
          <w:lang w:val="lv-LV"/>
        </w:rPr>
        <w:t xml:space="preserve"> </w:t>
      </w:r>
      <w:r w:rsidR="00C21D5D" w:rsidRPr="00C21D5D">
        <w:rPr>
          <w:rFonts w:ascii="Times New Roman" w:hAnsi="Times New Roman" w:cs="Times New Roman"/>
          <w:snapToGrid w:val="0"/>
          <w:lang w:val="lv-LV"/>
        </w:rPr>
        <w:t>desmit gadi kopš</w:t>
      </w:r>
      <w:r w:rsidRPr="00C21D5D">
        <w:rPr>
          <w:rFonts w:ascii="Times New Roman" w:hAnsi="Times New Roman" w:cs="Times New Roman"/>
          <w:snapToGrid w:val="0"/>
          <w:lang w:val="lv-LV"/>
        </w:rPr>
        <w:t xml:space="preserve"> attiecīgā izmantošanas pārtraukšanas datuma.</w:t>
      </w:r>
    </w:p>
    <w:p w:rsidR="0060722E" w:rsidRPr="008B54BE" w:rsidRDefault="0060722E">
      <w:pPr>
        <w:jc w:val="both"/>
        <w:rPr>
          <w:rFonts w:ascii="Times New Roman" w:hAnsi="Times New Roman" w:cs="Times New Roman"/>
          <w:snapToGrid w:val="0"/>
          <w:highlight w:val="green"/>
          <w:lang w:val="lv-LV"/>
        </w:rPr>
      </w:pPr>
    </w:p>
    <w:p w:rsidR="0060722E" w:rsidRDefault="0060722E">
      <w:pPr>
        <w:jc w:val="both"/>
        <w:rPr>
          <w:rFonts w:ascii="Times New Roman" w:hAnsi="Times New Roman" w:cs="Times New Roman"/>
          <w:snapToGrid w:val="0"/>
          <w:lang w:val="lv-LV"/>
        </w:rPr>
      </w:pPr>
      <w:bookmarkStart w:id="9" w:name="bookmark9"/>
      <w:r w:rsidRPr="00C21D5D">
        <w:rPr>
          <w:rFonts w:ascii="Times New Roman" w:hAnsi="Times New Roman" w:cs="Times New Roman"/>
          <w:snapToGrid w:val="0"/>
          <w:lang w:val="lv-LV"/>
        </w:rPr>
        <w:t>9. Neviena</w:t>
      </w:r>
      <w:r w:rsidR="000F6E3B">
        <w:rPr>
          <w:rFonts w:ascii="Times New Roman" w:hAnsi="Times New Roman" w:cs="Times New Roman"/>
          <w:snapToGrid w:val="0"/>
          <w:lang w:val="lv-LV"/>
        </w:rPr>
        <w:t>i</w:t>
      </w:r>
      <w:r w:rsidRPr="00C21D5D">
        <w:rPr>
          <w:rFonts w:ascii="Times New Roman" w:hAnsi="Times New Roman" w:cs="Times New Roman"/>
          <w:snapToGrid w:val="0"/>
          <w:lang w:val="lv-LV"/>
        </w:rPr>
        <w:t xml:space="preserve"> puse</w:t>
      </w:r>
      <w:r w:rsidR="000F6E3B">
        <w:rPr>
          <w:rFonts w:ascii="Times New Roman" w:hAnsi="Times New Roman" w:cs="Times New Roman"/>
          <w:snapToGrid w:val="0"/>
          <w:lang w:val="lv-LV"/>
        </w:rPr>
        <w:t>i nedrīkst būt spēkā esošs</w:t>
      </w:r>
      <w:r w:rsidRPr="00C21D5D">
        <w:rPr>
          <w:rFonts w:ascii="Times New Roman" w:hAnsi="Times New Roman" w:cs="Times New Roman"/>
          <w:snapToGrid w:val="0"/>
          <w:lang w:val="lv-LV"/>
        </w:rPr>
        <w:t xml:space="preserve"> atbrī</w:t>
      </w:r>
      <w:r w:rsidR="000F6E3B">
        <w:rPr>
          <w:rFonts w:ascii="Times New Roman" w:hAnsi="Times New Roman" w:cs="Times New Roman"/>
          <w:snapToGrid w:val="0"/>
          <w:lang w:val="lv-LV"/>
        </w:rPr>
        <w:t>vojums</w:t>
      </w:r>
      <w:r w:rsidR="00C21D5D" w:rsidRPr="00C21D5D">
        <w:rPr>
          <w:rFonts w:ascii="Times New Roman" w:hAnsi="Times New Roman" w:cs="Times New Roman"/>
          <w:snapToGrid w:val="0"/>
          <w:lang w:val="lv-LV"/>
        </w:rPr>
        <w:t xml:space="preserve"> tad, kad apritējuši desmit gadi kopš</w:t>
      </w:r>
      <w:r w:rsidRPr="00C21D5D">
        <w:rPr>
          <w:rFonts w:ascii="Times New Roman" w:hAnsi="Times New Roman" w:cs="Times New Roman"/>
          <w:snapToGrid w:val="0"/>
          <w:lang w:val="lv-LV"/>
        </w:rPr>
        <w:t xml:space="preserve"> izmantošanas pārtraukšanas datuma</w:t>
      </w:r>
      <w:r w:rsidR="00C21D5D" w:rsidRPr="00C21D5D">
        <w:rPr>
          <w:rFonts w:ascii="Times New Roman" w:hAnsi="Times New Roman" w:cs="Times New Roman"/>
          <w:snapToGrid w:val="0"/>
          <w:lang w:val="lv-LV"/>
        </w:rPr>
        <w:t>,</w:t>
      </w:r>
      <w:r w:rsidRPr="00C21D5D">
        <w:rPr>
          <w:rFonts w:ascii="Times New Roman" w:hAnsi="Times New Roman" w:cs="Times New Roman"/>
          <w:snapToGrid w:val="0"/>
          <w:lang w:val="lv-LV"/>
        </w:rPr>
        <w:t xml:space="preserve"> attiecī</w:t>
      </w:r>
      <w:r w:rsidR="00C21D5D" w:rsidRPr="00C21D5D">
        <w:rPr>
          <w:rFonts w:ascii="Times New Roman" w:hAnsi="Times New Roman" w:cs="Times New Roman"/>
          <w:snapToGrid w:val="0"/>
          <w:lang w:val="lv-LV"/>
        </w:rPr>
        <w:t>bā uz produktu vai procesu</w:t>
      </w:r>
      <w:r w:rsidRPr="00C21D5D">
        <w:rPr>
          <w:rFonts w:ascii="Times New Roman" w:hAnsi="Times New Roman" w:cs="Times New Roman"/>
          <w:snapToGrid w:val="0"/>
          <w:lang w:val="lv-LV"/>
        </w:rPr>
        <w:t xml:space="preserve">, kas </w:t>
      </w:r>
      <w:r w:rsidR="00C21D5D" w:rsidRPr="00C21D5D">
        <w:rPr>
          <w:rFonts w:ascii="Times New Roman" w:hAnsi="Times New Roman" w:cs="Times New Roman"/>
          <w:snapToGrid w:val="0"/>
          <w:lang w:val="lv-LV"/>
        </w:rPr>
        <w:t>minē</w:t>
      </w:r>
      <w:r w:rsidRPr="00C21D5D">
        <w:rPr>
          <w:rFonts w:ascii="Times New Roman" w:hAnsi="Times New Roman" w:cs="Times New Roman"/>
          <w:snapToGrid w:val="0"/>
          <w:lang w:val="lv-LV"/>
        </w:rPr>
        <w:t>ts A vai B pielikumā.</w:t>
      </w:r>
    </w:p>
    <w:bookmarkEnd w:id="9"/>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bookmarkStart w:id="10" w:name="bookmark10"/>
      <w:r>
        <w:rPr>
          <w:rFonts w:ascii="Times New Roman" w:hAnsi="Times New Roman" w:cs="Times New Roman"/>
          <w:b/>
          <w:bCs/>
          <w:snapToGrid w:val="0"/>
          <w:sz w:val="28"/>
          <w:szCs w:val="28"/>
          <w:lang w:val="lv-LV"/>
        </w:rPr>
        <w:t>7. pants</w:t>
      </w:r>
    </w:p>
    <w:bookmarkEnd w:id="10"/>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Nerūpnieciska un neliela apjoma zelta ieguve</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Šajā pantā un C pielikumā minētie pasākumi tiek piemēroti nerūpnieciskai un neliela apjoma zelta ieguvei un apstrādei, kurā</w:t>
      </w:r>
      <w:r w:rsidR="002114CC">
        <w:rPr>
          <w:rFonts w:ascii="Times New Roman" w:hAnsi="Times New Roman" w:cs="Times New Roman"/>
          <w:snapToGrid w:val="0"/>
          <w:lang w:val="lv-LV"/>
        </w:rPr>
        <w:t>, lai atdalītu zeltu</w:t>
      </w:r>
      <w:r>
        <w:rPr>
          <w:rFonts w:ascii="Times New Roman" w:hAnsi="Times New Roman" w:cs="Times New Roman"/>
          <w:snapToGrid w:val="0"/>
          <w:lang w:val="lv-LV"/>
        </w:rPr>
        <w:t xml:space="preserve"> </w:t>
      </w:r>
      <w:r w:rsidR="002114CC">
        <w:rPr>
          <w:rFonts w:ascii="Times New Roman" w:hAnsi="Times New Roman" w:cs="Times New Roman"/>
          <w:snapToGrid w:val="0"/>
          <w:lang w:val="lv-LV"/>
        </w:rPr>
        <w:t>no rūdas, lieto</w:t>
      </w:r>
      <w:r>
        <w:rPr>
          <w:rFonts w:ascii="Times New Roman" w:hAnsi="Times New Roman" w:cs="Times New Roman"/>
          <w:snapToGrid w:val="0"/>
          <w:lang w:val="lv-LV"/>
        </w:rPr>
        <w:t xml:space="preserve"> </w:t>
      </w:r>
      <w:r w:rsidR="002114CC">
        <w:rPr>
          <w:rFonts w:ascii="Times New Roman" w:hAnsi="Times New Roman" w:cs="Times New Roman"/>
          <w:snapToGrid w:val="0"/>
          <w:lang w:val="lv-LV"/>
        </w:rPr>
        <w:t>amalgamēšanu, izmantojot dzīvsudrabu</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C21D5D">
        <w:rPr>
          <w:rFonts w:ascii="Times New Roman" w:hAnsi="Times New Roman" w:cs="Times New Roman"/>
          <w:snapToGrid w:val="0"/>
          <w:lang w:val="lv-LV"/>
        </w:rPr>
        <w:t>2. Ikviena puse, kas savā teritorijā veic nerūpniecisku un neliela apjoma zelta ieguvi un apstrādi, uz kuru attiecas šā panta noteikumi, veic pasākumus, lai samazinātu un, ja iespējams, pārtrauktu dzīvsudraba un dzīvsudraba savienojumu izmantošanu un dzīvsudraba un dzīvsudraba savienojumu emisijas un noplūdi šādas ieguves un apstrādes</w:t>
      </w:r>
      <w:r w:rsidR="000F6E3B">
        <w:rPr>
          <w:rFonts w:ascii="Times New Roman" w:hAnsi="Times New Roman" w:cs="Times New Roman"/>
          <w:snapToGrid w:val="0"/>
          <w:lang w:val="lv-LV"/>
        </w:rPr>
        <w:t xml:space="preserve"> rezultātā</w:t>
      </w:r>
      <w:r w:rsidRPr="00C21D5D">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3.</w:t>
      </w:r>
      <w:r w:rsidR="006937AD">
        <w:rPr>
          <w:rFonts w:ascii="Times New Roman" w:hAnsi="Times New Roman" w:cs="Times New Roman"/>
          <w:snapToGrid w:val="0"/>
          <w:lang w:val="lv-LV"/>
        </w:rPr>
        <w:t xml:space="preserve"> </w:t>
      </w:r>
      <w:r w:rsidR="00C21D5D">
        <w:rPr>
          <w:rFonts w:ascii="Times New Roman" w:hAnsi="Times New Roman" w:cs="Times New Roman"/>
          <w:snapToGrid w:val="0"/>
          <w:lang w:val="lv-LV"/>
        </w:rPr>
        <w:t xml:space="preserve">Ikreiz, kad </w:t>
      </w:r>
      <w:r>
        <w:rPr>
          <w:rFonts w:ascii="Times New Roman" w:hAnsi="Times New Roman" w:cs="Times New Roman"/>
          <w:snapToGrid w:val="0"/>
          <w:lang w:val="lv-LV"/>
        </w:rPr>
        <w:t xml:space="preserve">puse </w:t>
      </w:r>
      <w:r w:rsidR="00C21D5D">
        <w:rPr>
          <w:rFonts w:ascii="Times New Roman" w:hAnsi="Times New Roman" w:cs="Times New Roman"/>
          <w:snapToGrid w:val="0"/>
          <w:lang w:val="lv-LV"/>
        </w:rPr>
        <w:t>konstatē</w:t>
      </w:r>
      <w:r>
        <w:rPr>
          <w:rFonts w:ascii="Times New Roman" w:hAnsi="Times New Roman" w:cs="Times New Roman"/>
          <w:snapToGrid w:val="0"/>
          <w:lang w:val="lv-LV"/>
        </w:rPr>
        <w:t xml:space="preserve">, ka tās teritorijā notiekošā nerūpnieciskā un neliela apjoma zelta </w:t>
      </w:r>
      <w:r w:rsidRPr="00C21D5D">
        <w:rPr>
          <w:rFonts w:ascii="Times New Roman" w:hAnsi="Times New Roman" w:cs="Times New Roman"/>
          <w:snapToGrid w:val="0"/>
          <w:lang w:val="lv-LV"/>
        </w:rPr>
        <w:t xml:space="preserve">ieguve nav </w:t>
      </w:r>
      <w:r w:rsidR="00C21D5D" w:rsidRPr="00C21D5D">
        <w:rPr>
          <w:rFonts w:ascii="Times New Roman" w:hAnsi="Times New Roman" w:cs="Times New Roman"/>
          <w:snapToGrid w:val="0"/>
          <w:lang w:val="lv-LV"/>
        </w:rPr>
        <w:t>uzskatā</w:t>
      </w:r>
      <w:r w:rsidR="000F6E3B">
        <w:rPr>
          <w:rFonts w:ascii="Times New Roman" w:hAnsi="Times New Roman" w:cs="Times New Roman"/>
          <w:snapToGrid w:val="0"/>
          <w:lang w:val="lv-LV"/>
        </w:rPr>
        <w:t>ma par nebūtisku, tā par to ziņo</w:t>
      </w:r>
      <w:r w:rsidR="00C21D5D" w:rsidRPr="00C21D5D">
        <w:rPr>
          <w:rFonts w:ascii="Times New Roman" w:hAnsi="Times New Roman" w:cs="Times New Roman"/>
          <w:snapToGrid w:val="0"/>
          <w:lang w:val="lv-LV"/>
        </w:rPr>
        <w:t xml:space="preserve"> sekretariātam</w:t>
      </w:r>
      <w:r w:rsidRPr="00C21D5D">
        <w:rPr>
          <w:rFonts w:ascii="Times New Roman" w:hAnsi="Times New Roman" w:cs="Times New Roman"/>
          <w:snapToGrid w:val="0"/>
          <w:lang w:val="lv-LV"/>
        </w:rPr>
        <w:t>.</w:t>
      </w:r>
      <w:r w:rsidR="006937AD">
        <w:rPr>
          <w:rFonts w:ascii="Times New Roman" w:hAnsi="Times New Roman" w:cs="Times New Roman"/>
          <w:snapToGrid w:val="0"/>
          <w:lang w:val="lv-LV"/>
        </w:rPr>
        <w:t xml:space="preserve"> </w:t>
      </w:r>
      <w:r w:rsidRPr="00C21D5D">
        <w:rPr>
          <w:rFonts w:ascii="Times New Roman" w:hAnsi="Times New Roman" w:cs="Times New Roman"/>
          <w:snapToGrid w:val="0"/>
          <w:lang w:val="lv-LV"/>
        </w:rPr>
        <w:t>Šādā gadījumā attiecīgā</w:t>
      </w:r>
      <w:r>
        <w:rPr>
          <w:rFonts w:ascii="Times New Roman" w:hAnsi="Times New Roman" w:cs="Times New Roman"/>
          <w:snapToGrid w:val="0"/>
          <w:lang w:val="lv-LV"/>
        </w:rPr>
        <w:t xml:space="preserve"> puse</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izstrādā un īsteno valsts rīcības plānu saskaņā ar C pielikumu;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iesniedz valsts rīcības plānu sekr</w:t>
      </w:r>
      <w:r w:rsidR="00C21D5D">
        <w:rPr>
          <w:rFonts w:ascii="Times New Roman" w:hAnsi="Times New Roman" w:cs="Times New Roman"/>
          <w:snapToGrid w:val="0"/>
          <w:lang w:val="lv-LV"/>
        </w:rPr>
        <w:t>etariātam ne vēlāk kā trīs gadu laikā kopš datuma</w:t>
      </w:r>
      <w:r>
        <w:rPr>
          <w:rFonts w:ascii="Times New Roman" w:hAnsi="Times New Roman" w:cs="Times New Roman"/>
          <w:snapToGrid w:val="0"/>
          <w:lang w:val="lv-LV"/>
        </w:rPr>
        <w:t xml:space="preserve">, kad šī konvencija stājās spēkā attiecībā uz konkrēto pusi, vai pēc datuma, ar kuru datēts </w:t>
      </w:r>
      <w:smartTag w:uri="schemas-tilde-lv/tildestengine" w:element="veidnes">
        <w:smartTagPr>
          <w:attr w:name="text" w:val="paziņojums"/>
          <w:attr w:name="baseform" w:val="paziņojums"/>
          <w:attr w:name="id" w:val="-1"/>
        </w:smartTagPr>
        <w:r>
          <w:rPr>
            <w:rFonts w:ascii="Times New Roman" w:hAnsi="Times New Roman" w:cs="Times New Roman"/>
            <w:snapToGrid w:val="0"/>
            <w:lang w:val="lv-LV"/>
          </w:rPr>
          <w:t>paziņojums</w:t>
        </w:r>
      </w:smartTag>
      <w:r>
        <w:rPr>
          <w:rFonts w:ascii="Times New Roman" w:hAnsi="Times New Roman" w:cs="Times New Roman"/>
          <w:snapToGrid w:val="0"/>
          <w:lang w:val="lv-LV"/>
        </w:rPr>
        <w:t xml:space="preserve"> sekretariātam, atkarībā no tā, kurš datums ir vēlāk,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pēc tam </w:t>
      </w:r>
      <w:r w:rsidR="000F6E3B">
        <w:rPr>
          <w:rFonts w:ascii="Times New Roman" w:hAnsi="Times New Roman" w:cs="Times New Roman"/>
          <w:snapToGrid w:val="0"/>
          <w:lang w:val="lv-LV"/>
        </w:rPr>
        <w:t xml:space="preserve">ik pēc trim gadiem </w:t>
      </w:r>
      <w:r>
        <w:rPr>
          <w:rFonts w:ascii="Times New Roman" w:hAnsi="Times New Roman" w:cs="Times New Roman"/>
          <w:snapToGrid w:val="0"/>
          <w:lang w:val="lv-LV"/>
        </w:rPr>
        <w:t xml:space="preserve">sniedz pārskatu par progresu attiecībā uz šajā pantā noteikto pienākumu izpildi un </w:t>
      </w:r>
      <w:r w:rsidR="00C21D5D">
        <w:rPr>
          <w:rFonts w:ascii="Times New Roman" w:hAnsi="Times New Roman" w:cs="Times New Roman"/>
          <w:snapToGrid w:val="0"/>
          <w:lang w:val="lv-LV"/>
        </w:rPr>
        <w:t>šo</w:t>
      </w:r>
      <w:r>
        <w:rPr>
          <w:rFonts w:ascii="Times New Roman" w:hAnsi="Times New Roman" w:cs="Times New Roman"/>
          <w:snapToGrid w:val="0"/>
          <w:lang w:val="lv-LV"/>
        </w:rPr>
        <w:t xml:space="preserve">s pārskatus </w:t>
      </w:r>
      <w:r w:rsidR="00C21D5D">
        <w:rPr>
          <w:rFonts w:ascii="Times New Roman" w:hAnsi="Times New Roman" w:cs="Times New Roman"/>
          <w:snapToGrid w:val="0"/>
          <w:lang w:val="lv-LV"/>
        </w:rPr>
        <w:t xml:space="preserve">iekļauj </w:t>
      </w:r>
      <w:r>
        <w:rPr>
          <w:rFonts w:ascii="Times New Roman" w:hAnsi="Times New Roman" w:cs="Times New Roman"/>
          <w:snapToGrid w:val="0"/>
          <w:lang w:val="lv-LV"/>
        </w:rPr>
        <w:t>ziņojumos, kuri tiek iesniegti saskaņā ar 21. pantu.</w:t>
      </w: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r>
        <w:rPr>
          <w:rFonts w:ascii="Times New Roman" w:hAnsi="Times New Roman" w:cs="Times New Roman"/>
          <w:snapToGrid w:val="0"/>
          <w:lang w:val="lv-LV"/>
        </w:rPr>
        <w:t>4. Lai sasniegtu šajā pantā minētos mērķus, puses</w:t>
      </w:r>
      <w:r w:rsidR="00C21D5D">
        <w:rPr>
          <w:rFonts w:ascii="Times New Roman" w:hAnsi="Times New Roman" w:cs="Times New Roman"/>
          <w:snapToGrid w:val="0"/>
          <w:lang w:val="lv-LV"/>
        </w:rPr>
        <w:t>, ja nepieciešams,</w:t>
      </w:r>
      <w:r>
        <w:rPr>
          <w:rFonts w:ascii="Times New Roman" w:hAnsi="Times New Roman" w:cs="Times New Roman"/>
          <w:snapToGrid w:val="0"/>
          <w:lang w:val="lv-LV"/>
        </w:rPr>
        <w:t xml:space="preserve"> var sadarboties cita ar citu un ar attiecīgām starpvaldību organizācij</w:t>
      </w:r>
      <w:r w:rsidR="007D71A2">
        <w:rPr>
          <w:rFonts w:ascii="Times New Roman" w:hAnsi="Times New Roman" w:cs="Times New Roman"/>
          <w:snapToGrid w:val="0"/>
          <w:lang w:val="lv-LV"/>
        </w:rPr>
        <w:t>ām</w:t>
      </w:r>
      <w:r>
        <w:rPr>
          <w:rFonts w:ascii="Times New Roman" w:hAnsi="Times New Roman" w:cs="Times New Roman"/>
          <w:snapToGrid w:val="0"/>
          <w:lang w:val="lv-LV"/>
        </w:rPr>
        <w:t xml:space="preserve"> un citām struktūrvienībām.</w:t>
      </w:r>
      <w:r w:rsidR="006937AD">
        <w:rPr>
          <w:rFonts w:ascii="Times New Roman" w:hAnsi="Times New Roman" w:cs="Times New Roman"/>
          <w:snapToGrid w:val="0"/>
          <w:lang w:val="lv-LV"/>
        </w:rPr>
        <w:t xml:space="preserve"> </w:t>
      </w:r>
      <w:r w:rsidR="00241DB2">
        <w:rPr>
          <w:rFonts w:ascii="Times New Roman" w:hAnsi="Times New Roman" w:cs="Times New Roman"/>
          <w:snapToGrid w:val="0"/>
          <w:lang w:val="lv-LV"/>
        </w:rPr>
        <w:t xml:space="preserve">Šāda sadarbība </w:t>
      </w:r>
      <w:r>
        <w:rPr>
          <w:rFonts w:ascii="Times New Roman" w:hAnsi="Times New Roman" w:cs="Times New Roman"/>
          <w:snapToGrid w:val="0"/>
          <w:lang w:val="lv-LV"/>
        </w:rPr>
        <w:t xml:space="preserve">var </w:t>
      </w:r>
      <w:r w:rsidR="00241DB2">
        <w:rPr>
          <w:rFonts w:ascii="Times New Roman" w:hAnsi="Times New Roman" w:cs="Times New Roman"/>
          <w:snapToGrid w:val="0"/>
          <w:lang w:val="lv-LV"/>
        </w:rPr>
        <w:t>notik</w:t>
      </w:r>
      <w:r>
        <w:rPr>
          <w:rFonts w:ascii="Times New Roman" w:hAnsi="Times New Roman" w:cs="Times New Roman"/>
          <w:snapToGrid w:val="0"/>
          <w:lang w:val="lv-LV"/>
        </w:rPr>
        <w:t>t</w:t>
      </w:r>
      <w:r w:rsidR="00241DB2">
        <w:rPr>
          <w:rFonts w:ascii="Times New Roman" w:hAnsi="Times New Roman" w:cs="Times New Roman"/>
          <w:snapToGrid w:val="0"/>
          <w:lang w:val="lv-LV"/>
        </w:rPr>
        <w:t xml:space="preserve"> saistībā ar</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stratēģiju izstrādi, lai novērstu novirzes dzīvsudraba un dzīvsudraba savienojumu izmantošanā nerūpnieciska un neliela apjoma zelta ieguvē un apstrādē;</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izglīt</w:t>
      </w:r>
      <w:r w:rsidR="00241DB2">
        <w:rPr>
          <w:rFonts w:ascii="Times New Roman" w:hAnsi="Times New Roman" w:cs="Times New Roman"/>
          <w:snapToGrid w:val="0"/>
          <w:lang w:val="lv-LV"/>
        </w:rPr>
        <w:t>ošana</w:t>
      </w:r>
      <w:r>
        <w:rPr>
          <w:rFonts w:ascii="Times New Roman" w:hAnsi="Times New Roman" w:cs="Times New Roman"/>
          <w:snapToGrid w:val="0"/>
          <w:lang w:val="lv-LV"/>
        </w:rPr>
        <w:t>s, informēšanas un r</w:t>
      </w:r>
      <w:r w:rsidR="00D9092E">
        <w:rPr>
          <w:rFonts w:ascii="Times New Roman" w:hAnsi="Times New Roman" w:cs="Times New Roman"/>
          <w:snapToGrid w:val="0"/>
          <w:lang w:val="lv-LV"/>
        </w:rPr>
        <w:t>īcībspējas</w:t>
      </w:r>
      <w:r w:rsidR="00241DB2">
        <w:rPr>
          <w:rFonts w:ascii="Times New Roman" w:hAnsi="Times New Roman" w:cs="Times New Roman"/>
          <w:snapToGrid w:val="0"/>
          <w:lang w:val="lv-LV"/>
        </w:rPr>
        <w:t xml:space="preserve"> palielināšanas iniciatīvām</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pētniecības veicināšanu </w:t>
      </w:r>
      <w:r w:rsidR="00241DB2">
        <w:rPr>
          <w:rFonts w:ascii="Times New Roman" w:hAnsi="Times New Roman" w:cs="Times New Roman"/>
          <w:snapToGrid w:val="0"/>
          <w:lang w:val="lv-LV"/>
        </w:rPr>
        <w:t>saistībā ar tādas ilgtspējīgas alternatīvas prakses izstrādi, kurā</w:t>
      </w:r>
      <w:r>
        <w:rPr>
          <w:rFonts w:ascii="Times New Roman" w:hAnsi="Times New Roman" w:cs="Times New Roman"/>
          <w:snapToGrid w:val="0"/>
          <w:lang w:val="lv-LV"/>
        </w:rPr>
        <w:t xml:space="preserve"> netiek izmantots dzīvsudrabs;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d) tehniskas un finansiālas palīdzības nodrošināšanu;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e) </w:t>
      </w:r>
      <w:r w:rsidR="0092487C">
        <w:rPr>
          <w:rFonts w:ascii="Times New Roman" w:hAnsi="Times New Roman" w:cs="Times New Roman"/>
          <w:snapToGrid w:val="0"/>
          <w:lang w:val="lv-LV"/>
        </w:rPr>
        <w:t>partnerīb</w:t>
      </w:r>
      <w:r>
        <w:rPr>
          <w:rFonts w:ascii="Times New Roman" w:hAnsi="Times New Roman" w:cs="Times New Roman"/>
          <w:snapToGrid w:val="0"/>
          <w:lang w:val="lv-LV"/>
        </w:rPr>
        <w:t>u izveidi, lai atvieglotu savu saistību īstenošanu saskaņā ar šo pantu,</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11" w:name="bookmark11"/>
      <w:r>
        <w:rPr>
          <w:rFonts w:ascii="Times New Roman" w:hAnsi="Times New Roman" w:cs="Times New Roman"/>
          <w:snapToGrid w:val="0"/>
          <w:lang w:val="lv-LV"/>
        </w:rPr>
        <w:t xml:space="preserve">f) </w:t>
      </w:r>
      <w:r w:rsidR="00862D25">
        <w:rPr>
          <w:rFonts w:ascii="Times New Roman" w:hAnsi="Times New Roman" w:cs="Times New Roman"/>
          <w:snapToGrid w:val="0"/>
          <w:lang w:val="lv-LV"/>
        </w:rPr>
        <w:t>es</w:t>
      </w:r>
      <w:r>
        <w:rPr>
          <w:rFonts w:ascii="Times New Roman" w:hAnsi="Times New Roman" w:cs="Times New Roman"/>
          <w:snapToGrid w:val="0"/>
          <w:lang w:val="lv-LV"/>
        </w:rPr>
        <w:t>ošo informācijas apmaiņas mehānismu izma</w:t>
      </w:r>
      <w:r w:rsidR="00241DB2">
        <w:rPr>
          <w:rFonts w:ascii="Times New Roman" w:hAnsi="Times New Roman" w:cs="Times New Roman"/>
          <w:snapToGrid w:val="0"/>
          <w:lang w:val="lv-LV"/>
        </w:rPr>
        <w:t>ntošanu, lai veicinātu zināšanu ieguvi</w:t>
      </w:r>
      <w:r>
        <w:rPr>
          <w:rFonts w:ascii="Times New Roman" w:hAnsi="Times New Roman" w:cs="Times New Roman"/>
          <w:snapToGrid w:val="0"/>
          <w:lang w:val="lv-LV"/>
        </w:rPr>
        <w:t xml:space="preserve">, labāko vides aizsardzības praksi un alternatīvas tehnoloģijas, kas ir </w:t>
      </w:r>
      <w:r w:rsidR="00AA69F9">
        <w:rPr>
          <w:rFonts w:ascii="Times New Roman" w:hAnsi="Times New Roman" w:cs="Times New Roman"/>
          <w:snapToGrid w:val="0"/>
          <w:lang w:val="lv-LV"/>
        </w:rPr>
        <w:t>dzīvotspējīg</w:t>
      </w:r>
      <w:r>
        <w:rPr>
          <w:rFonts w:ascii="Times New Roman" w:hAnsi="Times New Roman" w:cs="Times New Roman"/>
          <w:snapToGrid w:val="0"/>
          <w:lang w:val="lv-LV"/>
        </w:rPr>
        <w:t>as vides aizsardzības, tehniskajā, sociālajā un ekonomiskajā ziņā.</w:t>
      </w:r>
    </w:p>
    <w:bookmarkEnd w:id="11"/>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8.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Emisijas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 Šajā pantā runa </w:t>
      </w:r>
      <w:r w:rsidR="00241DB2">
        <w:rPr>
          <w:rFonts w:ascii="Times New Roman" w:hAnsi="Times New Roman" w:cs="Times New Roman"/>
          <w:snapToGrid w:val="0"/>
          <w:lang w:val="lv-LV"/>
        </w:rPr>
        <w:t xml:space="preserve">ir </w:t>
      </w:r>
      <w:r>
        <w:rPr>
          <w:rFonts w:ascii="Times New Roman" w:hAnsi="Times New Roman" w:cs="Times New Roman"/>
          <w:snapToGrid w:val="0"/>
          <w:lang w:val="lv-LV"/>
        </w:rPr>
        <w:t xml:space="preserve">par dzīvsudraba un </w:t>
      </w:r>
      <w:r w:rsidR="00241DB2">
        <w:rPr>
          <w:rFonts w:ascii="Times New Roman" w:hAnsi="Times New Roman" w:cs="Times New Roman"/>
          <w:snapToGrid w:val="0"/>
          <w:lang w:val="lv-LV"/>
        </w:rPr>
        <w:t xml:space="preserve">tādu </w:t>
      </w:r>
      <w:r>
        <w:rPr>
          <w:rFonts w:ascii="Times New Roman" w:hAnsi="Times New Roman" w:cs="Times New Roman"/>
          <w:snapToGrid w:val="0"/>
          <w:lang w:val="lv-LV"/>
        </w:rPr>
        <w:t>dzīvsudraba savienojumu</w:t>
      </w:r>
      <w:r w:rsidR="00241DB2">
        <w:rPr>
          <w:rFonts w:ascii="Times New Roman" w:hAnsi="Times New Roman" w:cs="Times New Roman"/>
          <w:snapToGrid w:val="0"/>
          <w:lang w:val="lv-LV"/>
        </w:rPr>
        <w:t xml:space="preserve"> emisiju kontroli, kurus</w:t>
      </w:r>
      <w:r w:rsidR="007D71A2">
        <w:rPr>
          <w:rFonts w:ascii="Times New Roman" w:hAnsi="Times New Roman" w:cs="Times New Roman"/>
          <w:snapToGrid w:val="0"/>
          <w:lang w:val="lv-LV"/>
        </w:rPr>
        <w:t xml:space="preserve"> bieži izsaka kā „</w:t>
      </w:r>
      <w:r>
        <w:rPr>
          <w:rFonts w:ascii="Times New Roman" w:hAnsi="Times New Roman" w:cs="Times New Roman"/>
          <w:snapToGrid w:val="0"/>
          <w:lang w:val="lv-LV"/>
        </w:rPr>
        <w:t>kopējo dzīvsu</w:t>
      </w:r>
      <w:r w:rsidR="007D71A2">
        <w:rPr>
          <w:rFonts w:ascii="Times New Roman" w:hAnsi="Times New Roman" w:cs="Times New Roman"/>
          <w:snapToGrid w:val="0"/>
          <w:lang w:val="lv-LV"/>
        </w:rPr>
        <w:t>drabu”</w:t>
      </w:r>
      <w:r>
        <w:rPr>
          <w:rFonts w:ascii="Times New Roman" w:hAnsi="Times New Roman" w:cs="Times New Roman"/>
          <w:snapToGrid w:val="0"/>
          <w:lang w:val="lv-LV"/>
        </w:rPr>
        <w:t xml:space="preserve">, un, ja iespējams, </w:t>
      </w:r>
      <w:r w:rsidR="00241DB2">
        <w:rPr>
          <w:rFonts w:ascii="Times New Roman" w:hAnsi="Times New Roman" w:cs="Times New Roman"/>
          <w:snapToGrid w:val="0"/>
          <w:lang w:val="lv-LV"/>
        </w:rPr>
        <w:t xml:space="preserve">šo emisiju </w:t>
      </w:r>
      <w:r>
        <w:rPr>
          <w:rFonts w:ascii="Times New Roman" w:hAnsi="Times New Roman" w:cs="Times New Roman"/>
          <w:snapToGrid w:val="0"/>
          <w:lang w:val="lv-LV"/>
        </w:rPr>
        <w:t xml:space="preserve">samazināšanu atmosfērā, izmantojot emisiju kontroles pasākumus </w:t>
      </w:r>
      <w:r w:rsidR="00241DB2">
        <w:rPr>
          <w:rFonts w:ascii="Times New Roman" w:hAnsi="Times New Roman" w:cs="Times New Roman"/>
          <w:snapToGrid w:val="0"/>
          <w:lang w:val="lv-LV"/>
        </w:rPr>
        <w:t xml:space="preserve">attiecībā uz </w:t>
      </w:r>
      <w:r>
        <w:rPr>
          <w:rFonts w:ascii="Times New Roman" w:hAnsi="Times New Roman" w:cs="Times New Roman"/>
          <w:snapToGrid w:val="0"/>
          <w:lang w:val="lv-LV"/>
        </w:rPr>
        <w:t xml:space="preserve">stacionārajiem avotiem, kuri </w:t>
      </w:r>
      <w:r w:rsidR="00241DB2">
        <w:rPr>
          <w:rFonts w:ascii="Times New Roman" w:hAnsi="Times New Roman" w:cs="Times New Roman"/>
          <w:snapToGrid w:val="0"/>
          <w:lang w:val="lv-LV"/>
        </w:rPr>
        <w:t>atbils</w:t>
      </w:r>
      <w:r>
        <w:rPr>
          <w:rFonts w:ascii="Times New Roman" w:hAnsi="Times New Roman" w:cs="Times New Roman"/>
          <w:snapToGrid w:val="0"/>
          <w:lang w:val="lv-LV"/>
        </w:rPr>
        <w:t>t D pielikumā norā</w:t>
      </w:r>
      <w:r w:rsidR="00241DB2">
        <w:rPr>
          <w:rFonts w:ascii="Times New Roman" w:hAnsi="Times New Roman" w:cs="Times New Roman"/>
          <w:snapToGrid w:val="0"/>
          <w:lang w:val="lv-LV"/>
        </w:rPr>
        <w:t>dītajām kategorijām</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Šajā pantā</w:t>
      </w:r>
      <w:r w:rsidR="00241DB2">
        <w:rPr>
          <w:rFonts w:ascii="Times New Roman" w:hAnsi="Times New Roman" w:cs="Times New Roman"/>
          <w:snapToGrid w:val="0"/>
          <w:lang w:val="lv-LV"/>
        </w:rPr>
        <w:t xml:space="preserve"> attiecīgie termini lietoti turpmāk minētajā nozīmē:</w:t>
      </w:r>
    </w:p>
    <w:p w:rsidR="0060722E" w:rsidRDefault="0060722E">
      <w:pPr>
        <w:jc w:val="both"/>
        <w:rPr>
          <w:rFonts w:ascii="Times New Roman" w:hAnsi="Times New Roman" w:cs="Times New Roman"/>
          <w:snapToGrid w:val="0"/>
          <w:lang w:val="lv-LV"/>
        </w:rPr>
      </w:pPr>
    </w:p>
    <w:p w:rsidR="0060722E" w:rsidRDefault="00241DB2">
      <w:pPr>
        <w:jc w:val="both"/>
        <w:rPr>
          <w:rFonts w:ascii="Times New Roman" w:hAnsi="Times New Roman" w:cs="Times New Roman"/>
          <w:snapToGrid w:val="0"/>
          <w:lang w:val="lv-LV"/>
        </w:rPr>
      </w:pPr>
      <w:r>
        <w:rPr>
          <w:rFonts w:ascii="Times New Roman" w:hAnsi="Times New Roman" w:cs="Times New Roman"/>
          <w:snapToGrid w:val="0"/>
          <w:lang w:val="lv-LV"/>
        </w:rPr>
        <w:t xml:space="preserve">a) „emisijas” ir </w:t>
      </w:r>
      <w:r w:rsidR="0060722E">
        <w:rPr>
          <w:rFonts w:ascii="Times New Roman" w:hAnsi="Times New Roman" w:cs="Times New Roman"/>
          <w:snapToGrid w:val="0"/>
          <w:lang w:val="lv-LV"/>
        </w:rPr>
        <w:t>dzīvsudraba vai dzīvsudraba savienojumu emisijas atmosfērā;</w:t>
      </w:r>
    </w:p>
    <w:p w:rsidR="0060722E" w:rsidRDefault="0060722E">
      <w:pPr>
        <w:jc w:val="both"/>
        <w:rPr>
          <w:rFonts w:ascii="Times New Roman" w:hAnsi="Times New Roman" w:cs="Times New Roman"/>
          <w:snapToGrid w:val="0"/>
          <w:lang w:val="lv-LV"/>
        </w:rPr>
      </w:pPr>
    </w:p>
    <w:p w:rsidR="0060722E" w:rsidRDefault="00241DB2">
      <w:pPr>
        <w:jc w:val="both"/>
        <w:rPr>
          <w:rFonts w:ascii="Times New Roman" w:hAnsi="Times New Roman" w:cs="Times New Roman"/>
          <w:snapToGrid w:val="0"/>
          <w:lang w:val="lv-LV"/>
        </w:rPr>
      </w:pPr>
      <w:r>
        <w:rPr>
          <w:rFonts w:ascii="Times New Roman" w:hAnsi="Times New Roman" w:cs="Times New Roman"/>
          <w:snapToGrid w:val="0"/>
          <w:lang w:val="lv-LV"/>
        </w:rPr>
        <w:t>b) „</w:t>
      </w:r>
      <w:r w:rsidR="0060722E">
        <w:rPr>
          <w:rFonts w:ascii="Times New Roman" w:hAnsi="Times New Roman" w:cs="Times New Roman"/>
          <w:snapToGrid w:val="0"/>
          <w:lang w:val="lv-LV"/>
        </w:rPr>
        <w:t>a</w:t>
      </w:r>
      <w:r>
        <w:rPr>
          <w:rFonts w:ascii="Times New Roman" w:hAnsi="Times New Roman" w:cs="Times New Roman"/>
          <w:snapToGrid w:val="0"/>
          <w:lang w:val="lv-LV"/>
        </w:rPr>
        <w:t>t</w:t>
      </w:r>
      <w:r w:rsidR="00862D25">
        <w:rPr>
          <w:rFonts w:ascii="Times New Roman" w:hAnsi="Times New Roman" w:cs="Times New Roman"/>
          <w:snapToGrid w:val="0"/>
          <w:lang w:val="lv-LV"/>
        </w:rPr>
        <w:t>bilstoš</w:t>
      </w:r>
      <w:r>
        <w:rPr>
          <w:rFonts w:ascii="Times New Roman" w:hAnsi="Times New Roman" w:cs="Times New Roman"/>
          <w:snapToGrid w:val="0"/>
          <w:lang w:val="lv-LV"/>
        </w:rPr>
        <w:t>ais avots” ir avots, kas atbilst</w:t>
      </w:r>
      <w:r w:rsidR="0060722E">
        <w:rPr>
          <w:rFonts w:ascii="Times New Roman" w:hAnsi="Times New Roman" w:cs="Times New Roman"/>
          <w:snapToGrid w:val="0"/>
          <w:lang w:val="lv-LV"/>
        </w:rPr>
        <w:t xml:space="preserve"> </w:t>
      </w:r>
      <w:r>
        <w:rPr>
          <w:rFonts w:ascii="Times New Roman" w:hAnsi="Times New Roman" w:cs="Times New Roman"/>
          <w:snapToGrid w:val="0"/>
          <w:lang w:val="lv-LV"/>
        </w:rPr>
        <w:t>kādai</w:t>
      </w:r>
      <w:r w:rsidR="0060722E">
        <w:rPr>
          <w:rFonts w:ascii="Times New Roman" w:hAnsi="Times New Roman" w:cs="Times New Roman"/>
          <w:snapToGrid w:val="0"/>
          <w:lang w:val="lv-LV"/>
        </w:rPr>
        <w:t xml:space="preserve"> no D pielikumā norādītajām kategorijām. Puse, ja vēlas, var noteikt kritērijus attiecībā uz to, kā tiek identificēti avoti, kuri norādīti noteiktā avotu kategorijā D pielikumā, taču šiem kritērijiem jebkurā kategorijā jāietver vismaz 75 procenti no emisiju apjoma </w:t>
      </w:r>
      <w:r w:rsidR="00862D25">
        <w:rPr>
          <w:rFonts w:ascii="Times New Roman" w:hAnsi="Times New Roman" w:cs="Times New Roman"/>
          <w:snapToGrid w:val="0"/>
          <w:lang w:val="lv-LV"/>
        </w:rPr>
        <w:t>š</w:t>
      </w:r>
      <w:r w:rsidR="0060722E">
        <w:rPr>
          <w:rFonts w:ascii="Times New Roman" w:hAnsi="Times New Roman" w:cs="Times New Roman"/>
          <w:snapToGrid w:val="0"/>
          <w:lang w:val="lv-LV"/>
        </w:rPr>
        <w:t>ajā kategorijā;</w:t>
      </w:r>
    </w:p>
    <w:p w:rsidR="0060722E" w:rsidRDefault="0060722E">
      <w:pPr>
        <w:jc w:val="both"/>
        <w:rPr>
          <w:rFonts w:ascii="Times New Roman" w:hAnsi="Times New Roman" w:cs="Times New Roman"/>
          <w:snapToGrid w:val="0"/>
          <w:lang w:val="lv-LV"/>
        </w:rPr>
      </w:pPr>
    </w:p>
    <w:p w:rsidR="0060722E" w:rsidRDefault="00241DB2">
      <w:pPr>
        <w:jc w:val="both"/>
        <w:rPr>
          <w:rFonts w:ascii="Times New Roman" w:hAnsi="Times New Roman" w:cs="Times New Roman"/>
          <w:snapToGrid w:val="0"/>
          <w:lang w:val="lv-LV"/>
        </w:rPr>
      </w:pPr>
      <w:r>
        <w:rPr>
          <w:rFonts w:ascii="Times New Roman" w:hAnsi="Times New Roman" w:cs="Times New Roman"/>
          <w:snapToGrid w:val="0"/>
          <w:lang w:val="lv-LV"/>
        </w:rPr>
        <w:t>c) „jauns avots”</w:t>
      </w:r>
      <w:r w:rsidR="0060722E">
        <w:rPr>
          <w:rFonts w:ascii="Times New Roman" w:hAnsi="Times New Roman" w:cs="Times New Roman"/>
          <w:snapToGrid w:val="0"/>
          <w:lang w:val="lv-LV"/>
        </w:rPr>
        <w:t xml:space="preserve"> ir jebkurš </w:t>
      </w:r>
      <w:r>
        <w:rPr>
          <w:rFonts w:ascii="Times New Roman" w:hAnsi="Times New Roman" w:cs="Times New Roman"/>
          <w:snapToGrid w:val="0"/>
          <w:lang w:val="lv-LV"/>
        </w:rPr>
        <w:t>at</w:t>
      </w:r>
      <w:r w:rsidR="00862D25">
        <w:rPr>
          <w:rFonts w:ascii="Times New Roman" w:hAnsi="Times New Roman" w:cs="Times New Roman"/>
          <w:snapToGrid w:val="0"/>
          <w:lang w:val="lv-LV"/>
        </w:rPr>
        <w:t>bilstoš</w:t>
      </w:r>
      <w:r>
        <w:rPr>
          <w:rFonts w:ascii="Times New Roman" w:hAnsi="Times New Roman" w:cs="Times New Roman"/>
          <w:snapToGrid w:val="0"/>
          <w:lang w:val="lv-LV"/>
        </w:rPr>
        <w:t>ais avots, kurš atbilst kādai no D pielikumā minētajām kategorijām</w:t>
      </w:r>
      <w:r w:rsidR="0060722E">
        <w:rPr>
          <w:rFonts w:ascii="Times New Roman" w:hAnsi="Times New Roman" w:cs="Times New Roman"/>
          <w:snapToGrid w:val="0"/>
          <w:lang w:val="lv-LV"/>
        </w:rPr>
        <w:t xml:space="preserve"> </w:t>
      </w:r>
      <w:r>
        <w:rPr>
          <w:rFonts w:ascii="Times New Roman" w:hAnsi="Times New Roman" w:cs="Times New Roman"/>
          <w:snapToGrid w:val="0"/>
          <w:lang w:val="lv-LV"/>
        </w:rPr>
        <w:t xml:space="preserve">un </w:t>
      </w:r>
      <w:r w:rsidR="0060722E">
        <w:rPr>
          <w:rFonts w:ascii="Times New Roman" w:hAnsi="Times New Roman" w:cs="Times New Roman"/>
          <w:snapToGrid w:val="0"/>
          <w:lang w:val="lv-LV"/>
        </w:rPr>
        <w:t xml:space="preserve">kura būve vai būtiska </w:t>
      </w:r>
      <w:r>
        <w:rPr>
          <w:rFonts w:ascii="Times New Roman" w:hAnsi="Times New Roman" w:cs="Times New Roman"/>
          <w:snapToGrid w:val="0"/>
          <w:lang w:val="lv-LV"/>
        </w:rPr>
        <w:t xml:space="preserve">pārveide ir sākta </w:t>
      </w:r>
      <w:r w:rsidR="0060722E">
        <w:rPr>
          <w:rFonts w:ascii="Times New Roman" w:hAnsi="Times New Roman" w:cs="Times New Roman"/>
          <w:snapToGrid w:val="0"/>
          <w:lang w:val="lv-LV"/>
        </w:rPr>
        <w:t>vismaz vienu gadu pēc d</w:t>
      </w:r>
      <w:r w:rsidR="00FC0C31">
        <w:rPr>
          <w:rFonts w:ascii="Times New Roman" w:hAnsi="Times New Roman" w:cs="Times New Roman"/>
          <w:snapToGrid w:val="0"/>
          <w:lang w:val="lv-LV"/>
        </w:rPr>
        <w:t>atuma</w:t>
      </w:r>
      <w:r w:rsidR="0060722E">
        <w:rPr>
          <w:rFonts w:ascii="Times New Roman" w:hAnsi="Times New Roman" w:cs="Times New Roman"/>
          <w:snapToGrid w:val="0"/>
          <w:lang w:val="lv-LV"/>
        </w:rPr>
        <w:t>, k</w:t>
      </w:r>
      <w:r w:rsidR="00FC0C31">
        <w:rPr>
          <w:rFonts w:ascii="Times New Roman" w:hAnsi="Times New Roman" w:cs="Times New Roman"/>
          <w:snapToGrid w:val="0"/>
          <w:lang w:val="lv-LV"/>
        </w:rPr>
        <w:t>urā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 attiecībā uz konkrēto pusi stājusies spēkā šī konvencija vai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 attiecībā uz konkrēto pusi stājušies spēkā D pielikuma grozījumi, saskaņā ar kuriem attiecīgajam avotam piemēro šīs konvencijas noteikumus, pamatojoties tikai uz šiem grozījumiem;</w:t>
      </w:r>
    </w:p>
    <w:p w:rsidR="0060722E" w:rsidRDefault="0060722E">
      <w:pPr>
        <w:jc w:val="both"/>
        <w:rPr>
          <w:rFonts w:ascii="Times New Roman" w:hAnsi="Times New Roman" w:cs="Times New Roman"/>
          <w:snapToGrid w:val="0"/>
          <w:lang w:val="lv-LV"/>
        </w:rPr>
      </w:pPr>
    </w:p>
    <w:p w:rsidR="0060722E" w:rsidRDefault="00FC0C31">
      <w:pPr>
        <w:jc w:val="both"/>
        <w:rPr>
          <w:rFonts w:ascii="Times New Roman" w:hAnsi="Times New Roman" w:cs="Times New Roman"/>
          <w:snapToGrid w:val="0"/>
          <w:lang w:val="lv-LV"/>
        </w:rPr>
      </w:pPr>
      <w:r>
        <w:rPr>
          <w:rFonts w:ascii="Times New Roman" w:hAnsi="Times New Roman" w:cs="Times New Roman"/>
          <w:snapToGrid w:val="0"/>
          <w:lang w:val="lv-LV"/>
        </w:rPr>
        <w:t>d) „būtiska pārveide”</w:t>
      </w:r>
      <w:r w:rsidR="0060722E">
        <w:rPr>
          <w:rFonts w:ascii="Times New Roman" w:hAnsi="Times New Roman" w:cs="Times New Roman"/>
          <w:snapToGrid w:val="0"/>
          <w:lang w:val="lv-LV"/>
        </w:rPr>
        <w:t xml:space="preserve"> ir at</w:t>
      </w:r>
      <w:r w:rsidR="00862D25">
        <w:rPr>
          <w:rFonts w:ascii="Times New Roman" w:hAnsi="Times New Roman" w:cs="Times New Roman"/>
          <w:snapToGrid w:val="0"/>
          <w:lang w:val="lv-LV"/>
        </w:rPr>
        <w:t>bilstoš</w:t>
      </w:r>
      <w:r w:rsidR="0060722E">
        <w:rPr>
          <w:rFonts w:ascii="Times New Roman" w:hAnsi="Times New Roman" w:cs="Times New Roman"/>
          <w:snapToGrid w:val="0"/>
          <w:lang w:val="lv-LV"/>
        </w:rPr>
        <w:t>ā avota</w:t>
      </w:r>
      <w:r>
        <w:rPr>
          <w:rFonts w:ascii="Times New Roman" w:hAnsi="Times New Roman" w:cs="Times New Roman"/>
          <w:snapToGrid w:val="0"/>
          <w:lang w:val="lv-LV"/>
        </w:rPr>
        <w:t xml:space="preserve"> pārveide</w:t>
      </w:r>
      <w:r w:rsidR="0060722E">
        <w:rPr>
          <w:rFonts w:ascii="Times New Roman" w:hAnsi="Times New Roman" w:cs="Times New Roman"/>
          <w:snapToGrid w:val="0"/>
          <w:lang w:val="lv-LV"/>
        </w:rPr>
        <w:t xml:space="preserve">, kuras rezultātā būtiski palielinās emisijas, izņemot jebkādas izmaiņas emisiju apjomā, kas rodas no blakusproduktu atjaunošanas. Puses ziņā ir nolemt, vai šī </w:t>
      </w:r>
      <w:r>
        <w:rPr>
          <w:rFonts w:ascii="Times New Roman" w:hAnsi="Times New Roman" w:cs="Times New Roman"/>
          <w:snapToGrid w:val="0"/>
          <w:lang w:val="lv-LV"/>
        </w:rPr>
        <w:t xml:space="preserve">pārveide </w:t>
      </w:r>
      <w:r w:rsidR="0060722E">
        <w:rPr>
          <w:rFonts w:ascii="Times New Roman" w:hAnsi="Times New Roman" w:cs="Times New Roman"/>
          <w:snapToGrid w:val="0"/>
          <w:lang w:val="lv-LV"/>
        </w:rPr>
        <w:t>ir vai nav būtiska;</w:t>
      </w:r>
    </w:p>
    <w:p w:rsidR="0060722E" w:rsidRDefault="0060722E">
      <w:pPr>
        <w:jc w:val="both"/>
        <w:rPr>
          <w:rFonts w:ascii="Times New Roman" w:hAnsi="Times New Roman" w:cs="Times New Roman"/>
          <w:snapToGrid w:val="0"/>
          <w:lang w:val="lv-LV"/>
        </w:rPr>
      </w:pPr>
    </w:p>
    <w:p w:rsidR="0060722E" w:rsidRDefault="00FC0C31">
      <w:pPr>
        <w:jc w:val="both"/>
        <w:rPr>
          <w:rFonts w:ascii="Times New Roman" w:hAnsi="Times New Roman" w:cs="Times New Roman"/>
          <w:snapToGrid w:val="0"/>
          <w:lang w:val="lv-LV"/>
        </w:rPr>
      </w:pPr>
      <w:r>
        <w:rPr>
          <w:rFonts w:ascii="Times New Roman" w:hAnsi="Times New Roman" w:cs="Times New Roman"/>
          <w:snapToGrid w:val="0"/>
          <w:lang w:val="lv-LV"/>
        </w:rPr>
        <w:t>e) „</w:t>
      </w:r>
      <w:r w:rsidR="00862D25">
        <w:rPr>
          <w:rFonts w:ascii="Times New Roman" w:hAnsi="Times New Roman" w:cs="Times New Roman"/>
          <w:snapToGrid w:val="0"/>
          <w:lang w:val="lv-LV"/>
        </w:rPr>
        <w:t>es</w:t>
      </w:r>
      <w:r>
        <w:rPr>
          <w:rFonts w:ascii="Times New Roman" w:hAnsi="Times New Roman" w:cs="Times New Roman"/>
          <w:snapToGrid w:val="0"/>
          <w:lang w:val="lv-LV"/>
        </w:rPr>
        <w:t>ošs avots”</w:t>
      </w:r>
      <w:r w:rsidR="0060722E">
        <w:rPr>
          <w:rFonts w:ascii="Times New Roman" w:hAnsi="Times New Roman" w:cs="Times New Roman"/>
          <w:snapToGrid w:val="0"/>
          <w:lang w:val="lv-LV"/>
        </w:rPr>
        <w:t xml:space="preserve"> i</w:t>
      </w:r>
      <w:r>
        <w:rPr>
          <w:rFonts w:ascii="Times New Roman" w:hAnsi="Times New Roman" w:cs="Times New Roman"/>
          <w:snapToGrid w:val="0"/>
          <w:lang w:val="lv-LV"/>
        </w:rPr>
        <w:t>r jebkurš at</w:t>
      </w:r>
      <w:r w:rsidR="00862D25">
        <w:rPr>
          <w:rFonts w:ascii="Times New Roman" w:hAnsi="Times New Roman" w:cs="Times New Roman"/>
          <w:snapToGrid w:val="0"/>
          <w:lang w:val="lv-LV"/>
        </w:rPr>
        <w:t>bilstošai</w:t>
      </w:r>
      <w:r>
        <w:rPr>
          <w:rFonts w:ascii="Times New Roman" w:hAnsi="Times New Roman" w:cs="Times New Roman"/>
          <w:snapToGrid w:val="0"/>
          <w:lang w:val="lv-LV"/>
        </w:rPr>
        <w:t>s avots, kas</w:t>
      </w:r>
      <w:r w:rsidR="0060722E">
        <w:rPr>
          <w:rFonts w:ascii="Times New Roman" w:hAnsi="Times New Roman" w:cs="Times New Roman"/>
          <w:snapToGrid w:val="0"/>
          <w:lang w:val="lv-LV"/>
        </w:rPr>
        <w:t xml:space="preserve"> nav jauns avots;</w:t>
      </w:r>
    </w:p>
    <w:p w:rsidR="0060722E" w:rsidRDefault="0060722E">
      <w:pPr>
        <w:jc w:val="both"/>
        <w:rPr>
          <w:rFonts w:ascii="Times New Roman" w:hAnsi="Times New Roman" w:cs="Times New Roman"/>
          <w:snapToGrid w:val="0"/>
          <w:lang w:val="lv-LV"/>
        </w:rPr>
      </w:pPr>
    </w:p>
    <w:p w:rsidR="0060722E" w:rsidRDefault="00FC0C31">
      <w:pPr>
        <w:jc w:val="both"/>
        <w:rPr>
          <w:rFonts w:ascii="Times New Roman" w:hAnsi="Times New Roman" w:cs="Times New Roman"/>
          <w:snapToGrid w:val="0"/>
          <w:lang w:val="lv-LV"/>
        </w:rPr>
      </w:pPr>
      <w:r>
        <w:rPr>
          <w:rFonts w:ascii="Times New Roman" w:hAnsi="Times New Roman" w:cs="Times New Roman"/>
          <w:snapToGrid w:val="0"/>
          <w:lang w:val="lv-LV"/>
        </w:rPr>
        <w:t>f) „emisiju robežvērtība”</w:t>
      </w:r>
      <w:r w:rsidR="0060722E">
        <w:rPr>
          <w:rFonts w:ascii="Times New Roman" w:hAnsi="Times New Roman" w:cs="Times New Roman"/>
          <w:snapToGrid w:val="0"/>
          <w:lang w:val="lv-LV"/>
        </w:rPr>
        <w:t xml:space="preserve"> ir emisiju koncentrācijas, masas vai intensitātes ierobežojums attiecībā uz dzīvsudraba vai </w:t>
      </w:r>
      <w:r>
        <w:rPr>
          <w:rFonts w:ascii="Times New Roman" w:hAnsi="Times New Roman" w:cs="Times New Roman"/>
          <w:snapToGrid w:val="0"/>
          <w:lang w:val="lv-LV"/>
        </w:rPr>
        <w:t xml:space="preserve">tādu </w:t>
      </w:r>
      <w:r w:rsidR="0060722E">
        <w:rPr>
          <w:rFonts w:ascii="Times New Roman" w:hAnsi="Times New Roman" w:cs="Times New Roman"/>
          <w:snapToGrid w:val="0"/>
          <w:lang w:val="lv-LV"/>
        </w:rPr>
        <w:t>dzīvsudraba s</w:t>
      </w:r>
      <w:r>
        <w:rPr>
          <w:rFonts w:ascii="Times New Roman" w:hAnsi="Times New Roman" w:cs="Times New Roman"/>
          <w:snapToGrid w:val="0"/>
          <w:lang w:val="lv-LV"/>
        </w:rPr>
        <w:t>avienojumu</w:t>
      </w:r>
      <w:r w:rsidRPr="00FC0C31">
        <w:rPr>
          <w:rFonts w:ascii="Times New Roman" w:hAnsi="Times New Roman" w:cs="Times New Roman"/>
          <w:snapToGrid w:val="0"/>
          <w:lang w:val="lv-LV"/>
        </w:rPr>
        <w:t xml:space="preserve"> </w:t>
      </w:r>
      <w:r>
        <w:rPr>
          <w:rFonts w:ascii="Times New Roman" w:hAnsi="Times New Roman" w:cs="Times New Roman"/>
          <w:snapToGrid w:val="0"/>
          <w:lang w:val="lv-LV"/>
        </w:rPr>
        <w:t>emisiju no stacionāra avota, ko bieži izsaka kā „</w:t>
      </w:r>
      <w:r w:rsidR="0060722E">
        <w:rPr>
          <w:rFonts w:ascii="Times New Roman" w:hAnsi="Times New Roman" w:cs="Times New Roman"/>
          <w:snapToGrid w:val="0"/>
          <w:lang w:val="lv-LV"/>
        </w:rPr>
        <w:t>kopējo dzīvsudrabu</w:t>
      </w:r>
      <w:r>
        <w:rPr>
          <w:rFonts w:ascii="Times New Roman" w:hAnsi="Times New Roman" w:cs="Times New Roman"/>
          <w:snapToGrid w:val="0"/>
          <w:lang w:val="lv-LV"/>
        </w:rPr>
        <w:t>”</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3. Puse, kurai ir at</w:t>
      </w:r>
      <w:r w:rsidR="00862D25">
        <w:rPr>
          <w:rFonts w:ascii="Times New Roman" w:hAnsi="Times New Roman" w:cs="Times New Roman"/>
          <w:snapToGrid w:val="0"/>
          <w:lang w:val="lv-LV"/>
        </w:rPr>
        <w:t>bilstošie</w:t>
      </w:r>
      <w:r>
        <w:rPr>
          <w:rFonts w:ascii="Times New Roman" w:hAnsi="Times New Roman" w:cs="Times New Roman"/>
          <w:snapToGrid w:val="0"/>
          <w:lang w:val="lv-LV"/>
        </w:rPr>
        <w:t xml:space="preserve"> avoti, veic emisijas kontroles pasākumus un </w:t>
      </w:r>
      <w:r w:rsidR="000F6E3B">
        <w:rPr>
          <w:rFonts w:ascii="Times New Roman" w:hAnsi="Times New Roman" w:cs="Times New Roman"/>
          <w:snapToGrid w:val="0"/>
          <w:lang w:val="lv-LV"/>
        </w:rPr>
        <w:t xml:space="preserve">var </w:t>
      </w:r>
      <w:r>
        <w:rPr>
          <w:rFonts w:ascii="Times New Roman" w:hAnsi="Times New Roman" w:cs="Times New Roman"/>
          <w:snapToGrid w:val="0"/>
          <w:lang w:val="lv-LV"/>
        </w:rPr>
        <w:t>sagatavo</w:t>
      </w:r>
      <w:r w:rsidR="000F6E3B">
        <w:rPr>
          <w:rFonts w:ascii="Times New Roman" w:hAnsi="Times New Roman" w:cs="Times New Roman"/>
          <w:snapToGrid w:val="0"/>
          <w:lang w:val="lv-LV"/>
        </w:rPr>
        <w:t>t</w:t>
      </w:r>
      <w:r>
        <w:rPr>
          <w:rFonts w:ascii="Times New Roman" w:hAnsi="Times New Roman" w:cs="Times New Roman"/>
          <w:snapToGrid w:val="0"/>
          <w:lang w:val="lv-LV"/>
        </w:rPr>
        <w:t xml:space="preserve"> valsts plānu, kurā norāda veicamos emisijas kontroles pasākumus un tā paredzamos mērķus, uzdevumus un rezultātus. Ikviens </w:t>
      </w:r>
      <w:smartTag w:uri="schemas-tilde-lv/tildestengine" w:element="veidnes">
        <w:smartTagPr>
          <w:attr w:name="text" w:val="plāns"/>
          <w:attr w:name="baseform" w:val="plāns"/>
          <w:attr w:name="id" w:val="-1"/>
        </w:smartTagPr>
        <w:r>
          <w:rPr>
            <w:rFonts w:ascii="Times New Roman" w:hAnsi="Times New Roman" w:cs="Times New Roman"/>
            <w:snapToGrid w:val="0"/>
            <w:lang w:val="lv-LV"/>
          </w:rPr>
          <w:t>plāns</w:t>
        </w:r>
      </w:smartTag>
      <w:r>
        <w:rPr>
          <w:rFonts w:ascii="Times New Roman" w:hAnsi="Times New Roman" w:cs="Times New Roman"/>
          <w:snapToGrid w:val="0"/>
          <w:lang w:val="lv-LV"/>
        </w:rPr>
        <w:t xml:space="preserve"> tiek iesniegts pušu konferencei četru gadu laikā pēc d</w:t>
      </w:r>
      <w:r w:rsidR="00E57FAE">
        <w:rPr>
          <w:rFonts w:ascii="Times New Roman" w:hAnsi="Times New Roman" w:cs="Times New Roman"/>
          <w:snapToGrid w:val="0"/>
          <w:lang w:val="lv-LV"/>
        </w:rPr>
        <w:t>atuma, kurā</w:t>
      </w:r>
      <w:r>
        <w:rPr>
          <w:rFonts w:ascii="Times New Roman" w:hAnsi="Times New Roman" w:cs="Times New Roman"/>
          <w:snapToGrid w:val="0"/>
          <w:lang w:val="lv-LV"/>
        </w:rPr>
        <w:t xml:space="preserve"> konvencija stājās spēkā attiecībā uz konkrēto pusi. Ja puse izstrādā īstenošanas plānu saskaņā ar 20. pantu, tad attiecīgā puse var šajā plānā ietvert saskaņā ar šo punktu sagatavoto plānu.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4. Attiecībā uz jaunajiem avotiem ikviena puse pieprasa, lai</w:t>
      </w:r>
      <w:r w:rsidR="00EC70C7">
        <w:rPr>
          <w:rFonts w:ascii="Times New Roman" w:hAnsi="Times New Roman" w:cs="Times New Roman"/>
          <w:snapToGrid w:val="0"/>
          <w:lang w:val="lv-LV"/>
        </w:rPr>
        <w:t>, cik vien drīz tas ir praktiski iespējams</w:t>
      </w:r>
      <w:r w:rsidR="00E57FAE">
        <w:rPr>
          <w:rFonts w:ascii="Times New Roman" w:hAnsi="Times New Roman" w:cs="Times New Roman"/>
          <w:snapToGrid w:val="0"/>
          <w:lang w:val="lv-LV"/>
        </w:rPr>
        <w:t>, bet ne vēlāk kā piecu gadu laikā</w:t>
      </w:r>
      <w:r>
        <w:rPr>
          <w:rFonts w:ascii="Times New Roman" w:hAnsi="Times New Roman" w:cs="Times New Roman"/>
          <w:snapToGrid w:val="0"/>
          <w:lang w:val="lv-LV"/>
        </w:rPr>
        <w:t xml:space="preserve"> pēc šīs konvencijas stāšanās spēkā attiecībā u</w:t>
      </w:r>
      <w:r w:rsidR="00F32658">
        <w:rPr>
          <w:rFonts w:ascii="Times New Roman" w:hAnsi="Times New Roman" w:cs="Times New Roman"/>
          <w:snapToGrid w:val="0"/>
          <w:lang w:val="lv-LV"/>
        </w:rPr>
        <w:t>z konkrēto pusi tiktu izmantoti</w:t>
      </w:r>
      <w:r>
        <w:rPr>
          <w:rFonts w:ascii="Times New Roman" w:hAnsi="Times New Roman" w:cs="Times New Roman"/>
          <w:snapToGrid w:val="0"/>
          <w:lang w:val="lv-LV"/>
        </w:rPr>
        <w:t xml:space="preserve"> </w:t>
      </w:r>
      <w:r w:rsidR="00F32658">
        <w:rPr>
          <w:rFonts w:ascii="Times New Roman" w:hAnsi="Times New Roman" w:cs="Times New Roman"/>
          <w:snapToGrid w:val="0"/>
          <w:lang w:val="lv-LV"/>
        </w:rPr>
        <w:t xml:space="preserve">labākie pieejamie tehniskie paņēmieni </w:t>
      </w:r>
      <w:r>
        <w:rPr>
          <w:rFonts w:ascii="Times New Roman" w:hAnsi="Times New Roman" w:cs="Times New Roman"/>
          <w:snapToGrid w:val="0"/>
          <w:lang w:val="lv-LV"/>
        </w:rPr>
        <w:t xml:space="preserve">un labākā </w:t>
      </w:r>
      <w:r w:rsidR="00AC7453">
        <w:rPr>
          <w:rFonts w:ascii="Times New Roman" w:hAnsi="Times New Roman" w:cs="Times New Roman"/>
          <w:snapToGrid w:val="0"/>
          <w:lang w:val="lv-LV"/>
        </w:rPr>
        <w:t xml:space="preserve">vides </w:t>
      </w:r>
      <w:r>
        <w:rPr>
          <w:rFonts w:ascii="Times New Roman" w:hAnsi="Times New Roman" w:cs="Times New Roman"/>
          <w:snapToGrid w:val="0"/>
          <w:lang w:val="lv-LV"/>
        </w:rPr>
        <w:t xml:space="preserve">prakse, lai kontrolētu un, ja iespējams, samazinātu emisijas. Puse var izmantot emisiju robežvērtības, kuras atbilst </w:t>
      </w:r>
      <w:r w:rsidR="00F32658">
        <w:rPr>
          <w:rFonts w:ascii="Times New Roman" w:hAnsi="Times New Roman" w:cs="Times New Roman"/>
          <w:snapToGrid w:val="0"/>
          <w:lang w:val="lv-LV"/>
        </w:rPr>
        <w:t xml:space="preserve">labāko pieejamo tehnisko paņēmienu </w:t>
      </w:r>
      <w:r>
        <w:rPr>
          <w:rFonts w:ascii="Times New Roman" w:hAnsi="Times New Roman" w:cs="Times New Roman"/>
          <w:snapToGrid w:val="0"/>
          <w:lang w:val="lv-LV"/>
        </w:rPr>
        <w:t>piemērošanai.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5. Attiecībā uz </w:t>
      </w:r>
      <w:r w:rsidR="00862D25">
        <w:rPr>
          <w:rFonts w:ascii="Times New Roman" w:hAnsi="Times New Roman" w:cs="Times New Roman"/>
          <w:snapToGrid w:val="0"/>
          <w:lang w:val="lv-LV"/>
        </w:rPr>
        <w:t>eso</w:t>
      </w:r>
      <w:r>
        <w:rPr>
          <w:rFonts w:ascii="Times New Roman" w:hAnsi="Times New Roman" w:cs="Times New Roman"/>
          <w:snapToGrid w:val="0"/>
          <w:lang w:val="lv-LV"/>
        </w:rPr>
        <w:t xml:space="preserve">šajiem avotiem ikviena puse savā valsts plānā iekļauj un īsteno vienu vai vairākus no turpmāk minētajiem pasākumiem, ņemot vērā valsts apstākļus un attiecīgo pasākumu tehnisko pamatotību un finansiālo pieejamību, </w:t>
      </w:r>
      <w:r w:rsidR="00EC70C7">
        <w:rPr>
          <w:rFonts w:ascii="Times New Roman" w:hAnsi="Times New Roman" w:cs="Times New Roman"/>
          <w:snapToGrid w:val="0"/>
          <w:lang w:val="lv-LV"/>
        </w:rPr>
        <w:t>cik vien drīz tas ir praktiski iespējams</w:t>
      </w:r>
      <w:r>
        <w:rPr>
          <w:rFonts w:ascii="Times New Roman" w:hAnsi="Times New Roman" w:cs="Times New Roman"/>
          <w:snapToGrid w:val="0"/>
          <w:lang w:val="lv-LV"/>
        </w:rPr>
        <w:t xml:space="preserve">, bet </w:t>
      </w:r>
      <w:r w:rsidR="008B46C6">
        <w:rPr>
          <w:rFonts w:ascii="Times New Roman" w:hAnsi="Times New Roman" w:cs="Times New Roman"/>
          <w:snapToGrid w:val="0"/>
          <w:lang w:val="lv-LV"/>
        </w:rPr>
        <w:t>ne vēlāk kā desmit gadu laikā</w:t>
      </w:r>
      <w:r>
        <w:rPr>
          <w:rFonts w:ascii="Times New Roman" w:hAnsi="Times New Roman" w:cs="Times New Roman"/>
          <w:snapToGrid w:val="0"/>
          <w:lang w:val="lv-LV"/>
        </w:rPr>
        <w:t xml:space="preserve"> pēc d</w:t>
      </w:r>
      <w:r w:rsidR="008B46C6">
        <w:rPr>
          <w:rFonts w:ascii="Times New Roman" w:hAnsi="Times New Roman" w:cs="Times New Roman"/>
          <w:snapToGrid w:val="0"/>
          <w:lang w:val="lv-LV"/>
        </w:rPr>
        <w:t>atuma, kurā</w:t>
      </w:r>
      <w:r>
        <w:rPr>
          <w:rFonts w:ascii="Times New Roman" w:hAnsi="Times New Roman" w:cs="Times New Roman"/>
          <w:snapToGrid w:val="0"/>
          <w:lang w:val="lv-LV"/>
        </w:rPr>
        <w:t xml:space="preserve"> stājās spēkā šī konvencija attiecībā uz konkrēto pusi, proti,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skaitļos izteikts mērķis attiecībā uz at</w:t>
      </w:r>
      <w:r w:rsidR="00862D25">
        <w:rPr>
          <w:rFonts w:ascii="Times New Roman" w:hAnsi="Times New Roman" w:cs="Times New Roman"/>
          <w:snapToGrid w:val="0"/>
          <w:lang w:val="lv-LV"/>
        </w:rPr>
        <w:t>bilstoš</w:t>
      </w:r>
      <w:r>
        <w:rPr>
          <w:rFonts w:ascii="Times New Roman" w:hAnsi="Times New Roman" w:cs="Times New Roman"/>
          <w:snapToGrid w:val="0"/>
          <w:lang w:val="lv-LV"/>
        </w:rPr>
        <w:t>o avotu emisiju kontroli un, ja iespējams, samazināšanu;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emisiju robežvērtības attiecībā uz atbilstošo avotu emisiju kontroli un, ja iespējams, samazināšanu;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labāko pieejamo </w:t>
      </w:r>
      <w:r w:rsidR="00F32658">
        <w:rPr>
          <w:rFonts w:ascii="Times New Roman" w:hAnsi="Times New Roman" w:cs="Times New Roman"/>
          <w:snapToGrid w:val="0"/>
          <w:lang w:val="lv-LV"/>
        </w:rPr>
        <w:t xml:space="preserve">tehnisko paņēmienu </w:t>
      </w:r>
      <w:r>
        <w:rPr>
          <w:rFonts w:ascii="Times New Roman" w:hAnsi="Times New Roman" w:cs="Times New Roman"/>
          <w:snapToGrid w:val="0"/>
          <w:lang w:val="lv-LV"/>
        </w:rPr>
        <w:t xml:space="preserve">un labākās </w:t>
      </w:r>
      <w:r w:rsidR="00AC7453">
        <w:rPr>
          <w:rFonts w:ascii="Times New Roman" w:hAnsi="Times New Roman" w:cs="Times New Roman"/>
          <w:snapToGrid w:val="0"/>
          <w:lang w:val="lv-LV"/>
        </w:rPr>
        <w:t>vide</w:t>
      </w:r>
      <w:r>
        <w:rPr>
          <w:rFonts w:ascii="Times New Roman" w:hAnsi="Times New Roman" w:cs="Times New Roman"/>
          <w:snapToGrid w:val="0"/>
          <w:lang w:val="lv-LV"/>
        </w:rPr>
        <w:t>s prakses izmantošana, lai kontrolētu emisijas no atbilstošiem avotiem;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d) </w:t>
      </w:r>
      <w:r w:rsidR="00883196">
        <w:rPr>
          <w:rFonts w:ascii="Times New Roman" w:hAnsi="Times New Roman" w:cs="Times New Roman"/>
          <w:snapToGrid w:val="0"/>
          <w:lang w:val="lv-LV"/>
        </w:rPr>
        <w:t>vairāku piesārņojošo</w:t>
      </w:r>
      <w:r>
        <w:rPr>
          <w:rFonts w:ascii="Times New Roman" w:hAnsi="Times New Roman" w:cs="Times New Roman"/>
          <w:snapToGrid w:val="0"/>
          <w:lang w:val="lv-LV"/>
        </w:rPr>
        <w:t xml:space="preserve"> vielu kontroles stratēģija, kas </w:t>
      </w:r>
      <w:r w:rsidR="00CA1EF8">
        <w:rPr>
          <w:rFonts w:ascii="Times New Roman" w:hAnsi="Times New Roman" w:cs="Times New Roman"/>
          <w:snapToGrid w:val="0"/>
          <w:lang w:val="lv-LV"/>
        </w:rPr>
        <w:t xml:space="preserve">sniedz </w:t>
      </w:r>
      <w:r>
        <w:rPr>
          <w:rFonts w:ascii="Times New Roman" w:hAnsi="Times New Roman" w:cs="Times New Roman"/>
          <w:snapToGrid w:val="0"/>
          <w:lang w:val="lv-LV"/>
        </w:rPr>
        <w:t>papildu ieguvumus attiecībā uz dzīvsudraba emisiju kontroli;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e) alternatīvi pasākumi, lai samazinātu emisijas no at</w:t>
      </w:r>
      <w:r w:rsidR="00DA407C">
        <w:rPr>
          <w:rFonts w:ascii="Times New Roman" w:hAnsi="Times New Roman" w:cs="Times New Roman"/>
          <w:snapToGrid w:val="0"/>
          <w:lang w:val="lv-LV"/>
        </w:rPr>
        <w:t>bilstoš</w:t>
      </w:r>
      <w:r>
        <w:rPr>
          <w:rFonts w:ascii="Times New Roman" w:hAnsi="Times New Roman" w:cs="Times New Roman"/>
          <w:snapToGrid w:val="0"/>
          <w:lang w:val="lv-LV"/>
        </w:rPr>
        <w:t>ajiem avotiem.</w:t>
      </w:r>
    </w:p>
    <w:p w:rsidR="0060722E" w:rsidRDefault="0060722E">
      <w:pPr>
        <w:jc w:val="both"/>
        <w:rPr>
          <w:rFonts w:ascii="Times New Roman" w:hAnsi="Times New Roman" w:cs="Times New Roman"/>
          <w:snapToGrid w:val="0"/>
          <w:lang w:val="lv-LV"/>
        </w:rPr>
      </w:pPr>
    </w:p>
    <w:p w:rsidR="0060722E" w:rsidRPr="00872BD7" w:rsidRDefault="0060722E">
      <w:pPr>
        <w:jc w:val="both"/>
        <w:rPr>
          <w:rFonts w:ascii="Times New Roman" w:hAnsi="Times New Roman" w:cs="Times New Roman"/>
          <w:snapToGrid w:val="0"/>
          <w:lang w:val="lv-LV"/>
        </w:rPr>
      </w:pPr>
      <w:r w:rsidRPr="00872BD7">
        <w:rPr>
          <w:rFonts w:ascii="Times New Roman" w:hAnsi="Times New Roman" w:cs="Times New Roman"/>
          <w:snapToGrid w:val="0"/>
          <w:lang w:val="lv-LV"/>
        </w:rPr>
        <w:t>6. Puses var piemērot tos pašus pasākumus visiem at</w:t>
      </w:r>
      <w:r w:rsidR="00872BD7" w:rsidRPr="00872BD7">
        <w:rPr>
          <w:rFonts w:ascii="Times New Roman" w:hAnsi="Times New Roman" w:cs="Times New Roman"/>
          <w:snapToGrid w:val="0"/>
          <w:lang w:val="lv-LV"/>
        </w:rPr>
        <w:t>tiecīg</w:t>
      </w:r>
      <w:r w:rsidRPr="00872BD7">
        <w:rPr>
          <w:rFonts w:ascii="Times New Roman" w:hAnsi="Times New Roman" w:cs="Times New Roman"/>
          <w:snapToGrid w:val="0"/>
          <w:lang w:val="lv-LV"/>
        </w:rPr>
        <w:t xml:space="preserve">ajiem </w:t>
      </w:r>
      <w:r w:rsidR="00862D25">
        <w:rPr>
          <w:rFonts w:ascii="Times New Roman" w:hAnsi="Times New Roman" w:cs="Times New Roman"/>
          <w:snapToGrid w:val="0"/>
          <w:lang w:val="lv-LV"/>
        </w:rPr>
        <w:t>es</w:t>
      </w:r>
      <w:r w:rsidRPr="00872BD7">
        <w:rPr>
          <w:rFonts w:ascii="Times New Roman" w:hAnsi="Times New Roman" w:cs="Times New Roman"/>
          <w:snapToGrid w:val="0"/>
          <w:lang w:val="lv-LV"/>
        </w:rPr>
        <w:t>ošajiem avotiem vai pieņemt citus pasākumus attiecībā uz atšķirīgām avotu kategorijām. Mērķis ir, lai ar puses piemērotajiem pasākumiem varētu panākt pieņemamu progresu attiecībā uz emisiju samazināšanu laika gaitā.</w:t>
      </w:r>
    </w:p>
    <w:p w:rsidR="0060722E" w:rsidRPr="007B097B" w:rsidRDefault="0060722E">
      <w:pPr>
        <w:jc w:val="both"/>
        <w:rPr>
          <w:rFonts w:ascii="Times New Roman" w:hAnsi="Times New Roman" w:cs="Times New Roman"/>
          <w:snapToGrid w:val="0"/>
          <w:highlight w:val="green"/>
          <w:lang w:val="lv-LV"/>
        </w:rPr>
      </w:pPr>
    </w:p>
    <w:p w:rsidR="0060722E" w:rsidRDefault="0060722E">
      <w:pPr>
        <w:jc w:val="both"/>
        <w:rPr>
          <w:rFonts w:ascii="Times New Roman" w:hAnsi="Times New Roman" w:cs="Times New Roman"/>
          <w:snapToGrid w:val="0"/>
          <w:lang w:val="lv-LV"/>
        </w:rPr>
      </w:pPr>
      <w:r w:rsidRPr="00872BD7">
        <w:rPr>
          <w:rFonts w:ascii="Times New Roman" w:hAnsi="Times New Roman" w:cs="Times New Roman"/>
          <w:snapToGrid w:val="0"/>
          <w:lang w:val="lv-LV"/>
        </w:rPr>
        <w:t xml:space="preserve">7. </w:t>
      </w:r>
      <w:r w:rsidR="00872BD7" w:rsidRPr="00872BD7">
        <w:rPr>
          <w:rFonts w:ascii="Times New Roman" w:hAnsi="Times New Roman" w:cs="Times New Roman"/>
          <w:snapToGrid w:val="0"/>
          <w:lang w:val="lv-LV"/>
        </w:rPr>
        <w:t>Ikviena puse</w:t>
      </w:r>
      <w:r w:rsidR="00EC70C7">
        <w:rPr>
          <w:rFonts w:ascii="Times New Roman" w:hAnsi="Times New Roman" w:cs="Times New Roman"/>
          <w:snapToGrid w:val="0"/>
          <w:lang w:val="lv-LV"/>
        </w:rPr>
        <w:t>,</w:t>
      </w:r>
      <w:r w:rsidR="00872BD7" w:rsidRPr="00872BD7">
        <w:rPr>
          <w:rFonts w:ascii="Times New Roman" w:hAnsi="Times New Roman" w:cs="Times New Roman"/>
          <w:snapToGrid w:val="0"/>
          <w:lang w:val="lv-LV"/>
        </w:rPr>
        <w:t xml:space="preserve"> </w:t>
      </w:r>
      <w:r w:rsidR="00EC70C7">
        <w:rPr>
          <w:rFonts w:ascii="Times New Roman" w:hAnsi="Times New Roman" w:cs="Times New Roman"/>
          <w:snapToGrid w:val="0"/>
          <w:lang w:val="lv-LV"/>
        </w:rPr>
        <w:t>cik vien drīz tas ir praktiski iespējams</w:t>
      </w:r>
      <w:r w:rsidR="00EC70C7" w:rsidRPr="00872BD7">
        <w:rPr>
          <w:rFonts w:ascii="Times New Roman" w:hAnsi="Times New Roman" w:cs="Times New Roman"/>
          <w:snapToGrid w:val="0"/>
          <w:lang w:val="lv-LV"/>
        </w:rPr>
        <w:t xml:space="preserve"> </w:t>
      </w:r>
      <w:r w:rsidRPr="00872BD7">
        <w:rPr>
          <w:rFonts w:ascii="Times New Roman" w:hAnsi="Times New Roman" w:cs="Times New Roman"/>
          <w:snapToGrid w:val="0"/>
          <w:lang w:val="lv-LV"/>
        </w:rPr>
        <w:t>un ne vēlāk kā p</w:t>
      </w:r>
      <w:r w:rsidR="00872BD7" w:rsidRPr="00872BD7">
        <w:rPr>
          <w:rFonts w:ascii="Times New Roman" w:hAnsi="Times New Roman" w:cs="Times New Roman"/>
          <w:snapToGrid w:val="0"/>
          <w:lang w:val="lv-LV"/>
        </w:rPr>
        <w:t>iecu gadu laikā, skaitot no</w:t>
      </w:r>
      <w:r w:rsidRPr="00872BD7">
        <w:rPr>
          <w:rFonts w:ascii="Times New Roman" w:hAnsi="Times New Roman" w:cs="Times New Roman"/>
          <w:snapToGrid w:val="0"/>
          <w:lang w:val="lv-LV"/>
        </w:rPr>
        <w:t xml:space="preserve"> d</w:t>
      </w:r>
      <w:r w:rsidR="00872BD7" w:rsidRPr="00872BD7">
        <w:rPr>
          <w:rFonts w:ascii="Times New Roman" w:hAnsi="Times New Roman" w:cs="Times New Roman"/>
          <w:snapToGrid w:val="0"/>
          <w:lang w:val="lv-LV"/>
        </w:rPr>
        <w:t>atuma, kurā</w:t>
      </w:r>
      <w:r w:rsidRPr="00872BD7">
        <w:rPr>
          <w:rFonts w:ascii="Times New Roman" w:hAnsi="Times New Roman" w:cs="Times New Roman"/>
          <w:snapToGrid w:val="0"/>
          <w:lang w:val="lv-LV"/>
        </w:rPr>
        <w:t xml:space="preserve"> attiecībā uz konkrēto pu</w:t>
      </w:r>
      <w:r w:rsidR="00872BD7" w:rsidRPr="00872BD7">
        <w:rPr>
          <w:rFonts w:ascii="Times New Roman" w:hAnsi="Times New Roman" w:cs="Times New Roman"/>
          <w:snapToGrid w:val="0"/>
          <w:lang w:val="lv-LV"/>
        </w:rPr>
        <w:t xml:space="preserve">si stājās spēkā šī konvencija, uzsāk </w:t>
      </w:r>
      <w:r w:rsidRPr="00872BD7">
        <w:rPr>
          <w:rFonts w:ascii="Times New Roman" w:hAnsi="Times New Roman" w:cs="Times New Roman"/>
          <w:snapToGrid w:val="0"/>
          <w:lang w:val="lv-LV"/>
        </w:rPr>
        <w:t>emisiju no at</w:t>
      </w:r>
      <w:r w:rsidR="00DA407C">
        <w:rPr>
          <w:rFonts w:ascii="Times New Roman" w:hAnsi="Times New Roman" w:cs="Times New Roman"/>
          <w:snapToGrid w:val="0"/>
          <w:lang w:val="lv-LV"/>
        </w:rPr>
        <w:t>bilstoš</w:t>
      </w:r>
      <w:r w:rsidRPr="00872BD7">
        <w:rPr>
          <w:rFonts w:ascii="Times New Roman" w:hAnsi="Times New Roman" w:cs="Times New Roman"/>
          <w:snapToGrid w:val="0"/>
          <w:lang w:val="lv-LV"/>
        </w:rPr>
        <w:t>ajiem avotiem</w:t>
      </w:r>
      <w:r w:rsidR="000F6E3B">
        <w:rPr>
          <w:rFonts w:ascii="Times New Roman" w:hAnsi="Times New Roman" w:cs="Times New Roman"/>
          <w:snapToGrid w:val="0"/>
          <w:lang w:val="lv-LV"/>
        </w:rPr>
        <w:t xml:space="preserve"> uzskaiti un pēc tam šo uzskaiti</w:t>
      </w:r>
      <w:r w:rsidR="00872BD7" w:rsidRPr="00872BD7">
        <w:rPr>
          <w:rFonts w:ascii="Times New Roman" w:hAnsi="Times New Roman" w:cs="Times New Roman"/>
          <w:snapToGrid w:val="0"/>
          <w:lang w:val="lv-LV"/>
        </w:rPr>
        <w:t xml:space="preserve"> turpina</w:t>
      </w:r>
      <w:r w:rsidR="000F6E3B">
        <w:rPr>
          <w:rFonts w:ascii="Times New Roman" w:hAnsi="Times New Roman" w:cs="Times New Roman"/>
          <w:snapToGrid w:val="0"/>
          <w:lang w:val="lv-LV"/>
        </w:rPr>
        <w:t xml:space="preserve"> uzturēt</w:t>
      </w:r>
      <w:r w:rsidRPr="00872BD7">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8. Pušu konference savā pirmajā sanāksmē pieņem norādījumus attiecībā uz</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lab</w:t>
      </w:r>
      <w:r w:rsidR="00F32658">
        <w:rPr>
          <w:rFonts w:ascii="Times New Roman" w:hAnsi="Times New Roman" w:cs="Times New Roman"/>
          <w:snapToGrid w:val="0"/>
          <w:lang w:val="lv-LV"/>
        </w:rPr>
        <w:t>ākajiem pieejamajie</w:t>
      </w:r>
      <w:r>
        <w:rPr>
          <w:rFonts w:ascii="Times New Roman" w:hAnsi="Times New Roman" w:cs="Times New Roman"/>
          <w:snapToGrid w:val="0"/>
          <w:lang w:val="lv-LV"/>
        </w:rPr>
        <w:t xml:space="preserve">m </w:t>
      </w:r>
      <w:r w:rsidR="00F32658">
        <w:rPr>
          <w:rFonts w:ascii="Times New Roman" w:hAnsi="Times New Roman" w:cs="Times New Roman"/>
          <w:snapToGrid w:val="0"/>
          <w:lang w:val="lv-LV"/>
        </w:rPr>
        <w:t>tehniskajie</w:t>
      </w:r>
      <w:r>
        <w:rPr>
          <w:rFonts w:ascii="Times New Roman" w:hAnsi="Times New Roman" w:cs="Times New Roman"/>
          <w:snapToGrid w:val="0"/>
          <w:lang w:val="lv-LV"/>
        </w:rPr>
        <w:t xml:space="preserve">m </w:t>
      </w:r>
      <w:r w:rsidR="00F32658">
        <w:rPr>
          <w:rFonts w:ascii="Times New Roman" w:hAnsi="Times New Roman" w:cs="Times New Roman"/>
          <w:snapToGrid w:val="0"/>
          <w:lang w:val="lv-LV"/>
        </w:rPr>
        <w:t xml:space="preserve">paņēmieniem </w:t>
      </w:r>
      <w:r>
        <w:rPr>
          <w:rFonts w:ascii="Times New Roman" w:hAnsi="Times New Roman" w:cs="Times New Roman"/>
          <w:snapToGrid w:val="0"/>
          <w:lang w:val="lv-LV"/>
        </w:rPr>
        <w:t xml:space="preserve">un labāko </w:t>
      </w:r>
      <w:r w:rsidR="00AC7453">
        <w:rPr>
          <w:rFonts w:ascii="Times New Roman" w:hAnsi="Times New Roman" w:cs="Times New Roman"/>
          <w:snapToGrid w:val="0"/>
          <w:lang w:val="lv-LV"/>
        </w:rPr>
        <w:t xml:space="preserve">vides </w:t>
      </w:r>
      <w:r>
        <w:rPr>
          <w:rFonts w:ascii="Times New Roman" w:hAnsi="Times New Roman" w:cs="Times New Roman"/>
          <w:snapToGrid w:val="0"/>
          <w:lang w:val="lv-LV"/>
        </w:rPr>
        <w:t xml:space="preserve">praksi, ņemot vērā </w:t>
      </w:r>
      <w:r w:rsidR="00872BD7">
        <w:rPr>
          <w:rFonts w:ascii="Times New Roman" w:hAnsi="Times New Roman" w:cs="Times New Roman"/>
          <w:snapToGrid w:val="0"/>
          <w:lang w:val="lv-LV"/>
        </w:rPr>
        <w:t>vis</w:t>
      </w:r>
      <w:r>
        <w:rPr>
          <w:rFonts w:ascii="Times New Roman" w:hAnsi="Times New Roman" w:cs="Times New Roman"/>
          <w:snapToGrid w:val="0"/>
          <w:lang w:val="lv-LV"/>
        </w:rPr>
        <w:t xml:space="preserve">as atšķirības starp jauniem un </w:t>
      </w:r>
      <w:r w:rsidR="00862D25">
        <w:rPr>
          <w:rFonts w:ascii="Times New Roman" w:hAnsi="Times New Roman" w:cs="Times New Roman"/>
          <w:snapToGrid w:val="0"/>
          <w:lang w:val="lv-LV"/>
        </w:rPr>
        <w:t>es</w:t>
      </w:r>
      <w:r>
        <w:rPr>
          <w:rFonts w:ascii="Times New Roman" w:hAnsi="Times New Roman" w:cs="Times New Roman"/>
          <w:snapToGrid w:val="0"/>
          <w:lang w:val="lv-LV"/>
        </w:rPr>
        <w:t>ošiem avotiem un nepieciešamību līdz minimumam samazināt mijiedarbību ar vides faktoriem,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pusēm sniegto atbalstu 5. punktā minēto pasākumu īstenošanai, </w:t>
      </w:r>
      <w:r w:rsidR="00872BD7">
        <w:rPr>
          <w:rFonts w:ascii="Times New Roman" w:hAnsi="Times New Roman" w:cs="Times New Roman"/>
          <w:snapToGrid w:val="0"/>
          <w:lang w:val="lv-LV"/>
        </w:rPr>
        <w:t xml:space="preserve">it īpaši </w:t>
      </w:r>
      <w:r>
        <w:rPr>
          <w:rFonts w:ascii="Times New Roman" w:hAnsi="Times New Roman" w:cs="Times New Roman"/>
          <w:snapToGrid w:val="0"/>
          <w:lang w:val="lv-LV"/>
        </w:rPr>
        <w:t xml:space="preserve">attiecībā uz mērķu </w:t>
      </w:r>
      <w:r w:rsidR="00872BD7">
        <w:rPr>
          <w:rFonts w:ascii="Times New Roman" w:hAnsi="Times New Roman" w:cs="Times New Roman"/>
          <w:snapToGrid w:val="0"/>
          <w:lang w:val="lv-LV"/>
        </w:rPr>
        <w:t>izvirzī</w:t>
      </w:r>
      <w:r>
        <w:rPr>
          <w:rFonts w:ascii="Times New Roman" w:hAnsi="Times New Roman" w:cs="Times New Roman"/>
          <w:snapToGrid w:val="0"/>
          <w:lang w:val="lv-LV"/>
        </w:rPr>
        <w:t>šanu un emisiju robežvērtību noteikšanu.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9. Pušu konference</w:t>
      </w:r>
      <w:r w:rsidR="00EC70C7">
        <w:rPr>
          <w:rFonts w:ascii="Times New Roman" w:hAnsi="Times New Roman" w:cs="Times New Roman"/>
          <w:snapToGrid w:val="0"/>
          <w:lang w:val="lv-LV"/>
        </w:rPr>
        <w:t>,</w:t>
      </w:r>
      <w:r>
        <w:rPr>
          <w:rFonts w:ascii="Times New Roman" w:hAnsi="Times New Roman" w:cs="Times New Roman"/>
          <w:snapToGrid w:val="0"/>
          <w:lang w:val="lv-LV"/>
        </w:rPr>
        <w:t xml:space="preserve"> </w:t>
      </w:r>
      <w:r w:rsidR="00EC70C7">
        <w:rPr>
          <w:rFonts w:ascii="Times New Roman" w:hAnsi="Times New Roman" w:cs="Times New Roman"/>
          <w:snapToGrid w:val="0"/>
          <w:lang w:val="lv-LV"/>
        </w:rPr>
        <w:t xml:space="preserve">cik vien drīz tas ir praktiski iespējams, </w:t>
      </w:r>
      <w:r>
        <w:rPr>
          <w:rFonts w:ascii="Times New Roman" w:hAnsi="Times New Roman" w:cs="Times New Roman"/>
          <w:snapToGrid w:val="0"/>
          <w:lang w:val="lv-LV"/>
        </w:rPr>
        <w:t>pieņem norādījumus attiecībā uz</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k</w:t>
      </w:r>
      <w:r w:rsidR="00872BD7">
        <w:rPr>
          <w:rFonts w:ascii="Times New Roman" w:hAnsi="Times New Roman" w:cs="Times New Roman"/>
          <w:snapToGrid w:val="0"/>
          <w:lang w:val="lv-LV"/>
        </w:rPr>
        <w:t>ritērijiem, kurus</w:t>
      </w:r>
      <w:r>
        <w:rPr>
          <w:rFonts w:ascii="Times New Roman" w:hAnsi="Times New Roman" w:cs="Times New Roman"/>
          <w:snapToGrid w:val="0"/>
          <w:lang w:val="lv-LV"/>
        </w:rPr>
        <w:t xml:space="preserve"> puses izstrādā saskaņā ar 2. punkta b) apakšpunktu;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emisiju uzskaites sagatavošanas metodēm.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10. Pušu konference pārskata un, ja nepieciešams, koriģē norādījumus, kuri izstrādāti saskaņā ar 8. un 9. punktu. Īstenojot atbilstošos šā panta noteikumus, puses ņem vērā minētos norādījumus.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12" w:name="bookmark12"/>
      <w:r>
        <w:rPr>
          <w:rFonts w:ascii="Times New Roman" w:hAnsi="Times New Roman" w:cs="Times New Roman"/>
          <w:snapToGrid w:val="0"/>
          <w:lang w:val="lv-LV"/>
        </w:rPr>
        <w:t xml:space="preserve">11. Ikviena puse informāciju par šā panta īstenošanu </w:t>
      </w:r>
      <w:r w:rsidR="00872BD7">
        <w:rPr>
          <w:rFonts w:ascii="Times New Roman" w:hAnsi="Times New Roman" w:cs="Times New Roman"/>
          <w:snapToGrid w:val="0"/>
          <w:lang w:val="lv-LV"/>
        </w:rPr>
        <w:t xml:space="preserve">iekļauj </w:t>
      </w:r>
      <w:r>
        <w:rPr>
          <w:rFonts w:ascii="Times New Roman" w:hAnsi="Times New Roman" w:cs="Times New Roman"/>
          <w:snapToGrid w:val="0"/>
          <w:lang w:val="lv-LV"/>
        </w:rPr>
        <w:t xml:space="preserve">savos ziņojumos, ko tā iesniedz saskaņā ar 21. pantu, </w:t>
      </w:r>
      <w:r w:rsidR="00872BD7">
        <w:rPr>
          <w:rFonts w:ascii="Times New Roman" w:hAnsi="Times New Roman" w:cs="Times New Roman"/>
          <w:snapToGrid w:val="0"/>
          <w:lang w:val="lv-LV"/>
        </w:rPr>
        <w:t xml:space="preserve">it īpaši </w:t>
      </w:r>
      <w:r>
        <w:rPr>
          <w:rFonts w:ascii="Times New Roman" w:hAnsi="Times New Roman" w:cs="Times New Roman"/>
          <w:snapToGrid w:val="0"/>
          <w:lang w:val="lv-LV"/>
        </w:rPr>
        <w:t>informāciju saistībā ar pasākumiem, kurus tā ir veikusi saskaņā ar 4.–7. pantu, un šo pasākumu efektivitāti.</w:t>
      </w:r>
    </w:p>
    <w:bookmarkEnd w:id="12"/>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9.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Noplūdes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 </w:t>
      </w:r>
      <w:r w:rsidR="00EA7BCA">
        <w:rPr>
          <w:rFonts w:ascii="Times New Roman" w:hAnsi="Times New Roman" w:cs="Times New Roman"/>
          <w:snapToGrid w:val="0"/>
          <w:lang w:val="lv-LV"/>
        </w:rPr>
        <w:t xml:space="preserve">Šajā pantā </w:t>
      </w:r>
      <w:r>
        <w:rPr>
          <w:rFonts w:ascii="Times New Roman" w:hAnsi="Times New Roman" w:cs="Times New Roman"/>
          <w:snapToGrid w:val="0"/>
          <w:lang w:val="lv-LV"/>
        </w:rPr>
        <w:t xml:space="preserve">runa </w:t>
      </w:r>
      <w:r w:rsidR="00EA7BCA">
        <w:rPr>
          <w:rFonts w:ascii="Times New Roman" w:hAnsi="Times New Roman" w:cs="Times New Roman"/>
          <w:snapToGrid w:val="0"/>
          <w:lang w:val="lv-LV"/>
        </w:rPr>
        <w:t xml:space="preserve">ir </w:t>
      </w:r>
      <w:r>
        <w:rPr>
          <w:rFonts w:ascii="Times New Roman" w:hAnsi="Times New Roman" w:cs="Times New Roman"/>
          <w:snapToGrid w:val="0"/>
          <w:lang w:val="lv-LV"/>
        </w:rPr>
        <w:t xml:space="preserve">par dzīvsudraba un </w:t>
      </w:r>
      <w:r w:rsidR="00EA7BCA">
        <w:rPr>
          <w:rFonts w:ascii="Times New Roman" w:hAnsi="Times New Roman" w:cs="Times New Roman"/>
          <w:snapToGrid w:val="0"/>
          <w:lang w:val="lv-LV"/>
        </w:rPr>
        <w:t xml:space="preserve">tādu </w:t>
      </w:r>
      <w:r>
        <w:rPr>
          <w:rFonts w:ascii="Times New Roman" w:hAnsi="Times New Roman" w:cs="Times New Roman"/>
          <w:snapToGrid w:val="0"/>
          <w:lang w:val="lv-LV"/>
        </w:rPr>
        <w:t>dzīvsudraba savienojumu</w:t>
      </w:r>
      <w:r w:rsidR="00EA7BCA" w:rsidRPr="00EA7BCA">
        <w:rPr>
          <w:rFonts w:ascii="Times New Roman" w:hAnsi="Times New Roman" w:cs="Times New Roman"/>
          <w:snapToGrid w:val="0"/>
          <w:lang w:val="lv-LV"/>
        </w:rPr>
        <w:t xml:space="preserve"> </w:t>
      </w:r>
      <w:r w:rsidR="00EA7BCA">
        <w:rPr>
          <w:rFonts w:ascii="Times New Roman" w:hAnsi="Times New Roman" w:cs="Times New Roman"/>
          <w:snapToGrid w:val="0"/>
          <w:lang w:val="lv-LV"/>
        </w:rPr>
        <w:t>noplūdes kontroli, kurus</w:t>
      </w:r>
      <w:r>
        <w:rPr>
          <w:rFonts w:ascii="Times New Roman" w:hAnsi="Times New Roman" w:cs="Times New Roman"/>
          <w:snapToGrid w:val="0"/>
          <w:lang w:val="lv-LV"/>
        </w:rPr>
        <w:t xml:space="preserve"> bieži izsaka </w:t>
      </w:r>
      <w:r w:rsidR="00EA7BCA">
        <w:rPr>
          <w:rFonts w:ascii="Times New Roman" w:hAnsi="Times New Roman" w:cs="Times New Roman"/>
          <w:snapToGrid w:val="0"/>
          <w:lang w:val="lv-LV"/>
        </w:rPr>
        <w:t>kā „kopējo dzīvsudrabu”</w:t>
      </w:r>
      <w:r>
        <w:rPr>
          <w:rFonts w:ascii="Times New Roman" w:hAnsi="Times New Roman" w:cs="Times New Roman"/>
          <w:snapToGrid w:val="0"/>
          <w:lang w:val="lv-LV"/>
        </w:rPr>
        <w:t xml:space="preserve">, un, ja iespējams, </w:t>
      </w:r>
      <w:r w:rsidR="00EA7BCA">
        <w:rPr>
          <w:rFonts w:ascii="Times New Roman" w:hAnsi="Times New Roman" w:cs="Times New Roman"/>
          <w:snapToGrid w:val="0"/>
          <w:lang w:val="lv-LV"/>
        </w:rPr>
        <w:t xml:space="preserve">šīs noplūdes </w:t>
      </w:r>
      <w:r>
        <w:rPr>
          <w:rFonts w:ascii="Times New Roman" w:hAnsi="Times New Roman" w:cs="Times New Roman"/>
          <w:snapToGrid w:val="0"/>
          <w:lang w:val="lv-LV"/>
        </w:rPr>
        <w:t>samazināšanu uz zemes un ūdenī no at</w:t>
      </w:r>
      <w:r w:rsidR="00EA7BCA">
        <w:rPr>
          <w:rFonts w:ascii="Times New Roman" w:hAnsi="Times New Roman" w:cs="Times New Roman"/>
          <w:snapToGrid w:val="0"/>
          <w:lang w:val="lv-LV"/>
        </w:rPr>
        <w:t>tiecīgiem</w:t>
      </w:r>
      <w:r>
        <w:rPr>
          <w:rFonts w:ascii="Times New Roman" w:hAnsi="Times New Roman" w:cs="Times New Roman"/>
          <w:snapToGrid w:val="0"/>
          <w:lang w:val="lv-LV"/>
        </w:rPr>
        <w:t xml:space="preserve"> stacionārajiem avotiem, kuri nav minēti citos šīs konvencijas noteikumos.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Šajā pant</w:t>
      </w:r>
      <w:r w:rsidR="00EA7BCA">
        <w:rPr>
          <w:rFonts w:ascii="Times New Roman" w:hAnsi="Times New Roman" w:cs="Times New Roman"/>
          <w:snapToGrid w:val="0"/>
          <w:lang w:val="lv-LV"/>
        </w:rPr>
        <w:t>ā attiecīgie termini lietoti turpmāk minētajā nozīmē:</w:t>
      </w:r>
    </w:p>
    <w:p w:rsidR="0060722E" w:rsidRDefault="0060722E">
      <w:pPr>
        <w:jc w:val="both"/>
        <w:rPr>
          <w:rFonts w:ascii="Times New Roman" w:hAnsi="Times New Roman" w:cs="Times New Roman"/>
          <w:snapToGrid w:val="0"/>
          <w:lang w:val="lv-LV"/>
        </w:rPr>
      </w:pPr>
    </w:p>
    <w:p w:rsidR="0060722E" w:rsidRDefault="00EA7BCA">
      <w:pPr>
        <w:jc w:val="both"/>
        <w:rPr>
          <w:rFonts w:ascii="Times New Roman" w:hAnsi="Times New Roman" w:cs="Times New Roman"/>
          <w:snapToGrid w:val="0"/>
          <w:lang w:val="lv-LV"/>
        </w:rPr>
      </w:pPr>
      <w:r>
        <w:rPr>
          <w:rFonts w:ascii="Times New Roman" w:hAnsi="Times New Roman" w:cs="Times New Roman"/>
          <w:snapToGrid w:val="0"/>
          <w:lang w:val="lv-LV"/>
        </w:rPr>
        <w:t>a) „noplūdes”</w:t>
      </w:r>
      <w:r w:rsidR="0060722E">
        <w:rPr>
          <w:rFonts w:ascii="Times New Roman" w:hAnsi="Times New Roman" w:cs="Times New Roman"/>
          <w:snapToGrid w:val="0"/>
          <w:lang w:val="lv-LV"/>
        </w:rPr>
        <w:t xml:space="preserve"> ir dzīvsudraba vai dzīvsudraba savienojumu noplūdes uz zemes un ūdenī;</w:t>
      </w:r>
    </w:p>
    <w:p w:rsidR="0060722E" w:rsidRDefault="0060722E">
      <w:pPr>
        <w:jc w:val="both"/>
        <w:rPr>
          <w:rFonts w:ascii="Times New Roman" w:hAnsi="Times New Roman" w:cs="Times New Roman"/>
          <w:snapToGrid w:val="0"/>
          <w:lang w:val="lv-LV"/>
        </w:rPr>
      </w:pPr>
    </w:p>
    <w:p w:rsidR="0060722E" w:rsidRDefault="00EA7BCA">
      <w:pPr>
        <w:jc w:val="both"/>
        <w:rPr>
          <w:rFonts w:ascii="Times New Roman" w:hAnsi="Times New Roman" w:cs="Times New Roman"/>
          <w:snapToGrid w:val="0"/>
          <w:lang w:val="lv-LV"/>
        </w:rPr>
      </w:pPr>
      <w:r>
        <w:rPr>
          <w:rFonts w:ascii="Times New Roman" w:hAnsi="Times New Roman" w:cs="Times New Roman"/>
          <w:snapToGrid w:val="0"/>
          <w:lang w:val="lv-LV"/>
        </w:rPr>
        <w:t>b) „at</w:t>
      </w:r>
      <w:r w:rsidR="00DA407C">
        <w:rPr>
          <w:rFonts w:ascii="Times New Roman" w:hAnsi="Times New Roman" w:cs="Times New Roman"/>
          <w:snapToGrid w:val="0"/>
          <w:lang w:val="lv-LV"/>
        </w:rPr>
        <w:t>bilstoš</w:t>
      </w:r>
      <w:r>
        <w:rPr>
          <w:rFonts w:ascii="Times New Roman" w:hAnsi="Times New Roman" w:cs="Times New Roman"/>
          <w:snapToGrid w:val="0"/>
          <w:lang w:val="lv-LV"/>
        </w:rPr>
        <w:t>ais avots”</w:t>
      </w:r>
      <w:r w:rsidR="0060722E">
        <w:rPr>
          <w:rFonts w:ascii="Times New Roman" w:hAnsi="Times New Roman" w:cs="Times New Roman"/>
          <w:snapToGrid w:val="0"/>
          <w:lang w:val="lv-LV"/>
        </w:rPr>
        <w:t xml:space="preserve"> ir jebkurš nozīmīgs antropogēnas noplūdes </w:t>
      </w:r>
      <w:r w:rsidR="00883196">
        <w:rPr>
          <w:rFonts w:ascii="Times New Roman" w:hAnsi="Times New Roman" w:cs="Times New Roman"/>
          <w:snapToGrid w:val="0"/>
          <w:lang w:val="lv-LV"/>
        </w:rPr>
        <w:t xml:space="preserve">punktveida </w:t>
      </w:r>
      <w:r w:rsidR="0060722E">
        <w:rPr>
          <w:rFonts w:ascii="Times New Roman" w:hAnsi="Times New Roman" w:cs="Times New Roman"/>
          <w:snapToGrid w:val="0"/>
          <w:lang w:val="lv-LV"/>
        </w:rPr>
        <w:t>avots, kuru identificējusi puse un kurš nav minēts citos šīs konvencijas noteikumos;</w:t>
      </w:r>
    </w:p>
    <w:p w:rsidR="0060722E" w:rsidRDefault="0060722E">
      <w:pPr>
        <w:jc w:val="both"/>
        <w:rPr>
          <w:rFonts w:ascii="Times New Roman" w:hAnsi="Times New Roman" w:cs="Times New Roman"/>
          <w:snapToGrid w:val="0"/>
          <w:lang w:val="lv-LV"/>
        </w:rPr>
      </w:pPr>
    </w:p>
    <w:p w:rsidR="0060722E" w:rsidRDefault="00EA7BCA">
      <w:pPr>
        <w:jc w:val="both"/>
        <w:rPr>
          <w:rFonts w:ascii="Times New Roman" w:hAnsi="Times New Roman" w:cs="Times New Roman"/>
          <w:snapToGrid w:val="0"/>
          <w:lang w:val="lv-LV"/>
        </w:rPr>
      </w:pPr>
      <w:r>
        <w:rPr>
          <w:rFonts w:ascii="Times New Roman" w:hAnsi="Times New Roman" w:cs="Times New Roman"/>
          <w:snapToGrid w:val="0"/>
          <w:lang w:val="lv-LV"/>
        </w:rPr>
        <w:t>c) „jauns avots”</w:t>
      </w:r>
      <w:r w:rsidR="0060722E">
        <w:rPr>
          <w:rFonts w:ascii="Times New Roman" w:hAnsi="Times New Roman" w:cs="Times New Roman"/>
          <w:snapToGrid w:val="0"/>
          <w:lang w:val="lv-LV"/>
        </w:rPr>
        <w:t xml:space="preserve"> ir jebkurš at</w:t>
      </w:r>
      <w:r w:rsidR="00DA407C">
        <w:rPr>
          <w:rFonts w:ascii="Times New Roman" w:hAnsi="Times New Roman" w:cs="Times New Roman"/>
          <w:snapToGrid w:val="0"/>
          <w:lang w:val="lv-LV"/>
        </w:rPr>
        <w:t>bilstoš</w:t>
      </w:r>
      <w:r>
        <w:rPr>
          <w:rFonts w:ascii="Times New Roman" w:hAnsi="Times New Roman" w:cs="Times New Roman"/>
          <w:snapToGrid w:val="0"/>
          <w:lang w:val="lv-LV"/>
        </w:rPr>
        <w:t>ai</w:t>
      </w:r>
      <w:r w:rsidR="0060722E">
        <w:rPr>
          <w:rFonts w:ascii="Times New Roman" w:hAnsi="Times New Roman" w:cs="Times New Roman"/>
          <w:snapToGrid w:val="0"/>
          <w:lang w:val="lv-LV"/>
        </w:rPr>
        <w:t xml:space="preserve">s avots, kura būve vai </w:t>
      </w:r>
      <w:r>
        <w:rPr>
          <w:rFonts w:ascii="Times New Roman" w:hAnsi="Times New Roman" w:cs="Times New Roman"/>
          <w:snapToGrid w:val="0"/>
          <w:lang w:val="lv-LV"/>
        </w:rPr>
        <w:t>pārveide ir veikta vismaz viena gada laikā, skaitot</w:t>
      </w:r>
      <w:r w:rsidR="0060722E">
        <w:rPr>
          <w:rFonts w:ascii="Times New Roman" w:hAnsi="Times New Roman" w:cs="Times New Roman"/>
          <w:snapToGrid w:val="0"/>
          <w:lang w:val="lv-LV"/>
        </w:rPr>
        <w:t xml:space="preserve"> </w:t>
      </w:r>
      <w:r>
        <w:rPr>
          <w:rFonts w:ascii="Times New Roman" w:hAnsi="Times New Roman" w:cs="Times New Roman"/>
          <w:snapToGrid w:val="0"/>
          <w:lang w:val="lv-LV"/>
        </w:rPr>
        <w:t>no datuma, kurā</w:t>
      </w:r>
      <w:r w:rsidR="0060722E">
        <w:rPr>
          <w:rFonts w:ascii="Times New Roman" w:hAnsi="Times New Roman" w:cs="Times New Roman"/>
          <w:snapToGrid w:val="0"/>
          <w:lang w:val="lv-LV"/>
        </w:rPr>
        <w:t xml:space="preserve"> attiecībā uz konkrēto pusi stājās spēkā šī konvencija;</w:t>
      </w:r>
    </w:p>
    <w:p w:rsidR="0060722E" w:rsidRDefault="0060722E">
      <w:pPr>
        <w:jc w:val="both"/>
        <w:rPr>
          <w:rFonts w:ascii="Times New Roman" w:hAnsi="Times New Roman" w:cs="Times New Roman"/>
          <w:snapToGrid w:val="0"/>
          <w:lang w:val="lv-LV"/>
        </w:rPr>
      </w:pPr>
    </w:p>
    <w:p w:rsidR="0060722E" w:rsidRDefault="00EA7BCA">
      <w:pPr>
        <w:jc w:val="both"/>
        <w:rPr>
          <w:rFonts w:ascii="Times New Roman" w:hAnsi="Times New Roman" w:cs="Times New Roman"/>
          <w:snapToGrid w:val="0"/>
          <w:lang w:val="lv-LV"/>
        </w:rPr>
      </w:pPr>
      <w:r>
        <w:rPr>
          <w:rFonts w:ascii="Times New Roman" w:hAnsi="Times New Roman" w:cs="Times New Roman"/>
          <w:snapToGrid w:val="0"/>
          <w:lang w:val="lv-LV"/>
        </w:rPr>
        <w:t>d) „</w:t>
      </w:r>
      <w:r w:rsidR="0060722E">
        <w:rPr>
          <w:rFonts w:ascii="Times New Roman" w:hAnsi="Times New Roman" w:cs="Times New Roman"/>
          <w:snapToGrid w:val="0"/>
          <w:lang w:val="lv-LV"/>
        </w:rPr>
        <w:t xml:space="preserve">būtiska </w:t>
      </w:r>
      <w:r>
        <w:rPr>
          <w:rFonts w:ascii="Times New Roman" w:hAnsi="Times New Roman" w:cs="Times New Roman"/>
          <w:snapToGrid w:val="0"/>
          <w:lang w:val="lv-LV"/>
        </w:rPr>
        <w:t>pārveide”</w:t>
      </w:r>
      <w:r w:rsidR="0060722E">
        <w:rPr>
          <w:rFonts w:ascii="Times New Roman" w:hAnsi="Times New Roman" w:cs="Times New Roman"/>
          <w:snapToGrid w:val="0"/>
          <w:lang w:val="lv-LV"/>
        </w:rPr>
        <w:t xml:space="preserve"> ir at</w:t>
      </w:r>
      <w:r w:rsidR="00DA407C">
        <w:rPr>
          <w:rFonts w:ascii="Times New Roman" w:hAnsi="Times New Roman" w:cs="Times New Roman"/>
          <w:snapToGrid w:val="0"/>
          <w:lang w:val="lv-LV"/>
        </w:rPr>
        <w:t>bilstoš</w:t>
      </w:r>
      <w:r w:rsidR="0060722E">
        <w:rPr>
          <w:rFonts w:ascii="Times New Roman" w:hAnsi="Times New Roman" w:cs="Times New Roman"/>
          <w:snapToGrid w:val="0"/>
          <w:lang w:val="lv-LV"/>
        </w:rPr>
        <w:t>ā avota</w:t>
      </w:r>
      <w:r>
        <w:rPr>
          <w:rFonts w:ascii="Times New Roman" w:hAnsi="Times New Roman" w:cs="Times New Roman"/>
          <w:snapToGrid w:val="0"/>
          <w:lang w:val="lv-LV"/>
        </w:rPr>
        <w:t xml:space="preserve"> pārveide</w:t>
      </w:r>
      <w:r w:rsidR="0060722E">
        <w:rPr>
          <w:rFonts w:ascii="Times New Roman" w:hAnsi="Times New Roman" w:cs="Times New Roman"/>
          <w:snapToGrid w:val="0"/>
          <w:lang w:val="lv-LV"/>
        </w:rPr>
        <w:t xml:space="preserve">, kuras rezultātā būtiski palielinās noplūdes, izņemot jebkādas izmaiņas noplūdes apjomā, kas rodas no blakusproduktu atjaunošanas. Puses ziņā ir nolemt, vai šī </w:t>
      </w:r>
      <w:r>
        <w:rPr>
          <w:rFonts w:ascii="Times New Roman" w:hAnsi="Times New Roman" w:cs="Times New Roman"/>
          <w:snapToGrid w:val="0"/>
          <w:lang w:val="lv-LV"/>
        </w:rPr>
        <w:t xml:space="preserve">pārveide </w:t>
      </w:r>
      <w:r w:rsidR="0060722E">
        <w:rPr>
          <w:rFonts w:ascii="Times New Roman" w:hAnsi="Times New Roman" w:cs="Times New Roman"/>
          <w:snapToGrid w:val="0"/>
          <w:lang w:val="lv-LV"/>
        </w:rPr>
        <w:t>ir vai nav būtiska;</w:t>
      </w:r>
    </w:p>
    <w:p w:rsidR="0060722E" w:rsidRDefault="0060722E">
      <w:pPr>
        <w:jc w:val="both"/>
        <w:rPr>
          <w:rFonts w:ascii="Times New Roman" w:hAnsi="Times New Roman" w:cs="Times New Roman"/>
          <w:snapToGrid w:val="0"/>
          <w:lang w:val="lv-LV"/>
        </w:rPr>
      </w:pPr>
    </w:p>
    <w:p w:rsidR="0060722E" w:rsidRDefault="00EA7BCA">
      <w:pPr>
        <w:jc w:val="both"/>
        <w:rPr>
          <w:rFonts w:ascii="Times New Roman" w:hAnsi="Times New Roman" w:cs="Times New Roman"/>
          <w:snapToGrid w:val="0"/>
          <w:lang w:val="lv-LV"/>
        </w:rPr>
      </w:pPr>
      <w:r>
        <w:rPr>
          <w:rFonts w:ascii="Times New Roman" w:hAnsi="Times New Roman" w:cs="Times New Roman"/>
          <w:snapToGrid w:val="0"/>
          <w:lang w:val="lv-LV"/>
        </w:rPr>
        <w:t>e) „esošs avots”</w:t>
      </w:r>
      <w:r w:rsidR="0060722E">
        <w:rPr>
          <w:rFonts w:ascii="Times New Roman" w:hAnsi="Times New Roman" w:cs="Times New Roman"/>
          <w:snapToGrid w:val="0"/>
          <w:lang w:val="lv-LV"/>
        </w:rPr>
        <w:t xml:space="preserve"> ir jebkurš atbilstoš</w:t>
      </w:r>
      <w:r w:rsidR="00DA407C">
        <w:rPr>
          <w:rFonts w:ascii="Times New Roman" w:hAnsi="Times New Roman" w:cs="Times New Roman"/>
          <w:snapToGrid w:val="0"/>
          <w:lang w:val="lv-LV"/>
        </w:rPr>
        <w:t>ais avots, kas</w:t>
      </w:r>
      <w:r w:rsidR="0060722E">
        <w:rPr>
          <w:rFonts w:ascii="Times New Roman" w:hAnsi="Times New Roman" w:cs="Times New Roman"/>
          <w:snapToGrid w:val="0"/>
          <w:lang w:val="lv-LV"/>
        </w:rPr>
        <w:t xml:space="preserve"> nav jauns avots;</w:t>
      </w:r>
    </w:p>
    <w:p w:rsidR="0060722E" w:rsidRDefault="0060722E">
      <w:pPr>
        <w:jc w:val="both"/>
        <w:rPr>
          <w:rFonts w:ascii="Times New Roman" w:hAnsi="Times New Roman" w:cs="Times New Roman"/>
          <w:snapToGrid w:val="0"/>
          <w:lang w:val="lv-LV"/>
        </w:rPr>
      </w:pPr>
    </w:p>
    <w:p w:rsidR="0060722E" w:rsidRPr="00DA407C" w:rsidRDefault="00DA407C">
      <w:pPr>
        <w:jc w:val="both"/>
        <w:rPr>
          <w:rFonts w:ascii="Times New Roman" w:hAnsi="Times New Roman" w:cs="Times New Roman"/>
          <w:snapToGrid w:val="0"/>
          <w:lang w:val="lv-LV"/>
        </w:rPr>
      </w:pPr>
      <w:r w:rsidRPr="00DA407C">
        <w:rPr>
          <w:rFonts w:ascii="Times New Roman" w:hAnsi="Times New Roman" w:cs="Times New Roman"/>
          <w:snapToGrid w:val="0"/>
          <w:lang w:val="lv-LV"/>
        </w:rPr>
        <w:t>f) „noplūdes robežvērtība”</w:t>
      </w:r>
      <w:r w:rsidR="0060722E" w:rsidRPr="00DA407C">
        <w:rPr>
          <w:rFonts w:ascii="Times New Roman" w:hAnsi="Times New Roman" w:cs="Times New Roman"/>
          <w:snapToGrid w:val="0"/>
          <w:lang w:val="lv-LV"/>
        </w:rPr>
        <w:t xml:space="preserve"> ir noplūdes koncentrācijas vai masas ierobežojums attiecībā uz dzīvsudraba vai </w:t>
      </w:r>
      <w:r w:rsidRPr="00DA407C">
        <w:rPr>
          <w:rFonts w:ascii="Times New Roman" w:hAnsi="Times New Roman" w:cs="Times New Roman"/>
          <w:snapToGrid w:val="0"/>
          <w:lang w:val="lv-LV"/>
        </w:rPr>
        <w:t xml:space="preserve">tādu </w:t>
      </w:r>
      <w:r w:rsidR="0060722E" w:rsidRPr="00DA407C">
        <w:rPr>
          <w:rFonts w:ascii="Times New Roman" w:hAnsi="Times New Roman" w:cs="Times New Roman"/>
          <w:snapToGrid w:val="0"/>
          <w:lang w:val="lv-LV"/>
        </w:rPr>
        <w:t>dzīvsudraba savienojumu</w:t>
      </w:r>
      <w:r w:rsidRPr="00DA407C">
        <w:rPr>
          <w:rFonts w:ascii="Times New Roman" w:hAnsi="Times New Roman" w:cs="Times New Roman"/>
          <w:snapToGrid w:val="0"/>
          <w:lang w:val="lv-LV"/>
        </w:rPr>
        <w:t xml:space="preserve"> noplūdi no stacionāra avota, kurus bieži izsaka kā „</w:t>
      </w:r>
      <w:r w:rsidR="0060722E" w:rsidRPr="00DA407C">
        <w:rPr>
          <w:rFonts w:ascii="Times New Roman" w:hAnsi="Times New Roman" w:cs="Times New Roman"/>
          <w:snapToGrid w:val="0"/>
          <w:lang w:val="lv-LV"/>
        </w:rPr>
        <w:t>kopējo dzīvsudr</w:t>
      </w:r>
      <w:r w:rsidRPr="00DA407C">
        <w:rPr>
          <w:rFonts w:ascii="Times New Roman" w:hAnsi="Times New Roman" w:cs="Times New Roman"/>
          <w:snapToGrid w:val="0"/>
          <w:lang w:val="lv-LV"/>
        </w:rPr>
        <w:t>abu”</w:t>
      </w:r>
      <w:r w:rsidR="0060722E" w:rsidRPr="00DA407C">
        <w:rPr>
          <w:rFonts w:ascii="Times New Roman" w:hAnsi="Times New Roman" w:cs="Times New Roman"/>
          <w:snapToGrid w:val="0"/>
          <w:lang w:val="lv-LV"/>
        </w:rPr>
        <w:t>.</w:t>
      </w:r>
    </w:p>
    <w:p w:rsidR="0060722E" w:rsidRPr="00DA407C" w:rsidRDefault="0060722E">
      <w:pPr>
        <w:jc w:val="both"/>
        <w:rPr>
          <w:rFonts w:ascii="Times New Roman" w:hAnsi="Times New Roman" w:cs="Times New Roman"/>
          <w:snapToGrid w:val="0"/>
          <w:lang w:val="lv-LV"/>
        </w:rPr>
      </w:pPr>
    </w:p>
    <w:p w:rsidR="0060722E" w:rsidRPr="00DA407C" w:rsidRDefault="0060722E">
      <w:pPr>
        <w:jc w:val="both"/>
        <w:rPr>
          <w:rFonts w:ascii="Times New Roman" w:hAnsi="Times New Roman" w:cs="Times New Roman"/>
          <w:snapToGrid w:val="0"/>
          <w:lang w:val="lv-LV"/>
        </w:rPr>
      </w:pPr>
      <w:r w:rsidRPr="00DA407C">
        <w:rPr>
          <w:rFonts w:ascii="Times New Roman" w:hAnsi="Times New Roman" w:cs="Times New Roman"/>
          <w:snapToGrid w:val="0"/>
          <w:lang w:val="lv-LV"/>
        </w:rPr>
        <w:t>3. Ikviena puse ne vēlāk</w:t>
      </w:r>
      <w:r w:rsidR="00DA407C" w:rsidRPr="00DA407C">
        <w:rPr>
          <w:rFonts w:ascii="Times New Roman" w:hAnsi="Times New Roman" w:cs="Times New Roman"/>
          <w:snapToGrid w:val="0"/>
          <w:lang w:val="lv-LV"/>
        </w:rPr>
        <w:t xml:space="preserve"> kā trīs gadu laikā, skaitot</w:t>
      </w:r>
      <w:r w:rsidRPr="00DA407C">
        <w:rPr>
          <w:rFonts w:ascii="Times New Roman" w:hAnsi="Times New Roman" w:cs="Times New Roman"/>
          <w:snapToGrid w:val="0"/>
          <w:lang w:val="lv-LV"/>
        </w:rPr>
        <w:t xml:space="preserve"> </w:t>
      </w:r>
      <w:r w:rsidR="00DA407C" w:rsidRPr="00DA407C">
        <w:rPr>
          <w:rFonts w:ascii="Times New Roman" w:hAnsi="Times New Roman" w:cs="Times New Roman"/>
          <w:snapToGrid w:val="0"/>
          <w:lang w:val="lv-LV"/>
        </w:rPr>
        <w:t xml:space="preserve">no datuma, kurā </w:t>
      </w:r>
      <w:r w:rsidRPr="00DA407C">
        <w:rPr>
          <w:rFonts w:ascii="Times New Roman" w:hAnsi="Times New Roman" w:cs="Times New Roman"/>
          <w:snapToGrid w:val="0"/>
          <w:lang w:val="lv-LV"/>
        </w:rPr>
        <w:t>šī konvencija stājās spēkā attiecībā uz konkrēto pusi, un pēc tam regulāri norāda atbilstošās stacionāro avotu kategorijas.</w:t>
      </w:r>
    </w:p>
    <w:p w:rsidR="0060722E" w:rsidRPr="00DA407C"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DA407C">
        <w:rPr>
          <w:rFonts w:ascii="Times New Roman" w:hAnsi="Times New Roman" w:cs="Times New Roman"/>
          <w:snapToGrid w:val="0"/>
          <w:lang w:val="lv-LV"/>
        </w:rPr>
        <w:t xml:space="preserve">4. Puse, kurai ir atbilstoši avoti, veic noplūdes kontroles pasākumus un </w:t>
      </w:r>
      <w:r w:rsidR="000F6E3B">
        <w:rPr>
          <w:rFonts w:ascii="Times New Roman" w:hAnsi="Times New Roman" w:cs="Times New Roman"/>
          <w:snapToGrid w:val="0"/>
          <w:lang w:val="lv-LV"/>
        </w:rPr>
        <w:t xml:space="preserve">var </w:t>
      </w:r>
      <w:r w:rsidRPr="00DA407C">
        <w:rPr>
          <w:rFonts w:ascii="Times New Roman" w:hAnsi="Times New Roman" w:cs="Times New Roman"/>
          <w:snapToGrid w:val="0"/>
          <w:lang w:val="lv-LV"/>
        </w:rPr>
        <w:t>sagatavo</w:t>
      </w:r>
      <w:r w:rsidR="000F6E3B">
        <w:rPr>
          <w:rFonts w:ascii="Times New Roman" w:hAnsi="Times New Roman" w:cs="Times New Roman"/>
          <w:snapToGrid w:val="0"/>
          <w:lang w:val="lv-LV"/>
        </w:rPr>
        <w:t>t</w:t>
      </w:r>
      <w:r w:rsidRPr="00DA407C">
        <w:rPr>
          <w:rFonts w:ascii="Times New Roman" w:hAnsi="Times New Roman" w:cs="Times New Roman"/>
          <w:snapToGrid w:val="0"/>
          <w:lang w:val="lv-LV"/>
        </w:rPr>
        <w:t xml:space="preserve"> valsts plānu, kurā norāda veicamos noplūdes kontroles pasākumus un tā paredzamos mērķus, uzdevumus un rezultātus. Ikviens </w:t>
      </w:r>
      <w:smartTag w:uri="schemas-tilde-lv/tildestengine" w:element="veidnes">
        <w:smartTagPr>
          <w:attr w:name="text" w:val="plāns"/>
          <w:attr w:name="baseform" w:val="plāns"/>
          <w:attr w:name="id" w:val="-1"/>
        </w:smartTagPr>
        <w:r w:rsidRPr="00DA407C">
          <w:rPr>
            <w:rFonts w:ascii="Times New Roman" w:hAnsi="Times New Roman" w:cs="Times New Roman"/>
            <w:snapToGrid w:val="0"/>
            <w:lang w:val="lv-LV"/>
          </w:rPr>
          <w:t>plāns</w:t>
        </w:r>
      </w:smartTag>
      <w:r w:rsidRPr="00DA407C">
        <w:rPr>
          <w:rFonts w:ascii="Times New Roman" w:hAnsi="Times New Roman" w:cs="Times New Roman"/>
          <w:snapToGrid w:val="0"/>
          <w:lang w:val="lv-LV"/>
        </w:rPr>
        <w:t xml:space="preserve"> tiek iesniegts pušu konferencei četru gadu laikā</w:t>
      </w:r>
      <w:r w:rsidR="00DA407C" w:rsidRPr="00DA407C">
        <w:rPr>
          <w:rFonts w:ascii="Times New Roman" w:hAnsi="Times New Roman" w:cs="Times New Roman"/>
          <w:snapToGrid w:val="0"/>
          <w:lang w:val="lv-LV"/>
        </w:rPr>
        <w:t>, skaitot no</w:t>
      </w:r>
      <w:r w:rsidRPr="00DA407C">
        <w:rPr>
          <w:rFonts w:ascii="Times New Roman" w:hAnsi="Times New Roman" w:cs="Times New Roman"/>
          <w:snapToGrid w:val="0"/>
          <w:lang w:val="lv-LV"/>
        </w:rPr>
        <w:t xml:space="preserve"> </w:t>
      </w:r>
      <w:r w:rsidR="00DA407C" w:rsidRPr="00DA407C">
        <w:rPr>
          <w:rFonts w:ascii="Times New Roman" w:hAnsi="Times New Roman" w:cs="Times New Roman"/>
          <w:snapToGrid w:val="0"/>
          <w:lang w:val="lv-LV"/>
        </w:rPr>
        <w:t>datuma, kurā</w:t>
      </w:r>
      <w:r w:rsidRPr="00DA407C">
        <w:rPr>
          <w:rFonts w:ascii="Times New Roman" w:hAnsi="Times New Roman" w:cs="Times New Roman"/>
          <w:snapToGrid w:val="0"/>
          <w:lang w:val="lv-LV"/>
        </w:rPr>
        <w:t xml:space="preserve"> konvencija stājusies spēkā attiecībā uz konkrēto pusi. Ja puse izstrādā īstenošanas plānu saskaņā ar 20. pantu, tad attiecīgā puse šajā plānā </w:t>
      </w:r>
      <w:r w:rsidR="00DA407C" w:rsidRPr="00DA407C">
        <w:rPr>
          <w:rFonts w:ascii="Times New Roman" w:hAnsi="Times New Roman" w:cs="Times New Roman"/>
          <w:snapToGrid w:val="0"/>
          <w:lang w:val="lv-LV"/>
        </w:rPr>
        <w:t xml:space="preserve">var </w:t>
      </w:r>
      <w:r w:rsidRPr="00DA407C">
        <w:rPr>
          <w:rFonts w:ascii="Times New Roman" w:hAnsi="Times New Roman" w:cs="Times New Roman"/>
          <w:snapToGrid w:val="0"/>
          <w:lang w:val="lv-LV"/>
        </w:rPr>
        <w:t>ietvert saskaņā ar šo punktu sagatavoto plānu.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5. Pasākumi var ietvert vienu vai vairākus no turpmāk minētajiem pasākumiem: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a) noplūdes robežvērtības attiecībā uz atbilstošo avotu noplūdes kontroli un, ja iespējams, samazināšanu;</w:t>
      </w:r>
    </w:p>
    <w:p w:rsidR="0060722E" w:rsidRDefault="0060722E">
      <w:pPr>
        <w:jc w:val="both"/>
        <w:rPr>
          <w:rFonts w:ascii="Times New Roman" w:hAnsi="Times New Roman" w:cs="Times New Roman"/>
          <w:snapToGrid w:val="0"/>
          <w:lang w:val="lv-LV"/>
        </w:rPr>
      </w:pPr>
    </w:p>
    <w:p w:rsidR="0060722E" w:rsidRDefault="00DA407C">
      <w:pPr>
        <w:jc w:val="both"/>
        <w:rPr>
          <w:rFonts w:ascii="Times New Roman" w:hAnsi="Times New Roman" w:cs="Times New Roman"/>
          <w:snapToGrid w:val="0"/>
          <w:lang w:val="lv-LV"/>
        </w:rPr>
      </w:pPr>
      <w:r>
        <w:rPr>
          <w:rFonts w:ascii="Times New Roman" w:hAnsi="Times New Roman" w:cs="Times New Roman"/>
          <w:snapToGrid w:val="0"/>
          <w:lang w:val="lv-LV"/>
        </w:rPr>
        <w:t>b</w:t>
      </w:r>
      <w:r w:rsidR="0060722E">
        <w:rPr>
          <w:rFonts w:ascii="Times New Roman" w:hAnsi="Times New Roman" w:cs="Times New Roman"/>
          <w:snapToGrid w:val="0"/>
          <w:lang w:val="lv-LV"/>
        </w:rPr>
        <w:t xml:space="preserve">) labāko pieejamo </w:t>
      </w:r>
      <w:r w:rsidR="00F32658">
        <w:rPr>
          <w:rFonts w:ascii="Times New Roman" w:hAnsi="Times New Roman" w:cs="Times New Roman"/>
          <w:snapToGrid w:val="0"/>
          <w:lang w:val="lv-LV"/>
        </w:rPr>
        <w:t xml:space="preserve">tehnisko paņēmienu </w:t>
      </w:r>
      <w:r w:rsidR="0060722E">
        <w:rPr>
          <w:rFonts w:ascii="Times New Roman" w:hAnsi="Times New Roman" w:cs="Times New Roman"/>
          <w:snapToGrid w:val="0"/>
          <w:lang w:val="lv-LV"/>
        </w:rPr>
        <w:t xml:space="preserve">un labākās </w:t>
      </w:r>
      <w:r w:rsidR="00AC7453">
        <w:rPr>
          <w:rFonts w:ascii="Times New Roman" w:hAnsi="Times New Roman" w:cs="Times New Roman"/>
          <w:snapToGrid w:val="0"/>
          <w:lang w:val="lv-LV"/>
        </w:rPr>
        <w:t xml:space="preserve">vides </w:t>
      </w:r>
      <w:r w:rsidR="0060722E">
        <w:rPr>
          <w:rFonts w:ascii="Times New Roman" w:hAnsi="Times New Roman" w:cs="Times New Roman"/>
          <w:snapToGrid w:val="0"/>
          <w:lang w:val="lv-LV"/>
        </w:rPr>
        <w:t>prakses izmantošana, lai kontrolētu noplūdes no atbilstošiem avotiem;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w:t>
      </w:r>
      <w:r w:rsidR="00883196">
        <w:rPr>
          <w:rFonts w:ascii="Times New Roman" w:hAnsi="Times New Roman" w:cs="Times New Roman"/>
          <w:snapToGrid w:val="0"/>
          <w:lang w:val="lv-LV"/>
        </w:rPr>
        <w:t>vairāku piesārņojošo</w:t>
      </w:r>
      <w:r>
        <w:rPr>
          <w:rFonts w:ascii="Times New Roman" w:hAnsi="Times New Roman" w:cs="Times New Roman"/>
          <w:snapToGrid w:val="0"/>
          <w:lang w:val="lv-LV"/>
        </w:rPr>
        <w:t xml:space="preserve"> vielu kontroles stratēģija, kas </w:t>
      </w:r>
      <w:r w:rsidR="00CA1EF8">
        <w:rPr>
          <w:rFonts w:ascii="Times New Roman" w:hAnsi="Times New Roman" w:cs="Times New Roman"/>
          <w:snapToGrid w:val="0"/>
          <w:lang w:val="lv-LV"/>
        </w:rPr>
        <w:t xml:space="preserve">sniedz </w:t>
      </w:r>
      <w:r>
        <w:rPr>
          <w:rFonts w:ascii="Times New Roman" w:hAnsi="Times New Roman" w:cs="Times New Roman"/>
          <w:snapToGrid w:val="0"/>
          <w:lang w:val="lv-LV"/>
        </w:rPr>
        <w:t>papildu ieguvumus attiecībā uz dzīvsudraba noplūdes kontroli;</w:t>
      </w:r>
    </w:p>
    <w:p w:rsidR="0060722E" w:rsidRDefault="0060722E">
      <w:pPr>
        <w:jc w:val="both"/>
        <w:rPr>
          <w:rFonts w:ascii="Times New Roman" w:hAnsi="Times New Roman" w:cs="Times New Roman"/>
          <w:snapToGrid w:val="0"/>
          <w:lang w:val="lv-LV"/>
        </w:rPr>
      </w:pPr>
    </w:p>
    <w:p w:rsidR="0060722E" w:rsidRDefault="007F60FC">
      <w:pPr>
        <w:jc w:val="both"/>
        <w:rPr>
          <w:rFonts w:ascii="Times New Roman" w:hAnsi="Times New Roman" w:cs="Times New Roman"/>
          <w:snapToGrid w:val="0"/>
          <w:lang w:val="lv-LV"/>
        </w:rPr>
      </w:pPr>
      <w:r>
        <w:rPr>
          <w:rFonts w:ascii="Times New Roman" w:hAnsi="Times New Roman" w:cs="Times New Roman"/>
          <w:snapToGrid w:val="0"/>
          <w:lang w:val="lv-LV"/>
        </w:rPr>
        <w:t>d</w:t>
      </w:r>
      <w:r w:rsidR="0060722E">
        <w:rPr>
          <w:rFonts w:ascii="Times New Roman" w:hAnsi="Times New Roman" w:cs="Times New Roman"/>
          <w:snapToGrid w:val="0"/>
          <w:lang w:val="lv-LV"/>
        </w:rPr>
        <w:t>) alternatīvi pasākumi, lai samazinātu noplūdes no atbilstošajiem avotiem.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6. </w:t>
      </w:r>
      <w:r w:rsidR="007F60FC">
        <w:rPr>
          <w:rFonts w:ascii="Times New Roman" w:hAnsi="Times New Roman" w:cs="Times New Roman"/>
          <w:snapToGrid w:val="0"/>
          <w:lang w:val="lv-LV"/>
        </w:rPr>
        <w:t>Ikviena puse</w:t>
      </w:r>
      <w:r w:rsidR="00EC70C7">
        <w:rPr>
          <w:rFonts w:ascii="Times New Roman" w:hAnsi="Times New Roman" w:cs="Times New Roman"/>
          <w:snapToGrid w:val="0"/>
          <w:lang w:val="lv-LV"/>
        </w:rPr>
        <w:t>,</w:t>
      </w:r>
      <w:r w:rsidR="007F60FC">
        <w:rPr>
          <w:rFonts w:ascii="Times New Roman" w:hAnsi="Times New Roman" w:cs="Times New Roman"/>
          <w:snapToGrid w:val="0"/>
          <w:lang w:val="lv-LV"/>
        </w:rPr>
        <w:t xml:space="preserve"> </w:t>
      </w:r>
      <w:r w:rsidR="00EC70C7">
        <w:rPr>
          <w:rFonts w:ascii="Times New Roman" w:hAnsi="Times New Roman" w:cs="Times New Roman"/>
          <w:snapToGrid w:val="0"/>
          <w:lang w:val="lv-LV"/>
        </w:rPr>
        <w:t xml:space="preserve">cik vien drīz tas ir praktiski iespējams </w:t>
      </w:r>
      <w:r w:rsidR="007F60FC">
        <w:rPr>
          <w:rFonts w:ascii="Times New Roman" w:hAnsi="Times New Roman" w:cs="Times New Roman"/>
          <w:snapToGrid w:val="0"/>
          <w:lang w:val="lv-LV"/>
        </w:rPr>
        <w:t>un ne vēlāk kā piecu gadu laikā, skaitot</w:t>
      </w:r>
      <w:r>
        <w:rPr>
          <w:rFonts w:ascii="Times New Roman" w:hAnsi="Times New Roman" w:cs="Times New Roman"/>
          <w:snapToGrid w:val="0"/>
          <w:lang w:val="lv-LV"/>
        </w:rPr>
        <w:t xml:space="preserve"> </w:t>
      </w:r>
      <w:r w:rsidR="007F60FC">
        <w:rPr>
          <w:rFonts w:ascii="Times New Roman" w:hAnsi="Times New Roman" w:cs="Times New Roman"/>
          <w:snapToGrid w:val="0"/>
          <w:lang w:val="lv-LV"/>
        </w:rPr>
        <w:t>no datuma, kurā</w:t>
      </w:r>
      <w:r>
        <w:rPr>
          <w:rFonts w:ascii="Times New Roman" w:hAnsi="Times New Roman" w:cs="Times New Roman"/>
          <w:snapToGrid w:val="0"/>
          <w:lang w:val="lv-LV"/>
        </w:rPr>
        <w:t xml:space="preserve"> attiecībā uz konkrēto pusi stājās spēkā šī konvencija</w:t>
      </w:r>
      <w:r w:rsidR="007F60FC">
        <w:rPr>
          <w:rFonts w:ascii="Times New Roman" w:hAnsi="Times New Roman" w:cs="Times New Roman"/>
          <w:snapToGrid w:val="0"/>
          <w:lang w:val="lv-LV"/>
        </w:rPr>
        <w:t>,</w:t>
      </w:r>
      <w:r>
        <w:rPr>
          <w:rFonts w:ascii="Times New Roman" w:hAnsi="Times New Roman" w:cs="Times New Roman"/>
          <w:snapToGrid w:val="0"/>
          <w:lang w:val="lv-LV"/>
        </w:rPr>
        <w:t xml:space="preserve"> </w:t>
      </w:r>
      <w:r w:rsidR="007F60FC">
        <w:rPr>
          <w:rFonts w:ascii="Times New Roman" w:hAnsi="Times New Roman" w:cs="Times New Roman"/>
          <w:snapToGrid w:val="0"/>
          <w:lang w:val="lv-LV"/>
        </w:rPr>
        <w:t xml:space="preserve">uzsāk </w:t>
      </w:r>
      <w:r>
        <w:rPr>
          <w:rFonts w:ascii="Times New Roman" w:hAnsi="Times New Roman" w:cs="Times New Roman"/>
          <w:snapToGrid w:val="0"/>
          <w:lang w:val="lv-LV"/>
        </w:rPr>
        <w:t xml:space="preserve">un pēc tam </w:t>
      </w:r>
      <w:r w:rsidR="007F60FC">
        <w:rPr>
          <w:rFonts w:ascii="Times New Roman" w:hAnsi="Times New Roman" w:cs="Times New Roman"/>
          <w:snapToGrid w:val="0"/>
          <w:lang w:val="lv-LV"/>
        </w:rPr>
        <w:t xml:space="preserve">turpina </w:t>
      </w:r>
      <w:r>
        <w:rPr>
          <w:rFonts w:ascii="Times New Roman" w:hAnsi="Times New Roman" w:cs="Times New Roman"/>
          <w:snapToGrid w:val="0"/>
          <w:lang w:val="lv-LV"/>
        </w:rPr>
        <w:t>noplūdes no atbilstošajiem avotiem</w:t>
      </w:r>
      <w:r w:rsidR="007F60FC">
        <w:rPr>
          <w:rFonts w:ascii="Times New Roman" w:hAnsi="Times New Roman" w:cs="Times New Roman"/>
          <w:snapToGrid w:val="0"/>
          <w:lang w:val="lv-LV"/>
        </w:rPr>
        <w:t xml:space="preserve"> uzskaiti</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7. Pušu konference</w:t>
      </w:r>
      <w:r w:rsidR="00EC70C7">
        <w:rPr>
          <w:rFonts w:ascii="Times New Roman" w:hAnsi="Times New Roman" w:cs="Times New Roman"/>
          <w:snapToGrid w:val="0"/>
          <w:lang w:val="lv-LV"/>
        </w:rPr>
        <w:t>,</w:t>
      </w:r>
      <w:r>
        <w:rPr>
          <w:rFonts w:ascii="Times New Roman" w:hAnsi="Times New Roman" w:cs="Times New Roman"/>
          <w:snapToGrid w:val="0"/>
          <w:lang w:val="lv-LV"/>
        </w:rPr>
        <w:t xml:space="preserve"> </w:t>
      </w:r>
      <w:r w:rsidR="00EC70C7">
        <w:rPr>
          <w:rFonts w:ascii="Times New Roman" w:hAnsi="Times New Roman" w:cs="Times New Roman"/>
          <w:snapToGrid w:val="0"/>
          <w:lang w:val="lv-LV"/>
        </w:rPr>
        <w:t xml:space="preserve">cik vien drīz tas ir praktiski iespējams, </w:t>
      </w:r>
      <w:r>
        <w:rPr>
          <w:rFonts w:ascii="Times New Roman" w:hAnsi="Times New Roman" w:cs="Times New Roman"/>
          <w:snapToGrid w:val="0"/>
          <w:lang w:val="lv-LV"/>
        </w:rPr>
        <w:t>pieņem norādījumus attiecībā uz</w:t>
      </w:r>
    </w:p>
    <w:p w:rsidR="0060722E" w:rsidRDefault="0060722E">
      <w:pPr>
        <w:jc w:val="both"/>
        <w:rPr>
          <w:rFonts w:ascii="Times New Roman" w:hAnsi="Times New Roman" w:cs="Times New Roman"/>
          <w:snapToGrid w:val="0"/>
          <w:lang w:val="lv-LV"/>
        </w:rPr>
      </w:pPr>
    </w:p>
    <w:p w:rsidR="0060722E" w:rsidRDefault="00F32658">
      <w:pPr>
        <w:jc w:val="both"/>
        <w:rPr>
          <w:rFonts w:ascii="Times New Roman" w:hAnsi="Times New Roman" w:cs="Times New Roman"/>
          <w:snapToGrid w:val="0"/>
          <w:lang w:val="lv-LV"/>
        </w:rPr>
      </w:pPr>
      <w:r>
        <w:rPr>
          <w:rFonts w:ascii="Times New Roman" w:hAnsi="Times New Roman" w:cs="Times New Roman"/>
          <w:snapToGrid w:val="0"/>
          <w:lang w:val="lv-LV"/>
        </w:rPr>
        <w:t>a) labākajiem pieejamajie</w:t>
      </w:r>
      <w:r w:rsidR="0060722E">
        <w:rPr>
          <w:rFonts w:ascii="Times New Roman" w:hAnsi="Times New Roman" w:cs="Times New Roman"/>
          <w:snapToGrid w:val="0"/>
          <w:lang w:val="lv-LV"/>
        </w:rPr>
        <w:t xml:space="preserve">m </w:t>
      </w:r>
      <w:r>
        <w:rPr>
          <w:rFonts w:ascii="Times New Roman" w:hAnsi="Times New Roman" w:cs="Times New Roman"/>
          <w:snapToGrid w:val="0"/>
          <w:lang w:val="lv-LV"/>
        </w:rPr>
        <w:t xml:space="preserve">tehniskajiem paņēmieniem </w:t>
      </w:r>
      <w:r w:rsidR="0060722E">
        <w:rPr>
          <w:rFonts w:ascii="Times New Roman" w:hAnsi="Times New Roman" w:cs="Times New Roman"/>
          <w:snapToGrid w:val="0"/>
          <w:lang w:val="lv-LV"/>
        </w:rPr>
        <w:t xml:space="preserve">un labāko </w:t>
      </w:r>
      <w:r w:rsidR="00AC7453">
        <w:rPr>
          <w:rFonts w:ascii="Times New Roman" w:hAnsi="Times New Roman" w:cs="Times New Roman"/>
          <w:snapToGrid w:val="0"/>
          <w:lang w:val="lv-LV"/>
        </w:rPr>
        <w:t xml:space="preserve">vides </w:t>
      </w:r>
      <w:r w:rsidR="0060722E">
        <w:rPr>
          <w:rFonts w:ascii="Times New Roman" w:hAnsi="Times New Roman" w:cs="Times New Roman"/>
          <w:snapToGrid w:val="0"/>
          <w:lang w:val="lv-LV"/>
        </w:rPr>
        <w:t xml:space="preserve">praksi, ņemot vērā jebkuras atšķirības starp jauniem un </w:t>
      </w:r>
      <w:r w:rsidR="00862D25">
        <w:rPr>
          <w:rFonts w:ascii="Times New Roman" w:hAnsi="Times New Roman" w:cs="Times New Roman"/>
          <w:snapToGrid w:val="0"/>
          <w:lang w:val="lv-LV"/>
        </w:rPr>
        <w:t>es</w:t>
      </w:r>
      <w:r w:rsidR="0060722E">
        <w:rPr>
          <w:rFonts w:ascii="Times New Roman" w:hAnsi="Times New Roman" w:cs="Times New Roman"/>
          <w:snapToGrid w:val="0"/>
          <w:lang w:val="lv-LV"/>
        </w:rPr>
        <w:t>ošiem avotiem un nepieciešamību līdz minimumam samazināt mijiedarbību ar vides faktoriem,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noplūdes uzskaites sagatavošanas metodēm.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13" w:name="bookmark13"/>
      <w:r>
        <w:rPr>
          <w:rFonts w:ascii="Times New Roman" w:hAnsi="Times New Roman" w:cs="Times New Roman"/>
          <w:snapToGrid w:val="0"/>
          <w:lang w:val="lv-LV"/>
        </w:rPr>
        <w:t xml:space="preserve">8. Ikviena puse informāciju par šā panta īstenošanu </w:t>
      </w:r>
      <w:r w:rsidR="00461C96">
        <w:rPr>
          <w:rFonts w:ascii="Times New Roman" w:hAnsi="Times New Roman" w:cs="Times New Roman"/>
          <w:snapToGrid w:val="0"/>
          <w:lang w:val="lv-LV"/>
        </w:rPr>
        <w:t xml:space="preserve">iekļauj </w:t>
      </w:r>
      <w:r>
        <w:rPr>
          <w:rFonts w:ascii="Times New Roman" w:hAnsi="Times New Roman" w:cs="Times New Roman"/>
          <w:snapToGrid w:val="0"/>
          <w:lang w:val="lv-LV"/>
        </w:rPr>
        <w:t xml:space="preserve">savos ziņojumos, ko tā iesniedz saskaņā ar 21. pantu, </w:t>
      </w:r>
      <w:r w:rsidR="00461C96">
        <w:rPr>
          <w:rFonts w:ascii="Times New Roman" w:hAnsi="Times New Roman" w:cs="Times New Roman"/>
          <w:snapToGrid w:val="0"/>
          <w:lang w:val="lv-LV"/>
        </w:rPr>
        <w:t xml:space="preserve">it īpaši </w:t>
      </w:r>
      <w:r>
        <w:rPr>
          <w:rFonts w:ascii="Times New Roman" w:hAnsi="Times New Roman" w:cs="Times New Roman"/>
          <w:snapToGrid w:val="0"/>
          <w:lang w:val="lv-LV"/>
        </w:rPr>
        <w:t>informāciju sais</w:t>
      </w:r>
      <w:r w:rsidR="00461C96">
        <w:rPr>
          <w:rFonts w:ascii="Times New Roman" w:hAnsi="Times New Roman" w:cs="Times New Roman"/>
          <w:snapToGrid w:val="0"/>
          <w:lang w:val="lv-LV"/>
        </w:rPr>
        <w:t xml:space="preserve">tībā ar pasākumiem, kurus tā </w:t>
      </w:r>
      <w:r>
        <w:rPr>
          <w:rFonts w:ascii="Times New Roman" w:hAnsi="Times New Roman" w:cs="Times New Roman"/>
          <w:snapToGrid w:val="0"/>
          <w:lang w:val="lv-LV"/>
        </w:rPr>
        <w:t>veikusi saskaņā ar 3.–6. pantu, un šo pasākumu efektivitāti.</w:t>
      </w:r>
    </w:p>
    <w:bookmarkEnd w:id="13"/>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10. pants</w:t>
      </w:r>
    </w:p>
    <w:p w:rsidR="0060722E" w:rsidRDefault="0060722E">
      <w:pPr>
        <w:jc w:val="center"/>
        <w:rPr>
          <w:rFonts w:ascii="Times New Roman" w:hAnsi="Times New Roman" w:cs="Times New Roman"/>
          <w:b/>
          <w:bCs/>
          <w:snapToGrid w:val="0"/>
          <w:sz w:val="28"/>
          <w:szCs w:val="28"/>
          <w:lang w:val="lv-LV"/>
        </w:rPr>
      </w:pPr>
    </w:p>
    <w:p w:rsidR="006937AD" w:rsidRDefault="0060722E">
      <w:pPr>
        <w:jc w:val="center"/>
        <w:rPr>
          <w:rFonts w:ascii="Times New Roman" w:hAnsi="Times New Roman" w:cs="Times New Roman"/>
          <w:b/>
          <w:bCs/>
          <w:snapToGrid w:val="0"/>
          <w:sz w:val="28"/>
          <w:szCs w:val="28"/>
          <w:lang w:val="lv-LV"/>
        </w:rPr>
      </w:pPr>
      <w:bookmarkStart w:id="14" w:name="bookmark14"/>
      <w:r>
        <w:rPr>
          <w:rFonts w:ascii="Times New Roman" w:hAnsi="Times New Roman" w:cs="Times New Roman"/>
          <w:b/>
          <w:bCs/>
          <w:snapToGrid w:val="0"/>
          <w:sz w:val="28"/>
          <w:szCs w:val="28"/>
          <w:lang w:val="lv-LV"/>
        </w:rPr>
        <w:t>Videi nekaitīga pagaidu uzglabāšana attiecībā uz dzīvsudrabu, izņemot dzīvsudraba atkritumus</w:t>
      </w:r>
    </w:p>
    <w:bookmarkEnd w:id="14"/>
    <w:p w:rsidR="0060722E" w:rsidRDefault="0060722E">
      <w:pPr>
        <w:jc w:val="both"/>
        <w:rPr>
          <w:rFonts w:ascii="Times New Roman" w:hAnsi="Times New Roman" w:cs="Times New Roman"/>
          <w:snapToGrid w:val="0"/>
          <w:lang w:val="lv-LV"/>
        </w:rPr>
      </w:pPr>
    </w:p>
    <w:p w:rsidR="0060722E" w:rsidRPr="00DE3203"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w:t>
      </w:r>
      <w:r w:rsidRPr="00DE3203">
        <w:rPr>
          <w:rFonts w:ascii="Times New Roman" w:hAnsi="Times New Roman" w:cs="Times New Roman"/>
          <w:snapToGrid w:val="0"/>
          <w:lang w:val="lv-LV"/>
        </w:rPr>
        <w:t xml:space="preserve">. </w:t>
      </w:r>
      <w:r w:rsidR="00461C96" w:rsidRPr="00DE3203">
        <w:rPr>
          <w:rFonts w:ascii="Times New Roman" w:hAnsi="Times New Roman" w:cs="Times New Roman"/>
          <w:snapToGrid w:val="0"/>
          <w:lang w:val="lv-LV"/>
        </w:rPr>
        <w:t xml:space="preserve">Šajā pantā </w:t>
      </w:r>
      <w:r w:rsidRPr="00DE3203">
        <w:rPr>
          <w:rFonts w:ascii="Times New Roman" w:hAnsi="Times New Roman" w:cs="Times New Roman"/>
          <w:snapToGrid w:val="0"/>
          <w:lang w:val="lv-LV"/>
        </w:rPr>
        <w:t xml:space="preserve">runa </w:t>
      </w:r>
      <w:r w:rsidR="00461C96" w:rsidRPr="00DE3203">
        <w:rPr>
          <w:rFonts w:ascii="Times New Roman" w:hAnsi="Times New Roman" w:cs="Times New Roman"/>
          <w:snapToGrid w:val="0"/>
          <w:lang w:val="lv-LV"/>
        </w:rPr>
        <w:t xml:space="preserve">ir </w:t>
      </w:r>
      <w:r w:rsidRPr="00DE3203">
        <w:rPr>
          <w:rFonts w:ascii="Times New Roman" w:hAnsi="Times New Roman" w:cs="Times New Roman"/>
          <w:snapToGrid w:val="0"/>
          <w:lang w:val="lv-LV"/>
        </w:rPr>
        <w:t xml:space="preserve">par dzīvsudraba un dzīvsudraba savienojumu pagaidu uzglabāšanu, kā noteikts 3. pantā, kas neattiecas uz dzīvsudraba atkritumiem tajā </w:t>
      </w:r>
      <w:r w:rsidR="00DE3203" w:rsidRPr="00DE3203">
        <w:rPr>
          <w:rFonts w:ascii="Times New Roman" w:hAnsi="Times New Roman" w:cs="Times New Roman"/>
          <w:snapToGrid w:val="0"/>
          <w:lang w:val="lv-LV"/>
        </w:rPr>
        <w:t>nozīm</w:t>
      </w:r>
      <w:r w:rsidRPr="00DE3203">
        <w:rPr>
          <w:rFonts w:ascii="Times New Roman" w:hAnsi="Times New Roman" w:cs="Times New Roman"/>
          <w:snapToGrid w:val="0"/>
          <w:lang w:val="lv-LV"/>
        </w:rPr>
        <w:t>ē, kas definēta 11. pantā.</w:t>
      </w:r>
    </w:p>
    <w:p w:rsidR="0060722E" w:rsidRPr="00BC7C0C" w:rsidRDefault="0060722E">
      <w:pPr>
        <w:jc w:val="both"/>
        <w:rPr>
          <w:rFonts w:ascii="Times New Roman" w:hAnsi="Times New Roman" w:cs="Times New Roman"/>
          <w:snapToGrid w:val="0"/>
          <w:highlight w:val="green"/>
          <w:lang w:val="lv-LV"/>
        </w:rPr>
      </w:pPr>
    </w:p>
    <w:p w:rsidR="0060722E" w:rsidRPr="00DE3203" w:rsidRDefault="0060722E">
      <w:pPr>
        <w:jc w:val="both"/>
        <w:rPr>
          <w:rFonts w:ascii="Times New Roman" w:hAnsi="Times New Roman" w:cs="Times New Roman"/>
          <w:snapToGrid w:val="0"/>
          <w:lang w:val="lv-LV"/>
        </w:rPr>
      </w:pPr>
      <w:r w:rsidRPr="00DE3203">
        <w:rPr>
          <w:rFonts w:ascii="Times New Roman" w:hAnsi="Times New Roman" w:cs="Times New Roman"/>
          <w:snapToGrid w:val="0"/>
          <w:lang w:val="lv-LV"/>
        </w:rPr>
        <w:t xml:space="preserve">2. Ikviena puse veic pasākumus, lai </w:t>
      </w:r>
      <w:r w:rsidR="00DE3203" w:rsidRPr="00DE3203">
        <w:rPr>
          <w:rFonts w:ascii="Times New Roman" w:hAnsi="Times New Roman" w:cs="Times New Roman"/>
          <w:snapToGrid w:val="0"/>
          <w:lang w:val="lv-LV"/>
        </w:rPr>
        <w:t>attiecībā uz dzīvsudrabu un dzīvsudraba savienojumiem</w:t>
      </w:r>
      <w:r w:rsidRPr="00DE3203">
        <w:rPr>
          <w:rFonts w:ascii="Times New Roman" w:hAnsi="Times New Roman" w:cs="Times New Roman"/>
          <w:snapToGrid w:val="0"/>
          <w:lang w:val="lv-LV"/>
        </w:rPr>
        <w:t xml:space="preserve">, kurus šai pusei atļauts attiecīgā veidā izmantot saskaņā ar šo konvenciju, </w:t>
      </w:r>
      <w:r w:rsidR="00DE3203" w:rsidRPr="00DE3203">
        <w:rPr>
          <w:rFonts w:ascii="Times New Roman" w:hAnsi="Times New Roman" w:cs="Times New Roman"/>
          <w:snapToGrid w:val="0"/>
          <w:lang w:val="lv-LV"/>
        </w:rPr>
        <w:t xml:space="preserve">nodrošinātu </w:t>
      </w:r>
      <w:r w:rsidRPr="00DE3203">
        <w:rPr>
          <w:rFonts w:ascii="Times New Roman" w:hAnsi="Times New Roman" w:cs="Times New Roman"/>
          <w:snapToGrid w:val="0"/>
          <w:lang w:val="lv-LV"/>
        </w:rPr>
        <w:t xml:space="preserve">pagaidu uzglabāšanu videi nekaitīgā veidā, ņemot vērā </w:t>
      </w:r>
      <w:r w:rsidR="00DE3203" w:rsidRPr="00DE3203">
        <w:rPr>
          <w:rFonts w:ascii="Times New Roman" w:hAnsi="Times New Roman" w:cs="Times New Roman"/>
          <w:snapToGrid w:val="0"/>
          <w:lang w:val="lv-LV"/>
        </w:rPr>
        <w:t>vis</w:t>
      </w:r>
      <w:r w:rsidR="002837EE">
        <w:rPr>
          <w:rFonts w:ascii="Times New Roman" w:hAnsi="Times New Roman" w:cs="Times New Roman"/>
          <w:snapToGrid w:val="0"/>
          <w:lang w:val="lv-LV"/>
        </w:rPr>
        <w:t>a</w:t>
      </w:r>
      <w:r w:rsidRPr="00DE3203">
        <w:rPr>
          <w:rFonts w:ascii="Times New Roman" w:hAnsi="Times New Roman" w:cs="Times New Roman"/>
          <w:snapToGrid w:val="0"/>
          <w:lang w:val="lv-LV"/>
        </w:rPr>
        <w:t xml:space="preserve">s </w:t>
      </w:r>
      <w:r w:rsidR="002837EE">
        <w:rPr>
          <w:rFonts w:ascii="Times New Roman" w:hAnsi="Times New Roman" w:cs="Times New Roman"/>
          <w:snapToGrid w:val="0"/>
          <w:lang w:val="lv-LV"/>
        </w:rPr>
        <w:t>vadlīnija</w:t>
      </w:r>
      <w:r w:rsidRPr="00DE3203">
        <w:rPr>
          <w:rFonts w:ascii="Times New Roman" w:hAnsi="Times New Roman" w:cs="Times New Roman"/>
          <w:snapToGrid w:val="0"/>
          <w:lang w:val="lv-LV"/>
        </w:rPr>
        <w:t xml:space="preserve">s un saskaņā ar </w:t>
      </w:r>
      <w:r w:rsidR="00DE3203" w:rsidRPr="00DE3203">
        <w:rPr>
          <w:rFonts w:ascii="Times New Roman" w:hAnsi="Times New Roman" w:cs="Times New Roman"/>
          <w:snapToGrid w:val="0"/>
          <w:lang w:val="lv-LV"/>
        </w:rPr>
        <w:t>visām prasībām, k</w:t>
      </w:r>
      <w:r w:rsidRPr="00DE3203">
        <w:rPr>
          <w:rFonts w:ascii="Times New Roman" w:hAnsi="Times New Roman" w:cs="Times New Roman"/>
          <w:snapToGrid w:val="0"/>
          <w:lang w:val="lv-LV"/>
        </w:rPr>
        <w:t xml:space="preserve">as pieņemtas </w:t>
      </w:r>
      <w:r w:rsidR="00DE3203" w:rsidRPr="00DE3203">
        <w:rPr>
          <w:rFonts w:ascii="Times New Roman" w:hAnsi="Times New Roman" w:cs="Times New Roman"/>
          <w:snapToGrid w:val="0"/>
          <w:lang w:val="lv-LV"/>
        </w:rPr>
        <w:t>atbilstoši 3. punktam</w:t>
      </w:r>
      <w:r w:rsidRPr="00DE3203">
        <w:rPr>
          <w:rFonts w:ascii="Times New Roman" w:hAnsi="Times New Roman" w:cs="Times New Roman"/>
          <w:snapToGrid w:val="0"/>
          <w:lang w:val="lv-LV"/>
        </w:rPr>
        <w:t>.</w:t>
      </w:r>
    </w:p>
    <w:p w:rsidR="0060722E" w:rsidRPr="00DE3203" w:rsidRDefault="0060722E">
      <w:pPr>
        <w:jc w:val="both"/>
        <w:rPr>
          <w:rFonts w:ascii="Times New Roman" w:hAnsi="Times New Roman" w:cs="Times New Roman"/>
          <w:snapToGrid w:val="0"/>
          <w:lang w:val="lv-LV"/>
        </w:rPr>
      </w:pPr>
    </w:p>
    <w:p w:rsidR="0060722E" w:rsidRPr="00DE3203" w:rsidRDefault="0060722E">
      <w:pPr>
        <w:jc w:val="both"/>
        <w:rPr>
          <w:rFonts w:ascii="Times New Roman" w:hAnsi="Times New Roman" w:cs="Times New Roman"/>
          <w:snapToGrid w:val="0"/>
          <w:lang w:val="lv-LV"/>
        </w:rPr>
      </w:pPr>
      <w:r w:rsidRPr="00DE3203">
        <w:rPr>
          <w:rFonts w:ascii="Times New Roman" w:hAnsi="Times New Roman" w:cs="Times New Roman"/>
          <w:snapToGrid w:val="0"/>
          <w:lang w:val="lv-LV"/>
        </w:rPr>
        <w:t xml:space="preserve">3. Pušu konference pieņem </w:t>
      </w:r>
      <w:r w:rsidR="00DE3203" w:rsidRPr="00DE3203">
        <w:rPr>
          <w:rFonts w:ascii="Times New Roman" w:hAnsi="Times New Roman" w:cs="Times New Roman"/>
          <w:snapToGrid w:val="0"/>
          <w:lang w:val="lv-LV"/>
        </w:rPr>
        <w:t>vadlīnija</w:t>
      </w:r>
      <w:r w:rsidRPr="00DE3203">
        <w:rPr>
          <w:rFonts w:ascii="Times New Roman" w:hAnsi="Times New Roman" w:cs="Times New Roman"/>
          <w:snapToGrid w:val="0"/>
          <w:lang w:val="lv-LV"/>
        </w:rPr>
        <w:t xml:space="preserve">s attiecībā uz šādu dzīvsudraba un dzīvsudraba savienojumu videi nekaitīgu pagaidu uzglabāšanu, ņemot vērā </w:t>
      </w:r>
      <w:r w:rsidR="0094090C">
        <w:rPr>
          <w:rFonts w:ascii="Times New Roman" w:hAnsi="Times New Roman" w:cs="Times New Roman"/>
          <w:snapToGrid w:val="0"/>
          <w:lang w:val="lv-LV"/>
        </w:rPr>
        <w:t>visa</w:t>
      </w:r>
      <w:r w:rsidRPr="00DE3203">
        <w:rPr>
          <w:rFonts w:ascii="Times New Roman" w:hAnsi="Times New Roman" w:cs="Times New Roman"/>
          <w:snapToGrid w:val="0"/>
          <w:lang w:val="lv-LV"/>
        </w:rPr>
        <w:t>s at</w:t>
      </w:r>
      <w:r w:rsidR="0094090C">
        <w:rPr>
          <w:rFonts w:ascii="Times New Roman" w:hAnsi="Times New Roman" w:cs="Times New Roman"/>
          <w:snapToGrid w:val="0"/>
          <w:lang w:val="lv-LV"/>
        </w:rPr>
        <w:t>tiecīgā</w:t>
      </w:r>
      <w:r w:rsidRPr="00DE3203">
        <w:rPr>
          <w:rFonts w:ascii="Times New Roman" w:hAnsi="Times New Roman" w:cs="Times New Roman"/>
          <w:snapToGrid w:val="0"/>
          <w:lang w:val="lv-LV"/>
        </w:rPr>
        <w:t xml:space="preserve">s </w:t>
      </w:r>
      <w:r w:rsidR="0094090C">
        <w:rPr>
          <w:rFonts w:ascii="Times New Roman" w:hAnsi="Times New Roman" w:cs="Times New Roman"/>
          <w:snapToGrid w:val="0"/>
          <w:lang w:val="lv-LV"/>
        </w:rPr>
        <w:t>vadlīnijas, kas izstrādātas</w:t>
      </w:r>
      <w:r w:rsidRPr="00DE3203">
        <w:rPr>
          <w:rFonts w:ascii="Times New Roman" w:hAnsi="Times New Roman" w:cs="Times New Roman"/>
          <w:snapToGrid w:val="0"/>
          <w:lang w:val="lv-LV"/>
        </w:rPr>
        <w:t xml:space="preserve"> saskaņā ar Bāzeles konvenciju par bīstamo atkritumu pārrobežu transporta kontroli un to galējo apstrādi</w:t>
      </w:r>
      <w:r w:rsidR="00C125C3">
        <w:rPr>
          <w:rFonts w:ascii="Times New Roman" w:hAnsi="Times New Roman" w:cs="Times New Roman"/>
          <w:snapToGrid w:val="0"/>
          <w:lang w:val="lv-LV"/>
        </w:rPr>
        <w:t>, un citus attiecīgo</w:t>
      </w:r>
      <w:r w:rsidRPr="00DE3203">
        <w:rPr>
          <w:rFonts w:ascii="Times New Roman" w:hAnsi="Times New Roman" w:cs="Times New Roman"/>
          <w:snapToGrid w:val="0"/>
          <w:lang w:val="lv-LV"/>
        </w:rPr>
        <w:t xml:space="preserve">s </w:t>
      </w:r>
      <w:r w:rsidR="00C125C3">
        <w:rPr>
          <w:rFonts w:ascii="Times New Roman" w:hAnsi="Times New Roman" w:cs="Times New Roman"/>
          <w:snapToGrid w:val="0"/>
          <w:lang w:val="lv-LV"/>
        </w:rPr>
        <w:t>norādījumu</w:t>
      </w:r>
      <w:r w:rsidRPr="00DE3203">
        <w:rPr>
          <w:rFonts w:ascii="Times New Roman" w:hAnsi="Times New Roman" w:cs="Times New Roman"/>
          <w:snapToGrid w:val="0"/>
          <w:lang w:val="lv-LV"/>
        </w:rPr>
        <w:t xml:space="preserve">s. Pušu konference var pieņemt prasības attiecībā uz pagaidu uzglabāšanu, </w:t>
      </w:r>
      <w:r w:rsidR="00DE3203" w:rsidRPr="00DE3203">
        <w:rPr>
          <w:rFonts w:ascii="Times New Roman" w:hAnsi="Times New Roman" w:cs="Times New Roman"/>
          <w:snapToGrid w:val="0"/>
          <w:lang w:val="lv-LV"/>
        </w:rPr>
        <w:t>iekļau</w:t>
      </w:r>
      <w:r w:rsidRPr="00DE3203">
        <w:rPr>
          <w:rFonts w:ascii="Times New Roman" w:hAnsi="Times New Roman" w:cs="Times New Roman"/>
          <w:snapToGrid w:val="0"/>
          <w:lang w:val="lv-LV"/>
        </w:rPr>
        <w:t>jot tās konvencijas papildu pielikumā saskaņā ar 27. pantu.</w:t>
      </w:r>
    </w:p>
    <w:p w:rsidR="0060722E" w:rsidRPr="00DE3203" w:rsidRDefault="0060722E">
      <w:pPr>
        <w:jc w:val="both"/>
        <w:rPr>
          <w:rFonts w:ascii="Times New Roman" w:hAnsi="Times New Roman" w:cs="Times New Roman"/>
          <w:snapToGrid w:val="0"/>
          <w:lang w:val="lv-LV"/>
        </w:rPr>
      </w:pPr>
    </w:p>
    <w:p w:rsidR="0060722E" w:rsidRPr="002837EE" w:rsidRDefault="0060722E">
      <w:pPr>
        <w:jc w:val="both"/>
        <w:rPr>
          <w:rFonts w:ascii="Times New Roman" w:hAnsi="Times New Roman" w:cs="Times New Roman"/>
          <w:snapToGrid w:val="0"/>
          <w:lang w:val="lv-LV"/>
        </w:rPr>
      </w:pPr>
      <w:bookmarkStart w:id="15" w:name="bookmark15"/>
      <w:r w:rsidRPr="002837EE">
        <w:rPr>
          <w:rFonts w:ascii="Times New Roman" w:hAnsi="Times New Roman" w:cs="Times New Roman"/>
          <w:snapToGrid w:val="0"/>
          <w:lang w:val="lv-LV"/>
        </w:rPr>
        <w:lastRenderedPageBreak/>
        <w:t>4. Puses</w:t>
      </w:r>
      <w:r w:rsidR="00DE3203" w:rsidRPr="002837EE">
        <w:rPr>
          <w:rFonts w:ascii="Times New Roman" w:hAnsi="Times New Roman" w:cs="Times New Roman"/>
          <w:snapToGrid w:val="0"/>
          <w:lang w:val="lv-LV"/>
        </w:rPr>
        <w:t>, ja</w:t>
      </w:r>
      <w:r w:rsidRPr="002837EE">
        <w:rPr>
          <w:rFonts w:ascii="Times New Roman" w:hAnsi="Times New Roman" w:cs="Times New Roman"/>
          <w:snapToGrid w:val="0"/>
          <w:lang w:val="lv-LV"/>
        </w:rPr>
        <w:t xml:space="preserve"> </w:t>
      </w:r>
      <w:r w:rsidR="00DE3203" w:rsidRPr="002837EE">
        <w:rPr>
          <w:rFonts w:ascii="Times New Roman" w:hAnsi="Times New Roman" w:cs="Times New Roman"/>
          <w:snapToGrid w:val="0"/>
          <w:lang w:val="lv-LV"/>
        </w:rPr>
        <w:t>nepieciešam</w:t>
      </w:r>
      <w:r w:rsidRPr="002837EE">
        <w:rPr>
          <w:rFonts w:ascii="Times New Roman" w:hAnsi="Times New Roman" w:cs="Times New Roman"/>
          <w:snapToGrid w:val="0"/>
          <w:lang w:val="lv-LV"/>
        </w:rPr>
        <w:t>s</w:t>
      </w:r>
      <w:r w:rsidR="00DE3203" w:rsidRPr="002837EE">
        <w:rPr>
          <w:rFonts w:ascii="Times New Roman" w:hAnsi="Times New Roman" w:cs="Times New Roman"/>
          <w:snapToGrid w:val="0"/>
          <w:lang w:val="lv-LV"/>
        </w:rPr>
        <w:t>,</w:t>
      </w:r>
      <w:r w:rsidRPr="002837EE">
        <w:rPr>
          <w:rFonts w:ascii="Times New Roman" w:hAnsi="Times New Roman" w:cs="Times New Roman"/>
          <w:snapToGrid w:val="0"/>
          <w:lang w:val="lv-LV"/>
        </w:rPr>
        <w:t xml:space="preserve"> sadarbojas </w:t>
      </w:r>
      <w:r w:rsidR="00DE3203" w:rsidRPr="002837EE">
        <w:rPr>
          <w:rFonts w:ascii="Times New Roman" w:hAnsi="Times New Roman" w:cs="Times New Roman"/>
          <w:snapToGrid w:val="0"/>
          <w:lang w:val="lv-LV"/>
        </w:rPr>
        <w:t>cit</w:t>
      </w:r>
      <w:r w:rsidRPr="002837EE">
        <w:rPr>
          <w:rFonts w:ascii="Times New Roman" w:hAnsi="Times New Roman" w:cs="Times New Roman"/>
          <w:snapToGrid w:val="0"/>
          <w:lang w:val="lv-LV"/>
        </w:rPr>
        <w:t xml:space="preserve">a ar </w:t>
      </w:r>
      <w:r w:rsidR="00DE3203" w:rsidRPr="002837EE">
        <w:rPr>
          <w:rFonts w:ascii="Times New Roman" w:hAnsi="Times New Roman" w:cs="Times New Roman"/>
          <w:snapToGrid w:val="0"/>
          <w:lang w:val="lv-LV"/>
        </w:rPr>
        <w:t>cit</w:t>
      </w:r>
      <w:r w:rsidRPr="002837EE">
        <w:rPr>
          <w:rFonts w:ascii="Times New Roman" w:hAnsi="Times New Roman" w:cs="Times New Roman"/>
          <w:snapToGrid w:val="0"/>
          <w:lang w:val="lv-LV"/>
        </w:rPr>
        <w:t>u un ar at</w:t>
      </w:r>
      <w:r w:rsidR="00DE3203" w:rsidRPr="002837EE">
        <w:rPr>
          <w:rFonts w:ascii="Times New Roman" w:hAnsi="Times New Roman" w:cs="Times New Roman"/>
          <w:snapToGrid w:val="0"/>
          <w:lang w:val="lv-LV"/>
        </w:rPr>
        <w:t>tiecīg</w:t>
      </w:r>
      <w:r w:rsidRPr="002837EE">
        <w:rPr>
          <w:rFonts w:ascii="Times New Roman" w:hAnsi="Times New Roman" w:cs="Times New Roman"/>
          <w:snapToGrid w:val="0"/>
          <w:lang w:val="lv-LV"/>
        </w:rPr>
        <w:t>ām starpvaldību organizācijām un citām struktūrvienībām, lai palielinātu r</w:t>
      </w:r>
      <w:r w:rsidR="00D9092E">
        <w:rPr>
          <w:rFonts w:ascii="Times New Roman" w:hAnsi="Times New Roman" w:cs="Times New Roman"/>
          <w:snapToGrid w:val="0"/>
          <w:lang w:val="lv-LV"/>
        </w:rPr>
        <w:t>īcībspēju</w:t>
      </w:r>
      <w:r w:rsidRPr="002837EE">
        <w:rPr>
          <w:rFonts w:ascii="Times New Roman" w:hAnsi="Times New Roman" w:cs="Times New Roman"/>
          <w:snapToGrid w:val="0"/>
          <w:lang w:val="lv-LV"/>
        </w:rPr>
        <w:t xml:space="preserve"> attiecībā uz dzīvsudraba un dzīvsudraba savienojumu videi nekaitīgu pagaidu uzglabāšanu.</w:t>
      </w:r>
    </w:p>
    <w:bookmarkEnd w:id="15"/>
    <w:p w:rsidR="0060722E" w:rsidRPr="002837E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sidRPr="002837EE">
        <w:rPr>
          <w:rFonts w:ascii="Times New Roman" w:hAnsi="Times New Roman" w:cs="Times New Roman"/>
          <w:b/>
          <w:bCs/>
          <w:snapToGrid w:val="0"/>
          <w:sz w:val="28"/>
          <w:szCs w:val="28"/>
          <w:lang w:val="lv-LV"/>
        </w:rPr>
        <w:t>11.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Dzīvsudraba atkritumi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2360F4">
        <w:rPr>
          <w:rFonts w:ascii="Times New Roman" w:hAnsi="Times New Roman" w:cs="Times New Roman"/>
          <w:snapToGrid w:val="0"/>
          <w:lang w:val="lv-LV"/>
        </w:rPr>
        <w:t xml:space="preserve">1. Bāzeles konvencijas par bīstamo atkritumu pārrobežu transporta kontroli un to galējo apstrādi </w:t>
      </w:r>
      <w:r w:rsidR="007D71A2" w:rsidRPr="002360F4">
        <w:rPr>
          <w:rFonts w:ascii="Times New Roman" w:hAnsi="Times New Roman" w:cs="Times New Roman"/>
          <w:snapToGrid w:val="0"/>
          <w:lang w:val="lv-LV"/>
        </w:rPr>
        <w:t>at</w:t>
      </w:r>
      <w:r w:rsidR="002360F4">
        <w:rPr>
          <w:rFonts w:ascii="Times New Roman" w:hAnsi="Times New Roman" w:cs="Times New Roman"/>
          <w:snapToGrid w:val="0"/>
          <w:lang w:val="lv-LV"/>
        </w:rPr>
        <w:t>bilstoš</w:t>
      </w:r>
      <w:r w:rsidR="007D71A2" w:rsidRPr="002360F4">
        <w:rPr>
          <w:rFonts w:ascii="Times New Roman" w:hAnsi="Times New Roman" w:cs="Times New Roman"/>
          <w:snapToGrid w:val="0"/>
          <w:lang w:val="lv-LV"/>
        </w:rPr>
        <w:t>ā</w:t>
      </w:r>
      <w:r w:rsidR="002360F4">
        <w:rPr>
          <w:rFonts w:ascii="Times New Roman" w:hAnsi="Times New Roman" w:cs="Times New Roman"/>
          <w:snapToGrid w:val="0"/>
          <w:lang w:val="lv-LV"/>
        </w:rPr>
        <w:t>s</w:t>
      </w:r>
      <w:r w:rsidR="007D71A2" w:rsidRPr="002360F4">
        <w:rPr>
          <w:rFonts w:ascii="Times New Roman" w:hAnsi="Times New Roman" w:cs="Times New Roman"/>
          <w:snapToGrid w:val="0"/>
          <w:lang w:val="lv-LV"/>
        </w:rPr>
        <w:t xml:space="preserve"> definīcijas attiecībā uz atkritumiem, uz kuriem attiecas šī konvencija, </w:t>
      </w:r>
      <w:r w:rsidR="002360F4" w:rsidRPr="002360F4">
        <w:rPr>
          <w:rFonts w:ascii="Times New Roman" w:hAnsi="Times New Roman" w:cs="Times New Roman"/>
          <w:snapToGrid w:val="0"/>
          <w:lang w:val="lv-LV"/>
        </w:rPr>
        <w:t>piemērojamas Bāzeles konvencijas pusēm.</w:t>
      </w:r>
      <w:r w:rsidR="002360F4">
        <w:rPr>
          <w:rFonts w:ascii="Times New Roman" w:hAnsi="Times New Roman" w:cs="Times New Roman"/>
          <w:snapToGrid w:val="0"/>
          <w:lang w:val="lv-LV"/>
        </w:rPr>
        <w:t xml:space="preserve"> </w:t>
      </w:r>
      <w:r w:rsidRPr="002360F4">
        <w:rPr>
          <w:rFonts w:ascii="Times New Roman" w:hAnsi="Times New Roman" w:cs="Times New Roman"/>
          <w:snapToGrid w:val="0"/>
          <w:lang w:val="lv-LV"/>
        </w:rPr>
        <w:t>Šīs konvencijas puses, kas nav Bāzeles konvencijas puses, izmanto šīs definīcijas informatīvā nolūkā attiecībā</w:t>
      </w:r>
      <w:r w:rsidRPr="00C125C3">
        <w:rPr>
          <w:rFonts w:ascii="Times New Roman" w:hAnsi="Times New Roman" w:cs="Times New Roman"/>
          <w:snapToGrid w:val="0"/>
          <w:lang w:val="lv-LV"/>
        </w:rPr>
        <w:t xml:space="preserve"> uz atkritumiem, kuri aprakstīti šajā konvencijā.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Šajā konvencijā dzīvsudraba atkritumi ir vielas vai priekšmeti, k</w:t>
      </w:r>
      <w:r w:rsidR="002837EE">
        <w:rPr>
          <w:rFonts w:ascii="Times New Roman" w:hAnsi="Times New Roman" w:cs="Times New Roman"/>
          <w:snapToGrid w:val="0"/>
          <w:lang w:val="lv-LV"/>
        </w:rPr>
        <w:t>uri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sastāv</w:t>
      </w:r>
      <w:r w:rsidR="002837EE">
        <w:rPr>
          <w:rFonts w:ascii="Times New Roman" w:hAnsi="Times New Roman" w:cs="Times New Roman"/>
          <w:snapToGrid w:val="0"/>
          <w:lang w:val="lv-LV"/>
        </w:rPr>
        <w:t xml:space="preserve"> no dzīvsudraba vai dzīvsudraba savienojumiem</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satur dzīvsudrabu vai dzīvsudraba savienojumus vai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ir piesārņoti ar dzīvsudrabu vai dzīvsudraba savienojumiem</w:t>
      </w:r>
    </w:p>
    <w:p w:rsidR="0060722E" w:rsidRDefault="0060722E">
      <w:pPr>
        <w:jc w:val="both"/>
        <w:rPr>
          <w:rFonts w:ascii="Times New Roman" w:hAnsi="Times New Roman" w:cs="Times New Roman"/>
          <w:snapToGrid w:val="0"/>
          <w:lang w:val="lv-LV"/>
        </w:rPr>
      </w:pPr>
    </w:p>
    <w:p w:rsidR="0060722E" w:rsidRDefault="002837EE">
      <w:pPr>
        <w:jc w:val="both"/>
        <w:rPr>
          <w:rFonts w:ascii="Times New Roman" w:hAnsi="Times New Roman" w:cs="Times New Roman"/>
          <w:snapToGrid w:val="0"/>
          <w:lang w:val="lv-LV"/>
        </w:rPr>
      </w:pPr>
      <w:r>
        <w:rPr>
          <w:rFonts w:ascii="Times New Roman" w:hAnsi="Times New Roman" w:cs="Times New Roman"/>
          <w:snapToGrid w:val="0"/>
          <w:lang w:val="lv-LV"/>
        </w:rPr>
        <w:t>un ir tādā daudzumā, kas</w:t>
      </w:r>
      <w:r w:rsidR="0060722E">
        <w:rPr>
          <w:rFonts w:ascii="Times New Roman" w:hAnsi="Times New Roman" w:cs="Times New Roman"/>
          <w:snapToGrid w:val="0"/>
          <w:lang w:val="lv-LV"/>
        </w:rPr>
        <w:t xml:space="preserve"> pārsniedz atbilstošās sliekšņa vērtības, ko n</w:t>
      </w:r>
      <w:r>
        <w:rPr>
          <w:rFonts w:ascii="Times New Roman" w:hAnsi="Times New Roman" w:cs="Times New Roman"/>
          <w:snapToGrid w:val="0"/>
          <w:lang w:val="lv-LV"/>
        </w:rPr>
        <w:t>oteikusi pušu konference, un kuri</w:t>
      </w:r>
      <w:r w:rsidR="0060722E">
        <w:rPr>
          <w:rFonts w:ascii="Times New Roman" w:hAnsi="Times New Roman" w:cs="Times New Roman"/>
          <w:snapToGrid w:val="0"/>
          <w:lang w:val="lv-LV"/>
        </w:rPr>
        <w:t xml:space="preserve">, saskaņotā veidā sadarbojoties Bāzeles konvencijas atbilstošajām institūcijām, tiek iznīcināti vai kurus plānots iznīcināt, vai kurus ir nepieciešams iznīcināt saskaņā ar valsts tiesību aktiem vai šo konvenciju. Šī definīcija </w:t>
      </w:r>
      <w:r w:rsidR="000F6E3B">
        <w:rPr>
          <w:rFonts w:ascii="Times New Roman" w:hAnsi="Times New Roman" w:cs="Times New Roman"/>
          <w:snapToGrid w:val="0"/>
          <w:lang w:val="lv-LV"/>
        </w:rPr>
        <w:t>ne</w:t>
      </w:r>
      <w:r w:rsidR="00EC70C7">
        <w:rPr>
          <w:rFonts w:ascii="Times New Roman" w:hAnsi="Times New Roman" w:cs="Times New Roman"/>
          <w:snapToGrid w:val="0"/>
          <w:lang w:val="lv-LV"/>
        </w:rPr>
        <w:t xml:space="preserve">attiecas </w:t>
      </w:r>
      <w:r w:rsidR="0060722E">
        <w:rPr>
          <w:rFonts w:ascii="Times New Roman" w:hAnsi="Times New Roman" w:cs="Times New Roman"/>
          <w:snapToGrid w:val="0"/>
          <w:lang w:val="lv-LV"/>
        </w:rPr>
        <w:t>uz segiežiem, iežu pārpalikumiem un sārņiem, kas radušies ieguves procesā, izņemot primāro dzīvsudraba ieguvi, ja vien tie nesatur dzīvsudrabu un dzīvsudraba savienojumus, kuru daudzums pārsniedz pušu konferences noteiktās sliekšņa vērtības.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3. Ikviena puse veic atbilstošus pasākumus, lai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a) dzīvsudraba atkritumi tiktu apsaimniekoti videi nekaitīgā veidā, ņemot vērā </w:t>
      </w:r>
      <w:r w:rsidR="002837EE">
        <w:rPr>
          <w:rFonts w:ascii="Times New Roman" w:hAnsi="Times New Roman" w:cs="Times New Roman"/>
          <w:snapToGrid w:val="0"/>
          <w:lang w:val="lv-LV"/>
        </w:rPr>
        <w:t>vadlīnijas, kuras izstrādātas</w:t>
      </w:r>
      <w:r>
        <w:rPr>
          <w:rFonts w:ascii="Times New Roman" w:hAnsi="Times New Roman" w:cs="Times New Roman"/>
          <w:snapToGrid w:val="0"/>
          <w:lang w:val="lv-LV"/>
        </w:rPr>
        <w:t xml:space="preserve"> saskaņā ar Bāzeles konvenciju</w:t>
      </w:r>
      <w:r w:rsidR="002837EE">
        <w:rPr>
          <w:rFonts w:ascii="Times New Roman" w:hAnsi="Times New Roman" w:cs="Times New Roman"/>
          <w:snapToGrid w:val="0"/>
          <w:lang w:val="lv-LV"/>
        </w:rPr>
        <w:t>,</w:t>
      </w:r>
      <w:r>
        <w:rPr>
          <w:rFonts w:ascii="Times New Roman" w:hAnsi="Times New Roman" w:cs="Times New Roman"/>
          <w:snapToGrid w:val="0"/>
          <w:lang w:val="lv-LV"/>
        </w:rPr>
        <w:t xml:space="preserve"> un atbilstoši papildu pielikumā sagatavotajām prasībām, ko pieņem pušu konference saskaņā ar 27. pantu. Sagatavojot prasības, pušu konference ņem vērā pušu atkritumu apsaimniekošanas noteikumus un programmas;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dzīvsudraba atkritumi tiktu izmantoti vienīgi </w:t>
      </w:r>
      <w:r w:rsidR="00AC7453">
        <w:rPr>
          <w:rFonts w:ascii="Times New Roman" w:hAnsi="Times New Roman" w:cs="Times New Roman"/>
          <w:snapToGrid w:val="0"/>
          <w:lang w:val="lv-LV"/>
        </w:rPr>
        <w:t>reģenerācij</w:t>
      </w:r>
      <w:r>
        <w:rPr>
          <w:rFonts w:ascii="Times New Roman" w:hAnsi="Times New Roman" w:cs="Times New Roman"/>
          <w:snapToGrid w:val="0"/>
          <w:lang w:val="lv-LV"/>
        </w:rPr>
        <w:t xml:space="preserve">ai, pārstrādei, </w:t>
      </w:r>
      <w:r w:rsidR="00DE4C52">
        <w:rPr>
          <w:rFonts w:ascii="Times New Roman" w:hAnsi="Times New Roman" w:cs="Times New Roman"/>
          <w:snapToGrid w:val="0"/>
          <w:lang w:val="lv-LV"/>
        </w:rPr>
        <w:t>attīrīšan</w:t>
      </w:r>
      <w:r>
        <w:rPr>
          <w:rFonts w:ascii="Times New Roman" w:hAnsi="Times New Roman" w:cs="Times New Roman"/>
          <w:snapToGrid w:val="0"/>
          <w:lang w:val="lv-LV"/>
        </w:rPr>
        <w:t>ai, tiešai atkārtotai izmantošanai attiecīgai pusei atļautā veidā saskaņā ar konvenciju vai iznīcināšanai videi nekaitīgā veidā, ievērojot 3. punkta a) apakšpunktu;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Bāzeles konvencijas puses ne</w:t>
      </w:r>
      <w:r w:rsidR="00761303">
        <w:rPr>
          <w:rFonts w:ascii="Times New Roman" w:hAnsi="Times New Roman" w:cs="Times New Roman"/>
          <w:snapToGrid w:val="0"/>
          <w:lang w:val="lv-LV"/>
        </w:rPr>
        <w:t>transportē</w:t>
      </w:r>
      <w:r>
        <w:rPr>
          <w:rFonts w:ascii="Times New Roman" w:hAnsi="Times New Roman" w:cs="Times New Roman"/>
          <w:snapToGrid w:val="0"/>
          <w:lang w:val="lv-LV"/>
        </w:rPr>
        <w:t xml:space="preserve">tu dzīvsudraba atkritumus pāri starptautiskajām robežām, izņemot gadījumus, kad tie tiek </w:t>
      </w:r>
      <w:r w:rsidR="00761303">
        <w:rPr>
          <w:rFonts w:ascii="Times New Roman" w:hAnsi="Times New Roman" w:cs="Times New Roman"/>
          <w:snapToGrid w:val="0"/>
          <w:lang w:val="lv-LV"/>
        </w:rPr>
        <w:t>transportē</w:t>
      </w:r>
      <w:r>
        <w:rPr>
          <w:rFonts w:ascii="Times New Roman" w:hAnsi="Times New Roman" w:cs="Times New Roman"/>
          <w:snapToGrid w:val="0"/>
          <w:lang w:val="lv-LV"/>
        </w:rPr>
        <w:t xml:space="preserve">ti iznīcināšanai videi nekaitīgā veidā saskaņā ar šo pantu un minēto konvenciju. Apstākļos, uz kuriem Bāzeles konvencija neattiecas, puse atļauj šādu </w:t>
      </w:r>
      <w:r w:rsidR="00761303">
        <w:rPr>
          <w:rFonts w:ascii="Times New Roman" w:hAnsi="Times New Roman" w:cs="Times New Roman"/>
          <w:snapToGrid w:val="0"/>
          <w:lang w:val="lv-LV"/>
        </w:rPr>
        <w:t>transportē</w:t>
      </w:r>
      <w:r>
        <w:rPr>
          <w:rFonts w:ascii="Times New Roman" w:hAnsi="Times New Roman" w:cs="Times New Roman"/>
          <w:snapToGrid w:val="0"/>
          <w:lang w:val="lv-LV"/>
        </w:rPr>
        <w:t>šanu pāri starptautiskajām robežām tikai pēc tam, kad ir izvērtēti atbilstošie starptautiskie noteikumi, standarti un</w:t>
      </w:r>
      <w:r w:rsidR="002837EE">
        <w:rPr>
          <w:rFonts w:ascii="Times New Roman" w:hAnsi="Times New Roman" w:cs="Times New Roman"/>
          <w:snapToGrid w:val="0"/>
          <w:lang w:val="lv-LV"/>
        </w:rPr>
        <w:t xml:space="preserve"> vadlīnijas</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 xml:space="preserve">4. Pušu konference veic pasākumus, lai </w:t>
      </w:r>
      <w:r w:rsidR="000F1FA2">
        <w:rPr>
          <w:rFonts w:ascii="Times New Roman" w:hAnsi="Times New Roman" w:cs="Times New Roman"/>
          <w:snapToGrid w:val="0"/>
          <w:lang w:val="lv-LV"/>
        </w:rPr>
        <w:t>cieši</w:t>
      </w:r>
      <w:r>
        <w:rPr>
          <w:rFonts w:ascii="Times New Roman" w:hAnsi="Times New Roman" w:cs="Times New Roman"/>
          <w:snapToGrid w:val="0"/>
          <w:lang w:val="lv-LV"/>
        </w:rPr>
        <w:t xml:space="preserve"> sadarb</w:t>
      </w:r>
      <w:r w:rsidR="000F1FA2">
        <w:rPr>
          <w:rFonts w:ascii="Times New Roman" w:hAnsi="Times New Roman" w:cs="Times New Roman"/>
          <w:snapToGrid w:val="0"/>
          <w:lang w:val="lv-LV"/>
        </w:rPr>
        <w:t>otos</w:t>
      </w:r>
      <w:r>
        <w:rPr>
          <w:rFonts w:ascii="Times New Roman" w:hAnsi="Times New Roman" w:cs="Times New Roman"/>
          <w:snapToGrid w:val="0"/>
          <w:lang w:val="lv-LV"/>
        </w:rPr>
        <w:t xml:space="preserve"> ar atbilstošajām Bāzeles konvencijas </w:t>
      </w:r>
      <w:r w:rsidR="000F1FA2">
        <w:rPr>
          <w:rFonts w:ascii="Times New Roman" w:hAnsi="Times New Roman" w:cs="Times New Roman"/>
          <w:snapToGrid w:val="0"/>
          <w:lang w:val="lv-LV"/>
        </w:rPr>
        <w:t>struktūr</w:t>
      </w:r>
      <w:r>
        <w:rPr>
          <w:rFonts w:ascii="Times New Roman" w:hAnsi="Times New Roman" w:cs="Times New Roman"/>
          <w:snapToGrid w:val="0"/>
          <w:lang w:val="lv-LV"/>
        </w:rPr>
        <w:t xml:space="preserve">ām attiecībā uz 3. punkta a) apakšpunktā minēto </w:t>
      </w:r>
      <w:r w:rsidR="009533B5">
        <w:rPr>
          <w:rFonts w:ascii="Times New Roman" w:hAnsi="Times New Roman" w:cs="Times New Roman"/>
          <w:snapToGrid w:val="0"/>
          <w:lang w:val="lv-LV"/>
        </w:rPr>
        <w:t>vadlīnij</w:t>
      </w:r>
      <w:r>
        <w:rPr>
          <w:rFonts w:ascii="Times New Roman" w:hAnsi="Times New Roman" w:cs="Times New Roman"/>
          <w:snapToGrid w:val="0"/>
          <w:lang w:val="lv-LV"/>
        </w:rPr>
        <w:t>u pārskatīšanu un koriģēšanu, ja nepieciešams.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16" w:name="bookmark16"/>
      <w:r>
        <w:rPr>
          <w:rFonts w:ascii="Times New Roman" w:hAnsi="Times New Roman" w:cs="Times New Roman"/>
          <w:snapToGrid w:val="0"/>
          <w:lang w:val="lv-LV"/>
        </w:rPr>
        <w:t>5. Pusēm</w:t>
      </w:r>
      <w:r w:rsidR="000F1FA2">
        <w:rPr>
          <w:rFonts w:ascii="Times New Roman" w:hAnsi="Times New Roman" w:cs="Times New Roman"/>
          <w:snapToGrid w:val="0"/>
          <w:lang w:val="lv-LV"/>
        </w:rPr>
        <w:t>, ja nepieciešams,</w:t>
      </w:r>
      <w:r>
        <w:rPr>
          <w:rFonts w:ascii="Times New Roman" w:hAnsi="Times New Roman" w:cs="Times New Roman"/>
          <w:snapToGrid w:val="0"/>
          <w:lang w:val="lv-LV"/>
        </w:rPr>
        <w:t xml:space="preserve"> tiek ieteikts sadarboties citai ar citu un ar atbilstošām starpvaldību organizācijām un citām </w:t>
      </w:r>
      <w:r w:rsidR="000F1FA2">
        <w:rPr>
          <w:rFonts w:ascii="Times New Roman" w:hAnsi="Times New Roman" w:cs="Times New Roman"/>
          <w:snapToGrid w:val="0"/>
          <w:lang w:val="lv-LV"/>
        </w:rPr>
        <w:t>struktūr</w:t>
      </w:r>
      <w:r>
        <w:rPr>
          <w:rFonts w:ascii="Times New Roman" w:hAnsi="Times New Roman" w:cs="Times New Roman"/>
          <w:snapToGrid w:val="0"/>
          <w:lang w:val="lv-LV"/>
        </w:rPr>
        <w:t>ām, lai veidotu un uzturētu rīcībspēju</w:t>
      </w:r>
      <w:r w:rsidR="000F1FA2">
        <w:rPr>
          <w:rFonts w:ascii="Times New Roman" w:hAnsi="Times New Roman" w:cs="Times New Roman"/>
          <w:snapToGrid w:val="0"/>
          <w:lang w:val="lv-LV"/>
        </w:rPr>
        <w:t xml:space="preserve"> pasaules</w:t>
      </w:r>
      <w:r>
        <w:rPr>
          <w:rFonts w:ascii="Times New Roman" w:hAnsi="Times New Roman" w:cs="Times New Roman"/>
          <w:snapToGrid w:val="0"/>
          <w:lang w:val="lv-LV"/>
        </w:rPr>
        <w:t>, reģionālā un valsts mērogā attiecībā uz dzīvsudraba atkritumu apsaimniekošanu videi nekaitīgā veidā.</w:t>
      </w:r>
    </w:p>
    <w:bookmarkEnd w:id="16"/>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12.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Piesārņotās vietas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Ikviena puse izstrādā nepieciešamās stratēģijas, lai identificētu un novērtētu vietas, kuras ir piesārņotas ar dzīvsudrabu un dzīvsudraba savienojumiem.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Visi pasākumi, kas tiek veikti, lai samazinātu ar šādām vietām saistītos riska faktorus, tiek veikti videi nekaitīgā veidā, pēc nepieciešamības ietverot ar cilvēku veselību un apkārtējo vidi saistīto riska faktoru novērtējumu attiecībā uz dzīvsudrabu un dzīvsudraba savienojumiem, kas atrodami šādās vietās.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3. Pušu konference pieņem </w:t>
      </w:r>
      <w:r w:rsidR="0094090C">
        <w:rPr>
          <w:rFonts w:ascii="Times New Roman" w:hAnsi="Times New Roman" w:cs="Times New Roman"/>
          <w:snapToGrid w:val="0"/>
          <w:lang w:val="lv-LV"/>
        </w:rPr>
        <w:t>norādījumu</w:t>
      </w:r>
      <w:r>
        <w:rPr>
          <w:rFonts w:ascii="Times New Roman" w:hAnsi="Times New Roman" w:cs="Times New Roman"/>
          <w:snapToGrid w:val="0"/>
          <w:lang w:val="lv-LV"/>
        </w:rPr>
        <w:t>s attiecībā uz piesārņoto vietu apsaimniekošanu, kas var ietvert metodes un pieejas, kuras paredzētas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a) vietu </w:t>
      </w:r>
      <w:r w:rsidR="000F1FA2">
        <w:rPr>
          <w:rFonts w:ascii="Times New Roman" w:hAnsi="Times New Roman" w:cs="Times New Roman"/>
          <w:snapToGrid w:val="0"/>
          <w:lang w:val="lv-LV"/>
        </w:rPr>
        <w:t>noteikšan</w:t>
      </w:r>
      <w:r>
        <w:rPr>
          <w:rFonts w:ascii="Times New Roman" w:hAnsi="Times New Roman" w:cs="Times New Roman"/>
          <w:snapToGrid w:val="0"/>
          <w:lang w:val="lv-LV"/>
        </w:rPr>
        <w:t>ai un raksturošanai;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sabiedrības iesaistīšanai;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riska faktoru novērtē</w:t>
      </w:r>
      <w:r w:rsidR="000F1FA2">
        <w:rPr>
          <w:rFonts w:ascii="Times New Roman" w:hAnsi="Times New Roman" w:cs="Times New Roman"/>
          <w:snapToGrid w:val="0"/>
          <w:lang w:val="lv-LV"/>
        </w:rPr>
        <w:t>šanai</w:t>
      </w:r>
      <w:r>
        <w:rPr>
          <w:rFonts w:ascii="Times New Roman" w:hAnsi="Times New Roman" w:cs="Times New Roman"/>
          <w:snapToGrid w:val="0"/>
          <w:lang w:val="lv-LV"/>
        </w:rPr>
        <w:t xml:space="preserve"> attiecībā uz cilvēku veselību un apkārtējo vidi;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d) rīcības iespēju noteikšanai, lai pārvaldītu ar piesārņotajām vietām saistītos riska faktorus;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e) ieguvumu un izmaksu novērtēšanai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f) rezultātu apstiprināšanai.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17" w:name="bookmark17"/>
      <w:r>
        <w:rPr>
          <w:rFonts w:ascii="Times New Roman" w:hAnsi="Times New Roman" w:cs="Times New Roman"/>
          <w:snapToGrid w:val="0"/>
          <w:lang w:val="lv-LV"/>
        </w:rPr>
        <w:t xml:space="preserve">4. Puses tiek aicinātas sadarboties stratēģiju izstrādē un aktivitāšu īstenošanā attiecībā uz piesārņoto vietu </w:t>
      </w:r>
      <w:r w:rsidR="000F1FA2">
        <w:rPr>
          <w:rFonts w:ascii="Times New Roman" w:hAnsi="Times New Roman" w:cs="Times New Roman"/>
          <w:snapToGrid w:val="0"/>
          <w:lang w:val="lv-LV"/>
        </w:rPr>
        <w:t>noteik</w:t>
      </w:r>
      <w:r w:rsidR="000F6E3B">
        <w:rPr>
          <w:rFonts w:ascii="Times New Roman" w:hAnsi="Times New Roman" w:cs="Times New Roman"/>
          <w:snapToGrid w:val="0"/>
          <w:lang w:val="lv-LV"/>
        </w:rPr>
        <w:t>šanu, novērtēšanu, prioritizēšanu, pārvaldību</w:t>
      </w:r>
      <w:r>
        <w:rPr>
          <w:rFonts w:ascii="Times New Roman" w:hAnsi="Times New Roman" w:cs="Times New Roman"/>
          <w:snapToGrid w:val="0"/>
          <w:lang w:val="lv-LV"/>
        </w:rPr>
        <w:t xml:space="preserve"> un, ja nepieciešams, </w:t>
      </w:r>
      <w:r w:rsidR="00E5063F">
        <w:rPr>
          <w:rFonts w:ascii="Times New Roman" w:hAnsi="Times New Roman" w:cs="Times New Roman"/>
          <w:snapToGrid w:val="0"/>
          <w:lang w:val="lv-LV"/>
        </w:rPr>
        <w:t>sanācij</w:t>
      </w:r>
      <w:r>
        <w:rPr>
          <w:rFonts w:ascii="Times New Roman" w:hAnsi="Times New Roman" w:cs="Times New Roman"/>
          <w:snapToGrid w:val="0"/>
          <w:lang w:val="lv-LV"/>
        </w:rPr>
        <w:t>u.</w:t>
      </w:r>
    </w:p>
    <w:bookmarkEnd w:id="17"/>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13.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Finanšu resursi un mehānismi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 Ikviena puse </w:t>
      </w:r>
      <w:r w:rsidR="000F1FA2">
        <w:rPr>
          <w:rFonts w:ascii="Times New Roman" w:hAnsi="Times New Roman" w:cs="Times New Roman"/>
          <w:snapToGrid w:val="0"/>
          <w:lang w:val="lv-LV"/>
        </w:rPr>
        <w:t xml:space="preserve">atbilstoši iespējām apņemas </w:t>
      </w:r>
      <w:r>
        <w:rPr>
          <w:rFonts w:ascii="Times New Roman" w:hAnsi="Times New Roman" w:cs="Times New Roman"/>
          <w:snapToGrid w:val="0"/>
          <w:lang w:val="lv-LV"/>
        </w:rPr>
        <w:t xml:space="preserve">nodrošināt </w:t>
      </w:r>
      <w:r w:rsidR="000F1FA2">
        <w:rPr>
          <w:rFonts w:ascii="Times New Roman" w:hAnsi="Times New Roman" w:cs="Times New Roman"/>
          <w:snapToGrid w:val="0"/>
          <w:lang w:val="lv-LV"/>
        </w:rPr>
        <w:t>resursus</w:t>
      </w:r>
      <w:r>
        <w:rPr>
          <w:rFonts w:ascii="Times New Roman" w:hAnsi="Times New Roman" w:cs="Times New Roman"/>
          <w:snapToGrid w:val="0"/>
          <w:lang w:val="lv-LV"/>
        </w:rPr>
        <w:t xml:space="preserve"> tiem valsts pasākumiem, kurus ir paredzēts veikt saskaņā ar šo konvenciju, </w:t>
      </w:r>
      <w:r w:rsidR="000F1FA2">
        <w:rPr>
          <w:rFonts w:ascii="Times New Roman" w:hAnsi="Times New Roman" w:cs="Times New Roman"/>
          <w:snapToGrid w:val="0"/>
          <w:lang w:val="lv-LV"/>
        </w:rPr>
        <w:t xml:space="preserve">ņemot vērā </w:t>
      </w:r>
      <w:r>
        <w:rPr>
          <w:rFonts w:ascii="Times New Roman" w:hAnsi="Times New Roman" w:cs="Times New Roman"/>
          <w:snapToGrid w:val="0"/>
          <w:lang w:val="lv-LV"/>
        </w:rPr>
        <w:t xml:space="preserve">attiecīgās valsts politiku, prioritātes, plānus un programmas. Šādi resursi var ietvert </w:t>
      </w:r>
      <w:r w:rsidR="0013504E">
        <w:rPr>
          <w:rFonts w:ascii="Times New Roman" w:hAnsi="Times New Roman" w:cs="Times New Roman"/>
          <w:snapToGrid w:val="0"/>
          <w:lang w:val="lv-LV"/>
        </w:rPr>
        <w:t>valst</w:t>
      </w:r>
      <w:r>
        <w:rPr>
          <w:rFonts w:ascii="Times New Roman" w:hAnsi="Times New Roman" w:cs="Times New Roman"/>
          <w:snapToGrid w:val="0"/>
          <w:lang w:val="lv-LV"/>
        </w:rPr>
        <w:t xml:space="preserve">s </w:t>
      </w:r>
      <w:r w:rsidR="0013504E">
        <w:rPr>
          <w:rFonts w:ascii="Times New Roman" w:hAnsi="Times New Roman" w:cs="Times New Roman"/>
          <w:snapToGrid w:val="0"/>
          <w:lang w:val="lv-LV"/>
        </w:rPr>
        <w:t xml:space="preserve">līmeņa </w:t>
      </w:r>
      <w:r>
        <w:rPr>
          <w:rFonts w:ascii="Times New Roman" w:hAnsi="Times New Roman" w:cs="Times New Roman"/>
          <w:snapToGrid w:val="0"/>
          <w:lang w:val="lv-LV"/>
        </w:rPr>
        <w:t>finansējumu, ņemot vērā atbilstošo politiku, attīstības stratēģijas un valsts budžetu, un divpusēju un daudzpusēju finansējumu, kā arī privātā sektora iesaistīšanos.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2. Konvencijas īstenošanas vispārējā efektivitāte attiecībā uz jaunattīstības valstu pusēm tiks vērtēta pēc šā panta īstenošanas efektivitātes.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B576AE">
        <w:rPr>
          <w:rFonts w:ascii="Times New Roman" w:hAnsi="Times New Roman" w:cs="Times New Roman"/>
          <w:snapToGrid w:val="0"/>
          <w:lang w:val="lv-LV"/>
        </w:rPr>
        <w:t>3. Tiek ieteikts neatlie</w:t>
      </w:r>
      <w:r w:rsidR="00F86D8D" w:rsidRPr="00B576AE">
        <w:rPr>
          <w:rFonts w:ascii="Times New Roman" w:hAnsi="Times New Roman" w:cs="Times New Roman"/>
          <w:snapToGrid w:val="0"/>
          <w:lang w:val="lv-LV"/>
        </w:rPr>
        <w:t>kamā kārtā izmantot daudzpusēju</w:t>
      </w:r>
      <w:r w:rsidR="00B576AE" w:rsidRPr="00B576AE">
        <w:rPr>
          <w:rFonts w:ascii="Times New Roman" w:hAnsi="Times New Roman" w:cs="Times New Roman"/>
          <w:snapToGrid w:val="0"/>
          <w:lang w:val="lv-LV"/>
        </w:rPr>
        <w:t>s</w:t>
      </w:r>
      <w:r w:rsidR="00F86D8D" w:rsidRPr="00B576AE">
        <w:rPr>
          <w:rFonts w:ascii="Times New Roman" w:hAnsi="Times New Roman" w:cs="Times New Roman"/>
          <w:snapToGrid w:val="0"/>
          <w:lang w:val="lv-LV"/>
        </w:rPr>
        <w:t>, reģionālo</w:t>
      </w:r>
      <w:r w:rsidR="00B576AE" w:rsidRPr="00B576AE">
        <w:rPr>
          <w:rFonts w:ascii="Times New Roman" w:hAnsi="Times New Roman" w:cs="Times New Roman"/>
          <w:snapToGrid w:val="0"/>
          <w:lang w:val="lv-LV"/>
        </w:rPr>
        <w:t>s</w:t>
      </w:r>
      <w:r w:rsidRPr="00B576AE">
        <w:rPr>
          <w:rFonts w:ascii="Times New Roman" w:hAnsi="Times New Roman" w:cs="Times New Roman"/>
          <w:snapToGrid w:val="0"/>
          <w:lang w:val="lv-LV"/>
        </w:rPr>
        <w:t xml:space="preserve"> un di</w:t>
      </w:r>
      <w:r w:rsidR="00B576AE" w:rsidRPr="00B576AE">
        <w:rPr>
          <w:rFonts w:ascii="Times New Roman" w:hAnsi="Times New Roman" w:cs="Times New Roman"/>
          <w:snapToGrid w:val="0"/>
          <w:lang w:val="lv-LV"/>
        </w:rPr>
        <w:t>vpusējos finansiālās un tehniskās palīdzības</w:t>
      </w:r>
      <w:r w:rsidRPr="00B576AE">
        <w:rPr>
          <w:rFonts w:ascii="Times New Roman" w:hAnsi="Times New Roman" w:cs="Times New Roman"/>
          <w:snapToGrid w:val="0"/>
          <w:lang w:val="lv-LV"/>
        </w:rPr>
        <w:t xml:space="preserve">, kā arī </w:t>
      </w:r>
      <w:r w:rsidR="00B576AE" w:rsidRPr="00B576AE">
        <w:rPr>
          <w:rFonts w:ascii="Times New Roman" w:hAnsi="Times New Roman" w:cs="Times New Roman"/>
          <w:snapToGrid w:val="0"/>
          <w:lang w:val="lv-LV"/>
        </w:rPr>
        <w:t>r</w:t>
      </w:r>
      <w:r w:rsidR="00D9092E">
        <w:rPr>
          <w:rFonts w:ascii="Times New Roman" w:hAnsi="Times New Roman" w:cs="Times New Roman"/>
          <w:snapToGrid w:val="0"/>
          <w:lang w:val="lv-LV"/>
        </w:rPr>
        <w:t>īcībspējas</w:t>
      </w:r>
      <w:r w:rsidR="00B576AE" w:rsidRPr="00B576AE">
        <w:rPr>
          <w:rFonts w:ascii="Times New Roman" w:hAnsi="Times New Roman" w:cs="Times New Roman"/>
          <w:snapToGrid w:val="0"/>
          <w:lang w:val="lv-LV"/>
        </w:rPr>
        <w:t xml:space="preserve"> </w:t>
      </w:r>
      <w:r w:rsidRPr="00B576AE">
        <w:rPr>
          <w:rFonts w:ascii="Times New Roman" w:hAnsi="Times New Roman" w:cs="Times New Roman"/>
          <w:snapToGrid w:val="0"/>
          <w:lang w:val="lv-LV"/>
        </w:rPr>
        <w:t>palielināšanas un tehnoloģiju pārņemšanas avotus, lai uzlabotu un pastiprinātu pasākumus saistībā ar dzīvsudrabu, palīdzot jaunattīstības valstu pusēm īstenot šo konvenciju finanšu resursu, tehniskā palīdzības un tehnoloģiju pārņemšanas jomā.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4. Puses, veicot pasākumus saistībā ar finansējumu, pilnībā izvērtē individuālās vajadzības un īpašos apstākļus attiecībā uz tām pusēm, kas ir mazo salu jaunattīstības valstis vai vismazāk attīstītās valstis.</w:t>
      </w:r>
    </w:p>
    <w:p w:rsidR="0060722E" w:rsidRDefault="0060722E">
      <w:pPr>
        <w:jc w:val="both"/>
        <w:rPr>
          <w:rFonts w:ascii="Times New Roman" w:hAnsi="Times New Roman" w:cs="Times New Roman"/>
          <w:snapToGrid w:val="0"/>
          <w:lang w:val="lv-LV"/>
        </w:rPr>
      </w:pPr>
    </w:p>
    <w:p w:rsidR="0060722E" w:rsidRPr="00B576A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5. Šajā punktā ir definēts atbilstošu, prognozējamu un </w:t>
      </w:r>
      <w:r w:rsidR="00B576AE" w:rsidRPr="00B576AE">
        <w:rPr>
          <w:rFonts w:ascii="Times New Roman" w:hAnsi="Times New Roman" w:cs="Times New Roman"/>
          <w:snapToGrid w:val="0"/>
          <w:lang w:val="lv-LV"/>
        </w:rPr>
        <w:t>laikus sniegtu</w:t>
      </w:r>
      <w:r w:rsidRPr="00B576AE">
        <w:rPr>
          <w:rFonts w:ascii="Times New Roman" w:hAnsi="Times New Roman" w:cs="Times New Roman"/>
          <w:snapToGrid w:val="0"/>
          <w:lang w:val="lv-LV"/>
        </w:rPr>
        <w:t xml:space="preserve"> finanšu resursu nodrošināšanas mehānisms. Šis mehānisms paredzēts tam, lai palīdzētu pusēm, kuras ir jaunattīstības valstis un pārejas perioda valstis, īstenot savas konvencijā noteiktās saistības.</w:t>
      </w:r>
    </w:p>
    <w:p w:rsidR="0060722E" w:rsidRPr="00B576AE" w:rsidRDefault="0060722E">
      <w:pPr>
        <w:jc w:val="both"/>
        <w:rPr>
          <w:rFonts w:ascii="Times New Roman" w:hAnsi="Times New Roman" w:cs="Times New Roman"/>
          <w:snapToGrid w:val="0"/>
          <w:lang w:val="lv-LV"/>
        </w:rPr>
      </w:pPr>
    </w:p>
    <w:p w:rsidR="0060722E" w:rsidRPr="00B576AE" w:rsidRDefault="0060722E">
      <w:pPr>
        <w:jc w:val="both"/>
        <w:rPr>
          <w:rFonts w:ascii="Times New Roman" w:hAnsi="Times New Roman" w:cs="Times New Roman"/>
          <w:snapToGrid w:val="0"/>
          <w:lang w:val="lv-LV"/>
        </w:rPr>
      </w:pPr>
      <w:r w:rsidRPr="00B576AE">
        <w:rPr>
          <w:rFonts w:ascii="Times New Roman" w:hAnsi="Times New Roman" w:cs="Times New Roman"/>
          <w:snapToGrid w:val="0"/>
          <w:lang w:val="lv-LV"/>
        </w:rPr>
        <w:t>6. Šajā mehānismā ietilpst</w:t>
      </w:r>
    </w:p>
    <w:p w:rsidR="0060722E" w:rsidRPr="00B576AE" w:rsidRDefault="0060722E">
      <w:pPr>
        <w:jc w:val="both"/>
        <w:rPr>
          <w:rFonts w:ascii="Times New Roman" w:hAnsi="Times New Roman" w:cs="Times New Roman"/>
          <w:snapToGrid w:val="0"/>
          <w:lang w:val="lv-LV"/>
        </w:rPr>
      </w:pPr>
    </w:p>
    <w:p w:rsidR="0060722E" w:rsidRPr="00B576AE" w:rsidRDefault="00B576AE">
      <w:pPr>
        <w:jc w:val="both"/>
        <w:rPr>
          <w:rFonts w:ascii="Times New Roman" w:hAnsi="Times New Roman" w:cs="Times New Roman"/>
          <w:snapToGrid w:val="0"/>
          <w:lang w:val="lv-LV"/>
        </w:rPr>
      </w:pPr>
      <w:r>
        <w:rPr>
          <w:rFonts w:ascii="Times New Roman" w:hAnsi="Times New Roman" w:cs="Times New Roman"/>
          <w:snapToGrid w:val="0"/>
          <w:lang w:val="lv-LV"/>
        </w:rPr>
        <w:t>a) Pasaules V</w:t>
      </w:r>
      <w:r w:rsidR="0060722E" w:rsidRPr="00B576AE">
        <w:rPr>
          <w:rFonts w:ascii="Times New Roman" w:hAnsi="Times New Roman" w:cs="Times New Roman"/>
          <w:snapToGrid w:val="0"/>
          <w:lang w:val="lv-LV"/>
        </w:rPr>
        <w:t>ides fond</w:t>
      </w:r>
      <w:r w:rsidR="00FB6456">
        <w:rPr>
          <w:rFonts w:ascii="Times New Roman" w:hAnsi="Times New Roman" w:cs="Times New Roman"/>
          <w:snapToGrid w:val="0"/>
          <w:lang w:val="lv-LV"/>
        </w:rPr>
        <w:t>a Ieguldījumu fonds</w:t>
      </w:r>
      <w:r w:rsidR="0060722E" w:rsidRPr="00B576AE">
        <w:rPr>
          <w:rFonts w:ascii="Times New Roman" w:hAnsi="Times New Roman" w:cs="Times New Roman"/>
          <w:snapToGrid w:val="0"/>
          <w:lang w:val="lv-LV"/>
        </w:rPr>
        <w:t xml:space="preserve"> un</w:t>
      </w:r>
    </w:p>
    <w:p w:rsidR="0060722E" w:rsidRPr="00B576AE" w:rsidRDefault="0060722E">
      <w:pPr>
        <w:jc w:val="both"/>
        <w:rPr>
          <w:rFonts w:ascii="Times New Roman" w:hAnsi="Times New Roman" w:cs="Times New Roman"/>
          <w:snapToGrid w:val="0"/>
          <w:lang w:val="lv-LV"/>
        </w:rPr>
      </w:pPr>
    </w:p>
    <w:p w:rsidR="0060722E" w:rsidRPr="00B576AE" w:rsidRDefault="0060722E">
      <w:pPr>
        <w:jc w:val="both"/>
        <w:rPr>
          <w:rFonts w:ascii="Times New Roman" w:hAnsi="Times New Roman" w:cs="Times New Roman"/>
          <w:snapToGrid w:val="0"/>
          <w:lang w:val="lv-LV"/>
        </w:rPr>
      </w:pPr>
      <w:r w:rsidRPr="00B576AE">
        <w:rPr>
          <w:rFonts w:ascii="Times New Roman" w:hAnsi="Times New Roman" w:cs="Times New Roman"/>
          <w:snapToGrid w:val="0"/>
          <w:lang w:val="lv-LV"/>
        </w:rPr>
        <w:t>b) īpaša starptautiska programma r</w:t>
      </w:r>
      <w:r w:rsidR="00D9092E">
        <w:rPr>
          <w:rFonts w:ascii="Times New Roman" w:hAnsi="Times New Roman" w:cs="Times New Roman"/>
          <w:snapToGrid w:val="0"/>
          <w:lang w:val="lv-LV"/>
        </w:rPr>
        <w:t>īcībspējas</w:t>
      </w:r>
      <w:r w:rsidRPr="00B576AE">
        <w:rPr>
          <w:rFonts w:ascii="Times New Roman" w:hAnsi="Times New Roman" w:cs="Times New Roman"/>
          <w:snapToGrid w:val="0"/>
          <w:lang w:val="lv-LV"/>
        </w:rPr>
        <w:t xml:space="preserve"> palielināšanas un tehniskās palīdzības atbalstam.</w:t>
      </w:r>
    </w:p>
    <w:p w:rsidR="0060722E" w:rsidRPr="00B576A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B576AE">
        <w:rPr>
          <w:rFonts w:ascii="Times New Roman" w:hAnsi="Times New Roman" w:cs="Times New Roman"/>
          <w:snapToGrid w:val="0"/>
          <w:lang w:val="lv-LV"/>
        </w:rPr>
        <w:t xml:space="preserve">7. </w:t>
      </w:r>
      <w:r w:rsidR="00B576AE" w:rsidRPr="00B576AE">
        <w:rPr>
          <w:rFonts w:ascii="Times New Roman" w:hAnsi="Times New Roman" w:cs="Times New Roman"/>
          <w:snapToGrid w:val="0"/>
          <w:lang w:val="lv-LV"/>
        </w:rPr>
        <w:t>Pasaules V</w:t>
      </w:r>
      <w:r w:rsidRPr="00B576AE">
        <w:rPr>
          <w:rFonts w:ascii="Times New Roman" w:hAnsi="Times New Roman" w:cs="Times New Roman"/>
          <w:snapToGrid w:val="0"/>
          <w:lang w:val="lv-LV"/>
        </w:rPr>
        <w:t xml:space="preserve">ides </w:t>
      </w:r>
      <w:r w:rsidR="00FB6456">
        <w:rPr>
          <w:rFonts w:ascii="Times New Roman" w:hAnsi="Times New Roman" w:cs="Times New Roman"/>
          <w:snapToGrid w:val="0"/>
          <w:lang w:val="lv-LV"/>
        </w:rPr>
        <w:t>fonda Ieguldījumu fonds</w:t>
      </w:r>
      <w:r w:rsidRPr="00B576AE">
        <w:rPr>
          <w:rFonts w:ascii="Times New Roman" w:hAnsi="Times New Roman" w:cs="Times New Roman"/>
          <w:snapToGrid w:val="0"/>
          <w:lang w:val="lv-LV"/>
        </w:rPr>
        <w:t xml:space="preserve"> nodrošina</w:t>
      </w:r>
      <w:r w:rsidR="00B576AE" w:rsidRPr="00B576AE">
        <w:rPr>
          <w:rFonts w:ascii="Times New Roman" w:hAnsi="Times New Roman" w:cs="Times New Roman"/>
          <w:snapToGrid w:val="0"/>
          <w:lang w:val="lv-LV"/>
        </w:rPr>
        <w:t xml:space="preserve"> ar jauniem, prognozējamiem, atbilstošiem un laik</w:t>
      </w:r>
      <w:r w:rsidRPr="00B576AE">
        <w:rPr>
          <w:rFonts w:ascii="Times New Roman" w:hAnsi="Times New Roman" w:cs="Times New Roman"/>
          <w:snapToGrid w:val="0"/>
          <w:lang w:val="lv-LV"/>
        </w:rPr>
        <w:t xml:space="preserve">us </w:t>
      </w:r>
      <w:r w:rsidR="00B576AE" w:rsidRPr="00B576AE">
        <w:rPr>
          <w:rFonts w:ascii="Times New Roman" w:hAnsi="Times New Roman" w:cs="Times New Roman"/>
          <w:snapToGrid w:val="0"/>
          <w:lang w:val="lv-LV"/>
        </w:rPr>
        <w:t>sniegtiem finanšu resursiem</w:t>
      </w:r>
      <w:r w:rsidRPr="00B576AE">
        <w:rPr>
          <w:rFonts w:ascii="Times New Roman" w:hAnsi="Times New Roman" w:cs="Times New Roman"/>
          <w:snapToGrid w:val="0"/>
          <w:lang w:val="lv-LV"/>
        </w:rPr>
        <w:t xml:space="preserve">, lai palīdzētu </w:t>
      </w:r>
      <w:r w:rsidR="00B576AE" w:rsidRPr="00B576AE">
        <w:rPr>
          <w:rFonts w:ascii="Times New Roman" w:hAnsi="Times New Roman" w:cs="Times New Roman"/>
          <w:snapToGrid w:val="0"/>
          <w:lang w:val="lv-LV"/>
        </w:rPr>
        <w:t>seg</w:t>
      </w:r>
      <w:r w:rsidRPr="00B576AE">
        <w:rPr>
          <w:rFonts w:ascii="Times New Roman" w:hAnsi="Times New Roman" w:cs="Times New Roman"/>
          <w:snapToGrid w:val="0"/>
          <w:lang w:val="lv-LV"/>
        </w:rPr>
        <w:t xml:space="preserve">t konvencijas īstenošanas izmaksas, kā par to vienojusies pušu konference. Saistībā </w:t>
      </w:r>
      <w:r w:rsidR="00B576AE" w:rsidRPr="00B576AE">
        <w:rPr>
          <w:rFonts w:ascii="Times New Roman" w:hAnsi="Times New Roman" w:cs="Times New Roman"/>
          <w:snapToGrid w:val="0"/>
          <w:lang w:val="lv-LV"/>
        </w:rPr>
        <w:t>ar šo konvenciju Pasaules V</w:t>
      </w:r>
      <w:r w:rsidRPr="00B576AE">
        <w:rPr>
          <w:rFonts w:ascii="Times New Roman" w:hAnsi="Times New Roman" w:cs="Times New Roman"/>
          <w:snapToGrid w:val="0"/>
          <w:lang w:val="lv-LV"/>
        </w:rPr>
        <w:t xml:space="preserve">ides </w:t>
      </w:r>
      <w:r w:rsidR="00FB6456">
        <w:rPr>
          <w:rFonts w:ascii="Times New Roman" w:hAnsi="Times New Roman" w:cs="Times New Roman"/>
          <w:snapToGrid w:val="0"/>
          <w:lang w:val="lv-LV"/>
        </w:rPr>
        <w:t>fonda Ieguldījumu fonds</w:t>
      </w:r>
      <w:r w:rsidR="00FB6456" w:rsidRPr="00B576AE">
        <w:rPr>
          <w:rFonts w:ascii="Times New Roman" w:hAnsi="Times New Roman" w:cs="Times New Roman"/>
          <w:snapToGrid w:val="0"/>
          <w:lang w:val="lv-LV"/>
        </w:rPr>
        <w:t xml:space="preserve"> </w:t>
      </w:r>
      <w:r w:rsidRPr="00B576AE">
        <w:rPr>
          <w:rFonts w:ascii="Times New Roman" w:hAnsi="Times New Roman" w:cs="Times New Roman"/>
          <w:snapToGrid w:val="0"/>
          <w:lang w:val="lv-LV"/>
        </w:rPr>
        <w:t xml:space="preserve">darbojas pušu konferences vadībā un </w:t>
      </w:r>
      <w:r w:rsidR="00B576AE" w:rsidRPr="00B576AE">
        <w:rPr>
          <w:rFonts w:ascii="Times New Roman" w:hAnsi="Times New Roman" w:cs="Times New Roman"/>
          <w:snapToGrid w:val="0"/>
          <w:lang w:val="lv-LV"/>
        </w:rPr>
        <w:t xml:space="preserve">tai </w:t>
      </w:r>
      <w:r w:rsidRPr="00B576AE">
        <w:rPr>
          <w:rFonts w:ascii="Times New Roman" w:hAnsi="Times New Roman" w:cs="Times New Roman"/>
          <w:snapToGrid w:val="0"/>
          <w:lang w:val="lv-LV"/>
        </w:rPr>
        <w:t xml:space="preserve">atskaitās. Pušu konference sniedz norādījumus attiecībā uz vispārējām stratēģijām, politiku, programmu prioritātēm un atbilstības kritērijiem finanšu resursu pieejamības un izmantošanas jomā. </w:t>
      </w:r>
      <w:r w:rsidR="00B576AE" w:rsidRPr="00B576AE">
        <w:rPr>
          <w:rFonts w:ascii="Times New Roman" w:hAnsi="Times New Roman" w:cs="Times New Roman"/>
          <w:snapToGrid w:val="0"/>
          <w:lang w:val="lv-LV"/>
        </w:rPr>
        <w:t xml:space="preserve">Turklāt </w:t>
      </w:r>
      <w:r w:rsidRPr="00B576AE">
        <w:rPr>
          <w:rFonts w:ascii="Times New Roman" w:hAnsi="Times New Roman" w:cs="Times New Roman"/>
          <w:snapToGrid w:val="0"/>
          <w:lang w:val="lv-LV"/>
        </w:rPr>
        <w:t xml:space="preserve">pušu konference sniedz </w:t>
      </w:r>
      <w:r w:rsidRPr="009B1EC0">
        <w:rPr>
          <w:rFonts w:ascii="Times New Roman" w:hAnsi="Times New Roman" w:cs="Times New Roman"/>
          <w:snapToGrid w:val="0"/>
          <w:lang w:val="lv-LV"/>
        </w:rPr>
        <w:t>norādījumus, izstrādājot paredzamo pasākumu kategoriju sarakstu,</w:t>
      </w:r>
      <w:r w:rsidR="009B1EC0" w:rsidRPr="009B1EC0">
        <w:rPr>
          <w:rFonts w:ascii="Times New Roman" w:hAnsi="Times New Roman" w:cs="Times New Roman"/>
          <w:snapToGrid w:val="0"/>
          <w:lang w:val="lv-LV"/>
        </w:rPr>
        <w:t xml:space="preserve"> kurus Pasaules V</w:t>
      </w:r>
      <w:r w:rsidRPr="009B1EC0">
        <w:rPr>
          <w:rFonts w:ascii="Times New Roman" w:hAnsi="Times New Roman" w:cs="Times New Roman"/>
          <w:snapToGrid w:val="0"/>
          <w:lang w:val="lv-LV"/>
        </w:rPr>
        <w:t xml:space="preserve">ides </w:t>
      </w:r>
      <w:r w:rsidR="00FB6456">
        <w:rPr>
          <w:rFonts w:ascii="Times New Roman" w:hAnsi="Times New Roman" w:cs="Times New Roman"/>
          <w:snapToGrid w:val="0"/>
          <w:lang w:val="lv-LV"/>
        </w:rPr>
        <w:t>fonda Ieguldījumu fonds</w:t>
      </w:r>
      <w:r w:rsidR="00FB6456" w:rsidRPr="00B576AE">
        <w:rPr>
          <w:rFonts w:ascii="Times New Roman" w:hAnsi="Times New Roman" w:cs="Times New Roman"/>
          <w:snapToGrid w:val="0"/>
          <w:lang w:val="lv-LV"/>
        </w:rPr>
        <w:t xml:space="preserve"> </w:t>
      </w:r>
      <w:r w:rsidRPr="009B1EC0">
        <w:rPr>
          <w:rFonts w:ascii="Times New Roman" w:hAnsi="Times New Roman" w:cs="Times New Roman"/>
          <w:snapToGrid w:val="0"/>
          <w:lang w:val="lv-LV"/>
        </w:rPr>
        <w:t xml:space="preserve">varētu atbalstīt. </w:t>
      </w:r>
      <w:r w:rsidR="009B1EC0" w:rsidRPr="009B1EC0">
        <w:rPr>
          <w:rFonts w:ascii="Times New Roman" w:hAnsi="Times New Roman" w:cs="Times New Roman"/>
          <w:snapToGrid w:val="0"/>
          <w:lang w:val="lv-LV"/>
        </w:rPr>
        <w:t>Pasaules V</w:t>
      </w:r>
      <w:r w:rsidRPr="009B1EC0">
        <w:rPr>
          <w:rFonts w:ascii="Times New Roman" w:hAnsi="Times New Roman" w:cs="Times New Roman"/>
          <w:snapToGrid w:val="0"/>
          <w:lang w:val="lv-LV"/>
        </w:rPr>
        <w:t xml:space="preserve">ides </w:t>
      </w:r>
      <w:r w:rsidR="00FB6456">
        <w:rPr>
          <w:rFonts w:ascii="Times New Roman" w:hAnsi="Times New Roman" w:cs="Times New Roman"/>
          <w:snapToGrid w:val="0"/>
          <w:lang w:val="lv-LV"/>
        </w:rPr>
        <w:t>fonda Ieguldījumu fonds</w:t>
      </w:r>
      <w:r w:rsidR="00FB6456" w:rsidRPr="00B576AE">
        <w:rPr>
          <w:rFonts w:ascii="Times New Roman" w:hAnsi="Times New Roman" w:cs="Times New Roman"/>
          <w:snapToGrid w:val="0"/>
          <w:lang w:val="lv-LV"/>
        </w:rPr>
        <w:t xml:space="preserve"> </w:t>
      </w:r>
      <w:r w:rsidRPr="009B1EC0">
        <w:rPr>
          <w:rFonts w:ascii="Times New Roman" w:hAnsi="Times New Roman" w:cs="Times New Roman"/>
          <w:snapToGrid w:val="0"/>
          <w:lang w:val="lv-LV"/>
        </w:rPr>
        <w:t xml:space="preserve">nodrošina </w:t>
      </w:r>
      <w:r w:rsidR="009B1EC0" w:rsidRPr="009B1EC0">
        <w:rPr>
          <w:rFonts w:ascii="Times New Roman" w:hAnsi="Times New Roman" w:cs="Times New Roman"/>
          <w:snapToGrid w:val="0"/>
          <w:lang w:val="lv-LV"/>
        </w:rPr>
        <w:t>ar resursiem</w:t>
      </w:r>
      <w:r w:rsidRPr="009B1EC0">
        <w:rPr>
          <w:rFonts w:ascii="Times New Roman" w:hAnsi="Times New Roman" w:cs="Times New Roman"/>
          <w:snapToGrid w:val="0"/>
          <w:lang w:val="lv-LV"/>
        </w:rPr>
        <w:t xml:space="preserve">, lai </w:t>
      </w:r>
      <w:r w:rsidR="009B1EC0" w:rsidRPr="009B1EC0">
        <w:rPr>
          <w:rFonts w:ascii="Times New Roman" w:hAnsi="Times New Roman" w:cs="Times New Roman"/>
          <w:snapToGrid w:val="0"/>
          <w:lang w:val="lv-LV"/>
        </w:rPr>
        <w:t>seg</w:t>
      </w:r>
      <w:r w:rsidRPr="009B1EC0">
        <w:rPr>
          <w:rFonts w:ascii="Times New Roman" w:hAnsi="Times New Roman" w:cs="Times New Roman"/>
          <w:snapToGrid w:val="0"/>
          <w:lang w:val="lv-LV"/>
        </w:rPr>
        <w:t xml:space="preserve">tu savstarpēji apstiprinātos izdevumus, kas saistīti ar starptautiskiem ieguvumiem vides aizsardzības jomā, un lai pilnībā </w:t>
      </w:r>
      <w:r w:rsidR="009B1EC0" w:rsidRPr="009B1EC0">
        <w:rPr>
          <w:rFonts w:ascii="Times New Roman" w:hAnsi="Times New Roman" w:cs="Times New Roman"/>
          <w:snapToGrid w:val="0"/>
          <w:lang w:val="lv-LV"/>
        </w:rPr>
        <w:t>seg</w:t>
      </w:r>
      <w:r w:rsidRPr="009B1EC0">
        <w:rPr>
          <w:rFonts w:ascii="Times New Roman" w:hAnsi="Times New Roman" w:cs="Times New Roman"/>
          <w:snapToGrid w:val="0"/>
          <w:lang w:val="lv-LV"/>
        </w:rPr>
        <w:t xml:space="preserve">tu </w:t>
      </w:r>
      <w:r w:rsidR="009B1EC0" w:rsidRPr="009B1EC0">
        <w:rPr>
          <w:rFonts w:ascii="Times New Roman" w:hAnsi="Times New Roman" w:cs="Times New Roman"/>
          <w:snapToGrid w:val="0"/>
          <w:lang w:val="lv-LV"/>
        </w:rPr>
        <w:t>izmaksas</w:t>
      </w:r>
      <w:r w:rsidR="000F6E3B">
        <w:rPr>
          <w:rFonts w:ascii="Times New Roman" w:hAnsi="Times New Roman" w:cs="Times New Roman"/>
          <w:snapToGrid w:val="0"/>
          <w:lang w:val="lv-LV"/>
        </w:rPr>
        <w:t xml:space="preserve"> </w:t>
      </w:r>
      <w:r w:rsidR="009B1EC0" w:rsidRPr="009B1EC0">
        <w:rPr>
          <w:rFonts w:ascii="Times New Roman" w:hAnsi="Times New Roman" w:cs="Times New Roman"/>
          <w:snapToGrid w:val="0"/>
          <w:lang w:val="lv-LV"/>
        </w:rPr>
        <w:t>saistībā ar atsevišķiem savstarpēji apstiprinātiem</w:t>
      </w:r>
      <w:r w:rsidRPr="009B1EC0">
        <w:rPr>
          <w:rFonts w:ascii="Times New Roman" w:hAnsi="Times New Roman" w:cs="Times New Roman"/>
          <w:snapToGrid w:val="0"/>
          <w:lang w:val="lv-LV"/>
        </w:rPr>
        <w:t xml:space="preserve"> rīcības nodroši</w:t>
      </w:r>
      <w:r w:rsidR="009B1EC0" w:rsidRPr="009B1EC0">
        <w:rPr>
          <w:rFonts w:ascii="Times New Roman" w:hAnsi="Times New Roman" w:cs="Times New Roman"/>
          <w:snapToGrid w:val="0"/>
          <w:lang w:val="lv-LV"/>
        </w:rPr>
        <w:t>nāšanas pasākumiem</w:t>
      </w:r>
      <w:r w:rsidRPr="009B1EC0">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8. Nodrošinot </w:t>
      </w:r>
      <w:r w:rsidR="009B1EC0">
        <w:rPr>
          <w:rFonts w:ascii="Times New Roman" w:hAnsi="Times New Roman" w:cs="Times New Roman"/>
          <w:snapToGrid w:val="0"/>
          <w:lang w:val="lv-LV"/>
        </w:rPr>
        <w:t xml:space="preserve">ar </w:t>
      </w:r>
      <w:r w:rsidR="00420DA4">
        <w:rPr>
          <w:rFonts w:ascii="Times New Roman" w:hAnsi="Times New Roman" w:cs="Times New Roman"/>
          <w:snapToGrid w:val="0"/>
          <w:lang w:val="lv-LV"/>
        </w:rPr>
        <w:t>rīc</w:t>
      </w:r>
      <w:r w:rsidR="009B1EC0">
        <w:rPr>
          <w:rFonts w:ascii="Times New Roman" w:hAnsi="Times New Roman" w:cs="Times New Roman"/>
          <w:snapToGrid w:val="0"/>
          <w:lang w:val="lv-LV"/>
        </w:rPr>
        <w:t>ībai nepieciešamajiem resursiem</w:t>
      </w:r>
      <w:r w:rsidR="00420DA4">
        <w:rPr>
          <w:rFonts w:ascii="Times New Roman" w:hAnsi="Times New Roman" w:cs="Times New Roman"/>
          <w:snapToGrid w:val="0"/>
          <w:lang w:val="lv-LV"/>
        </w:rPr>
        <w:t>, P</w:t>
      </w:r>
      <w:r>
        <w:rPr>
          <w:rFonts w:ascii="Times New Roman" w:hAnsi="Times New Roman" w:cs="Times New Roman"/>
          <w:snapToGrid w:val="0"/>
          <w:lang w:val="lv-LV"/>
        </w:rPr>
        <w:t>a</w:t>
      </w:r>
      <w:r w:rsidR="00420DA4">
        <w:rPr>
          <w:rFonts w:ascii="Times New Roman" w:hAnsi="Times New Roman" w:cs="Times New Roman"/>
          <w:snapToGrid w:val="0"/>
          <w:lang w:val="lv-LV"/>
        </w:rPr>
        <w:t>saules V</w:t>
      </w:r>
      <w:r>
        <w:rPr>
          <w:rFonts w:ascii="Times New Roman" w:hAnsi="Times New Roman" w:cs="Times New Roman"/>
          <w:snapToGrid w:val="0"/>
          <w:lang w:val="lv-LV"/>
        </w:rPr>
        <w:t xml:space="preserve">ides </w:t>
      </w:r>
      <w:r w:rsidR="00FB6456">
        <w:rPr>
          <w:rFonts w:ascii="Times New Roman" w:hAnsi="Times New Roman" w:cs="Times New Roman"/>
          <w:snapToGrid w:val="0"/>
          <w:lang w:val="lv-LV"/>
        </w:rPr>
        <w:t>fonda Ieguldījumu fonds</w:t>
      </w:r>
      <w:r w:rsidR="00FB6456" w:rsidRPr="00B576AE">
        <w:rPr>
          <w:rFonts w:ascii="Times New Roman" w:hAnsi="Times New Roman" w:cs="Times New Roman"/>
          <w:snapToGrid w:val="0"/>
          <w:lang w:val="lv-LV"/>
        </w:rPr>
        <w:t xml:space="preserve"> </w:t>
      </w:r>
      <w:r>
        <w:rPr>
          <w:rFonts w:ascii="Times New Roman" w:hAnsi="Times New Roman" w:cs="Times New Roman"/>
          <w:snapToGrid w:val="0"/>
          <w:lang w:val="lv-LV"/>
        </w:rPr>
        <w:t xml:space="preserve">jāņem vērā </w:t>
      </w:r>
      <w:r w:rsidR="00420DA4">
        <w:rPr>
          <w:rFonts w:ascii="Times New Roman" w:hAnsi="Times New Roman" w:cs="Times New Roman"/>
          <w:snapToGrid w:val="0"/>
          <w:lang w:val="lv-LV"/>
        </w:rPr>
        <w:t>saistībā ar ieteikto rīcību panāktais</w:t>
      </w:r>
      <w:r>
        <w:rPr>
          <w:rFonts w:ascii="Times New Roman" w:hAnsi="Times New Roman" w:cs="Times New Roman"/>
          <w:snapToGrid w:val="0"/>
          <w:lang w:val="lv-LV"/>
        </w:rPr>
        <w:t xml:space="preserve"> potenciālais dzīvsudraba samazinājums, salīdzinot ar tā izmaksām.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9. </w:t>
      </w:r>
      <w:r w:rsidRPr="00420DA4">
        <w:rPr>
          <w:rFonts w:ascii="Times New Roman" w:hAnsi="Times New Roman" w:cs="Times New Roman"/>
          <w:snapToGrid w:val="0"/>
          <w:lang w:val="lv-LV"/>
        </w:rPr>
        <w:t xml:space="preserve">Saistībā ar šo konvenciju 6. punkta b) apakšpunktā minētā programma </w:t>
      </w:r>
      <w:r w:rsidR="00420DA4" w:rsidRPr="00420DA4">
        <w:rPr>
          <w:rFonts w:ascii="Times New Roman" w:hAnsi="Times New Roman" w:cs="Times New Roman"/>
          <w:snapToGrid w:val="0"/>
          <w:lang w:val="lv-LV"/>
        </w:rPr>
        <w:t xml:space="preserve">tiek īstenota </w:t>
      </w:r>
      <w:r w:rsidRPr="00420DA4">
        <w:rPr>
          <w:rFonts w:ascii="Times New Roman" w:hAnsi="Times New Roman" w:cs="Times New Roman"/>
          <w:snapToGrid w:val="0"/>
          <w:lang w:val="lv-LV"/>
        </w:rPr>
        <w:t>pušu konferences vadībā</w:t>
      </w:r>
      <w:r w:rsidR="00420DA4" w:rsidRPr="00420DA4">
        <w:rPr>
          <w:rFonts w:ascii="Times New Roman" w:hAnsi="Times New Roman" w:cs="Times New Roman"/>
          <w:snapToGrid w:val="0"/>
          <w:lang w:val="lv-LV"/>
        </w:rPr>
        <w:t>, kurai</w:t>
      </w:r>
      <w:r w:rsidRPr="00420DA4">
        <w:rPr>
          <w:rFonts w:ascii="Times New Roman" w:hAnsi="Times New Roman" w:cs="Times New Roman"/>
          <w:snapToGrid w:val="0"/>
          <w:lang w:val="lv-LV"/>
        </w:rPr>
        <w:t xml:space="preserve"> </w:t>
      </w:r>
      <w:r w:rsidR="00420DA4" w:rsidRPr="00420DA4">
        <w:rPr>
          <w:rFonts w:ascii="Times New Roman" w:hAnsi="Times New Roman" w:cs="Times New Roman"/>
          <w:snapToGrid w:val="0"/>
          <w:lang w:val="lv-LV"/>
        </w:rPr>
        <w:t xml:space="preserve">šīs programmas īstenotāji </w:t>
      </w:r>
      <w:r w:rsidRPr="00420DA4">
        <w:rPr>
          <w:rFonts w:ascii="Times New Roman" w:hAnsi="Times New Roman" w:cs="Times New Roman"/>
          <w:snapToGrid w:val="0"/>
          <w:lang w:val="lv-LV"/>
        </w:rPr>
        <w:t xml:space="preserve">atskaitās. Savā pirmajā sanāksmē pušu konference lemj par institūciju, kura vadīs šo programmu un kurai jābūt jau </w:t>
      </w:r>
      <w:r w:rsidR="00862D25" w:rsidRPr="00420DA4">
        <w:rPr>
          <w:rFonts w:ascii="Times New Roman" w:hAnsi="Times New Roman" w:cs="Times New Roman"/>
          <w:snapToGrid w:val="0"/>
          <w:lang w:val="lv-LV"/>
        </w:rPr>
        <w:t>es</w:t>
      </w:r>
      <w:r w:rsidRPr="00420DA4">
        <w:rPr>
          <w:rFonts w:ascii="Times New Roman" w:hAnsi="Times New Roman" w:cs="Times New Roman"/>
          <w:snapToGrid w:val="0"/>
          <w:lang w:val="lv-LV"/>
        </w:rPr>
        <w:t>ošai struktūrvienībai, un sniedz tai norādījumus, tostarp par programmas ilgumu. Visas puses un citas atbilstošās ieinteresētās per</w:t>
      </w:r>
      <w:r w:rsidR="00420DA4">
        <w:rPr>
          <w:rFonts w:ascii="Times New Roman" w:hAnsi="Times New Roman" w:cs="Times New Roman"/>
          <w:snapToGrid w:val="0"/>
          <w:lang w:val="lv-LV"/>
        </w:rPr>
        <w:t>sonas tiek aicinātas brīvprātīgi</w:t>
      </w:r>
      <w:r w:rsidRPr="00420DA4">
        <w:rPr>
          <w:rFonts w:ascii="Times New Roman" w:hAnsi="Times New Roman" w:cs="Times New Roman"/>
          <w:snapToGrid w:val="0"/>
          <w:lang w:val="lv-LV"/>
        </w:rPr>
        <w:t xml:space="preserve"> nodrošināt </w:t>
      </w:r>
      <w:r w:rsidR="00420DA4">
        <w:rPr>
          <w:rFonts w:ascii="Times New Roman" w:hAnsi="Times New Roman" w:cs="Times New Roman"/>
          <w:snapToGrid w:val="0"/>
          <w:lang w:val="lv-LV"/>
        </w:rPr>
        <w:t xml:space="preserve">ar </w:t>
      </w:r>
      <w:r w:rsidRPr="00420DA4">
        <w:rPr>
          <w:rFonts w:ascii="Times New Roman" w:hAnsi="Times New Roman" w:cs="Times New Roman"/>
          <w:snapToGrid w:val="0"/>
          <w:lang w:val="lv-LV"/>
        </w:rPr>
        <w:t xml:space="preserve">programmai </w:t>
      </w:r>
      <w:r w:rsidR="00420DA4">
        <w:rPr>
          <w:rFonts w:ascii="Times New Roman" w:hAnsi="Times New Roman" w:cs="Times New Roman"/>
          <w:snapToGrid w:val="0"/>
          <w:lang w:val="lv-LV"/>
        </w:rPr>
        <w:t>nepieciešamajiem finanšu resursiem</w:t>
      </w:r>
      <w:r w:rsidRPr="00420DA4">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10. Pušu konference un mehānismā ietilpstošās struktūrvienības pirmajā pušu konferences sanāksmē vienojas par pasākumiem, kas nepieciešami, lai īstenotu iepriekšminētajos punktos noteikto.</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11. Pušu konference ne vēlāk kā savā trešajā sanāksmē un pēc tam regulāri izskata finansējuma līmeni un pušu konferences sniegtos norādījumus tām struktūrvienībām, kurām tika uzticēts vadīt saskaņā ar šo pantu izveidoto mehānismu, un to darbības efektivitāti, un to spēju nodrošināt to pušu vajadzības, kas ir jaunattīstības valstis vai pārejas perioda valstis. Pamatojoties uz šo izskatīšanu, pušu konference atbilstoši rīkojas, lai uzlabotu mehānisma efektivitāti.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18" w:name="bookmark18"/>
      <w:r>
        <w:rPr>
          <w:rFonts w:ascii="Times New Roman" w:hAnsi="Times New Roman" w:cs="Times New Roman"/>
          <w:snapToGrid w:val="0"/>
          <w:lang w:val="lv-LV"/>
        </w:rPr>
        <w:t xml:space="preserve">12. Visas puses tiek aicinātas </w:t>
      </w:r>
      <w:r w:rsidR="00193100">
        <w:rPr>
          <w:rFonts w:ascii="Times New Roman" w:hAnsi="Times New Roman" w:cs="Times New Roman"/>
          <w:snapToGrid w:val="0"/>
          <w:lang w:val="lv-LV"/>
        </w:rPr>
        <w:t>atbilstoši iespējām</w:t>
      </w:r>
      <w:r>
        <w:rPr>
          <w:rFonts w:ascii="Times New Roman" w:hAnsi="Times New Roman" w:cs="Times New Roman"/>
          <w:snapToGrid w:val="0"/>
          <w:lang w:val="lv-LV"/>
        </w:rPr>
        <w:t xml:space="preserve"> sekmēt mehānisma darbību. Mehānismam ir jāveicina resursu nodrošināšana no citiem avotiem, </w:t>
      </w:r>
      <w:r w:rsidR="00193100">
        <w:rPr>
          <w:rFonts w:ascii="Times New Roman" w:hAnsi="Times New Roman" w:cs="Times New Roman"/>
          <w:snapToGrid w:val="0"/>
          <w:lang w:val="lv-LV"/>
        </w:rPr>
        <w:t>tostarp no privātā</w:t>
      </w:r>
      <w:r>
        <w:rPr>
          <w:rFonts w:ascii="Times New Roman" w:hAnsi="Times New Roman" w:cs="Times New Roman"/>
          <w:snapToGrid w:val="0"/>
          <w:lang w:val="lv-LV"/>
        </w:rPr>
        <w:t xml:space="preserve"> s</w:t>
      </w:r>
      <w:r w:rsidR="00193100">
        <w:rPr>
          <w:rFonts w:ascii="Times New Roman" w:hAnsi="Times New Roman" w:cs="Times New Roman"/>
          <w:snapToGrid w:val="0"/>
          <w:lang w:val="lv-LV"/>
        </w:rPr>
        <w:t>ektora, un ir jācenšas līdzsvarot šo</w:t>
      </w:r>
      <w:r>
        <w:rPr>
          <w:rFonts w:ascii="Times New Roman" w:hAnsi="Times New Roman" w:cs="Times New Roman"/>
          <w:snapToGrid w:val="0"/>
          <w:lang w:val="lv-LV"/>
        </w:rPr>
        <w:t>s resursus starp dažādiem atbalstītajiem pasākumiem.</w:t>
      </w:r>
    </w:p>
    <w:bookmarkEnd w:id="18"/>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14.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bookmarkStart w:id="19" w:name="bookmark19"/>
      <w:r>
        <w:rPr>
          <w:rFonts w:ascii="Times New Roman" w:hAnsi="Times New Roman" w:cs="Times New Roman"/>
          <w:b/>
          <w:bCs/>
          <w:snapToGrid w:val="0"/>
          <w:sz w:val="28"/>
          <w:szCs w:val="28"/>
          <w:lang w:val="lv-LV"/>
        </w:rPr>
        <w:t>R</w:t>
      </w:r>
      <w:r w:rsidR="00D9092E">
        <w:rPr>
          <w:rFonts w:ascii="Times New Roman" w:hAnsi="Times New Roman" w:cs="Times New Roman"/>
          <w:b/>
          <w:bCs/>
          <w:snapToGrid w:val="0"/>
          <w:sz w:val="28"/>
          <w:szCs w:val="28"/>
          <w:lang w:val="lv-LV"/>
        </w:rPr>
        <w:t>īcībspējas</w:t>
      </w:r>
      <w:r>
        <w:rPr>
          <w:rFonts w:ascii="Times New Roman" w:hAnsi="Times New Roman" w:cs="Times New Roman"/>
          <w:b/>
          <w:bCs/>
          <w:snapToGrid w:val="0"/>
          <w:sz w:val="28"/>
          <w:szCs w:val="28"/>
          <w:lang w:val="lv-LV"/>
        </w:rPr>
        <w:t xml:space="preserve"> palielināšana, tehniskā palīdzība un tehnoloģiju pārņemšana</w:t>
      </w:r>
    </w:p>
    <w:bookmarkEnd w:id="19"/>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r w:rsidRPr="00752497">
        <w:rPr>
          <w:rFonts w:ascii="Times New Roman" w:hAnsi="Times New Roman" w:cs="Times New Roman"/>
          <w:snapToGrid w:val="0"/>
          <w:lang w:val="lv-LV"/>
        </w:rPr>
        <w:t xml:space="preserve">1. Puses sadarbojas, lai </w:t>
      </w:r>
      <w:r w:rsidR="00193100" w:rsidRPr="00752497">
        <w:rPr>
          <w:rFonts w:ascii="Times New Roman" w:hAnsi="Times New Roman" w:cs="Times New Roman"/>
          <w:snapToGrid w:val="0"/>
          <w:lang w:val="lv-LV"/>
        </w:rPr>
        <w:t xml:space="preserve">atbilstoši iespējām nodrošinātu </w:t>
      </w:r>
      <w:r w:rsidRPr="00752497">
        <w:rPr>
          <w:rFonts w:ascii="Times New Roman" w:hAnsi="Times New Roman" w:cs="Times New Roman"/>
          <w:snapToGrid w:val="0"/>
          <w:lang w:val="lv-LV"/>
        </w:rPr>
        <w:t>laicīgu un atbilstošu r</w:t>
      </w:r>
      <w:r w:rsidR="00D9092E">
        <w:rPr>
          <w:rFonts w:ascii="Times New Roman" w:hAnsi="Times New Roman" w:cs="Times New Roman"/>
          <w:snapToGrid w:val="0"/>
          <w:lang w:val="lv-LV"/>
        </w:rPr>
        <w:t>īcībspējas</w:t>
      </w:r>
      <w:r w:rsidRPr="00752497">
        <w:rPr>
          <w:rFonts w:ascii="Times New Roman" w:hAnsi="Times New Roman" w:cs="Times New Roman"/>
          <w:snapToGrid w:val="0"/>
          <w:lang w:val="lv-LV"/>
        </w:rPr>
        <w:t xml:space="preserve"> </w:t>
      </w:r>
      <w:r w:rsidR="00752497" w:rsidRPr="00752497">
        <w:rPr>
          <w:rFonts w:ascii="Times New Roman" w:hAnsi="Times New Roman" w:cs="Times New Roman"/>
          <w:snapToGrid w:val="0"/>
          <w:lang w:val="lv-LV"/>
        </w:rPr>
        <w:t>palielinā</w:t>
      </w:r>
      <w:r w:rsidRPr="00752497">
        <w:rPr>
          <w:rFonts w:ascii="Times New Roman" w:hAnsi="Times New Roman" w:cs="Times New Roman"/>
          <w:snapToGrid w:val="0"/>
          <w:lang w:val="lv-LV"/>
        </w:rPr>
        <w:t xml:space="preserve">šanu un tehnisko palīdzību jaunatīstības valstu pusēm, </w:t>
      </w:r>
      <w:r w:rsidR="00752497" w:rsidRPr="00752497">
        <w:rPr>
          <w:rFonts w:ascii="Times New Roman" w:hAnsi="Times New Roman" w:cs="Times New Roman"/>
          <w:snapToGrid w:val="0"/>
          <w:lang w:val="lv-LV"/>
        </w:rPr>
        <w:t xml:space="preserve">īpaši tām </w:t>
      </w:r>
      <w:r w:rsidRPr="00752497">
        <w:rPr>
          <w:rFonts w:ascii="Times New Roman" w:hAnsi="Times New Roman" w:cs="Times New Roman"/>
          <w:snapToGrid w:val="0"/>
          <w:lang w:val="lv-LV"/>
        </w:rPr>
        <w:t xml:space="preserve">pusēm, kas ir vismazāk attīstītās valstis vai mazo salu jaunattīstības valstis, un pārejas perioda valstu pusēm, lai palīdzētu šīm pusēm īstenot </w:t>
      </w:r>
      <w:r w:rsidR="00752497" w:rsidRPr="00752497">
        <w:rPr>
          <w:rFonts w:ascii="Times New Roman" w:hAnsi="Times New Roman" w:cs="Times New Roman"/>
          <w:snapToGrid w:val="0"/>
          <w:lang w:val="lv-LV"/>
        </w:rPr>
        <w:t xml:space="preserve">to </w:t>
      </w:r>
      <w:r w:rsidRPr="00752497">
        <w:rPr>
          <w:rFonts w:ascii="Times New Roman" w:hAnsi="Times New Roman" w:cs="Times New Roman"/>
          <w:snapToGrid w:val="0"/>
          <w:lang w:val="lv-LV"/>
        </w:rPr>
        <w:t>pienākumus saskaņā ar šo konvenciju.</w:t>
      </w:r>
    </w:p>
    <w:p w:rsidR="0060722E" w:rsidRPr="00193100" w:rsidRDefault="0060722E">
      <w:pPr>
        <w:jc w:val="both"/>
        <w:rPr>
          <w:rFonts w:ascii="Times New Roman" w:hAnsi="Times New Roman" w:cs="Times New Roman"/>
          <w:snapToGrid w:val="0"/>
          <w:highlight w:val="green"/>
          <w:lang w:val="lv-LV"/>
        </w:rPr>
      </w:pPr>
    </w:p>
    <w:p w:rsidR="0060722E" w:rsidRPr="0084112A" w:rsidRDefault="0060722E">
      <w:pPr>
        <w:jc w:val="both"/>
        <w:rPr>
          <w:rFonts w:ascii="Times New Roman" w:hAnsi="Times New Roman" w:cs="Times New Roman"/>
          <w:snapToGrid w:val="0"/>
          <w:lang w:val="lv-LV"/>
        </w:rPr>
      </w:pPr>
      <w:r w:rsidRPr="0084112A">
        <w:rPr>
          <w:rFonts w:ascii="Times New Roman" w:hAnsi="Times New Roman" w:cs="Times New Roman"/>
          <w:snapToGrid w:val="0"/>
          <w:lang w:val="lv-LV"/>
        </w:rPr>
        <w:t xml:space="preserve">2. </w:t>
      </w:r>
      <w:r w:rsidR="00D9092E">
        <w:rPr>
          <w:rFonts w:ascii="Times New Roman" w:hAnsi="Times New Roman" w:cs="Times New Roman"/>
          <w:snapToGrid w:val="0"/>
          <w:lang w:val="lv-LV"/>
        </w:rPr>
        <w:t>Rīcībspējas</w:t>
      </w:r>
      <w:r w:rsidRPr="0084112A">
        <w:rPr>
          <w:rFonts w:ascii="Times New Roman" w:hAnsi="Times New Roman" w:cs="Times New Roman"/>
          <w:snapToGrid w:val="0"/>
          <w:lang w:val="lv-LV"/>
        </w:rPr>
        <w:t xml:space="preserve"> palielināšanu un tehnisko palīdzību, kas </w:t>
      </w:r>
      <w:r w:rsidR="0084112A" w:rsidRPr="0084112A">
        <w:rPr>
          <w:rFonts w:ascii="Times New Roman" w:hAnsi="Times New Roman" w:cs="Times New Roman"/>
          <w:snapToGrid w:val="0"/>
          <w:lang w:val="lv-LV"/>
        </w:rPr>
        <w:t>minē</w:t>
      </w:r>
      <w:r w:rsidRPr="0084112A">
        <w:rPr>
          <w:rFonts w:ascii="Times New Roman" w:hAnsi="Times New Roman" w:cs="Times New Roman"/>
          <w:snapToGrid w:val="0"/>
          <w:lang w:val="lv-LV"/>
        </w:rPr>
        <w:t xml:space="preserve">ta 1. punktā un 13. pantā, var nodrošināt, veicot pasākumus reģionālā, apakšreģionālā un valsts līmenī, </w:t>
      </w:r>
      <w:r w:rsidR="0084112A" w:rsidRPr="0084112A">
        <w:rPr>
          <w:rFonts w:ascii="Times New Roman" w:hAnsi="Times New Roman" w:cs="Times New Roman"/>
          <w:snapToGrid w:val="0"/>
          <w:lang w:val="lv-LV"/>
        </w:rPr>
        <w:t xml:space="preserve">ietverot </w:t>
      </w:r>
      <w:r w:rsidRPr="0084112A">
        <w:rPr>
          <w:rFonts w:ascii="Times New Roman" w:hAnsi="Times New Roman" w:cs="Times New Roman"/>
          <w:snapToGrid w:val="0"/>
          <w:lang w:val="lv-LV"/>
        </w:rPr>
        <w:t xml:space="preserve">arī </w:t>
      </w:r>
      <w:r w:rsidR="00862D25" w:rsidRPr="0084112A">
        <w:rPr>
          <w:rFonts w:ascii="Times New Roman" w:hAnsi="Times New Roman" w:cs="Times New Roman"/>
          <w:snapToGrid w:val="0"/>
          <w:lang w:val="lv-LV"/>
        </w:rPr>
        <w:t>es</w:t>
      </w:r>
      <w:r w:rsidRPr="0084112A">
        <w:rPr>
          <w:rFonts w:ascii="Times New Roman" w:hAnsi="Times New Roman" w:cs="Times New Roman"/>
          <w:snapToGrid w:val="0"/>
          <w:lang w:val="lv-LV"/>
        </w:rPr>
        <w:t xml:space="preserve">ošos reģionālos un apakšreģionālos centrus, izmantojot citas daudzpusējas un divpusējas metodes un izmantojot </w:t>
      </w:r>
      <w:r w:rsidR="0092487C">
        <w:rPr>
          <w:rFonts w:ascii="Times New Roman" w:hAnsi="Times New Roman" w:cs="Times New Roman"/>
          <w:snapToGrid w:val="0"/>
          <w:lang w:val="lv-LV"/>
        </w:rPr>
        <w:t>pa</w:t>
      </w:r>
      <w:r w:rsidR="000B23DE">
        <w:rPr>
          <w:rFonts w:ascii="Times New Roman" w:hAnsi="Times New Roman" w:cs="Times New Roman"/>
          <w:snapToGrid w:val="0"/>
          <w:lang w:val="lv-LV"/>
        </w:rPr>
        <w:t>r</w:t>
      </w:r>
      <w:r w:rsidR="0092487C">
        <w:rPr>
          <w:rFonts w:ascii="Times New Roman" w:hAnsi="Times New Roman" w:cs="Times New Roman"/>
          <w:snapToGrid w:val="0"/>
          <w:lang w:val="lv-LV"/>
        </w:rPr>
        <w:t>tner</w:t>
      </w:r>
      <w:r w:rsidR="00D9092E">
        <w:rPr>
          <w:rFonts w:ascii="Times New Roman" w:hAnsi="Times New Roman" w:cs="Times New Roman"/>
          <w:snapToGrid w:val="0"/>
          <w:lang w:val="lv-LV"/>
        </w:rPr>
        <w:t>ību</w:t>
      </w:r>
      <w:r w:rsidRPr="0084112A">
        <w:rPr>
          <w:rFonts w:ascii="Times New Roman" w:hAnsi="Times New Roman" w:cs="Times New Roman"/>
          <w:snapToGrid w:val="0"/>
          <w:lang w:val="lv-LV"/>
        </w:rPr>
        <w:t xml:space="preserve">, tostarp privātā sektora </w:t>
      </w:r>
      <w:r w:rsidR="0092487C">
        <w:rPr>
          <w:rFonts w:ascii="Times New Roman" w:hAnsi="Times New Roman" w:cs="Times New Roman"/>
          <w:snapToGrid w:val="0"/>
          <w:lang w:val="lv-LV"/>
        </w:rPr>
        <w:t>partner</w:t>
      </w:r>
      <w:r w:rsidR="00D9092E">
        <w:rPr>
          <w:rFonts w:ascii="Times New Roman" w:hAnsi="Times New Roman" w:cs="Times New Roman"/>
          <w:snapToGrid w:val="0"/>
          <w:lang w:val="lv-LV"/>
        </w:rPr>
        <w:t>ību</w:t>
      </w:r>
      <w:r w:rsidRPr="0084112A">
        <w:rPr>
          <w:rFonts w:ascii="Times New Roman" w:hAnsi="Times New Roman" w:cs="Times New Roman"/>
          <w:snapToGrid w:val="0"/>
          <w:lang w:val="lv-LV"/>
        </w:rPr>
        <w:t>.</w:t>
      </w:r>
      <w:r w:rsidR="006937AD">
        <w:rPr>
          <w:rFonts w:ascii="Times New Roman" w:hAnsi="Times New Roman" w:cs="Times New Roman"/>
          <w:snapToGrid w:val="0"/>
          <w:lang w:val="lv-LV"/>
        </w:rPr>
        <w:t xml:space="preserve"> </w:t>
      </w:r>
      <w:r w:rsidRPr="0084112A">
        <w:rPr>
          <w:rFonts w:ascii="Times New Roman" w:hAnsi="Times New Roman" w:cs="Times New Roman"/>
          <w:snapToGrid w:val="0"/>
          <w:lang w:val="lv-LV"/>
        </w:rPr>
        <w:t>Lai uzlabotu tehniskās palīdzības un tās sniegšanas efektivitāti, ir jācenšas veidot sadarbību un koordināciju saistībā ar daudzpusējiem vides aizsardzības nolīgumiem par ķīmiskām vielām un atkritumiem.</w:t>
      </w:r>
    </w:p>
    <w:p w:rsidR="0060722E" w:rsidRPr="0084112A"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84112A">
        <w:rPr>
          <w:rFonts w:ascii="Times New Roman" w:hAnsi="Times New Roman" w:cs="Times New Roman"/>
          <w:snapToGrid w:val="0"/>
          <w:lang w:val="lv-LV"/>
        </w:rPr>
        <w:t xml:space="preserve">3. Attīstīto valstu puses un citas puses </w:t>
      </w:r>
      <w:r w:rsidR="0084112A" w:rsidRPr="0084112A">
        <w:rPr>
          <w:rFonts w:ascii="Times New Roman" w:hAnsi="Times New Roman" w:cs="Times New Roman"/>
          <w:snapToGrid w:val="0"/>
          <w:lang w:val="lv-LV"/>
        </w:rPr>
        <w:t>atbilstoši iespējām</w:t>
      </w:r>
      <w:r w:rsidRPr="0084112A">
        <w:rPr>
          <w:rFonts w:ascii="Times New Roman" w:hAnsi="Times New Roman" w:cs="Times New Roman"/>
          <w:snapToGrid w:val="0"/>
          <w:lang w:val="lv-LV"/>
        </w:rPr>
        <w:t>, saņemot atbalstu</w:t>
      </w:r>
      <w:r w:rsidR="0084112A" w:rsidRPr="0084112A">
        <w:rPr>
          <w:rFonts w:ascii="Times New Roman" w:hAnsi="Times New Roman" w:cs="Times New Roman"/>
          <w:snapToGrid w:val="0"/>
          <w:lang w:val="lv-LV"/>
        </w:rPr>
        <w:t>,</w:t>
      </w:r>
      <w:r w:rsidRPr="0084112A">
        <w:rPr>
          <w:rFonts w:ascii="Times New Roman" w:hAnsi="Times New Roman" w:cs="Times New Roman"/>
          <w:snapToGrid w:val="0"/>
          <w:lang w:val="lv-LV"/>
        </w:rPr>
        <w:t xml:space="preserve"> </w:t>
      </w:r>
      <w:r w:rsidR="0084112A" w:rsidRPr="0084112A">
        <w:rPr>
          <w:rFonts w:ascii="Times New Roman" w:hAnsi="Times New Roman" w:cs="Times New Roman"/>
          <w:snapToGrid w:val="0"/>
          <w:lang w:val="lv-LV"/>
        </w:rPr>
        <w:t xml:space="preserve">ja nepieciešams, </w:t>
      </w:r>
      <w:r w:rsidRPr="0084112A">
        <w:rPr>
          <w:rFonts w:ascii="Times New Roman" w:hAnsi="Times New Roman" w:cs="Times New Roman"/>
          <w:snapToGrid w:val="0"/>
          <w:lang w:val="lv-LV"/>
        </w:rPr>
        <w:t>no privātā sektora un citām at</w:t>
      </w:r>
      <w:r w:rsidR="0084112A" w:rsidRPr="0084112A">
        <w:rPr>
          <w:rFonts w:ascii="Times New Roman" w:hAnsi="Times New Roman" w:cs="Times New Roman"/>
          <w:snapToGrid w:val="0"/>
          <w:lang w:val="lv-LV"/>
        </w:rPr>
        <w:t>tiecīg</w:t>
      </w:r>
      <w:r w:rsidRPr="0084112A">
        <w:rPr>
          <w:rFonts w:ascii="Times New Roman" w:hAnsi="Times New Roman" w:cs="Times New Roman"/>
          <w:snapToGrid w:val="0"/>
          <w:lang w:val="lv-LV"/>
        </w:rPr>
        <w:t xml:space="preserve">ajām ieinteresētajām personām, sekmē un veicina modernu, videi nekaitīgu tehnoloģiju izstrādi, pārņemšanu un izplatīšanu, un pieejamību jaunattīstības valstu pusēm, </w:t>
      </w:r>
      <w:r w:rsidR="0084112A" w:rsidRPr="0084112A">
        <w:rPr>
          <w:rFonts w:ascii="Times New Roman" w:hAnsi="Times New Roman" w:cs="Times New Roman"/>
          <w:snapToGrid w:val="0"/>
          <w:lang w:val="lv-LV"/>
        </w:rPr>
        <w:t>it īpaš</w:t>
      </w:r>
      <w:r w:rsidRPr="0084112A">
        <w:rPr>
          <w:rFonts w:ascii="Times New Roman" w:hAnsi="Times New Roman" w:cs="Times New Roman"/>
          <w:snapToGrid w:val="0"/>
          <w:lang w:val="lv-LV"/>
        </w:rPr>
        <w:t>i vismazāk attīstītām valstīm un mazo salu jaunattīstības valstīm, un pusēm, kas ir pārejas perioda valstis, lai st</w:t>
      </w:r>
      <w:r w:rsidR="0084112A" w:rsidRPr="0084112A">
        <w:rPr>
          <w:rFonts w:ascii="Times New Roman" w:hAnsi="Times New Roman" w:cs="Times New Roman"/>
          <w:snapToGrid w:val="0"/>
          <w:lang w:val="lv-LV"/>
        </w:rPr>
        <w:t>iprinātu to rīcībspēju sekmīgi īstenot šo konvenciju</w:t>
      </w:r>
      <w:r w:rsidRPr="0084112A">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4. Pušu konference līdz savai otrajai sanāksmei un pēc tam regulāri, ņemot vērā pušu iesniegumus un ziņojumus, tostarp tos, kas iesniegti saskaņā ar 21. pantu, un citu ieinteresēto personu iesniegto informāciju,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a) izskata informāciju par </w:t>
      </w:r>
      <w:r w:rsidR="00BD7648">
        <w:rPr>
          <w:rFonts w:ascii="Times New Roman" w:hAnsi="Times New Roman" w:cs="Times New Roman"/>
          <w:snapToGrid w:val="0"/>
          <w:lang w:val="lv-LV"/>
        </w:rPr>
        <w:t>es</w:t>
      </w:r>
      <w:r>
        <w:rPr>
          <w:rFonts w:ascii="Times New Roman" w:hAnsi="Times New Roman" w:cs="Times New Roman"/>
          <w:snapToGrid w:val="0"/>
          <w:lang w:val="lv-LV"/>
        </w:rPr>
        <w:t>ošajām iniciatīvām un panākto progresu saistībā ar alternatīvajām tehnoloģijām;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apsver pušu vajadzības, </w:t>
      </w:r>
      <w:r w:rsidR="00BD7648">
        <w:rPr>
          <w:rFonts w:ascii="Times New Roman" w:hAnsi="Times New Roman" w:cs="Times New Roman"/>
          <w:snapToGrid w:val="0"/>
          <w:lang w:val="lv-LV"/>
        </w:rPr>
        <w:t xml:space="preserve">it īpaši </w:t>
      </w:r>
      <w:r>
        <w:rPr>
          <w:rFonts w:ascii="Times New Roman" w:hAnsi="Times New Roman" w:cs="Times New Roman"/>
          <w:snapToGrid w:val="0"/>
          <w:lang w:val="lv-LV"/>
        </w:rPr>
        <w:t>jaunattīstības valstu pušu vajadzības</w:t>
      </w:r>
      <w:r w:rsidR="00BD7648">
        <w:rPr>
          <w:rFonts w:ascii="Times New Roman" w:hAnsi="Times New Roman" w:cs="Times New Roman"/>
          <w:snapToGrid w:val="0"/>
          <w:lang w:val="lv-LV"/>
        </w:rPr>
        <w:t>,</w:t>
      </w:r>
      <w:r>
        <w:rPr>
          <w:rFonts w:ascii="Times New Roman" w:hAnsi="Times New Roman" w:cs="Times New Roman"/>
          <w:snapToGrid w:val="0"/>
          <w:lang w:val="lv-LV"/>
        </w:rPr>
        <w:t xml:space="preserve"> attiecībā uz alternatīvajām tehnoloģijām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identificē problēmas, ar kurām saskaras puses, </w:t>
      </w:r>
      <w:r w:rsidR="00BD7648">
        <w:rPr>
          <w:rFonts w:ascii="Times New Roman" w:hAnsi="Times New Roman" w:cs="Times New Roman"/>
          <w:snapToGrid w:val="0"/>
          <w:lang w:val="lv-LV"/>
        </w:rPr>
        <w:t>it īpaši</w:t>
      </w:r>
      <w:r>
        <w:rPr>
          <w:rFonts w:ascii="Times New Roman" w:hAnsi="Times New Roman" w:cs="Times New Roman"/>
          <w:snapToGrid w:val="0"/>
          <w:lang w:val="lv-LV"/>
        </w:rPr>
        <w:t xml:space="preserve"> jaunattīstības valstu puses</w:t>
      </w:r>
      <w:r w:rsidR="00BD7648">
        <w:rPr>
          <w:rFonts w:ascii="Times New Roman" w:hAnsi="Times New Roman" w:cs="Times New Roman"/>
          <w:snapToGrid w:val="0"/>
          <w:lang w:val="lv-LV"/>
        </w:rPr>
        <w:t>,</w:t>
      </w:r>
      <w:r>
        <w:rPr>
          <w:rFonts w:ascii="Times New Roman" w:hAnsi="Times New Roman" w:cs="Times New Roman"/>
          <w:snapToGrid w:val="0"/>
          <w:lang w:val="lv-LV"/>
        </w:rPr>
        <w:t xml:space="preserve"> tehnoloģiju pārņemšanas jomā.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20" w:name="bookmark20"/>
      <w:r>
        <w:rPr>
          <w:rFonts w:ascii="Times New Roman" w:hAnsi="Times New Roman" w:cs="Times New Roman"/>
          <w:snapToGrid w:val="0"/>
          <w:lang w:val="lv-LV"/>
        </w:rPr>
        <w:t xml:space="preserve">5. Pušu konference sniedz ieteikumus attiecībā uz to, kā turpmāk iespējams veicināt </w:t>
      </w:r>
      <w:r w:rsidR="00D9092E" w:rsidRPr="00752497">
        <w:rPr>
          <w:rFonts w:ascii="Times New Roman" w:hAnsi="Times New Roman" w:cs="Times New Roman"/>
          <w:snapToGrid w:val="0"/>
          <w:lang w:val="lv-LV"/>
        </w:rPr>
        <w:t>r</w:t>
      </w:r>
      <w:r w:rsidR="00D9092E">
        <w:rPr>
          <w:rFonts w:ascii="Times New Roman" w:hAnsi="Times New Roman" w:cs="Times New Roman"/>
          <w:snapToGrid w:val="0"/>
          <w:lang w:val="lv-LV"/>
        </w:rPr>
        <w:t xml:space="preserve">īcībspējas </w:t>
      </w:r>
      <w:r>
        <w:rPr>
          <w:rFonts w:ascii="Times New Roman" w:hAnsi="Times New Roman" w:cs="Times New Roman"/>
          <w:snapToGrid w:val="0"/>
          <w:lang w:val="lv-LV"/>
        </w:rPr>
        <w:t>palielināšanu, tehnisko palīdzību un tehnoloģiju pārņemšanu saskaņā ar šo pantu.</w:t>
      </w:r>
    </w:p>
    <w:bookmarkEnd w:id="20"/>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lastRenderedPageBreak/>
        <w:t>15.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bookmarkStart w:id="21" w:name="bookmark21"/>
      <w:r>
        <w:rPr>
          <w:rFonts w:ascii="Times New Roman" w:hAnsi="Times New Roman" w:cs="Times New Roman"/>
          <w:b/>
          <w:bCs/>
          <w:snapToGrid w:val="0"/>
          <w:sz w:val="28"/>
          <w:szCs w:val="28"/>
          <w:lang w:val="lv-LV"/>
        </w:rPr>
        <w:t>Komiteja īstenošanas un atbilstības jautājumos</w:t>
      </w:r>
    </w:p>
    <w:bookmarkEnd w:id="21"/>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Ar šo konvenciju tiek izveidots mehānisms, tostarp komiteja kā pušu konferences palīgstruktūra, lai veicinātu šīs konvencijas noteikumu īstenošanu un pārskatītu atbilstību tiem. Mehānismam, tostarp komitejai, ir sekmējoša funkcija, un tajā īpaša uzmanība tiek pievērsta attiecīgo valstu iespējām un pušu apstākļiem.</w:t>
      </w:r>
    </w:p>
    <w:p w:rsidR="0060722E" w:rsidRDefault="0060722E">
      <w:pPr>
        <w:jc w:val="both"/>
        <w:rPr>
          <w:rFonts w:ascii="Times New Roman" w:hAnsi="Times New Roman" w:cs="Times New Roman"/>
          <w:snapToGrid w:val="0"/>
          <w:lang w:val="lv-LV"/>
        </w:rPr>
      </w:pPr>
    </w:p>
    <w:p w:rsidR="0060722E" w:rsidRPr="00327F96" w:rsidRDefault="0060722E">
      <w:pPr>
        <w:jc w:val="both"/>
        <w:rPr>
          <w:rFonts w:ascii="Times New Roman" w:hAnsi="Times New Roman" w:cs="Times New Roman"/>
          <w:snapToGrid w:val="0"/>
          <w:lang w:val="lv-LV"/>
        </w:rPr>
      </w:pPr>
      <w:r w:rsidRPr="00327F96">
        <w:rPr>
          <w:rFonts w:ascii="Times New Roman" w:hAnsi="Times New Roman" w:cs="Times New Roman"/>
          <w:snapToGrid w:val="0"/>
          <w:lang w:val="lv-LV"/>
        </w:rPr>
        <w:t>2. Komiteja sekmē visu konvencijas noteikumu īstenošanu un to izpildes novērtēšanu. Komiteja izskata gan individuālus, gan sistēmiskus īstenošanas un atbilstības jautājumus un pēc nepieciešamības sniedz ieteikumus pušu konferencei.</w:t>
      </w:r>
    </w:p>
    <w:p w:rsidR="0060722E" w:rsidRPr="00327F96"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r w:rsidRPr="00327F96">
        <w:rPr>
          <w:rFonts w:ascii="Times New Roman" w:hAnsi="Times New Roman" w:cs="Times New Roman"/>
          <w:snapToGrid w:val="0"/>
          <w:lang w:val="lv-LV"/>
        </w:rPr>
        <w:t xml:space="preserve">3. </w:t>
      </w:r>
      <w:r w:rsidR="00327F96" w:rsidRPr="00327F96">
        <w:rPr>
          <w:rFonts w:ascii="Times New Roman" w:hAnsi="Times New Roman" w:cs="Times New Roman"/>
          <w:snapToGrid w:val="0"/>
          <w:lang w:val="lv-LV"/>
        </w:rPr>
        <w:t>Komiteju veido</w:t>
      </w:r>
      <w:r w:rsidRPr="00327F96">
        <w:rPr>
          <w:rFonts w:ascii="Times New Roman" w:hAnsi="Times New Roman" w:cs="Times New Roman"/>
          <w:snapToGrid w:val="0"/>
          <w:lang w:val="lv-LV"/>
        </w:rPr>
        <w:t xml:space="preserve"> </w:t>
      </w:r>
      <w:r w:rsidR="00327F96" w:rsidRPr="00327F96">
        <w:rPr>
          <w:rFonts w:ascii="Times New Roman" w:hAnsi="Times New Roman" w:cs="Times New Roman"/>
          <w:snapToGrid w:val="0"/>
          <w:lang w:val="lv-LV"/>
        </w:rPr>
        <w:t>15 locekļi</w:t>
      </w:r>
      <w:r w:rsidRPr="00327F96">
        <w:rPr>
          <w:rFonts w:ascii="Times New Roman" w:hAnsi="Times New Roman" w:cs="Times New Roman"/>
          <w:snapToGrid w:val="0"/>
          <w:lang w:val="lv-LV"/>
        </w:rPr>
        <w:t xml:space="preserve">, kurus izvirza puses un ievēl pušu konference, </w:t>
      </w:r>
      <w:r w:rsidR="00327F96" w:rsidRPr="00327F96">
        <w:rPr>
          <w:rFonts w:ascii="Times New Roman" w:hAnsi="Times New Roman" w:cs="Times New Roman"/>
          <w:snapToGrid w:val="0"/>
          <w:lang w:val="lv-LV"/>
        </w:rPr>
        <w:t>pienācīgi ņemot vērā nepieciešamību nodrošināt vienlīdzīgu</w:t>
      </w:r>
      <w:r w:rsidRPr="00327F96">
        <w:rPr>
          <w:rFonts w:ascii="Times New Roman" w:hAnsi="Times New Roman" w:cs="Times New Roman"/>
          <w:snapToGrid w:val="0"/>
          <w:lang w:val="lv-LV"/>
        </w:rPr>
        <w:t xml:space="preserve"> ģeogrāfi</w:t>
      </w:r>
      <w:r w:rsidR="00327F96" w:rsidRPr="00327F96">
        <w:rPr>
          <w:rFonts w:ascii="Times New Roman" w:hAnsi="Times New Roman" w:cs="Times New Roman"/>
          <w:snapToGrid w:val="0"/>
          <w:lang w:val="lv-LV"/>
        </w:rPr>
        <w:t>sko pārstāvniecību</w:t>
      </w:r>
      <w:r w:rsidRPr="00327F96">
        <w:rPr>
          <w:rFonts w:ascii="Times New Roman" w:hAnsi="Times New Roman" w:cs="Times New Roman"/>
          <w:snapToGrid w:val="0"/>
          <w:lang w:val="lv-LV"/>
        </w:rPr>
        <w:t xml:space="preserve">, </w:t>
      </w:r>
      <w:r w:rsidR="00327F96" w:rsidRPr="00327F96">
        <w:rPr>
          <w:rFonts w:ascii="Times New Roman" w:hAnsi="Times New Roman" w:cs="Times New Roman"/>
          <w:snapToGrid w:val="0"/>
          <w:lang w:val="lv-LV"/>
        </w:rPr>
        <w:t xml:space="preserve">kuras pamatā ir </w:t>
      </w:r>
      <w:r w:rsidRPr="00327F96">
        <w:rPr>
          <w:rFonts w:ascii="Times New Roman" w:hAnsi="Times New Roman" w:cs="Times New Roman"/>
          <w:snapToGrid w:val="0"/>
          <w:lang w:val="lv-LV"/>
        </w:rPr>
        <w:t xml:space="preserve">pieci Apvienoto Nāciju Organizācijas reģioni; pirmie locekļi tiek ievēlēti pušu konferences pirmajā sanāksmē un pēc tam saskaņā ar reglamentu, kuru apstiprinājusi pušu konference saskaņā ar 5. punktu; </w:t>
      </w:r>
      <w:r w:rsidR="00327F96">
        <w:rPr>
          <w:rFonts w:ascii="Times New Roman" w:hAnsi="Times New Roman" w:cs="Times New Roman"/>
          <w:snapToGrid w:val="0"/>
          <w:lang w:val="lv-LV"/>
        </w:rPr>
        <w:t>komitejas locekļiem nepieciešama</w:t>
      </w:r>
      <w:r w:rsidRPr="00327F96">
        <w:rPr>
          <w:rFonts w:ascii="Times New Roman" w:hAnsi="Times New Roman" w:cs="Times New Roman"/>
          <w:snapToGrid w:val="0"/>
          <w:lang w:val="lv-LV"/>
        </w:rPr>
        <w:t xml:space="preserve"> kompetence </w:t>
      </w:r>
      <w:r w:rsidR="00327F96">
        <w:rPr>
          <w:rFonts w:ascii="Times New Roman" w:hAnsi="Times New Roman" w:cs="Times New Roman"/>
          <w:snapToGrid w:val="0"/>
          <w:lang w:val="lv-LV"/>
        </w:rPr>
        <w:t xml:space="preserve">kādā </w:t>
      </w:r>
      <w:r w:rsidRPr="00327F96">
        <w:rPr>
          <w:rFonts w:ascii="Times New Roman" w:hAnsi="Times New Roman" w:cs="Times New Roman"/>
          <w:snapToGrid w:val="0"/>
          <w:lang w:val="lv-LV"/>
        </w:rPr>
        <w:t xml:space="preserve">ar šo konvenciju saistītā jomā, </w:t>
      </w:r>
      <w:r w:rsidR="00327F96">
        <w:rPr>
          <w:rFonts w:ascii="Times New Roman" w:hAnsi="Times New Roman" w:cs="Times New Roman"/>
          <w:snapToGrid w:val="0"/>
          <w:lang w:val="lv-LV"/>
        </w:rPr>
        <w:t>un šo jomu sadalījumam jābūt līdzsvarotam</w:t>
      </w:r>
      <w:r w:rsidRPr="00327F96">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4. Komiteja izskata jautājumus, pamatojoties uz</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a) rakstiskiem </w:t>
      </w:r>
      <w:r w:rsidR="00327F96">
        <w:rPr>
          <w:rFonts w:ascii="Times New Roman" w:hAnsi="Times New Roman" w:cs="Times New Roman"/>
          <w:snapToGrid w:val="0"/>
          <w:lang w:val="lv-LV"/>
        </w:rPr>
        <w:t xml:space="preserve">jebkuras puses </w:t>
      </w:r>
      <w:r>
        <w:rPr>
          <w:rFonts w:ascii="Times New Roman" w:hAnsi="Times New Roman" w:cs="Times New Roman"/>
          <w:snapToGrid w:val="0"/>
          <w:lang w:val="lv-LV"/>
        </w:rPr>
        <w:t xml:space="preserve">iesniegumiem </w:t>
      </w:r>
      <w:r w:rsidR="00327F96">
        <w:rPr>
          <w:rFonts w:ascii="Times New Roman" w:hAnsi="Times New Roman" w:cs="Times New Roman"/>
          <w:snapToGrid w:val="0"/>
          <w:lang w:val="lv-LV"/>
        </w:rPr>
        <w:t xml:space="preserve">attiecībā uz konkrētās puses </w:t>
      </w:r>
      <w:r>
        <w:rPr>
          <w:rFonts w:ascii="Times New Roman" w:hAnsi="Times New Roman" w:cs="Times New Roman"/>
          <w:snapToGrid w:val="0"/>
          <w:lang w:val="lv-LV"/>
        </w:rPr>
        <w:t>atbilstību,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valstu ziņojumiem </w:t>
      </w:r>
      <w:r w:rsidR="00327F96">
        <w:rPr>
          <w:rFonts w:ascii="Times New Roman" w:hAnsi="Times New Roman" w:cs="Times New Roman"/>
          <w:snapToGrid w:val="0"/>
          <w:lang w:val="lv-LV"/>
        </w:rPr>
        <w:t xml:space="preserve">saskaņā ar </w:t>
      </w:r>
      <w:r>
        <w:rPr>
          <w:rFonts w:ascii="Times New Roman" w:hAnsi="Times New Roman" w:cs="Times New Roman"/>
          <w:snapToGrid w:val="0"/>
          <w:lang w:val="lv-LV"/>
        </w:rPr>
        <w:t>21. pant</w:t>
      </w:r>
      <w:r w:rsidR="00327F96">
        <w:rPr>
          <w:rFonts w:ascii="Times New Roman" w:hAnsi="Times New Roman" w:cs="Times New Roman"/>
          <w:snapToGrid w:val="0"/>
          <w:lang w:val="lv-LV"/>
        </w:rPr>
        <w:t>u</w:t>
      </w:r>
      <w:r>
        <w:rPr>
          <w:rFonts w:ascii="Times New Roman" w:hAnsi="Times New Roman" w:cs="Times New Roman"/>
          <w:snapToGrid w:val="0"/>
          <w:lang w:val="lv-LV"/>
        </w:rPr>
        <w:t xml:space="preserve">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pušu konferences</w:t>
      </w:r>
      <w:r w:rsidR="00327F96">
        <w:rPr>
          <w:rFonts w:ascii="Times New Roman" w:hAnsi="Times New Roman" w:cs="Times New Roman"/>
          <w:snapToGrid w:val="0"/>
          <w:lang w:val="lv-LV"/>
        </w:rPr>
        <w:t xml:space="preserve"> pieprasījumiem</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5. Komiteja izstrādā savu reglamentu, kuru apstiprina pušu konference savā otrajā sanāksmē; pušu konference var pieņemt komitejas </w:t>
      </w:r>
      <w:r w:rsidR="009441DC">
        <w:rPr>
          <w:rFonts w:ascii="Times New Roman" w:hAnsi="Times New Roman" w:cs="Times New Roman"/>
          <w:snapToGrid w:val="0"/>
          <w:lang w:val="lv-LV"/>
        </w:rPr>
        <w:t>papildu darba pienākumus</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22" w:name="bookmark22"/>
      <w:r>
        <w:rPr>
          <w:rFonts w:ascii="Times New Roman" w:hAnsi="Times New Roman" w:cs="Times New Roman"/>
          <w:snapToGrid w:val="0"/>
          <w:lang w:val="lv-LV"/>
        </w:rPr>
        <w:t>6. Komiteja pēc iespējas cenšas pieņemt ieteikumus vienprātīgi. Ja</w:t>
      </w:r>
      <w:r w:rsidR="008331D7">
        <w:rPr>
          <w:rFonts w:ascii="Times New Roman" w:hAnsi="Times New Roman" w:cs="Times New Roman"/>
          <w:snapToGrid w:val="0"/>
          <w:lang w:val="lv-LV"/>
        </w:rPr>
        <w:t xml:space="preserve"> visas iespējas ir izsmeltas, bet vienprātība nav</w:t>
      </w:r>
      <w:r>
        <w:rPr>
          <w:rFonts w:ascii="Times New Roman" w:hAnsi="Times New Roman" w:cs="Times New Roman"/>
          <w:snapToGrid w:val="0"/>
          <w:lang w:val="lv-LV"/>
        </w:rPr>
        <w:t xml:space="preserve"> panākt</w:t>
      </w:r>
      <w:r w:rsidR="008331D7">
        <w:rPr>
          <w:rFonts w:ascii="Times New Roman" w:hAnsi="Times New Roman" w:cs="Times New Roman"/>
          <w:snapToGrid w:val="0"/>
          <w:lang w:val="lv-LV"/>
        </w:rPr>
        <w:t>a</w:t>
      </w:r>
      <w:r>
        <w:rPr>
          <w:rFonts w:ascii="Times New Roman" w:hAnsi="Times New Roman" w:cs="Times New Roman"/>
          <w:snapToGrid w:val="0"/>
          <w:lang w:val="lv-LV"/>
        </w:rPr>
        <w:t>, šos ieteikumus galējas vajadzības gadījumā pieņem ar trīs ceturtdaļu klātesošo un balsojošo locekļu balsu vairākumu, pamatojoties uz divu trešdaļu locekļu kvorumu.</w:t>
      </w:r>
    </w:p>
    <w:bookmarkEnd w:id="22"/>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16.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Veselības aspekti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Puses tiek aicinātas: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a) sekmēt </w:t>
      </w:r>
      <w:r w:rsidR="00B30D0E">
        <w:rPr>
          <w:rFonts w:ascii="Times New Roman" w:hAnsi="Times New Roman" w:cs="Times New Roman"/>
          <w:snapToGrid w:val="0"/>
          <w:lang w:val="lv-LV"/>
        </w:rPr>
        <w:t xml:space="preserve">tādu </w:t>
      </w:r>
      <w:r>
        <w:rPr>
          <w:rFonts w:ascii="Times New Roman" w:hAnsi="Times New Roman" w:cs="Times New Roman"/>
          <w:snapToGrid w:val="0"/>
          <w:lang w:val="lv-LV"/>
        </w:rPr>
        <w:t>stratēģiju un programmu izstrādi un īstenošanu, kas paredzētas apdraudēto iedzīvotāju, jo īpaši neaizsargāto iedzīvotāju, identificēšanai un aizsardzībai un kas var ietvert zinātnis</w:t>
      </w:r>
      <w:r w:rsidR="009441DC">
        <w:rPr>
          <w:rFonts w:ascii="Times New Roman" w:hAnsi="Times New Roman" w:cs="Times New Roman"/>
          <w:snapToGrid w:val="0"/>
          <w:lang w:val="lv-LV"/>
        </w:rPr>
        <w:t>ki pamatotu</w:t>
      </w:r>
      <w:r>
        <w:rPr>
          <w:rFonts w:ascii="Times New Roman" w:hAnsi="Times New Roman" w:cs="Times New Roman"/>
          <w:snapToGrid w:val="0"/>
          <w:lang w:val="lv-LV"/>
        </w:rPr>
        <w:t xml:space="preserve"> </w:t>
      </w:r>
      <w:r w:rsidR="009533B5">
        <w:rPr>
          <w:rFonts w:ascii="Times New Roman" w:hAnsi="Times New Roman" w:cs="Times New Roman"/>
          <w:snapToGrid w:val="0"/>
          <w:lang w:val="lv-LV"/>
        </w:rPr>
        <w:t>vadlīnij</w:t>
      </w:r>
      <w:r>
        <w:rPr>
          <w:rFonts w:ascii="Times New Roman" w:hAnsi="Times New Roman" w:cs="Times New Roman"/>
          <w:snapToGrid w:val="0"/>
          <w:lang w:val="lv-LV"/>
        </w:rPr>
        <w:t xml:space="preserve">u pieņemšanu veselības jomā attiecībā uz dzīvsudraba un dzīvsudraba savienojumu iedarbību, </w:t>
      </w:r>
      <w:r w:rsidR="00B30D0E">
        <w:rPr>
          <w:rFonts w:ascii="Times New Roman" w:hAnsi="Times New Roman" w:cs="Times New Roman"/>
          <w:snapToGrid w:val="0"/>
          <w:lang w:val="lv-LV"/>
        </w:rPr>
        <w:t>attiecīgā gadījumā izvirz</w:t>
      </w:r>
      <w:r>
        <w:rPr>
          <w:rFonts w:ascii="Times New Roman" w:hAnsi="Times New Roman" w:cs="Times New Roman"/>
          <w:snapToGrid w:val="0"/>
          <w:lang w:val="lv-LV"/>
        </w:rPr>
        <w:t xml:space="preserve">ot mērķus dzīvsudraba iedarbības samazināšanai </w:t>
      </w:r>
      <w:r w:rsidR="00B30D0E">
        <w:rPr>
          <w:rFonts w:ascii="Times New Roman" w:hAnsi="Times New Roman" w:cs="Times New Roman"/>
          <w:snapToGrid w:val="0"/>
          <w:lang w:val="lv-LV"/>
        </w:rPr>
        <w:t>un</w:t>
      </w:r>
      <w:r w:rsidR="000F6E3B">
        <w:rPr>
          <w:rFonts w:ascii="Times New Roman" w:hAnsi="Times New Roman" w:cs="Times New Roman"/>
          <w:snapToGrid w:val="0"/>
          <w:lang w:val="lv-LV"/>
        </w:rPr>
        <w:t>, ja nepieciešams,</w:t>
      </w:r>
      <w:r w:rsidR="00B30D0E">
        <w:rPr>
          <w:rFonts w:ascii="Times New Roman" w:hAnsi="Times New Roman" w:cs="Times New Roman"/>
          <w:snapToGrid w:val="0"/>
          <w:lang w:val="lv-LV"/>
        </w:rPr>
        <w:t xml:space="preserve"> sabiedrības izglītošanai, un to veikt ar sabiedrības veselības un citu</w:t>
      </w:r>
      <w:r>
        <w:rPr>
          <w:rFonts w:ascii="Times New Roman" w:hAnsi="Times New Roman" w:cs="Times New Roman"/>
          <w:snapToGrid w:val="0"/>
          <w:lang w:val="lv-LV"/>
        </w:rPr>
        <w:t xml:space="preserve"> </w:t>
      </w:r>
      <w:r w:rsidR="00B30D0E">
        <w:rPr>
          <w:rFonts w:ascii="Times New Roman" w:hAnsi="Times New Roman" w:cs="Times New Roman"/>
          <w:snapToGrid w:val="0"/>
          <w:lang w:val="lv-LV"/>
        </w:rPr>
        <w:t>ie</w:t>
      </w:r>
      <w:r>
        <w:rPr>
          <w:rFonts w:ascii="Times New Roman" w:hAnsi="Times New Roman" w:cs="Times New Roman"/>
          <w:snapToGrid w:val="0"/>
          <w:lang w:val="lv-LV"/>
        </w:rPr>
        <w:t>saistī</w:t>
      </w:r>
      <w:r w:rsidR="00B30D0E">
        <w:rPr>
          <w:rFonts w:ascii="Times New Roman" w:hAnsi="Times New Roman" w:cs="Times New Roman"/>
          <w:snapToGrid w:val="0"/>
          <w:lang w:val="lv-LV"/>
        </w:rPr>
        <w:t>to nozaru līdzdalību</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9441DC">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b) veicināt zinātniski pamatotu izglītojošo un preventīvo</w:t>
      </w:r>
      <w:r w:rsidR="0060722E">
        <w:rPr>
          <w:rFonts w:ascii="Times New Roman" w:hAnsi="Times New Roman" w:cs="Times New Roman"/>
          <w:snapToGrid w:val="0"/>
          <w:lang w:val="lv-LV"/>
        </w:rPr>
        <w:t xml:space="preserve"> programmu izstrā</w:t>
      </w:r>
      <w:r w:rsidR="000B23DE">
        <w:rPr>
          <w:rFonts w:ascii="Times New Roman" w:hAnsi="Times New Roman" w:cs="Times New Roman"/>
          <w:snapToGrid w:val="0"/>
          <w:lang w:val="lv-LV"/>
        </w:rPr>
        <w:t>di un īstenošanu par dzīvsudrabu un dzīvsudraba savienojumiem</w:t>
      </w:r>
      <w:r w:rsidR="000F6E3B">
        <w:rPr>
          <w:rFonts w:ascii="Times New Roman" w:hAnsi="Times New Roman" w:cs="Times New Roman"/>
          <w:snapToGrid w:val="0"/>
          <w:lang w:val="lv-LV"/>
        </w:rPr>
        <w:t xml:space="preserve"> darbvidē</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B30D0E">
      <w:pPr>
        <w:jc w:val="both"/>
        <w:rPr>
          <w:rFonts w:ascii="Times New Roman" w:hAnsi="Times New Roman" w:cs="Times New Roman"/>
          <w:snapToGrid w:val="0"/>
          <w:lang w:val="lv-LV"/>
        </w:rPr>
      </w:pPr>
      <w:r>
        <w:rPr>
          <w:rFonts w:ascii="Times New Roman" w:hAnsi="Times New Roman" w:cs="Times New Roman"/>
          <w:snapToGrid w:val="0"/>
          <w:lang w:val="lv-LV"/>
        </w:rPr>
        <w:t>c) veicināt atbilstošu</w:t>
      </w:r>
      <w:r w:rsidR="0060722E">
        <w:rPr>
          <w:rFonts w:ascii="Times New Roman" w:hAnsi="Times New Roman" w:cs="Times New Roman"/>
          <w:snapToGrid w:val="0"/>
          <w:lang w:val="lv-LV"/>
        </w:rPr>
        <w:t xml:space="preserve"> veselības aprūpes pakalp</w:t>
      </w:r>
      <w:r>
        <w:rPr>
          <w:rFonts w:ascii="Times New Roman" w:hAnsi="Times New Roman" w:cs="Times New Roman"/>
          <w:snapToGrid w:val="0"/>
          <w:lang w:val="lv-LV"/>
        </w:rPr>
        <w:t>ojumu sniegšanu</w:t>
      </w:r>
      <w:r w:rsidR="0060722E">
        <w:rPr>
          <w:rFonts w:ascii="Times New Roman" w:hAnsi="Times New Roman" w:cs="Times New Roman"/>
          <w:snapToGrid w:val="0"/>
          <w:lang w:val="lv-LV"/>
        </w:rPr>
        <w:t>, lai nodrošinātu profilaksi, ārstēšanu un aprūpi iedzīvotājiem, kurus ietekmējusi dzīvsudraba un dzīvsudraba savienojumu iedarbība,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d) veidot un pēc iespējas stiprināt iestāžu un veselības aprūpes speciālistu rīcībspēju ar dzīvsudraba un dzīvsudraba savienojumu iedarbību saistītā veselības apdraudējuma profilakses, diagnosticēšanas, ārstēšanas un monitoringa jomā.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2. </w:t>
      </w:r>
      <w:r w:rsidR="000F6E3B">
        <w:rPr>
          <w:rFonts w:ascii="Times New Roman" w:hAnsi="Times New Roman" w:cs="Times New Roman"/>
          <w:snapToGrid w:val="0"/>
          <w:lang w:val="lv-LV"/>
        </w:rPr>
        <w:t>Pušu konference</w:t>
      </w:r>
      <w:r>
        <w:rPr>
          <w:rFonts w:ascii="Times New Roman" w:hAnsi="Times New Roman" w:cs="Times New Roman"/>
          <w:snapToGrid w:val="0"/>
          <w:lang w:val="lv-LV"/>
        </w:rPr>
        <w:t>, apsverot ar veselību saistītus jautājumus vai pasākumus,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a) </w:t>
      </w:r>
      <w:r w:rsidR="002D43B1">
        <w:rPr>
          <w:rFonts w:ascii="Times New Roman" w:hAnsi="Times New Roman" w:cs="Times New Roman"/>
          <w:snapToGrid w:val="0"/>
          <w:lang w:val="lv-LV"/>
        </w:rPr>
        <w:t xml:space="preserve">attiecīgā gadījumā </w:t>
      </w:r>
      <w:r w:rsidR="000F6E3B">
        <w:rPr>
          <w:rFonts w:ascii="Times New Roman" w:hAnsi="Times New Roman" w:cs="Times New Roman"/>
          <w:snapToGrid w:val="0"/>
          <w:lang w:val="lv-LV"/>
        </w:rPr>
        <w:t xml:space="preserve">konsultējas un </w:t>
      </w:r>
      <w:r>
        <w:rPr>
          <w:rFonts w:ascii="Times New Roman" w:hAnsi="Times New Roman" w:cs="Times New Roman"/>
          <w:snapToGrid w:val="0"/>
          <w:lang w:val="lv-LV"/>
        </w:rPr>
        <w:t>sadarbojas ar Pasaules Veselības organizāciju, Starptautisko Darba organizāciju un citām atbilstošām starpvaldību organizācijām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23" w:name="bookmark23"/>
      <w:r>
        <w:rPr>
          <w:rFonts w:ascii="Times New Roman" w:hAnsi="Times New Roman" w:cs="Times New Roman"/>
          <w:snapToGrid w:val="0"/>
          <w:lang w:val="lv-LV"/>
        </w:rPr>
        <w:t xml:space="preserve">a) </w:t>
      </w:r>
      <w:r w:rsidR="002D43B1">
        <w:rPr>
          <w:rFonts w:ascii="Times New Roman" w:hAnsi="Times New Roman" w:cs="Times New Roman"/>
          <w:snapToGrid w:val="0"/>
          <w:lang w:val="lv-LV"/>
        </w:rPr>
        <w:t xml:space="preserve">attiecīgā gadījumā </w:t>
      </w:r>
      <w:r w:rsidR="000F6E3B">
        <w:rPr>
          <w:rFonts w:ascii="Times New Roman" w:hAnsi="Times New Roman" w:cs="Times New Roman"/>
          <w:snapToGrid w:val="0"/>
          <w:lang w:val="lv-LV"/>
        </w:rPr>
        <w:t>veicina sadarbību un informācijas apmaiņu</w:t>
      </w:r>
      <w:r>
        <w:rPr>
          <w:rFonts w:ascii="Times New Roman" w:hAnsi="Times New Roman" w:cs="Times New Roman"/>
          <w:snapToGrid w:val="0"/>
          <w:lang w:val="lv-LV"/>
        </w:rPr>
        <w:t xml:space="preserve"> ar Pasaules Veselības organizāciju, Starptautisko Darba organizāciju un citām atbilstošām starpvaldību organizācijām.</w:t>
      </w:r>
    </w:p>
    <w:bookmarkEnd w:id="23"/>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17.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Informācijas apmaiņa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 </w:t>
      </w:r>
      <w:r w:rsidR="002D43B1">
        <w:rPr>
          <w:rFonts w:ascii="Times New Roman" w:hAnsi="Times New Roman" w:cs="Times New Roman"/>
          <w:snapToGrid w:val="0"/>
          <w:lang w:val="lv-LV"/>
        </w:rPr>
        <w:t xml:space="preserve">Ikviena puse sekmē </w:t>
      </w:r>
      <w:r w:rsidR="00F34125">
        <w:rPr>
          <w:rFonts w:ascii="Times New Roman" w:hAnsi="Times New Roman" w:cs="Times New Roman"/>
          <w:snapToGrid w:val="0"/>
          <w:lang w:val="lv-LV"/>
        </w:rPr>
        <w:t>apmaiņu ar šādu</w:t>
      </w:r>
      <w:r>
        <w:rPr>
          <w:rFonts w:ascii="Times New Roman" w:hAnsi="Times New Roman" w:cs="Times New Roman"/>
          <w:snapToGrid w:val="0"/>
          <w:lang w:val="lv-LV"/>
        </w:rPr>
        <w:t xml:space="preserve"> info</w:t>
      </w:r>
      <w:r w:rsidR="00F34125">
        <w:rPr>
          <w:rFonts w:ascii="Times New Roman" w:hAnsi="Times New Roman" w:cs="Times New Roman"/>
          <w:snapToGrid w:val="0"/>
          <w:lang w:val="lv-LV"/>
        </w:rPr>
        <w:t>rmāciju</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F34125">
      <w:pPr>
        <w:jc w:val="both"/>
        <w:rPr>
          <w:rFonts w:ascii="Times New Roman" w:hAnsi="Times New Roman" w:cs="Times New Roman"/>
          <w:snapToGrid w:val="0"/>
          <w:lang w:val="lv-LV"/>
        </w:rPr>
      </w:pPr>
      <w:r>
        <w:rPr>
          <w:rFonts w:ascii="Times New Roman" w:hAnsi="Times New Roman" w:cs="Times New Roman"/>
          <w:snapToGrid w:val="0"/>
          <w:lang w:val="lv-LV"/>
        </w:rPr>
        <w:t>a) ar zinātnisku, tehnisku, ekonomisku un juridisku informāciju</w:t>
      </w:r>
      <w:r w:rsidR="0060722E">
        <w:rPr>
          <w:rFonts w:ascii="Times New Roman" w:hAnsi="Times New Roman" w:cs="Times New Roman"/>
          <w:snapToGrid w:val="0"/>
          <w:lang w:val="lv-LV"/>
        </w:rPr>
        <w:t xml:space="preserve"> </w:t>
      </w:r>
      <w:r>
        <w:rPr>
          <w:rFonts w:ascii="Times New Roman" w:hAnsi="Times New Roman" w:cs="Times New Roman"/>
          <w:snapToGrid w:val="0"/>
          <w:lang w:val="lv-LV"/>
        </w:rPr>
        <w:t xml:space="preserve">par </w:t>
      </w:r>
      <w:r w:rsidR="0060722E">
        <w:rPr>
          <w:rFonts w:ascii="Times New Roman" w:hAnsi="Times New Roman" w:cs="Times New Roman"/>
          <w:snapToGrid w:val="0"/>
          <w:lang w:val="lv-LV"/>
        </w:rPr>
        <w:t>dzīvsudrabu un dzīvsudraba savie</w:t>
      </w:r>
      <w:r>
        <w:rPr>
          <w:rFonts w:ascii="Times New Roman" w:hAnsi="Times New Roman" w:cs="Times New Roman"/>
          <w:snapToGrid w:val="0"/>
          <w:lang w:val="lv-LV"/>
        </w:rPr>
        <w:t>nojumiem, tostarp toksikoloģisko, ekotoksikoloģisko un drošības informāciju</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F34125">
      <w:pPr>
        <w:jc w:val="both"/>
        <w:rPr>
          <w:rFonts w:ascii="Times New Roman" w:hAnsi="Times New Roman" w:cs="Times New Roman"/>
          <w:snapToGrid w:val="0"/>
          <w:lang w:val="lv-LV"/>
        </w:rPr>
      </w:pPr>
      <w:r>
        <w:rPr>
          <w:rFonts w:ascii="Times New Roman" w:hAnsi="Times New Roman" w:cs="Times New Roman"/>
          <w:snapToGrid w:val="0"/>
          <w:lang w:val="lv-LV"/>
        </w:rPr>
        <w:t>b) ar informāciju</w:t>
      </w:r>
      <w:r w:rsidR="0060722E">
        <w:rPr>
          <w:rFonts w:ascii="Times New Roman" w:hAnsi="Times New Roman" w:cs="Times New Roman"/>
          <w:snapToGrid w:val="0"/>
          <w:lang w:val="lv-LV"/>
        </w:rPr>
        <w:t xml:space="preserve"> par dzīvsudraba un dzīvsudraba savienojumu ražošanas, </w:t>
      </w:r>
      <w:r w:rsidR="000F6E3B">
        <w:rPr>
          <w:rFonts w:ascii="Times New Roman" w:hAnsi="Times New Roman" w:cs="Times New Roman"/>
          <w:snapToGrid w:val="0"/>
          <w:lang w:val="lv-LV"/>
        </w:rPr>
        <w:t xml:space="preserve">izmantošanas, </w:t>
      </w:r>
      <w:r w:rsidR="0060722E">
        <w:rPr>
          <w:rFonts w:ascii="Times New Roman" w:hAnsi="Times New Roman" w:cs="Times New Roman"/>
          <w:snapToGrid w:val="0"/>
          <w:lang w:val="lv-LV"/>
        </w:rPr>
        <w:t>tirdzniecības, emisiju un noplūdes samazināšanu vai novēršanu;</w:t>
      </w:r>
    </w:p>
    <w:p w:rsidR="0060722E" w:rsidRDefault="0060722E">
      <w:pPr>
        <w:jc w:val="both"/>
        <w:rPr>
          <w:rFonts w:ascii="Times New Roman" w:hAnsi="Times New Roman" w:cs="Times New Roman"/>
          <w:snapToGrid w:val="0"/>
          <w:lang w:val="lv-LV"/>
        </w:rPr>
      </w:pPr>
    </w:p>
    <w:p w:rsidR="0060722E" w:rsidRDefault="00F34125">
      <w:pPr>
        <w:jc w:val="both"/>
        <w:rPr>
          <w:rFonts w:ascii="Times New Roman" w:hAnsi="Times New Roman" w:cs="Times New Roman"/>
          <w:snapToGrid w:val="0"/>
          <w:lang w:val="lv-LV"/>
        </w:rPr>
      </w:pPr>
      <w:r>
        <w:rPr>
          <w:rFonts w:ascii="Times New Roman" w:hAnsi="Times New Roman" w:cs="Times New Roman"/>
          <w:snapToGrid w:val="0"/>
          <w:lang w:val="lv-LV"/>
        </w:rPr>
        <w:t>c) ar informāciju</w:t>
      </w:r>
      <w:r w:rsidR="0060722E">
        <w:rPr>
          <w:rFonts w:ascii="Times New Roman" w:hAnsi="Times New Roman" w:cs="Times New Roman"/>
          <w:snapToGrid w:val="0"/>
          <w:lang w:val="lv-LV"/>
        </w:rPr>
        <w:t xml:space="preserve"> par tehniski un ekonomiski </w:t>
      </w:r>
      <w:r w:rsidR="00AA69F9">
        <w:rPr>
          <w:rFonts w:ascii="Times New Roman" w:hAnsi="Times New Roman" w:cs="Times New Roman"/>
          <w:snapToGrid w:val="0"/>
          <w:lang w:val="lv-LV"/>
        </w:rPr>
        <w:t>dzīvotspējīg</w:t>
      </w:r>
      <w:r w:rsidR="0060722E">
        <w:rPr>
          <w:rFonts w:ascii="Times New Roman" w:hAnsi="Times New Roman" w:cs="Times New Roman"/>
          <w:snapToGrid w:val="0"/>
          <w:lang w:val="lv-LV"/>
        </w:rPr>
        <w:t>ām alternatīvām</w:t>
      </w:r>
      <w:r>
        <w:rPr>
          <w:rFonts w:ascii="Times New Roman" w:hAnsi="Times New Roman" w:cs="Times New Roman"/>
          <w:snapToGrid w:val="0"/>
          <w:lang w:val="lv-LV"/>
        </w:rPr>
        <w:t xml:space="preserve"> attiecībā uz</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 dzīvsudrabu saturošiem izstrādājumiem;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 ražošanas procesiem, kuros izmanto dzīvsudrabu vai dzīvsudraba savienojumus,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iii) pasākumiem un procesiem, kas rada dzīvsudraba vai dzīvsudraba savienojumu emisijas vai noplūdes,</w:t>
      </w:r>
    </w:p>
    <w:p w:rsidR="0060722E" w:rsidRDefault="0060722E">
      <w:pPr>
        <w:jc w:val="both"/>
        <w:rPr>
          <w:rFonts w:ascii="Times New Roman" w:hAnsi="Times New Roman" w:cs="Times New Roman"/>
          <w:snapToGrid w:val="0"/>
          <w:lang w:val="lv-LV"/>
        </w:rPr>
      </w:pPr>
    </w:p>
    <w:p w:rsidR="0060722E" w:rsidRDefault="00F34125">
      <w:pPr>
        <w:jc w:val="both"/>
        <w:rPr>
          <w:rFonts w:ascii="Times New Roman" w:hAnsi="Times New Roman" w:cs="Times New Roman"/>
          <w:snapToGrid w:val="0"/>
          <w:lang w:val="lv-LV"/>
        </w:rPr>
      </w:pPr>
      <w:r>
        <w:rPr>
          <w:rFonts w:ascii="Times New Roman" w:hAnsi="Times New Roman" w:cs="Times New Roman"/>
          <w:snapToGrid w:val="0"/>
          <w:lang w:val="lv-LV"/>
        </w:rPr>
        <w:t xml:space="preserve">tostarp ar </w:t>
      </w:r>
      <w:r w:rsidR="0060722E">
        <w:rPr>
          <w:rFonts w:ascii="Times New Roman" w:hAnsi="Times New Roman" w:cs="Times New Roman"/>
          <w:snapToGrid w:val="0"/>
          <w:lang w:val="lv-LV"/>
        </w:rPr>
        <w:t>informāciju par veselības un apkārtējās vides apdraudējumu un šādu alternatīvu ekonomiskajām un sociālajām izmaksām un ieguvumiem, un</w:t>
      </w:r>
    </w:p>
    <w:p w:rsidR="0060722E" w:rsidRDefault="0060722E">
      <w:pPr>
        <w:jc w:val="both"/>
        <w:rPr>
          <w:rFonts w:ascii="Times New Roman" w:hAnsi="Times New Roman" w:cs="Times New Roman"/>
          <w:snapToGrid w:val="0"/>
          <w:lang w:val="lv-LV"/>
        </w:rPr>
      </w:pPr>
    </w:p>
    <w:p w:rsidR="0060722E" w:rsidRDefault="00F34125">
      <w:pPr>
        <w:jc w:val="both"/>
        <w:rPr>
          <w:rFonts w:ascii="Times New Roman" w:hAnsi="Times New Roman" w:cs="Times New Roman"/>
          <w:snapToGrid w:val="0"/>
          <w:lang w:val="lv-LV"/>
        </w:rPr>
      </w:pPr>
      <w:r>
        <w:rPr>
          <w:rFonts w:ascii="Times New Roman" w:hAnsi="Times New Roman" w:cs="Times New Roman"/>
          <w:snapToGrid w:val="0"/>
          <w:lang w:val="lv-LV"/>
        </w:rPr>
        <w:t>d) epidemioloģisko informāciju</w:t>
      </w:r>
      <w:r w:rsidR="0060722E">
        <w:rPr>
          <w:rFonts w:ascii="Times New Roman" w:hAnsi="Times New Roman" w:cs="Times New Roman"/>
          <w:snapToGrid w:val="0"/>
          <w:lang w:val="lv-LV"/>
        </w:rPr>
        <w:t xml:space="preserve"> </w:t>
      </w:r>
      <w:r>
        <w:rPr>
          <w:rFonts w:ascii="Times New Roman" w:hAnsi="Times New Roman" w:cs="Times New Roman"/>
          <w:snapToGrid w:val="0"/>
          <w:lang w:val="lv-LV"/>
        </w:rPr>
        <w:t xml:space="preserve">par </w:t>
      </w:r>
      <w:r w:rsidR="0060722E">
        <w:rPr>
          <w:rFonts w:ascii="Times New Roman" w:hAnsi="Times New Roman" w:cs="Times New Roman"/>
          <w:snapToGrid w:val="0"/>
          <w:lang w:val="lv-LV"/>
        </w:rPr>
        <w:t>ietekmi uz veselību, kas saistīta ar dzīvsudraba un dzīvsudraba savienojumu iedarbību, ciešā sadarbībā ar Pasaules Veselības organizāciju un citām atbilstošām organizācijām</w:t>
      </w:r>
      <w:r>
        <w:rPr>
          <w:rFonts w:ascii="Times New Roman" w:hAnsi="Times New Roman" w:cs="Times New Roman"/>
          <w:snapToGrid w:val="0"/>
          <w:lang w:val="lv-LV"/>
        </w:rPr>
        <w:t>,</w:t>
      </w:r>
      <w:r w:rsidR="0060722E">
        <w:rPr>
          <w:rFonts w:ascii="Times New Roman" w:hAnsi="Times New Roman" w:cs="Times New Roman"/>
          <w:snapToGrid w:val="0"/>
          <w:lang w:val="lv-LV"/>
        </w:rPr>
        <w:t xml:space="preserve"> </w:t>
      </w:r>
      <w:r>
        <w:rPr>
          <w:rFonts w:ascii="Times New Roman" w:hAnsi="Times New Roman" w:cs="Times New Roman"/>
          <w:snapToGrid w:val="0"/>
          <w:lang w:val="lv-LV"/>
        </w:rPr>
        <w:t>ja nepieciešams</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Pr="00E20C32" w:rsidRDefault="0060722E">
      <w:pPr>
        <w:jc w:val="both"/>
        <w:rPr>
          <w:rFonts w:ascii="Times New Roman" w:hAnsi="Times New Roman" w:cs="Times New Roman"/>
          <w:snapToGrid w:val="0"/>
          <w:lang w:val="lv-LV"/>
        </w:rPr>
      </w:pPr>
      <w:r w:rsidRPr="00E20C32">
        <w:rPr>
          <w:rFonts w:ascii="Times New Roman" w:hAnsi="Times New Roman" w:cs="Times New Roman"/>
          <w:snapToGrid w:val="0"/>
          <w:lang w:val="lv-LV"/>
        </w:rPr>
        <w:lastRenderedPageBreak/>
        <w:t>2. Puses apmainās ar 1. punktā minēto informāciju tiešā veidā, ar sekretariāta starpniecību vai sadarbībā ar citām atbilstošajām organizācijām, tostarp ķīmisko vielu un atkritumu konvenciju sekretariātiem</w:t>
      </w:r>
      <w:r w:rsidR="00E20C32" w:rsidRPr="00E20C32">
        <w:rPr>
          <w:rFonts w:ascii="Times New Roman" w:hAnsi="Times New Roman" w:cs="Times New Roman"/>
          <w:snapToGrid w:val="0"/>
          <w:lang w:val="lv-LV"/>
        </w:rPr>
        <w:t>,</w:t>
      </w:r>
      <w:r w:rsidRPr="00E20C32">
        <w:rPr>
          <w:rFonts w:ascii="Times New Roman" w:hAnsi="Times New Roman" w:cs="Times New Roman"/>
          <w:snapToGrid w:val="0"/>
          <w:lang w:val="lv-LV"/>
        </w:rPr>
        <w:t xml:space="preserve"> </w:t>
      </w:r>
      <w:r w:rsidR="00E20C32">
        <w:rPr>
          <w:rFonts w:ascii="Times New Roman" w:hAnsi="Times New Roman" w:cs="Times New Roman"/>
          <w:snapToGrid w:val="0"/>
          <w:lang w:val="lv-LV"/>
        </w:rPr>
        <w:t xml:space="preserve">atkarībā no </w:t>
      </w:r>
      <w:r w:rsidRPr="00E20C32">
        <w:rPr>
          <w:rFonts w:ascii="Times New Roman" w:hAnsi="Times New Roman" w:cs="Times New Roman"/>
          <w:snapToGrid w:val="0"/>
          <w:lang w:val="lv-LV"/>
        </w:rPr>
        <w:t>nepieciešamības.</w:t>
      </w:r>
    </w:p>
    <w:p w:rsidR="0060722E" w:rsidRPr="00E20C32" w:rsidRDefault="0060722E">
      <w:pPr>
        <w:jc w:val="both"/>
        <w:rPr>
          <w:rFonts w:ascii="Times New Roman" w:hAnsi="Times New Roman" w:cs="Times New Roman"/>
          <w:snapToGrid w:val="0"/>
          <w:lang w:val="lv-LV"/>
        </w:rPr>
      </w:pPr>
    </w:p>
    <w:p w:rsidR="0060722E" w:rsidRPr="00E20C32" w:rsidRDefault="0060722E">
      <w:pPr>
        <w:jc w:val="both"/>
        <w:rPr>
          <w:rFonts w:ascii="Times New Roman" w:hAnsi="Times New Roman" w:cs="Times New Roman"/>
          <w:snapToGrid w:val="0"/>
          <w:lang w:val="lv-LV"/>
        </w:rPr>
      </w:pPr>
      <w:r w:rsidRPr="00E20C32">
        <w:rPr>
          <w:rFonts w:ascii="Times New Roman" w:hAnsi="Times New Roman" w:cs="Times New Roman"/>
          <w:snapToGrid w:val="0"/>
          <w:lang w:val="lv-LV"/>
        </w:rPr>
        <w:t>3. Sekretariāts sekmē sadarbību šajā pantā minētās informācijas apmaiņas jomā, kā arī sadarbību ar at</w:t>
      </w:r>
      <w:r w:rsidR="00E20C32" w:rsidRPr="00E20C32">
        <w:rPr>
          <w:rFonts w:ascii="Times New Roman" w:hAnsi="Times New Roman" w:cs="Times New Roman"/>
          <w:snapToGrid w:val="0"/>
          <w:lang w:val="lv-LV"/>
        </w:rPr>
        <w:t>tiecīg</w:t>
      </w:r>
      <w:r w:rsidRPr="00E20C32">
        <w:rPr>
          <w:rFonts w:ascii="Times New Roman" w:hAnsi="Times New Roman" w:cs="Times New Roman"/>
          <w:snapToGrid w:val="0"/>
          <w:lang w:val="lv-LV"/>
        </w:rPr>
        <w:t>ajām organizācijām, tostarp ar daudzpusējo vides aizsardzības nolīgumu sekretariātiem un citām starptautiskām iniciatīvām.</w:t>
      </w:r>
      <w:r w:rsidR="00E20C32" w:rsidRPr="00E20C32">
        <w:rPr>
          <w:rFonts w:ascii="Times New Roman" w:hAnsi="Times New Roman" w:cs="Times New Roman"/>
          <w:snapToGrid w:val="0"/>
          <w:lang w:val="lv-LV"/>
        </w:rPr>
        <w:t xml:space="preserve"> </w:t>
      </w:r>
      <w:r w:rsidRPr="00E20C32">
        <w:rPr>
          <w:rFonts w:ascii="Times New Roman" w:hAnsi="Times New Roman" w:cs="Times New Roman"/>
          <w:snapToGrid w:val="0"/>
          <w:lang w:val="lv-LV"/>
        </w:rPr>
        <w:t>Papildus no pusēm saņemtajai informācijai šī informācija ietver arī informāciju no starpvaldību un nevalstiskajām organizācijām, kam ir pieredze dzīvsudraba jomā, un no valsts un starptautisk</w:t>
      </w:r>
      <w:r w:rsidR="00E20C32" w:rsidRPr="00E20C32">
        <w:rPr>
          <w:rFonts w:ascii="Times New Roman" w:hAnsi="Times New Roman" w:cs="Times New Roman"/>
          <w:snapToGrid w:val="0"/>
          <w:lang w:val="lv-LV"/>
        </w:rPr>
        <w:t>aj</w:t>
      </w:r>
      <w:r w:rsidRPr="00E20C32">
        <w:rPr>
          <w:rFonts w:ascii="Times New Roman" w:hAnsi="Times New Roman" w:cs="Times New Roman"/>
          <w:snapToGrid w:val="0"/>
          <w:lang w:val="lv-LV"/>
        </w:rPr>
        <w:t>ām iestādēm, kam ir šāda pieredze.</w:t>
      </w:r>
    </w:p>
    <w:p w:rsidR="0060722E" w:rsidRPr="00F34125" w:rsidRDefault="0060722E">
      <w:pPr>
        <w:jc w:val="both"/>
        <w:rPr>
          <w:rFonts w:ascii="Times New Roman" w:hAnsi="Times New Roman" w:cs="Times New Roman"/>
          <w:snapToGrid w:val="0"/>
          <w:highlight w:val="green"/>
          <w:lang w:val="lv-LV"/>
        </w:rPr>
      </w:pPr>
    </w:p>
    <w:p w:rsidR="0060722E" w:rsidRPr="00E20C32" w:rsidRDefault="0060722E">
      <w:pPr>
        <w:jc w:val="both"/>
        <w:rPr>
          <w:rFonts w:ascii="Times New Roman" w:hAnsi="Times New Roman" w:cs="Times New Roman"/>
          <w:snapToGrid w:val="0"/>
          <w:lang w:val="lv-LV"/>
        </w:rPr>
      </w:pPr>
      <w:r w:rsidRPr="00E20C32">
        <w:rPr>
          <w:rFonts w:ascii="Times New Roman" w:hAnsi="Times New Roman" w:cs="Times New Roman"/>
          <w:snapToGrid w:val="0"/>
          <w:lang w:val="lv-LV"/>
        </w:rPr>
        <w:t>4. Ikviena puse izraugās valsts kontaktpunktu informācijas apmaiņai saskaņā ar šo konvenciju, tostarp attiecībā uz pušu importētāju piekrišanu saskaņā ar 3. pantu.</w:t>
      </w:r>
    </w:p>
    <w:p w:rsidR="0060722E" w:rsidRPr="00E20C32"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24" w:name="bookmark24"/>
      <w:r w:rsidRPr="00E20C32">
        <w:rPr>
          <w:rFonts w:ascii="Times New Roman" w:hAnsi="Times New Roman" w:cs="Times New Roman"/>
          <w:snapToGrid w:val="0"/>
          <w:lang w:val="lv-LV"/>
        </w:rPr>
        <w:t>5. Šajā konvencijā informācija par cilvēku veselību un apkārtējās vides drošību netiek uzskatīta par konfidenciālu. Puses, kas apmainās ar citu informāciju saskaņā ar šo konvenciju, aizsargā jebkādu konfidenciālu informāciju, kā nosaka abpusēja vienošanās.</w:t>
      </w:r>
    </w:p>
    <w:bookmarkEnd w:id="24"/>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18.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bookmarkStart w:id="25" w:name="bookmark25"/>
      <w:r>
        <w:rPr>
          <w:rFonts w:ascii="Times New Roman" w:hAnsi="Times New Roman" w:cs="Times New Roman"/>
          <w:b/>
          <w:bCs/>
          <w:snapToGrid w:val="0"/>
          <w:sz w:val="28"/>
          <w:szCs w:val="28"/>
          <w:lang w:val="lv-LV"/>
        </w:rPr>
        <w:t>Sabiedrības informēšana, informētība un izglītošana</w:t>
      </w:r>
    </w:p>
    <w:bookmarkEnd w:id="25"/>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 Ikviena puse </w:t>
      </w:r>
      <w:r w:rsidR="00E20C32">
        <w:rPr>
          <w:rFonts w:ascii="Times New Roman" w:hAnsi="Times New Roman" w:cs="Times New Roman"/>
          <w:snapToGrid w:val="0"/>
          <w:lang w:val="lv-LV"/>
        </w:rPr>
        <w:t>atbilstoši iespējām</w:t>
      </w:r>
      <w:r w:rsidR="00CD2B3B">
        <w:rPr>
          <w:rFonts w:ascii="Times New Roman" w:hAnsi="Times New Roman" w:cs="Times New Roman"/>
          <w:snapToGrid w:val="0"/>
          <w:lang w:val="lv-LV"/>
        </w:rPr>
        <w:t xml:space="preserve"> </w:t>
      </w:r>
      <w:r>
        <w:rPr>
          <w:rFonts w:ascii="Times New Roman" w:hAnsi="Times New Roman" w:cs="Times New Roman"/>
          <w:snapToGrid w:val="0"/>
          <w:lang w:val="lv-LV"/>
        </w:rPr>
        <w:t>sekmē un veicina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pieejamās informācijas sniegšanu sabiedrībai par</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 dzīvsudraba un dzīvsudraba savienojumu iedarbību uz veselību un apkārtējo vidi;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 dzīvsudraba un dzīvsudraba savienojumu alternatīvām;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iii) jautājumiem, kas norādīti 17. panta 1. punktā;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iv) savu pētniecības, izstrādes un monitoringa pasākumu rezultātiem saskaņā ar 19. pantu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v) pasākumiem, kas tiek veikti, lai izpildītu konvencijā noteiktos pienākumus;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izglītošanu, apmācību un sabiedrības informētību saistībā ar dzīvsudraba un dzīvsudraba savienojumu iedarbības ietekmi uz cilvēku veselību un apkārtējo vidi, sadarbojoties ar atbilstošām starpvaldību un nevalstiskām organizācijām un neaizsargātām iedzīvotāju grupām pēc nepieciešamības.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26" w:name="bookmark26"/>
      <w:r>
        <w:rPr>
          <w:rFonts w:ascii="Times New Roman" w:hAnsi="Times New Roman" w:cs="Times New Roman"/>
          <w:snapToGrid w:val="0"/>
          <w:lang w:val="lv-LV"/>
        </w:rPr>
        <w:t xml:space="preserve">2. Ikviena puse izmanto </w:t>
      </w:r>
      <w:r w:rsidR="00862D25">
        <w:rPr>
          <w:rFonts w:ascii="Times New Roman" w:hAnsi="Times New Roman" w:cs="Times New Roman"/>
          <w:snapToGrid w:val="0"/>
          <w:lang w:val="lv-LV"/>
        </w:rPr>
        <w:t>es</w:t>
      </w:r>
      <w:r>
        <w:rPr>
          <w:rFonts w:ascii="Times New Roman" w:hAnsi="Times New Roman" w:cs="Times New Roman"/>
          <w:snapToGrid w:val="0"/>
          <w:lang w:val="lv-LV"/>
        </w:rPr>
        <w:t>ošos mehānismus vai apsver citu mehānismu izstrādi, piemēram, izstrādā piesārņojošo vielu noplūdes un pārneses reģistrus, ja nepieciešams, lai varētu savākt un izplatīt informāciju par ikgadējo aprēķināto dzīvsudraba un dzīvsudraba sastāvdaļu daudzumu, kuru emisija, noplūde vai iznīcināšana notiek cilvēku rīcības rezultātā.</w:t>
      </w:r>
    </w:p>
    <w:bookmarkEnd w:id="26"/>
    <w:p w:rsidR="0060722E" w:rsidRDefault="0060722E">
      <w:pPr>
        <w:jc w:val="both"/>
        <w:rPr>
          <w:rFonts w:ascii="Times New Roman" w:hAnsi="Times New Roman" w:cs="Times New Roman"/>
          <w:snapToGrid w:val="0"/>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lastRenderedPageBreak/>
        <w:t>19. pants</w:t>
      </w:r>
    </w:p>
    <w:p w:rsidR="0060722E" w:rsidRDefault="0060722E" w:rsidP="006937AD">
      <w:pPr>
        <w:keepNext/>
        <w:jc w:val="center"/>
        <w:rPr>
          <w:rFonts w:ascii="Times New Roman" w:hAnsi="Times New Roman" w:cs="Times New Roman"/>
          <w:b/>
          <w:bCs/>
          <w:snapToGrid w:val="0"/>
          <w:sz w:val="28"/>
          <w:szCs w:val="28"/>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Pētniecība, attīstība un monitorings</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1. Puses, ņemot vērā attiecīgos apstākļus un iespējas, cenšas sadarboties, lai izstrādātu un uzlabotu</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a) uzskaites attiecībā uz dzīvsudraba un dzīvsudraba savienojumu izmantošanu, patēriņu un antropogēnām emisijām gaisā, noplūdēm ūdenī un uz zemes;</w:t>
      </w:r>
    </w:p>
    <w:p w:rsidR="0060722E" w:rsidRDefault="0060722E" w:rsidP="006937AD">
      <w:pPr>
        <w:keepNext/>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dzīvsudraba un dzīvsudraba savienojumu līmeņa modelēšanu un ģeogrāfiski reprezentatīvu monitoringu </w:t>
      </w:r>
      <w:r w:rsidR="0044682A">
        <w:rPr>
          <w:rFonts w:ascii="Times New Roman" w:hAnsi="Times New Roman" w:cs="Times New Roman"/>
          <w:snapToGrid w:val="0"/>
          <w:lang w:val="lv-LV"/>
        </w:rPr>
        <w:t xml:space="preserve">attiecībā uz </w:t>
      </w:r>
      <w:r>
        <w:rPr>
          <w:rFonts w:ascii="Times New Roman" w:hAnsi="Times New Roman" w:cs="Times New Roman"/>
          <w:snapToGrid w:val="0"/>
          <w:lang w:val="lv-LV"/>
        </w:rPr>
        <w:t xml:space="preserve">neaizsargātām iedzīvotāju grupām un </w:t>
      </w:r>
      <w:r w:rsidR="008636A1">
        <w:rPr>
          <w:rFonts w:ascii="Times New Roman" w:hAnsi="Times New Roman" w:cs="Times New Roman"/>
          <w:snapToGrid w:val="0"/>
          <w:lang w:val="lv-LV"/>
        </w:rPr>
        <w:t>vides elementiem</w:t>
      </w:r>
      <w:r>
        <w:rPr>
          <w:rFonts w:ascii="Times New Roman" w:hAnsi="Times New Roman" w:cs="Times New Roman"/>
          <w:snapToGrid w:val="0"/>
          <w:lang w:val="lv-LV"/>
        </w:rPr>
        <w:t>, tostarp biotiskām vidēm, piemēram, zivīm, jūras zīdītājiem, jūras bruņurupučiem un putniem, kā arī sadarbību atbilstošu un piemērotu paraugu vākšanā un apmaiņā;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dzīvsudraba un dzīvsudraba savienojumu ietekmes novērtējumu attiecībā uz cilvēku veselību un apkārtējo vidi papildus ietekmes novērtēšanai sociālajā, ekonomiskajā un kultūras jomā, </w:t>
      </w:r>
      <w:r w:rsidR="0044682A">
        <w:rPr>
          <w:rFonts w:ascii="Times New Roman" w:hAnsi="Times New Roman" w:cs="Times New Roman"/>
          <w:snapToGrid w:val="0"/>
          <w:lang w:val="lv-LV"/>
        </w:rPr>
        <w:t xml:space="preserve">it īpaši </w:t>
      </w:r>
      <w:r>
        <w:rPr>
          <w:rFonts w:ascii="Times New Roman" w:hAnsi="Times New Roman" w:cs="Times New Roman"/>
          <w:snapToGrid w:val="0"/>
          <w:lang w:val="lv-LV"/>
        </w:rPr>
        <w:t>attiecībā uz neaizsargātām iedzīvotāju grupām;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d) saskaņotas metodes, lai veiktu pasākumus, kas minēti a), b) un c) apakšpunktā;</w:t>
      </w:r>
    </w:p>
    <w:p w:rsidR="0060722E" w:rsidRDefault="0060722E">
      <w:pPr>
        <w:jc w:val="both"/>
        <w:rPr>
          <w:rFonts w:ascii="Times New Roman" w:hAnsi="Times New Roman" w:cs="Times New Roman"/>
          <w:snapToGrid w:val="0"/>
          <w:lang w:val="lv-LV"/>
        </w:rPr>
      </w:pPr>
    </w:p>
    <w:p w:rsidR="0060722E" w:rsidRPr="002D1CB8" w:rsidRDefault="0060722E">
      <w:pPr>
        <w:jc w:val="both"/>
        <w:rPr>
          <w:rFonts w:ascii="Times New Roman" w:hAnsi="Times New Roman" w:cs="Times New Roman"/>
          <w:snapToGrid w:val="0"/>
          <w:lang w:val="lv-LV"/>
        </w:rPr>
      </w:pPr>
      <w:r>
        <w:rPr>
          <w:rFonts w:ascii="Times New Roman" w:hAnsi="Times New Roman" w:cs="Times New Roman"/>
          <w:snapToGrid w:val="0"/>
          <w:lang w:val="lv-LV"/>
        </w:rPr>
        <w:t>e) informāciju par dzīvsudraba un dzīvsudraba savienojumu ekoloģisko ciklu,</w:t>
      </w:r>
      <w:r w:rsidR="0044682A">
        <w:rPr>
          <w:rFonts w:ascii="Times New Roman" w:hAnsi="Times New Roman" w:cs="Times New Roman"/>
          <w:snapToGrid w:val="0"/>
          <w:lang w:val="lv-LV"/>
        </w:rPr>
        <w:t xml:space="preserve"> pārvadāšanu (tostarp</w:t>
      </w:r>
      <w:r>
        <w:rPr>
          <w:rFonts w:ascii="Times New Roman" w:hAnsi="Times New Roman" w:cs="Times New Roman"/>
          <w:snapToGrid w:val="0"/>
          <w:lang w:val="lv-LV"/>
        </w:rPr>
        <w:t xml:space="preserve"> </w:t>
      </w:r>
      <w:r w:rsidR="00E376CC">
        <w:rPr>
          <w:rFonts w:ascii="Times New Roman" w:hAnsi="Times New Roman" w:cs="Times New Roman"/>
          <w:snapToGrid w:val="0"/>
          <w:lang w:val="lv-LV"/>
        </w:rPr>
        <w:t xml:space="preserve">pārnesi </w:t>
      </w:r>
      <w:r w:rsidR="00DE4C52">
        <w:rPr>
          <w:rFonts w:ascii="Times New Roman" w:hAnsi="Times New Roman" w:cs="Times New Roman"/>
          <w:snapToGrid w:val="0"/>
          <w:lang w:val="lv-LV"/>
        </w:rPr>
        <w:t xml:space="preserve">lielos attālumos </w:t>
      </w:r>
      <w:r>
        <w:rPr>
          <w:rFonts w:ascii="Times New Roman" w:hAnsi="Times New Roman" w:cs="Times New Roman"/>
          <w:snapToGrid w:val="0"/>
          <w:lang w:val="lv-LV"/>
        </w:rPr>
        <w:t>un no</w:t>
      </w:r>
      <w:r w:rsidR="0044682A">
        <w:rPr>
          <w:rFonts w:ascii="Times New Roman" w:hAnsi="Times New Roman" w:cs="Times New Roman"/>
          <w:snapToGrid w:val="0"/>
          <w:lang w:val="lv-LV"/>
        </w:rPr>
        <w:t>sēdumiem</w:t>
      </w:r>
      <w:r>
        <w:rPr>
          <w:rFonts w:ascii="Times New Roman" w:hAnsi="Times New Roman" w:cs="Times New Roman"/>
          <w:snapToGrid w:val="0"/>
          <w:lang w:val="lv-LV"/>
        </w:rPr>
        <w:t xml:space="preserve">), </w:t>
      </w:r>
      <w:r w:rsidRPr="002D1CB8">
        <w:rPr>
          <w:rFonts w:ascii="Times New Roman" w:hAnsi="Times New Roman" w:cs="Times New Roman"/>
          <w:snapToGrid w:val="0"/>
          <w:lang w:val="lv-LV"/>
        </w:rPr>
        <w:t>pārstrādi un turpmāko likteni dažādās ekosistēmās, pienācīgi ņemot vērā atšķirību starp antropogēnām un dabiskām dzīvsudraba emisijām un noplūdēm un dzīvsudraba pārvietošanu no vēsturiskās atrašanās vietas;</w:t>
      </w:r>
    </w:p>
    <w:p w:rsidR="0060722E" w:rsidRPr="002D1CB8" w:rsidRDefault="0060722E">
      <w:pPr>
        <w:jc w:val="both"/>
        <w:rPr>
          <w:rFonts w:ascii="Times New Roman" w:hAnsi="Times New Roman" w:cs="Times New Roman"/>
          <w:snapToGrid w:val="0"/>
          <w:lang w:val="lv-LV"/>
        </w:rPr>
      </w:pPr>
    </w:p>
    <w:p w:rsidR="0060722E" w:rsidRPr="002D1CB8" w:rsidRDefault="0060722E">
      <w:pPr>
        <w:jc w:val="both"/>
        <w:rPr>
          <w:rFonts w:ascii="Times New Roman" w:hAnsi="Times New Roman" w:cs="Times New Roman"/>
          <w:snapToGrid w:val="0"/>
          <w:lang w:val="lv-LV"/>
        </w:rPr>
      </w:pPr>
      <w:r w:rsidRPr="002D1CB8">
        <w:rPr>
          <w:rFonts w:ascii="Times New Roman" w:hAnsi="Times New Roman" w:cs="Times New Roman"/>
          <w:snapToGrid w:val="0"/>
          <w:lang w:val="lv-LV"/>
        </w:rPr>
        <w:t>f) informāciju par dzīvsudraba un dzīvsudraba savienojumu un dzīvsudrabu saturošu izstrādājumu uzņēmējdarbību un tirdzniecību un</w:t>
      </w:r>
    </w:p>
    <w:p w:rsidR="0060722E" w:rsidRPr="002D1CB8" w:rsidRDefault="0060722E">
      <w:pPr>
        <w:jc w:val="both"/>
        <w:rPr>
          <w:rFonts w:ascii="Times New Roman" w:hAnsi="Times New Roman" w:cs="Times New Roman"/>
          <w:snapToGrid w:val="0"/>
          <w:lang w:val="lv-LV"/>
        </w:rPr>
      </w:pPr>
    </w:p>
    <w:p w:rsidR="0060722E" w:rsidRPr="002D1CB8" w:rsidRDefault="0060722E">
      <w:pPr>
        <w:jc w:val="both"/>
        <w:rPr>
          <w:rFonts w:ascii="Times New Roman" w:hAnsi="Times New Roman" w:cs="Times New Roman"/>
          <w:snapToGrid w:val="0"/>
          <w:lang w:val="lv-LV"/>
        </w:rPr>
      </w:pPr>
      <w:r w:rsidRPr="002D1CB8">
        <w:rPr>
          <w:rFonts w:ascii="Times New Roman" w:hAnsi="Times New Roman" w:cs="Times New Roman"/>
          <w:snapToGrid w:val="0"/>
          <w:lang w:val="lv-LV"/>
        </w:rPr>
        <w:t>g) informāciju un izpēti par tādu izstrādājumu un procesu tehnisko un ekonomisko pieejamību, kuri nesatur dzīvsudrabu, par labāk</w:t>
      </w:r>
      <w:r w:rsidR="00F32658">
        <w:rPr>
          <w:rFonts w:ascii="Times New Roman" w:hAnsi="Times New Roman" w:cs="Times New Roman"/>
          <w:snapToGrid w:val="0"/>
          <w:lang w:val="lv-LV"/>
        </w:rPr>
        <w:t>ajie</w:t>
      </w:r>
      <w:r w:rsidRPr="002D1CB8">
        <w:rPr>
          <w:rFonts w:ascii="Times New Roman" w:hAnsi="Times New Roman" w:cs="Times New Roman"/>
          <w:snapToGrid w:val="0"/>
          <w:lang w:val="lv-LV"/>
        </w:rPr>
        <w:t>m pieejam</w:t>
      </w:r>
      <w:r w:rsidR="002D1CB8" w:rsidRPr="002D1CB8">
        <w:rPr>
          <w:rFonts w:ascii="Times New Roman" w:hAnsi="Times New Roman" w:cs="Times New Roman"/>
          <w:snapToGrid w:val="0"/>
          <w:lang w:val="lv-LV"/>
        </w:rPr>
        <w:t>aj</w:t>
      </w:r>
      <w:r w:rsidR="00F32658">
        <w:rPr>
          <w:rFonts w:ascii="Times New Roman" w:hAnsi="Times New Roman" w:cs="Times New Roman"/>
          <w:snapToGrid w:val="0"/>
          <w:lang w:val="lv-LV"/>
        </w:rPr>
        <w:t>ie</w:t>
      </w:r>
      <w:r w:rsidRPr="002D1CB8">
        <w:rPr>
          <w:rFonts w:ascii="Times New Roman" w:hAnsi="Times New Roman" w:cs="Times New Roman"/>
          <w:snapToGrid w:val="0"/>
          <w:lang w:val="lv-LV"/>
        </w:rPr>
        <w:t xml:space="preserve">m </w:t>
      </w:r>
      <w:r w:rsidR="00F32658">
        <w:rPr>
          <w:rFonts w:ascii="Times New Roman" w:hAnsi="Times New Roman" w:cs="Times New Roman"/>
          <w:snapToGrid w:val="0"/>
          <w:lang w:val="lv-LV"/>
        </w:rPr>
        <w:t xml:space="preserve">tehniskajiem paņēmieniem </w:t>
      </w:r>
      <w:r w:rsidRPr="002D1CB8">
        <w:rPr>
          <w:rFonts w:ascii="Times New Roman" w:hAnsi="Times New Roman" w:cs="Times New Roman"/>
          <w:snapToGrid w:val="0"/>
          <w:lang w:val="lv-LV"/>
        </w:rPr>
        <w:t xml:space="preserve">un labāko </w:t>
      </w:r>
      <w:r w:rsidR="00AC7453">
        <w:rPr>
          <w:rFonts w:ascii="Times New Roman" w:hAnsi="Times New Roman" w:cs="Times New Roman"/>
          <w:snapToGrid w:val="0"/>
          <w:lang w:val="lv-LV"/>
        </w:rPr>
        <w:t xml:space="preserve">vides </w:t>
      </w:r>
      <w:r w:rsidRPr="002D1CB8">
        <w:rPr>
          <w:rFonts w:ascii="Times New Roman" w:hAnsi="Times New Roman" w:cs="Times New Roman"/>
          <w:snapToGrid w:val="0"/>
          <w:lang w:val="lv-LV"/>
        </w:rPr>
        <w:t>praksi, lai samazinātu un uzraudzītu dzīvsudraba un dzīvsudraba savienojumu emisijas un noplūdi.</w:t>
      </w:r>
    </w:p>
    <w:p w:rsidR="0060722E" w:rsidRPr="002D1CB8"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27" w:name="bookmark27"/>
      <w:r w:rsidRPr="002D1CB8">
        <w:rPr>
          <w:rFonts w:ascii="Times New Roman" w:hAnsi="Times New Roman" w:cs="Times New Roman"/>
          <w:snapToGrid w:val="0"/>
          <w:lang w:val="lv-LV"/>
        </w:rPr>
        <w:t xml:space="preserve">2. </w:t>
      </w:r>
      <w:r w:rsidR="000F6E3B">
        <w:rPr>
          <w:rFonts w:ascii="Times New Roman" w:hAnsi="Times New Roman" w:cs="Times New Roman"/>
          <w:snapToGrid w:val="0"/>
          <w:lang w:val="lv-LV"/>
        </w:rPr>
        <w:t>Puses, ja nepieciešams, paplašina monitoringa tīklus</w:t>
      </w:r>
      <w:r w:rsidRPr="002D1CB8">
        <w:rPr>
          <w:rFonts w:ascii="Times New Roman" w:hAnsi="Times New Roman" w:cs="Times New Roman"/>
          <w:snapToGrid w:val="0"/>
          <w:lang w:val="lv-LV"/>
        </w:rPr>
        <w:t xml:space="preserve"> un pētniecības programmas, veicot pasākumus, kas minēti 1. punktā.</w:t>
      </w:r>
    </w:p>
    <w:bookmarkEnd w:id="27"/>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20.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Īstenošanas plāni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 Ikviena puse pēc sākotnējā novērtējuma </w:t>
      </w:r>
      <w:r w:rsidR="000F6E3B">
        <w:rPr>
          <w:rFonts w:ascii="Times New Roman" w:hAnsi="Times New Roman" w:cs="Times New Roman"/>
          <w:snapToGrid w:val="0"/>
          <w:lang w:val="lv-LV"/>
        </w:rPr>
        <w:t xml:space="preserve">var </w:t>
      </w:r>
      <w:r>
        <w:rPr>
          <w:rFonts w:ascii="Times New Roman" w:hAnsi="Times New Roman" w:cs="Times New Roman"/>
          <w:snapToGrid w:val="0"/>
          <w:lang w:val="lv-LV"/>
        </w:rPr>
        <w:t>izstrādā</w:t>
      </w:r>
      <w:r w:rsidR="000F6E3B">
        <w:rPr>
          <w:rFonts w:ascii="Times New Roman" w:hAnsi="Times New Roman" w:cs="Times New Roman"/>
          <w:snapToGrid w:val="0"/>
          <w:lang w:val="lv-LV"/>
        </w:rPr>
        <w:t>t un izpildīt</w:t>
      </w:r>
      <w:r>
        <w:rPr>
          <w:rFonts w:ascii="Times New Roman" w:hAnsi="Times New Roman" w:cs="Times New Roman"/>
          <w:snapToGrid w:val="0"/>
          <w:lang w:val="lv-LV"/>
        </w:rPr>
        <w:t xml:space="preserve"> īstenošanas plānu, ņemot vērā attiecīgās valsts apstākļus, lai izpildītu šajā konvencijā noteiktās saistības. Ikvienu šādu plānu nosūta sekretariātam, tiklīdz tas ir izstrādāts.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2. Ikviena puse var pārskatīt un koriģēt savu īstenošanas plānu, ņemot vērā apstākļus </w:t>
      </w:r>
      <w:r w:rsidR="0013504E">
        <w:rPr>
          <w:rFonts w:ascii="Times New Roman" w:hAnsi="Times New Roman" w:cs="Times New Roman"/>
          <w:snapToGrid w:val="0"/>
          <w:lang w:val="lv-LV"/>
        </w:rPr>
        <w:t xml:space="preserve">valstī </w:t>
      </w:r>
      <w:r>
        <w:rPr>
          <w:rFonts w:ascii="Times New Roman" w:hAnsi="Times New Roman" w:cs="Times New Roman"/>
          <w:snapToGrid w:val="0"/>
          <w:lang w:val="lv-LV"/>
        </w:rPr>
        <w:t>un atsaucoties uz pušu konferences norādījumiem un citiem atbilstošiem norādījumiem.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 xml:space="preserve">3. </w:t>
      </w:r>
      <w:r w:rsidR="000B23DE">
        <w:rPr>
          <w:rFonts w:ascii="Times New Roman" w:hAnsi="Times New Roman" w:cs="Times New Roman"/>
          <w:snapToGrid w:val="0"/>
          <w:lang w:val="lv-LV"/>
        </w:rPr>
        <w:t>Puses</w:t>
      </w:r>
      <w:r>
        <w:rPr>
          <w:rFonts w:ascii="Times New Roman" w:hAnsi="Times New Roman" w:cs="Times New Roman"/>
          <w:snapToGrid w:val="0"/>
          <w:lang w:val="lv-LV"/>
        </w:rPr>
        <w:t>, veicot 1.</w:t>
      </w:r>
      <w:r w:rsidR="000B23DE">
        <w:rPr>
          <w:rFonts w:ascii="Times New Roman" w:hAnsi="Times New Roman" w:cs="Times New Roman"/>
          <w:snapToGrid w:val="0"/>
          <w:lang w:val="lv-LV"/>
        </w:rPr>
        <w:t xml:space="preserve"> un 2. punktā noteikto darbu, </w:t>
      </w:r>
      <w:r>
        <w:rPr>
          <w:rFonts w:ascii="Times New Roman" w:hAnsi="Times New Roman" w:cs="Times New Roman"/>
          <w:snapToGrid w:val="0"/>
          <w:lang w:val="lv-LV"/>
        </w:rPr>
        <w:t xml:space="preserve">konsultējas ar attiecīgās valsts ieinteresētājām personām, lai </w:t>
      </w:r>
      <w:r w:rsidR="00D14D77">
        <w:rPr>
          <w:rFonts w:ascii="Times New Roman" w:hAnsi="Times New Roman" w:cs="Times New Roman"/>
          <w:snapToGrid w:val="0"/>
          <w:lang w:val="lv-LV"/>
        </w:rPr>
        <w:t>sekmē</w:t>
      </w:r>
      <w:r>
        <w:rPr>
          <w:rFonts w:ascii="Times New Roman" w:hAnsi="Times New Roman" w:cs="Times New Roman"/>
          <w:snapToGrid w:val="0"/>
          <w:lang w:val="lv-LV"/>
        </w:rPr>
        <w:t xml:space="preserve">tu </w:t>
      </w:r>
      <w:r w:rsidR="00D14D77">
        <w:rPr>
          <w:rFonts w:ascii="Times New Roman" w:hAnsi="Times New Roman" w:cs="Times New Roman"/>
          <w:snapToGrid w:val="0"/>
          <w:lang w:val="lv-LV"/>
        </w:rPr>
        <w:t xml:space="preserve">savu </w:t>
      </w:r>
      <w:r>
        <w:rPr>
          <w:rFonts w:ascii="Times New Roman" w:hAnsi="Times New Roman" w:cs="Times New Roman"/>
          <w:snapToGrid w:val="0"/>
          <w:lang w:val="lv-LV"/>
        </w:rPr>
        <w:t>īstenošanas plānu izstrādi, īstenošanu, pārskatīšanu un koriģēšanu.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28" w:name="bookmark28"/>
      <w:r>
        <w:rPr>
          <w:rFonts w:ascii="Times New Roman" w:hAnsi="Times New Roman" w:cs="Times New Roman"/>
          <w:snapToGrid w:val="0"/>
          <w:lang w:val="lv-LV"/>
        </w:rPr>
        <w:t>4. Puses var saskaņot arī reģionālos plānus, lai sekmētu konvencijas īstenošanu.</w:t>
      </w:r>
    </w:p>
    <w:bookmarkEnd w:id="28"/>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21.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Ziņošana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Ikviena puse a</w:t>
      </w:r>
      <w:r w:rsidR="00D14D77">
        <w:rPr>
          <w:rFonts w:ascii="Times New Roman" w:hAnsi="Times New Roman" w:cs="Times New Roman"/>
          <w:snapToGrid w:val="0"/>
          <w:lang w:val="lv-LV"/>
        </w:rPr>
        <w:t>r sekretariāta starpniecību ziņo</w:t>
      </w:r>
      <w:r>
        <w:rPr>
          <w:rFonts w:ascii="Times New Roman" w:hAnsi="Times New Roman" w:cs="Times New Roman"/>
          <w:snapToGrid w:val="0"/>
          <w:lang w:val="lv-LV"/>
        </w:rPr>
        <w:t xml:space="preserve"> pušu konferencei par pasākumiem, kurus tā ir veikusi, lai īstenotu šīs konvencijas noteikumus, un par </w:t>
      </w:r>
      <w:r w:rsidR="00D14D77">
        <w:rPr>
          <w:rFonts w:ascii="Times New Roman" w:hAnsi="Times New Roman" w:cs="Times New Roman"/>
          <w:snapToGrid w:val="0"/>
          <w:lang w:val="lv-LV"/>
        </w:rPr>
        <w:t xml:space="preserve">minēto </w:t>
      </w:r>
      <w:r>
        <w:rPr>
          <w:rFonts w:ascii="Times New Roman" w:hAnsi="Times New Roman" w:cs="Times New Roman"/>
          <w:snapToGrid w:val="0"/>
          <w:lang w:val="lv-LV"/>
        </w:rPr>
        <w:t>pasākumu efektivitāti un iespējamām grūtībām šīs konvencijas mērķu sasniegšanā.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Savos ziņojumos ikviena puse ietver informāciju, kas pieprasīta konvencijas 3., 5., 7., 8. un 9. pantā.</w:t>
      </w: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bookmarkStart w:id="29" w:name="bookmark29"/>
      <w:r>
        <w:rPr>
          <w:rFonts w:ascii="Times New Roman" w:hAnsi="Times New Roman" w:cs="Times New Roman"/>
          <w:snapToGrid w:val="0"/>
          <w:lang w:val="lv-LV"/>
        </w:rPr>
        <w:t>3. Pušu konference savā pirmajā sanāksmē lemj par ziņošanas laiku un formātu, kas jāievēro pusēm, ņemot vērā vēlamību saskaņot ziņojumu iesniegšanu</w:t>
      </w:r>
      <w:r w:rsidR="000B23DE">
        <w:rPr>
          <w:rFonts w:ascii="Times New Roman" w:hAnsi="Times New Roman" w:cs="Times New Roman"/>
          <w:snapToGrid w:val="0"/>
          <w:lang w:val="lv-LV"/>
        </w:rPr>
        <w:t xml:space="preserve"> arī attiecībā uz citām ķīmisko vielu</w:t>
      </w:r>
      <w:r>
        <w:rPr>
          <w:rFonts w:ascii="Times New Roman" w:hAnsi="Times New Roman" w:cs="Times New Roman"/>
          <w:snapToGrid w:val="0"/>
          <w:lang w:val="lv-LV"/>
        </w:rPr>
        <w:t xml:space="preserve"> un atkr</w:t>
      </w:r>
      <w:r w:rsidR="000B23DE">
        <w:rPr>
          <w:rFonts w:ascii="Times New Roman" w:hAnsi="Times New Roman" w:cs="Times New Roman"/>
          <w:snapToGrid w:val="0"/>
          <w:lang w:val="lv-LV"/>
        </w:rPr>
        <w:t>itumu konvencijām</w:t>
      </w:r>
      <w:r>
        <w:rPr>
          <w:rFonts w:ascii="Times New Roman" w:hAnsi="Times New Roman" w:cs="Times New Roman"/>
          <w:snapToGrid w:val="0"/>
          <w:lang w:val="lv-LV"/>
        </w:rPr>
        <w:t>.</w:t>
      </w:r>
    </w:p>
    <w:bookmarkEnd w:id="29"/>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22.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Efektivitātes novērtēšana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1. Pušu konference novērtē šīs konvencijas efektivitāti, sākot </w:t>
      </w:r>
      <w:r w:rsidR="00D14D77">
        <w:rPr>
          <w:rFonts w:ascii="Times New Roman" w:hAnsi="Times New Roman" w:cs="Times New Roman"/>
          <w:snapToGrid w:val="0"/>
          <w:lang w:val="lv-LV"/>
        </w:rPr>
        <w:t xml:space="preserve">to darīt </w:t>
      </w:r>
      <w:r>
        <w:rPr>
          <w:rFonts w:ascii="Times New Roman" w:hAnsi="Times New Roman" w:cs="Times New Roman"/>
          <w:snapToGrid w:val="0"/>
          <w:lang w:val="lv-LV"/>
        </w:rPr>
        <w:t xml:space="preserve">ne vēlāk kā sešus </w:t>
      </w:r>
      <w:r w:rsidR="000B23DE">
        <w:rPr>
          <w:rFonts w:ascii="Times New Roman" w:hAnsi="Times New Roman" w:cs="Times New Roman"/>
          <w:snapToGrid w:val="0"/>
          <w:lang w:val="lv-LV"/>
        </w:rPr>
        <w:t>gad</w:t>
      </w:r>
      <w:r>
        <w:rPr>
          <w:rFonts w:ascii="Times New Roman" w:hAnsi="Times New Roman" w:cs="Times New Roman"/>
          <w:snapToGrid w:val="0"/>
          <w:lang w:val="lv-LV"/>
        </w:rPr>
        <w:t xml:space="preserve">us pēc konvencijas </w:t>
      </w:r>
      <w:r w:rsidR="00D14D77">
        <w:rPr>
          <w:rFonts w:ascii="Times New Roman" w:hAnsi="Times New Roman" w:cs="Times New Roman"/>
          <w:snapToGrid w:val="0"/>
          <w:lang w:val="lv-LV"/>
        </w:rPr>
        <w:t xml:space="preserve">spēkā </w:t>
      </w:r>
      <w:r>
        <w:rPr>
          <w:rFonts w:ascii="Times New Roman" w:hAnsi="Times New Roman" w:cs="Times New Roman"/>
          <w:snapToGrid w:val="0"/>
          <w:lang w:val="lv-LV"/>
        </w:rPr>
        <w:t xml:space="preserve">stāšanās </w:t>
      </w:r>
      <w:r w:rsidR="00D14D77">
        <w:rPr>
          <w:rFonts w:ascii="Times New Roman" w:hAnsi="Times New Roman" w:cs="Times New Roman"/>
          <w:snapToGrid w:val="0"/>
          <w:lang w:val="lv-LV"/>
        </w:rPr>
        <w:t>datuma,</w:t>
      </w:r>
      <w:r>
        <w:rPr>
          <w:rFonts w:ascii="Times New Roman" w:hAnsi="Times New Roman" w:cs="Times New Roman"/>
          <w:snapToGrid w:val="0"/>
          <w:lang w:val="lv-LV"/>
        </w:rPr>
        <w:t xml:space="preserve"> un pēc tam regulāri intervālos, par kuriem lemj pušu konference.</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2. Lai veicinātu novērtēšanu, pušu konference savā pirmajā sanāksmē rosina veikt pasākumus, lai </w:t>
      </w:r>
      <w:r w:rsidR="00D14D77">
        <w:rPr>
          <w:rFonts w:ascii="Times New Roman" w:hAnsi="Times New Roman" w:cs="Times New Roman"/>
          <w:snapToGrid w:val="0"/>
          <w:lang w:val="lv-LV"/>
        </w:rPr>
        <w:t xml:space="preserve">tā iegūtu </w:t>
      </w:r>
      <w:r>
        <w:rPr>
          <w:rFonts w:ascii="Times New Roman" w:hAnsi="Times New Roman" w:cs="Times New Roman"/>
          <w:snapToGrid w:val="0"/>
          <w:lang w:val="lv-LV"/>
        </w:rPr>
        <w:t xml:space="preserve">salīdzināmus monitoringa datus </w:t>
      </w:r>
      <w:r w:rsidR="00D14D77">
        <w:rPr>
          <w:rFonts w:ascii="Times New Roman" w:hAnsi="Times New Roman" w:cs="Times New Roman"/>
          <w:snapToGrid w:val="0"/>
          <w:lang w:val="lv-LV"/>
        </w:rPr>
        <w:t xml:space="preserve">par </w:t>
      </w:r>
      <w:r>
        <w:rPr>
          <w:rFonts w:ascii="Times New Roman" w:hAnsi="Times New Roman" w:cs="Times New Roman"/>
          <w:snapToGrid w:val="0"/>
          <w:lang w:val="lv-LV"/>
        </w:rPr>
        <w:t xml:space="preserve">dzīvsudraba un dzīvsudraba savienojumu esamību un </w:t>
      </w:r>
      <w:r w:rsidR="00761303">
        <w:rPr>
          <w:rFonts w:ascii="Times New Roman" w:hAnsi="Times New Roman" w:cs="Times New Roman"/>
          <w:snapToGrid w:val="0"/>
          <w:lang w:val="lv-LV"/>
        </w:rPr>
        <w:t>kustīb</w:t>
      </w:r>
      <w:r>
        <w:rPr>
          <w:rFonts w:ascii="Times New Roman" w:hAnsi="Times New Roman" w:cs="Times New Roman"/>
          <w:snapToGrid w:val="0"/>
          <w:lang w:val="lv-LV"/>
        </w:rPr>
        <w:t xml:space="preserve">u apkārtējā vidē, kā arī </w:t>
      </w:r>
      <w:r w:rsidR="00D14D77">
        <w:rPr>
          <w:rFonts w:ascii="Times New Roman" w:hAnsi="Times New Roman" w:cs="Times New Roman"/>
          <w:snapToGrid w:val="0"/>
          <w:lang w:val="lv-LV"/>
        </w:rPr>
        <w:t xml:space="preserve">par </w:t>
      </w:r>
      <w:r>
        <w:rPr>
          <w:rFonts w:ascii="Times New Roman" w:hAnsi="Times New Roman" w:cs="Times New Roman"/>
          <w:snapToGrid w:val="0"/>
          <w:lang w:val="lv-LV"/>
        </w:rPr>
        <w:t xml:space="preserve">dzīvsudraba un dzīvsudraba savienojumu līmeņa tendencēm, kas novērotas biotiskās vidēs un </w:t>
      </w:r>
      <w:r w:rsidR="00D14D77">
        <w:rPr>
          <w:rFonts w:ascii="Times New Roman" w:hAnsi="Times New Roman" w:cs="Times New Roman"/>
          <w:snapToGrid w:val="0"/>
          <w:lang w:val="lv-LV"/>
        </w:rPr>
        <w:t xml:space="preserve">attiecībā uz </w:t>
      </w:r>
      <w:r>
        <w:rPr>
          <w:rFonts w:ascii="Times New Roman" w:hAnsi="Times New Roman" w:cs="Times New Roman"/>
          <w:snapToGrid w:val="0"/>
          <w:lang w:val="lv-LV"/>
        </w:rPr>
        <w:t>neaizsargātiem iedzīvotājiem.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3. Novērtēšanu veic, pamatojoties uz pieejamo zinātnisko, vides, tehnisko, finanšu un ekonomisko informāciju, kas ietver</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ziņojumus un c</w:t>
      </w:r>
      <w:r w:rsidR="00D14D77">
        <w:rPr>
          <w:rFonts w:ascii="Times New Roman" w:hAnsi="Times New Roman" w:cs="Times New Roman"/>
          <w:snapToGrid w:val="0"/>
          <w:lang w:val="lv-LV"/>
        </w:rPr>
        <w:t>itu monitoringa informāciju, kura</w:t>
      </w:r>
      <w:r>
        <w:rPr>
          <w:rFonts w:ascii="Times New Roman" w:hAnsi="Times New Roman" w:cs="Times New Roman"/>
          <w:snapToGrid w:val="0"/>
          <w:lang w:val="lv-LV"/>
        </w:rPr>
        <w:t xml:space="preserve"> iesniegta pušu konferencei saskaņā ar 2. punktu;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ziņojumus, kurus iesniedz saskaņā ar 21. pantu;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informāciju un ieteikumus, kurus iesniedz saskaņā ar 15. pantu,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30" w:name="bookmark30"/>
      <w:r>
        <w:rPr>
          <w:rFonts w:ascii="Times New Roman" w:hAnsi="Times New Roman" w:cs="Times New Roman"/>
          <w:snapToGrid w:val="0"/>
          <w:lang w:val="lv-LV"/>
        </w:rPr>
        <w:t xml:space="preserve">d) ziņojumus un citu atbilstošu informāciju par finansiālas palīdzības </w:t>
      </w:r>
      <w:r w:rsidR="00D14D77">
        <w:rPr>
          <w:rFonts w:ascii="Times New Roman" w:hAnsi="Times New Roman" w:cs="Times New Roman"/>
          <w:snapToGrid w:val="0"/>
          <w:lang w:val="lv-LV"/>
        </w:rPr>
        <w:t xml:space="preserve">sniegšanas </w:t>
      </w:r>
      <w:r>
        <w:rPr>
          <w:rFonts w:ascii="Times New Roman" w:hAnsi="Times New Roman" w:cs="Times New Roman"/>
          <w:snapToGrid w:val="0"/>
          <w:lang w:val="lv-LV"/>
        </w:rPr>
        <w:t>gaitu, tehnoloģiju pārņemšanas un rīcībspējas palielināšanas pasākumiem, kas tiek veikti saskaņā ar šo konvenciju.</w:t>
      </w:r>
    </w:p>
    <w:bookmarkEnd w:id="30"/>
    <w:p w:rsidR="0060722E" w:rsidRDefault="0060722E">
      <w:pPr>
        <w:jc w:val="both"/>
        <w:rPr>
          <w:rFonts w:ascii="Times New Roman" w:hAnsi="Times New Roman" w:cs="Times New Roman"/>
          <w:snapToGrid w:val="0"/>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lastRenderedPageBreak/>
        <w:t>23. pants</w:t>
      </w:r>
    </w:p>
    <w:p w:rsidR="0060722E" w:rsidRDefault="0060722E" w:rsidP="006937AD">
      <w:pPr>
        <w:keepNext/>
        <w:jc w:val="center"/>
        <w:rPr>
          <w:rFonts w:ascii="Times New Roman" w:hAnsi="Times New Roman" w:cs="Times New Roman"/>
          <w:b/>
          <w:bCs/>
          <w:snapToGrid w:val="0"/>
          <w:sz w:val="28"/>
          <w:szCs w:val="28"/>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Pušu konference</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 xml:space="preserve">1. Ar šo </w:t>
      </w:r>
      <w:r w:rsidR="00D14D77">
        <w:rPr>
          <w:rFonts w:ascii="Times New Roman" w:hAnsi="Times New Roman" w:cs="Times New Roman"/>
          <w:snapToGrid w:val="0"/>
          <w:lang w:val="lv-LV"/>
        </w:rPr>
        <w:t xml:space="preserve">pantu </w:t>
      </w:r>
      <w:r>
        <w:rPr>
          <w:rFonts w:ascii="Times New Roman" w:hAnsi="Times New Roman" w:cs="Times New Roman"/>
          <w:snapToGrid w:val="0"/>
          <w:lang w:val="lv-LV"/>
        </w:rPr>
        <w:t>tiek nodibināta pušu konference.</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2. Pirmo pušu konferences sanāksmi sasauc Apvienoto Nāciju Organizācijas Vides programmas izpilddirektors ne vēlāk kā vienu gadu pēc šīs k</w:t>
      </w:r>
      <w:r w:rsidR="00D14D77">
        <w:rPr>
          <w:rFonts w:ascii="Times New Roman" w:hAnsi="Times New Roman" w:cs="Times New Roman"/>
          <w:snapToGrid w:val="0"/>
          <w:lang w:val="lv-LV"/>
        </w:rPr>
        <w:t>onvencijas spēkā stāšanās datuma</w:t>
      </w:r>
      <w:r>
        <w:rPr>
          <w:rFonts w:ascii="Times New Roman" w:hAnsi="Times New Roman" w:cs="Times New Roman"/>
          <w:snapToGrid w:val="0"/>
          <w:lang w:val="lv-LV"/>
        </w:rPr>
        <w:t>. Pēc tam notiek regulāras pušu konference sanāksmes intervālos, par kuriem lemj pušu konference.</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 xml:space="preserve">3. </w:t>
      </w:r>
      <w:r>
        <w:rPr>
          <w:rFonts w:ascii="Times New Roman" w:hAnsi="Times New Roman" w:cs="Times New Roman"/>
          <w:caps/>
          <w:snapToGrid w:val="0"/>
          <w:lang w:val="lv-LV"/>
        </w:rPr>
        <w:t>P</w:t>
      </w:r>
      <w:r>
        <w:rPr>
          <w:rFonts w:ascii="Times New Roman" w:hAnsi="Times New Roman" w:cs="Times New Roman"/>
          <w:snapToGrid w:val="0"/>
          <w:lang w:val="lv-LV"/>
        </w:rPr>
        <w:t>ušu konferences ārkārtas sanāksmes citos laikos notiek tad, kad pušu konference to uzskata par nepieciešamu, vai pēc jebkuras puses rakstveida pieprasījuma, ja sešu mēnešu laikā pēc tam, kad sekretariāts pusēm paziņo par šo pieprasījumu, vismaz viena trešdaļa pušu to atbalsta.</w:t>
      </w: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r>
        <w:rPr>
          <w:rFonts w:ascii="Times New Roman" w:hAnsi="Times New Roman" w:cs="Times New Roman"/>
          <w:snapToGrid w:val="0"/>
          <w:lang w:val="lv-LV"/>
        </w:rPr>
        <w:t>4. Pušu konference savā pirmajā sanāksmē pēc vienprātības principa vienojas un pieņem savu un savu palīgstruktūru reglamentu un finanšu noteikumus, kā arī sekretariāta darbības finanšu noteikumus.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5. Pušu konference pa</w:t>
      </w:r>
      <w:r w:rsidR="00D14D77">
        <w:rPr>
          <w:rFonts w:ascii="Times New Roman" w:hAnsi="Times New Roman" w:cs="Times New Roman"/>
          <w:snapToGrid w:val="0"/>
          <w:lang w:val="lv-LV"/>
        </w:rPr>
        <w:t>stāvīgi izskata un novērtē šīs k</w:t>
      </w:r>
      <w:r>
        <w:rPr>
          <w:rFonts w:ascii="Times New Roman" w:hAnsi="Times New Roman" w:cs="Times New Roman"/>
          <w:snapToGrid w:val="0"/>
          <w:lang w:val="lv-LV"/>
        </w:rPr>
        <w:t>onvencijas īstenošanu. Tā veic savas šajā konvencijā noteiktās funkcijas un saistībā ar to</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izveido tādas palīgstruktūras, kādas uzskata par vajadzīgu šīs konvencijas īstenošanai;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w:t>
      </w:r>
      <w:r w:rsidR="00D14D77">
        <w:rPr>
          <w:rFonts w:ascii="Times New Roman" w:hAnsi="Times New Roman" w:cs="Times New Roman"/>
          <w:snapToGrid w:val="0"/>
          <w:lang w:val="lv-LV"/>
        </w:rPr>
        <w:t xml:space="preserve">attiecīgā gadījumā </w:t>
      </w:r>
      <w:r>
        <w:rPr>
          <w:rFonts w:ascii="Times New Roman" w:hAnsi="Times New Roman" w:cs="Times New Roman"/>
          <w:snapToGrid w:val="0"/>
          <w:lang w:val="lv-LV"/>
        </w:rPr>
        <w:t>sadarbojas ar kompetentām starptautiskām organizācijām un starpvaldību un nevalstiskajām institūcijām;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regulāri izskata visu informāciju, kura ir iesniegta tai un sekretariātam saskaņā ar 21. pantu;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d) izskata jebkādus ieteikumus, kurus tai iesniedz Komiteja īstenošanas un atbilstības jautājumos;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e) izskata un pieņem jebkuru papildu lēmumu, kas var būt vajadzīgs, lai </w:t>
      </w:r>
      <w:r w:rsidR="00D14D77">
        <w:rPr>
          <w:rFonts w:ascii="Times New Roman" w:hAnsi="Times New Roman" w:cs="Times New Roman"/>
          <w:snapToGrid w:val="0"/>
          <w:lang w:val="lv-LV"/>
        </w:rPr>
        <w:t>īsteno</w:t>
      </w:r>
      <w:r>
        <w:rPr>
          <w:rFonts w:ascii="Times New Roman" w:hAnsi="Times New Roman" w:cs="Times New Roman"/>
          <w:snapToGrid w:val="0"/>
          <w:lang w:val="lv-LV"/>
        </w:rPr>
        <w:t>tu šīs konvencijas mērķus,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f) izskata A un B pielikumu saskaņā ar 4. un 5. pantu.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31" w:name="bookmark31"/>
      <w:r>
        <w:rPr>
          <w:rFonts w:ascii="Times New Roman" w:hAnsi="Times New Roman" w:cs="Times New Roman"/>
          <w:snapToGrid w:val="0"/>
          <w:lang w:val="lv-LV"/>
        </w:rPr>
        <w:t>6. Pušu konferences sanāksmēs novērotāja statusā var būt pārstāvēta Apvienoto Nāciju Organizācija, tās specializētās iestādes un Starptautiskā atomenerģijas aģentūra, kā arī jebkura valsts, kas nav šīs konvencijas puse. Novērotāja statusā var būt jebkura valsts vai starptautiska, valstiska vai nevalstiska struktūra vai iestāde, kas ir kvalificēta jomās, kuras saistītas ar šo konvenciju</w:t>
      </w:r>
      <w:r w:rsidR="00D14D77">
        <w:rPr>
          <w:rFonts w:ascii="Times New Roman" w:hAnsi="Times New Roman" w:cs="Times New Roman"/>
          <w:snapToGrid w:val="0"/>
          <w:lang w:val="lv-LV"/>
        </w:rPr>
        <w:t>,</w:t>
      </w:r>
      <w:r>
        <w:rPr>
          <w:rFonts w:ascii="Times New Roman" w:hAnsi="Times New Roman" w:cs="Times New Roman"/>
          <w:snapToGrid w:val="0"/>
          <w:lang w:val="lv-LV"/>
        </w:rPr>
        <w:t xml:space="preserve"> un kas ir informējusi sekretariātu par savu vēlmi būt klāt pušu konferences sanāksmē novērotāja statusā, ja pret to neiebilst vismaz viena trešdaļa klātesošo pušu. Novērotāju ielaišanu un piedalīšanos regulē ar reglamentu, ko pieņem pušu konference.</w:t>
      </w:r>
    </w:p>
    <w:bookmarkEnd w:id="31"/>
    <w:p w:rsidR="0060722E" w:rsidRDefault="0060722E">
      <w:pPr>
        <w:jc w:val="both"/>
        <w:rPr>
          <w:rFonts w:ascii="Times New Roman" w:hAnsi="Times New Roman" w:cs="Times New Roman"/>
          <w:snapToGrid w:val="0"/>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lastRenderedPageBreak/>
        <w:t>24. pants</w:t>
      </w:r>
    </w:p>
    <w:p w:rsidR="0060722E" w:rsidRDefault="0060722E" w:rsidP="006937AD">
      <w:pPr>
        <w:keepNext/>
        <w:jc w:val="center"/>
        <w:rPr>
          <w:rFonts w:ascii="Times New Roman" w:hAnsi="Times New Roman" w:cs="Times New Roman"/>
          <w:b/>
          <w:bCs/>
          <w:snapToGrid w:val="0"/>
          <w:sz w:val="28"/>
          <w:szCs w:val="28"/>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Sekretariāts</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 xml:space="preserve">1. Ar šo pantu </w:t>
      </w:r>
      <w:r w:rsidR="00D14D77">
        <w:rPr>
          <w:rFonts w:ascii="Times New Roman" w:hAnsi="Times New Roman" w:cs="Times New Roman"/>
          <w:snapToGrid w:val="0"/>
          <w:lang w:val="lv-LV"/>
        </w:rPr>
        <w:t>tiek nodibināts sekretariāts</w:t>
      </w:r>
      <w:r>
        <w:rPr>
          <w:rFonts w:ascii="Times New Roman" w:hAnsi="Times New Roman" w:cs="Times New Roman"/>
          <w:snapToGrid w:val="0"/>
          <w:lang w:val="lv-LV"/>
        </w:rPr>
        <w:t>.</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2. Sekretariāta funkcijas ir</w:t>
      </w:r>
      <w:r w:rsidR="00D14D77">
        <w:rPr>
          <w:rFonts w:ascii="Times New Roman" w:hAnsi="Times New Roman" w:cs="Times New Roman"/>
          <w:snapToGrid w:val="0"/>
          <w:lang w:val="lv-LV"/>
        </w:rPr>
        <w:t xml:space="preserve"> šādas</w:t>
      </w:r>
      <w:r>
        <w:rPr>
          <w:rFonts w:ascii="Times New Roman" w:hAnsi="Times New Roman" w:cs="Times New Roman"/>
          <w:snapToGrid w:val="0"/>
          <w:lang w:val="lv-LV"/>
        </w:rPr>
        <w:t>:</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a) organizēt pušu konferences un tās palīgstruktūru sanāksmes un nodrošināt šīm sanāksmēm nepieciešamos pakalpojumus;</w:t>
      </w:r>
    </w:p>
    <w:p w:rsidR="0060722E" w:rsidRDefault="0060722E" w:rsidP="006937AD">
      <w:pPr>
        <w:keepNext/>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sekmēt palīdzības sniegšanu pusēm, </w:t>
      </w:r>
      <w:r w:rsidR="00D14D77">
        <w:rPr>
          <w:rFonts w:ascii="Times New Roman" w:hAnsi="Times New Roman" w:cs="Times New Roman"/>
          <w:snapToGrid w:val="0"/>
          <w:lang w:val="lv-LV"/>
        </w:rPr>
        <w:t xml:space="preserve">īpaši </w:t>
      </w:r>
      <w:r>
        <w:rPr>
          <w:rFonts w:ascii="Times New Roman" w:hAnsi="Times New Roman" w:cs="Times New Roman"/>
          <w:snapToGrid w:val="0"/>
          <w:lang w:val="lv-LV"/>
        </w:rPr>
        <w:t>tām pusēm, kuras ir jaunattīstības valstis un pārejas perioda valstis, šīs konvencijas īstenošanā atbilstoši nepieciešamībai;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w:t>
      </w:r>
      <w:r w:rsidR="00D14D77">
        <w:rPr>
          <w:rFonts w:ascii="Times New Roman" w:hAnsi="Times New Roman" w:cs="Times New Roman"/>
          <w:snapToGrid w:val="0"/>
          <w:lang w:val="lv-LV"/>
        </w:rPr>
        <w:t xml:space="preserve">attiecīgā gadījumā </w:t>
      </w:r>
      <w:r>
        <w:rPr>
          <w:rFonts w:ascii="Times New Roman" w:hAnsi="Times New Roman" w:cs="Times New Roman"/>
          <w:snapToGrid w:val="0"/>
          <w:lang w:val="lv-LV"/>
        </w:rPr>
        <w:t xml:space="preserve">koordinēt pasākumus ar attiecīgo starptautisko institūciju sekretariātiem, </w:t>
      </w:r>
      <w:r w:rsidR="00D14D77">
        <w:rPr>
          <w:rFonts w:ascii="Times New Roman" w:hAnsi="Times New Roman" w:cs="Times New Roman"/>
          <w:snapToGrid w:val="0"/>
          <w:lang w:val="lv-LV"/>
        </w:rPr>
        <w:t xml:space="preserve">īpaši </w:t>
      </w:r>
      <w:r>
        <w:rPr>
          <w:rFonts w:ascii="Times New Roman" w:hAnsi="Times New Roman" w:cs="Times New Roman"/>
          <w:snapToGrid w:val="0"/>
          <w:lang w:val="lv-LV"/>
        </w:rPr>
        <w:t>ar citu ķīmisko vielu un atkritumu konvenciju sekretariātiem;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d) palīdzēt pusēm informācijas apmaiņā saistībā ar šīs konvencijas īstenošanu;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e) sagatavot un nodot pusēm regulārus ziņojumus, pamatojoties uz informāciju, kas saņemta saskaņā ar 15. un 21. pantu, un uz citu pieejamo informāciju;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f) vispārējas pušu konferences vadībā pieņemt tādus administratīvus un līgumiskus lēmum</w:t>
      </w:r>
      <w:r w:rsidR="00D75126">
        <w:rPr>
          <w:rFonts w:ascii="Times New Roman" w:hAnsi="Times New Roman" w:cs="Times New Roman"/>
          <w:snapToGrid w:val="0"/>
          <w:lang w:val="lv-LV"/>
        </w:rPr>
        <w:t>us, kas ir nepieciešami, lai tā</w:t>
      </w:r>
      <w:r>
        <w:rPr>
          <w:rFonts w:ascii="Times New Roman" w:hAnsi="Times New Roman" w:cs="Times New Roman"/>
          <w:snapToGrid w:val="0"/>
          <w:lang w:val="lv-LV"/>
        </w:rPr>
        <w:t xml:space="preserve"> sekmīgi varētu veikt savas funkcijas,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g) veikt citas sekretariāta funkcijas, kas norādītas konvencijā, un šīs citas funkcijas var norādīt pušu konference.</w:t>
      </w:r>
    </w:p>
    <w:p w:rsidR="0060722E" w:rsidRDefault="0060722E">
      <w:pPr>
        <w:jc w:val="both"/>
        <w:rPr>
          <w:rFonts w:ascii="Times New Roman" w:hAnsi="Times New Roman" w:cs="Times New Roman"/>
          <w:snapToGrid w:val="0"/>
          <w:lang w:val="lv-LV"/>
        </w:rPr>
      </w:pPr>
    </w:p>
    <w:p w:rsidR="0060722E" w:rsidRPr="00F91B57" w:rsidRDefault="0060722E">
      <w:pPr>
        <w:jc w:val="both"/>
        <w:rPr>
          <w:rFonts w:ascii="Times New Roman" w:hAnsi="Times New Roman" w:cs="Times New Roman"/>
          <w:snapToGrid w:val="0"/>
          <w:lang w:val="lv-LV"/>
        </w:rPr>
      </w:pPr>
      <w:r w:rsidRPr="00F91B57">
        <w:rPr>
          <w:rFonts w:ascii="Times New Roman" w:hAnsi="Times New Roman" w:cs="Times New Roman"/>
          <w:snapToGrid w:val="0"/>
          <w:lang w:val="lv-LV"/>
        </w:rPr>
        <w:t>3. Šīs konvencijas sekretariāta funkcijas veic Apvienoto Nāciju Organizācijas Vides programmas izpilddirektors, ja vien pušu konference ar trīs ceturtdaļu klātesošo un balsojušo pušu balsu vairākumu nenolemj uzticēt sekretariāta funkcijas vienai vai vairākām citām starptautiskajām organizācijām.</w:t>
      </w:r>
    </w:p>
    <w:p w:rsidR="0060722E" w:rsidRPr="00F91B57"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32" w:name="bookmark32"/>
      <w:r w:rsidRPr="00F91B57">
        <w:rPr>
          <w:rFonts w:ascii="Times New Roman" w:hAnsi="Times New Roman" w:cs="Times New Roman"/>
          <w:snapToGrid w:val="0"/>
          <w:lang w:val="lv-LV"/>
        </w:rPr>
        <w:t>4. Pušu konference, apspriežoties ar atbilstošām starptautisk</w:t>
      </w:r>
      <w:r w:rsidR="00F91B57" w:rsidRPr="00F91B57">
        <w:rPr>
          <w:rFonts w:ascii="Times New Roman" w:hAnsi="Times New Roman" w:cs="Times New Roman"/>
          <w:snapToGrid w:val="0"/>
          <w:lang w:val="lv-LV"/>
        </w:rPr>
        <w:t>aj</w:t>
      </w:r>
      <w:r w:rsidRPr="00F91B57">
        <w:rPr>
          <w:rFonts w:ascii="Times New Roman" w:hAnsi="Times New Roman" w:cs="Times New Roman"/>
          <w:snapToGrid w:val="0"/>
          <w:lang w:val="lv-LV"/>
        </w:rPr>
        <w:t>ām institūcijām, var uzlabot sadarbību un koordināciju starp šīs konvencijas sekretariātu un citu ķīmisko vielu un atkritumu konvenciju sekretariātiem. Pušu konference, apspriežoties ar attiecīgām starptautisk</w:t>
      </w:r>
      <w:r w:rsidR="00F91B57" w:rsidRPr="00F91B57">
        <w:rPr>
          <w:rFonts w:ascii="Times New Roman" w:hAnsi="Times New Roman" w:cs="Times New Roman"/>
          <w:snapToGrid w:val="0"/>
          <w:lang w:val="lv-LV"/>
        </w:rPr>
        <w:t>aj</w:t>
      </w:r>
      <w:r w:rsidRPr="00F91B57">
        <w:rPr>
          <w:rFonts w:ascii="Times New Roman" w:hAnsi="Times New Roman" w:cs="Times New Roman"/>
          <w:snapToGrid w:val="0"/>
          <w:lang w:val="lv-LV"/>
        </w:rPr>
        <w:t>ām i</w:t>
      </w:r>
      <w:r w:rsidR="00F91B57" w:rsidRPr="00F91B57">
        <w:rPr>
          <w:rFonts w:ascii="Times New Roman" w:hAnsi="Times New Roman" w:cs="Times New Roman"/>
          <w:snapToGrid w:val="0"/>
          <w:lang w:val="lv-LV"/>
        </w:rPr>
        <w:t>nstitūcijām, var sniegt turpmāko</w:t>
      </w:r>
      <w:r w:rsidRPr="00F91B57">
        <w:rPr>
          <w:rFonts w:ascii="Times New Roman" w:hAnsi="Times New Roman" w:cs="Times New Roman"/>
          <w:snapToGrid w:val="0"/>
          <w:lang w:val="lv-LV"/>
        </w:rPr>
        <w:t>s norādījumus šajā jomā.</w:t>
      </w:r>
    </w:p>
    <w:bookmarkEnd w:id="32"/>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25.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Strīdu izšķiršana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Puses cenšas jebkuru strīdu, kas radies starp tām attiecībā uz šīs konvencijas interpretāciju vai piemērošanu, risināt pārrunu ceļā vai citā mierīgā veidā pēc savas izvēles.</w:t>
      </w:r>
    </w:p>
    <w:p w:rsidR="0060722E" w:rsidRDefault="0060722E">
      <w:pPr>
        <w:jc w:val="both"/>
        <w:rPr>
          <w:rFonts w:ascii="Times New Roman" w:hAnsi="Times New Roman" w:cs="Times New Roman"/>
          <w:snapToGrid w:val="0"/>
          <w:lang w:val="lv-LV"/>
        </w:rPr>
      </w:pPr>
    </w:p>
    <w:p w:rsidR="0060722E" w:rsidRPr="00BC7886"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2. </w:t>
      </w:r>
      <w:r w:rsidR="00BC7886">
        <w:rPr>
          <w:rFonts w:ascii="Times New Roman" w:hAnsi="Times New Roman" w:cs="Times New Roman"/>
          <w:snapToGrid w:val="0"/>
          <w:lang w:val="lv-LV"/>
        </w:rPr>
        <w:t>P</w:t>
      </w:r>
      <w:r w:rsidR="003255F2" w:rsidRPr="00BC7886">
        <w:rPr>
          <w:rFonts w:ascii="Times New Roman" w:hAnsi="Times New Roman" w:cs="Times New Roman"/>
          <w:snapToGrid w:val="0"/>
          <w:lang w:val="lv-LV"/>
        </w:rPr>
        <w:t>use, kas nav reģionālā ekonomiskās</w:t>
      </w:r>
      <w:r w:rsidRPr="00BC7886">
        <w:rPr>
          <w:rFonts w:ascii="Times New Roman" w:hAnsi="Times New Roman" w:cs="Times New Roman"/>
          <w:snapToGrid w:val="0"/>
          <w:lang w:val="lv-LV"/>
        </w:rPr>
        <w:t xml:space="preserve"> integrācijas organizācija, </w:t>
      </w:r>
      <w:r w:rsidR="00BC7886" w:rsidRPr="00BC7886">
        <w:rPr>
          <w:rFonts w:ascii="Times New Roman" w:hAnsi="Times New Roman" w:cs="Times New Roman"/>
          <w:snapToGrid w:val="0"/>
          <w:lang w:val="lv-LV"/>
        </w:rPr>
        <w:t xml:space="preserve">šo konvenciju </w:t>
      </w:r>
      <w:r w:rsidRPr="00BC7886">
        <w:rPr>
          <w:rFonts w:ascii="Times New Roman" w:hAnsi="Times New Roman" w:cs="Times New Roman"/>
          <w:snapToGrid w:val="0"/>
          <w:lang w:val="lv-LV"/>
        </w:rPr>
        <w:t>ratificē</w:t>
      </w:r>
      <w:r w:rsidR="00BC7886">
        <w:rPr>
          <w:rFonts w:ascii="Times New Roman" w:hAnsi="Times New Roman" w:cs="Times New Roman"/>
          <w:snapToGrid w:val="0"/>
          <w:lang w:val="lv-LV"/>
        </w:rPr>
        <w:t>jot</w:t>
      </w:r>
      <w:r w:rsidRPr="00BC7886">
        <w:rPr>
          <w:rFonts w:ascii="Times New Roman" w:hAnsi="Times New Roman" w:cs="Times New Roman"/>
          <w:snapToGrid w:val="0"/>
          <w:lang w:val="lv-LV"/>
        </w:rPr>
        <w:t>, pieņem</w:t>
      </w:r>
      <w:r w:rsidR="00BC7886">
        <w:rPr>
          <w:rFonts w:ascii="Times New Roman" w:hAnsi="Times New Roman" w:cs="Times New Roman"/>
          <w:snapToGrid w:val="0"/>
          <w:lang w:val="lv-LV"/>
        </w:rPr>
        <w:t>ot, apstiprinot</w:t>
      </w:r>
      <w:r w:rsidRPr="00BC7886">
        <w:rPr>
          <w:rFonts w:ascii="Times New Roman" w:hAnsi="Times New Roman" w:cs="Times New Roman"/>
          <w:snapToGrid w:val="0"/>
          <w:lang w:val="lv-LV"/>
        </w:rPr>
        <w:t xml:space="preserve"> vai </w:t>
      </w:r>
      <w:r w:rsidR="00BC7886" w:rsidRPr="00BC7886">
        <w:rPr>
          <w:rFonts w:ascii="Times New Roman" w:hAnsi="Times New Roman" w:cs="Times New Roman"/>
          <w:snapToGrid w:val="0"/>
          <w:lang w:val="lv-LV"/>
        </w:rPr>
        <w:t xml:space="preserve">tai </w:t>
      </w:r>
      <w:r w:rsidR="00BC7886">
        <w:rPr>
          <w:rFonts w:ascii="Times New Roman" w:hAnsi="Times New Roman" w:cs="Times New Roman"/>
          <w:snapToGrid w:val="0"/>
          <w:lang w:val="lv-LV"/>
        </w:rPr>
        <w:t>pievienojoties</w:t>
      </w:r>
      <w:r w:rsidR="00BC7886" w:rsidRPr="00BC7886">
        <w:rPr>
          <w:rFonts w:ascii="Times New Roman" w:hAnsi="Times New Roman" w:cs="Times New Roman"/>
          <w:snapToGrid w:val="0"/>
          <w:lang w:val="lv-LV"/>
        </w:rPr>
        <w:t>,</w:t>
      </w:r>
      <w:r w:rsidRPr="00BC7886">
        <w:rPr>
          <w:rFonts w:ascii="Times New Roman" w:hAnsi="Times New Roman" w:cs="Times New Roman"/>
          <w:snapToGrid w:val="0"/>
          <w:lang w:val="lv-LV"/>
        </w:rPr>
        <w:t xml:space="preserve"> vai arī </w:t>
      </w:r>
      <w:r w:rsidR="00BC7886">
        <w:rPr>
          <w:rFonts w:ascii="Times New Roman" w:hAnsi="Times New Roman" w:cs="Times New Roman"/>
          <w:snapToGrid w:val="0"/>
          <w:lang w:val="lv-LV"/>
        </w:rPr>
        <w:t xml:space="preserve">jebkurā laikā pēc tam </w:t>
      </w:r>
      <w:r w:rsidRPr="00BC7886">
        <w:rPr>
          <w:rFonts w:ascii="Times New Roman" w:hAnsi="Times New Roman" w:cs="Times New Roman"/>
          <w:snapToGrid w:val="0"/>
          <w:lang w:val="lv-LV"/>
        </w:rPr>
        <w:t>var rakstiskā dokumentā</w:t>
      </w:r>
      <w:r w:rsidR="00BC7886" w:rsidRPr="00BC7886">
        <w:rPr>
          <w:rFonts w:ascii="Times New Roman" w:hAnsi="Times New Roman" w:cs="Times New Roman"/>
          <w:snapToGrid w:val="0"/>
          <w:lang w:val="lv-LV"/>
        </w:rPr>
        <w:t>, kas iesniegts depozitāram,</w:t>
      </w:r>
      <w:r w:rsidRPr="00BC7886">
        <w:rPr>
          <w:rFonts w:ascii="Times New Roman" w:hAnsi="Times New Roman" w:cs="Times New Roman"/>
          <w:snapToGrid w:val="0"/>
          <w:lang w:val="lv-LV"/>
        </w:rPr>
        <w:t xml:space="preserve"> deklarēt, ka jebkura tāda strīda izšķiršanā, kas attiecas uz šīs konvencijas interpretāciju vai piemērošanu, tā atzīst vienu vai abus minētos strīda </w:t>
      </w:r>
      <w:r w:rsidRPr="00BC7886">
        <w:rPr>
          <w:rFonts w:ascii="Times New Roman" w:hAnsi="Times New Roman" w:cs="Times New Roman"/>
          <w:snapToGrid w:val="0"/>
          <w:lang w:val="lv-LV"/>
        </w:rPr>
        <w:lastRenderedPageBreak/>
        <w:t>izšķiršanas līdzekļus par obligātiem attiecībā uz jebkuru pusi, kura uzņemas tādu pašu pienākumu, –</w:t>
      </w:r>
    </w:p>
    <w:p w:rsidR="0060722E" w:rsidRPr="00BC7886" w:rsidRDefault="0060722E">
      <w:pPr>
        <w:jc w:val="both"/>
        <w:rPr>
          <w:rFonts w:ascii="Times New Roman" w:hAnsi="Times New Roman" w:cs="Times New Roman"/>
          <w:snapToGrid w:val="0"/>
          <w:lang w:val="lv-LV"/>
        </w:rPr>
      </w:pPr>
    </w:p>
    <w:p w:rsidR="0060722E" w:rsidRPr="00BC7886" w:rsidRDefault="0060722E">
      <w:pPr>
        <w:jc w:val="both"/>
        <w:rPr>
          <w:rFonts w:ascii="Times New Roman" w:hAnsi="Times New Roman" w:cs="Times New Roman"/>
          <w:snapToGrid w:val="0"/>
          <w:lang w:val="lv-LV"/>
        </w:rPr>
      </w:pPr>
      <w:r w:rsidRPr="00BC7886">
        <w:rPr>
          <w:rFonts w:ascii="Times New Roman" w:hAnsi="Times New Roman" w:cs="Times New Roman"/>
          <w:snapToGrid w:val="0"/>
          <w:lang w:val="lv-LV"/>
        </w:rPr>
        <w:t>a) izskatīšanu šķīrējtiesā saskaņā ar procedūru, kas noteikta E pielikuma I daļā;</w:t>
      </w:r>
    </w:p>
    <w:p w:rsidR="0060722E" w:rsidRPr="00BC7886"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BC7886">
        <w:rPr>
          <w:rFonts w:ascii="Times New Roman" w:hAnsi="Times New Roman" w:cs="Times New Roman"/>
          <w:snapToGrid w:val="0"/>
          <w:lang w:val="lv-LV"/>
        </w:rPr>
        <w:t>b) strīda izšķiršanu Starptautiskajā tiesā.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3. </w:t>
      </w:r>
      <w:r w:rsidR="00BC7886">
        <w:rPr>
          <w:rFonts w:ascii="Times New Roman" w:hAnsi="Times New Roman" w:cs="Times New Roman"/>
          <w:snapToGrid w:val="0"/>
          <w:lang w:val="lv-LV"/>
        </w:rPr>
        <w:t>Puse, kas ir reģionālā</w:t>
      </w:r>
      <w:r>
        <w:rPr>
          <w:rFonts w:ascii="Times New Roman" w:hAnsi="Times New Roman" w:cs="Times New Roman"/>
          <w:snapToGrid w:val="0"/>
          <w:lang w:val="lv-LV"/>
        </w:rPr>
        <w:t xml:space="preserve"> ekonomiskās integrācijas organizācija, var iesniegt deklarāciju ar līdzīgu nozīmi attiecībā uz izskatīšanu šķīrējtiesā saskaņā ar 2. punktu.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4. </w:t>
      </w:r>
      <w:smartTag w:uri="schemas-tilde-lv/tildestengine" w:element="veidnes">
        <w:smartTagPr>
          <w:attr w:name="text" w:val="Deklarācija"/>
          <w:attr w:name="baseform" w:val="Deklarācija"/>
          <w:attr w:name="id" w:val="-1"/>
        </w:smartTagPr>
        <w:r>
          <w:rPr>
            <w:rFonts w:ascii="Times New Roman" w:hAnsi="Times New Roman" w:cs="Times New Roman"/>
            <w:snapToGrid w:val="0"/>
            <w:lang w:val="lv-LV"/>
          </w:rPr>
          <w:t>Deklarāc</w:t>
        </w:r>
        <w:r w:rsidR="00BC7886">
          <w:rPr>
            <w:rFonts w:ascii="Times New Roman" w:hAnsi="Times New Roman" w:cs="Times New Roman"/>
            <w:snapToGrid w:val="0"/>
            <w:lang w:val="lv-LV"/>
          </w:rPr>
          <w:t>ija</w:t>
        </w:r>
      </w:smartTag>
      <w:r w:rsidR="00BC7886">
        <w:rPr>
          <w:rFonts w:ascii="Times New Roman" w:hAnsi="Times New Roman" w:cs="Times New Roman"/>
          <w:snapToGrid w:val="0"/>
          <w:lang w:val="lv-LV"/>
        </w:rPr>
        <w:t>, kas iesniegta atbilstoši 2. vai 3. punktam</w:t>
      </w:r>
      <w:r>
        <w:rPr>
          <w:rFonts w:ascii="Times New Roman" w:hAnsi="Times New Roman" w:cs="Times New Roman"/>
          <w:snapToGrid w:val="0"/>
          <w:lang w:val="lv-LV"/>
        </w:rPr>
        <w:t xml:space="preserve">, paliek spēkā, līdz saskaņā ar nosacījumiem beidzas tās termiņš vai trīs mēnešus pēc tam, kad depozitāram ir iesniegts rakstisks </w:t>
      </w:r>
      <w:smartTag w:uri="schemas-tilde-lv/tildestengine" w:element="veidnes">
        <w:smartTagPr>
          <w:attr w:name="text" w:val="paziņojums"/>
          <w:attr w:name="baseform" w:val="paziņojums"/>
          <w:attr w:name="id" w:val="-1"/>
        </w:smartTagPr>
        <w:r>
          <w:rPr>
            <w:rFonts w:ascii="Times New Roman" w:hAnsi="Times New Roman" w:cs="Times New Roman"/>
            <w:snapToGrid w:val="0"/>
            <w:lang w:val="lv-LV"/>
          </w:rPr>
          <w:t>paziņojums</w:t>
        </w:r>
      </w:smartTag>
      <w:r>
        <w:rPr>
          <w:rFonts w:ascii="Times New Roman" w:hAnsi="Times New Roman" w:cs="Times New Roman"/>
          <w:snapToGrid w:val="0"/>
          <w:lang w:val="lv-LV"/>
        </w:rPr>
        <w:t xml:space="preserve"> par tās atsaukšanu.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5. De</w:t>
      </w:r>
      <w:r w:rsidR="00BC7886">
        <w:rPr>
          <w:rFonts w:ascii="Times New Roman" w:hAnsi="Times New Roman" w:cs="Times New Roman"/>
          <w:snapToGrid w:val="0"/>
          <w:lang w:val="lv-LV"/>
        </w:rPr>
        <w:t>klarācijas termiņa beiga</w:t>
      </w:r>
      <w:r>
        <w:rPr>
          <w:rFonts w:ascii="Times New Roman" w:hAnsi="Times New Roman" w:cs="Times New Roman"/>
          <w:snapToGrid w:val="0"/>
          <w:lang w:val="lv-LV"/>
        </w:rPr>
        <w:t xml:space="preserve">s, </w:t>
      </w:r>
      <w:smartTag w:uri="schemas-tilde-lv/tildestengine" w:element="veidnes">
        <w:smartTagPr>
          <w:attr w:name="text" w:val="paziņojums"/>
          <w:attr w:name="baseform" w:val="paziņojums"/>
          <w:attr w:name="id" w:val="-1"/>
        </w:smartTagPr>
        <w:r>
          <w:rPr>
            <w:rFonts w:ascii="Times New Roman" w:hAnsi="Times New Roman" w:cs="Times New Roman"/>
            <w:snapToGrid w:val="0"/>
            <w:lang w:val="lv-LV"/>
          </w:rPr>
          <w:t>paziņojums</w:t>
        </w:r>
      </w:smartTag>
      <w:r>
        <w:rPr>
          <w:rFonts w:ascii="Times New Roman" w:hAnsi="Times New Roman" w:cs="Times New Roman"/>
          <w:snapToGrid w:val="0"/>
          <w:lang w:val="lv-LV"/>
        </w:rPr>
        <w:t xml:space="preserve"> par atsaukšanu vai jauna </w:t>
      </w:r>
      <w:smartTag w:uri="schemas-tilde-lv/tildestengine" w:element="veidnes">
        <w:smartTagPr>
          <w:attr w:name="text" w:val="Deklarācija"/>
          <w:attr w:name="baseform" w:val="Deklarācija"/>
          <w:attr w:name="id" w:val="-1"/>
        </w:smartTagPr>
        <w:r>
          <w:rPr>
            <w:rFonts w:ascii="Times New Roman" w:hAnsi="Times New Roman" w:cs="Times New Roman"/>
            <w:snapToGrid w:val="0"/>
            <w:lang w:val="lv-LV"/>
          </w:rPr>
          <w:t>deklarācija</w:t>
        </w:r>
      </w:smartTag>
      <w:r>
        <w:rPr>
          <w:rFonts w:ascii="Times New Roman" w:hAnsi="Times New Roman" w:cs="Times New Roman"/>
          <w:snapToGrid w:val="0"/>
          <w:lang w:val="lv-LV"/>
        </w:rPr>
        <w:t xml:space="preserve"> nekādā veidā neietekmē notiekošo tiesvedību šķīrējtiesā vai Starptautiskajā tiesā, ja vien strīdā iesaistītās puses nevienojas citādi.</w:t>
      </w: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snapToGrid w:val="0"/>
          <w:lang w:val="lv-LV"/>
        </w:rPr>
      </w:pPr>
      <w:bookmarkStart w:id="33" w:name="bookmark33"/>
      <w:r>
        <w:rPr>
          <w:rFonts w:ascii="Times New Roman" w:hAnsi="Times New Roman" w:cs="Times New Roman"/>
          <w:snapToGrid w:val="0"/>
          <w:lang w:val="lv-LV"/>
        </w:rPr>
        <w:t>6. Ja strīdā iesaistītās puses nav apstiprinājušas vienotu strīda izšķiršanas veidu saskaņā ar 2. vai 3. punktu un ja tās nav spējušās izšķirt strīdu 1. punktā minētajā veidā divpadsmit mēnešu laikā pēc vienas puses paziņojuma otrai pusei par to, ka starp tām pastāv strīds, tad šo jautājumu pēc jebkuras puses pieprasījuma iesniedz izlīgšanas komisijai. Šajā pantā minētajai izlīgšanai piemēro E pielikuma II daļā izklāstīto procedūru.</w:t>
      </w:r>
    </w:p>
    <w:bookmarkEnd w:id="33"/>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26.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Konvencijas grozījumi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Šīs konvencijas grozījumus var ierosināt jebkura puse.</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Šīs konvencijas</w:t>
      </w:r>
      <w:r w:rsidR="00BC7886">
        <w:rPr>
          <w:rFonts w:ascii="Times New Roman" w:hAnsi="Times New Roman" w:cs="Times New Roman"/>
          <w:snapToGrid w:val="0"/>
          <w:lang w:val="lv-LV"/>
        </w:rPr>
        <w:t xml:space="preserve"> grozījumus</w:t>
      </w:r>
      <w:r>
        <w:rPr>
          <w:rFonts w:ascii="Times New Roman" w:hAnsi="Times New Roman" w:cs="Times New Roman"/>
          <w:snapToGrid w:val="0"/>
          <w:lang w:val="lv-LV"/>
        </w:rPr>
        <w:t xml:space="preserve"> var </w:t>
      </w:r>
      <w:r w:rsidR="00BC7886">
        <w:rPr>
          <w:rFonts w:ascii="Times New Roman" w:hAnsi="Times New Roman" w:cs="Times New Roman"/>
          <w:snapToGrid w:val="0"/>
          <w:lang w:val="lv-LV"/>
        </w:rPr>
        <w:t>pieņemt</w:t>
      </w:r>
      <w:r>
        <w:rPr>
          <w:rFonts w:ascii="Times New Roman" w:hAnsi="Times New Roman" w:cs="Times New Roman"/>
          <w:snapToGrid w:val="0"/>
          <w:lang w:val="lv-LV"/>
        </w:rPr>
        <w:t xml:space="preserve"> pušu konferences sanāksmē. Jebkuru ierosināto grozījumu tekstu sekretariāts nosūta pusēm vismaz sešus mēnešus pirms sanāksmes, kurā ir paredzēta šo grozījumu pieņemšana. Sekretariāts turklāt nosūta ieteiktos grozījumus šīs konvencijas parakstītājiem un informatīvā nolūkā arī depozitāram.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3. Puses </w:t>
      </w:r>
      <w:r w:rsidR="00BC7886">
        <w:rPr>
          <w:rFonts w:ascii="Times New Roman" w:hAnsi="Times New Roman" w:cs="Times New Roman"/>
          <w:snapToGrid w:val="0"/>
          <w:lang w:val="lv-LV"/>
        </w:rPr>
        <w:t xml:space="preserve">veltī </w:t>
      </w:r>
      <w:r>
        <w:rPr>
          <w:rFonts w:ascii="Times New Roman" w:hAnsi="Times New Roman" w:cs="Times New Roman"/>
          <w:snapToGrid w:val="0"/>
          <w:lang w:val="lv-LV"/>
        </w:rPr>
        <w:t>visas pūles</w:t>
      </w:r>
      <w:r w:rsidR="00BC7886">
        <w:rPr>
          <w:rFonts w:ascii="Times New Roman" w:hAnsi="Times New Roman" w:cs="Times New Roman"/>
          <w:snapToGrid w:val="0"/>
          <w:lang w:val="lv-LV"/>
        </w:rPr>
        <w:t xml:space="preserve"> tam</w:t>
      </w:r>
      <w:r>
        <w:rPr>
          <w:rFonts w:ascii="Times New Roman" w:hAnsi="Times New Roman" w:cs="Times New Roman"/>
          <w:snapToGrid w:val="0"/>
          <w:lang w:val="lv-LV"/>
        </w:rPr>
        <w:t xml:space="preserve">, lai panāktu vienprātīgu vienošanos par jebkuriem ierosinātajiem šīs konvencijas grozījumiem. </w:t>
      </w:r>
      <w:r w:rsidR="00BC7886">
        <w:rPr>
          <w:rFonts w:ascii="Times New Roman" w:hAnsi="Times New Roman" w:cs="Times New Roman"/>
          <w:snapToGrid w:val="0"/>
          <w:lang w:val="lv-LV"/>
        </w:rPr>
        <w:t xml:space="preserve">Ja </w:t>
      </w:r>
      <w:r>
        <w:rPr>
          <w:rFonts w:ascii="Times New Roman" w:hAnsi="Times New Roman" w:cs="Times New Roman"/>
          <w:snapToGrid w:val="0"/>
          <w:lang w:val="lv-LV"/>
        </w:rPr>
        <w:t xml:space="preserve">visas </w:t>
      </w:r>
      <w:r w:rsidR="00F22FB9">
        <w:rPr>
          <w:rFonts w:ascii="Times New Roman" w:hAnsi="Times New Roman" w:cs="Times New Roman"/>
          <w:snapToGrid w:val="0"/>
          <w:lang w:val="lv-LV"/>
        </w:rPr>
        <w:t>iespējas ir izsmeltas</w:t>
      </w:r>
      <w:r>
        <w:rPr>
          <w:rFonts w:ascii="Times New Roman" w:hAnsi="Times New Roman" w:cs="Times New Roman"/>
          <w:snapToGrid w:val="0"/>
          <w:lang w:val="lv-LV"/>
        </w:rPr>
        <w:t>, bet vienošanās nav panākta, tad pēdējā iespēja ir pieņemt grozījumus ar vismaz triju ceturtdaļu sanāksmē klātesošo un balsojošo pušu balsu vairākumu.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4. Depozitārs nosūta pieņemtos grozījumus visām pusēm ratifikācijai, pieņemšanai vai apstiprināšanai.</w:t>
      </w:r>
    </w:p>
    <w:p w:rsidR="0060722E" w:rsidRDefault="0060722E">
      <w:pPr>
        <w:jc w:val="both"/>
        <w:rPr>
          <w:rFonts w:ascii="Times New Roman" w:hAnsi="Times New Roman" w:cs="Times New Roman"/>
          <w:snapToGrid w:val="0"/>
          <w:lang w:val="lv-LV"/>
        </w:rPr>
      </w:pPr>
    </w:p>
    <w:p w:rsidR="0060722E" w:rsidRPr="006E75CC" w:rsidRDefault="0060722E">
      <w:pPr>
        <w:jc w:val="both"/>
        <w:rPr>
          <w:rFonts w:ascii="Times New Roman" w:hAnsi="Times New Roman" w:cs="Times New Roman"/>
          <w:snapToGrid w:val="0"/>
          <w:lang w:val="lv-LV"/>
        </w:rPr>
      </w:pPr>
      <w:bookmarkStart w:id="34" w:name="bookmark34"/>
      <w:r>
        <w:rPr>
          <w:rFonts w:ascii="Times New Roman" w:hAnsi="Times New Roman" w:cs="Times New Roman"/>
          <w:snapToGrid w:val="0"/>
          <w:lang w:val="lv-LV"/>
        </w:rPr>
        <w:t>5</w:t>
      </w:r>
      <w:r w:rsidRPr="006E75CC">
        <w:rPr>
          <w:rFonts w:ascii="Times New Roman" w:hAnsi="Times New Roman" w:cs="Times New Roman"/>
          <w:snapToGrid w:val="0"/>
          <w:lang w:val="lv-LV"/>
        </w:rPr>
        <w:t xml:space="preserve">. Par grozījumu ratifikāciju, pieņemšanu vai apstiprināšanu depozitāram </w:t>
      </w:r>
      <w:r w:rsidR="006E75CC" w:rsidRPr="006E75CC">
        <w:rPr>
          <w:rFonts w:ascii="Times New Roman" w:hAnsi="Times New Roman" w:cs="Times New Roman"/>
          <w:snapToGrid w:val="0"/>
          <w:lang w:val="lv-LV"/>
        </w:rPr>
        <w:t xml:space="preserve">paziņo </w:t>
      </w:r>
      <w:r w:rsidRPr="006E75CC">
        <w:rPr>
          <w:rFonts w:ascii="Times New Roman" w:hAnsi="Times New Roman" w:cs="Times New Roman"/>
          <w:snapToGrid w:val="0"/>
          <w:lang w:val="lv-LV"/>
        </w:rPr>
        <w:t>rakstiski. Grozījumi, kas pieņemti saskaņā ar 3. punktu, stājas spēkā attiecībā uz tām pusēm, kuras ir piekritušas tam, lai šie grozījumi būtu tām saistoši, deviņdesmitajā dienā pēc tam, kad savus ratifikācijas, pieņemšanas vai apstiprināšanas instrumentus deponējušas vismaz trīs ceturtdaļas pušu, kuras bijušas puses laikā, kad attiecīgie grozījumi tika pieņemti.</w:t>
      </w:r>
      <w:r w:rsidR="006937AD">
        <w:rPr>
          <w:rFonts w:ascii="Times New Roman" w:hAnsi="Times New Roman" w:cs="Times New Roman"/>
          <w:snapToGrid w:val="0"/>
          <w:lang w:val="lv-LV"/>
        </w:rPr>
        <w:t xml:space="preserve"> </w:t>
      </w:r>
      <w:r w:rsidRPr="006E75CC">
        <w:rPr>
          <w:rFonts w:ascii="Times New Roman" w:hAnsi="Times New Roman" w:cs="Times New Roman"/>
          <w:snapToGrid w:val="0"/>
          <w:lang w:val="lv-LV"/>
        </w:rPr>
        <w:t xml:space="preserve">Tādējādi grozījumi stājas spēkā attiecībā uz jebkuru citu pusi deviņdesmitajā dienā pēc tam, kad </w:t>
      </w:r>
      <w:r w:rsidRPr="006E75CC">
        <w:rPr>
          <w:rFonts w:ascii="Times New Roman" w:hAnsi="Times New Roman" w:cs="Times New Roman"/>
          <w:snapToGrid w:val="0"/>
          <w:lang w:val="lv-LV"/>
        </w:rPr>
        <w:lastRenderedPageBreak/>
        <w:t xml:space="preserve">attiecīgā puse deponējusi savu šo grozījumu ratifikācijas, pieņemšanas vai apstiprināšanas </w:t>
      </w:r>
      <w:r w:rsidR="00F22FB9">
        <w:rPr>
          <w:rFonts w:ascii="Times New Roman" w:hAnsi="Times New Roman" w:cs="Times New Roman"/>
          <w:snapToGrid w:val="0"/>
          <w:lang w:val="lv-LV"/>
        </w:rPr>
        <w:t>instru</w:t>
      </w:r>
      <w:r w:rsidRPr="006E75CC">
        <w:rPr>
          <w:rFonts w:ascii="Times New Roman" w:hAnsi="Times New Roman" w:cs="Times New Roman"/>
          <w:snapToGrid w:val="0"/>
          <w:lang w:val="lv-LV"/>
        </w:rPr>
        <w:t>mentu.</w:t>
      </w:r>
    </w:p>
    <w:bookmarkEnd w:id="34"/>
    <w:p w:rsidR="0060722E" w:rsidRPr="006E75CC" w:rsidRDefault="0060722E">
      <w:pPr>
        <w:jc w:val="both"/>
        <w:rPr>
          <w:rFonts w:ascii="Times New Roman" w:hAnsi="Times New Roman" w:cs="Times New Roman"/>
          <w:snapToGrid w:val="0"/>
          <w:lang w:val="lv-LV"/>
        </w:rPr>
      </w:pPr>
    </w:p>
    <w:p w:rsidR="0060722E" w:rsidRPr="006E75CC" w:rsidRDefault="0060722E">
      <w:pPr>
        <w:jc w:val="center"/>
        <w:rPr>
          <w:rFonts w:ascii="Times New Roman" w:hAnsi="Times New Roman" w:cs="Times New Roman"/>
          <w:b/>
          <w:bCs/>
          <w:snapToGrid w:val="0"/>
          <w:sz w:val="28"/>
          <w:szCs w:val="28"/>
          <w:lang w:val="lv-LV"/>
        </w:rPr>
      </w:pPr>
      <w:r w:rsidRPr="006E75CC">
        <w:rPr>
          <w:rFonts w:ascii="Times New Roman" w:hAnsi="Times New Roman" w:cs="Times New Roman"/>
          <w:b/>
          <w:bCs/>
          <w:snapToGrid w:val="0"/>
          <w:sz w:val="28"/>
          <w:szCs w:val="28"/>
          <w:lang w:val="lv-LV"/>
        </w:rPr>
        <w:t>27. pants</w:t>
      </w:r>
    </w:p>
    <w:p w:rsidR="0060722E" w:rsidRPr="006E75CC" w:rsidRDefault="0060722E">
      <w:pPr>
        <w:jc w:val="center"/>
        <w:rPr>
          <w:rFonts w:ascii="Times New Roman" w:hAnsi="Times New Roman" w:cs="Times New Roman"/>
          <w:b/>
          <w:bCs/>
          <w:snapToGrid w:val="0"/>
          <w:sz w:val="28"/>
          <w:szCs w:val="28"/>
          <w:lang w:val="lv-LV"/>
        </w:rPr>
      </w:pPr>
    </w:p>
    <w:p w:rsidR="0060722E" w:rsidRPr="006E75CC" w:rsidRDefault="0060722E">
      <w:pPr>
        <w:jc w:val="center"/>
        <w:rPr>
          <w:rFonts w:ascii="Times New Roman" w:hAnsi="Times New Roman" w:cs="Times New Roman"/>
          <w:b/>
          <w:bCs/>
          <w:snapToGrid w:val="0"/>
          <w:sz w:val="28"/>
          <w:szCs w:val="28"/>
          <w:lang w:val="lv-LV"/>
        </w:rPr>
      </w:pPr>
      <w:r w:rsidRPr="006E75CC">
        <w:rPr>
          <w:rFonts w:ascii="Times New Roman" w:hAnsi="Times New Roman" w:cs="Times New Roman"/>
          <w:b/>
          <w:bCs/>
          <w:snapToGrid w:val="0"/>
          <w:sz w:val="28"/>
          <w:szCs w:val="28"/>
          <w:lang w:val="lv-LV"/>
        </w:rPr>
        <w:t>Pielikumu pieņemšana un grozīšana</w:t>
      </w:r>
    </w:p>
    <w:p w:rsidR="0060722E" w:rsidRPr="006E75CC"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6E75CC">
        <w:rPr>
          <w:rFonts w:ascii="Times New Roman" w:hAnsi="Times New Roman" w:cs="Times New Roman"/>
          <w:snapToGrid w:val="0"/>
          <w:lang w:val="lv-LV"/>
        </w:rPr>
        <w:t xml:space="preserve">1. Konvencijas pielikumi ir tās </w:t>
      </w:r>
      <w:r w:rsidR="006E75CC">
        <w:rPr>
          <w:rFonts w:ascii="Times New Roman" w:hAnsi="Times New Roman" w:cs="Times New Roman"/>
          <w:snapToGrid w:val="0"/>
          <w:lang w:val="lv-LV"/>
        </w:rPr>
        <w:t>būtisk</w:t>
      </w:r>
      <w:r w:rsidRPr="006E75CC">
        <w:rPr>
          <w:rFonts w:ascii="Times New Roman" w:hAnsi="Times New Roman" w:cs="Times New Roman"/>
          <w:snapToGrid w:val="0"/>
          <w:lang w:val="lv-LV"/>
        </w:rPr>
        <w:t>a sastāvdaļa, un, ja nav skaidri noteikts citādi, atsauce uz šo konvenciju vienlai</w:t>
      </w:r>
      <w:r w:rsidR="00F22FB9">
        <w:rPr>
          <w:rFonts w:ascii="Times New Roman" w:hAnsi="Times New Roman" w:cs="Times New Roman"/>
          <w:snapToGrid w:val="0"/>
          <w:lang w:val="lv-LV"/>
        </w:rPr>
        <w:t>kus</w:t>
      </w:r>
      <w:r w:rsidRPr="006E75CC">
        <w:rPr>
          <w:rFonts w:ascii="Times New Roman" w:hAnsi="Times New Roman" w:cs="Times New Roman"/>
          <w:snapToGrid w:val="0"/>
          <w:lang w:val="lv-LV"/>
        </w:rPr>
        <w:t xml:space="preserve"> ir atsauce arī uz tās pielikumiem.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Visi citi pielikumi, kas tiek pieņemti pēc šīs</w:t>
      </w:r>
      <w:r w:rsidR="006E75CC">
        <w:rPr>
          <w:rFonts w:ascii="Times New Roman" w:hAnsi="Times New Roman" w:cs="Times New Roman"/>
          <w:snapToGrid w:val="0"/>
          <w:lang w:val="lv-LV"/>
        </w:rPr>
        <w:t xml:space="preserve"> konvencijas spēkā stāšanās datuma</w:t>
      </w:r>
      <w:r>
        <w:rPr>
          <w:rFonts w:ascii="Times New Roman" w:hAnsi="Times New Roman" w:cs="Times New Roman"/>
          <w:snapToGrid w:val="0"/>
          <w:lang w:val="lv-LV"/>
        </w:rPr>
        <w:t>, ir saistīti vienīgi ar procedūras, zinātniskajiem, tehnisk</w:t>
      </w:r>
      <w:r w:rsidR="00F22FB9">
        <w:rPr>
          <w:rFonts w:ascii="Times New Roman" w:hAnsi="Times New Roman" w:cs="Times New Roman"/>
          <w:snapToGrid w:val="0"/>
          <w:lang w:val="lv-LV"/>
        </w:rPr>
        <w:t>aj</w:t>
      </w:r>
      <w:r>
        <w:rPr>
          <w:rFonts w:ascii="Times New Roman" w:hAnsi="Times New Roman" w:cs="Times New Roman"/>
          <w:snapToGrid w:val="0"/>
          <w:lang w:val="lv-LV"/>
        </w:rPr>
        <w:t>iem vai administratīvajiem jautājumiem.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3. Attiecībā uz šīs konvencijas papildpielikumu ieteikšanu, pieņemšanu un stāšanos spēkā tiek ievērota šāda procedūra: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papildpielikumus iesaka un pieņem saskaņā ar procedūru, kas izklāstīta 26. panta 1.–3. punktā;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b) ikviena puse, kas nevar pieņemt papildpielikumu, par to rakstiski paziņo depozitāram viena gada laikā pēc </w:t>
      </w:r>
      <w:r w:rsidR="006E75CC">
        <w:rPr>
          <w:rFonts w:ascii="Times New Roman" w:hAnsi="Times New Roman" w:cs="Times New Roman"/>
          <w:snapToGrid w:val="0"/>
          <w:lang w:val="lv-LV"/>
        </w:rPr>
        <w:t>tam, kad depozitārs paziņojis</w:t>
      </w:r>
      <w:r>
        <w:rPr>
          <w:rFonts w:ascii="Times New Roman" w:hAnsi="Times New Roman" w:cs="Times New Roman"/>
          <w:snapToGrid w:val="0"/>
          <w:lang w:val="lv-LV"/>
        </w:rPr>
        <w:t xml:space="preserve"> par šāda pielikuma pieņemšanu. Depozitārs nekavējoties paziņo visām pusēm par katru saņemto paziņojumu. Puse jebkurā laikā var rakstiski paziņot depozitāram, ka tā atsauc savu iepriekšējo paziņojumu attiecībā uz papildpielikuma nepieņemšanu, un ar to šis pielikums stājas spēkā attiecībā uz konkrēto pusi atbilstoši c) apakšpunktam,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pēc tam, kad ir pagājis viens gads pēc </w:t>
      </w:r>
      <w:r w:rsidR="006E75CC">
        <w:rPr>
          <w:rFonts w:ascii="Times New Roman" w:hAnsi="Times New Roman" w:cs="Times New Roman"/>
          <w:snapToGrid w:val="0"/>
          <w:lang w:val="lv-LV"/>
        </w:rPr>
        <w:t xml:space="preserve">tam, kad </w:t>
      </w:r>
      <w:r>
        <w:rPr>
          <w:rFonts w:ascii="Times New Roman" w:hAnsi="Times New Roman" w:cs="Times New Roman"/>
          <w:snapToGrid w:val="0"/>
          <w:lang w:val="lv-LV"/>
        </w:rPr>
        <w:t>depozitā</w:t>
      </w:r>
      <w:r w:rsidR="006E75CC">
        <w:rPr>
          <w:rFonts w:ascii="Times New Roman" w:hAnsi="Times New Roman" w:cs="Times New Roman"/>
          <w:snapToGrid w:val="0"/>
          <w:lang w:val="lv-LV"/>
        </w:rPr>
        <w:t>rs paziņojis</w:t>
      </w:r>
      <w:r>
        <w:rPr>
          <w:rFonts w:ascii="Times New Roman" w:hAnsi="Times New Roman" w:cs="Times New Roman"/>
          <w:snapToGrid w:val="0"/>
          <w:lang w:val="lv-LV"/>
        </w:rPr>
        <w:t xml:space="preserve"> par papildpielikuma pieņemšanu, šis pielikums stājas spēkā attiecībā uz visām pusēm, kuras nav iesniegušas paziņojumu par nepieņemšanu saskaņā ar b) apakšpunkta noteikumiem.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4. Attiecībā uz šīs konvencijas pielikumu grozījumu ieteikšanu, pieņemšanu un stāšanos spēkā piemēro tās pašas procedūras, kuras piemēro attiecībā uz konvencijas papildpielikumu ieteikšanu, pieņemšanu un stāšanos spēkā, izņemot gadījumu, kad pielikuma grozījumi nestājas spēkā attiecībā uz pusi, kas ir iesniegusi paziņojumu attiecībā uz pielikumu grozījumiem atbilstoši 30. panta 5. punktam, un šādā gadījumā </w:t>
      </w:r>
      <w:r w:rsidR="006E75CC">
        <w:rPr>
          <w:rFonts w:ascii="Times New Roman" w:hAnsi="Times New Roman" w:cs="Times New Roman"/>
          <w:snapToGrid w:val="0"/>
          <w:lang w:val="lv-LV"/>
        </w:rPr>
        <w:t xml:space="preserve">minētie </w:t>
      </w:r>
      <w:r>
        <w:rPr>
          <w:rFonts w:ascii="Times New Roman" w:hAnsi="Times New Roman" w:cs="Times New Roman"/>
          <w:snapToGrid w:val="0"/>
          <w:lang w:val="lv-LV"/>
        </w:rPr>
        <w:t>grozījumi stājas spēkā attiecībā uz konkrēto pusi deviņdesmitajā dienā pēc tam, kad tā ir deponējusi savu ratifikācijas, pieņemšanas, apstiprināšanas vai pievienošanās instrumentu attiecībā uz konkrētajiem grozījumiem.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35" w:name="bookmark35"/>
      <w:r>
        <w:rPr>
          <w:rFonts w:ascii="Times New Roman" w:hAnsi="Times New Roman" w:cs="Times New Roman"/>
          <w:snapToGrid w:val="0"/>
          <w:lang w:val="lv-LV"/>
        </w:rPr>
        <w:t>5. Ja papildpielikums vai pielikuma grozījumi ir saistīti ar šīs konvencijas grozījumiem, tad attiecīgais papildpielikums vai grozījumi nestājas spēkā līdz laikam, kad stājas spēkā šīs konvencijas grozījumi.</w:t>
      </w:r>
    </w:p>
    <w:bookmarkEnd w:id="35"/>
    <w:p w:rsidR="0060722E" w:rsidRDefault="0060722E">
      <w:pPr>
        <w:jc w:val="both"/>
        <w:rPr>
          <w:rFonts w:ascii="Times New Roman" w:hAnsi="Times New Roman" w:cs="Times New Roman"/>
          <w:snapToGrid w:val="0"/>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lastRenderedPageBreak/>
        <w:t>28. pants</w:t>
      </w:r>
    </w:p>
    <w:p w:rsidR="0060722E" w:rsidRDefault="0060722E" w:rsidP="006937AD">
      <w:pPr>
        <w:keepNext/>
        <w:jc w:val="center"/>
        <w:rPr>
          <w:rFonts w:ascii="Times New Roman" w:hAnsi="Times New Roman" w:cs="Times New Roman"/>
          <w:b/>
          <w:bCs/>
          <w:snapToGrid w:val="0"/>
          <w:sz w:val="28"/>
          <w:szCs w:val="28"/>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Balsstiesības</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1. Katrai konvencijas pusei ir viena balss, izņemot gadījumu, kas paredzēts šā panta 2. punktā.</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bookmarkStart w:id="36" w:name="bookmark36"/>
      <w:r>
        <w:rPr>
          <w:rFonts w:ascii="Times New Roman" w:hAnsi="Times New Roman" w:cs="Times New Roman"/>
          <w:snapToGrid w:val="0"/>
          <w:lang w:val="lv-LV"/>
        </w:rPr>
        <w:t xml:space="preserve">2. </w:t>
      </w:r>
      <w:r w:rsidR="006E75CC">
        <w:rPr>
          <w:rFonts w:ascii="Times New Roman" w:hAnsi="Times New Roman" w:cs="Times New Roman"/>
          <w:snapToGrid w:val="0"/>
          <w:lang w:val="lv-LV"/>
        </w:rPr>
        <w:t>Reģionālā ekonomiskās</w:t>
      </w:r>
      <w:r>
        <w:rPr>
          <w:rFonts w:ascii="Times New Roman" w:hAnsi="Times New Roman" w:cs="Times New Roman"/>
          <w:snapToGrid w:val="0"/>
          <w:lang w:val="lv-LV"/>
        </w:rPr>
        <w:t xml:space="preserve"> integrācijas organizācija </w:t>
      </w:r>
      <w:r w:rsidR="006E75CC">
        <w:rPr>
          <w:rFonts w:ascii="Times New Roman" w:hAnsi="Times New Roman" w:cs="Times New Roman"/>
          <w:snapToGrid w:val="0"/>
          <w:lang w:val="lv-LV"/>
        </w:rPr>
        <w:t>atbilstoši savai kompetencei</w:t>
      </w:r>
      <w:r>
        <w:rPr>
          <w:rFonts w:ascii="Times New Roman" w:hAnsi="Times New Roman" w:cs="Times New Roman"/>
          <w:snapToGrid w:val="0"/>
          <w:lang w:val="lv-LV"/>
        </w:rPr>
        <w:t xml:space="preserve"> izmanto tiesības balsot ar balsu skaitu, kas ir vienāds ar to tās dalībvalstu skaitu, kuras ir konvencijas puses. Šāda organizācija neizmanto savas balsstiesības</w:t>
      </w:r>
      <w:r w:rsidR="006E75CC">
        <w:rPr>
          <w:rFonts w:ascii="Times New Roman" w:hAnsi="Times New Roman" w:cs="Times New Roman"/>
          <w:snapToGrid w:val="0"/>
          <w:lang w:val="lv-LV"/>
        </w:rPr>
        <w:t xml:space="preserve"> tad</w:t>
      </w:r>
      <w:r>
        <w:rPr>
          <w:rFonts w:ascii="Times New Roman" w:hAnsi="Times New Roman" w:cs="Times New Roman"/>
          <w:snapToGrid w:val="0"/>
          <w:lang w:val="lv-LV"/>
        </w:rPr>
        <w:t>, ja kāda tās dalībvalsts pati izmanto savas balsstiesības, un otrādi.</w:t>
      </w:r>
    </w:p>
    <w:bookmarkEnd w:id="36"/>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29.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Parakstīšana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37" w:name="bookmark37"/>
      <w:r>
        <w:rPr>
          <w:rFonts w:ascii="Times New Roman" w:hAnsi="Times New Roman" w:cs="Times New Roman"/>
          <w:snapToGrid w:val="0"/>
          <w:lang w:val="lv-LV"/>
        </w:rPr>
        <w:t>Šī konvencija ir atvērta parakstīšanai Kunamoto, Japānā, 2013. gada 10. un 11. oktobrī un pēc tam Apvienoto Nāciju Organizācijas mītnē Ņujorkā līdz 2014. gada 9. oktobrim visām valstīm un reģionālajām ekonomiskās integrācijas organizācijām.</w:t>
      </w:r>
    </w:p>
    <w:bookmarkEnd w:id="37"/>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30.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bookmarkStart w:id="38" w:name="bookmark38"/>
      <w:r>
        <w:rPr>
          <w:rFonts w:ascii="Times New Roman" w:hAnsi="Times New Roman" w:cs="Times New Roman"/>
          <w:b/>
          <w:bCs/>
          <w:snapToGrid w:val="0"/>
          <w:sz w:val="28"/>
          <w:szCs w:val="28"/>
          <w:lang w:val="lv-LV"/>
        </w:rPr>
        <w:t>Ratifikācija, pieņemšana, apstiprināšana vai pievienošanās</w:t>
      </w:r>
    </w:p>
    <w:bookmarkEnd w:id="38"/>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BD1164">
        <w:rPr>
          <w:rFonts w:ascii="Times New Roman" w:hAnsi="Times New Roman" w:cs="Times New Roman"/>
          <w:snapToGrid w:val="0"/>
          <w:lang w:val="lv-LV"/>
        </w:rPr>
        <w:t>1. Konvenciju ratificē, pieņem vai</w:t>
      </w:r>
      <w:r w:rsidR="00BD1164" w:rsidRPr="00BD1164">
        <w:rPr>
          <w:rFonts w:ascii="Times New Roman" w:hAnsi="Times New Roman" w:cs="Times New Roman"/>
          <w:snapToGrid w:val="0"/>
          <w:lang w:val="lv-LV"/>
        </w:rPr>
        <w:t xml:space="preserve"> apstiprina valstis un reģionālā</w:t>
      </w:r>
      <w:r w:rsidRPr="00BD1164">
        <w:rPr>
          <w:rFonts w:ascii="Times New Roman" w:hAnsi="Times New Roman" w:cs="Times New Roman"/>
          <w:snapToGrid w:val="0"/>
          <w:lang w:val="lv-LV"/>
        </w:rPr>
        <w:t>s ekonomiskās integrācijas organizācijas. Konvencijai var pi</w:t>
      </w:r>
      <w:r w:rsidR="00BD1164" w:rsidRPr="00BD1164">
        <w:rPr>
          <w:rFonts w:ascii="Times New Roman" w:hAnsi="Times New Roman" w:cs="Times New Roman"/>
          <w:snapToGrid w:val="0"/>
          <w:lang w:val="lv-LV"/>
        </w:rPr>
        <w:t>evienoties valstis vai reģionālā</w:t>
      </w:r>
      <w:r w:rsidRPr="00BD1164">
        <w:rPr>
          <w:rFonts w:ascii="Times New Roman" w:hAnsi="Times New Roman" w:cs="Times New Roman"/>
          <w:snapToGrid w:val="0"/>
          <w:lang w:val="lv-LV"/>
        </w:rPr>
        <w:t>s ekonomiskās integrācijas organizācijas, sākot no nākamās dienas pēc tā datuma, kad tiek slēgta konvencijas parakstīšana. Ratifikācijas, pieņemšanas, apstiprināšanas vai pievienošanās instrumenti jāiesniedz depozitāram.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Ja par konvencijas pu</w:t>
      </w:r>
      <w:r w:rsidR="00BD1164">
        <w:rPr>
          <w:rFonts w:ascii="Times New Roman" w:hAnsi="Times New Roman" w:cs="Times New Roman"/>
          <w:snapToGrid w:val="0"/>
          <w:lang w:val="lv-LV"/>
        </w:rPr>
        <w:t>si kļūst kāda reģionālā ekonomiskās</w:t>
      </w:r>
      <w:r>
        <w:rPr>
          <w:rFonts w:ascii="Times New Roman" w:hAnsi="Times New Roman" w:cs="Times New Roman"/>
          <w:snapToGrid w:val="0"/>
          <w:lang w:val="lv-LV"/>
        </w:rPr>
        <w:t xml:space="preserve"> integrācijas organizācija, bet neviena minētās organizācijas dalībvalsts nav konvencijas puse, tad attiecīgajai organizācijai ir saistoši visi pienākumi, ko uzliek šī konvencija.</w:t>
      </w:r>
      <w:r w:rsidR="00BD1164">
        <w:rPr>
          <w:rFonts w:ascii="Times New Roman" w:hAnsi="Times New Roman" w:cs="Times New Roman"/>
          <w:snapToGrid w:val="0"/>
          <w:lang w:val="lv-LV"/>
        </w:rPr>
        <w:t xml:space="preserve"> J</w:t>
      </w:r>
      <w:r>
        <w:rPr>
          <w:rFonts w:ascii="Times New Roman" w:hAnsi="Times New Roman" w:cs="Times New Roman"/>
          <w:snapToGrid w:val="0"/>
          <w:lang w:val="lv-LV"/>
        </w:rPr>
        <w:t xml:space="preserve">a viena vai vairākas šādas organizācijas dalībvalstis ir šīs konvencijas puses, tad šī organizācija un tās dalībvalstis attiecīgi lemj par savu atbildību to </w:t>
      </w:r>
      <w:r w:rsidR="00F22FB9">
        <w:rPr>
          <w:rFonts w:ascii="Times New Roman" w:hAnsi="Times New Roman" w:cs="Times New Roman"/>
          <w:snapToGrid w:val="0"/>
          <w:lang w:val="lv-LV"/>
        </w:rPr>
        <w:t>pienākum</w:t>
      </w:r>
      <w:r>
        <w:rPr>
          <w:rFonts w:ascii="Times New Roman" w:hAnsi="Times New Roman" w:cs="Times New Roman"/>
          <w:snapToGrid w:val="0"/>
          <w:lang w:val="lv-LV"/>
        </w:rPr>
        <w:t xml:space="preserve">u izpildē, ko uzliek šī konvencija. Šādos gadījumos organizācija un dalībvalstis nevar vienlaikus </w:t>
      </w:r>
      <w:r w:rsidR="00BD1164">
        <w:rPr>
          <w:rFonts w:ascii="Times New Roman" w:hAnsi="Times New Roman" w:cs="Times New Roman"/>
          <w:snapToGrid w:val="0"/>
          <w:lang w:val="lv-LV"/>
        </w:rPr>
        <w:t>izmanto</w:t>
      </w:r>
      <w:r>
        <w:rPr>
          <w:rFonts w:ascii="Times New Roman" w:hAnsi="Times New Roman" w:cs="Times New Roman"/>
          <w:snapToGrid w:val="0"/>
          <w:lang w:val="lv-LV"/>
        </w:rPr>
        <w:t>t šajā konvencijā paredzētās tiesības.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3. Savos ratifikācijas, pieņemšanas, apstiprināšanas vai pievienošanās in</w:t>
      </w:r>
      <w:r w:rsidR="00BD1164">
        <w:rPr>
          <w:rFonts w:ascii="Times New Roman" w:hAnsi="Times New Roman" w:cs="Times New Roman"/>
          <w:snapToGrid w:val="0"/>
          <w:lang w:val="lv-LV"/>
        </w:rPr>
        <w:t>strumentos reģionālās ekonomiskās</w:t>
      </w:r>
      <w:r>
        <w:rPr>
          <w:rFonts w:ascii="Times New Roman" w:hAnsi="Times New Roman" w:cs="Times New Roman"/>
          <w:snapToGrid w:val="0"/>
          <w:lang w:val="lv-LV"/>
        </w:rPr>
        <w:t xml:space="preserve"> integrācijas organizācija deklarē savas kompetences pak</w:t>
      </w:r>
      <w:r w:rsidR="00BD1164">
        <w:rPr>
          <w:rFonts w:ascii="Times New Roman" w:hAnsi="Times New Roman" w:cs="Times New Roman"/>
          <w:snapToGrid w:val="0"/>
          <w:lang w:val="lv-LV"/>
        </w:rPr>
        <w:t>āpi attiecībā uz jautājumiem, kurus</w:t>
      </w:r>
      <w:r>
        <w:rPr>
          <w:rFonts w:ascii="Times New Roman" w:hAnsi="Times New Roman" w:cs="Times New Roman"/>
          <w:snapToGrid w:val="0"/>
          <w:lang w:val="lv-LV"/>
        </w:rPr>
        <w:t xml:space="preserve"> reglamentē konvencija. Minētā organizācija informē arī depozitāru, kas savu</w:t>
      </w:r>
      <w:r w:rsidR="00F22FB9">
        <w:rPr>
          <w:rFonts w:ascii="Times New Roman" w:hAnsi="Times New Roman" w:cs="Times New Roman"/>
          <w:snapToGrid w:val="0"/>
          <w:lang w:val="lv-LV"/>
        </w:rPr>
        <w:t>kārt informē puses, par būtiskā</w:t>
      </w:r>
      <w:r>
        <w:rPr>
          <w:rFonts w:ascii="Times New Roman" w:hAnsi="Times New Roman" w:cs="Times New Roman"/>
          <w:snapToGrid w:val="0"/>
          <w:lang w:val="lv-LV"/>
        </w:rPr>
        <w:t xml:space="preserve">m </w:t>
      </w:r>
      <w:r w:rsidR="00F22FB9">
        <w:rPr>
          <w:rFonts w:ascii="Times New Roman" w:hAnsi="Times New Roman" w:cs="Times New Roman"/>
          <w:snapToGrid w:val="0"/>
          <w:lang w:val="lv-LV"/>
        </w:rPr>
        <w:t>izmaiņā</w:t>
      </w:r>
      <w:r>
        <w:rPr>
          <w:rFonts w:ascii="Times New Roman" w:hAnsi="Times New Roman" w:cs="Times New Roman"/>
          <w:snapToGrid w:val="0"/>
          <w:lang w:val="lv-LV"/>
        </w:rPr>
        <w:t xml:space="preserve">m </w:t>
      </w:r>
      <w:r w:rsidR="00F22FB9">
        <w:rPr>
          <w:rFonts w:ascii="Times New Roman" w:hAnsi="Times New Roman" w:cs="Times New Roman"/>
          <w:snapToGrid w:val="0"/>
          <w:lang w:val="lv-LV"/>
        </w:rPr>
        <w:t>tā</w:t>
      </w:r>
      <w:r>
        <w:rPr>
          <w:rFonts w:ascii="Times New Roman" w:hAnsi="Times New Roman" w:cs="Times New Roman"/>
          <w:snapToGrid w:val="0"/>
          <w:lang w:val="lv-LV"/>
        </w:rPr>
        <w:t>s kompetences pakāpē.</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4. Ikviena valsts vai reģionālā ekonomiskās integrācijas organizācija tiek aicināta laikā, kad tā </w:t>
      </w:r>
      <w:r w:rsidR="00BD1164">
        <w:rPr>
          <w:rFonts w:ascii="Times New Roman" w:hAnsi="Times New Roman" w:cs="Times New Roman"/>
          <w:snapToGrid w:val="0"/>
          <w:lang w:val="lv-LV"/>
        </w:rPr>
        <w:t xml:space="preserve">šo konvenciju </w:t>
      </w:r>
      <w:r>
        <w:rPr>
          <w:rFonts w:ascii="Times New Roman" w:hAnsi="Times New Roman" w:cs="Times New Roman"/>
          <w:snapToGrid w:val="0"/>
          <w:lang w:val="lv-LV"/>
        </w:rPr>
        <w:t xml:space="preserve">ratificē, pieņem, apstiprina vai </w:t>
      </w:r>
      <w:r w:rsidR="00BD1164">
        <w:rPr>
          <w:rFonts w:ascii="Times New Roman" w:hAnsi="Times New Roman" w:cs="Times New Roman"/>
          <w:snapToGrid w:val="0"/>
          <w:lang w:val="lv-LV"/>
        </w:rPr>
        <w:t xml:space="preserve">tai </w:t>
      </w:r>
      <w:r>
        <w:rPr>
          <w:rFonts w:ascii="Times New Roman" w:hAnsi="Times New Roman" w:cs="Times New Roman"/>
          <w:snapToGrid w:val="0"/>
          <w:lang w:val="lv-LV"/>
        </w:rPr>
        <w:t>pievienojas, nosūtīt sekretariātam informāciju par saviem konvencijas īstenošanas pasākumiem.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39" w:name="bookmark39"/>
      <w:r>
        <w:rPr>
          <w:rFonts w:ascii="Times New Roman" w:hAnsi="Times New Roman" w:cs="Times New Roman"/>
          <w:snapToGrid w:val="0"/>
          <w:lang w:val="lv-LV"/>
        </w:rPr>
        <w:t>5. Savā ratifikācijas, pieņemšanas, apstiprināšanas vai pievienošanās instrumentā ikviena puse var deklarēt, ka attiecībā uz to jebkuri pielikuma grozījumi stājas spēkā tikai pēc ratifikācijas, pieņemšanas, apstiprināšanas vai pievienošanās instrumenta deponēšanas attiecībā uz minētajiem grozījumiem.</w:t>
      </w:r>
    </w:p>
    <w:bookmarkEnd w:id="39"/>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31.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Stāšanās spēkā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Šī konvencija stājas spēkā deviņdesmitajā dienā pēc datuma, kad ir deponēts piecd</w:t>
      </w:r>
      <w:r w:rsidR="000B23DE">
        <w:rPr>
          <w:rFonts w:ascii="Times New Roman" w:hAnsi="Times New Roman" w:cs="Times New Roman"/>
          <w:snapToGrid w:val="0"/>
          <w:lang w:val="lv-LV"/>
        </w:rPr>
        <w:t>e</w:t>
      </w:r>
      <w:r>
        <w:rPr>
          <w:rFonts w:ascii="Times New Roman" w:hAnsi="Times New Roman" w:cs="Times New Roman"/>
          <w:snapToGrid w:val="0"/>
          <w:lang w:val="lv-LV"/>
        </w:rPr>
        <w:t>smitais ratifikāci</w:t>
      </w:r>
      <w:r w:rsidR="00BD1164">
        <w:rPr>
          <w:rFonts w:ascii="Times New Roman" w:hAnsi="Times New Roman" w:cs="Times New Roman"/>
          <w:snapToGrid w:val="0"/>
          <w:lang w:val="lv-LV"/>
        </w:rPr>
        <w:t>jas, pieņemšanas, apstiprināšanas</w:t>
      </w:r>
      <w:r>
        <w:rPr>
          <w:rFonts w:ascii="Times New Roman" w:hAnsi="Times New Roman" w:cs="Times New Roman"/>
          <w:snapToGrid w:val="0"/>
          <w:lang w:val="lv-LV"/>
        </w:rPr>
        <w:t xml:space="preserve"> vai pievienošanās </w:t>
      </w:r>
      <w:r w:rsidR="00F22FB9">
        <w:rPr>
          <w:rFonts w:ascii="Times New Roman" w:hAnsi="Times New Roman" w:cs="Times New Roman"/>
          <w:snapToGrid w:val="0"/>
          <w:lang w:val="lv-LV"/>
        </w:rPr>
        <w:t>instr</w:t>
      </w:r>
      <w:r>
        <w:rPr>
          <w:rFonts w:ascii="Times New Roman" w:hAnsi="Times New Roman" w:cs="Times New Roman"/>
          <w:snapToGrid w:val="0"/>
          <w:lang w:val="lv-LV"/>
        </w:rPr>
        <w:t>uments.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Attiecībā uz katru</w:t>
      </w:r>
      <w:r w:rsidR="00BD1164">
        <w:rPr>
          <w:rFonts w:ascii="Times New Roman" w:hAnsi="Times New Roman" w:cs="Times New Roman"/>
          <w:snapToGrid w:val="0"/>
          <w:lang w:val="lv-LV"/>
        </w:rPr>
        <w:t xml:space="preserve"> valsti vai reģionālo ekonomiskās</w:t>
      </w:r>
      <w:r>
        <w:rPr>
          <w:rFonts w:ascii="Times New Roman" w:hAnsi="Times New Roman" w:cs="Times New Roman"/>
          <w:snapToGrid w:val="0"/>
          <w:lang w:val="lv-LV"/>
        </w:rPr>
        <w:t xml:space="preserve"> integrācijas organizāciju, kas ratificē, pieņem vai apstiprina šo konvenciju vai </w:t>
      </w:r>
      <w:r w:rsidR="00BD1164">
        <w:rPr>
          <w:rFonts w:ascii="Times New Roman" w:hAnsi="Times New Roman" w:cs="Times New Roman"/>
          <w:snapToGrid w:val="0"/>
          <w:lang w:val="lv-LV"/>
        </w:rPr>
        <w:t xml:space="preserve">tai </w:t>
      </w:r>
      <w:r>
        <w:rPr>
          <w:rFonts w:ascii="Times New Roman" w:hAnsi="Times New Roman" w:cs="Times New Roman"/>
          <w:snapToGrid w:val="0"/>
          <w:lang w:val="lv-LV"/>
        </w:rPr>
        <w:t>pievienojas pēc tam, kad ir deponēts piecd</w:t>
      </w:r>
      <w:r w:rsidR="000B23DE">
        <w:rPr>
          <w:rFonts w:ascii="Times New Roman" w:hAnsi="Times New Roman" w:cs="Times New Roman"/>
          <w:snapToGrid w:val="0"/>
          <w:lang w:val="lv-LV"/>
        </w:rPr>
        <w:t>e</w:t>
      </w:r>
      <w:r>
        <w:rPr>
          <w:rFonts w:ascii="Times New Roman" w:hAnsi="Times New Roman" w:cs="Times New Roman"/>
          <w:snapToGrid w:val="0"/>
          <w:lang w:val="lv-LV"/>
        </w:rPr>
        <w:t>smitais ratifikācijas, pieņemšanas, apstiprināšanas vai pievienošanās instruments, šī konvencija stājas spēkā deviņdesmitajā dienā pēc tam, kad šāda</w:t>
      </w:r>
      <w:r w:rsidR="00BD1164">
        <w:rPr>
          <w:rFonts w:ascii="Times New Roman" w:hAnsi="Times New Roman" w:cs="Times New Roman"/>
          <w:snapToGrid w:val="0"/>
          <w:lang w:val="lv-LV"/>
        </w:rPr>
        <w:t xml:space="preserve"> valsts vai reģionālā ekonomiskās</w:t>
      </w:r>
      <w:r>
        <w:rPr>
          <w:rFonts w:ascii="Times New Roman" w:hAnsi="Times New Roman" w:cs="Times New Roman"/>
          <w:snapToGrid w:val="0"/>
          <w:lang w:val="lv-LV"/>
        </w:rPr>
        <w:t xml:space="preserve"> integrācijas organizācija ir deponējusi savu ratifikācijas, pieņemšanas, apstiprināšanas vai pievienošanās instrumentu.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40" w:name="bookmark40"/>
      <w:r>
        <w:rPr>
          <w:rFonts w:ascii="Times New Roman" w:hAnsi="Times New Roman" w:cs="Times New Roman"/>
          <w:snapToGrid w:val="0"/>
          <w:lang w:val="lv-LV"/>
        </w:rPr>
        <w:t xml:space="preserve">3. </w:t>
      </w:r>
      <w:r w:rsidR="00BD1164">
        <w:rPr>
          <w:rFonts w:ascii="Times New Roman" w:hAnsi="Times New Roman" w:cs="Times New Roman"/>
          <w:snapToGrid w:val="0"/>
          <w:lang w:val="lv-LV"/>
        </w:rPr>
        <w:t>Saistībā ar šā panta 1. un 2. punktu</w:t>
      </w:r>
      <w:r>
        <w:rPr>
          <w:rFonts w:ascii="Times New Roman" w:hAnsi="Times New Roman" w:cs="Times New Roman"/>
          <w:snapToGrid w:val="0"/>
          <w:lang w:val="lv-LV"/>
        </w:rPr>
        <w:t xml:space="preserve"> instrumenti, kurus </w:t>
      </w:r>
      <w:r w:rsidR="00BD1164">
        <w:rPr>
          <w:rFonts w:ascii="Times New Roman" w:hAnsi="Times New Roman" w:cs="Times New Roman"/>
          <w:snapToGrid w:val="0"/>
          <w:lang w:val="lv-LV"/>
        </w:rPr>
        <w:t>deponē kāda reģionālā ekonomiskās</w:t>
      </w:r>
      <w:r>
        <w:rPr>
          <w:rFonts w:ascii="Times New Roman" w:hAnsi="Times New Roman" w:cs="Times New Roman"/>
          <w:snapToGrid w:val="0"/>
          <w:lang w:val="lv-LV"/>
        </w:rPr>
        <w:t xml:space="preserve"> integrācijas organizācija, nav uzskatāmi par tādiem, kas papildina šīs organizācijas dalībvalstu deponētos instrumentus.</w:t>
      </w:r>
    </w:p>
    <w:bookmarkEnd w:id="40"/>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32.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Atrunas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Attiecībā uz šo konvenciju nedrīkst pieņemt nekādas atrunas.</w:t>
      </w:r>
    </w:p>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bookmarkStart w:id="41" w:name="bookmark41"/>
      <w:r>
        <w:rPr>
          <w:rFonts w:ascii="Times New Roman" w:hAnsi="Times New Roman" w:cs="Times New Roman"/>
          <w:b/>
          <w:bCs/>
          <w:snapToGrid w:val="0"/>
          <w:sz w:val="28"/>
          <w:szCs w:val="28"/>
          <w:lang w:val="lv-LV"/>
        </w:rPr>
        <w:t>33. pants</w:t>
      </w:r>
    </w:p>
    <w:bookmarkEnd w:id="41"/>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Izstāšanās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Jebkurā laikā</w:t>
      </w:r>
      <w:r w:rsidR="00BD1164">
        <w:rPr>
          <w:rFonts w:ascii="Times New Roman" w:hAnsi="Times New Roman" w:cs="Times New Roman"/>
          <w:snapToGrid w:val="0"/>
          <w:lang w:val="lv-LV"/>
        </w:rPr>
        <w:t xml:space="preserve"> pēc tam, kad apritējuši</w:t>
      </w:r>
      <w:r>
        <w:rPr>
          <w:rFonts w:ascii="Times New Roman" w:hAnsi="Times New Roman" w:cs="Times New Roman"/>
          <w:snapToGrid w:val="0"/>
          <w:lang w:val="lv-LV"/>
        </w:rPr>
        <w:t xml:space="preserve"> </w:t>
      </w:r>
      <w:r w:rsidR="00BD1164">
        <w:rPr>
          <w:rFonts w:ascii="Times New Roman" w:hAnsi="Times New Roman" w:cs="Times New Roman"/>
          <w:snapToGrid w:val="0"/>
          <w:lang w:val="lv-LV"/>
        </w:rPr>
        <w:t>trīs gadi</w:t>
      </w:r>
      <w:r>
        <w:rPr>
          <w:rFonts w:ascii="Times New Roman" w:hAnsi="Times New Roman" w:cs="Times New Roman"/>
          <w:snapToGrid w:val="0"/>
          <w:lang w:val="lv-LV"/>
        </w:rPr>
        <w:t xml:space="preserve"> </w:t>
      </w:r>
      <w:r w:rsidR="00BD1164">
        <w:rPr>
          <w:rFonts w:ascii="Times New Roman" w:hAnsi="Times New Roman" w:cs="Times New Roman"/>
          <w:snapToGrid w:val="0"/>
          <w:lang w:val="lv-LV"/>
        </w:rPr>
        <w:t xml:space="preserve">kopš </w:t>
      </w:r>
      <w:r>
        <w:rPr>
          <w:rFonts w:ascii="Times New Roman" w:hAnsi="Times New Roman" w:cs="Times New Roman"/>
          <w:snapToGrid w:val="0"/>
          <w:lang w:val="lv-LV"/>
        </w:rPr>
        <w:t>šī konv</w:t>
      </w:r>
      <w:r w:rsidR="00BD1164">
        <w:rPr>
          <w:rFonts w:ascii="Times New Roman" w:hAnsi="Times New Roman" w:cs="Times New Roman"/>
          <w:snapToGrid w:val="0"/>
          <w:lang w:val="lv-LV"/>
        </w:rPr>
        <w:t>encija stājusies</w:t>
      </w:r>
      <w:r>
        <w:rPr>
          <w:rFonts w:ascii="Times New Roman" w:hAnsi="Times New Roman" w:cs="Times New Roman"/>
          <w:snapToGrid w:val="0"/>
          <w:lang w:val="lv-LV"/>
        </w:rPr>
        <w:t xml:space="preserve"> spēkā attiecībā uz </w:t>
      </w:r>
      <w:r w:rsidR="00BD1164">
        <w:rPr>
          <w:rFonts w:ascii="Times New Roman" w:hAnsi="Times New Roman" w:cs="Times New Roman"/>
          <w:snapToGrid w:val="0"/>
          <w:lang w:val="lv-LV"/>
        </w:rPr>
        <w:t xml:space="preserve">konkrēto </w:t>
      </w:r>
      <w:r>
        <w:rPr>
          <w:rFonts w:ascii="Times New Roman" w:hAnsi="Times New Roman" w:cs="Times New Roman"/>
          <w:snapToGrid w:val="0"/>
          <w:lang w:val="lv-LV"/>
        </w:rPr>
        <w:t xml:space="preserve">pusi, </w:t>
      </w:r>
      <w:r w:rsidR="00BD1164">
        <w:rPr>
          <w:rFonts w:ascii="Times New Roman" w:hAnsi="Times New Roman" w:cs="Times New Roman"/>
          <w:snapToGrid w:val="0"/>
          <w:lang w:val="lv-LV"/>
        </w:rPr>
        <w:t xml:space="preserve">šī </w:t>
      </w:r>
      <w:r>
        <w:rPr>
          <w:rFonts w:ascii="Times New Roman" w:hAnsi="Times New Roman" w:cs="Times New Roman"/>
          <w:snapToGrid w:val="0"/>
          <w:lang w:val="lv-LV"/>
        </w:rPr>
        <w:t xml:space="preserve">puse </w:t>
      </w:r>
      <w:r w:rsidRPr="00BD1164">
        <w:rPr>
          <w:rFonts w:ascii="Times New Roman" w:hAnsi="Times New Roman" w:cs="Times New Roman"/>
          <w:snapToGrid w:val="0"/>
          <w:lang w:val="lv-LV"/>
        </w:rPr>
        <w:t>var izstāties no konvencijas, paziņojot</w:t>
      </w:r>
      <w:r>
        <w:rPr>
          <w:rFonts w:ascii="Times New Roman" w:hAnsi="Times New Roman" w:cs="Times New Roman"/>
          <w:snapToGrid w:val="0"/>
          <w:lang w:val="lv-LV"/>
        </w:rPr>
        <w:t xml:space="preserve"> par to rakstiski depozitāram.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42" w:name="bookmark42"/>
      <w:r>
        <w:rPr>
          <w:rFonts w:ascii="Times New Roman" w:hAnsi="Times New Roman" w:cs="Times New Roman"/>
          <w:snapToGrid w:val="0"/>
          <w:lang w:val="lv-LV"/>
        </w:rPr>
        <w:t>2. Jebkura šāda izstāšanās stājas spēkā</w:t>
      </w:r>
      <w:r w:rsidR="00BD1164">
        <w:rPr>
          <w:rFonts w:ascii="Times New Roman" w:hAnsi="Times New Roman" w:cs="Times New Roman"/>
          <w:snapToGrid w:val="0"/>
          <w:lang w:val="lv-LV"/>
        </w:rPr>
        <w:t>, kad apritējis</w:t>
      </w:r>
      <w:r>
        <w:rPr>
          <w:rFonts w:ascii="Times New Roman" w:hAnsi="Times New Roman" w:cs="Times New Roman"/>
          <w:snapToGrid w:val="0"/>
          <w:lang w:val="lv-LV"/>
        </w:rPr>
        <w:t xml:space="preserve"> </w:t>
      </w:r>
      <w:r w:rsidR="00BD1164">
        <w:rPr>
          <w:rFonts w:ascii="Times New Roman" w:hAnsi="Times New Roman" w:cs="Times New Roman"/>
          <w:snapToGrid w:val="0"/>
          <w:lang w:val="lv-LV"/>
        </w:rPr>
        <w:t>gads</w:t>
      </w:r>
      <w:r>
        <w:rPr>
          <w:rFonts w:ascii="Times New Roman" w:hAnsi="Times New Roman" w:cs="Times New Roman"/>
          <w:snapToGrid w:val="0"/>
          <w:lang w:val="lv-LV"/>
        </w:rPr>
        <w:t xml:space="preserve"> </w:t>
      </w:r>
      <w:r w:rsidR="00BD1164">
        <w:rPr>
          <w:rFonts w:ascii="Times New Roman" w:hAnsi="Times New Roman" w:cs="Times New Roman"/>
          <w:snapToGrid w:val="0"/>
          <w:lang w:val="lv-LV"/>
        </w:rPr>
        <w:t xml:space="preserve">kopš </w:t>
      </w:r>
      <w:r>
        <w:rPr>
          <w:rFonts w:ascii="Times New Roman" w:hAnsi="Times New Roman" w:cs="Times New Roman"/>
          <w:snapToGrid w:val="0"/>
          <w:lang w:val="lv-LV"/>
        </w:rPr>
        <w:t>dienas, kad depozitārs ir saņēmis paziņojumu par izstāšanos, vai vēlāk, ja paziņojumā par izst</w:t>
      </w:r>
      <w:r w:rsidR="00A713BE">
        <w:rPr>
          <w:rFonts w:ascii="Times New Roman" w:hAnsi="Times New Roman" w:cs="Times New Roman"/>
          <w:snapToGrid w:val="0"/>
          <w:lang w:val="lv-LV"/>
        </w:rPr>
        <w:t>āšanos ir norādīts</w:t>
      </w:r>
      <w:r>
        <w:rPr>
          <w:rFonts w:ascii="Times New Roman" w:hAnsi="Times New Roman" w:cs="Times New Roman"/>
          <w:snapToGrid w:val="0"/>
          <w:lang w:val="lv-LV"/>
        </w:rPr>
        <w:t xml:space="preserve"> attiecīga</w:t>
      </w:r>
      <w:r w:rsidR="00A713BE">
        <w:rPr>
          <w:rFonts w:ascii="Times New Roman" w:hAnsi="Times New Roman" w:cs="Times New Roman"/>
          <w:snapToGrid w:val="0"/>
          <w:lang w:val="lv-LV"/>
        </w:rPr>
        <w:t>is datums</w:t>
      </w:r>
      <w:r>
        <w:rPr>
          <w:rFonts w:ascii="Times New Roman" w:hAnsi="Times New Roman" w:cs="Times New Roman"/>
          <w:snapToGrid w:val="0"/>
          <w:lang w:val="lv-LV"/>
        </w:rPr>
        <w:t>.</w:t>
      </w:r>
    </w:p>
    <w:bookmarkEnd w:id="42"/>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34. pants</w:t>
      </w:r>
    </w:p>
    <w:p w:rsidR="0060722E" w:rsidRDefault="0060722E">
      <w:pPr>
        <w:jc w:val="center"/>
        <w:rPr>
          <w:rFonts w:ascii="Times New Roman" w:hAnsi="Times New Roman" w:cs="Times New Roman"/>
          <w:b/>
          <w:bCs/>
          <w:snapToGrid w:val="0"/>
          <w:sz w:val="28"/>
          <w:szCs w:val="28"/>
          <w:lang w:val="lv-LV"/>
        </w:rPr>
      </w:pPr>
    </w:p>
    <w:p w:rsidR="0060722E" w:rsidRDefault="0060722E">
      <w:pPr>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Depozitārs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43" w:name="bookmark43"/>
      <w:r>
        <w:rPr>
          <w:rFonts w:ascii="Times New Roman" w:hAnsi="Times New Roman" w:cs="Times New Roman"/>
          <w:snapToGrid w:val="0"/>
          <w:lang w:val="lv-LV"/>
        </w:rPr>
        <w:t>Konvencijas depozitārs ir Apvienoto Nāciju Organizācijas ģenerālsekretārs.</w:t>
      </w:r>
    </w:p>
    <w:bookmarkEnd w:id="43"/>
    <w:p w:rsidR="0060722E" w:rsidRDefault="0060722E">
      <w:pPr>
        <w:jc w:val="both"/>
        <w:rPr>
          <w:rFonts w:ascii="Times New Roman" w:hAnsi="Times New Roman" w:cs="Times New Roman"/>
          <w:snapToGrid w:val="0"/>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lastRenderedPageBreak/>
        <w:t>35. pants</w:t>
      </w:r>
    </w:p>
    <w:p w:rsidR="0060722E" w:rsidRDefault="0060722E" w:rsidP="006937AD">
      <w:pPr>
        <w:keepNext/>
        <w:jc w:val="center"/>
        <w:rPr>
          <w:rFonts w:ascii="Times New Roman" w:hAnsi="Times New Roman" w:cs="Times New Roman"/>
          <w:b/>
          <w:bCs/>
          <w:snapToGrid w:val="0"/>
          <w:sz w:val="28"/>
          <w:szCs w:val="28"/>
          <w:lang w:val="lv-LV"/>
        </w:rPr>
      </w:pPr>
    </w:p>
    <w:p w:rsidR="0060722E" w:rsidRDefault="0060722E" w:rsidP="006937AD">
      <w:pPr>
        <w:keepNext/>
        <w:jc w:val="center"/>
        <w:rPr>
          <w:rFonts w:ascii="Times New Roman" w:hAnsi="Times New Roman" w:cs="Times New Roman"/>
          <w:b/>
          <w:bCs/>
          <w:snapToGrid w:val="0"/>
          <w:sz w:val="28"/>
          <w:szCs w:val="28"/>
          <w:lang w:val="lv-LV"/>
        </w:rPr>
      </w:pPr>
      <w:r>
        <w:rPr>
          <w:rFonts w:ascii="Times New Roman" w:hAnsi="Times New Roman" w:cs="Times New Roman"/>
          <w:b/>
          <w:bCs/>
          <w:snapToGrid w:val="0"/>
          <w:sz w:val="28"/>
          <w:szCs w:val="28"/>
          <w:lang w:val="lv-LV"/>
        </w:rPr>
        <w:t>Autentiskie teksti</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Šīs konvencijas oriģinālu, kura teksts angļu, arābu, franču, krievu, ķīniešu un spāņu valodā ir vienlīdz autentisks, deponē depozitāram.</w:t>
      </w:r>
    </w:p>
    <w:p w:rsidR="0060722E" w:rsidRDefault="0060722E" w:rsidP="006937AD">
      <w:pPr>
        <w:keepNext/>
        <w:jc w:val="both"/>
        <w:rPr>
          <w:rFonts w:ascii="Times New Roman" w:hAnsi="Times New Roman" w:cs="Times New Roman"/>
          <w:snapToGrid w:val="0"/>
          <w:lang w:val="lv-LV"/>
        </w:rPr>
      </w:pPr>
    </w:p>
    <w:p w:rsidR="0060722E" w:rsidRDefault="0060722E" w:rsidP="006937AD">
      <w:pPr>
        <w:keepNext/>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TO APLIECINOT, attiecīgi pilnvarotas personas parakstījušas šo konvenciju.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Konvencija parakstīta Kumamoto, Japānā, divi tūkstoši trīspadsmitā gada desmitajā oktobrī.</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sz w:val="28"/>
          <w:szCs w:val="28"/>
          <w:lang w:val="lv-LV"/>
        </w:rPr>
      </w:pPr>
      <w:r>
        <w:rPr>
          <w:rFonts w:ascii="Times New Roman" w:hAnsi="Times New Roman" w:cs="Times New Roman"/>
          <w:snapToGrid w:val="0"/>
          <w:lang w:val="lv-LV"/>
        </w:rPr>
        <w:br w:type="page"/>
      </w:r>
      <w:r>
        <w:rPr>
          <w:rFonts w:ascii="Times New Roman" w:hAnsi="Times New Roman" w:cs="Times New Roman"/>
          <w:b/>
          <w:bCs/>
          <w:snapToGrid w:val="0"/>
          <w:sz w:val="28"/>
          <w:szCs w:val="28"/>
          <w:lang w:val="lv-LV"/>
        </w:rPr>
        <w:lastRenderedPageBreak/>
        <w:t>A pielikums</w:t>
      </w:r>
    </w:p>
    <w:p w:rsidR="0060722E" w:rsidRDefault="0060722E">
      <w:pPr>
        <w:jc w:val="both"/>
        <w:rPr>
          <w:rFonts w:ascii="Times New Roman" w:hAnsi="Times New Roman" w:cs="Times New Roman"/>
          <w:b/>
          <w:bCs/>
          <w:snapToGrid w:val="0"/>
          <w:sz w:val="28"/>
          <w:szCs w:val="28"/>
          <w:lang w:val="lv-LV"/>
        </w:rPr>
      </w:pPr>
    </w:p>
    <w:p w:rsidR="0060722E" w:rsidRDefault="0060722E">
      <w:pPr>
        <w:jc w:val="both"/>
        <w:rPr>
          <w:rFonts w:ascii="Times New Roman" w:hAnsi="Times New Roman" w:cs="Times New Roman"/>
          <w:b/>
          <w:bCs/>
          <w:snapToGrid w:val="0"/>
          <w:sz w:val="28"/>
          <w:szCs w:val="28"/>
          <w:lang w:val="lv-LV"/>
        </w:rPr>
      </w:pPr>
      <w:bookmarkStart w:id="44" w:name="bookmark44"/>
      <w:r>
        <w:rPr>
          <w:rFonts w:ascii="Times New Roman" w:hAnsi="Times New Roman" w:cs="Times New Roman"/>
          <w:b/>
          <w:bCs/>
          <w:snapToGrid w:val="0"/>
          <w:sz w:val="28"/>
          <w:szCs w:val="28"/>
          <w:lang w:val="lv-LV"/>
        </w:rPr>
        <w:t>Dzīvsudrabu saturoši izstrādājumi</w:t>
      </w:r>
    </w:p>
    <w:bookmarkEnd w:id="44"/>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Šajā pielikumā nav ietverti šādi izstrādājumi: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izst</w:t>
      </w:r>
      <w:r w:rsidR="00A713BE">
        <w:rPr>
          <w:rFonts w:ascii="Times New Roman" w:hAnsi="Times New Roman" w:cs="Times New Roman"/>
          <w:snapToGrid w:val="0"/>
          <w:lang w:val="lv-LV"/>
        </w:rPr>
        <w:t>rādājumi, kas ir būtiski civilajai</w:t>
      </w:r>
      <w:r>
        <w:rPr>
          <w:rFonts w:ascii="Times New Roman" w:hAnsi="Times New Roman" w:cs="Times New Roman"/>
          <w:snapToGrid w:val="0"/>
          <w:lang w:val="lv-LV"/>
        </w:rPr>
        <w:t xml:space="preserve"> aizsardzībai un militārām vajadzībām;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izstrādājumi, kas paredzēti pētnie</w:t>
      </w:r>
      <w:r w:rsidR="00F22FB9">
        <w:rPr>
          <w:rFonts w:ascii="Times New Roman" w:hAnsi="Times New Roman" w:cs="Times New Roman"/>
          <w:snapToGrid w:val="0"/>
          <w:lang w:val="lv-LV"/>
        </w:rPr>
        <w:t>cībai, instrumentu kalibrēšanai un</w:t>
      </w:r>
      <w:r>
        <w:rPr>
          <w:rFonts w:ascii="Times New Roman" w:hAnsi="Times New Roman" w:cs="Times New Roman"/>
          <w:snapToGrid w:val="0"/>
          <w:lang w:val="lv-LV"/>
        </w:rPr>
        <w:t xml:space="preserve"> izmantošanai atsauces standarta veidā;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c) ja nav pieejamas pamatotas nomaiņas alternatīvas pret izstrādājumiem, kas nesatur dzīvsudrabu, – slēdži un releji, auksto katodu luminiscences spuldzes un ārējo elektrodu luminiscences spuldzes (</w:t>
      </w:r>
      <w:r>
        <w:rPr>
          <w:rFonts w:ascii="Times New Roman" w:hAnsi="Times New Roman" w:cs="Times New Roman"/>
          <w:i/>
          <w:iCs/>
          <w:snapToGrid w:val="0"/>
          <w:lang w:val="lv-LV"/>
        </w:rPr>
        <w:t>CCFL</w:t>
      </w:r>
      <w:r>
        <w:rPr>
          <w:rFonts w:ascii="Times New Roman" w:hAnsi="Times New Roman" w:cs="Times New Roman"/>
          <w:snapToGrid w:val="0"/>
          <w:lang w:val="lv-LV"/>
        </w:rPr>
        <w:t xml:space="preserve"> un </w:t>
      </w:r>
      <w:r>
        <w:rPr>
          <w:rFonts w:ascii="Times New Roman" w:hAnsi="Times New Roman" w:cs="Times New Roman"/>
          <w:i/>
          <w:iCs/>
          <w:snapToGrid w:val="0"/>
          <w:lang w:val="lv-LV"/>
        </w:rPr>
        <w:t>EEFL</w:t>
      </w:r>
      <w:r>
        <w:rPr>
          <w:rFonts w:ascii="Times New Roman" w:hAnsi="Times New Roman" w:cs="Times New Roman"/>
          <w:snapToGrid w:val="0"/>
          <w:lang w:val="lv-LV"/>
        </w:rPr>
        <w:t>) elektroniskajiem displejiem un mērierīcēm;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d) izstrādājumi, kurus izmanto tradicionālās vai reliģiskās paražās,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45" w:name="bookmark45"/>
      <w:r>
        <w:rPr>
          <w:rFonts w:ascii="Times New Roman" w:hAnsi="Times New Roman" w:cs="Times New Roman"/>
          <w:snapToGrid w:val="0"/>
          <w:lang w:val="lv-LV"/>
        </w:rPr>
        <w:t>e) vakcīnas, kas satur konservantu tiomersālu.</w:t>
      </w:r>
    </w:p>
    <w:bookmarkEnd w:id="45"/>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b/>
          <w:bCs/>
          <w:snapToGrid w:val="0"/>
          <w:sz w:val="28"/>
          <w:szCs w:val="28"/>
          <w:lang w:val="lv-LV"/>
        </w:rPr>
        <w:t>I daļa. Izstrādājumi, kuriem piemēro 4. panta 1. punktu</w:t>
      </w:r>
    </w:p>
    <w:p w:rsidR="0060722E" w:rsidRDefault="0060722E">
      <w:pPr>
        <w:jc w:val="both"/>
        <w:rPr>
          <w:rFonts w:ascii="Times New Roman" w:hAnsi="Times New Roman" w:cs="Times New Roman"/>
          <w:snapToGrid w:val="0"/>
          <w:lang w:val="lv-LV"/>
        </w:rPr>
      </w:pPr>
    </w:p>
    <w:tbl>
      <w:tblPr>
        <w:tblW w:w="5000" w:type="pct"/>
        <w:tblCellMar>
          <w:left w:w="0" w:type="dxa"/>
          <w:right w:w="0" w:type="dxa"/>
        </w:tblCellMar>
        <w:tblLook w:val="0000"/>
      </w:tblPr>
      <w:tblGrid>
        <w:gridCol w:w="6846"/>
        <w:gridCol w:w="2238"/>
      </w:tblGrid>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vAlign w:val="center"/>
          </w:tcPr>
          <w:p w:rsidR="0060722E" w:rsidRDefault="0060722E">
            <w:pPr>
              <w:jc w:val="center"/>
              <w:rPr>
                <w:rFonts w:ascii="Times New Roman" w:hAnsi="Times New Roman" w:cs="Times New Roman"/>
                <w:b/>
                <w:bCs/>
                <w:snapToGrid w:val="0"/>
                <w:lang w:val="lv-LV"/>
              </w:rPr>
            </w:pPr>
            <w:r>
              <w:rPr>
                <w:rFonts w:ascii="Times New Roman" w:hAnsi="Times New Roman" w:cs="Times New Roman"/>
                <w:b/>
                <w:bCs/>
                <w:snapToGrid w:val="0"/>
                <w:lang w:val="lv-LV"/>
              </w:rPr>
              <w:t>Dzīvsudrabu saturoši izstrādājumi</w:t>
            </w:r>
          </w:p>
        </w:tc>
        <w:tc>
          <w:tcPr>
            <w:tcW w:w="1232" w:type="pct"/>
            <w:tcBorders>
              <w:top w:val="single" w:sz="4" w:space="0" w:color="auto"/>
              <w:left w:val="single" w:sz="4" w:space="0" w:color="auto"/>
              <w:bottom w:val="single" w:sz="4" w:space="0" w:color="auto"/>
              <w:right w:val="single" w:sz="4" w:space="0" w:color="auto"/>
            </w:tcBorders>
            <w:shd w:val="clear" w:color="auto" w:fill="FFFFFF"/>
            <w:vAlign w:val="center"/>
          </w:tcPr>
          <w:p w:rsidR="0060722E" w:rsidRDefault="0060722E">
            <w:pPr>
              <w:jc w:val="center"/>
              <w:rPr>
                <w:rFonts w:ascii="Times New Roman" w:hAnsi="Times New Roman" w:cs="Times New Roman"/>
                <w:b/>
                <w:bCs/>
                <w:snapToGrid w:val="0"/>
                <w:lang w:val="lv-LV"/>
              </w:rPr>
            </w:pPr>
            <w:r>
              <w:rPr>
                <w:rFonts w:ascii="Times New Roman" w:hAnsi="Times New Roman" w:cs="Times New Roman"/>
                <w:b/>
                <w:bCs/>
                <w:snapToGrid w:val="0"/>
                <w:lang w:val="lv-LV"/>
              </w:rPr>
              <w:t>Datums, pēc kura attiecīgā izstrādājuma ražošana, importēšana vai eksportēšana nav atļauta (izmantošanas pārtraukšanas datums)</w:t>
            </w:r>
          </w:p>
        </w:tc>
      </w:tr>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tcPr>
          <w:p w:rsidR="0060722E" w:rsidRDefault="00761303">
            <w:pPr>
              <w:jc w:val="both"/>
              <w:rPr>
                <w:rFonts w:ascii="Times New Roman" w:hAnsi="Times New Roman" w:cs="Times New Roman"/>
                <w:snapToGrid w:val="0"/>
                <w:lang w:val="lv-LV"/>
              </w:rPr>
            </w:pPr>
            <w:r>
              <w:rPr>
                <w:rFonts w:ascii="Times New Roman" w:hAnsi="Times New Roman" w:cs="Times New Roman"/>
                <w:snapToGrid w:val="0"/>
                <w:lang w:val="lv-LV"/>
              </w:rPr>
              <w:t>Baterijas, izņemot cinka-</w:t>
            </w:r>
            <w:r w:rsidR="0060722E">
              <w:rPr>
                <w:rFonts w:ascii="Times New Roman" w:hAnsi="Times New Roman" w:cs="Times New Roman"/>
                <w:snapToGrid w:val="0"/>
                <w:lang w:val="lv-LV"/>
              </w:rPr>
              <w:t>sudraba oksīda elektrodu baterijas, kuru dzīvsudraba sa</w:t>
            </w:r>
            <w:r>
              <w:rPr>
                <w:rFonts w:ascii="Times New Roman" w:hAnsi="Times New Roman" w:cs="Times New Roman"/>
                <w:snapToGrid w:val="0"/>
                <w:lang w:val="lv-LV"/>
              </w:rPr>
              <w:t xml:space="preserve">turs </w:t>
            </w:r>
            <w:r w:rsidR="00A713BE" w:rsidRPr="00A713BE">
              <w:rPr>
                <w:rFonts w:ascii="Times New Roman" w:hAnsi="Times New Roman" w:cs="Times New Roman"/>
                <w:snapToGrid w:val="0"/>
                <w:lang w:val="lv-LV"/>
              </w:rPr>
              <w:t xml:space="preserve">&lt; </w:t>
            </w:r>
            <w:r>
              <w:rPr>
                <w:rFonts w:ascii="Times New Roman" w:hAnsi="Times New Roman" w:cs="Times New Roman"/>
                <w:snapToGrid w:val="0"/>
                <w:lang w:val="lv-LV"/>
              </w:rPr>
              <w:t>2 %, un cinka-gais</w:t>
            </w:r>
            <w:r w:rsidR="0060722E">
              <w:rPr>
                <w:rFonts w:ascii="Times New Roman" w:hAnsi="Times New Roman" w:cs="Times New Roman"/>
                <w:snapToGrid w:val="0"/>
                <w:lang w:val="lv-LV"/>
              </w:rPr>
              <w:t xml:space="preserve">a elektrodu baterijas, kuru dzīvsudraba saturs </w:t>
            </w:r>
            <w:r w:rsidR="00A713BE" w:rsidRPr="00A713BE">
              <w:rPr>
                <w:rFonts w:ascii="Times New Roman" w:hAnsi="Times New Roman" w:cs="Times New Roman"/>
                <w:snapToGrid w:val="0"/>
                <w:lang w:val="lv-LV"/>
              </w:rPr>
              <w:t xml:space="preserve">&lt; </w:t>
            </w:r>
            <w:r w:rsidR="0060722E">
              <w:rPr>
                <w:rFonts w:ascii="Times New Roman" w:hAnsi="Times New Roman" w:cs="Times New Roman"/>
                <w:snapToGrid w:val="0"/>
                <w:lang w:val="lv-LV"/>
              </w:rPr>
              <w:t>2 %</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rFonts w:ascii="Times New Roman" w:hAnsi="Times New Roman" w:cs="Times New Roman"/>
                <w:snapToGrid w:val="0"/>
                <w:lang w:val="lv-LV"/>
              </w:rPr>
            </w:pPr>
            <w:r>
              <w:rPr>
                <w:rFonts w:ascii="Times New Roman" w:hAnsi="Times New Roman" w:cs="Times New Roman"/>
                <w:snapToGrid w:val="0"/>
                <w:lang w:val="lv-LV"/>
              </w:rPr>
              <w:t>2020</w:t>
            </w:r>
          </w:p>
        </w:tc>
      </w:tr>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snapToGrid w:val="0"/>
                <w:lang w:val="lv-LV"/>
              </w:rPr>
            </w:pPr>
            <w:r>
              <w:rPr>
                <w:rFonts w:ascii="Times New Roman" w:hAnsi="Times New Roman" w:cs="Times New Roman"/>
                <w:snapToGrid w:val="0"/>
                <w:lang w:val="lv-LV"/>
              </w:rPr>
              <w:t>Slēdži un releji, izņemot uzraudzības un kontroles ierīču mērtiltus ar augstas precizitātes kapacitatīvo pretestību un zuduma koeficientu un augstfrekvences radiofrekvences slēdžus un relejus, kuriem maksimālais dzīvsudraba saturs ir 20 mg vienam</w:t>
            </w:r>
            <w:r w:rsidR="00A713BE">
              <w:rPr>
                <w:rFonts w:ascii="Times New Roman" w:hAnsi="Times New Roman" w:cs="Times New Roman"/>
                <w:snapToGrid w:val="0"/>
                <w:lang w:val="lv-LV"/>
              </w:rPr>
              <w:t xml:space="preserve"> mērtiltam, slēdzim vai relejam</w:t>
            </w:r>
            <w:r>
              <w:rPr>
                <w:rFonts w:ascii="Times New Roman" w:hAnsi="Times New Roman" w:cs="Times New Roman"/>
                <w:snapToGrid w:val="0"/>
                <w:lang w:val="lv-LV"/>
              </w:rPr>
              <w:t xml:space="preserve"> </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rFonts w:ascii="Times New Roman" w:hAnsi="Times New Roman" w:cs="Times New Roman"/>
                <w:snapToGrid w:val="0"/>
                <w:lang w:val="lv-LV"/>
              </w:rPr>
            </w:pPr>
            <w:r>
              <w:rPr>
                <w:rFonts w:ascii="Times New Roman" w:hAnsi="Times New Roman" w:cs="Times New Roman"/>
                <w:snapToGrid w:val="0"/>
                <w:lang w:val="lv-LV"/>
              </w:rPr>
              <w:t>2020</w:t>
            </w:r>
          </w:p>
        </w:tc>
      </w:tr>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snapToGrid w:val="0"/>
                <w:lang w:val="lv-LV"/>
              </w:rPr>
            </w:pPr>
            <w:r>
              <w:rPr>
                <w:rFonts w:ascii="Times New Roman" w:hAnsi="Times New Roman" w:cs="Times New Roman"/>
                <w:snapToGrid w:val="0"/>
                <w:lang w:val="lv-LV"/>
              </w:rPr>
              <w:t>Kompaktās luminiscences spuldzes (</w:t>
            </w:r>
            <w:r>
              <w:rPr>
                <w:rFonts w:ascii="Times New Roman" w:hAnsi="Times New Roman" w:cs="Times New Roman"/>
                <w:i/>
                <w:iCs/>
                <w:snapToGrid w:val="0"/>
                <w:lang w:val="lv-LV"/>
              </w:rPr>
              <w:t>CFL</w:t>
            </w:r>
            <w:r>
              <w:rPr>
                <w:rFonts w:ascii="Times New Roman" w:hAnsi="Times New Roman" w:cs="Times New Roman"/>
                <w:snapToGrid w:val="0"/>
                <w:lang w:val="lv-LV"/>
              </w:rPr>
              <w:t xml:space="preserve">) vispārējam apgaismojumam, kuru jauda ir </w:t>
            </w:r>
            <w:r w:rsidR="001922A4" w:rsidRPr="00DD0B73">
              <w:rPr>
                <w:rFonts w:ascii="Times New Roman" w:hAnsi="Times New Roman" w:cs="Times New Roman"/>
                <w:lang w:val="lv-LV"/>
              </w:rPr>
              <w:t>≤</w:t>
            </w:r>
            <w:r w:rsidR="001922A4">
              <w:rPr>
                <w:rFonts w:ascii="Times New Roman" w:hAnsi="Times New Roman" w:cs="Times New Roman"/>
                <w:snapToGrid w:val="0"/>
                <w:lang w:val="lv-LV"/>
              </w:rPr>
              <w:t xml:space="preserve"> </w:t>
            </w:r>
            <w:r>
              <w:rPr>
                <w:rFonts w:ascii="Times New Roman" w:hAnsi="Times New Roman" w:cs="Times New Roman"/>
                <w:snapToGrid w:val="0"/>
                <w:lang w:val="lv-LV"/>
              </w:rPr>
              <w:t xml:space="preserve">30 W un dzīvsudraba saturs pārsniedz 5 mg </w:t>
            </w:r>
            <w:r w:rsidR="00A713BE">
              <w:rPr>
                <w:rFonts w:ascii="Times New Roman" w:hAnsi="Times New Roman" w:cs="Times New Roman"/>
                <w:snapToGrid w:val="0"/>
                <w:lang w:val="lv-LV"/>
              </w:rPr>
              <w:t>uz vienu spuldzes gaismas izstarotāju</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rFonts w:ascii="Times New Roman" w:hAnsi="Times New Roman" w:cs="Times New Roman"/>
                <w:snapToGrid w:val="0"/>
                <w:lang w:val="lv-LV"/>
              </w:rPr>
            </w:pPr>
            <w:r>
              <w:rPr>
                <w:rFonts w:ascii="Times New Roman" w:hAnsi="Times New Roman" w:cs="Times New Roman"/>
                <w:snapToGrid w:val="0"/>
                <w:lang w:val="lv-LV"/>
              </w:rPr>
              <w:t>2020</w:t>
            </w:r>
          </w:p>
        </w:tc>
      </w:tr>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Lineārās luminiscences spuldzes (</w:t>
            </w:r>
            <w:smartTag w:uri="urn:schemas-microsoft-com:office:smarttags" w:element="stockticker">
              <w:r>
                <w:rPr>
                  <w:rFonts w:ascii="Times New Roman" w:hAnsi="Times New Roman" w:cs="Times New Roman"/>
                  <w:i/>
                  <w:iCs/>
                  <w:snapToGrid w:val="0"/>
                  <w:lang w:val="lv-LV"/>
                </w:rPr>
                <w:t>LFL</w:t>
              </w:r>
            </w:smartTag>
            <w:r>
              <w:rPr>
                <w:rFonts w:ascii="Times New Roman" w:hAnsi="Times New Roman" w:cs="Times New Roman"/>
                <w:snapToGrid w:val="0"/>
                <w:lang w:val="lv-LV"/>
              </w:rPr>
              <w:t>) vispārējam apgaismojumam:</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trīsjoslu luminofora: &lt; 6</w:t>
            </w:r>
            <w:r w:rsidR="00A713BE">
              <w:rPr>
                <w:rFonts w:ascii="Times New Roman" w:hAnsi="Times New Roman" w:cs="Times New Roman"/>
                <w:snapToGrid w:val="0"/>
                <w:lang w:val="lv-LV"/>
              </w:rPr>
              <w:t xml:space="preserve">0 W, kurām dzīvsudraba saturs </w:t>
            </w:r>
            <w:r>
              <w:rPr>
                <w:rFonts w:ascii="Times New Roman" w:hAnsi="Times New Roman" w:cs="Times New Roman"/>
                <w:snapToGrid w:val="0"/>
                <w:lang w:val="lv-LV"/>
              </w:rPr>
              <w:t xml:space="preserve">pārsniedz 5 mg </w:t>
            </w:r>
            <w:r w:rsidR="00A713BE">
              <w:rPr>
                <w:rFonts w:ascii="Times New Roman" w:hAnsi="Times New Roman" w:cs="Times New Roman"/>
                <w:snapToGrid w:val="0"/>
                <w:lang w:val="lv-LV"/>
              </w:rPr>
              <w:t>uz vienu</w:t>
            </w:r>
            <w:r>
              <w:rPr>
                <w:rFonts w:ascii="Times New Roman" w:hAnsi="Times New Roman" w:cs="Times New Roman"/>
                <w:snapToGrid w:val="0"/>
                <w:lang w:val="lv-LV"/>
              </w:rPr>
              <w:t xml:space="preserve"> spu</w:t>
            </w:r>
            <w:r w:rsidR="00A713BE">
              <w:rPr>
                <w:rFonts w:ascii="Times New Roman" w:hAnsi="Times New Roman" w:cs="Times New Roman"/>
                <w:snapToGrid w:val="0"/>
                <w:lang w:val="lv-LV"/>
              </w:rPr>
              <w:t>ldz</w:t>
            </w:r>
            <w:r>
              <w:rPr>
                <w:rFonts w:ascii="Times New Roman" w:hAnsi="Times New Roman" w:cs="Times New Roman"/>
                <w:snapToGrid w:val="0"/>
                <w:lang w:val="lv-LV"/>
              </w:rPr>
              <w:t>i;</w:t>
            </w:r>
          </w:p>
          <w:p w:rsidR="0060722E" w:rsidRDefault="0060722E">
            <w:pPr>
              <w:jc w:val="both"/>
              <w:rPr>
                <w:snapToGrid w:val="0"/>
                <w:lang w:val="lv-LV"/>
              </w:rPr>
            </w:pPr>
            <w:r>
              <w:rPr>
                <w:rFonts w:ascii="Times New Roman" w:hAnsi="Times New Roman" w:cs="Times New Roman"/>
                <w:snapToGrid w:val="0"/>
                <w:lang w:val="lv-LV"/>
              </w:rPr>
              <w:t>b) halofosfāta luminofora:</w:t>
            </w:r>
            <w:r w:rsidR="001922A4" w:rsidRPr="001922A4">
              <w:rPr>
                <w:rFonts w:ascii="Times New Roman" w:hAnsi="Times New Roman" w:cs="Times New Roman"/>
                <w:lang w:val="lv-LV"/>
              </w:rPr>
              <w:t xml:space="preserve"> ≤ </w:t>
            </w:r>
            <w:r>
              <w:rPr>
                <w:rFonts w:ascii="Times New Roman" w:hAnsi="Times New Roman" w:cs="Times New Roman"/>
                <w:snapToGrid w:val="0"/>
                <w:lang w:val="lv-LV"/>
              </w:rPr>
              <w:t>4</w:t>
            </w:r>
            <w:r w:rsidR="00A713BE">
              <w:rPr>
                <w:rFonts w:ascii="Times New Roman" w:hAnsi="Times New Roman" w:cs="Times New Roman"/>
                <w:snapToGrid w:val="0"/>
                <w:lang w:val="lv-LV"/>
              </w:rPr>
              <w:t xml:space="preserve">0 W, kurām dzīvsudraba saturs </w:t>
            </w:r>
            <w:r>
              <w:rPr>
                <w:rFonts w:ascii="Times New Roman" w:hAnsi="Times New Roman" w:cs="Times New Roman"/>
                <w:snapToGrid w:val="0"/>
                <w:lang w:val="lv-LV"/>
              </w:rPr>
              <w:t xml:space="preserve">pārsniedz 10 mg </w:t>
            </w:r>
            <w:r w:rsidR="00A713BE">
              <w:rPr>
                <w:rFonts w:ascii="Times New Roman" w:hAnsi="Times New Roman" w:cs="Times New Roman"/>
                <w:snapToGrid w:val="0"/>
                <w:lang w:val="lv-LV"/>
              </w:rPr>
              <w:t>uz vienu</w:t>
            </w:r>
            <w:r>
              <w:rPr>
                <w:rFonts w:ascii="Times New Roman" w:hAnsi="Times New Roman" w:cs="Times New Roman"/>
                <w:snapToGrid w:val="0"/>
                <w:lang w:val="lv-LV"/>
              </w:rPr>
              <w:t xml:space="preserve"> spuldz</w:t>
            </w:r>
            <w:r w:rsidR="00A713BE">
              <w:rPr>
                <w:rFonts w:ascii="Times New Roman" w:hAnsi="Times New Roman" w:cs="Times New Roman"/>
                <w:snapToGrid w:val="0"/>
                <w:lang w:val="lv-LV"/>
              </w:rPr>
              <w:t>i</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rFonts w:ascii="Times New Roman" w:hAnsi="Times New Roman" w:cs="Times New Roman"/>
                <w:snapToGrid w:val="0"/>
                <w:lang w:val="lv-LV"/>
              </w:rPr>
            </w:pPr>
            <w:r>
              <w:rPr>
                <w:rFonts w:ascii="Times New Roman" w:hAnsi="Times New Roman" w:cs="Times New Roman"/>
                <w:snapToGrid w:val="0"/>
                <w:lang w:val="lv-LV"/>
              </w:rPr>
              <w:t>2020</w:t>
            </w:r>
          </w:p>
        </w:tc>
      </w:tr>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tcPr>
          <w:p w:rsidR="0060722E" w:rsidRDefault="002A0CC6">
            <w:pPr>
              <w:jc w:val="both"/>
              <w:rPr>
                <w:snapToGrid w:val="0"/>
                <w:lang w:val="lv-LV"/>
              </w:rPr>
            </w:pPr>
            <w:r>
              <w:rPr>
                <w:rFonts w:ascii="Times New Roman" w:hAnsi="Times New Roman" w:cs="Times New Roman"/>
                <w:snapToGrid w:val="0"/>
                <w:lang w:val="lv-LV"/>
              </w:rPr>
              <w:t>A</w:t>
            </w:r>
            <w:r w:rsidR="0060722E">
              <w:rPr>
                <w:rFonts w:ascii="Times New Roman" w:hAnsi="Times New Roman" w:cs="Times New Roman"/>
                <w:snapToGrid w:val="0"/>
                <w:lang w:val="lv-LV"/>
              </w:rPr>
              <w:t xml:space="preserve">ugstspiediena </w:t>
            </w:r>
            <w:r>
              <w:rPr>
                <w:rFonts w:ascii="Times New Roman" w:hAnsi="Times New Roman" w:cs="Times New Roman"/>
                <w:snapToGrid w:val="0"/>
                <w:lang w:val="lv-LV"/>
              </w:rPr>
              <w:t xml:space="preserve">dzīvsudraba </w:t>
            </w:r>
            <w:r w:rsidR="0060722E">
              <w:rPr>
                <w:rFonts w:ascii="Times New Roman" w:hAnsi="Times New Roman" w:cs="Times New Roman"/>
                <w:snapToGrid w:val="0"/>
                <w:lang w:val="lv-LV"/>
              </w:rPr>
              <w:t>tvaiku spuldzes (</w:t>
            </w:r>
            <w:r w:rsidR="0060722E">
              <w:rPr>
                <w:rFonts w:ascii="Times New Roman" w:hAnsi="Times New Roman" w:cs="Times New Roman"/>
                <w:i/>
                <w:iCs/>
                <w:snapToGrid w:val="0"/>
                <w:lang w:val="lv-LV"/>
              </w:rPr>
              <w:t>HPMV</w:t>
            </w:r>
            <w:r w:rsidR="0060722E">
              <w:rPr>
                <w:rFonts w:ascii="Times New Roman" w:hAnsi="Times New Roman" w:cs="Times New Roman"/>
                <w:snapToGrid w:val="0"/>
                <w:lang w:val="lv-LV"/>
              </w:rPr>
              <w:t>) vispārējam apgaismojumam</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rFonts w:ascii="Times New Roman" w:hAnsi="Times New Roman" w:cs="Times New Roman"/>
                <w:snapToGrid w:val="0"/>
                <w:lang w:val="lv-LV"/>
              </w:rPr>
            </w:pPr>
            <w:r>
              <w:rPr>
                <w:rFonts w:ascii="Times New Roman" w:hAnsi="Times New Roman" w:cs="Times New Roman"/>
                <w:snapToGrid w:val="0"/>
                <w:lang w:val="lv-LV"/>
              </w:rPr>
              <w:t>2020</w:t>
            </w:r>
          </w:p>
        </w:tc>
      </w:tr>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lastRenderedPageBreak/>
              <w:t>Dzīvsudrabs auksto katodu luminiscences spuldzēs un ārējo elektrodu luminiscences spuldzēs (</w:t>
            </w:r>
            <w:r>
              <w:rPr>
                <w:rFonts w:ascii="Times New Roman" w:hAnsi="Times New Roman" w:cs="Times New Roman"/>
                <w:i/>
                <w:iCs/>
                <w:snapToGrid w:val="0"/>
                <w:lang w:val="lv-LV"/>
              </w:rPr>
              <w:t>CCFL</w:t>
            </w:r>
            <w:r>
              <w:rPr>
                <w:rFonts w:ascii="Times New Roman" w:hAnsi="Times New Roman" w:cs="Times New Roman"/>
                <w:snapToGrid w:val="0"/>
                <w:lang w:val="lv-LV"/>
              </w:rPr>
              <w:t xml:space="preserve"> un </w:t>
            </w:r>
            <w:r>
              <w:rPr>
                <w:rFonts w:ascii="Times New Roman" w:hAnsi="Times New Roman" w:cs="Times New Roman"/>
                <w:i/>
                <w:iCs/>
                <w:snapToGrid w:val="0"/>
                <w:lang w:val="lv-LV"/>
              </w:rPr>
              <w:t>EEFL</w:t>
            </w:r>
            <w:r>
              <w:rPr>
                <w:rFonts w:ascii="Times New Roman" w:hAnsi="Times New Roman" w:cs="Times New Roman"/>
                <w:snapToGrid w:val="0"/>
                <w:lang w:val="lv-LV"/>
              </w:rPr>
              <w:t>) elektroniskajiem displejiem:</w:t>
            </w: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 xml:space="preserve">a) </w:t>
            </w:r>
            <w:r w:rsidR="00A713BE">
              <w:rPr>
                <w:rFonts w:ascii="Times New Roman" w:hAnsi="Times New Roman" w:cs="Times New Roman"/>
                <w:snapToGrid w:val="0"/>
                <w:lang w:val="lv-LV"/>
              </w:rPr>
              <w:t xml:space="preserve">neliels </w:t>
            </w:r>
            <w:r>
              <w:rPr>
                <w:rFonts w:ascii="Times New Roman" w:hAnsi="Times New Roman" w:cs="Times New Roman"/>
                <w:snapToGrid w:val="0"/>
                <w:lang w:val="lv-LV"/>
              </w:rPr>
              <w:t>garums (</w:t>
            </w:r>
            <w:r w:rsidR="001922A4" w:rsidRPr="001922A4">
              <w:rPr>
                <w:rFonts w:ascii="Times New Roman" w:hAnsi="Times New Roman" w:cs="Times New Roman"/>
                <w:lang w:val="lv-LV"/>
              </w:rPr>
              <w:t>≤</w:t>
            </w:r>
            <w:r>
              <w:rPr>
                <w:rFonts w:ascii="Times New Roman" w:hAnsi="Times New Roman" w:cs="Times New Roman"/>
                <w:snapToGrid w:val="0"/>
                <w:lang w:val="lv-LV"/>
              </w:rPr>
              <w:t xml:space="preserve"> 500 mm), dzīvsudraba saturs</w:t>
            </w:r>
            <w:r w:rsidR="00A713BE">
              <w:rPr>
                <w:rFonts w:ascii="Times New Roman" w:hAnsi="Times New Roman" w:cs="Times New Roman"/>
                <w:snapToGrid w:val="0"/>
                <w:lang w:val="lv-LV"/>
              </w:rPr>
              <w:t xml:space="preserve"> </w:t>
            </w:r>
            <w:r>
              <w:rPr>
                <w:rFonts w:ascii="Times New Roman" w:hAnsi="Times New Roman" w:cs="Times New Roman"/>
                <w:snapToGrid w:val="0"/>
                <w:lang w:val="lv-LV"/>
              </w:rPr>
              <w:t xml:space="preserve">pārsniedz 3,5 mg </w:t>
            </w:r>
            <w:r w:rsidR="00A713BE">
              <w:rPr>
                <w:rFonts w:ascii="Times New Roman" w:hAnsi="Times New Roman" w:cs="Times New Roman"/>
                <w:snapToGrid w:val="0"/>
                <w:lang w:val="lv-LV"/>
              </w:rPr>
              <w:t>uz vienu spuldz</w:t>
            </w:r>
            <w:r>
              <w:rPr>
                <w:rFonts w:ascii="Times New Roman" w:hAnsi="Times New Roman" w:cs="Times New Roman"/>
                <w:snapToGrid w:val="0"/>
                <w:lang w:val="lv-LV"/>
              </w:rPr>
              <w:t>i;</w:t>
            </w:r>
          </w:p>
          <w:p w:rsidR="0060722E" w:rsidRDefault="0060722E" w:rsidP="006937AD">
            <w:pPr>
              <w:keepNext/>
              <w:jc w:val="both"/>
              <w:rPr>
                <w:rFonts w:ascii="Times New Roman" w:hAnsi="Times New Roman" w:cs="Times New Roman"/>
                <w:snapToGrid w:val="0"/>
                <w:lang w:val="lv-LV"/>
              </w:rPr>
            </w:pPr>
            <w:r>
              <w:rPr>
                <w:rFonts w:ascii="Times New Roman" w:hAnsi="Times New Roman" w:cs="Times New Roman"/>
                <w:snapToGrid w:val="0"/>
                <w:lang w:val="lv-LV"/>
              </w:rPr>
              <w:t xml:space="preserve">b) vidējs garums (&gt; 500 mm un </w:t>
            </w:r>
            <w:r w:rsidR="001922A4" w:rsidRPr="001922A4">
              <w:rPr>
                <w:rFonts w:ascii="Times New Roman" w:hAnsi="Times New Roman" w:cs="Times New Roman"/>
                <w:lang w:val="lv-LV"/>
              </w:rPr>
              <w:t>≤</w:t>
            </w:r>
            <w:r w:rsidR="00AC16CF">
              <w:rPr>
                <w:rFonts w:ascii="Times New Roman" w:hAnsi="Times New Roman" w:cs="Times New Roman"/>
                <w:snapToGrid w:val="0"/>
                <w:lang w:val="lv-LV"/>
              </w:rPr>
              <w:t xml:space="preserve"> 1500 mm), dzīvsudraba saturs </w:t>
            </w:r>
            <w:r>
              <w:rPr>
                <w:rFonts w:ascii="Times New Roman" w:hAnsi="Times New Roman" w:cs="Times New Roman"/>
                <w:snapToGrid w:val="0"/>
                <w:lang w:val="lv-LV"/>
              </w:rPr>
              <w:t xml:space="preserve">pārsniedz 5 mg </w:t>
            </w:r>
            <w:r w:rsidR="00AC16CF">
              <w:rPr>
                <w:rFonts w:ascii="Times New Roman" w:hAnsi="Times New Roman" w:cs="Times New Roman"/>
                <w:snapToGrid w:val="0"/>
                <w:lang w:val="lv-LV"/>
              </w:rPr>
              <w:t>uz vienu spuldz</w:t>
            </w:r>
            <w:r>
              <w:rPr>
                <w:rFonts w:ascii="Times New Roman" w:hAnsi="Times New Roman" w:cs="Times New Roman"/>
                <w:snapToGrid w:val="0"/>
                <w:lang w:val="lv-LV"/>
              </w:rPr>
              <w:t>i;</w:t>
            </w:r>
          </w:p>
          <w:p w:rsidR="0060722E" w:rsidRDefault="00AC16CF" w:rsidP="006937AD">
            <w:pPr>
              <w:keepNext/>
              <w:jc w:val="both"/>
              <w:rPr>
                <w:snapToGrid w:val="0"/>
                <w:lang w:val="lv-LV"/>
              </w:rPr>
            </w:pPr>
            <w:r>
              <w:rPr>
                <w:rFonts w:ascii="Times New Roman" w:hAnsi="Times New Roman" w:cs="Times New Roman"/>
                <w:snapToGrid w:val="0"/>
                <w:lang w:val="lv-LV"/>
              </w:rPr>
              <w:t xml:space="preserve">c) liels garums (&gt; </w:t>
            </w:r>
            <w:r w:rsidR="0060722E">
              <w:rPr>
                <w:rFonts w:ascii="Times New Roman" w:hAnsi="Times New Roman" w:cs="Times New Roman"/>
                <w:snapToGrid w:val="0"/>
                <w:lang w:val="lv-LV"/>
              </w:rPr>
              <w:t xml:space="preserve">1500 mm), dzīvsudraba saturs pārsniedz 13 mg </w:t>
            </w:r>
            <w:r>
              <w:rPr>
                <w:rFonts w:ascii="Times New Roman" w:hAnsi="Times New Roman" w:cs="Times New Roman"/>
                <w:snapToGrid w:val="0"/>
                <w:lang w:val="lv-LV"/>
              </w:rPr>
              <w:t>uz vienu</w:t>
            </w:r>
            <w:r w:rsidR="0060722E">
              <w:rPr>
                <w:rFonts w:ascii="Times New Roman" w:hAnsi="Times New Roman" w:cs="Times New Roman"/>
                <w:snapToGrid w:val="0"/>
                <w:lang w:val="lv-LV"/>
              </w:rPr>
              <w:t xml:space="preserve"> spuldz</w:t>
            </w:r>
            <w:r>
              <w:rPr>
                <w:rFonts w:ascii="Times New Roman" w:hAnsi="Times New Roman" w:cs="Times New Roman"/>
                <w:snapToGrid w:val="0"/>
                <w:lang w:val="lv-LV"/>
              </w:rPr>
              <w:t>i</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rsidP="006937AD">
            <w:pPr>
              <w:keepNext/>
              <w:jc w:val="center"/>
              <w:rPr>
                <w:rFonts w:ascii="Times New Roman" w:hAnsi="Times New Roman" w:cs="Times New Roman"/>
                <w:snapToGrid w:val="0"/>
                <w:lang w:val="lv-LV"/>
              </w:rPr>
            </w:pPr>
            <w:r>
              <w:rPr>
                <w:rFonts w:ascii="Times New Roman" w:hAnsi="Times New Roman" w:cs="Times New Roman"/>
                <w:snapToGrid w:val="0"/>
                <w:lang w:val="lv-LV"/>
              </w:rPr>
              <w:t>2020</w:t>
            </w:r>
          </w:p>
        </w:tc>
      </w:tr>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tcPr>
          <w:p w:rsidR="0060722E" w:rsidRPr="00AC16CF" w:rsidRDefault="0060722E">
            <w:pPr>
              <w:jc w:val="both"/>
              <w:rPr>
                <w:snapToGrid w:val="0"/>
                <w:lang w:val="lv-LV"/>
              </w:rPr>
            </w:pPr>
            <w:r w:rsidRPr="00AC16CF">
              <w:rPr>
                <w:rFonts w:ascii="Times New Roman" w:hAnsi="Times New Roman" w:cs="Times New Roman"/>
                <w:snapToGrid w:val="0"/>
                <w:lang w:val="lv-LV"/>
              </w:rPr>
              <w:t xml:space="preserve">Kosmētika (ar dzīvsudraba saturu virs 1 ppm), </w:t>
            </w:r>
            <w:r w:rsidR="00AC16CF" w:rsidRPr="00AC16CF">
              <w:rPr>
                <w:rFonts w:ascii="Times New Roman" w:hAnsi="Times New Roman" w:cs="Times New Roman"/>
                <w:snapToGrid w:val="0"/>
                <w:lang w:val="lv-LV"/>
              </w:rPr>
              <w:t xml:space="preserve">ietverot </w:t>
            </w:r>
            <w:r w:rsidRPr="00AC16CF">
              <w:rPr>
                <w:rFonts w:ascii="Times New Roman" w:hAnsi="Times New Roman" w:cs="Times New Roman"/>
                <w:snapToGrid w:val="0"/>
                <w:lang w:val="lv-LV"/>
              </w:rPr>
              <w:t>ādas balināšan</w:t>
            </w:r>
            <w:r w:rsidR="00AC16CF" w:rsidRPr="00AC16CF">
              <w:rPr>
                <w:rFonts w:ascii="Times New Roman" w:hAnsi="Times New Roman" w:cs="Times New Roman"/>
                <w:snapToGrid w:val="0"/>
                <w:lang w:val="lv-LV"/>
              </w:rPr>
              <w:t>as ziepes un krēmus un neietverot</w:t>
            </w:r>
            <w:r w:rsidRPr="00AC16CF">
              <w:rPr>
                <w:rFonts w:ascii="Times New Roman" w:hAnsi="Times New Roman" w:cs="Times New Roman"/>
                <w:snapToGrid w:val="0"/>
                <w:lang w:val="lv-LV"/>
              </w:rPr>
              <w:t xml:space="preserve"> acu zonas kosmētiku, kurā dzīvsudrabu izmanto kā konservantu, un ja nav pieejami efektīvi un droši konservanti, ar ko </w:t>
            </w:r>
            <w:r w:rsidR="00AC16CF" w:rsidRPr="00AC16CF">
              <w:rPr>
                <w:rFonts w:ascii="Times New Roman" w:hAnsi="Times New Roman" w:cs="Times New Roman"/>
                <w:snapToGrid w:val="0"/>
                <w:lang w:val="lv-LV"/>
              </w:rPr>
              <w:t>tos aizstāt</w:t>
            </w:r>
            <w:r w:rsidR="006937AD">
              <w:rPr>
                <w:rStyle w:val="FootnoteReference"/>
                <w:rFonts w:ascii="Times New Roman" w:hAnsi="Times New Roman" w:cs="Times New Roman"/>
                <w:snapToGrid w:val="0"/>
                <w:lang w:val="lv-LV"/>
              </w:rPr>
              <w:footnoteReference w:customMarkFollows="1" w:id="1"/>
              <w:t>1</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rFonts w:ascii="Times New Roman" w:hAnsi="Times New Roman" w:cs="Times New Roman"/>
                <w:snapToGrid w:val="0"/>
                <w:lang w:val="lv-LV"/>
              </w:rPr>
            </w:pPr>
            <w:r>
              <w:rPr>
                <w:rFonts w:ascii="Times New Roman" w:hAnsi="Times New Roman" w:cs="Times New Roman"/>
                <w:snapToGrid w:val="0"/>
                <w:lang w:val="lv-LV"/>
              </w:rPr>
              <w:t>2020</w:t>
            </w:r>
          </w:p>
        </w:tc>
      </w:tr>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tcPr>
          <w:p w:rsidR="0060722E" w:rsidRPr="00AC16CF" w:rsidRDefault="0060722E">
            <w:pPr>
              <w:jc w:val="both"/>
              <w:rPr>
                <w:snapToGrid w:val="0"/>
                <w:lang w:val="lv-LV"/>
              </w:rPr>
            </w:pPr>
            <w:r w:rsidRPr="00AC16CF">
              <w:rPr>
                <w:rFonts w:ascii="Times New Roman" w:hAnsi="Times New Roman" w:cs="Times New Roman"/>
                <w:snapToGrid w:val="0"/>
                <w:lang w:val="lv-LV"/>
              </w:rPr>
              <w:t>Pes</w:t>
            </w:r>
            <w:r w:rsidR="00B00538">
              <w:rPr>
                <w:rFonts w:ascii="Times New Roman" w:hAnsi="Times New Roman" w:cs="Times New Roman"/>
                <w:snapToGrid w:val="0"/>
                <w:lang w:val="lv-LV"/>
              </w:rPr>
              <w:t>ticīdi, biocīdi un antiseptiski līdzekļi ārīgai</w:t>
            </w:r>
            <w:r w:rsidRPr="00AC16CF">
              <w:rPr>
                <w:rFonts w:ascii="Times New Roman" w:hAnsi="Times New Roman" w:cs="Times New Roman"/>
                <w:snapToGrid w:val="0"/>
                <w:lang w:val="lv-LV"/>
              </w:rPr>
              <w:t xml:space="preserve"> lietošanai</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rFonts w:ascii="Times New Roman" w:hAnsi="Times New Roman" w:cs="Times New Roman"/>
                <w:snapToGrid w:val="0"/>
                <w:lang w:val="lv-LV"/>
              </w:rPr>
            </w:pPr>
            <w:r>
              <w:rPr>
                <w:rFonts w:ascii="Times New Roman" w:hAnsi="Times New Roman" w:cs="Times New Roman"/>
                <w:snapToGrid w:val="0"/>
                <w:lang w:val="lv-LV"/>
              </w:rPr>
              <w:t>2020</w:t>
            </w:r>
          </w:p>
        </w:tc>
      </w:tr>
      <w:tr w:rsidR="0060722E">
        <w:tblPrEx>
          <w:tblCellMar>
            <w:top w:w="0" w:type="dxa"/>
            <w:left w:w="0" w:type="dxa"/>
            <w:bottom w:w="0" w:type="dxa"/>
            <w:right w:w="0" w:type="dxa"/>
          </w:tblCellMar>
        </w:tblPrEx>
        <w:tc>
          <w:tcPr>
            <w:tcW w:w="3768" w:type="pct"/>
            <w:tcBorders>
              <w:top w:val="single" w:sz="4" w:space="0" w:color="auto"/>
              <w:left w:val="single" w:sz="4" w:space="0" w:color="auto"/>
              <w:bottom w:val="single" w:sz="4" w:space="0" w:color="auto"/>
              <w:right w:val="single" w:sz="4" w:space="0" w:color="auto"/>
            </w:tcBorders>
            <w:shd w:val="clear" w:color="auto" w:fill="FFFFFF"/>
          </w:tcPr>
          <w:p w:rsidR="0060722E" w:rsidRPr="00AC16CF" w:rsidRDefault="0060722E">
            <w:pPr>
              <w:jc w:val="both"/>
              <w:rPr>
                <w:rFonts w:ascii="Times New Roman" w:hAnsi="Times New Roman" w:cs="Times New Roman"/>
                <w:snapToGrid w:val="0"/>
                <w:lang w:val="lv-LV"/>
              </w:rPr>
            </w:pPr>
            <w:r w:rsidRPr="00AC16CF">
              <w:rPr>
                <w:rFonts w:ascii="Times New Roman" w:hAnsi="Times New Roman" w:cs="Times New Roman"/>
                <w:snapToGrid w:val="0"/>
                <w:lang w:val="lv-LV"/>
              </w:rPr>
              <w:t>Šādas neelektroniskas mērierīces, izņemot neelektroniskas mērierīces, kas ir uzstādītas lielās iekārtās vai tādās iekārtās, kuras izmanto augstas precizitātes mērījumiem, ja nav pieejamas derīgas alternatīvas, kas nesatur dzīvsudrabu:</w:t>
            </w:r>
          </w:p>
          <w:p w:rsidR="0060722E" w:rsidRPr="00AC16CF" w:rsidRDefault="0060722E">
            <w:pPr>
              <w:jc w:val="both"/>
              <w:rPr>
                <w:rFonts w:ascii="Times New Roman" w:hAnsi="Times New Roman" w:cs="Times New Roman"/>
                <w:snapToGrid w:val="0"/>
                <w:lang w:val="lv-LV"/>
              </w:rPr>
            </w:pPr>
            <w:r w:rsidRPr="00AC16CF">
              <w:rPr>
                <w:rFonts w:ascii="Times New Roman" w:hAnsi="Times New Roman" w:cs="Times New Roman"/>
                <w:snapToGrid w:val="0"/>
                <w:lang w:val="lv-LV"/>
              </w:rPr>
              <w:t>a) barometri;</w:t>
            </w:r>
          </w:p>
          <w:p w:rsidR="0060722E" w:rsidRPr="00AC16CF" w:rsidRDefault="0060722E">
            <w:pPr>
              <w:jc w:val="both"/>
              <w:rPr>
                <w:rFonts w:ascii="Times New Roman" w:hAnsi="Times New Roman" w:cs="Times New Roman"/>
                <w:snapToGrid w:val="0"/>
                <w:lang w:val="lv-LV"/>
              </w:rPr>
            </w:pPr>
            <w:r w:rsidRPr="00AC16CF">
              <w:rPr>
                <w:rFonts w:ascii="Times New Roman" w:hAnsi="Times New Roman" w:cs="Times New Roman"/>
                <w:snapToGrid w:val="0"/>
                <w:lang w:val="lv-LV"/>
              </w:rPr>
              <w:t>b) higrometri;</w:t>
            </w:r>
          </w:p>
          <w:p w:rsidR="0060722E" w:rsidRPr="00AC16CF" w:rsidRDefault="0060722E">
            <w:pPr>
              <w:jc w:val="both"/>
              <w:rPr>
                <w:rFonts w:ascii="Times New Roman" w:hAnsi="Times New Roman" w:cs="Times New Roman"/>
                <w:snapToGrid w:val="0"/>
                <w:lang w:val="lv-LV"/>
              </w:rPr>
            </w:pPr>
            <w:r w:rsidRPr="00AC16CF">
              <w:rPr>
                <w:rFonts w:ascii="Times New Roman" w:hAnsi="Times New Roman" w:cs="Times New Roman"/>
                <w:snapToGrid w:val="0"/>
                <w:lang w:val="lv-LV"/>
              </w:rPr>
              <w:t>c) manometri;</w:t>
            </w:r>
          </w:p>
          <w:p w:rsidR="0060722E" w:rsidRPr="00AC16CF" w:rsidRDefault="0060722E">
            <w:pPr>
              <w:jc w:val="both"/>
              <w:rPr>
                <w:rFonts w:ascii="Times New Roman" w:hAnsi="Times New Roman" w:cs="Times New Roman"/>
                <w:snapToGrid w:val="0"/>
                <w:lang w:val="lv-LV"/>
              </w:rPr>
            </w:pPr>
            <w:r w:rsidRPr="00AC16CF">
              <w:rPr>
                <w:rFonts w:ascii="Times New Roman" w:hAnsi="Times New Roman" w:cs="Times New Roman"/>
                <w:snapToGrid w:val="0"/>
                <w:lang w:val="lv-LV"/>
              </w:rPr>
              <w:t>d) termometri;</w:t>
            </w:r>
          </w:p>
          <w:p w:rsidR="0060722E" w:rsidRPr="00AC16CF" w:rsidRDefault="0060722E">
            <w:pPr>
              <w:jc w:val="both"/>
              <w:rPr>
                <w:snapToGrid w:val="0"/>
                <w:lang w:val="lv-LV"/>
              </w:rPr>
            </w:pPr>
            <w:r w:rsidRPr="00AC16CF">
              <w:rPr>
                <w:rFonts w:ascii="Times New Roman" w:hAnsi="Times New Roman" w:cs="Times New Roman"/>
                <w:snapToGrid w:val="0"/>
                <w:lang w:val="lv-LV"/>
              </w:rPr>
              <w:t>e) sfigmomanometri</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rFonts w:ascii="Times New Roman" w:hAnsi="Times New Roman" w:cs="Times New Roman"/>
                <w:snapToGrid w:val="0"/>
                <w:lang w:val="lv-LV"/>
              </w:rPr>
            </w:pPr>
            <w:r w:rsidRPr="00AC16CF">
              <w:rPr>
                <w:rFonts w:ascii="Times New Roman" w:hAnsi="Times New Roman" w:cs="Times New Roman"/>
                <w:snapToGrid w:val="0"/>
                <w:lang w:val="lv-LV"/>
              </w:rPr>
              <w:t>2020</w:t>
            </w:r>
          </w:p>
        </w:tc>
      </w:tr>
    </w:tbl>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b/>
          <w:bCs/>
          <w:snapToGrid w:val="0"/>
          <w:sz w:val="28"/>
          <w:szCs w:val="28"/>
          <w:lang w:val="lv-LV"/>
        </w:rPr>
      </w:pPr>
      <w:bookmarkStart w:id="46" w:name="bookmark46"/>
      <w:r>
        <w:rPr>
          <w:rFonts w:ascii="Times New Roman" w:hAnsi="Times New Roman" w:cs="Times New Roman"/>
          <w:b/>
          <w:bCs/>
          <w:snapToGrid w:val="0"/>
          <w:sz w:val="28"/>
          <w:szCs w:val="28"/>
          <w:lang w:val="lv-LV"/>
        </w:rPr>
        <w:br w:type="page"/>
      </w:r>
      <w:r>
        <w:rPr>
          <w:rFonts w:ascii="Times New Roman" w:hAnsi="Times New Roman" w:cs="Times New Roman"/>
          <w:b/>
          <w:bCs/>
          <w:snapToGrid w:val="0"/>
          <w:sz w:val="28"/>
          <w:szCs w:val="28"/>
          <w:lang w:val="lv-LV"/>
        </w:rPr>
        <w:lastRenderedPageBreak/>
        <w:t>II daļa. Izstrādājumi, kuriem piemēro 4. panta 3. punktu</w:t>
      </w:r>
    </w:p>
    <w:bookmarkEnd w:id="46"/>
    <w:p w:rsidR="0060722E" w:rsidRDefault="0060722E">
      <w:pPr>
        <w:jc w:val="both"/>
        <w:rPr>
          <w:rFonts w:ascii="Times New Roman" w:hAnsi="Times New Roman" w:cs="Times New Roman"/>
          <w:snapToGrid w:val="0"/>
          <w:lang w:val="lv-LV"/>
        </w:rPr>
      </w:pPr>
    </w:p>
    <w:tbl>
      <w:tblPr>
        <w:tblW w:w="5000" w:type="pct"/>
        <w:tblLayout w:type="fixed"/>
        <w:tblCellMar>
          <w:left w:w="0" w:type="dxa"/>
          <w:right w:w="0" w:type="dxa"/>
        </w:tblCellMar>
        <w:tblLook w:val="0000"/>
      </w:tblPr>
      <w:tblGrid>
        <w:gridCol w:w="2678"/>
        <w:gridCol w:w="6406"/>
      </w:tblGrid>
      <w:tr w:rsidR="0060722E">
        <w:tblPrEx>
          <w:tblCellMar>
            <w:top w:w="0" w:type="dxa"/>
            <w:left w:w="0" w:type="dxa"/>
            <w:bottom w:w="0" w:type="dxa"/>
            <w:right w:w="0" w:type="dxa"/>
          </w:tblCellMar>
        </w:tblPrEx>
        <w:tc>
          <w:tcPr>
            <w:tcW w:w="1474"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snapToGrid w:val="0"/>
                <w:lang w:val="lv-LV"/>
              </w:rPr>
            </w:pPr>
            <w:r>
              <w:rPr>
                <w:rFonts w:ascii="Times New Roman" w:hAnsi="Times New Roman" w:cs="Times New Roman"/>
                <w:b/>
                <w:bCs/>
                <w:snapToGrid w:val="0"/>
                <w:lang w:val="lv-LV"/>
              </w:rPr>
              <w:t>Dzīvsudrabu saturoši izstrādājumi</w:t>
            </w:r>
          </w:p>
        </w:tc>
        <w:tc>
          <w:tcPr>
            <w:tcW w:w="3526"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center"/>
              <w:rPr>
                <w:rFonts w:ascii="Times New Roman" w:hAnsi="Times New Roman" w:cs="Times New Roman"/>
                <w:b/>
                <w:bCs/>
                <w:snapToGrid w:val="0"/>
                <w:lang w:val="lv-LV"/>
              </w:rPr>
            </w:pPr>
            <w:r>
              <w:rPr>
                <w:rFonts w:ascii="Times New Roman" w:hAnsi="Times New Roman" w:cs="Times New Roman"/>
                <w:b/>
                <w:bCs/>
                <w:snapToGrid w:val="0"/>
                <w:lang w:val="lv-LV"/>
              </w:rPr>
              <w:t>Noteikumi</w:t>
            </w:r>
          </w:p>
          <w:p w:rsidR="0060722E" w:rsidRDefault="0060722E">
            <w:pPr>
              <w:jc w:val="center"/>
              <w:rPr>
                <w:rFonts w:ascii="Times New Roman" w:hAnsi="Times New Roman" w:cs="Times New Roman"/>
                <w:b/>
                <w:bCs/>
                <w:snapToGrid w:val="0"/>
                <w:lang w:val="lv-LV"/>
              </w:rPr>
            </w:pPr>
          </w:p>
        </w:tc>
      </w:tr>
      <w:tr w:rsidR="00792673">
        <w:tblPrEx>
          <w:tblCellMar>
            <w:top w:w="0" w:type="dxa"/>
            <w:left w:w="0" w:type="dxa"/>
            <w:bottom w:w="0" w:type="dxa"/>
            <w:right w:w="0" w:type="dxa"/>
          </w:tblCellMar>
        </w:tblPrEx>
        <w:tc>
          <w:tcPr>
            <w:tcW w:w="1474"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snapToGrid w:val="0"/>
                <w:lang w:val="lv-LV"/>
              </w:rPr>
            </w:pPr>
            <w:r>
              <w:rPr>
                <w:rFonts w:ascii="Times New Roman" w:hAnsi="Times New Roman" w:cs="Times New Roman"/>
                <w:snapToGrid w:val="0"/>
                <w:lang w:val="lv-LV"/>
              </w:rPr>
              <w:t>Zobārstniecības amalgama</w:t>
            </w:r>
          </w:p>
        </w:tc>
        <w:tc>
          <w:tcPr>
            <w:tcW w:w="3526"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Izvēloties pasākumus, ko puse veic, lai pārtrauktu izmantot zobārstniecības amalgamu, tiek ņemti vērā attiecīgās puses </w:t>
            </w:r>
            <w:r w:rsidR="0013504E">
              <w:rPr>
                <w:rFonts w:ascii="Times New Roman" w:hAnsi="Times New Roman" w:cs="Times New Roman"/>
                <w:snapToGrid w:val="0"/>
                <w:lang w:val="lv-LV"/>
              </w:rPr>
              <w:t xml:space="preserve">valsts līmeņa </w:t>
            </w:r>
            <w:r w:rsidR="0094090C">
              <w:rPr>
                <w:rFonts w:ascii="Times New Roman" w:hAnsi="Times New Roman" w:cs="Times New Roman"/>
                <w:snapToGrid w:val="0"/>
                <w:lang w:val="lv-LV"/>
              </w:rPr>
              <w:t>apstākļi un atbilstošie starptautiskie norādījumi</w:t>
            </w:r>
            <w:r>
              <w:rPr>
                <w:rFonts w:ascii="Times New Roman" w:hAnsi="Times New Roman" w:cs="Times New Roman"/>
                <w:snapToGrid w:val="0"/>
                <w:lang w:val="lv-LV"/>
              </w:rPr>
              <w:t xml:space="preserve">, </w:t>
            </w:r>
            <w:r w:rsidR="005D1FF6">
              <w:rPr>
                <w:rFonts w:ascii="Times New Roman" w:hAnsi="Times New Roman" w:cs="Times New Roman"/>
                <w:snapToGrid w:val="0"/>
                <w:lang w:val="lv-LV"/>
              </w:rPr>
              <w:t>un tie ietver divus vai vairāk</w:t>
            </w:r>
            <w:r>
              <w:rPr>
                <w:rFonts w:ascii="Times New Roman" w:hAnsi="Times New Roman" w:cs="Times New Roman"/>
                <w:snapToGrid w:val="0"/>
                <w:lang w:val="lv-LV"/>
              </w:rPr>
              <w:t xml:space="preserve"> no turpmāk minētajiem pasākumiem:</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i) valsts mērķu </w:t>
            </w:r>
            <w:r w:rsidR="005D1FF6">
              <w:rPr>
                <w:rFonts w:ascii="Times New Roman" w:hAnsi="Times New Roman" w:cs="Times New Roman"/>
                <w:snapToGrid w:val="0"/>
                <w:lang w:val="lv-LV"/>
              </w:rPr>
              <w:t>izvirz</w:t>
            </w:r>
            <w:r>
              <w:rPr>
                <w:rFonts w:ascii="Times New Roman" w:hAnsi="Times New Roman" w:cs="Times New Roman"/>
                <w:snapToGrid w:val="0"/>
                <w:lang w:val="lv-LV"/>
              </w:rPr>
              <w:t>īšana, kas paredz kariesa novēršanu un veselības veicināšanu, tādējādi pēc iespējas samazinot zobu restaurācijas nepieciešamību;</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ii) valsts mērķu </w:t>
            </w:r>
            <w:r w:rsidR="005D1FF6">
              <w:rPr>
                <w:rFonts w:ascii="Times New Roman" w:hAnsi="Times New Roman" w:cs="Times New Roman"/>
                <w:snapToGrid w:val="0"/>
                <w:lang w:val="lv-LV"/>
              </w:rPr>
              <w:t>izvirz</w:t>
            </w:r>
            <w:r>
              <w:rPr>
                <w:rFonts w:ascii="Times New Roman" w:hAnsi="Times New Roman" w:cs="Times New Roman"/>
                <w:snapToGrid w:val="0"/>
                <w:lang w:val="lv-LV"/>
              </w:rPr>
              <w:t>īšana, kas paredz pēc iespējas samazināt tās lietošanu;</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iii) </w:t>
            </w:r>
            <w:r w:rsidR="005D1FF6">
              <w:rPr>
                <w:rFonts w:ascii="Times New Roman" w:hAnsi="Times New Roman" w:cs="Times New Roman"/>
                <w:snapToGrid w:val="0"/>
                <w:lang w:val="lv-LV"/>
              </w:rPr>
              <w:t xml:space="preserve">tādu </w:t>
            </w:r>
            <w:r>
              <w:rPr>
                <w:rFonts w:ascii="Times New Roman" w:hAnsi="Times New Roman" w:cs="Times New Roman"/>
                <w:snapToGrid w:val="0"/>
                <w:lang w:val="lv-LV"/>
              </w:rPr>
              <w:t>rentablu un klīniski efektīvu zobu restaurācijai paredzētu alternatīvu</w:t>
            </w:r>
            <w:r w:rsidR="005D1FF6">
              <w:rPr>
                <w:rFonts w:ascii="Times New Roman" w:hAnsi="Times New Roman" w:cs="Times New Roman"/>
                <w:snapToGrid w:val="0"/>
                <w:lang w:val="lv-LV"/>
              </w:rPr>
              <w:t xml:space="preserve"> izmantošanas veicināšana, kas nesatur dzīvsudrabu</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iv) </w:t>
            </w:r>
            <w:r w:rsidR="005D1FF6">
              <w:rPr>
                <w:rFonts w:ascii="Times New Roman" w:hAnsi="Times New Roman" w:cs="Times New Roman"/>
                <w:snapToGrid w:val="0"/>
                <w:lang w:val="lv-LV"/>
              </w:rPr>
              <w:t xml:space="preserve">tādu </w:t>
            </w:r>
            <w:r>
              <w:rPr>
                <w:rFonts w:ascii="Times New Roman" w:hAnsi="Times New Roman" w:cs="Times New Roman"/>
                <w:snapToGrid w:val="0"/>
                <w:lang w:val="lv-LV"/>
              </w:rPr>
              <w:t>kvalitatīvu zobu restaurācijas materiālu</w:t>
            </w:r>
            <w:r w:rsidR="005D1FF6">
              <w:rPr>
                <w:rFonts w:ascii="Times New Roman" w:hAnsi="Times New Roman" w:cs="Times New Roman"/>
                <w:snapToGrid w:val="0"/>
                <w:lang w:val="lv-LV"/>
              </w:rPr>
              <w:t xml:space="preserve"> pētniecības un izstrādes veicināšana</w:t>
            </w:r>
            <w:r>
              <w:rPr>
                <w:rFonts w:ascii="Times New Roman" w:hAnsi="Times New Roman" w:cs="Times New Roman"/>
                <w:snapToGrid w:val="0"/>
                <w:lang w:val="lv-LV"/>
              </w:rPr>
              <w:t>, kuri nesatur dzīvsudra</w:t>
            </w:r>
            <w:r w:rsidR="005D1FF6">
              <w:rPr>
                <w:rFonts w:ascii="Times New Roman" w:hAnsi="Times New Roman" w:cs="Times New Roman"/>
                <w:snapToGrid w:val="0"/>
                <w:lang w:val="lv-LV"/>
              </w:rPr>
              <w:t>bu</w:t>
            </w:r>
            <w:r>
              <w:rPr>
                <w:rFonts w:ascii="Times New Roman" w:hAnsi="Times New Roman" w:cs="Times New Roman"/>
                <w:snapToGrid w:val="0"/>
                <w:lang w:val="lv-LV"/>
              </w:rPr>
              <w:t>;</w:t>
            </w:r>
          </w:p>
          <w:p w:rsidR="006937AD"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v) </w:t>
            </w:r>
            <w:r w:rsidR="005D1FF6">
              <w:rPr>
                <w:rFonts w:ascii="Times New Roman" w:hAnsi="Times New Roman" w:cs="Times New Roman"/>
                <w:snapToGrid w:val="0"/>
                <w:lang w:val="lv-LV"/>
              </w:rPr>
              <w:t>reprezentatīvu profesionālo organizāciju un zobārstniecības skolu mudināšana izglītot</w:t>
            </w:r>
            <w:r>
              <w:rPr>
                <w:rFonts w:ascii="Times New Roman" w:hAnsi="Times New Roman" w:cs="Times New Roman"/>
                <w:snapToGrid w:val="0"/>
                <w:lang w:val="lv-LV"/>
              </w:rPr>
              <w:t xml:space="preserve"> un apmācīt zobārstniecības speciālistus un studentus </w:t>
            </w:r>
            <w:r w:rsidR="005D1FF6">
              <w:rPr>
                <w:rFonts w:ascii="Times New Roman" w:hAnsi="Times New Roman" w:cs="Times New Roman"/>
                <w:snapToGrid w:val="0"/>
                <w:lang w:val="lv-LV"/>
              </w:rPr>
              <w:t xml:space="preserve">izmantot </w:t>
            </w:r>
            <w:r>
              <w:rPr>
                <w:rFonts w:ascii="Times New Roman" w:hAnsi="Times New Roman" w:cs="Times New Roman"/>
                <w:snapToGrid w:val="0"/>
                <w:lang w:val="lv-LV"/>
              </w:rPr>
              <w:t>alternatīvu</w:t>
            </w:r>
            <w:r w:rsidR="005D1FF6">
              <w:rPr>
                <w:rFonts w:ascii="Times New Roman" w:hAnsi="Times New Roman" w:cs="Times New Roman"/>
                <w:snapToGrid w:val="0"/>
                <w:lang w:val="lv-LV"/>
              </w:rPr>
              <w:t>s</w:t>
            </w:r>
            <w:r>
              <w:rPr>
                <w:rFonts w:ascii="Times New Roman" w:hAnsi="Times New Roman" w:cs="Times New Roman"/>
                <w:snapToGrid w:val="0"/>
                <w:lang w:val="lv-LV"/>
              </w:rPr>
              <w:t xml:space="preserve"> zobu restaurācijas materiālu</w:t>
            </w:r>
            <w:r w:rsidR="005D1FF6">
              <w:rPr>
                <w:rFonts w:ascii="Times New Roman" w:hAnsi="Times New Roman" w:cs="Times New Roman"/>
                <w:snapToGrid w:val="0"/>
                <w:lang w:val="lv-LV"/>
              </w:rPr>
              <w:t>s, kuri</w:t>
            </w:r>
            <w:r>
              <w:rPr>
                <w:rFonts w:ascii="Times New Roman" w:hAnsi="Times New Roman" w:cs="Times New Roman"/>
                <w:snapToGrid w:val="0"/>
                <w:lang w:val="lv-LV"/>
              </w:rPr>
              <w:t xml:space="preserve"> nesatur dzīvsudrabu, un </w:t>
            </w:r>
            <w:r w:rsidR="005D1FF6">
              <w:rPr>
                <w:rFonts w:ascii="Times New Roman" w:hAnsi="Times New Roman" w:cs="Times New Roman"/>
                <w:snapToGrid w:val="0"/>
                <w:lang w:val="lv-LV"/>
              </w:rPr>
              <w:t>sekmēt labāko</w:t>
            </w:r>
            <w:r>
              <w:rPr>
                <w:rFonts w:ascii="Times New Roman" w:hAnsi="Times New Roman" w:cs="Times New Roman"/>
                <w:snapToGrid w:val="0"/>
                <w:lang w:val="lv-LV"/>
              </w:rPr>
              <w:t xml:space="preserve"> pārvaldības praks</w:t>
            </w:r>
            <w:r w:rsidR="005D1FF6">
              <w:rPr>
                <w:rFonts w:ascii="Times New Roman" w:hAnsi="Times New Roman" w:cs="Times New Roman"/>
                <w:snapToGrid w:val="0"/>
                <w:lang w:val="lv-LV"/>
              </w:rPr>
              <w:t>i;</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vi) tādu apdrošināšanas polišu un programmu </w:t>
            </w:r>
            <w:r w:rsidRPr="005D1FF6">
              <w:rPr>
                <w:rFonts w:ascii="Times New Roman" w:hAnsi="Times New Roman" w:cs="Times New Roman"/>
                <w:snapToGrid w:val="0"/>
                <w:lang w:val="lv-LV"/>
              </w:rPr>
              <w:t>ne</w:t>
            </w:r>
            <w:r w:rsidR="005D1FF6" w:rsidRPr="005D1FF6">
              <w:rPr>
                <w:rFonts w:ascii="Times New Roman" w:hAnsi="Times New Roman" w:cs="Times New Roman"/>
                <w:snapToGrid w:val="0"/>
                <w:lang w:val="lv-LV"/>
              </w:rPr>
              <w:t>ieteik</w:t>
            </w:r>
            <w:r w:rsidRPr="005D1FF6">
              <w:rPr>
                <w:rFonts w:ascii="Times New Roman" w:hAnsi="Times New Roman" w:cs="Times New Roman"/>
                <w:snapToGrid w:val="0"/>
                <w:lang w:val="lv-LV"/>
              </w:rPr>
              <w:t>šana, kurās dota priekšroka zobārstniecības amalgamai, nevis zobu restaurācijas materiāliem, kas nesatur dzīvsudrabu;</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vii) </w:t>
            </w:r>
            <w:r w:rsidR="005D1FF6">
              <w:rPr>
                <w:rFonts w:ascii="Times New Roman" w:hAnsi="Times New Roman" w:cs="Times New Roman"/>
                <w:snapToGrid w:val="0"/>
                <w:lang w:val="lv-LV"/>
              </w:rPr>
              <w:t>atbalsts tādām apdrošināšanas polisēm</w:t>
            </w:r>
            <w:r>
              <w:rPr>
                <w:rFonts w:ascii="Times New Roman" w:hAnsi="Times New Roman" w:cs="Times New Roman"/>
                <w:snapToGrid w:val="0"/>
                <w:lang w:val="lv-LV"/>
              </w:rPr>
              <w:t xml:space="preserve"> un programm</w:t>
            </w:r>
            <w:r w:rsidR="005D1FF6">
              <w:rPr>
                <w:rFonts w:ascii="Times New Roman" w:hAnsi="Times New Roman" w:cs="Times New Roman"/>
                <w:snapToGrid w:val="0"/>
                <w:lang w:val="lv-LV"/>
              </w:rPr>
              <w:t>ām,</w:t>
            </w:r>
            <w:r>
              <w:rPr>
                <w:rFonts w:ascii="Times New Roman" w:hAnsi="Times New Roman" w:cs="Times New Roman"/>
                <w:snapToGrid w:val="0"/>
                <w:lang w:val="lv-LV"/>
              </w:rPr>
              <w:t xml:space="preserve"> kurās dota priekšroka kvalitatīvām zobu restaurācijas alternatīvām, nevis zobārstniecības amalgamai;</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viii) atļaut izmantot zobārstniecības amalgamu tikai kapsulās;</w:t>
            </w:r>
          </w:p>
          <w:p w:rsidR="0060722E" w:rsidRDefault="0060722E">
            <w:pPr>
              <w:jc w:val="both"/>
              <w:rPr>
                <w:snapToGrid w:val="0"/>
                <w:lang w:val="lv-LV"/>
              </w:rPr>
            </w:pPr>
            <w:r>
              <w:rPr>
                <w:rFonts w:ascii="Times New Roman" w:hAnsi="Times New Roman" w:cs="Times New Roman"/>
                <w:snapToGrid w:val="0"/>
                <w:lang w:val="lv-LV"/>
              </w:rPr>
              <w:t xml:space="preserve">ix) labākās </w:t>
            </w:r>
            <w:r w:rsidR="00AC7453">
              <w:rPr>
                <w:rFonts w:ascii="Times New Roman" w:hAnsi="Times New Roman" w:cs="Times New Roman"/>
                <w:snapToGrid w:val="0"/>
                <w:lang w:val="lv-LV"/>
              </w:rPr>
              <w:t>vide</w:t>
            </w:r>
            <w:r>
              <w:rPr>
                <w:rFonts w:ascii="Times New Roman" w:hAnsi="Times New Roman" w:cs="Times New Roman"/>
                <w:snapToGrid w:val="0"/>
                <w:lang w:val="lv-LV"/>
              </w:rPr>
              <w:t>s prakses veicināšana zobārstniecības iestādēs, lai samazinātu dzīvsudraba un dzīvsudraba savi</w:t>
            </w:r>
            <w:r w:rsidR="00E5063F">
              <w:rPr>
                <w:rFonts w:ascii="Times New Roman" w:hAnsi="Times New Roman" w:cs="Times New Roman"/>
                <w:snapToGrid w:val="0"/>
                <w:lang w:val="lv-LV"/>
              </w:rPr>
              <w:t xml:space="preserve">enojumu noplūdi ūdenī un uz </w:t>
            </w:r>
            <w:r>
              <w:rPr>
                <w:rFonts w:ascii="Times New Roman" w:hAnsi="Times New Roman" w:cs="Times New Roman"/>
                <w:snapToGrid w:val="0"/>
                <w:lang w:val="lv-LV"/>
              </w:rPr>
              <w:t>zemes</w:t>
            </w:r>
          </w:p>
        </w:tc>
      </w:tr>
    </w:tbl>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sz w:val="28"/>
          <w:szCs w:val="28"/>
          <w:lang w:val="lv-LV"/>
        </w:rPr>
      </w:pPr>
      <w:r>
        <w:rPr>
          <w:rFonts w:ascii="Times New Roman" w:hAnsi="Times New Roman" w:cs="Times New Roman"/>
          <w:snapToGrid w:val="0"/>
          <w:lang w:val="lv-LV"/>
        </w:rPr>
        <w:br w:type="page"/>
      </w:r>
      <w:r>
        <w:rPr>
          <w:rFonts w:ascii="Times New Roman" w:hAnsi="Times New Roman" w:cs="Times New Roman"/>
          <w:b/>
          <w:bCs/>
          <w:snapToGrid w:val="0"/>
          <w:sz w:val="28"/>
          <w:szCs w:val="28"/>
          <w:lang w:val="lv-LV"/>
        </w:rPr>
        <w:lastRenderedPageBreak/>
        <w:t>B pielikums</w:t>
      </w:r>
    </w:p>
    <w:p w:rsidR="0060722E" w:rsidRDefault="0060722E">
      <w:pPr>
        <w:jc w:val="both"/>
        <w:rPr>
          <w:rFonts w:ascii="Times New Roman" w:hAnsi="Times New Roman" w:cs="Times New Roman"/>
          <w:b/>
          <w:bCs/>
          <w:snapToGrid w:val="0"/>
          <w:sz w:val="28"/>
          <w:szCs w:val="28"/>
          <w:lang w:val="lv-LV"/>
        </w:rPr>
      </w:pPr>
    </w:p>
    <w:p w:rsidR="0060722E" w:rsidRDefault="0060722E">
      <w:pPr>
        <w:jc w:val="both"/>
        <w:rPr>
          <w:rFonts w:ascii="Times New Roman" w:hAnsi="Times New Roman" w:cs="Times New Roman"/>
          <w:b/>
          <w:bCs/>
          <w:snapToGrid w:val="0"/>
          <w:sz w:val="28"/>
          <w:szCs w:val="28"/>
          <w:lang w:val="lv-LV"/>
        </w:rPr>
      </w:pPr>
      <w:bookmarkStart w:id="47" w:name="bookmark47"/>
      <w:r>
        <w:rPr>
          <w:rFonts w:ascii="Times New Roman" w:hAnsi="Times New Roman" w:cs="Times New Roman"/>
          <w:b/>
          <w:bCs/>
          <w:snapToGrid w:val="0"/>
          <w:sz w:val="28"/>
          <w:szCs w:val="28"/>
          <w:lang w:val="lv-LV"/>
        </w:rPr>
        <w:t>Ražošanas procesi, kuros izmanto dzīvsudrabu vai dzīvsudraba savienojumus</w:t>
      </w:r>
    </w:p>
    <w:bookmarkEnd w:id="47"/>
    <w:p w:rsidR="0060722E" w:rsidRDefault="0060722E">
      <w:pPr>
        <w:jc w:val="both"/>
        <w:rPr>
          <w:rFonts w:ascii="Times New Roman" w:hAnsi="Times New Roman" w:cs="Times New Roman"/>
          <w:b/>
          <w:bCs/>
          <w:snapToGrid w:val="0"/>
          <w:lang w:val="lv-LV"/>
        </w:rPr>
      </w:pPr>
    </w:p>
    <w:p w:rsidR="006937AD"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I daļa. Procesi, kuriem piemēro 5. panta 2. punktu</w:t>
      </w:r>
    </w:p>
    <w:p w:rsidR="0060722E" w:rsidRDefault="0060722E">
      <w:pPr>
        <w:jc w:val="both"/>
        <w:rPr>
          <w:rFonts w:ascii="Times New Roman" w:hAnsi="Times New Roman" w:cs="Times New Roman"/>
          <w:snapToGrid w:val="0"/>
          <w:lang w:val="lv-LV"/>
        </w:rPr>
      </w:pPr>
    </w:p>
    <w:tbl>
      <w:tblPr>
        <w:tblW w:w="5000" w:type="pct"/>
        <w:tblLayout w:type="fixed"/>
        <w:tblCellMar>
          <w:left w:w="0" w:type="dxa"/>
          <w:right w:w="0" w:type="dxa"/>
        </w:tblCellMar>
        <w:tblLook w:val="0000"/>
      </w:tblPr>
      <w:tblGrid>
        <w:gridCol w:w="7198"/>
        <w:gridCol w:w="1886"/>
      </w:tblGrid>
      <w:tr w:rsidR="0060722E">
        <w:tblPrEx>
          <w:tblCellMar>
            <w:top w:w="0" w:type="dxa"/>
            <w:left w:w="0" w:type="dxa"/>
            <w:bottom w:w="0" w:type="dxa"/>
            <w:right w:w="0" w:type="dxa"/>
          </w:tblCellMar>
        </w:tblPrEx>
        <w:tc>
          <w:tcPr>
            <w:tcW w:w="396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snapToGrid w:val="0"/>
                <w:lang w:val="lv-LV"/>
              </w:rPr>
            </w:pPr>
            <w:r>
              <w:rPr>
                <w:rFonts w:ascii="Times New Roman" w:hAnsi="Times New Roman" w:cs="Times New Roman"/>
                <w:b/>
                <w:bCs/>
                <w:snapToGrid w:val="0"/>
                <w:lang w:val="lv-LV"/>
              </w:rPr>
              <w:t>Ražošanas procesi, kuros izmanto dzīvsudrabu vai dzīvsudraba savienojumus</w:t>
            </w:r>
          </w:p>
        </w:tc>
        <w:tc>
          <w:tcPr>
            <w:tcW w:w="1038"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snapToGrid w:val="0"/>
                <w:lang w:val="lv-LV"/>
              </w:rPr>
            </w:pPr>
            <w:r>
              <w:rPr>
                <w:rFonts w:ascii="Times New Roman" w:hAnsi="Times New Roman" w:cs="Times New Roman"/>
                <w:b/>
                <w:bCs/>
                <w:snapToGrid w:val="0"/>
                <w:lang w:val="lv-LV"/>
              </w:rPr>
              <w:t>Pārtraukšanas datums</w:t>
            </w:r>
          </w:p>
        </w:tc>
      </w:tr>
      <w:tr w:rsidR="0060722E">
        <w:tblPrEx>
          <w:tblCellMar>
            <w:top w:w="0" w:type="dxa"/>
            <w:left w:w="0" w:type="dxa"/>
            <w:bottom w:w="0" w:type="dxa"/>
            <w:right w:w="0" w:type="dxa"/>
          </w:tblCellMar>
        </w:tblPrEx>
        <w:tc>
          <w:tcPr>
            <w:tcW w:w="3962"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Hlora–sārmu ražošanas process</w:t>
            </w:r>
          </w:p>
          <w:p w:rsidR="0060722E" w:rsidRDefault="0060722E">
            <w:pPr>
              <w:jc w:val="both"/>
              <w:rPr>
                <w:rFonts w:ascii="Times New Roman" w:hAnsi="Times New Roman" w:cs="Times New Roman"/>
                <w:snapToGrid w:val="0"/>
                <w:lang w:val="lv-LV"/>
              </w:rPr>
            </w:pPr>
          </w:p>
        </w:tc>
        <w:tc>
          <w:tcPr>
            <w:tcW w:w="1038"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2025.</w:t>
            </w:r>
          </w:p>
        </w:tc>
      </w:tr>
      <w:tr w:rsidR="0060722E">
        <w:tblPrEx>
          <w:tblCellMar>
            <w:top w:w="0" w:type="dxa"/>
            <w:left w:w="0" w:type="dxa"/>
            <w:bottom w:w="0" w:type="dxa"/>
            <w:right w:w="0" w:type="dxa"/>
          </w:tblCellMar>
        </w:tblPrEx>
        <w:tc>
          <w:tcPr>
            <w:tcW w:w="3962" w:type="pct"/>
            <w:tcBorders>
              <w:top w:val="single" w:sz="4" w:space="0" w:color="auto"/>
              <w:left w:val="single" w:sz="4" w:space="0" w:color="auto"/>
              <w:bottom w:val="single" w:sz="4" w:space="0" w:color="auto"/>
              <w:right w:val="single" w:sz="4" w:space="0" w:color="auto"/>
            </w:tcBorders>
            <w:shd w:val="clear" w:color="auto" w:fill="FFFFFF"/>
          </w:tcPr>
          <w:p w:rsidR="006937AD"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Acetaldehī</w:t>
            </w:r>
            <w:r w:rsidR="00C82FDE">
              <w:rPr>
                <w:rFonts w:ascii="Times New Roman" w:hAnsi="Times New Roman" w:cs="Times New Roman"/>
                <w:snapToGrid w:val="0"/>
                <w:lang w:val="lv-LV"/>
              </w:rPr>
              <w:t>da ražošana, kurā par katalizatoru izmanto dzīvsudrabu vai dzīvsudraba savienojumus</w:t>
            </w:r>
          </w:p>
          <w:p w:rsidR="0060722E" w:rsidRDefault="0060722E">
            <w:pPr>
              <w:jc w:val="both"/>
              <w:rPr>
                <w:rFonts w:ascii="Times New Roman" w:hAnsi="Times New Roman" w:cs="Times New Roman"/>
                <w:snapToGrid w:val="0"/>
                <w:lang w:val="lv-LV"/>
              </w:rPr>
            </w:pPr>
          </w:p>
        </w:tc>
        <w:tc>
          <w:tcPr>
            <w:tcW w:w="1038"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2018.</w:t>
            </w:r>
          </w:p>
        </w:tc>
      </w:tr>
    </w:tbl>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p w:rsidR="006937AD" w:rsidRDefault="0060722E">
      <w:pPr>
        <w:jc w:val="both"/>
        <w:rPr>
          <w:rFonts w:ascii="Times New Roman" w:hAnsi="Times New Roman" w:cs="Times New Roman"/>
          <w:b/>
          <w:bCs/>
          <w:snapToGrid w:val="0"/>
          <w:lang w:val="lv-LV"/>
        </w:rPr>
      </w:pPr>
      <w:bookmarkStart w:id="48" w:name="bookmark48"/>
      <w:r>
        <w:rPr>
          <w:rFonts w:ascii="Times New Roman" w:hAnsi="Times New Roman" w:cs="Times New Roman"/>
          <w:snapToGrid w:val="0"/>
          <w:lang w:val="lv-LV"/>
        </w:rPr>
        <w:br w:type="page"/>
      </w:r>
      <w:r>
        <w:rPr>
          <w:rFonts w:ascii="Times New Roman" w:hAnsi="Times New Roman" w:cs="Times New Roman"/>
          <w:b/>
          <w:bCs/>
          <w:snapToGrid w:val="0"/>
          <w:lang w:val="lv-LV"/>
        </w:rPr>
        <w:lastRenderedPageBreak/>
        <w:t>II daļa. Procesi, kuriem piemēro 5. panta 3. punktu</w:t>
      </w:r>
    </w:p>
    <w:bookmarkEnd w:id="48"/>
    <w:p w:rsidR="0060722E" w:rsidRDefault="0060722E">
      <w:pPr>
        <w:jc w:val="both"/>
        <w:rPr>
          <w:rFonts w:ascii="Times New Roman" w:hAnsi="Times New Roman" w:cs="Times New Roman"/>
          <w:snapToGrid w:val="0"/>
          <w:lang w:val="lv-LV"/>
        </w:rPr>
      </w:pPr>
    </w:p>
    <w:tbl>
      <w:tblPr>
        <w:tblW w:w="5000" w:type="pct"/>
        <w:tblLayout w:type="fixed"/>
        <w:tblCellMar>
          <w:left w:w="0" w:type="dxa"/>
          <w:right w:w="0" w:type="dxa"/>
        </w:tblCellMar>
        <w:tblLook w:val="0000"/>
      </w:tblPr>
      <w:tblGrid>
        <w:gridCol w:w="3450"/>
        <w:gridCol w:w="5634"/>
      </w:tblGrid>
      <w:tr w:rsidR="0060722E">
        <w:tblPrEx>
          <w:tblCellMar>
            <w:top w:w="0" w:type="dxa"/>
            <w:left w:w="0" w:type="dxa"/>
            <w:bottom w:w="0" w:type="dxa"/>
            <w:right w:w="0" w:type="dxa"/>
          </w:tblCellMar>
        </w:tblPrEx>
        <w:tc>
          <w:tcPr>
            <w:tcW w:w="1899"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snapToGrid w:val="0"/>
                <w:lang w:val="lv-LV"/>
              </w:rPr>
            </w:pPr>
            <w:r>
              <w:rPr>
                <w:rFonts w:ascii="Times New Roman" w:hAnsi="Times New Roman" w:cs="Times New Roman"/>
                <w:b/>
                <w:bCs/>
                <w:snapToGrid w:val="0"/>
                <w:lang w:val="lv-LV"/>
              </w:rPr>
              <w:t>Process, kurā izmanto dzīvsudrabu</w:t>
            </w:r>
          </w:p>
        </w:tc>
        <w:tc>
          <w:tcPr>
            <w:tcW w:w="3101"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Noteikumi</w:t>
            </w:r>
          </w:p>
          <w:p w:rsidR="0060722E" w:rsidRDefault="0060722E">
            <w:pPr>
              <w:jc w:val="both"/>
              <w:rPr>
                <w:rFonts w:ascii="Times New Roman" w:hAnsi="Times New Roman" w:cs="Times New Roman"/>
                <w:b/>
                <w:bCs/>
                <w:snapToGrid w:val="0"/>
                <w:lang w:val="lv-LV"/>
              </w:rPr>
            </w:pPr>
          </w:p>
        </w:tc>
      </w:tr>
      <w:tr w:rsidR="0060722E">
        <w:tblPrEx>
          <w:tblCellMar>
            <w:top w:w="0" w:type="dxa"/>
            <w:left w:w="0" w:type="dxa"/>
            <w:bottom w:w="0" w:type="dxa"/>
            <w:right w:w="0" w:type="dxa"/>
          </w:tblCellMar>
        </w:tblPrEx>
        <w:tc>
          <w:tcPr>
            <w:tcW w:w="1899"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snapToGrid w:val="0"/>
                <w:lang w:val="lv-LV"/>
              </w:rPr>
            </w:pPr>
            <w:r>
              <w:rPr>
                <w:rFonts w:ascii="Times New Roman" w:hAnsi="Times New Roman" w:cs="Times New Roman"/>
                <w:snapToGrid w:val="0"/>
                <w:lang w:val="lv-LV"/>
              </w:rPr>
              <w:t>Vinilhlorīda monomēra ražošana</w:t>
            </w:r>
          </w:p>
        </w:tc>
        <w:tc>
          <w:tcPr>
            <w:tcW w:w="3101" w:type="pct"/>
            <w:tcBorders>
              <w:top w:val="single" w:sz="4" w:space="0" w:color="auto"/>
              <w:left w:val="single" w:sz="4" w:space="0" w:color="auto"/>
              <w:bottom w:val="single" w:sz="4" w:space="0" w:color="auto"/>
              <w:right w:val="single" w:sz="4" w:space="0" w:color="auto"/>
            </w:tcBorders>
            <w:shd w:val="clear" w:color="auto" w:fill="FFFFFF"/>
          </w:tcPr>
          <w:p w:rsidR="0060722E" w:rsidRPr="0086623A" w:rsidRDefault="0086623A">
            <w:pPr>
              <w:jc w:val="both"/>
              <w:rPr>
                <w:rFonts w:ascii="Times New Roman" w:hAnsi="Times New Roman" w:cs="Times New Roman"/>
                <w:snapToGrid w:val="0"/>
                <w:lang w:val="lv-LV"/>
              </w:rPr>
            </w:pPr>
            <w:r w:rsidRPr="0086623A">
              <w:rPr>
                <w:rFonts w:ascii="Times New Roman" w:hAnsi="Times New Roman" w:cs="Times New Roman"/>
                <w:snapToGrid w:val="0"/>
                <w:lang w:val="lv-LV"/>
              </w:rPr>
              <w:t xml:space="preserve"> Pusēm veicamo pasākumu vidū var iekļaut šādus pasākumus, </w:t>
            </w:r>
            <w:r w:rsidR="0060722E" w:rsidRPr="0086623A">
              <w:rPr>
                <w:rFonts w:ascii="Times New Roman" w:hAnsi="Times New Roman" w:cs="Times New Roman"/>
                <w:snapToGrid w:val="0"/>
                <w:lang w:val="lv-LV"/>
              </w:rPr>
              <w:t>bet n</w:t>
            </w:r>
            <w:r w:rsidRPr="0086623A">
              <w:rPr>
                <w:rFonts w:ascii="Times New Roman" w:hAnsi="Times New Roman" w:cs="Times New Roman"/>
                <w:snapToGrid w:val="0"/>
                <w:lang w:val="lv-LV"/>
              </w:rPr>
              <w:t>eaprobežojoties tikai ar tiem</w:t>
            </w:r>
            <w:r w:rsidR="0060722E" w:rsidRPr="0086623A">
              <w:rPr>
                <w:rFonts w:ascii="Times New Roman" w:hAnsi="Times New Roman" w:cs="Times New Roman"/>
                <w:snapToGrid w:val="0"/>
                <w:lang w:val="lv-LV"/>
              </w:rPr>
              <w:t>:</w:t>
            </w:r>
          </w:p>
          <w:p w:rsidR="0060722E" w:rsidRPr="0086623A" w:rsidRDefault="0060722E">
            <w:pPr>
              <w:jc w:val="both"/>
              <w:rPr>
                <w:rFonts w:ascii="Times New Roman" w:hAnsi="Times New Roman" w:cs="Times New Roman"/>
                <w:snapToGrid w:val="0"/>
                <w:lang w:val="lv-LV"/>
              </w:rPr>
            </w:pPr>
            <w:r w:rsidRPr="0086623A">
              <w:rPr>
                <w:rFonts w:ascii="Times New Roman" w:hAnsi="Times New Roman" w:cs="Times New Roman"/>
                <w:snapToGrid w:val="0"/>
                <w:lang w:val="lv-LV"/>
              </w:rPr>
              <w:t>i) samazināt dzīvsudraba izmantošanu ražošanas uz vienu vienību izteiksmē par 50 procentiem līdz 2020. gadam, salīdzinot ar 2010. gadu;</w:t>
            </w:r>
          </w:p>
          <w:p w:rsidR="0060722E" w:rsidRDefault="0060722E">
            <w:pPr>
              <w:jc w:val="both"/>
              <w:rPr>
                <w:rFonts w:ascii="Times New Roman" w:hAnsi="Times New Roman" w:cs="Times New Roman"/>
                <w:snapToGrid w:val="0"/>
                <w:lang w:val="lv-LV"/>
              </w:rPr>
            </w:pPr>
            <w:r w:rsidRPr="0086623A">
              <w:rPr>
                <w:rFonts w:ascii="Times New Roman" w:hAnsi="Times New Roman" w:cs="Times New Roman"/>
                <w:snapToGrid w:val="0"/>
                <w:lang w:val="lv-LV"/>
              </w:rPr>
              <w:t>ii) veicināt pasākumus, lai samazinātu primārās ieguves dzīvsudraba dominējošu izmantošanu;</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iii) veikt pasākumus, lai samazinātu dzīvsudraba emisijas un noplūdes apkārtējā vidē;</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iv) atbalstīt pētniecību un izstrādi attiecībā uz katalizatoriem un procesiem, kam nav nepieciešams dzīvsudrabs;</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v) neatļaut dzīvsudraba izmantošanu piecus gadus pēc tam, kad pušu konference ir norādījusi, ka </w:t>
            </w:r>
            <w:r w:rsidR="0086623A">
              <w:rPr>
                <w:rFonts w:ascii="Times New Roman" w:hAnsi="Times New Roman" w:cs="Times New Roman"/>
                <w:snapToGrid w:val="0"/>
                <w:lang w:val="lv-LV"/>
              </w:rPr>
              <w:t>tie katalizatori, kuri</w:t>
            </w:r>
            <w:r>
              <w:rPr>
                <w:rFonts w:ascii="Times New Roman" w:hAnsi="Times New Roman" w:cs="Times New Roman"/>
                <w:snapToGrid w:val="0"/>
                <w:lang w:val="lv-LV"/>
              </w:rPr>
              <w:t xml:space="preserve"> nesatur dzīvsudrabu un kurus izmanto </w:t>
            </w:r>
            <w:r w:rsidR="00862D25">
              <w:rPr>
                <w:rFonts w:ascii="Times New Roman" w:hAnsi="Times New Roman" w:cs="Times New Roman"/>
                <w:snapToGrid w:val="0"/>
                <w:lang w:val="lv-LV"/>
              </w:rPr>
              <w:t>es</w:t>
            </w:r>
            <w:r>
              <w:rPr>
                <w:rFonts w:ascii="Times New Roman" w:hAnsi="Times New Roman" w:cs="Times New Roman"/>
                <w:snapToGrid w:val="0"/>
                <w:lang w:val="lv-LV"/>
              </w:rPr>
              <w:t>ošajos procesos, ir tehniski un ekonomiski pamatoti;</w:t>
            </w:r>
          </w:p>
          <w:p w:rsidR="0060722E" w:rsidRDefault="0060722E">
            <w:pPr>
              <w:jc w:val="both"/>
              <w:rPr>
                <w:snapToGrid w:val="0"/>
                <w:lang w:val="lv-LV"/>
              </w:rPr>
            </w:pPr>
            <w:r>
              <w:rPr>
                <w:rFonts w:ascii="Times New Roman" w:hAnsi="Times New Roman" w:cs="Times New Roman"/>
                <w:snapToGrid w:val="0"/>
                <w:lang w:val="lv-LV"/>
              </w:rPr>
              <w:t>vi) ziņot pušu konferencei par saviem centieniem izstrādāt un/vai identificēt alternatīvas un pārtraukt dzīvsudraba izmantošanu saskaņā ar 21. pantu.</w:t>
            </w:r>
          </w:p>
        </w:tc>
      </w:tr>
      <w:tr w:rsidR="0060722E">
        <w:tblPrEx>
          <w:tblCellMar>
            <w:top w:w="0" w:type="dxa"/>
            <w:left w:w="0" w:type="dxa"/>
            <w:bottom w:w="0" w:type="dxa"/>
            <w:right w:w="0" w:type="dxa"/>
          </w:tblCellMar>
        </w:tblPrEx>
        <w:tc>
          <w:tcPr>
            <w:tcW w:w="1899"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snapToGrid w:val="0"/>
                <w:lang w:val="lv-LV"/>
              </w:rPr>
            </w:pPr>
            <w:r>
              <w:rPr>
                <w:rFonts w:ascii="Times New Roman" w:hAnsi="Times New Roman" w:cs="Times New Roman"/>
                <w:snapToGrid w:val="0"/>
                <w:lang w:val="lv-LV"/>
              </w:rPr>
              <w:t>Nātrija vai kālija metilāts vai etilāts</w:t>
            </w:r>
          </w:p>
        </w:tc>
        <w:tc>
          <w:tcPr>
            <w:tcW w:w="3101" w:type="pct"/>
            <w:tcBorders>
              <w:top w:val="single" w:sz="4" w:space="0" w:color="auto"/>
              <w:left w:val="single" w:sz="4" w:space="0" w:color="auto"/>
              <w:bottom w:val="single" w:sz="4" w:space="0" w:color="auto"/>
              <w:right w:val="single" w:sz="4" w:space="0" w:color="auto"/>
            </w:tcBorders>
            <w:shd w:val="clear" w:color="auto" w:fill="FFFFFF"/>
          </w:tcPr>
          <w:p w:rsidR="0060722E" w:rsidRDefault="0086623A">
            <w:pPr>
              <w:jc w:val="both"/>
              <w:rPr>
                <w:rFonts w:ascii="Times New Roman" w:hAnsi="Times New Roman" w:cs="Times New Roman"/>
                <w:snapToGrid w:val="0"/>
                <w:lang w:val="lv-LV"/>
              </w:rPr>
            </w:pPr>
            <w:r w:rsidRPr="0086623A">
              <w:rPr>
                <w:rFonts w:ascii="Times New Roman" w:hAnsi="Times New Roman" w:cs="Times New Roman"/>
                <w:snapToGrid w:val="0"/>
                <w:lang w:val="lv-LV"/>
              </w:rPr>
              <w:t>Pusēm veicamo pasākumu vidū var iekļaut šādus pasākumus, bet neaprobežojoties tikai ar tiem</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 pasākumi, lai samazinātu dzīvsudraba lietošanu, ar mērķi pēc iespējas drīz</w:t>
            </w:r>
            <w:r w:rsidR="0086623A">
              <w:rPr>
                <w:rFonts w:ascii="Times New Roman" w:hAnsi="Times New Roman" w:cs="Times New Roman"/>
                <w:snapToGrid w:val="0"/>
                <w:lang w:val="lv-LV"/>
              </w:rPr>
              <w:t>āk</w:t>
            </w:r>
            <w:r>
              <w:rPr>
                <w:rFonts w:ascii="Times New Roman" w:hAnsi="Times New Roman" w:cs="Times New Roman"/>
                <w:snapToGrid w:val="0"/>
                <w:lang w:val="lv-LV"/>
              </w:rPr>
              <w:t xml:space="preserve"> un 10 gadu laikā pēc konvencijas stāšanās spēkā pārtraukt dzīvsudraba izmantošanu;</w:t>
            </w:r>
          </w:p>
          <w:p w:rsidR="0060722E" w:rsidRDefault="0060722E">
            <w:pPr>
              <w:jc w:val="both"/>
              <w:rPr>
                <w:rFonts w:ascii="Times New Roman" w:hAnsi="Times New Roman" w:cs="Times New Roman"/>
                <w:snapToGrid w:val="0"/>
                <w:lang w:val="lv-LV"/>
              </w:rPr>
            </w:pPr>
            <w:r w:rsidRPr="00E97DA3">
              <w:rPr>
                <w:rFonts w:ascii="Times New Roman" w:hAnsi="Times New Roman" w:cs="Times New Roman"/>
                <w:snapToGrid w:val="0"/>
                <w:lang w:val="lv-LV"/>
              </w:rPr>
              <w:t>ii) samazināt emisijas un noplūdes ražošanas uz vienu vienību izteiksmē par 50 procentiem līdz 2020. gadam, salīdzinot ar 2010</w:t>
            </w:r>
            <w:r>
              <w:rPr>
                <w:rFonts w:ascii="Times New Roman" w:hAnsi="Times New Roman" w:cs="Times New Roman"/>
                <w:snapToGrid w:val="0"/>
                <w:lang w:val="lv-LV"/>
              </w:rPr>
              <w:t>. gadu;</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iii) aizliegt izmantot tikko iegūtu primārās ieguves dzīvsudrabu;</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iv) atbalstīt pētniecību un izstrādi attiecībā uz procesiem, kam nav nepieciešams dzīvsudrabs;</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v) neatļaut dzīvsudraba izmantošanu piecus gadus pēc tam, kad pušu konference ir norādījusi, ka procesi, kuros nav nepieciešams dzīvsudrabs, ir tehniski un ekonomiski pamatoti;</w:t>
            </w:r>
          </w:p>
          <w:p w:rsidR="0060722E" w:rsidRDefault="0060722E">
            <w:pPr>
              <w:jc w:val="both"/>
              <w:rPr>
                <w:snapToGrid w:val="0"/>
                <w:lang w:val="lv-LV"/>
              </w:rPr>
            </w:pPr>
            <w:r>
              <w:rPr>
                <w:rFonts w:ascii="Times New Roman" w:hAnsi="Times New Roman" w:cs="Times New Roman"/>
                <w:snapToGrid w:val="0"/>
                <w:lang w:val="lv-LV"/>
              </w:rPr>
              <w:t>vi) ziņot pušu konferencei par saviem centieniem izstrādāt un/vai identificēt alternatīvas un pārtraukt dzīvsudraba izmantošanu saskaņā ar 21. pantu.</w:t>
            </w:r>
          </w:p>
        </w:tc>
      </w:tr>
      <w:tr w:rsidR="0060722E">
        <w:tblPrEx>
          <w:tblCellMar>
            <w:top w:w="0" w:type="dxa"/>
            <w:left w:w="0" w:type="dxa"/>
            <w:bottom w:w="0" w:type="dxa"/>
            <w:right w:w="0" w:type="dxa"/>
          </w:tblCellMar>
        </w:tblPrEx>
        <w:tc>
          <w:tcPr>
            <w:tcW w:w="1899" w:type="pct"/>
            <w:tcBorders>
              <w:top w:val="single" w:sz="4" w:space="0" w:color="auto"/>
              <w:left w:val="single" w:sz="4" w:space="0" w:color="auto"/>
              <w:bottom w:val="single" w:sz="4" w:space="0" w:color="auto"/>
              <w:right w:val="single" w:sz="4" w:space="0" w:color="auto"/>
            </w:tcBorders>
            <w:shd w:val="clear" w:color="auto" w:fill="FFFFFF"/>
          </w:tcPr>
          <w:p w:rsidR="0060722E" w:rsidRDefault="0060722E">
            <w:pPr>
              <w:jc w:val="both"/>
              <w:rPr>
                <w:snapToGrid w:val="0"/>
                <w:lang w:val="lv-LV"/>
              </w:rPr>
            </w:pPr>
            <w:r>
              <w:rPr>
                <w:rFonts w:ascii="Times New Roman" w:hAnsi="Times New Roman" w:cs="Times New Roman"/>
                <w:snapToGrid w:val="0"/>
                <w:lang w:val="lv-LV"/>
              </w:rPr>
              <w:t xml:space="preserve">Poliuretāna ražošana, izmantojot katalizatorus, kas satur dzīvsudrabu </w:t>
            </w:r>
          </w:p>
        </w:tc>
        <w:tc>
          <w:tcPr>
            <w:tcW w:w="3101" w:type="pct"/>
            <w:tcBorders>
              <w:top w:val="single" w:sz="4" w:space="0" w:color="auto"/>
              <w:left w:val="single" w:sz="4" w:space="0" w:color="auto"/>
              <w:bottom w:val="single" w:sz="4" w:space="0" w:color="auto"/>
              <w:right w:val="single" w:sz="4" w:space="0" w:color="auto"/>
            </w:tcBorders>
            <w:shd w:val="clear" w:color="auto" w:fill="FFFFFF"/>
          </w:tcPr>
          <w:p w:rsidR="0060722E" w:rsidRDefault="00E97DA3">
            <w:pPr>
              <w:jc w:val="both"/>
              <w:rPr>
                <w:rFonts w:ascii="Times New Roman" w:hAnsi="Times New Roman" w:cs="Times New Roman"/>
                <w:snapToGrid w:val="0"/>
                <w:lang w:val="lv-LV"/>
              </w:rPr>
            </w:pPr>
            <w:r w:rsidRPr="0086623A">
              <w:rPr>
                <w:rFonts w:ascii="Times New Roman" w:hAnsi="Times New Roman" w:cs="Times New Roman"/>
                <w:snapToGrid w:val="0"/>
                <w:lang w:val="lv-LV"/>
              </w:rPr>
              <w:t xml:space="preserve"> Pusēm veicamo pasākumu vidū var iekļaut šādus pasākumus, bet neaprobežojoties tikai ar tiem</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 veikt pasākumus, lai samazinātu dzīvsudraba lietoš</w:t>
            </w:r>
            <w:r w:rsidR="00E97DA3">
              <w:rPr>
                <w:rFonts w:ascii="Times New Roman" w:hAnsi="Times New Roman" w:cs="Times New Roman"/>
                <w:snapToGrid w:val="0"/>
                <w:lang w:val="lv-LV"/>
              </w:rPr>
              <w:t>anu, ar mērķi pēc iespējas drīzāk un</w:t>
            </w:r>
            <w:r>
              <w:rPr>
                <w:rFonts w:ascii="Times New Roman" w:hAnsi="Times New Roman" w:cs="Times New Roman"/>
                <w:snapToGrid w:val="0"/>
                <w:lang w:val="lv-LV"/>
              </w:rPr>
              <w:t xml:space="preserve"> 10 gadu laikā pēc konvencijas stāšanās spēkā pārtraukt dzīvsudraba izmantošanu;</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ii) veikt pasākumus, lai samazinātu primārās ieguves dzīvsudraba </w:t>
            </w:r>
            <w:r w:rsidRPr="00E97DA3">
              <w:rPr>
                <w:rFonts w:ascii="Times New Roman" w:hAnsi="Times New Roman" w:cs="Times New Roman"/>
                <w:snapToGrid w:val="0"/>
                <w:lang w:val="lv-LV"/>
              </w:rPr>
              <w:t>dominējošu izmantošanu</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iii) veikt pasākumus, lai samazinātu dzīvsudraba emisijas un noplūdes apkārtējā vidē;</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iv) veicināt pētniecību un izstrādi attiecībā uz katalizatoriem un procesiem, kam nav nepieciešams dzīvsudrabs;</w:t>
            </w: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v) ziņot pušu konferencei par saviem centieniem izstrādāt un/vai identificēt alternatīvas un pārtraukt dzīvsudraba izmantošanu saskaņā ar 21. pantu.</w:t>
            </w:r>
          </w:p>
          <w:p w:rsidR="0060722E" w:rsidRDefault="0060722E">
            <w:pPr>
              <w:jc w:val="both"/>
              <w:rPr>
                <w:snapToGrid w:val="0"/>
                <w:lang w:val="lv-LV"/>
              </w:rPr>
            </w:pPr>
            <w:r>
              <w:rPr>
                <w:rFonts w:ascii="Times New Roman" w:hAnsi="Times New Roman" w:cs="Times New Roman"/>
                <w:snapToGrid w:val="0"/>
                <w:lang w:val="lv-LV"/>
              </w:rPr>
              <w:t>Konvencijas 5. panta 6. punktu nepiemēro šim ražošanas procesam.</w:t>
            </w:r>
          </w:p>
        </w:tc>
      </w:tr>
    </w:tbl>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sz w:val="28"/>
          <w:szCs w:val="28"/>
          <w:lang w:val="lv-LV"/>
        </w:rPr>
      </w:pPr>
      <w:r>
        <w:rPr>
          <w:rFonts w:ascii="Times New Roman" w:hAnsi="Times New Roman" w:cs="Times New Roman"/>
          <w:snapToGrid w:val="0"/>
          <w:lang w:val="lv-LV"/>
        </w:rPr>
        <w:br w:type="page"/>
      </w:r>
      <w:r>
        <w:rPr>
          <w:rFonts w:ascii="Times New Roman" w:hAnsi="Times New Roman" w:cs="Times New Roman"/>
          <w:b/>
          <w:bCs/>
          <w:snapToGrid w:val="0"/>
          <w:sz w:val="28"/>
          <w:szCs w:val="28"/>
          <w:lang w:val="lv-LV"/>
        </w:rPr>
        <w:lastRenderedPageBreak/>
        <w:t>C pielikums</w:t>
      </w:r>
    </w:p>
    <w:p w:rsidR="0060722E" w:rsidRDefault="0060722E">
      <w:pPr>
        <w:jc w:val="both"/>
        <w:rPr>
          <w:rFonts w:ascii="Times New Roman" w:hAnsi="Times New Roman" w:cs="Times New Roman"/>
          <w:b/>
          <w:bCs/>
          <w:snapToGrid w:val="0"/>
          <w:sz w:val="28"/>
          <w:szCs w:val="28"/>
          <w:lang w:val="lv-LV"/>
        </w:rPr>
      </w:pPr>
    </w:p>
    <w:p w:rsidR="0060722E" w:rsidRDefault="0060722E">
      <w:pPr>
        <w:jc w:val="both"/>
        <w:rPr>
          <w:rFonts w:ascii="Times New Roman" w:hAnsi="Times New Roman" w:cs="Times New Roman"/>
          <w:b/>
          <w:bCs/>
          <w:snapToGrid w:val="0"/>
          <w:sz w:val="28"/>
          <w:szCs w:val="28"/>
          <w:lang w:val="lv-LV"/>
        </w:rPr>
      </w:pPr>
      <w:bookmarkStart w:id="49" w:name="bookmark49"/>
      <w:r>
        <w:rPr>
          <w:rFonts w:ascii="Times New Roman" w:hAnsi="Times New Roman" w:cs="Times New Roman"/>
          <w:b/>
          <w:bCs/>
          <w:snapToGrid w:val="0"/>
          <w:sz w:val="28"/>
          <w:szCs w:val="28"/>
          <w:lang w:val="lv-LV"/>
        </w:rPr>
        <w:t>Nerūpnieciska un neliela apjoma zelta ieguve</w:t>
      </w:r>
    </w:p>
    <w:bookmarkEnd w:id="49"/>
    <w:p w:rsidR="0060722E" w:rsidRDefault="0060722E">
      <w:pPr>
        <w:jc w:val="both"/>
        <w:rPr>
          <w:rFonts w:ascii="Times New Roman" w:hAnsi="Times New Roman" w:cs="Times New Roman"/>
          <w:b/>
          <w:bCs/>
          <w:snapToGrid w:val="0"/>
          <w:lang w:val="lv-LV"/>
        </w:rPr>
      </w:pPr>
    </w:p>
    <w:p w:rsidR="0060722E" w:rsidRDefault="00E97DA3">
      <w:pPr>
        <w:jc w:val="both"/>
        <w:rPr>
          <w:rFonts w:ascii="Times New Roman" w:hAnsi="Times New Roman" w:cs="Times New Roman"/>
          <w:b/>
          <w:bCs/>
          <w:snapToGrid w:val="0"/>
          <w:lang w:val="lv-LV"/>
        </w:rPr>
      </w:pPr>
      <w:r>
        <w:rPr>
          <w:rFonts w:ascii="Times New Roman" w:hAnsi="Times New Roman" w:cs="Times New Roman"/>
          <w:b/>
          <w:bCs/>
          <w:snapToGrid w:val="0"/>
          <w:lang w:val="lv-LV"/>
        </w:rPr>
        <w:t xml:space="preserve">Valsts </w:t>
      </w:r>
      <w:r w:rsidR="0060722E">
        <w:rPr>
          <w:rFonts w:ascii="Times New Roman" w:hAnsi="Times New Roman" w:cs="Times New Roman"/>
          <w:b/>
          <w:bCs/>
          <w:snapToGrid w:val="0"/>
          <w:lang w:val="lv-LV"/>
        </w:rPr>
        <w:t>rīcības plāni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Ikviena puse, kurai piemēro 7. panta 3. punktu, savā valsts rīcības plānā ietver:</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 valsts mērķus un uzdevumus samazināšanas jomā;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b) pasākumus ar mērķi pārtraukt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w:t>
      </w:r>
      <w:r w:rsidRPr="00611A36">
        <w:rPr>
          <w:rFonts w:ascii="Times New Roman" w:hAnsi="Times New Roman" w:cs="Times New Roman"/>
          <w:snapToGrid w:val="0"/>
          <w:lang w:val="lv-LV"/>
        </w:rPr>
        <w:t>) nesasmalcinātas rūdas amalgamāciju</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ii) amalgamas vai apstrādātas amalgamas atklātu dedzināšanu,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iii) amalgamas dedzināšanu </w:t>
      </w:r>
      <w:r w:rsidR="00DE4C52">
        <w:rPr>
          <w:rFonts w:ascii="Times New Roman" w:hAnsi="Times New Roman" w:cs="Times New Roman"/>
          <w:snapToGrid w:val="0"/>
          <w:lang w:val="lv-LV"/>
        </w:rPr>
        <w:t>apdzīvotās vietā</w:t>
      </w:r>
      <w:r>
        <w:rPr>
          <w:rFonts w:ascii="Times New Roman" w:hAnsi="Times New Roman" w:cs="Times New Roman"/>
          <w:snapToGrid w:val="0"/>
          <w:lang w:val="lv-LV"/>
        </w:rPr>
        <w:t>s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iv) cianīda izskalošanu nogu</w:t>
      </w:r>
      <w:r w:rsidR="002B6FB6">
        <w:rPr>
          <w:rFonts w:ascii="Times New Roman" w:hAnsi="Times New Roman" w:cs="Times New Roman"/>
          <w:snapToGrid w:val="0"/>
          <w:lang w:val="lv-LV"/>
        </w:rPr>
        <w:t>lsnē</w:t>
      </w:r>
      <w:r>
        <w:rPr>
          <w:rFonts w:ascii="Times New Roman" w:hAnsi="Times New Roman" w:cs="Times New Roman"/>
          <w:snapToGrid w:val="0"/>
          <w:lang w:val="lv-LV"/>
        </w:rPr>
        <w:t>s, rūdā vai sārņos, kam pievienots dzīvsudrabs, bez pirms tam veiktas dzīvsudraba atdalīšanas;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c) pasākumus, lai </w:t>
      </w:r>
      <w:r w:rsidRPr="00611A36">
        <w:rPr>
          <w:rFonts w:ascii="Times New Roman" w:hAnsi="Times New Roman" w:cs="Times New Roman"/>
          <w:snapToGrid w:val="0"/>
          <w:lang w:val="lv-LV"/>
        </w:rPr>
        <w:t xml:space="preserve">sekmētu </w:t>
      </w:r>
      <w:r w:rsidR="00611A36" w:rsidRPr="00611A36">
        <w:rPr>
          <w:rFonts w:ascii="Times New Roman" w:hAnsi="Times New Roman" w:cs="Times New Roman"/>
          <w:snapToGrid w:val="0"/>
          <w:lang w:val="lv-LV"/>
        </w:rPr>
        <w:t>formalizēšan</w:t>
      </w:r>
      <w:r w:rsidRPr="00611A36">
        <w:rPr>
          <w:rFonts w:ascii="Times New Roman" w:hAnsi="Times New Roman" w:cs="Times New Roman"/>
          <w:snapToGrid w:val="0"/>
          <w:lang w:val="lv-LV"/>
        </w:rPr>
        <w:t>u jeb reglamentāciju nerūpnieciska</w:t>
      </w:r>
      <w:r>
        <w:rPr>
          <w:rFonts w:ascii="Times New Roman" w:hAnsi="Times New Roman" w:cs="Times New Roman"/>
          <w:snapToGrid w:val="0"/>
          <w:lang w:val="lv-LV"/>
        </w:rPr>
        <w:t xml:space="preserve"> un neliela apjoma zelta ieguves jomā;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d) izejošos aprēķinus par izmantotā dzīvsudraba daudzumu un izma</w:t>
      </w:r>
      <w:r w:rsidR="00611A36">
        <w:rPr>
          <w:rFonts w:ascii="Times New Roman" w:hAnsi="Times New Roman" w:cs="Times New Roman"/>
          <w:snapToGrid w:val="0"/>
          <w:lang w:val="lv-LV"/>
        </w:rPr>
        <w:t>ntotajiem praktiskajiem risinājumiem</w:t>
      </w:r>
      <w:r>
        <w:rPr>
          <w:rFonts w:ascii="Times New Roman" w:hAnsi="Times New Roman" w:cs="Times New Roman"/>
          <w:snapToGrid w:val="0"/>
          <w:lang w:val="lv-LV"/>
        </w:rPr>
        <w:t xml:space="preserve"> nerūpnieciskas un neliela apjoma zelta ieguves un apstrādes jomā tās teritorijā;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e) dzīvsudraba emisiju un noplūdes, un iedarbības samazināšanas veicināšanas stratēģijas nerūpnieciskas un neliela apjoma zelta ieguves un apstrādes jomā, tostarp metodes, kurās netiek izmantots dzīvsudrabs;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f) stratēģijas, kas paredzētas tirdzniecības pārvaldībai un lai novērstu to, ka dzīvsudraba un dzīvsudraba savienojumi tiek saņemti no ārzemju un iekšzemes avotiem izmantošanai nerūpnieciskā un neliela apjoma zelta ieguvē un apstrādē;</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g) stratēģijas, kas paredzētas, lai iesaistītu ieinteresētās personas valsts rīcības plāna īstenošanā un nepārtrauktā attīstībā;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h) sabiedrības veselības stratēģiju attiecībā uz dzīvsudraba iedarbību uz nerūpnieciskas un neliela apjoma zelta ieguves raktuvju strādniekiem un </w:t>
      </w:r>
      <w:r w:rsidRPr="00611A36">
        <w:rPr>
          <w:rFonts w:ascii="Times New Roman" w:hAnsi="Times New Roman" w:cs="Times New Roman"/>
          <w:snapToGrid w:val="0"/>
          <w:lang w:val="lv-LV"/>
        </w:rPr>
        <w:t xml:space="preserve">viņu </w:t>
      </w:r>
      <w:r w:rsidR="00DE4C52">
        <w:rPr>
          <w:rFonts w:ascii="Times New Roman" w:hAnsi="Times New Roman" w:cs="Times New Roman"/>
          <w:snapToGrid w:val="0"/>
          <w:lang w:val="lv-LV"/>
        </w:rPr>
        <w:t>kopienā</w:t>
      </w:r>
      <w:r w:rsidRPr="00611A36">
        <w:rPr>
          <w:rFonts w:ascii="Times New Roman" w:hAnsi="Times New Roman" w:cs="Times New Roman"/>
          <w:snapToGrid w:val="0"/>
          <w:lang w:val="lv-LV"/>
        </w:rPr>
        <w:t>m. Šāda stratēģija cita starpā ietver veselības datu savākšanu, veselības aprūpes speciālistu</w:t>
      </w:r>
      <w:r>
        <w:rPr>
          <w:rFonts w:ascii="Times New Roman" w:hAnsi="Times New Roman" w:cs="Times New Roman"/>
          <w:snapToGrid w:val="0"/>
          <w:lang w:val="lv-LV"/>
        </w:rPr>
        <w:t xml:space="preserve"> apmācību un informētības uzlabošanu veselības aprūpes iestādēs;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i) stratēģijas, lai novērstu </w:t>
      </w:r>
      <w:r w:rsidR="00611A36">
        <w:rPr>
          <w:rFonts w:ascii="Times New Roman" w:hAnsi="Times New Roman" w:cs="Times New Roman"/>
          <w:snapToGrid w:val="0"/>
          <w:lang w:val="lv-LV"/>
        </w:rPr>
        <w:t>nerūpnieciskā un neliela apjoma zelta ieguvē izmantota dzīvsudraba</w:t>
      </w:r>
      <w:r>
        <w:rPr>
          <w:rFonts w:ascii="Times New Roman" w:hAnsi="Times New Roman" w:cs="Times New Roman"/>
          <w:snapToGrid w:val="0"/>
          <w:lang w:val="lv-LV"/>
        </w:rPr>
        <w:t xml:space="preserve"> iedarbību uz neaizsargātām iedzīvotāju grupām, sevišķi bērniem un sievietēm reproduktīvā vecumā, </w:t>
      </w:r>
      <w:r w:rsidR="00611A36">
        <w:rPr>
          <w:rFonts w:ascii="Times New Roman" w:hAnsi="Times New Roman" w:cs="Times New Roman"/>
          <w:snapToGrid w:val="0"/>
          <w:lang w:val="lv-LV"/>
        </w:rPr>
        <w:t xml:space="preserve">jo </w:t>
      </w:r>
      <w:r>
        <w:rPr>
          <w:rFonts w:ascii="Times New Roman" w:hAnsi="Times New Roman" w:cs="Times New Roman"/>
          <w:snapToGrid w:val="0"/>
          <w:lang w:val="lv-LV"/>
        </w:rPr>
        <w:t>īpaši grūtniecēm;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j) stratēģijas, lai sniegtu informāciju nerūpnieciskas un neliela apjoma zelta ieguves raktuvju strādniekiem </w:t>
      </w:r>
      <w:r w:rsidRPr="00611A36">
        <w:rPr>
          <w:rFonts w:ascii="Times New Roman" w:hAnsi="Times New Roman" w:cs="Times New Roman"/>
          <w:snapToGrid w:val="0"/>
          <w:lang w:val="lv-LV"/>
        </w:rPr>
        <w:t xml:space="preserve">un iesaistītajām </w:t>
      </w:r>
      <w:r w:rsidR="00DE4C52">
        <w:rPr>
          <w:rFonts w:ascii="Times New Roman" w:hAnsi="Times New Roman" w:cs="Times New Roman"/>
          <w:snapToGrid w:val="0"/>
          <w:lang w:val="lv-LV"/>
        </w:rPr>
        <w:t>kopien</w:t>
      </w:r>
      <w:r w:rsidRPr="00611A36">
        <w:rPr>
          <w:rFonts w:ascii="Times New Roman" w:hAnsi="Times New Roman" w:cs="Times New Roman"/>
          <w:snapToGrid w:val="0"/>
          <w:lang w:val="lv-LV"/>
        </w:rPr>
        <w:t>ām</w:t>
      </w:r>
      <w:r>
        <w:rPr>
          <w:rFonts w:ascii="Times New Roman" w:hAnsi="Times New Roman" w:cs="Times New Roman"/>
          <w:snapToGrid w:val="0"/>
          <w:lang w:val="lv-LV"/>
        </w:rPr>
        <w:t xml:space="preserve">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lastRenderedPageBreak/>
        <w:t>k) valsts rīcības plāna īstenošanas grafiku.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Ikviena puse savā valsts rīcības plānā var ietvert papildstratēģijas, lai sasniegtu savus mērķus, tostarp lai ieviestu vai izmantotu standartus nerūpnieciskas un neliela apjoma zelta ieguves jomā, kur netiek izmantots dzīvsudrabs, un attiecībā uz tirgus mehānismiem vai mārketinga rīkiem.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sz w:val="28"/>
          <w:szCs w:val="28"/>
          <w:lang w:val="lv-LV"/>
        </w:rPr>
      </w:pPr>
      <w:r>
        <w:rPr>
          <w:rFonts w:ascii="Times New Roman" w:hAnsi="Times New Roman" w:cs="Times New Roman"/>
          <w:snapToGrid w:val="0"/>
          <w:lang w:val="lv-LV"/>
        </w:rPr>
        <w:br w:type="page"/>
      </w:r>
      <w:r>
        <w:rPr>
          <w:rFonts w:ascii="Times New Roman" w:hAnsi="Times New Roman" w:cs="Times New Roman"/>
          <w:b/>
          <w:bCs/>
          <w:snapToGrid w:val="0"/>
          <w:sz w:val="28"/>
          <w:szCs w:val="28"/>
          <w:lang w:val="lv-LV"/>
        </w:rPr>
        <w:lastRenderedPageBreak/>
        <w:t>D pielikums</w:t>
      </w:r>
    </w:p>
    <w:p w:rsidR="0060722E" w:rsidRDefault="0060722E">
      <w:pPr>
        <w:jc w:val="both"/>
        <w:rPr>
          <w:rFonts w:ascii="Times New Roman" w:hAnsi="Times New Roman" w:cs="Times New Roman"/>
          <w:b/>
          <w:bCs/>
          <w:snapToGrid w:val="0"/>
          <w:sz w:val="28"/>
          <w:szCs w:val="28"/>
          <w:lang w:val="lv-LV"/>
        </w:rPr>
      </w:pPr>
    </w:p>
    <w:p w:rsidR="006937AD" w:rsidRDefault="0060722E">
      <w:pPr>
        <w:jc w:val="both"/>
        <w:rPr>
          <w:rFonts w:ascii="Times New Roman" w:hAnsi="Times New Roman" w:cs="Times New Roman"/>
          <w:b/>
          <w:bCs/>
          <w:snapToGrid w:val="0"/>
          <w:sz w:val="28"/>
          <w:szCs w:val="28"/>
          <w:lang w:val="lv-LV"/>
        </w:rPr>
      </w:pPr>
      <w:bookmarkStart w:id="50" w:name="bookmark50"/>
      <w:r>
        <w:rPr>
          <w:rFonts w:ascii="Times New Roman" w:hAnsi="Times New Roman" w:cs="Times New Roman"/>
          <w:b/>
          <w:bCs/>
          <w:snapToGrid w:val="0"/>
          <w:sz w:val="28"/>
          <w:szCs w:val="28"/>
          <w:lang w:val="lv-LV"/>
        </w:rPr>
        <w:t>Stacionāro avotu saraksts attiecībā uz dzīvsudraba vai dzīvsudraba savienojumu emisiju atmosfērā</w:t>
      </w:r>
    </w:p>
    <w:bookmarkEnd w:id="50"/>
    <w:p w:rsidR="0060722E" w:rsidRDefault="0060722E">
      <w:pPr>
        <w:jc w:val="both"/>
        <w:rPr>
          <w:rFonts w:ascii="Times New Roman" w:hAnsi="Times New Roman" w:cs="Times New Roman"/>
          <w:b/>
          <w:bCs/>
          <w:snapToGrid w:val="0"/>
          <w:lang w:val="lv-LV"/>
        </w:rPr>
      </w:pPr>
    </w:p>
    <w:p w:rsidR="0060722E" w:rsidRDefault="0060722E">
      <w:pPr>
        <w:jc w:val="both"/>
        <w:rPr>
          <w:rFonts w:ascii="Times New Roman" w:hAnsi="Times New Roman" w:cs="Times New Roman"/>
          <w:b/>
          <w:bCs/>
          <w:snapToGrid w:val="0"/>
          <w:lang w:val="lv-LV"/>
        </w:rPr>
      </w:pPr>
      <w:bookmarkStart w:id="51" w:name="bookmark51"/>
      <w:r>
        <w:rPr>
          <w:rFonts w:ascii="Times New Roman" w:hAnsi="Times New Roman" w:cs="Times New Roman"/>
          <w:b/>
          <w:bCs/>
          <w:snapToGrid w:val="0"/>
          <w:lang w:val="lv-LV"/>
        </w:rPr>
        <w:t>Stacionāro avotu kategorija:</w:t>
      </w:r>
    </w:p>
    <w:bookmarkEnd w:id="51"/>
    <w:p w:rsidR="0060722E" w:rsidRDefault="0060722E">
      <w:pPr>
        <w:jc w:val="both"/>
        <w:rPr>
          <w:rFonts w:ascii="Times New Roman" w:hAnsi="Times New Roman" w:cs="Times New Roman"/>
          <w:snapToGrid w:val="0"/>
          <w:lang w:val="lv-LV"/>
        </w:rPr>
      </w:pPr>
    </w:p>
    <w:p w:rsidR="0060722E" w:rsidRDefault="0013504E">
      <w:pPr>
        <w:jc w:val="both"/>
        <w:rPr>
          <w:rFonts w:ascii="Times New Roman" w:hAnsi="Times New Roman" w:cs="Times New Roman"/>
          <w:snapToGrid w:val="0"/>
          <w:lang w:val="lv-LV"/>
        </w:rPr>
      </w:pPr>
      <w:r>
        <w:rPr>
          <w:rFonts w:ascii="Times New Roman" w:hAnsi="Times New Roman" w:cs="Times New Roman"/>
          <w:snapToGrid w:val="0"/>
          <w:lang w:val="lv-LV"/>
        </w:rPr>
        <w:t>akmeņogļu</w:t>
      </w:r>
      <w:r w:rsidR="0060722E">
        <w:rPr>
          <w:rFonts w:ascii="Times New Roman" w:hAnsi="Times New Roman" w:cs="Times New Roman"/>
          <w:snapToGrid w:val="0"/>
          <w:lang w:val="lv-LV"/>
        </w:rPr>
        <w:t xml:space="preserve"> spēkstacijas;</w:t>
      </w:r>
    </w:p>
    <w:p w:rsidR="0060722E" w:rsidRDefault="0060722E">
      <w:pPr>
        <w:jc w:val="both"/>
        <w:rPr>
          <w:rFonts w:ascii="Times New Roman" w:hAnsi="Times New Roman" w:cs="Times New Roman"/>
          <w:snapToGrid w:val="0"/>
          <w:lang w:val="lv-LV"/>
        </w:rPr>
      </w:pPr>
    </w:p>
    <w:p w:rsidR="0060722E" w:rsidRDefault="009441DC">
      <w:pPr>
        <w:jc w:val="both"/>
        <w:rPr>
          <w:rFonts w:ascii="Times New Roman" w:hAnsi="Times New Roman" w:cs="Times New Roman"/>
          <w:snapToGrid w:val="0"/>
          <w:lang w:val="lv-LV"/>
        </w:rPr>
      </w:pPr>
      <w:r>
        <w:rPr>
          <w:rFonts w:ascii="Times New Roman" w:hAnsi="Times New Roman" w:cs="Times New Roman"/>
          <w:snapToGrid w:val="0"/>
          <w:lang w:val="lv-LV"/>
        </w:rPr>
        <w:t>ar akmeņoglēm darbināmas</w:t>
      </w:r>
      <w:r w:rsidR="0060722E">
        <w:rPr>
          <w:rFonts w:ascii="Times New Roman" w:hAnsi="Times New Roman" w:cs="Times New Roman"/>
          <w:snapToGrid w:val="0"/>
          <w:lang w:val="lv-LV"/>
        </w:rPr>
        <w:t xml:space="preserve"> rūpniec</w:t>
      </w:r>
      <w:r>
        <w:rPr>
          <w:rFonts w:ascii="Times New Roman" w:hAnsi="Times New Roman" w:cs="Times New Roman"/>
          <w:snapToGrid w:val="0"/>
          <w:lang w:val="lv-LV"/>
        </w:rPr>
        <w:t xml:space="preserve">iskas sadedzināšanas </w:t>
      </w:r>
      <w:r w:rsidR="0060722E">
        <w:rPr>
          <w:rFonts w:ascii="Times New Roman" w:hAnsi="Times New Roman" w:cs="Times New Roman"/>
          <w:snapToGrid w:val="0"/>
          <w:lang w:val="lv-LV"/>
        </w:rPr>
        <w:t>i</w:t>
      </w:r>
      <w:r>
        <w:rPr>
          <w:rFonts w:ascii="Times New Roman" w:hAnsi="Times New Roman" w:cs="Times New Roman"/>
          <w:snapToGrid w:val="0"/>
          <w:lang w:val="lv-LV"/>
        </w:rPr>
        <w:t>ekārtas</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kausēšan</w:t>
      </w:r>
      <w:r w:rsidR="00B27A22">
        <w:rPr>
          <w:rFonts w:ascii="Times New Roman" w:hAnsi="Times New Roman" w:cs="Times New Roman"/>
          <w:snapToGrid w:val="0"/>
          <w:lang w:val="lv-LV"/>
        </w:rPr>
        <w:t>as un apdedzināšanas procesi, kurus</w:t>
      </w:r>
      <w:r>
        <w:rPr>
          <w:rFonts w:ascii="Times New Roman" w:hAnsi="Times New Roman" w:cs="Times New Roman"/>
          <w:snapToGrid w:val="0"/>
          <w:lang w:val="lv-LV"/>
        </w:rPr>
        <w:t xml:space="preserve"> izmanto krāsaino metālu ražošanā;</w:t>
      </w:r>
      <w:r w:rsidR="0026227A">
        <w:rPr>
          <w:rStyle w:val="FootnoteReference"/>
          <w:rFonts w:ascii="Times New Roman" w:hAnsi="Times New Roman" w:cs="Times New Roman"/>
          <w:snapToGrid w:val="0"/>
          <w:lang w:val="lv-LV"/>
        </w:rPr>
        <w:footnoteReference w:customMarkFollows="1" w:id="2"/>
        <w:t>1</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atkritumu sadedzināšanas iekārtas;</w:t>
      </w:r>
    </w:p>
    <w:p w:rsidR="0060722E" w:rsidRDefault="0060722E">
      <w:pPr>
        <w:jc w:val="both"/>
        <w:rPr>
          <w:rFonts w:ascii="Times New Roman" w:hAnsi="Times New Roman" w:cs="Times New Roman"/>
          <w:snapToGrid w:val="0"/>
          <w:lang w:val="lv-LV"/>
        </w:rPr>
      </w:pPr>
    </w:p>
    <w:p w:rsidR="0060722E" w:rsidRDefault="009441DC">
      <w:pPr>
        <w:jc w:val="both"/>
        <w:rPr>
          <w:rFonts w:ascii="Times New Roman" w:hAnsi="Times New Roman" w:cs="Times New Roman"/>
          <w:snapToGrid w:val="0"/>
          <w:lang w:val="lv-LV"/>
        </w:rPr>
      </w:pPr>
      <w:r>
        <w:rPr>
          <w:rFonts w:ascii="Times New Roman" w:hAnsi="Times New Roman" w:cs="Times New Roman"/>
          <w:snapToGrid w:val="0"/>
          <w:lang w:val="lv-LV"/>
        </w:rPr>
        <w:t>iekārtas cementa klinkera ražošanai</w:t>
      </w:r>
      <w:r w:rsidR="0060722E">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p w:rsidR="0060722E" w:rsidRDefault="0060722E">
      <w:pPr>
        <w:rPr>
          <w:rFonts w:ascii="Times New Roman" w:hAnsi="Times New Roman" w:cs="Times New Roman"/>
          <w:b/>
          <w:bCs/>
          <w:snapToGrid w:val="0"/>
          <w:sz w:val="28"/>
          <w:szCs w:val="28"/>
          <w:lang w:val="lv-LV"/>
        </w:rPr>
      </w:pPr>
      <w:r>
        <w:rPr>
          <w:rFonts w:ascii="Times New Roman" w:hAnsi="Times New Roman" w:cs="Times New Roman"/>
          <w:snapToGrid w:val="0"/>
          <w:lang w:val="lv-LV"/>
        </w:rPr>
        <w:br w:type="page"/>
      </w:r>
      <w:r>
        <w:rPr>
          <w:rFonts w:ascii="Times New Roman" w:hAnsi="Times New Roman" w:cs="Times New Roman"/>
          <w:b/>
          <w:bCs/>
          <w:snapToGrid w:val="0"/>
          <w:sz w:val="28"/>
          <w:szCs w:val="28"/>
          <w:lang w:val="lv-LV"/>
        </w:rPr>
        <w:lastRenderedPageBreak/>
        <w:t>E pielikums</w:t>
      </w:r>
    </w:p>
    <w:p w:rsidR="0060722E" w:rsidRDefault="0060722E">
      <w:pPr>
        <w:rPr>
          <w:rFonts w:ascii="Times New Roman" w:hAnsi="Times New Roman" w:cs="Times New Roman"/>
          <w:b/>
          <w:bCs/>
          <w:snapToGrid w:val="0"/>
          <w:sz w:val="28"/>
          <w:szCs w:val="28"/>
          <w:lang w:val="lv-LV"/>
        </w:rPr>
      </w:pPr>
    </w:p>
    <w:p w:rsidR="0060722E" w:rsidRDefault="0060722E">
      <w:pPr>
        <w:rPr>
          <w:rFonts w:ascii="Times New Roman" w:hAnsi="Times New Roman" w:cs="Times New Roman"/>
          <w:b/>
          <w:bCs/>
          <w:snapToGrid w:val="0"/>
          <w:sz w:val="28"/>
          <w:szCs w:val="28"/>
          <w:lang w:val="lv-LV"/>
        </w:rPr>
      </w:pPr>
      <w:bookmarkStart w:id="52" w:name="bookmark52"/>
      <w:r>
        <w:rPr>
          <w:rFonts w:ascii="Times New Roman" w:hAnsi="Times New Roman" w:cs="Times New Roman"/>
          <w:b/>
          <w:bCs/>
          <w:snapToGrid w:val="0"/>
          <w:sz w:val="28"/>
          <w:szCs w:val="28"/>
          <w:lang w:val="lv-LV"/>
        </w:rPr>
        <w:t>Šķīrējtiesas un izlīgšanas procedūras</w:t>
      </w:r>
    </w:p>
    <w:bookmarkEnd w:id="52"/>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lang w:val="lv-LV"/>
        </w:rPr>
      </w:pPr>
      <w:bookmarkStart w:id="53" w:name="bookmark53"/>
      <w:r>
        <w:rPr>
          <w:rFonts w:ascii="Times New Roman" w:hAnsi="Times New Roman" w:cs="Times New Roman"/>
          <w:b/>
          <w:bCs/>
          <w:snapToGrid w:val="0"/>
          <w:lang w:val="lv-LV"/>
        </w:rPr>
        <w:t>I daļa. Šķīrējtiesas procedūra</w:t>
      </w:r>
      <w:bookmarkEnd w:id="53"/>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Konvencijas 25. panta </w:t>
      </w:r>
      <w:r w:rsidR="0048459A">
        <w:rPr>
          <w:rFonts w:ascii="Times New Roman" w:hAnsi="Times New Roman" w:cs="Times New Roman"/>
          <w:snapToGrid w:val="0"/>
          <w:lang w:val="lv-LV"/>
        </w:rPr>
        <w:t xml:space="preserve">2. punkta </w:t>
      </w:r>
      <w:r>
        <w:rPr>
          <w:rFonts w:ascii="Times New Roman" w:hAnsi="Times New Roman" w:cs="Times New Roman"/>
          <w:snapToGrid w:val="0"/>
          <w:lang w:val="lv-LV"/>
        </w:rPr>
        <w:t>a) apakšpunktā noteiktā šķīrējtiesas procedūra notiek</w:t>
      </w:r>
      <w:r w:rsidR="006468C0">
        <w:rPr>
          <w:rFonts w:ascii="Times New Roman" w:hAnsi="Times New Roman" w:cs="Times New Roman"/>
          <w:snapToGrid w:val="0"/>
          <w:lang w:val="lv-LV"/>
        </w:rPr>
        <w:t xml:space="preserve"> tā</w:t>
      </w:r>
      <w:r>
        <w:rPr>
          <w:rFonts w:ascii="Times New Roman" w:hAnsi="Times New Roman" w:cs="Times New Roman"/>
          <w:snapToGrid w:val="0"/>
          <w:lang w:val="lv-LV"/>
        </w:rPr>
        <w:t>, kā aprakstīts turpmāk.</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1.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Puse var ierosināt vēršanos šķīrējtiesā saskaņā ar šīs konvencijas 25. pantu, nosūtot rakstisku paziņojumu, kas adres</w:t>
      </w:r>
      <w:r w:rsidR="00FC7169">
        <w:rPr>
          <w:rFonts w:ascii="Times New Roman" w:hAnsi="Times New Roman" w:cs="Times New Roman"/>
          <w:snapToGrid w:val="0"/>
          <w:lang w:val="lv-LV"/>
        </w:rPr>
        <w:t xml:space="preserve">ēts </w:t>
      </w:r>
      <w:r w:rsidR="0048459A">
        <w:rPr>
          <w:rFonts w:ascii="Times New Roman" w:hAnsi="Times New Roman" w:cs="Times New Roman"/>
          <w:snapToGrid w:val="0"/>
          <w:lang w:val="lv-LV"/>
        </w:rPr>
        <w:t xml:space="preserve">otrajai </w:t>
      </w:r>
      <w:r w:rsidR="00FC7169">
        <w:rPr>
          <w:rFonts w:ascii="Times New Roman" w:hAnsi="Times New Roman" w:cs="Times New Roman"/>
          <w:snapToGrid w:val="0"/>
          <w:lang w:val="lv-LV"/>
        </w:rPr>
        <w:t>strīdā iesaistītajai</w:t>
      </w:r>
      <w:r>
        <w:rPr>
          <w:rFonts w:ascii="Times New Roman" w:hAnsi="Times New Roman" w:cs="Times New Roman"/>
          <w:snapToGrid w:val="0"/>
          <w:lang w:val="lv-LV"/>
        </w:rPr>
        <w:t xml:space="preserve"> pusei vai pusēm. Paziņojumam pievieno pretenziju, kā arī </w:t>
      </w:r>
      <w:r w:rsidR="00FC7169">
        <w:rPr>
          <w:rFonts w:ascii="Times New Roman" w:hAnsi="Times New Roman" w:cs="Times New Roman"/>
          <w:snapToGrid w:val="0"/>
          <w:lang w:val="lv-LV"/>
        </w:rPr>
        <w:t>vis</w:t>
      </w:r>
      <w:r>
        <w:rPr>
          <w:rFonts w:ascii="Times New Roman" w:hAnsi="Times New Roman" w:cs="Times New Roman"/>
          <w:snapToGrid w:val="0"/>
          <w:lang w:val="lv-LV"/>
        </w:rPr>
        <w:t xml:space="preserve">us papilddokumentus. Šajā paziņojumā </w:t>
      </w:r>
      <w:r w:rsidR="00FC7169">
        <w:rPr>
          <w:rFonts w:ascii="Times New Roman" w:hAnsi="Times New Roman" w:cs="Times New Roman"/>
          <w:snapToGrid w:val="0"/>
          <w:lang w:val="lv-LV"/>
        </w:rPr>
        <w:t xml:space="preserve">tiek minēts </w:t>
      </w:r>
      <w:r>
        <w:rPr>
          <w:rFonts w:ascii="Times New Roman" w:hAnsi="Times New Roman" w:cs="Times New Roman"/>
          <w:snapToGrid w:val="0"/>
          <w:lang w:val="lv-LV"/>
        </w:rPr>
        <w:t>šķīrējt</w:t>
      </w:r>
      <w:r w:rsidR="0048459A">
        <w:rPr>
          <w:rFonts w:ascii="Times New Roman" w:hAnsi="Times New Roman" w:cs="Times New Roman"/>
          <w:snapToGrid w:val="0"/>
          <w:lang w:val="lv-LV"/>
        </w:rPr>
        <w:t>iesā izskatāmā strīda priekšmets</w:t>
      </w:r>
      <w:r>
        <w:rPr>
          <w:rFonts w:ascii="Times New Roman" w:hAnsi="Times New Roman" w:cs="Times New Roman"/>
          <w:snapToGrid w:val="0"/>
          <w:lang w:val="lv-LV"/>
        </w:rPr>
        <w:t xml:space="preserve"> un īpaši </w:t>
      </w:r>
      <w:r w:rsidR="0048459A">
        <w:rPr>
          <w:rFonts w:ascii="Times New Roman" w:hAnsi="Times New Roman" w:cs="Times New Roman"/>
          <w:snapToGrid w:val="0"/>
          <w:lang w:val="lv-LV"/>
        </w:rPr>
        <w:t>norādīti</w:t>
      </w:r>
      <w:r w:rsidR="00FC7169">
        <w:rPr>
          <w:rFonts w:ascii="Times New Roman" w:hAnsi="Times New Roman" w:cs="Times New Roman"/>
          <w:snapToGrid w:val="0"/>
          <w:lang w:val="lv-LV"/>
        </w:rPr>
        <w:t xml:space="preserve"> </w:t>
      </w:r>
      <w:r w:rsidR="0048459A">
        <w:rPr>
          <w:rFonts w:ascii="Times New Roman" w:hAnsi="Times New Roman" w:cs="Times New Roman"/>
          <w:snapToGrid w:val="0"/>
          <w:lang w:val="lv-LV"/>
        </w:rPr>
        <w:t>tie šīs konvencijas panti</w:t>
      </w:r>
      <w:r>
        <w:rPr>
          <w:rFonts w:ascii="Times New Roman" w:hAnsi="Times New Roman" w:cs="Times New Roman"/>
          <w:snapToGrid w:val="0"/>
          <w:lang w:val="lv-LV"/>
        </w:rPr>
        <w:t>, par kuru interpretāciju vai piemērošanu izcēlies strīds.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54" w:name="bookmark54"/>
      <w:r>
        <w:rPr>
          <w:rFonts w:ascii="Times New Roman" w:hAnsi="Times New Roman" w:cs="Times New Roman"/>
          <w:snapToGrid w:val="0"/>
          <w:lang w:val="lv-LV"/>
        </w:rPr>
        <w:t xml:space="preserve">2. Puse prasītāja paziņo sekretariātam, ka tā nodod strīdu izskatīšanai šķīrējtiesā saskaņā ar šīs konvencijas 25. pantu. </w:t>
      </w:r>
      <w:r w:rsidR="00FC7169">
        <w:rPr>
          <w:rFonts w:ascii="Times New Roman" w:hAnsi="Times New Roman" w:cs="Times New Roman"/>
          <w:snapToGrid w:val="0"/>
          <w:lang w:val="lv-LV"/>
        </w:rPr>
        <w:t>Paziņojumam pievieno</w:t>
      </w:r>
      <w:r>
        <w:rPr>
          <w:rFonts w:ascii="Times New Roman" w:hAnsi="Times New Roman" w:cs="Times New Roman"/>
          <w:snapToGrid w:val="0"/>
          <w:lang w:val="lv-LV"/>
        </w:rPr>
        <w:t xml:space="preserve"> puses prasītājas rakstisku paziņojumu, pretenziju un 1. punktā minētos papilddokumentus.</w:t>
      </w:r>
      <w:r w:rsidR="0048459A">
        <w:rPr>
          <w:rFonts w:ascii="Times New Roman" w:hAnsi="Times New Roman" w:cs="Times New Roman"/>
          <w:snapToGrid w:val="0"/>
          <w:lang w:val="lv-LV"/>
        </w:rPr>
        <w:t xml:space="preserve"> Š</w:t>
      </w:r>
      <w:r>
        <w:rPr>
          <w:rFonts w:ascii="Times New Roman" w:hAnsi="Times New Roman" w:cs="Times New Roman"/>
          <w:snapToGrid w:val="0"/>
          <w:lang w:val="lv-LV"/>
        </w:rPr>
        <w:t xml:space="preserve">ādā veidā saņemto informāciju </w:t>
      </w:r>
      <w:r w:rsidR="0048459A">
        <w:rPr>
          <w:rFonts w:ascii="Times New Roman" w:hAnsi="Times New Roman" w:cs="Times New Roman"/>
          <w:snapToGrid w:val="0"/>
          <w:lang w:val="lv-LV"/>
        </w:rPr>
        <w:t xml:space="preserve">sekretariāts </w:t>
      </w:r>
      <w:r>
        <w:rPr>
          <w:rFonts w:ascii="Times New Roman" w:hAnsi="Times New Roman" w:cs="Times New Roman"/>
          <w:snapToGrid w:val="0"/>
          <w:lang w:val="lv-LV"/>
        </w:rPr>
        <w:t>nosūta visām pusēm.</w:t>
      </w:r>
    </w:p>
    <w:bookmarkEnd w:id="54"/>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2.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sidRPr="00FC7169">
        <w:rPr>
          <w:rFonts w:ascii="Times New Roman" w:hAnsi="Times New Roman" w:cs="Times New Roman"/>
          <w:snapToGrid w:val="0"/>
          <w:lang w:val="lv-LV"/>
        </w:rPr>
        <w:t xml:space="preserve">1. </w:t>
      </w:r>
      <w:r w:rsidR="0048459A">
        <w:rPr>
          <w:rFonts w:ascii="Times New Roman" w:hAnsi="Times New Roman" w:cs="Times New Roman"/>
          <w:snapToGrid w:val="0"/>
          <w:lang w:val="lv-LV"/>
        </w:rPr>
        <w:t>Ja strīdu</w:t>
      </w:r>
      <w:r w:rsidRPr="00FC7169">
        <w:rPr>
          <w:rFonts w:ascii="Times New Roman" w:hAnsi="Times New Roman" w:cs="Times New Roman"/>
          <w:snapToGrid w:val="0"/>
          <w:lang w:val="lv-LV"/>
        </w:rPr>
        <w:t xml:space="preserve"> </w:t>
      </w:r>
      <w:r w:rsidR="0048459A" w:rsidRPr="00FC7169">
        <w:rPr>
          <w:rFonts w:ascii="Times New Roman" w:hAnsi="Times New Roman" w:cs="Times New Roman"/>
          <w:snapToGrid w:val="0"/>
          <w:lang w:val="lv-LV"/>
        </w:rPr>
        <w:t xml:space="preserve">saskaņā ar 1. pantu </w:t>
      </w:r>
      <w:r w:rsidR="0048459A">
        <w:rPr>
          <w:rFonts w:ascii="Times New Roman" w:hAnsi="Times New Roman" w:cs="Times New Roman"/>
          <w:snapToGrid w:val="0"/>
          <w:lang w:val="lv-LV"/>
        </w:rPr>
        <w:t>nodod</w:t>
      </w:r>
      <w:r w:rsidRPr="00FC7169">
        <w:rPr>
          <w:rFonts w:ascii="Times New Roman" w:hAnsi="Times New Roman" w:cs="Times New Roman"/>
          <w:snapToGrid w:val="0"/>
          <w:lang w:val="lv-LV"/>
        </w:rPr>
        <w:t xml:space="preserve"> izskatīšanai šķīrējtiesā, tad </w:t>
      </w:r>
      <w:r w:rsidR="0048459A">
        <w:rPr>
          <w:rFonts w:ascii="Times New Roman" w:hAnsi="Times New Roman" w:cs="Times New Roman"/>
          <w:snapToGrid w:val="0"/>
          <w:lang w:val="lv-LV"/>
        </w:rPr>
        <w:t>izveido šķīrējtiesu</w:t>
      </w:r>
      <w:r w:rsidRPr="00FC7169">
        <w:rPr>
          <w:rFonts w:ascii="Times New Roman" w:hAnsi="Times New Roman" w:cs="Times New Roman"/>
          <w:snapToGrid w:val="0"/>
          <w:lang w:val="lv-LV"/>
        </w:rPr>
        <w:t>. Tās sastāvā ir trīs locekļi.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2. Katra no strīda pusēm ieceļ savu šķīrējtiesnesi, un abi šādi ieceltie šķīrējtiesneši, abpusēji vienojoties, apstiprina trešo šķīrēj</w:t>
      </w:r>
      <w:r w:rsidR="00FC7169">
        <w:rPr>
          <w:rFonts w:ascii="Times New Roman" w:hAnsi="Times New Roman" w:cs="Times New Roman"/>
          <w:snapToGrid w:val="0"/>
          <w:lang w:val="lv-LV"/>
        </w:rPr>
        <w:t>tiesnesi, kas</w:t>
      </w:r>
      <w:r>
        <w:rPr>
          <w:rFonts w:ascii="Times New Roman" w:hAnsi="Times New Roman" w:cs="Times New Roman"/>
          <w:snapToGrid w:val="0"/>
          <w:lang w:val="lv-LV"/>
        </w:rPr>
        <w:t xml:space="preserve"> ir šķīrējtiesas priekšsēdētājs. Ja strīds ir starp vairākām pusēm, puses ar vienādām interesēm kopīgi ieceļ vienu šķīrējtiesnesi, savstarpēji vienojoties. </w:t>
      </w:r>
      <w:r w:rsidR="000B23DE">
        <w:rPr>
          <w:rFonts w:ascii="Times New Roman" w:hAnsi="Times New Roman" w:cs="Times New Roman"/>
          <w:snapToGrid w:val="0"/>
          <w:lang w:val="lv-LV"/>
        </w:rPr>
        <w:t xml:space="preserve">Šķīrējtiesas priekšsēdētājs </w:t>
      </w:r>
      <w:r w:rsidR="0048459A">
        <w:rPr>
          <w:rFonts w:ascii="Times New Roman" w:hAnsi="Times New Roman" w:cs="Times New Roman"/>
          <w:snapToGrid w:val="0"/>
          <w:lang w:val="lv-LV"/>
        </w:rPr>
        <w:t>nav kādas strīdā iesaistītās</w:t>
      </w:r>
      <w:r>
        <w:rPr>
          <w:rFonts w:ascii="Times New Roman" w:hAnsi="Times New Roman" w:cs="Times New Roman"/>
          <w:snapToGrid w:val="0"/>
          <w:lang w:val="lv-LV"/>
        </w:rPr>
        <w:t xml:space="preserve"> </w:t>
      </w:r>
      <w:r w:rsidR="0048459A">
        <w:rPr>
          <w:rFonts w:ascii="Times New Roman" w:hAnsi="Times New Roman" w:cs="Times New Roman"/>
          <w:snapToGrid w:val="0"/>
          <w:lang w:val="lv-LV"/>
        </w:rPr>
        <w:t>puse</w:t>
      </w:r>
      <w:r>
        <w:rPr>
          <w:rFonts w:ascii="Times New Roman" w:hAnsi="Times New Roman" w:cs="Times New Roman"/>
          <w:snapToGrid w:val="0"/>
          <w:lang w:val="lv-LV"/>
        </w:rPr>
        <w:t xml:space="preserve">s </w:t>
      </w:r>
      <w:r w:rsidR="00FC7169">
        <w:rPr>
          <w:rFonts w:ascii="Times New Roman" w:hAnsi="Times New Roman" w:cs="Times New Roman"/>
          <w:snapToGrid w:val="0"/>
          <w:lang w:val="lv-LV"/>
        </w:rPr>
        <w:t>pilsoni</w:t>
      </w:r>
      <w:r>
        <w:rPr>
          <w:rFonts w:ascii="Times New Roman" w:hAnsi="Times New Roman" w:cs="Times New Roman"/>
          <w:snapToGrid w:val="0"/>
          <w:lang w:val="lv-LV"/>
        </w:rPr>
        <w:t xml:space="preserve">s, </w:t>
      </w:r>
      <w:r w:rsidR="00FC7169">
        <w:rPr>
          <w:rFonts w:ascii="Times New Roman" w:hAnsi="Times New Roman" w:cs="Times New Roman"/>
          <w:snapToGrid w:val="0"/>
          <w:lang w:val="lv-LV"/>
        </w:rPr>
        <w:t xml:space="preserve">un </w:t>
      </w:r>
      <w:r>
        <w:rPr>
          <w:rFonts w:ascii="Times New Roman" w:hAnsi="Times New Roman" w:cs="Times New Roman"/>
          <w:snapToGrid w:val="0"/>
          <w:lang w:val="lv-LV"/>
        </w:rPr>
        <w:t xml:space="preserve">viņa parastā dzīves vieta nav kādā no šo pušu teritorijām, </w:t>
      </w:r>
      <w:r w:rsidR="00FC7169">
        <w:rPr>
          <w:rFonts w:ascii="Times New Roman" w:hAnsi="Times New Roman" w:cs="Times New Roman"/>
          <w:snapToGrid w:val="0"/>
          <w:lang w:val="lv-LV"/>
        </w:rPr>
        <w:t xml:space="preserve">kā arī </w:t>
      </w:r>
      <w:r>
        <w:rPr>
          <w:rFonts w:ascii="Times New Roman" w:hAnsi="Times New Roman" w:cs="Times New Roman"/>
          <w:snapToGrid w:val="0"/>
          <w:lang w:val="lv-LV"/>
        </w:rPr>
        <w:t>viņš nav nodarbināts nevienā no tām un nekādā citādā statusā nav nodarbojies ar šo lietu.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3. </w:t>
      </w:r>
      <w:r w:rsidR="0048459A">
        <w:rPr>
          <w:rFonts w:ascii="Times New Roman" w:hAnsi="Times New Roman" w:cs="Times New Roman"/>
          <w:snapToGrid w:val="0"/>
          <w:lang w:val="lv-LV"/>
        </w:rPr>
        <w:t>Jebkura vakance aizpildāma tā, kā tas noteikts attiecībā uz</w:t>
      </w:r>
      <w:r>
        <w:rPr>
          <w:rFonts w:ascii="Times New Roman" w:hAnsi="Times New Roman" w:cs="Times New Roman"/>
          <w:snapToGrid w:val="0"/>
          <w:lang w:val="lv-LV"/>
        </w:rPr>
        <w:t xml:space="preserve"> </w:t>
      </w:r>
      <w:r w:rsidR="0048459A">
        <w:rPr>
          <w:rFonts w:ascii="Times New Roman" w:hAnsi="Times New Roman" w:cs="Times New Roman"/>
          <w:snapToGrid w:val="0"/>
          <w:lang w:val="lv-LV"/>
        </w:rPr>
        <w:t>sākotnējo iecelšanu</w:t>
      </w:r>
      <w:r>
        <w:rPr>
          <w:rFonts w:ascii="Times New Roman" w:hAnsi="Times New Roman" w:cs="Times New Roman"/>
          <w:snapToGrid w:val="0"/>
          <w:lang w:val="lv-LV"/>
        </w:rPr>
        <w:t>.</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3.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Ja viena no strīdā iesaistītajām pusēm divu mēnešu laikā pēc datuma, kad puse atbildētāja saņēmusi paziņojumu par strīda izskatīšanu šķīrējtiesā, neapstiprina šķīrējtiesnesi, otra puse var informēt Apvienoto Nāciju Organizācijas</w:t>
      </w:r>
      <w:r w:rsidR="00D83F0E">
        <w:rPr>
          <w:rFonts w:ascii="Times New Roman" w:hAnsi="Times New Roman" w:cs="Times New Roman"/>
          <w:snapToGrid w:val="0"/>
          <w:lang w:val="lv-LV"/>
        </w:rPr>
        <w:t xml:space="preserve"> ģenerālsekretāru, kas</w:t>
      </w:r>
      <w:r>
        <w:rPr>
          <w:rFonts w:ascii="Times New Roman" w:hAnsi="Times New Roman" w:cs="Times New Roman"/>
          <w:snapToGrid w:val="0"/>
          <w:lang w:val="lv-LV"/>
        </w:rPr>
        <w:t xml:space="preserve"> var iecelt šķīrējtiesnesi nākamo divu mēnešu laikā.</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55" w:name="bookmark55"/>
      <w:r>
        <w:rPr>
          <w:rFonts w:ascii="Times New Roman" w:hAnsi="Times New Roman" w:cs="Times New Roman"/>
          <w:snapToGrid w:val="0"/>
          <w:lang w:val="lv-LV"/>
        </w:rPr>
        <w:t xml:space="preserve">2. Ja šķīrējtiesas priekšsēdētājs netiek iecelts divu mēnešu laikā pēc otrā šķīrējtiesneša iecelšanas, Apvienoto Nāciju Organizācijas </w:t>
      </w:r>
      <w:r w:rsidR="00D83F0E">
        <w:rPr>
          <w:rFonts w:ascii="Times New Roman" w:hAnsi="Times New Roman" w:cs="Times New Roman"/>
          <w:snapToGrid w:val="0"/>
          <w:lang w:val="lv-LV"/>
        </w:rPr>
        <w:t>ģenerālsekretārs</w:t>
      </w:r>
      <w:r>
        <w:rPr>
          <w:rFonts w:ascii="Times New Roman" w:hAnsi="Times New Roman" w:cs="Times New Roman"/>
          <w:snapToGrid w:val="0"/>
          <w:lang w:val="lv-LV"/>
        </w:rPr>
        <w:t xml:space="preserve"> atbilstoši puses lūgumam ieceļ priekšsēdētāju nākamo divu mēnešu laikā.</w:t>
      </w:r>
    </w:p>
    <w:bookmarkEnd w:id="55"/>
    <w:p w:rsidR="0060722E" w:rsidRDefault="0060722E">
      <w:pPr>
        <w:jc w:val="both"/>
        <w:rPr>
          <w:rFonts w:ascii="Times New Roman" w:hAnsi="Times New Roman" w:cs="Times New Roman"/>
          <w:snapToGrid w:val="0"/>
          <w:lang w:val="lv-LV"/>
        </w:rPr>
      </w:pPr>
    </w:p>
    <w:p w:rsidR="0060722E" w:rsidRDefault="0060722E" w:rsidP="00172C7C">
      <w:pPr>
        <w:keepNext/>
        <w:jc w:val="both"/>
        <w:rPr>
          <w:rFonts w:ascii="Times New Roman" w:hAnsi="Times New Roman" w:cs="Times New Roman"/>
          <w:b/>
          <w:bCs/>
          <w:snapToGrid w:val="0"/>
          <w:lang w:val="lv-LV"/>
        </w:rPr>
      </w:pPr>
      <w:r>
        <w:rPr>
          <w:rFonts w:ascii="Times New Roman" w:hAnsi="Times New Roman" w:cs="Times New Roman"/>
          <w:b/>
          <w:bCs/>
          <w:snapToGrid w:val="0"/>
          <w:lang w:val="lv-LV"/>
        </w:rPr>
        <w:lastRenderedPageBreak/>
        <w:t>4. pants</w:t>
      </w:r>
    </w:p>
    <w:p w:rsidR="0060722E" w:rsidRDefault="0060722E" w:rsidP="00172C7C">
      <w:pPr>
        <w:keepNext/>
        <w:jc w:val="both"/>
        <w:rPr>
          <w:rFonts w:ascii="Times New Roman" w:hAnsi="Times New Roman" w:cs="Times New Roman"/>
          <w:snapToGrid w:val="0"/>
          <w:lang w:val="lv-LV"/>
        </w:rPr>
      </w:pPr>
    </w:p>
    <w:p w:rsidR="0060722E" w:rsidRDefault="0060722E" w:rsidP="00172C7C">
      <w:pPr>
        <w:keepNext/>
        <w:jc w:val="both"/>
        <w:rPr>
          <w:rFonts w:ascii="Times New Roman" w:hAnsi="Times New Roman" w:cs="Times New Roman"/>
          <w:snapToGrid w:val="0"/>
          <w:lang w:val="lv-LV"/>
        </w:rPr>
      </w:pPr>
      <w:bookmarkStart w:id="56" w:name="bookmark56"/>
      <w:r>
        <w:rPr>
          <w:rFonts w:ascii="Times New Roman" w:hAnsi="Times New Roman" w:cs="Times New Roman"/>
          <w:snapToGrid w:val="0"/>
          <w:lang w:val="lv-LV"/>
        </w:rPr>
        <w:t>Šķīrējtiesa pieņem savus lēmumus saskaņā ar šīs konvencijas un starptautisko tiesību aktu noteikumiem.</w:t>
      </w:r>
    </w:p>
    <w:bookmarkEnd w:id="56"/>
    <w:p w:rsidR="0060722E" w:rsidRDefault="0060722E" w:rsidP="00172C7C">
      <w:pPr>
        <w:keepNext/>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5.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Ja vien strīdā iesaistītās puses nepieņem citu lēmumu, tad šķīrējtiesa pati nosaka savu reglamentu.</w:t>
      </w:r>
    </w:p>
    <w:p w:rsidR="0060722E" w:rsidRDefault="0060722E">
      <w:pPr>
        <w:jc w:val="both"/>
        <w:rPr>
          <w:rFonts w:ascii="Times New Roman" w:hAnsi="Times New Roman" w:cs="Times New Roman"/>
          <w:snapToGrid w:val="0"/>
          <w:lang w:val="lv-LV"/>
        </w:rPr>
      </w:pPr>
      <w:bookmarkStart w:id="57" w:name="bookmark57"/>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6. pants</w:t>
      </w:r>
      <w:bookmarkEnd w:id="57"/>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Šķīrējtiesa var atbilstoši strīdā iesaistīto pušu lūgumam ieteikt būtiskus pagaidu aizsardzības pasākumus.</w:t>
      </w:r>
    </w:p>
    <w:p w:rsidR="0060722E" w:rsidRDefault="0060722E">
      <w:pPr>
        <w:jc w:val="both"/>
        <w:rPr>
          <w:rFonts w:ascii="Times New Roman" w:hAnsi="Times New Roman" w:cs="Times New Roman"/>
          <w:snapToGrid w:val="0"/>
          <w:lang w:val="lv-LV"/>
        </w:rPr>
      </w:pPr>
      <w:bookmarkStart w:id="58" w:name="bookmark58"/>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7. pants</w:t>
      </w:r>
      <w:bookmarkEnd w:id="58"/>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Strīdā iesaistās puses veicina šķīrējtiesas darbu, jo īpaši</w:t>
      </w:r>
      <w:r w:rsidR="0048459A">
        <w:rPr>
          <w:rFonts w:ascii="Times New Roman" w:hAnsi="Times New Roman" w:cs="Times New Roman"/>
          <w:snapToGrid w:val="0"/>
          <w:lang w:val="lv-LV"/>
        </w:rPr>
        <w:t>,</w:t>
      </w:r>
      <w:r>
        <w:rPr>
          <w:rFonts w:ascii="Times New Roman" w:hAnsi="Times New Roman" w:cs="Times New Roman"/>
          <w:snapToGrid w:val="0"/>
          <w:lang w:val="lv-LV"/>
        </w:rPr>
        <w:t xml:space="preserve"> izmantojot visus to rīcībā esošus līdzekļus: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a) </w:t>
      </w:r>
      <w:r w:rsidR="00283154">
        <w:rPr>
          <w:rFonts w:ascii="Times New Roman" w:hAnsi="Times New Roman" w:cs="Times New Roman"/>
          <w:snapToGrid w:val="0"/>
          <w:lang w:val="lv-LV"/>
        </w:rPr>
        <w:t>nodrošina to ar visiem</w:t>
      </w:r>
      <w:r>
        <w:rPr>
          <w:rFonts w:ascii="Times New Roman" w:hAnsi="Times New Roman" w:cs="Times New Roman"/>
          <w:snapToGrid w:val="0"/>
          <w:lang w:val="lv-LV"/>
        </w:rPr>
        <w:t xml:space="preserve"> at</w:t>
      </w:r>
      <w:r w:rsidR="00283154">
        <w:rPr>
          <w:rFonts w:ascii="Times New Roman" w:hAnsi="Times New Roman" w:cs="Times New Roman"/>
          <w:snapToGrid w:val="0"/>
          <w:lang w:val="lv-LV"/>
        </w:rPr>
        <w:t>tiecīgajiem dokumentiem</w:t>
      </w:r>
      <w:r>
        <w:rPr>
          <w:rFonts w:ascii="Times New Roman" w:hAnsi="Times New Roman" w:cs="Times New Roman"/>
          <w:snapToGrid w:val="0"/>
          <w:lang w:val="lv-LV"/>
        </w:rPr>
        <w:t xml:space="preserve">, informāciju un </w:t>
      </w:r>
      <w:r w:rsidR="00283154">
        <w:rPr>
          <w:rFonts w:ascii="Times New Roman" w:hAnsi="Times New Roman" w:cs="Times New Roman"/>
          <w:snapToGrid w:val="0"/>
          <w:lang w:val="lv-LV"/>
        </w:rPr>
        <w:t>materiāli tehnisko bāzi</w:t>
      </w:r>
      <w:r>
        <w:rPr>
          <w:rFonts w:ascii="Times New Roman" w:hAnsi="Times New Roman" w:cs="Times New Roman"/>
          <w:snapToGrid w:val="0"/>
          <w:lang w:val="lv-LV"/>
        </w:rPr>
        <w:t xml:space="preserve"> un</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59" w:name="bookmark59"/>
      <w:r>
        <w:rPr>
          <w:rFonts w:ascii="Times New Roman" w:hAnsi="Times New Roman" w:cs="Times New Roman"/>
          <w:snapToGrid w:val="0"/>
          <w:lang w:val="lv-LV"/>
        </w:rPr>
        <w:t xml:space="preserve">b) nodrošina iespēju, ja nepieciešams, izsaukt lieciniekus vai ekspertus un saņemt </w:t>
      </w:r>
      <w:r w:rsidR="0048459A">
        <w:rPr>
          <w:rFonts w:ascii="Times New Roman" w:hAnsi="Times New Roman" w:cs="Times New Roman"/>
          <w:snapToGrid w:val="0"/>
          <w:lang w:val="lv-LV"/>
        </w:rPr>
        <w:t>viņu liecību</w:t>
      </w:r>
      <w:r>
        <w:rPr>
          <w:rFonts w:ascii="Times New Roman" w:hAnsi="Times New Roman" w:cs="Times New Roman"/>
          <w:snapToGrid w:val="0"/>
          <w:lang w:val="lv-LV"/>
        </w:rPr>
        <w:t>.</w:t>
      </w:r>
    </w:p>
    <w:bookmarkEnd w:id="59"/>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8. pants</w:t>
      </w:r>
    </w:p>
    <w:p w:rsidR="0060722E" w:rsidRDefault="0060722E">
      <w:pPr>
        <w:jc w:val="both"/>
        <w:rPr>
          <w:rFonts w:ascii="Times New Roman" w:hAnsi="Times New Roman" w:cs="Times New Roman"/>
          <w:snapToGrid w:val="0"/>
          <w:lang w:val="lv-LV"/>
        </w:rPr>
      </w:pPr>
    </w:p>
    <w:p w:rsidR="0060722E" w:rsidRPr="001906FA" w:rsidRDefault="0060722E">
      <w:pPr>
        <w:jc w:val="both"/>
        <w:rPr>
          <w:rFonts w:ascii="Times New Roman" w:hAnsi="Times New Roman" w:cs="Times New Roman"/>
          <w:snapToGrid w:val="0"/>
          <w:lang w:val="lv-LV"/>
        </w:rPr>
      </w:pPr>
      <w:bookmarkStart w:id="60" w:name="bookmark60"/>
      <w:r w:rsidRPr="001906FA">
        <w:rPr>
          <w:rFonts w:ascii="Times New Roman" w:hAnsi="Times New Roman" w:cs="Times New Roman"/>
          <w:snapToGrid w:val="0"/>
          <w:lang w:val="lv-LV"/>
        </w:rPr>
        <w:t xml:space="preserve">Strīdā iesaistītajām pusēm un šķīrējtiesnešiem tiek uzlikts par pienākumu aizsargāt </w:t>
      </w:r>
      <w:r w:rsidR="001906FA" w:rsidRPr="001906FA">
        <w:rPr>
          <w:rFonts w:ascii="Times New Roman" w:hAnsi="Times New Roman" w:cs="Times New Roman"/>
          <w:snapToGrid w:val="0"/>
          <w:lang w:val="lv-LV"/>
        </w:rPr>
        <w:t xml:space="preserve">šķīrējtiesas tiesvedības laikā </w:t>
      </w:r>
      <w:r w:rsidRPr="001906FA">
        <w:rPr>
          <w:rFonts w:ascii="Times New Roman" w:hAnsi="Times New Roman" w:cs="Times New Roman"/>
          <w:snapToGrid w:val="0"/>
          <w:lang w:val="lv-LV"/>
        </w:rPr>
        <w:t xml:space="preserve">jebkuras </w:t>
      </w:r>
      <w:r w:rsidR="001906FA" w:rsidRPr="001906FA">
        <w:rPr>
          <w:rFonts w:ascii="Times New Roman" w:hAnsi="Times New Roman" w:cs="Times New Roman"/>
          <w:snapToGrid w:val="0"/>
          <w:lang w:val="lv-LV"/>
        </w:rPr>
        <w:t>tāda</w:t>
      </w:r>
      <w:r w:rsidRPr="001906FA">
        <w:rPr>
          <w:rFonts w:ascii="Times New Roman" w:hAnsi="Times New Roman" w:cs="Times New Roman"/>
          <w:snapToGrid w:val="0"/>
          <w:lang w:val="lv-LV"/>
        </w:rPr>
        <w:t>s informācijas vai dokumentu</w:t>
      </w:r>
      <w:r w:rsidR="001906FA" w:rsidRPr="001906FA">
        <w:rPr>
          <w:rFonts w:ascii="Times New Roman" w:hAnsi="Times New Roman" w:cs="Times New Roman"/>
          <w:snapToGrid w:val="0"/>
          <w:lang w:val="lv-LV"/>
        </w:rPr>
        <w:t xml:space="preserve"> konfidencialitāti</w:t>
      </w:r>
      <w:r w:rsidRPr="001906FA">
        <w:rPr>
          <w:rFonts w:ascii="Times New Roman" w:hAnsi="Times New Roman" w:cs="Times New Roman"/>
          <w:snapToGrid w:val="0"/>
          <w:lang w:val="lv-LV"/>
        </w:rPr>
        <w:t>, ko tās saņem kā konfidenc</w:t>
      </w:r>
      <w:r w:rsidR="001906FA" w:rsidRPr="001906FA">
        <w:rPr>
          <w:rFonts w:ascii="Times New Roman" w:hAnsi="Times New Roman" w:cs="Times New Roman"/>
          <w:snapToGrid w:val="0"/>
          <w:lang w:val="lv-LV"/>
        </w:rPr>
        <w:t>iālu informāciju vai dokumentus</w:t>
      </w:r>
      <w:r w:rsidRPr="001906FA">
        <w:rPr>
          <w:rFonts w:ascii="Times New Roman" w:hAnsi="Times New Roman" w:cs="Times New Roman"/>
          <w:snapToGrid w:val="0"/>
          <w:lang w:val="lv-LV"/>
        </w:rPr>
        <w:t>.</w:t>
      </w:r>
    </w:p>
    <w:bookmarkEnd w:id="60"/>
    <w:p w:rsidR="0060722E" w:rsidRPr="001906FA" w:rsidRDefault="0060722E">
      <w:pPr>
        <w:jc w:val="both"/>
        <w:rPr>
          <w:rFonts w:ascii="Times New Roman" w:hAnsi="Times New Roman" w:cs="Times New Roman"/>
          <w:snapToGrid w:val="0"/>
          <w:lang w:val="lv-LV"/>
        </w:rPr>
      </w:pPr>
    </w:p>
    <w:p w:rsidR="0060722E" w:rsidRPr="001906FA" w:rsidRDefault="0060722E">
      <w:pPr>
        <w:jc w:val="both"/>
        <w:rPr>
          <w:rFonts w:ascii="Times New Roman" w:hAnsi="Times New Roman" w:cs="Times New Roman"/>
          <w:b/>
          <w:bCs/>
          <w:snapToGrid w:val="0"/>
          <w:lang w:val="lv-LV"/>
        </w:rPr>
      </w:pPr>
      <w:r w:rsidRPr="001906FA">
        <w:rPr>
          <w:rFonts w:ascii="Times New Roman" w:hAnsi="Times New Roman" w:cs="Times New Roman"/>
          <w:b/>
          <w:bCs/>
          <w:snapToGrid w:val="0"/>
          <w:lang w:val="lv-LV"/>
        </w:rPr>
        <w:t>9. pants</w:t>
      </w:r>
    </w:p>
    <w:p w:rsidR="0060722E" w:rsidRPr="003E1E96" w:rsidRDefault="0060722E">
      <w:pPr>
        <w:jc w:val="both"/>
        <w:rPr>
          <w:rFonts w:ascii="Times New Roman" w:hAnsi="Times New Roman" w:cs="Times New Roman"/>
          <w:snapToGrid w:val="0"/>
          <w:highlight w:val="green"/>
          <w:lang w:val="lv-LV"/>
        </w:rPr>
      </w:pPr>
    </w:p>
    <w:p w:rsidR="0060722E" w:rsidRDefault="0060722E">
      <w:pPr>
        <w:jc w:val="both"/>
        <w:rPr>
          <w:rFonts w:ascii="Times New Roman" w:hAnsi="Times New Roman" w:cs="Times New Roman"/>
          <w:snapToGrid w:val="0"/>
          <w:lang w:val="lv-LV"/>
        </w:rPr>
      </w:pPr>
      <w:bookmarkStart w:id="61" w:name="bookmark61"/>
      <w:r w:rsidRPr="001906FA">
        <w:rPr>
          <w:rFonts w:ascii="Times New Roman" w:hAnsi="Times New Roman" w:cs="Times New Roman"/>
          <w:snapToGrid w:val="0"/>
          <w:lang w:val="lv-LV"/>
        </w:rPr>
        <w:t>Ja v</w:t>
      </w:r>
      <w:r w:rsidR="000B23DE">
        <w:rPr>
          <w:rFonts w:ascii="Times New Roman" w:hAnsi="Times New Roman" w:cs="Times New Roman"/>
          <w:snapToGrid w:val="0"/>
          <w:lang w:val="lv-LV"/>
        </w:rPr>
        <w:t>ien šķīrējtiesa nenosaka citādi</w:t>
      </w:r>
      <w:r w:rsidRPr="001906FA">
        <w:rPr>
          <w:rFonts w:ascii="Times New Roman" w:hAnsi="Times New Roman" w:cs="Times New Roman"/>
          <w:snapToGrid w:val="0"/>
          <w:lang w:val="lv-LV"/>
        </w:rPr>
        <w:t xml:space="preserve"> attiecīgās lietas īpašo apstākļu dēļ</w:t>
      </w:r>
      <w:r w:rsidR="000B23DE">
        <w:rPr>
          <w:rFonts w:ascii="Times New Roman" w:hAnsi="Times New Roman" w:cs="Times New Roman"/>
          <w:snapToGrid w:val="0"/>
          <w:lang w:val="lv-LV"/>
        </w:rPr>
        <w:t>,</w:t>
      </w:r>
      <w:r w:rsidRPr="001906FA">
        <w:rPr>
          <w:rFonts w:ascii="Times New Roman" w:hAnsi="Times New Roman" w:cs="Times New Roman"/>
          <w:snapToGrid w:val="0"/>
          <w:lang w:val="lv-LV"/>
        </w:rPr>
        <w:t xml:space="preserve"> šķīrējtiesas izmaksas sedz strīdā iesaistītās puses vienlīdzīgās daļās. Šķīrējtiesa reģistrē visas savas izmaksas un sniedz par tām galīgo paziņojumu strīdā iesaistītajām pusēm.</w:t>
      </w:r>
    </w:p>
    <w:bookmarkEnd w:id="61"/>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10. pants</w:t>
      </w:r>
    </w:p>
    <w:p w:rsidR="0060722E" w:rsidRDefault="0060722E">
      <w:pPr>
        <w:jc w:val="both"/>
        <w:rPr>
          <w:rFonts w:ascii="Times New Roman" w:hAnsi="Times New Roman" w:cs="Times New Roman"/>
          <w:snapToGrid w:val="0"/>
          <w:lang w:val="lv-LV"/>
        </w:rPr>
      </w:pPr>
    </w:p>
    <w:p w:rsidR="0060722E" w:rsidRDefault="001906FA">
      <w:pPr>
        <w:jc w:val="both"/>
        <w:rPr>
          <w:rFonts w:ascii="Times New Roman" w:hAnsi="Times New Roman" w:cs="Times New Roman"/>
          <w:snapToGrid w:val="0"/>
          <w:lang w:val="lv-LV"/>
        </w:rPr>
      </w:pPr>
      <w:bookmarkStart w:id="62" w:name="bookmark62"/>
      <w:r>
        <w:rPr>
          <w:rFonts w:ascii="Times New Roman" w:hAnsi="Times New Roman" w:cs="Times New Roman"/>
          <w:snapToGrid w:val="0"/>
          <w:lang w:val="lv-LV"/>
        </w:rPr>
        <w:t>Puse, kura ir juridiski</w:t>
      </w:r>
      <w:r w:rsidR="0060722E">
        <w:rPr>
          <w:rFonts w:ascii="Times New Roman" w:hAnsi="Times New Roman" w:cs="Times New Roman"/>
          <w:snapToGrid w:val="0"/>
          <w:lang w:val="lv-LV"/>
        </w:rPr>
        <w:t xml:space="preserve"> </w:t>
      </w:r>
      <w:r>
        <w:rPr>
          <w:rFonts w:ascii="Times New Roman" w:hAnsi="Times New Roman" w:cs="Times New Roman"/>
          <w:snapToGrid w:val="0"/>
          <w:lang w:val="lv-LV"/>
        </w:rPr>
        <w:t>ieinteresēta strīda priekšmetā, ko</w:t>
      </w:r>
      <w:r w:rsidR="0060722E">
        <w:rPr>
          <w:rFonts w:ascii="Times New Roman" w:hAnsi="Times New Roman" w:cs="Times New Roman"/>
          <w:snapToGrid w:val="0"/>
          <w:lang w:val="lv-LV"/>
        </w:rPr>
        <w:t xml:space="preserve"> varētu ietekmēt pieņemtais </w:t>
      </w:r>
      <w:smartTag w:uri="schemas-tilde-lv/tildestengine" w:element="veidnes">
        <w:smartTagPr>
          <w:attr w:name="text" w:val="lēmums"/>
          <w:attr w:name="baseform" w:val="lēmums"/>
          <w:attr w:name="id" w:val="-1"/>
        </w:smartTagPr>
        <w:r w:rsidR="0060722E">
          <w:rPr>
            <w:rFonts w:ascii="Times New Roman" w:hAnsi="Times New Roman" w:cs="Times New Roman"/>
            <w:snapToGrid w:val="0"/>
            <w:lang w:val="lv-LV"/>
          </w:rPr>
          <w:t>lēmums</w:t>
        </w:r>
      </w:smartTag>
      <w:r w:rsidR="0060722E">
        <w:rPr>
          <w:rFonts w:ascii="Times New Roman" w:hAnsi="Times New Roman" w:cs="Times New Roman"/>
          <w:snapToGrid w:val="0"/>
          <w:lang w:val="lv-LV"/>
        </w:rPr>
        <w:t>, ar šķīrējtiesas piekrišanu var ie</w:t>
      </w:r>
      <w:r w:rsidR="00763FCF">
        <w:rPr>
          <w:rFonts w:ascii="Times New Roman" w:hAnsi="Times New Roman" w:cs="Times New Roman"/>
          <w:snapToGrid w:val="0"/>
          <w:lang w:val="lv-LV"/>
        </w:rPr>
        <w:t>stāties</w:t>
      </w:r>
      <w:r w:rsidR="0060722E">
        <w:rPr>
          <w:rFonts w:ascii="Times New Roman" w:hAnsi="Times New Roman" w:cs="Times New Roman"/>
          <w:snapToGrid w:val="0"/>
          <w:lang w:val="lv-LV"/>
        </w:rPr>
        <w:t xml:space="preserve"> </w:t>
      </w:r>
      <w:r w:rsidR="00763FCF">
        <w:rPr>
          <w:rFonts w:ascii="Times New Roman" w:hAnsi="Times New Roman" w:cs="Times New Roman"/>
          <w:snapToGrid w:val="0"/>
          <w:lang w:val="lv-LV"/>
        </w:rPr>
        <w:t>liet</w:t>
      </w:r>
      <w:r w:rsidR="0060722E">
        <w:rPr>
          <w:rFonts w:ascii="Times New Roman" w:hAnsi="Times New Roman" w:cs="Times New Roman"/>
          <w:snapToGrid w:val="0"/>
          <w:lang w:val="lv-LV"/>
        </w:rPr>
        <w:t>ā.</w:t>
      </w:r>
    </w:p>
    <w:bookmarkEnd w:id="62"/>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11.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63" w:name="bookmark63"/>
      <w:r>
        <w:rPr>
          <w:rFonts w:ascii="Times New Roman" w:hAnsi="Times New Roman" w:cs="Times New Roman"/>
          <w:snapToGrid w:val="0"/>
          <w:lang w:val="lv-LV"/>
        </w:rPr>
        <w:t>Šķīrējtiesa var izskatīt lietu un noteikt pretprasības, kas tieši izriet no strīda priekšmeta.</w:t>
      </w:r>
    </w:p>
    <w:bookmarkEnd w:id="63"/>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12.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64" w:name="bookmark64"/>
      <w:r>
        <w:rPr>
          <w:rFonts w:ascii="Times New Roman" w:hAnsi="Times New Roman" w:cs="Times New Roman"/>
          <w:snapToGrid w:val="0"/>
          <w:lang w:val="lv-LV"/>
        </w:rPr>
        <w:t>Lēmumus gan par šķīrējtiesas procedūru, gan būtību pieņem ar tās locekļu balsu vairākumu.</w:t>
      </w:r>
    </w:p>
    <w:bookmarkEnd w:id="64"/>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lastRenderedPageBreak/>
        <w:t>13.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Ja viena no strīdā iesaistītajām pusēm neierodas šķīrējtiesā vai nespēj aizstāvēt savu lietu, otrā puse var lūgt šķīrējtiesu turpināt lietas izskatīšanu un pieņemt lēmumu. Kādas puses neierašanās tiesā vai nespēja aizstāvēt savu lietu nevar apturēt tiesvedību.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2. Pirms </w:t>
      </w:r>
      <w:r w:rsidR="001906FA">
        <w:rPr>
          <w:rFonts w:ascii="Times New Roman" w:hAnsi="Times New Roman" w:cs="Times New Roman"/>
          <w:snapToGrid w:val="0"/>
          <w:lang w:val="lv-LV"/>
        </w:rPr>
        <w:t>galīgā lēmuma pieņemšanas</w:t>
      </w:r>
      <w:r>
        <w:rPr>
          <w:rFonts w:ascii="Times New Roman" w:hAnsi="Times New Roman" w:cs="Times New Roman"/>
          <w:snapToGrid w:val="0"/>
          <w:lang w:val="lv-LV"/>
        </w:rPr>
        <w:t xml:space="preserve"> šķīrējtiesai ir jāpārliecinās</w:t>
      </w:r>
      <w:r w:rsidR="001906FA">
        <w:rPr>
          <w:rFonts w:ascii="Times New Roman" w:hAnsi="Times New Roman" w:cs="Times New Roman"/>
          <w:snapToGrid w:val="0"/>
          <w:lang w:val="lv-LV"/>
        </w:rPr>
        <w:t xml:space="preserve"> par to, vai</w:t>
      </w:r>
      <w:r>
        <w:rPr>
          <w:rFonts w:ascii="Times New Roman" w:hAnsi="Times New Roman" w:cs="Times New Roman"/>
          <w:snapToGrid w:val="0"/>
          <w:lang w:val="lv-LV"/>
        </w:rPr>
        <w:t xml:space="preserve"> prasība ir pamatota gan ar faktiem, gan ar likumu.</w:t>
      </w:r>
    </w:p>
    <w:p w:rsidR="0060722E" w:rsidRDefault="0060722E">
      <w:pPr>
        <w:jc w:val="both"/>
        <w:rPr>
          <w:rFonts w:ascii="Times New Roman" w:hAnsi="Times New Roman" w:cs="Times New Roman"/>
          <w:snapToGrid w:val="0"/>
          <w:lang w:val="lv-LV"/>
        </w:rPr>
      </w:pPr>
      <w:bookmarkStart w:id="65" w:name="bookmark65"/>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14. pants</w:t>
      </w:r>
      <w:bookmarkEnd w:id="65"/>
    </w:p>
    <w:p w:rsidR="0060722E" w:rsidRDefault="0060722E">
      <w:pPr>
        <w:jc w:val="both"/>
        <w:rPr>
          <w:rFonts w:ascii="Times New Roman" w:hAnsi="Times New Roman" w:cs="Times New Roman"/>
          <w:snapToGrid w:val="0"/>
          <w:lang w:val="lv-LV"/>
        </w:rPr>
      </w:pPr>
    </w:p>
    <w:p w:rsidR="0060722E" w:rsidRPr="00097035" w:rsidRDefault="0060722E">
      <w:pPr>
        <w:jc w:val="both"/>
        <w:rPr>
          <w:rFonts w:ascii="Times New Roman" w:hAnsi="Times New Roman" w:cs="Times New Roman"/>
          <w:snapToGrid w:val="0"/>
          <w:lang w:val="lv-LV"/>
        </w:rPr>
      </w:pPr>
      <w:bookmarkStart w:id="66" w:name="bookmark66"/>
      <w:r w:rsidRPr="00097035">
        <w:rPr>
          <w:rFonts w:ascii="Times New Roman" w:hAnsi="Times New Roman" w:cs="Times New Roman"/>
          <w:snapToGrid w:val="0"/>
          <w:lang w:val="lv-LV"/>
        </w:rPr>
        <w:t>Šķīrējtiesa pieņem savu galīgo lēmumu piecu mēnešu laikā, sākot ar tās sastāva pilnīgas nokomplek</w:t>
      </w:r>
      <w:r w:rsidR="00097035" w:rsidRPr="00097035">
        <w:rPr>
          <w:rFonts w:ascii="Times New Roman" w:hAnsi="Times New Roman" w:cs="Times New Roman"/>
          <w:snapToGrid w:val="0"/>
          <w:lang w:val="lv-LV"/>
        </w:rPr>
        <w:t>tēšanas datumu, ja vien tā</w:t>
      </w:r>
      <w:r w:rsidRPr="00097035">
        <w:rPr>
          <w:rFonts w:ascii="Times New Roman" w:hAnsi="Times New Roman" w:cs="Times New Roman"/>
          <w:snapToGrid w:val="0"/>
          <w:lang w:val="lv-LV"/>
        </w:rPr>
        <w:t xml:space="preserve"> neuzskata par nepieciešamu pagarināt termiņu uz laiku, kam nevajadzētu pārsniegt nākamo piecu mēnešu periodu.</w:t>
      </w:r>
    </w:p>
    <w:bookmarkEnd w:id="66"/>
    <w:p w:rsidR="0060722E" w:rsidRPr="00097035" w:rsidRDefault="0060722E">
      <w:pPr>
        <w:jc w:val="both"/>
        <w:rPr>
          <w:rFonts w:ascii="Times New Roman" w:hAnsi="Times New Roman" w:cs="Times New Roman"/>
          <w:snapToGrid w:val="0"/>
          <w:lang w:val="lv-LV"/>
        </w:rPr>
      </w:pPr>
    </w:p>
    <w:p w:rsidR="0060722E" w:rsidRPr="00097035" w:rsidRDefault="0060722E">
      <w:pPr>
        <w:jc w:val="both"/>
        <w:rPr>
          <w:rFonts w:ascii="Times New Roman" w:hAnsi="Times New Roman" w:cs="Times New Roman"/>
          <w:b/>
          <w:bCs/>
          <w:snapToGrid w:val="0"/>
          <w:lang w:val="lv-LV"/>
        </w:rPr>
      </w:pPr>
      <w:r w:rsidRPr="00097035">
        <w:rPr>
          <w:rFonts w:ascii="Times New Roman" w:hAnsi="Times New Roman" w:cs="Times New Roman"/>
          <w:b/>
          <w:bCs/>
          <w:snapToGrid w:val="0"/>
          <w:lang w:val="lv-LV"/>
        </w:rPr>
        <w:t>15. pants</w:t>
      </w:r>
    </w:p>
    <w:p w:rsidR="0060722E" w:rsidRPr="001906FA" w:rsidRDefault="0060722E">
      <w:pPr>
        <w:jc w:val="both"/>
        <w:rPr>
          <w:rFonts w:ascii="Times New Roman" w:hAnsi="Times New Roman" w:cs="Times New Roman"/>
          <w:snapToGrid w:val="0"/>
          <w:highlight w:val="green"/>
          <w:lang w:val="lv-LV"/>
        </w:rPr>
      </w:pPr>
    </w:p>
    <w:p w:rsidR="0060722E" w:rsidRPr="00763FCF" w:rsidRDefault="0060722E">
      <w:pPr>
        <w:jc w:val="both"/>
        <w:rPr>
          <w:rFonts w:ascii="Times New Roman" w:hAnsi="Times New Roman" w:cs="Times New Roman"/>
          <w:snapToGrid w:val="0"/>
          <w:lang w:val="lv-LV"/>
        </w:rPr>
      </w:pPr>
      <w:bookmarkStart w:id="67" w:name="bookmark67"/>
      <w:r w:rsidRPr="00763FCF">
        <w:rPr>
          <w:rFonts w:ascii="Times New Roman" w:hAnsi="Times New Roman" w:cs="Times New Roman"/>
          <w:snapToGrid w:val="0"/>
          <w:lang w:val="lv-LV"/>
        </w:rPr>
        <w:t xml:space="preserve">Šķīrējtiesas galīgais </w:t>
      </w:r>
      <w:smartTag w:uri="schemas-tilde-lv/tildestengine" w:element="veidnes">
        <w:smartTagPr>
          <w:attr w:name="text" w:val="lēmums"/>
          <w:attr w:name="baseform" w:val="lēmums"/>
          <w:attr w:name="id" w:val="-1"/>
        </w:smartTagPr>
        <w:r w:rsidRPr="00763FCF">
          <w:rPr>
            <w:rFonts w:ascii="Times New Roman" w:hAnsi="Times New Roman" w:cs="Times New Roman"/>
            <w:snapToGrid w:val="0"/>
            <w:lang w:val="lv-LV"/>
          </w:rPr>
          <w:t>lēmums</w:t>
        </w:r>
      </w:smartTag>
      <w:r w:rsidRPr="00763FCF">
        <w:rPr>
          <w:rFonts w:ascii="Times New Roman" w:hAnsi="Times New Roman" w:cs="Times New Roman"/>
          <w:snapToGrid w:val="0"/>
          <w:lang w:val="lv-LV"/>
        </w:rPr>
        <w:t xml:space="preserve"> ietver tikai strīda priekšmetu un nosaka iemeslus, </w:t>
      </w:r>
      <w:r w:rsidR="00763FCF" w:rsidRPr="00763FCF">
        <w:rPr>
          <w:rFonts w:ascii="Times New Roman" w:hAnsi="Times New Roman" w:cs="Times New Roman"/>
          <w:snapToGrid w:val="0"/>
          <w:lang w:val="lv-LV"/>
        </w:rPr>
        <w:t>kas ir tā pamatā</w:t>
      </w:r>
      <w:r w:rsidRPr="00763FCF">
        <w:rPr>
          <w:rFonts w:ascii="Times New Roman" w:hAnsi="Times New Roman" w:cs="Times New Roman"/>
          <w:snapToGrid w:val="0"/>
          <w:lang w:val="lv-LV"/>
        </w:rPr>
        <w:t xml:space="preserve">. Tajā tiek norādīti </w:t>
      </w:r>
      <w:r w:rsidR="00763FCF" w:rsidRPr="00763FCF">
        <w:rPr>
          <w:rFonts w:ascii="Times New Roman" w:hAnsi="Times New Roman" w:cs="Times New Roman"/>
          <w:snapToGrid w:val="0"/>
          <w:lang w:val="lv-LV"/>
        </w:rPr>
        <w:t>to šķīrējtiesas locekļu vārdi</w:t>
      </w:r>
      <w:r w:rsidRPr="00763FCF">
        <w:rPr>
          <w:rFonts w:ascii="Times New Roman" w:hAnsi="Times New Roman" w:cs="Times New Roman"/>
          <w:snapToGrid w:val="0"/>
          <w:lang w:val="lv-LV"/>
        </w:rPr>
        <w:t>, kuri ir piedalījušies</w:t>
      </w:r>
      <w:r w:rsidR="00763FCF" w:rsidRPr="00763FCF">
        <w:rPr>
          <w:rFonts w:ascii="Times New Roman" w:hAnsi="Times New Roman" w:cs="Times New Roman"/>
          <w:snapToGrid w:val="0"/>
          <w:lang w:val="lv-LV"/>
        </w:rPr>
        <w:t xml:space="preserve"> galīgā lēmuma pieņemšanā</w:t>
      </w:r>
      <w:r w:rsidRPr="00763FCF">
        <w:rPr>
          <w:rFonts w:ascii="Times New Roman" w:hAnsi="Times New Roman" w:cs="Times New Roman"/>
          <w:snapToGrid w:val="0"/>
          <w:lang w:val="lv-LV"/>
        </w:rPr>
        <w:t xml:space="preserve">, un </w:t>
      </w:r>
      <w:r w:rsidR="00763FCF" w:rsidRPr="00763FCF">
        <w:rPr>
          <w:rFonts w:ascii="Times New Roman" w:hAnsi="Times New Roman" w:cs="Times New Roman"/>
          <w:snapToGrid w:val="0"/>
          <w:lang w:val="lv-LV"/>
        </w:rPr>
        <w:t xml:space="preserve">šī </w:t>
      </w:r>
      <w:r w:rsidRPr="00763FCF">
        <w:rPr>
          <w:rFonts w:ascii="Times New Roman" w:hAnsi="Times New Roman" w:cs="Times New Roman"/>
          <w:snapToGrid w:val="0"/>
          <w:lang w:val="lv-LV"/>
        </w:rPr>
        <w:t>lēmuma pieņemšanas datums. Jebkurš šķīrējtiesas loceklis var galīgajam lēmumam pievienot atsevišķu vai atšķirīgu viedokli.</w:t>
      </w:r>
    </w:p>
    <w:bookmarkEnd w:id="67"/>
    <w:p w:rsidR="0060722E" w:rsidRPr="00763FCF" w:rsidRDefault="0060722E">
      <w:pPr>
        <w:jc w:val="both"/>
        <w:rPr>
          <w:rFonts w:ascii="Times New Roman" w:hAnsi="Times New Roman" w:cs="Times New Roman"/>
          <w:snapToGrid w:val="0"/>
          <w:lang w:val="lv-LV"/>
        </w:rPr>
      </w:pPr>
    </w:p>
    <w:p w:rsidR="0060722E" w:rsidRPr="00763FCF" w:rsidRDefault="0060722E">
      <w:pPr>
        <w:jc w:val="both"/>
        <w:rPr>
          <w:rFonts w:ascii="Times New Roman" w:hAnsi="Times New Roman" w:cs="Times New Roman"/>
          <w:b/>
          <w:bCs/>
          <w:snapToGrid w:val="0"/>
          <w:lang w:val="lv-LV"/>
        </w:rPr>
      </w:pPr>
      <w:r w:rsidRPr="00763FCF">
        <w:rPr>
          <w:rFonts w:ascii="Times New Roman" w:hAnsi="Times New Roman" w:cs="Times New Roman"/>
          <w:b/>
          <w:bCs/>
          <w:snapToGrid w:val="0"/>
          <w:lang w:val="lv-LV"/>
        </w:rPr>
        <w:t>16. pants</w:t>
      </w:r>
    </w:p>
    <w:p w:rsidR="0060722E" w:rsidRPr="001906FA" w:rsidRDefault="0060722E">
      <w:pPr>
        <w:jc w:val="both"/>
        <w:rPr>
          <w:rFonts w:ascii="Times New Roman" w:hAnsi="Times New Roman" w:cs="Times New Roman"/>
          <w:snapToGrid w:val="0"/>
          <w:highlight w:val="green"/>
          <w:lang w:val="lv-LV"/>
        </w:rPr>
      </w:pPr>
    </w:p>
    <w:p w:rsidR="0060722E" w:rsidRDefault="0060722E">
      <w:pPr>
        <w:jc w:val="both"/>
        <w:rPr>
          <w:rFonts w:ascii="Times New Roman" w:hAnsi="Times New Roman" w:cs="Times New Roman"/>
          <w:snapToGrid w:val="0"/>
          <w:lang w:val="lv-LV"/>
        </w:rPr>
      </w:pPr>
      <w:bookmarkStart w:id="68" w:name="bookmark68"/>
      <w:r w:rsidRPr="00763FCF">
        <w:rPr>
          <w:rFonts w:ascii="Times New Roman" w:hAnsi="Times New Roman" w:cs="Times New Roman"/>
          <w:snapToGrid w:val="0"/>
          <w:lang w:val="lv-LV"/>
        </w:rPr>
        <w:t xml:space="preserve">Galīgais </w:t>
      </w:r>
      <w:smartTag w:uri="schemas-tilde-lv/tildestengine" w:element="veidnes">
        <w:smartTagPr>
          <w:attr w:name="text" w:val="lēmums"/>
          <w:attr w:name="baseform" w:val="lēmums"/>
          <w:attr w:name="id" w:val="-1"/>
        </w:smartTagPr>
        <w:r w:rsidRPr="00763FCF">
          <w:rPr>
            <w:rFonts w:ascii="Times New Roman" w:hAnsi="Times New Roman" w:cs="Times New Roman"/>
            <w:snapToGrid w:val="0"/>
            <w:lang w:val="lv-LV"/>
          </w:rPr>
          <w:t>lēmums</w:t>
        </w:r>
      </w:smartTag>
      <w:r w:rsidRPr="00763FCF">
        <w:rPr>
          <w:rFonts w:ascii="Times New Roman" w:hAnsi="Times New Roman" w:cs="Times New Roman"/>
          <w:snapToGrid w:val="0"/>
          <w:lang w:val="lv-LV"/>
        </w:rPr>
        <w:t xml:space="preserve"> ir saistošs strīdā iesaistītajām pusēm. Šīs konvencijas interpretācija, kas sniegta galīgajā lēmumā, </w:t>
      </w:r>
      <w:r w:rsidR="00763FCF" w:rsidRPr="00763FCF">
        <w:rPr>
          <w:rFonts w:ascii="Times New Roman" w:hAnsi="Times New Roman" w:cs="Times New Roman"/>
          <w:snapToGrid w:val="0"/>
          <w:lang w:val="lv-LV"/>
        </w:rPr>
        <w:t>ir saistoša arī pusei, kura iestājusies lietā</w:t>
      </w:r>
      <w:r w:rsidRPr="00763FCF">
        <w:rPr>
          <w:rFonts w:ascii="Times New Roman" w:hAnsi="Times New Roman" w:cs="Times New Roman"/>
          <w:snapToGrid w:val="0"/>
          <w:lang w:val="lv-LV"/>
        </w:rPr>
        <w:t xml:space="preserve"> saskaņā ar 10. pantu, ciktāl tas attiecas uz jautājumiem, </w:t>
      </w:r>
      <w:r w:rsidR="00763FCF" w:rsidRPr="00763FCF">
        <w:rPr>
          <w:rFonts w:ascii="Times New Roman" w:hAnsi="Times New Roman" w:cs="Times New Roman"/>
          <w:snapToGrid w:val="0"/>
          <w:lang w:val="lv-LV"/>
        </w:rPr>
        <w:t xml:space="preserve">saistībā ar </w:t>
      </w:r>
      <w:r w:rsidRPr="00763FCF">
        <w:rPr>
          <w:rFonts w:ascii="Times New Roman" w:hAnsi="Times New Roman" w:cs="Times New Roman"/>
          <w:snapToGrid w:val="0"/>
          <w:lang w:val="lv-LV"/>
        </w:rPr>
        <w:t>kuriem attiecīgā puse ir ie</w:t>
      </w:r>
      <w:r w:rsidR="00763FCF" w:rsidRPr="00763FCF">
        <w:rPr>
          <w:rFonts w:ascii="Times New Roman" w:hAnsi="Times New Roman" w:cs="Times New Roman"/>
          <w:snapToGrid w:val="0"/>
          <w:lang w:val="lv-LV"/>
        </w:rPr>
        <w:t>stāju</w:t>
      </w:r>
      <w:r w:rsidRPr="00763FCF">
        <w:rPr>
          <w:rFonts w:ascii="Times New Roman" w:hAnsi="Times New Roman" w:cs="Times New Roman"/>
          <w:snapToGrid w:val="0"/>
          <w:lang w:val="lv-LV"/>
        </w:rPr>
        <w:t>sies</w:t>
      </w:r>
      <w:r w:rsidR="00763FCF" w:rsidRPr="00763FCF">
        <w:rPr>
          <w:rFonts w:ascii="Times New Roman" w:hAnsi="Times New Roman" w:cs="Times New Roman"/>
          <w:snapToGrid w:val="0"/>
          <w:lang w:val="lv-LV"/>
        </w:rPr>
        <w:t xml:space="preserve"> lietā</w:t>
      </w:r>
      <w:r w:rsidRPr="00763FCF">
        <w:rPr>
          <w:rFonts w:ascii="Times New Roman" w:hAnsi="Times New Roman" w:cs="Times New Roman"/>
          <w:snapToGrid w:val="0"/>
          <w:lang w:val="lv-LV"/>
        </w:rPr>
        <w:t xml:space="preserve">. Galīgo lēmumu nevar pārsūdzēt, </w:t>
      </w:r>
      <w:r w:rsidR="00763FCF">
        <w:rPr>
          <w:rFonts w:ascii="Times New Roman" w:hAnsi="Times New Roman" w:cs="Times New Roman"/>
          <w:snapToGrid w:val="0"/>
          <w:lang w:val="lv-LV"/>
        </w:rPr>
        <w:t xml:space="preserve">izņemot tad, </w:t>
      </w:r>
      <w:r w:rsidRPr="00763FCF">
        <w:rPr>
          <w:rFonts w:ascii="Times New Roman" w:hAnsi="Times New Roman" w:cs="Times New Roman"/>
          <w:snapToGrid w:val="0"/>
          <w:lang w:val="lv-LV"/>
        </w:rPr>
        <w:t xml:space="preserve">ja strīdā iesaistītās puses jau iepriekš </w:t>
      </w:r>
      <w:r w:rsidR="00763FCF">
        <w:rPr>
          <w:rFonts w:ascii="Times New Roman" w:hAnsi="Times New Roman" w:cs="Times New Roman"/>
          <w:snapToGrid w:val="0"/>
          <w:lang w:val="lv-LV"/>
        </w:rPr>
        <w:t xml:space="preserve">ir </w:t>
      </w:r>
      <w:r w:rsidRPr="00763FCF">
        <w:rPr>
          <w:rFonts w:ascii="Times New Roman" w:hAnsi="Times New Roman" w:cs="Times New Roman"/>
          <w:snapToGrid w:val="0"/>
          <w:lang w:val="lv-LV"/>
        </w:rPr>
        <w:t>vienojušās par apelācijas kārtību.</w:t>
      </w:r>
    </w:p>
    <w:bookmarkEnd w:id="68"/>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17. pants</w:t>
      </w:r>
    </w:p>
    <w:p w:rsidR="0060722E" w:rsidRDefault="0060722E">
      <w:pPr>
        <w:jc w:val="both"/>
        <w:rPr>
          <w:rFonts w:ascii="Times New Roman" w:hAnsi="Times New Roman" w:cs="Times New Roman"/>
          <w:snapToGrid w:val="0"/>
          <w:lang w:val="lv-LV"/>
        </w:rPr>
      </w:pPr>
    </w:p>
    <w:p w:rsidR="006937AD" w:rsidRDefault="00066C5B">
      <w:pPr>
        <w:jc w:val="both"/>
        <w:rPr>
          <w:rFonts w:ascii="Times New Roman" w:hAnsi="Times New Roman" w:cs="Times New Roman"/>
          <w:snapToGrid w:val="0"/>
          <w:lang w:val="lv-LV"/>
        </w:rPr>
      </w:pPr>
      <w:bookmarkStart w:id="69" w:name="bookmark69"/>
      <w:r w:rsidRPr="00066C5B">
        <w:rPr>
          <w:rFonts w:ascii="Times New Roman" w:hAnsi="Times New Roman" w:cs="Times New Roman"/>
          <w:snapToGrid w:val="0"/>
          <w:lang w:val="lv-LV"/>
        </w:rPr>
        <w:t>Jebkuras nesaskaņas par galīgā lēmuma interpretāciju vai īstenošanas veidu</w:t>
      </w:r>
      <w:r w:rsidR="0060722E" w:rsidRPr="00066C5B">
        <w:rPr>
          <w:rFonts w:ascii="Times New Roman" w:hAnsi="Times New Roman" w:cs="Times New Roman"/>
          <w:snapToGrid w:val="0"/>
          <w:lang w:val="lv-LV"/>
        </w:rPr>
        <w:t xml:space="preserve">, kas var rasties starp pusēm, kurām ir saistošs galīgais </w:t>
      </w:r>
      <w:smartTag w:uri="schemas-tilde-lv/tildestengine" w:element="veidnes">
        <w:smartTagPr>
          <w:attr w:name="text" w:val="lēmums"/>
          <w:attr w:name="baseform" w:val="lēmums"/>
          <w:attr w:name="id" w:val="-1"/>
        </w:smartTagPr>
        <w:r w:rsidR="0060722E" w:rsidRPr="00066C5B">
          <w:rPr>
            <w:rFonts w:ascii="Times New Roman" w:hAnsi="Times New Roman" w:cs="Times New Roman"/>
            <w:snapToGrid w:val="0"/>
            <w:lang w:val="lv-LV"/>
          </w:rPr>
          <w:t>lēmums</w:t>
        </w:r>
      </w:smartTag>
      <w:r w:rsidRPr="00066C5B">
        <w:rPr>
          <w:rFonts w:ascii="Times New Roman" w:hAnsi="Times New Roman" w:cs="Times New Roman"/>
          <w:snapToGrid w:val="0"/>
          <w:lang w:val="lv-LV"/>
        </w:rPr>
        <w:t xml:space="preserve"> saskaņā ar 16. pantu</w:t>
      </w:r>
      <w:r w:rsidR="0060722E" w:rsidRPr="00066C5B">
        <w:rPr>
          <w:rFonts w:ascii="Times New Roman" w:hAnsi="Times New Roman" w:cs="Times New Roman"/>
          <w:snapToGrid w:val="0"/>
          <w:lang w:val="lv-LV"/>
        </w:rPr>
        <w:t xml:space="preserve">, </w:t>
      </w:r>
      <w:r w:rsidRPr="00066C5B">
        <w:rPr>
          <w:rFonts w:ascii="Times New Roman" w:hAnsi="Times New Roman" w:cs="Times New Roman"/>
          <w:snapToGrid w:val="0"/>
          <w:lang w:val="lv-LV"/>
        </w:rPr>
        <w:t>ikvien</w:t>
      </w:r>
      <w:r w:rsidR="0060722E" w:rsidRPr="00066C5B">
        <w:rPr>
          <w:rFonts w:ascii="Times New Roman" w:hAnsi="Times New Roman" w:cs="Times New Roman"/>
          <w:snapToGrid w:val="0"/>
          <w:lang w:val="lv-LV"/>
        </w:rPr>
        <w:t xml:space="preserve">a </w:t>
      </w:r>
      <w:r w:rsidR="006C7178" w:rsidRPr="00066C5B">
        <w:rPr>
          <w:rFonts w:ascii="Times New Roman" w:hAnsi="Times New Roman" w:cs="Times New Roman"/>
          <w:snapToGrid w:val="0"/>
          <w:lang w:val="lv-LV"/>
        </w:rPr>
        <w:t>no šīm pusēm</w:t>
      </w:r>
      <w:r w:rsidR="0060722E" w:rsidRPr="00066C5B">
        <w:rPr>
          <w:rFonts w:ascii="Times New Roman" w:hAnsi="Times New Roman" w:cs="Times New Roman"/>
          <w:snapToGrid w:val="0"/>
          <w:lang w:val="lv-LV"/>
        </w:rPr>
        <w:t xml:space="preserve"> var lūgt izskatīt šķīrējtiesai, kura pieņēmusi galīgo lēmumu.</w:t>
      </w:r>
    </w:p>
    <w:bookmarkEnd w:id="69"/>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b/>
          <w:bCs/>
          <w:snapToGrid w:val="0"/>
          <w:lang w:val="lv-LV"/>
        </w:rPr>
      </w:pPr>
      <w:r>
        <w:rPr>
          <w:rFonts w:ascii="Times New Roman" w:hAnsi="Times New Roman" w:cs="Times New Roman"/>
          <w:snapToGrid w:val="0"/>
          <w:lang w:val="lv-LV"/>
        </w:rPr>
        <w:br w:type="page"/>
      </w:r>
      <w:r>
        <w:rPr>
          <w:rFonts w:ascii="Times New Roman" w:hAnsi="Times New Roman" w:cs="Times New Roman"/>
          <w:b/>
          <w:bCs/>
          <w:snapToGrid w:val="0"/>
          <w:lang w:val="lv-LV"/>
        </w:rPr>
        <w:lastRenderedPageBreak/>
        <w:t>II daļa. Izlīgšanas procedūra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Šīs konvencijas 25. panta 6. punktā aprakstītā izlīgšanas procedūra ir šāda.</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bookmarkStart w:id="70" w:name="bookmark70"/>
      <w:r>
        <w:rPr>
          <w:rFonts w:ascii="Times New Roman" w:hAnsi="Times New Roman" w:cs="Times New Roman"/>
          <w:b/>
          <w:bCs/>
          <w:snapToGrid w:val="0"/>
          <w:lang w:val="lv-LV"/>
        </w:rPr>
        <w:t>1. pants</w:t>
      </w:r>
      <w:bookmarkEnd w:id="70"/>
    </w:p>
    <w:p w:rsidR="0060722E" w:rsidRDefault="0060722E">
      <w:pPr>
        <w:jc w:val="both"/>
        <w:rPr>
          <w:rFonts w:ascii="Times New Roman" w:hAnsi="Times New Roman" w:cs="Times New Roman"/>
          <w:snapToGrid w:val="0"/>
          <w:lang w:val="lv-LV"/>
        </w:rPr>
      </w:pPr>
    </w:p>
    <w:p w:rsidR="0060722E" w:rsidRPr="00066C5B" w:rsidRDefault="0060722E">
      <w:pPr>
        <w:jc w:val="both"/>
        <w:rPr>
          <w:rFonts w:ascii="Times New Roman" w:hAnsi="Times New Roman" w:cs="Times New Roman"/>
          <w:snapToGrid w:val="0"/>
          <w:lang w:val="lv-LV"/>
        </w:rPr>
      </w:pPr>
      <w:bookmarkStart w:id="71" w:name="bookmark71"/>
      <w:r w:rsidRPr="00066C5B">
        <w:rPr>
          <w:rFonts w:ascii="Times New Roman" w:hAnsi="Times New Roman" w:cs="Times New Roman"/>
          <w:snapToGrid w:val="0"/>
          <w:lang w:val="lv-LV"/>
        </w:rPr>
        <w:t xml:space="preserve">Puses </w:t>
      </w:r>
      <w:smartTag w:uri="schemas-tilde-lv/tildestengine" w:element="veidnes">
        <w:smartTagPr>
          <w:attr w:name="text" w:val="lūgums"/>
          <w:attr w:name="baseform" w:val="lūgums"/>
          <w:attr w:name="id" w:val="-1"/>
        </w:smartTagPr>
        <w:r w:rsidRPr="00066C5B">
          <w:rPr>
            <w:rFonts w:ascii="Times New Roman" w:hAnsi="Times New Roman" w:cs="Times New Roman"/>
            <w:snapToGrid w:val="0"/>
            <w:lang w:val="lv-LV"/>
          </w:rPr>
          <w:t>lūgums</w:t>
        </w:r>
      </w:smartTag>
      <w:r w:rsidRPr="00066C5B">
        <w:rPr>
          <w:rFonts w:ascii="Times New Roman" w:hAnsi="Times New Roman" w:cs="Times New Roman"/>
          <w:snapToGrid w:val="0"/>
          <w:lang w:val="lv-LV"/>
        </w:rPr>
        <w:t xml:space="preserve"> izveidot izlīgšanas komisiju saskaņā ar šīs konvencijas 25. panta 6. punktu tiek noformēts rakstiski un adresēts sekretariātam, kopiju </w:t>
      </w:r>
      <w:r w:rsidR="00066C5B" w:rsidRPr="00066C5B">
        <w:rPr>
          <w:rFonts w:ascii="Times New Roman" w:hAnsi="Times New Roman" w:cs="Times New Roman"/>
          <w:snapToGrid w:val="0"/>
          <w:lang w:val="lv-LV"/>
        </w:rPr>
        <w:t xml:space="preserve">iesniedzot </w:t>
      </w:r>
      <w:r w:rsidRPr="00066C5B">
        <w:rPr>
          <w:rFonts w:ascii="Times New Roman" w:hAnsi="Times New Roman" w:cs="Times New Roman"/>
          <w:snapToGrid w:val="0"/>
          <w:lang w:val="lv-LV"/>
        </w:rPr>
        <w:t xml:space="preserve">strīda otrai pusei vai pusēm. Sekretariāts nekavējoties par to informē visas </w:t>
      </w:r>
      <w:r w:rsidR="000B23DE">
        <w:rPr>
          <w:rFonts w:ascii="Times New Roman" w:hAnsi="Times New Roman" w:cs="Times New Roman"/>
          <w:snapToGrid w:val="0"/>
          <w:lang w:val="lv-LV"/>
        </w:rPr>
        <w:t>konvencija</w:t>
      </w:r>
      <w:r w:rsidR="00066C5B">
        <w:rPr>
          <w:rFonts w:ascii="Times New Roman" w:hAnsi="Times New Roman" w:cs="Times New Roman"/>
          <w:snapToGrid w:val="0"/>
          <w:lang w:val="lv-LV"/>
        </w:rPr>
        <w:t xml:space="preserve">s </w:t>
      </w:r>
      <w:r w:rsidRPr="00066C5B">
        <w:rPr>
          <w:rFonts w:ascii="Times New Roman" w:hAnsi="Times New Roman" w:cs="Times New Roman"/>
          <w:snapToGrid w:val="0"/>
          <w:lang w:val="lv-LV"/>
        </w:rPr>
        <w:t>puses.</w:t>
      </w:r>
    </w:p>
    <w:bookmarkEnd w:id="71"/>
    <w:p w:rsidR="0060722E" w:rsidRPr="00066C5B" w:rsidRDefault="0060722E">
      <w:pPr>
        <w:jc w:val="both"/>
        <w:rPr>
          <w:rFonts w:ascii="Times New Roman" w:hAnsi="Times New Roman" w:cs="Times New Roman"/>
          <w:snapToGrid w:val="0"/>
          <w:lang w:val="lv-LV"/>
        </w:rPr>
      </w:pPr>
    </w:p>
    <w:p w:rsidR="0060722E" w:rsidRPr="00066C5B" w:rsidRDefault="0060722E">
      <w:pPr>
        <w:jc w:val="both"/>
        <w:rPr>
          <w:rFonts w:ascii="Times New Roman" w:hAnsi="Times New Roman" w:cs="Times New Roman"/>
          <w:b/>
          <w:bCs/>
          <w:snapToGrid w:val="0"/>
          <w:lang w:val="lv-LV"/>
        </w:rPr>
      </w:pPr>
      <w:r w:rsidRPr="00066C5B">
        <w:rPr>
          <w:rFonts w:ascii="Times New Roman" w:hAnsi="Times New Roman" w:cs="Times New Roman"/>
          <w:b/>
          <w:bCs/>
          <w:snapToGrid w:val="0"/>
          <w:lang w:val="lv-LV"/>
        </w:rPr>
        <w:t>2. pants</w:t>
      </w:r>
    </w:p>
    <w:p w:rsidR="0060722E" w:rsidRPr="00763FCF" w:rsidRDefault="0060722E">
      <w:pPr>
        <w:jc w:val="both"/>
        <w:rPr>
          <w:rFonts w:ascii="Times New Roman" w:hAnsi="Times New Roman" w:cs="Times New Roman"/>
          <w:snapToGrid w:val="0"/>
          <w:highlight w:val="green"/>
          <w:lang w:val="lv-LV"/>
        </w:rPr>
      </w:pPr>
    </w:p>
    <w:p w:rsidR="0060722E" w:rsidRDefault="0060722E">
      <w:pPr>
        <w:jc w:val="both"/>
        <w:rPr>
          <w:rFonts w:ascii="Times New Roman" w:hAnsi="Times New Roman" w:cs="Times New Roman"/>
          <w:snapToGrid w:val="0"/>
          <w:lang w:val="lv-LV"/>
        </w:rPr>
      </w:pPr>
      <w:r w:rsidRPr="00066C5B">
        <w:rPr>
          <w:rFonts w:ascii="Times New Roman" w:hAnsi="Times New Roman" w:cs="Times New Roman"/>
          <w:snapToGrid w:val="0"/>
          <w:lang w:val="lv-LV"/>
        </w:rPr>
        <w:t xml:space="preserve">1. Izlīgšanas komisija, ja vien strīdā iesaistītās puses nevienojas citādi, </w:t>
      </w:r>
      <w:r w:rsidR="00066C5B" w:rsidRPr="00066C5B">
        <w:rPr>
          <w:rFonts w:ascii="Times New Roman" w:hAnsi="Times New Roman" w:cs="Times New Roman"/>
          <w:snapToGrid w:val="0"/>
          <w:lang w:val="lv-LV"/>
        </w:rPr>
        <w:t xml:space="preserve">tiek veidota </w:t>
      </w:r>
      <w:r w:rsidRPr="00066C5B">
        <w:rPr>
          <w:rFonts w:ascii="Times New Roman" w:hAnsi="Times New Roman" w:cs="Times New Roman"/>
          <w:snapToGrid w:val="0"/>
          <w:lang w:val="lv-LV"/>
        </w:rPr>
        <w:t xml:space="preserve">no trīs locekļiem, katra attiecīgā puse </w:t>
      </w:r>
      <w:r w:rsidR="00066C5B" w:rsidRPr="00066C5B">
        <w:rPr>
          <w:rFonts w:ascii="Times New Roman" w:hAnsi="Times New Roman" w:cs="Times New Roman"/>
          <w:snapToGrid w:val="0"/>
          <w:lang w:val="lv-LV"/>
        </w:rPr>
        <w:t xml:space="preserve">ieceļ vienu no tiem, bet </w:t>
      </w:r>
      <w:r w:rsidRPr="00066C5B">
        <w:rPr>
          <w:rFonts w:ascii="Times New Roman" w:hAnsi="Times New Roman" w:cs="Times New Roman"/>
          <w:snapToGrid w:val="0"/>
          <w:lang w:val="lv-LV"/>
        </w:rPr>
        <w:t>priekšsēdētāju kopīgi izraugās divi ieceltie komisijas locekļi.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72" w:name="bookmark72"/>
      <w:r>
        <w:rPr>
          <w:rFonts w:ascii="Times New Roman" w:hAnsi="Times New Roman" w:cs="Times New Roman"/>
          <w:snapToGrid w:val="0"/>
          <w:lang w:val="lv-LV"/>
        </w:rPr>
        <w:t>2. Strīdos, kuros iesaistītas vairāk nekā divas puses, tās puses, kam ir vienādas intereses, kopīgi ieceļ savu komisijas locekli, savstarpēji vienojoties.</w:t>
      </w:r>
    </w:p>
    <w:bookmarkEnd w:id="72"/>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3.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73" w:name="bookmark73"/>
      <w:r>
        <w:rPr>
          <w:rFonts w:ascii="Times New Roman" w:hAnsi="Times New Roman" w:cs="Times New Roman"/>
          <w:snapToGrid w:val="0"/>
          <w:lang w:val="lv-LV"/>
        </w:rPr>
        <w:t xml:space="preserve">Ja neviena no strīdā iesaistītajām pusēm divu mēnešu laikā pēc tam, kad sekretariāts ir saņēmis 1. punktā minēto rakstisko </w:t>
      </w:r>
      <w:r w:rsidR="00066C5B">
        <w:rPr>
          <w:rFonts w:ascii="Times New Roman" w:hAnsi="Times New Roman" w:cs="Times New Roman"/>
          <w:snapToGrid w:val="0"/>
          <w:lang w:val="lv-LV"/>
        </w:rPr>
        <w:t>lūg</w:t>
      </w:r>
      <w:r>
        <w:rPr>
          <w:rFonts w:ascii="Times New Roman" w:hAnsi="Times New Roman" w:cs="Times New Roman"/>
          <w:snapToGrid w:val="0"/>
          <w:lang w:val="lv-LV"/>
        </w:rPr>
        <w:t xml:space="preserve">umu, nav iecēlušas komisijas locekļus, tad Apvienoto Nāciju Organizācijas ģenerālsekretārs pēc jebkuras puses </w:t>
      </w:r>
      <w:r w:rsidR="00066C5B">
        <w:rPr>
          <w:rFonts w:ascii="Times New Roman" w:hAnsi="Times New Roman" w:cs="Times New Roman"/>
          <w:snapToGrid w:val="0"/>
          <w:lang w:val="lv-LV"/>
        </w:rPr>
        <w:t>lūg</w:t>
      </w:r>
      <w:r>
        <w:rPr>
          <w:rFonts w:ascii="Times New Roman" w:hAnsi="Times New Roman" w:cs="Times New Roman"/>
          <w:snapToGrid w:val="0"/>
          <w:lang w:val="lv-LV"/>
        </w:rPr>
        <w:t xml:space="preserve">uma </w:t>
      </w:r>
      <w:r w:rsidR="0048459A">
        <w:rPr>
          <w:rFonts w:ascii="Times New Roman" w:hAnsi="Times New Roman" w:cs="Times New Roman"/>
          <w:snapToGrid w:val="0"/>
          <w:lang w:val="lv-LV"/>
        </w:rPr>
        <w:t>nākam</w:t>
      </w:r>
      <w:r w:rsidR="00066C5B">
        <w:rPr>
          <w:rFonts w:ascii="Times New Roman" w:hAnsi="Times New Roman" w:cs="Times New Roman"/>
          <w:snapToGrid w:val="0"/>
          <w:lang w:val="lv-LV"/>
        </w:rPr>
        <w:t xml:space="preserve">o </w:t>
      </w:r>
      <w:r>
        <w:rPr>
          <w:rFonts w:ascii="Times New Roman" w:hAnsi="Times New Roman" w:cs="Times New Roman"/>
          <w:snapToGrid w:val="0"/>
          <w:lang w:val="lv-LV"/>
        </w:rPr>
        <w:t>divu mēnešu laikā veic šādu iecelšanu.</w:t>
      </w:r>
    </w:p>
    <w:bookmarkEnd w:id="73"/>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4.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74" w:name="bookmark74"/>
      <w:r>
        <w:rPr>
          <w:rFonts w:ascii="Times New Roman" w:hAnsi="Times New Roman" w:cs="Times New Roman"/>
          <w:snapToGrid w:val="0"/>
          <w:lang w:val="lv-LV"/>
        </w:rPr>
        <w:t xml:space="preserve">Ja divu mēnešu laikā pēc otrā komisijas locekļa iecelšanas nav iecelts izlīgšanas komisijas priekšsēdētājs, tad Apvienoto Nāciju Organizācijas ģenerālsekretārs pēc jebkuras strīdā iesaistītās puses </w:t>
      </w:r>
      <w:r w:rsidR="00066C5B">
        <w:rPr>
          <w:rFonts w:ascii="Times New Roman" w:hAnsi="Times New Roman" w:cs="Times New Roman"/>
          <w:snapToGrid w:val="0"/>
          <w:lang w:val="lv-LV"/>
        </w:rPr>
        <w:t>lūg</w:t>
      </w:r>
      <w:r>
        <w:rPr>
          <w:rFonts w:ascii="Times New Roman" w:hAnsi="Times New Roman" w:cs="Times New Roman"/>
          <w:snapToGrid w:val="0"/>
          <w:lang w:val="lv-LV"/>
        </w:rPr>
        <w:t xml:space="preserve">uma ieceļ priekšsēdētāju </w:t>
      </w:r>
      <w:r w:rsidR="0048459A">
        <w:rPr>
          <w:rFonts w:ascii="Times New Roman" w:hAnsi="Times New Roman" w:cs="Times New Roman"/>
          <w:snapToGrid w:val="0"/>
          <w:lang w:val="lv-LV"/>
        </w:rPr>
        <w:t>nākam</w:t>
      </w:r>
      <w:r>
        <w:rPr>
          <w:rFonts w:ascii="Times New Roman" w:hAnsi="Times New Roman" w:cs="Times New Roman"/>
          <w:snapToGrid w:val="0"/>
          <w:lang w:val="lv-LV"/>
        </w:rPr>
        <w:t>o divu mēnešu laikā.</w:t>
      </w:r>
    </w:p>
    <w:bookmarkEnd w:id="74"/>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5.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75" w:name="bookmark75"/>
      <w:r>
        <w:rPr>
          <w:rFonts w:ascii="Times New Roman" w:hAnsi="Times New Roman" w:cs="Times New Roman"/>
          <w:snapToGrid w:val="0"/>
          <w:lang w:val="lv-LV"/>
        </w:rPr>
        <w:t xml:space="preserve">Izlīgšanas komisija neatkarīgā un objektīvā veidā palīdz strīdā iesaistītajām pusēm </w:t>
      </w:r>
      <w:r w:rsidR="00066C5B">
        <w:rPr>
          <w:rFonts w:ascii="Times New Roman" w:hAnsi="Times New Roman" w:cs="Times New Roman"/>
          <w:snapToGrid w:val="0"/>
          <w:lang w:val="lv-LV"/>
        </w:rPr>
        <w:t xml:space="preserve">centienos </w:t>
      </w:r>
      <w:r>
        <w:rPr>
          <w:rFonts w:ascii="Times New Roman" w:hAnsi="Times New Roman" w:cs="Times New Roman"/>
          <w:snapToGrid w:val="0"/>
          <w:lang w:val="lv-LV"/>
        </w:rPr>
        <w:t>panākt izlīgumu.</w:t>
      </w:r>
    </w:p>
    <w:bookmarkEnd w:id="75"/>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6.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1. Izlīgšanas komisija var vadīt izlīgšanas tiesvedību tādā veidā, kādu tā uzskata par pareizu, pilnībā ņemot vērā lietas apstākļus un viedokļus, kurus var paust strīdā iesa</w:t>
      </w:r>
      <w:r w:rsidR="00066C5B">
        <w:rPr>
          <w:rFonts w:ascii="Times New Roman" w:hAnsi="Times New Roman" w:cs="Times New Roman"/>
          <w:snapToGrid w:val="0"/>
          <w:lang w:val="lv-LV"/>
        </w:rPr>
        <w:t xml:space="preserve">istītās puses, tostarp lūgumu </w:t>
      </w:r>
      <w:r>
        <w:rPr>
          <w:rFonts w:ascii="Times New Roman" w:hAnsi="Times New Roman" w:cs="Times New Roman"/>
          <w:snapToGrid w:val="0"/>
          <w:lang w:val="lv-LV"/>
        </w:rPr>
        <w:t>rast ātru risinājumu. Tā pēc nepieciešamības var pieņemt savu reglamentu, ja vien puses nav vienojušās citādi.</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76" w:name="bookmark76"/>
      <w:r>
        <w:rPr>
          <w:rFonts w:ascii="Times New Roman" w:hAnsi="Times New Roman" w:cs="Times New Roman"/>
          <w:snapToGrid w:val="0"/>
          <w:lang w:val="lv-LV"/>
        </w:rPr>
        <w:t>2. Izlīgšanas komisija jebkurā laikā, kamēr norit tiesvedība, var izteikt priekšlikumus vai ieteikumus attiecībā uz strīda atrisinājumu.</w:t>
      </w:r>
    </w:p>
    <w:bookmarkEnd w:id="76"/>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7.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77" w:name="bookmark77"/>
      <w:r>
        <w:rPr>
          <w:rFonts w:ascii="Times New Roman" w:hAnsi="Times New Roman" w:cs="Times New Roman"/>
          <w:snapToGrid w:val="0"/>
          <w:lang w:val="lv-LV"/>
        </w:rPr>
        <w:t xml:space="preserve">Strīdā iesaistītās puses sadarbojas ar izlīgšanas komisiju. </w:t>
      </w:r>
      <w:r w:rsidR="00066C5B">
        <w:rPr>
          <w:rFonts w:ascii="Times New Roman" w:hAnsi="Times New Roman" w:cs="Times New Roman"/>
          <w:snapToGrid w:val="0"/>
          <w:lang w:val="lv-LV"/>
        </w:rPr>
        <w:t>P</w:t>
      </w:r>
      <w:r>
        <w:rPr>
          <w:rFonts w:ascii="Times New Roman" w:hAnsi="Times New Roman" w:cs="Times New Roman"/>
          <w:snapToGrid w:val="0"/>
          <w:lang w:val="lv-LV"/>
        </w:rPr>
        <w:t xml:space="preserve">uses </w:t>
      </w:r>
      <w:r w:rsidR="00066C5B">
        <w:rPr>
          <w:rFonts w:ascii="Times New Roman" w:hAnsi="Times New Roman" w:cs="Times New Roman"/>
          <w:snapToGrid w:val="0"/>
          <w:lang w:val="lv-LV"/>
        </w:rPr>
        <w:t xml:space="preserve">it īpaši </w:t>
      </w:r>
      <w:r>
        <w:rPr>
          <w:rFonts w:ascii="Times New Roman" w:hAnsi="Times New Roman" w:cs="Times New Roman"/>
          <w:snapToGrid w:val="0"/>
          <w:lang w:val="lv-LV"/>
        </w:rPr>
        <w:t xml:space="preserve">cenšas ievērot komisijas lūgumu iesniegt rakstiskus materiālus, nodrošināt </w:t>
      </w:r>
      <w:r w:rsidR="00066C5B">
        <w:rPr>
          <w:rFonts w:ascii="Times New Roman" w:hAnsi="Times New Roman" w:cs="Times New Roman"/>
          <w:snapToGrid w:val="0"/>
          <w:lang w:val="lv-LV"/>
        </w:rPr>
        <w:t>ar pierādījumiem</w:t>
      </w:r>
      <w:r>
        <w:rPr>
          <w:rFonts w:ascii="Times New Roman" w:hAnsi="Times New Roman" w:cs="Times New Roman"/>
          <w:snapToGrid w:val="0"/>
          <w:lang w:val="lv-LV"/>
        </w:rPr>
        <w:t xml:space="preserve"> un apmeklēt </w:t>
      </w:r>
      <w:r>
        <w:rPr>
          <w:rFonts w:ascii="Times New Roman" w:hAnsi="Times New Roman" w:cs="Times New Roman"/>
          <w:snapToGrid w:val="0"/>
          <w:lang w:val="lv-LV"/>
        </w:rPr>
        <w:lastRenderedPageBreak/>
        <w:t xml:space="preserve">sanāksmes. Pusēm un izlīgšanas komisijas locekļiem </w:t>
      </w:r>
      <w:r w:rsidR="00066C5B">
        <w:rPr>
          <w:rFonts w:ascii="Times New Roman" w:hAnsi="Times New Roman" w:cs="Times New Roman"/>
          <w:snapToGrid w:val="0"/>
          <w:lang w:val="lv-LV"/>
        </w:rPr>
        <w:t xml:space="preserve">komisijas veiktās izskatīšanas laikā </w:t>
      </w:r>
      <w:r>
        <w:rPr>
          <w:rFonts w:ascii="Times New Roman" w:hAnsi="Times New Roman" w:cs="Times New Roman"/>
          <w:snapToGrid w:val="0"/>
          <w:lang w:val="lv-LV"/>
        </w:rPr>
        <w:t xml:space="preserve">ir pienākums aizsargāt jebkuras </w:t>
      </w:r>
      <w:r w:rsidR="00066C5B">
        <w:rPr>
          <w:rFonts w:ascii="Times New Roman" w:hAnsi="Times New Roman" w:cs="Times New Roman"/>
          <w:snapToGrid w:val="0"/>
          <w:lang w:val="lv-LV"/>
        </w:rPr>
        <w:t xml:space="preserve">tādas </w:t>
      </w:r>
      <w:r>
        <w:rPr>
          <w:rFonts w:ascii="Times New Roman" w:hAnsi="Times New Roman" w:cs="Times New Roman"/>
          <w:snapToGrid w:val="0"/>
          <w:lang w:val="lv-LV"/>
        </w:rPr>
        <w:t>saņemtās informācijas vai dokumentu</w:t>
      </w:r>
      <w:r w:rsidR="00066C5B" w:rsidRPr="00066C5B">
        <w:rPr>
          <w:rFonts w:ascii="Times New Roman" w:hAnsi="Times New Roman" w:cs="Times New Roman"/>
          <w:snapToGrid w:val="0"/>
          <w:lang w:val="lv-LV"/>
        </w:rPr>
        <w:t xml:space="preserve"> </w:t>
      </w:r>
      <w:r w:rsidR="00066C5B">
        <w:rPr>
          <w:rFonts w:ascii="Times New Roman" w:hAnsi="Times New Roman" w:cs="Times New Roman"/>
          <w:snapToGrid w:val="0"/>
          <w:lang w:val="lv-LV"/>
        </w:rPr>
        <w:t>konfidencialitāti</w:t>
      </w:r>
      <w:r>
        <w:rPr>
          <w:rFonts w:ascii="Times New Roman" w:hAnsi="Times New Roman" w:cs="Times New Roman"/>
          <w:snapToGrid w:val="0"/>
          <w:lang w:val="lv-LV"/>
        </w:rPr>
        <w:t>, ko tās saņem kā konfidenc</w:t>
      </w:r>
      <w:r w:rsidR="00066C5B">
        <w:rPr>
          <w:rFonts w:ascii="Times New Roman" w:hAnsi="Times New Roman" w:cs="Times New Roman"/>
          <w:snapToGrid w:val="0"/>
          <w:lang w:val="lv-LV"/>
        </w:rPr>
        <w:t>iālu informāciju vai dokumentus</w:t>
      </w:r>
      <w:r>
        <w:rPr>
          <w:rFonts w:ascii="Times New Roman" w:hAnsi="Times New Roman" w:cs="Times New Roman"/>
          <w:snapToGrid w:val="0"/>
          <w:lang w:val="lv-LV"/>
        </w:rPr>
        <w:t>.</w:t>
      </w:r>
    </w:p>
    <w:bookmarkEnd w:id="77"/>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8.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Izlīgšanas komisija pieņem savus lēmumus ar tās locekļu balsu vairākumu.</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9.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78" w:name="bookmark78"/>
      <w:r>
        <w:rPr>
          <w:rFonts w:ascii="Times New Roman" w:hAnsi="Times New Roman" w:cs="Times New Roman"/>
          <w:snapToGrid w:val="0"/>
          <w:lang w:val="lv-LV"/>
        </w:rPr>
        <w:t>Ja vien strīds nav ticis atrisināts, izlīgšanas komisija sagatavo ziņojumu ar ieteikumiem attiecībā uz strīda atrisināšanu ne vēlāk kā divpadsmit mēnešu laikā pēc tā pilnīgas noformulēšanas, un šo ziņojumu puses godprātīgi izskata.</w:t>
      </w:r>
    </w:p>
    <w:bookmarkEnd w:id="78"/>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10.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bookmarkStart w:id="79" w:name="bookmark79"/>
      <w:r>
        <w:rPr>
          <w:rFonts w:ascii="Times New Roman" w:hAnsi="Times New Roman" w:cs="Times New Roman"/>
          <w:snapToGrid w:val="0"/>
          <w:lang w:val="lv-LV"/>
        </w:rPr>
        <w:t>Par jebkurām nesaskaņām attiecībā uz to, vai izlīguma komisijai ir kompetence izskatīt tai iesniegto jautājumu, lemj komisija.</w:t>
      </w:r>
    </w:p>
    <w:bookmarkEnd w:id="79"/>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b/>
          <w:bCs/>
          <w:snapToGrid w:val="0"/>
          <w:lang w:val="lv-LV"/>
        </w:rPr>
      </w:pPr>
      <w:r>
        <w:rPr>
          <w:rFonts w:ascii="Times New Roman" w:hAnsi="Times New Roman" w:cs="Times New Roman"/>
          <w:b/>
          <w:bCs/>
          <w:snapToGrid w:val="0"/>
          <w:lang w:val="lv-LV"/>
        </w:rPr>
        <w:t>11. pants</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r>
        <w:rPr>
          <w:rFonts w:ascii="Times New Roman" w:hAnsi="Times New Roman" w:cs="Times New Roman"/>
          <w:snapToGrid w:val="0"/>
          <w:lang w:val="lv-LV"/>
        </w:rPr>
        <w:t xml:space="preserve">Izlīgšanas komisijas darba izmaksas vienādās daļās </w:t>
      </w:r>
      <w:r w:rsidR="004A1A6B">
        <w:rPr>
          <w:rFonts w:ascii="Times New Roman" w:hAnsi="Times New Roman" w:cs="Times New Roman"/>
          <w:snapToGrid w:val="0"/>
          <w:lang w:val="lv-LV"/>
        </w:rPr>
        <w:t xml:space="preserve">sedz </w:t>
      </w:r>
      <w:r>
        <w:rPr>
          <w:rFonts w:ascii="Times New Roman" w:hAnsi="Times New Roman" w:cs="Times New Roman"/>
          <w:snapToGrid w:val="0"/>
          <w:lang w:val="lv-LV"/>
        </w:rPr>
        <w:t>strīdā iesaistītās puses, ja vien nepastāv cita vienošanās. Komisija reģistrē visas savas izmaksas un sniedz par tām galīgo paziņojumu strīdā iesaistītajām pusēm.</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p w:rsidR="0060722E" w:rsidRDefault="0060722E">
      <w:pPr>
        <w:jc w:val="center"/>
        <w:rPr>
          <w:rFonts w:ascii="Times New Roman" w:hAnsi="Times New Roman" w:cs="Times New Roman"/>
          <w:snapToGrid w:val="0"/>
          <w:lang w:val="lv-LV"/>
        </w:rPr>
      </w:pPr>
      <w:r>
        <w:rPr>
          <w:rFonts w:ascii="Times New Roman" w:hAnsi="Times New Roman" w:cs="Times New Roman"/>
          <w:snapToGrid w:val="0"/>
          <w:lang w:val="lv-LV"/>
        </w:rPr>
        <w:t>___________________________</w:t>
      </w:r>
    </w:p>
    <w:p w:rsidR="0060722E" w:rsidRDefault="0060722E">
      <w:pPr>
        <w:jc w:val="both"/>
        <w:rPr>
          <w:rFonts w:ascii="Times New Roman" w:hAnsi="Times New Roman" w:cs="Times New Roman"/>
          <w:snapToGrid w:val="0"/>
          <w:lang w:val="lv-LV"/>
        </w:rPr>
      </w:pPr>
    </w:p>
    <w:p w:rsidR="0060722E" w:rsidRDefault="0060722E">
      <w:pPr>
        <w:jc w:val="both"/>
        <w:rPr>
          <w:rFonts w:ascii="Times New Roman" w:hAnsi="Times New Roman" w:cs="Times New Roman"/>
          <w:snapToGrid w:val="0"/>
          <w:lang w:val="lv-LV"/>
        </w:rPr>
      </w:pPr>
    </w:p>
    <w:sectPr w:rsidR="0060722E">
      <w:headerReference w:type="default" r:id="rId6"/>
      <w:footerReference w:type="default" r:id="rId7"/>
      <w:headerReference w:type="first" r:id="rId8"/>
      <w:footerReference w:type="first" r:id="rId9"/>
      <w:pgSz w:w="11909" w:h="16834" w:code="9"/>
      <w:pgMar w:top="1134" w:right="1134" w:bottom="1134" w:left="1701" w:header="567" w:footer="56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6F" w:rsidRDefault="00542E6F">
      <w:r>
        <w:separator/>
      </w:r>
    </w:p>
  </w:endnote>
  <w:endnote w:type="continuationSeparator" w:id="0">
    <w:p w:rsidR="00542E6F" w:rsidRDefault="00542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Microsoft Sans Serif">
    <w:panose1 w:val="020B0604020202020204"/>
    <w:charset w:val="BA"/>
    <w:family w:val="swiss"/>
    <w:pitch w:val="variable"/>
    <w:sig w:usb0="61002BDF"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7C" w:rsidRPr="005D04BD" w:rsidRDefault="00172C7C" w:rsidP="00DD0B73">
    <w:pPr>
      <w:pStyle w:val="Header"/>
      <w:tabs>
        <w:tab w:val="clear" w:pos="4153"/>
        <w:tab w:val="clear" w:pos="8306"/>
        <w:tab w:val="left" w:pos="9072"/>
      </w:tabs>
      <w:rPr>
        <w:rStyle w:val="PageNumber"/>
        <w:rFonts w:ascii="Times New Roman" w:hAnsi="Times New Roman" w:cs="Times New Roman"/>
        <w:sz w:val="18"/>
        <w:szCs w:val="18"/>
      </w:rPr>
    </w:pPr>
  </w:p>
  <w:p w:rsidR="00172C7C" w:rsidRPr="005D04BD" w:rsidRDefault="00172C7C" w:rsidP="00DD0B73">
    <w:pPr>
      <w:pStyle w:val="Header"/>
      <w:tabs>
        <w:tab w:val="clear" w:pos="4153"/>
        <w:tab w:val="clear" w:pos="8306"/>
        <w:tab w:val="right" w:leader="underscore" w:pos="9072"/>
      </w:tabs>
      <w:rPr>
        <w:rStyle w:val="PageNumber"/>
        <w:rFonts w:ascii="Times New Roman" w:hAnsi="Times New Roman" w:cs="Times New Roman"/>
        <w:sz w:val="18"/>
        <w:szCs w:val="18"/>
      </w:rPr>
    </w:pPr>
    <w:r w:rsidRPr="005D04BD">
      <w:rPr>
        <w:rStyle w:val="PageNumber"/>
        <w:rFonts w:ascii="Times New Roman" w:hAnsi="Times New Roman" w:cs="Times New Roman"/>
        <w:sz w:val="18"/>
        <w:szCs w:val="18"/>
      </w:rPr>
      <w:tab/>
    </w:r>
  </w:p>
  <w:p w:rsidR="00172C7C" w:rsidRPr="005D04BD" w:rsidRDefault="00172C7C" w:rsidP="00DD0B73">
    <w:pPr>
      <w:pStyle w:val="Header"/>
      <w:tabs>
        <w:tab w:val="clear" w:pos="4153"/>
        <w:tab w:val="clear" w:pos="8306"/>
        <w:tab w:val="right" w:pos="9072"/>
      </w:tabs>
      <w:rPr>
        <w:rStyle w:val="PageNumber"/>
        <w:rFonts w:ascii="Times New Roman" w:hAnsi="Times New Roman" w:cs="Times New Roman"/>
        <w:sz w:val="18"/>
        <w:szCs w:val="18"/>
      </w:rPr>
    </w:pPr>
  </w:p>
  <w:p w:rsidR="00172C7C" w:rsidRPr="00DD0B73" w:rsidRDefault="00172C7C" w:rsidP="00DD0B73">
    <w:pPr>
      <w:pStyle w:val="Footer"/>
      <w:tabs>
        <w:tab w:val="clear" w:pos="4153"/>
        <w:tab w:val="clear" w:pos="8306"/>
        <w:tab w:val="right" w:pos="9072"/>
      </w:tabs>
      <w:rPr>
        <w:rFonts w:ascii="Times New Roman" w:hAnsi="Times New Roman" w:cs="Times New Roman"/>
        <w:sz w:val="18"/>
        <w:szCs w:val="18"/>
      </w:rPr>
    </w:pPr>
    <w:r w:rsidRPr="005D04BD">
      <w:rPr>
        <w:rFonts w:ascii="Times New Roman" w:hAnsi="Times New Roman" w:cs="Times New Roman"/>
        <w:noProof/>
        <w:sz w:val="18"/>
        <w:szCs w:val="18"/>
      </w:rPr>
      <w:t xml:space="preserve">Tulkojums </w:t>
    </w:r>
    <w:r w:rsidRPr="005D04BD">
      <w:rPr>
        <w:rFonts w:ascii="Times New Roman" w:hAnsi="Times New Roman" w:cs="Times New Roman"/>
        <w:noProof/>
        <w:sz w:val="18"/>
        <w:szCs w:val="18"/>
      </w:rPr>
      <w:fldChar w:fldCharType="begin"/>
    </w:r>
    <w:r w:rsidRPr="005D04BD">
      <w:rPr>
        <w:rFonts w:ascii="Times New Roman" w:hAnsi="Times New Roman" w:cs="Times New Roman"/>
        <w:noProof/>
        <w:sz w:val="18"/>
        <w:szCs w:val="18"/>
      </w:rPr>
      <w:instrText>symbol 211 \f "Symbol" \s 9</w:instrText>
    </w:r>
    <w:r w:rsidRPr="005D04BD">
      <w:rPr>
        <w:rFonts w:ascii="Times New Roman" w:hAnsi="Times New Roman" w:cs="Times New Roman"/>
        <w:noProof/>
        <w:sz w:val="18"/>
        <w:szCs w:val="18"/>
      </w:rPr>
      <w:fldChar w:fldCharType="separate"/>
    </w:r>
    <w:r w:rsidRPr="005D04BD">
      <w:rPr>
        <w:rFonts w:ascii="Times New Roman" w:hAnsi="Times New Roman" w:cs="Times New Roman"/>
        <w:noProof/>
        <w:sz w:val="18"/>
        <w:szCs w:val="18"/>
      </w:rPr>
      <w:t>Ó</w:t>
    </w:r>
    <w:r w:rsidRPr="005D04BD">
      <w:rPr>
        <w:rFonts w:ascii="Times New Roman" w:hAnsi="Times New Roman" w:cs="Times New Roman"/>
        <w:noProof/>
        <w:sz w:val="18"/>
        <w:szCs w:val="18"/>
      </w:rPr>
      <w:fldChar w:fldCharType="end"/>
    </w:r>
    <w:r>
      <w:rPr>
        <w:rFonts w:ascii="Times New Roman" w:hAnsi="Times New Roman" w:cs="Times New Roman"/>
        <w:noProof/>
        <w:sz w:val="18"/>
        <w:szCs w:val="18"/>
      </w:rPr>
      <w:t xml:space="preserve"> Valsts valodas centrs, 2014</w:t>
    </w:r>
    <w:r w:rsidRPr="005D04BD">
      <w:rPr>
        <w:rFonts w:ascii="Times New Roman" w:hAnsi="Times New Roman" w:cs="Times New Roman"/>
        <w:sz w:val="18"/>
        <w:szCs w:val="18"/>
      </w:rPr>
      <w:tab/>
    </w:r>
    <w:r w:rsidRPr="005D04BD">
      <w:rPr>
        <w:rStyle w:val="PageNumber"/>
        <w:rFonts w:ascii="Times New Roman" w:hAnsi="Times New Roman" w:cs="Times New Roman"/>
        <w:sz w:val="18"/>
        <w:szCs w:val="18"/>
      </w:rPr>
      <w:fldChar w:fldCharType="begin"/>
    </w:r>
    <w:r w:rsidRPr="005D04BD">
      <w:rPr>
        <w:rStyle w:val="PageNumber"/>
        <w:rFonts w:ascii="Times New Roman" w:hAnsi="Times New Roman" w:cs="Times New Roman"/>
        <w:sz w:val="18"/>
        <w:szCs w:val="18"/>
      </w:rPr>
      <w:instrText xml:space="preserve">page </w:instrText>
    </w:r>
    <w:r w:rsidRPr="005D04BD">
      <w:rPr>
        <w:rStyle w:val="PageNumber"/>
        <w:rFonts w:ascii="Times New Roman" w:hAnsi="Times New Roman" w:cs="Times New Roman"/>
        <w:sz w:val="18"/>
        <w:szCs w:val="18"/>
      </w:rPr>
      <w:fldChar w:fldCharType="separate"/>
    </w:r>
    <w:r w:rsidR="0093311A">
      <w:rPr>
        <w:rStyle w:val="PageNumber"/>
        <w:rFonts w:ascii="Times New Roman" w:hAnsi="Times New Roman" w:cs="Times New Roman"/>
        <w:noProof/>
        <w:sz w:val="18"/>
        <w:szCs w:val="18"/>
      </w:rPr>
      <w:t>44</w:t>
    </w:r>
    <w:r w:rsidRPr="005D04BD">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7C" w:rsidRPr="005D04BD" w:rsidRDefault="00172C7C" w:rsidP="00DD0B73">
    <w:pPr>
      <w:pStyle w:val="Header"/>
      <w:tabs>
        <w:tab w:val="clear" w:pos="4153"/>
        <w:tab w:val="clear" w:pos="8306"/>
        <w:tab w:val="left" w:pos="9072"/>
      </w:tabs>
      <w:rPr>
        <w:rStyle w:val="PageNumber"/>
        <w:rFonts w:ascii="Times New Roman" w:hAnsi="Times New Roman" w:cs="Times New Roman"/>
        <w:sz w:val="18"/>
        <w:szCs w:val="18"/>
      </w:rPr>
    </w:pPr>
  </w:p>
  <w:p w:rsidR="00172C7C" w:rsidRPr="005D04BD" w:rsidRDefault="00172C7C" w:rsidP="00DD0B73">
    <w:pPr>
      <w:pStyle w:val="Header"/>
      <w:tabs>
        <w:tab w:val="clear" w:pos="4153"/>
        <w:tab w:val="clear" w:pos="8306"/>
        <w:tab w:val="left" w:leader="underscore" w:pos="9072"/>
      </w:tabs>
      <w:rPr>
        <w:rStyle w:val="PageNumber"/>
        <w:rFonts w:ascii="Times New Roman" w:hAnsi="Times New Roman" w:cs="Times New Roman"/>
        <w:sz w:val="18"/>
        <w:szCs w:val="18"/>
      </w:rPr>
    </w:pPr>
    <w:r w:rsidRPr="005D04BD">
      <w:rPr>
        <w:rStyle w:val="PageNumber"/>
        <w:rFonts w:ascii="Times New Roman" w:hAnsi="Times New Roman" w:cs="Times New Roman"/>
        <w:sz w:val="18"/>
        <w:szCs w:val="18"/>
      </w:rPr>
      <w:tab/>
    </w:r>
  </w:p>
  <w:p w:rsidR="00172C7C" w:rsidRPr="005D04BD" w:rsidRDefault="00172C7C" w:rsidP="00DD0B73">
    <w:pPr>
      <w:pStyle w:val="Header"/>
      <w:tabs>
        <w:tab w:val="clear" w:pos="4153"/>
        <w:tab w:val="clear" w:pos="8306"/>
        <w:tab w:val="left" w:pos="9072"/>
      </w:tabs>
      <w:rPr>
        <w:rStyle w:val="PageNumber"/>
        <w:rFonts w:ascii="Times New Roman" w:hAnsi="Times New Roman" w:cs="Times New Roman"/>
        <w:sz w:val="18"/>
        <w:szCs w:val="18"/>
      </w:rPr>
    </w:pPr>
  </w:p>
  <w:p w:rsidR="00172C7C" w:rsidRPr="00DD0B73" w:rsidRDefault="00172C7C">
    <w:pPr>
      <w:pStyle w:val="Footer"/>
      <w:rPr>
        <w:rFonts w:ascii="Times New Roman" w:hAnsi="Times New Roman" w:cs="Times New Roman"/>
        <w:sz w:val="18"/>
        <w:szCs w:val="18"/>
      </w:rPr>
    </w:pPr>
    <w:r w:rsidRPr="005D04BD">
      <w:rPr>
        <w:rFonts w:ascii="Times New Roman" w:hAnsi="Times New Roman" w:cs="Times New Roman"/>
        <w:noProof/>
        <w:sz w:val="18"/>
        <w:szCs w:val="18"/>
      </w:rPr>
      <w:t xml:space="preserve">Tulkojums </w:t>
    </w:r>
    <w:r w:rsidRPr="005D04BD">
      <w:rPr>
        <w:rFonts w:ascii="Times New Roman" w:hAnsi="Times New Roman" w:cs="Times New Roman"/>
        <w:noProof/>
        <w:sz w:val="18"/>
        <w:szCs w:val="18"/>
      </w:rPr>
      <w:fldChar w:fldCharType="begin"/>
    </w:r>
    <w:r w:rsidRPr="005D04BD">
      <w:rPr>
        <w:rFonts w:ascii="Times New Roman" w:hAnsi="Times New Roman" w:cs="Times New Roman"/>
        <w:noProof/>
        <w:sz w:val="18"/>
        <w:szCs w:val="18"/>
      </w:rPr>
      <w:instrText>symbol 211 \f "Symbol" \s 9</w:instrText>
    </w:r>
    <w:r w:rsidRPr="005D04BD">
      <w:rPr>
        <w:rFonts w:ascii="Times New Roman" w:hAnsi="Times New Roman" w:cs="Times New Roman"/>
        <w:noProof/>
        <w:sz w:val="18"/>
        <w:szCs w:val="18"/>
      </w:rPr>
      <w:fldChar w:fldCharType="separate"/>
    </w:r>
    <w:r w:rsidRPr="005D04BD">
      <w:rPr>
        <w:rFonts w:ascii="Times New Roman" w:hAnsi="Times New Roman" w:cs="Times New Roman"/>
        <w:noProof/>
        <w:sz w:val="18"/>
        <w:szCs w:val="18"/>
      </w:rPr>
      <w:t>Ó</w:t>
    </w:r>
    <w:r w:rsidRPr="005D04BD">
      <w:rPr>
        <w:rFonts w:ascii="Times New Roman" w:hAnsi="Times New Roman" w:cs="Times New Roman"/>
        <w:noProof/>
        <w:sz w:val="18"/>
        <w:szCs w:val="18"/>
      </w:rPr>
      <w:fldChar w:fldCharType="end"/>
    </w:r>
    <w:r>
      <w:rPr>
        <w:rFonts w:ascii="Times New Roman" w:hAnsi="Times New Roman" w:cs="Times New Roman"/>
        <w:noProof/>
        <w:sz w:val="18"/>
        <w:szCs w:val="18"/>
      </w:rPr>
      <w:t xml:space="preserve"> Valsts valodas centrs,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6F" w:rsidRDefault="00542E6F">
      <w:r>
        <w:separator/>
      </w:r>
    </w:p>
  </w:footnote>
  <w:footnote w:type="continuationSeparator" w:id="0">
    <w:p w:rsidR="00542E6F" w:rsidRDefault="00542E6F">
      <w:r>
        <w:continuationSeparator/>
      </w:r>
    </w:p>
  </w:footnote>
  <w:footnote w:id="1">
    <w:p w:rsidR="00172C7C" w:rsidRPr="006937AD" w:rsidRDefault="00172C7C">
      <w:pPr>
        <w:pStyle w:val="FootnoteText"/>
        <w:rPr>
          <w:lang w:val="lv-LV"/>
        </w:rPr>
      </w:pPr>
      <w:r>
        <w:rPr>
          <w:rStyle w:val="FootnoteReference"/>
        </w:rPr>
        <w:t>1</w:t>
      </w:r>
      <w:r>
        <w:t xml:space="preserve"> </w:t>
      </w:r>
      <w:r>
        <w:rPr>
          <w:rFonts w:ascii="Times New Roman" w:hAnsi="Times New Roman" w:cs="Times New Roman"/>
          <w:snapToGrid w:val="0"/>
          <w:lang w:val="lv-LV"/>
        </w:rPr>
        <w:t>Nolūks ir neietvert kosmētiku, ziepes vai krēmus, kuros ir dzīvsudraba mikropiesārņojums.</w:t>
      </w:r>
    </w:p>
  </w:footnote>
  <w:footnote w:id="2">
    <w:p w:rsidR="00172C7C" w:rsidRPr="0026227A" w:rsidRDefault="00172C7C">
      <w:pPr>
        <w:pStyle w:val="FootnoteText"/>
        <w:rPr>
          <w:lang w:val="lv-LV"/>
        </w:rPr>
      </w:pPr>
      <w:r w:rsidRPr="0026227A">
        <w:rPr>
          <w:rStyle w:val="FootnoteReference"/>
          <w:lang w:val="lv-LV"/>
        </w:rPr>
        <w:t>1</w:t>
      </w:r>
      <w:r w:rsidRPr="0026227A">
        <w:rPr>
          <w:lang w:val="lv-LV"/>
        </w:rPr>
        <w:t xml:space="preserve"> </w:t>
      </w:r>
      <w:r>
        <w:rPr>
          <w:rFonts w:ascii="Times New Roman" w:hAnsi="Times New Roman" w:cs="Times New Roman"/>
          <w:snapToGrid w:val="0"/>
          <w:lang w:val="lv-LV"/>
        </w:rPr>
        <w:t>Šajā pielikumā ar terminu „krāsainie metāli” apzīmē svinu, cinku, varu un rūpniecisko zeltu.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7C" w:rsidRPr="005D04BD" w:rsidRDefault="00172C7C" w:rsidP="00DD0B73">
    <w:pPr>
      <w:pStyle w:val="Header"/>
      <w:tabs>
        <w:tab w:val="clear" w:pos="4153"/>
        <w:tab w:val="clear" w:pos="8306"/>
      </w:tabs>
      <w:rPr>
        <w:rStyle w:val="PageNumber"/>
        <w:rFonts w:ascii="Times New Roman" w:hAnsi="Times New Roman" w:cs="Times New Roman"/>
        <w:sz w:val="18"/>
        <w:szCs w:val="18"/>
      </w:rPr>
    </w:pPr>
  </w:p>
  <w:p w:rsidR="00172C7C" w:rsidRPr="005D04BD" w:rsidRDefault="00172C7C" w:rsidP="00DD0B73">
    <w:pPr>
      <w:pStyle w:val="Header"/>
      <w:tabs>
        <w:tab w:val="clear" w:pos="4153"/>
        <w:tab w:val="clear" w:pos="8306"/>
        <w:tab w:val="right" w:leader="underscore" w:pos="9072"/>
      </w:tabs>
      <w:rPr>
        <w:rStyle w:val="PageNumber"/>
        <w:rFonts w:ascii="Times New Roman" w:hAnsi="Times New Roman" w:cs="Times New Roman"/>
        <w:sz w:val="18"/>
        <w:szCs w:val="18"/>
      </w:rPr>
    </w:pPr>
    <w:r w:rsidRPr="005D04BD">
      <w:rPr>
        <w:rStyle w:val="PageNumber"/>
        <w:rFonts w:ascii="Times New Roman" w:hAnsi="Times New Roman" w:cs="Times New Roman"/>
        <w:sz w:val="18"/>
        <w:szCs w:val="18"/>
      </w:rPr>
      <w:tab/>
    </w:r>
  </w:p>
  <w:p w:rsidR="00172C7C" w:rsidRDefault="00172C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7C" w:rsidRPr="005D04BD" w:rsidRDefault="00172C7C" w:rsidP="00DD0B73">
    <w:pPr>
      <w:pBdr>
        <w:bottom w:val="single" w:sz="12" w:space="5" w:color="auto"/>
      </w:pBdr>
      <w:rPr>
        <w:rFonts w:ascii="Times New Roman" w:hAnsi="Times New Roman" w:cs="Times New Roman"/>
        <w:spacing w:val="-2"/>
        <w:sz w:val="18"/>
        <w:szCs w:val="18"/>
      </w:rPr>
    </w:pPr>
  </w:p>
  <w:p w:rsidR="00172C7C" w:rsidRDefault="00172C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81"/>
  <w:drawingGridVerticalSpacing w:val="181"/>
  <w:doNotShadeFormData/>
  <w:characterSpacingControl w:val="compressPunctuation"/>
  <w:hdrShapeDefaults>
    <o:shapedefaults v:ext="edit" spidmax="3074"/>
  </w:hdrShapeDefaults>
  <w:footnotePr>
    <w:footnote w:id="-1"/>
    <w:footnote w:id="0"/>
  </w:footnotePr>
  <w:endnotePr>
    <w:endnote w:id="-1"/>
    <w:endnote w:id="0"/>
  </w:endnotePr>
  <w:compat/>
  <w:rsids>
    <w:rsidRoot w:val="004C3BA7"/>
    <w:rsid w:val="000128DA"/>
    <w:rsid w:val="00020362"/>
    <w:rsid w:val="00066C5B"/>
    <w:rsid w:val="00097035"/>
    <w:rsid w:val="000B23DE"/>
    <w:rsid w:val="000F1FA2"/>
    <w:rsid w:val="000F6E3B"/>
    <w:rsid w:val="0013504E"/>
    <w:rsid w:val="00172C7C"/>
    <w:rsid w:val="00180148"/>
    <w:rsid w:val="001906FA"/>
    <w:rsid w:val="001922A4"/>
    <w:rsid w:val="00193100"/>
    <w:rsid w:val="002114CC"/>
    <w:rsid w:val="00216C53"/>
    <w:rsid w:val="00226737"/>
    <w:rsid w:val="002360F4"/>
    <w:rsid w:val="00241DB2"/>
    <w:rsid w:val="00241F97"/>
    <w:rsid w:val="0026227A"/>
    <w:rsid w:val="00262561"/>
    <w:rsid w:val="00283154"/>
    <w:rsid w:val="002837EE"/>
    <w:rsid w:val="002A0CC6"/>
    <w:rsid w:val="002B6FB6"/>
    <w:rsid w:val="002D1CB8"/>
    <w:rsid w:val="002D43B1"/>
    <w:rsid w:val="003255F2"/>
    <w:rsid w:val="00327F96"/>
    <w:rsid w:val="003E1E96"/>
    <w:rsid w:val="0040291D"/>
    <w:rsid w:val="00420DA4"/>
    <w:rsid w:val="0044682A"/>
    <w:rsid w:val="0045179A"/>
    <w:rsid w:val="00461C96"/>
    <w:rsid w:val="0048459A"/>
    <w:rsid w:val="004A1A6B"/>
    <w:rsid w:val="004B19E3"/>
    <w:rsid w:val="004C3BA7"/>
    <w:rsid w:val="00542E6F"/>
    <w:rsid w:val="00564994"/>
    <w:rsid w:val="00570656"/>
    <w:rsid w:val="005723F9"/>
    <w:rsid w:val="00582F8E"/>
    <w:rsid w:val="00584B3F"/>
    <w:rsid w:val="005A7323"/>
    <w:rsid w:val="005A7794"/>
    <w:rsid w:val="005A7FEB"/>
    <w:rsid w:val="005D0DB1"/>
    <w:rsid w:val="005D1FF6"/>
    <w:rsid w:val="0060722E"/>
    <w:rsid w:val="00611A36"/>
    <w:rsid w:val="006468C0"/>
    <w:rsid w:val="006937AD"/>
    <w:rsid w:val="006951EA"/>
    <w:rsid w:val="006B4559"/>
    <w:rsid w:val="006C2C38"/>
    <w:rsid w:val="006C52CE"/>
    <w:rsid w:val="006C7178"/>
    <w:rsid w:val="006E75CC"/>
    <w:rsid w:val="006F65E8"/>
    <w:rsid w:val="00752497"/>
    <w:rsid w:val="00761303"/>
    <w:rsid w:val="00762D21"/>
    <w:rsid w:val="00763FCF"/>
    <w:rsid w:val="00792673"/>
    <w:rsid w:val="007B097B"/>
    <w:rsid w:val="007D71A2"/>
    <w:rsid w:val="007E55AC"/>
    <w:rsid w:val="007F60FC"/>
    <w:rsid w:val="008331D7"/>
    <w:rsid w:val="0084112A"/>
    <w:rsid w:val="00862D25"/>
    <w:rsid w:val="008636A1"/>
    <w:rsid w:val="0086623A"/>
    <w:rsid w:val="00872BD7"/>
    <w:rsid w:val="00883196"/>
    <w:rsid w:val="008B46C6"/>
    <w:rsid w:val="008B54BE"/>
    <w:rsid w:val="0092487C"/>
    <w:rsid w:val="0093311A"/>
    <w:rsid w:val="0094090C"/>
    <w:rsid w:val="009441DC"/>
    <w:rsid w:val="009533B5"/>
    <w:rsid w:val="00964057"/>
    <w:rsid w:val="00987D79"/>
    <w:rsid w:val="0099054D"/>
    <w:rsid w:val="009B1EC0"/>
    <w:rsid w:val="009C543A"/>
    <w:rsid w:val="00A40020"/>
    <w:rsid w:val="00A51EA6"/>
    <w:rsid w:val="00A56B4B"/>
    <w:rsid w:val="00A603F5"/>
    <w:rsid w:val="00A713BE"/>
    <w:rsid w:val="00AA69F9"/>
    <w:rsid w:val="00AB76A9"/>
    <w:rsid w:val="00AC0B4D"/>
    <w:rsid w:val="00AC16CF"/>
    <w:rsid w:val="00AC7453"/>
    <w:rsid w:val="00B00538"/>
    <w:rsid w:val="00B22A06"/>
    <w:rsid w:val="00B27A22"/>
    <w:rsid w:val="00B30D0E"/>
    <w:rsid w:val="00B576AE"/>
    <w:rsid w:val="00BB20D6"/>
    <w:rsid w:val="00BC7886"/>
    <w:rsid w:val="00BC7C0C"/>
    <w:rsid w:val="00BD1164"/>
    <w:rsid w:val="00BD66DB"/>
    <w:rsid w:val="00BD7648"/>
    <w:rsid w:val="00BF0A55"/>
    <w:rsid w:val="00BF7996"/>
    <w:rsid w:val="00C125C3"/>
    <w:rsid w:val="00C21D5D"/>
    <w:rsid w:val="00C82FDE"/>
    <w:rsid w:val="00CA1EF8"/>
    <w:rsid w:val="00CD2B3B"/>
    <w:rsid w:val="00CF5695"/>
    <w:rsid w:val="00D14D77"/>
    <w:rsid w:val="00D75126"/>
    <w:rsid w:val="00D83F0E"/>
    <w:rsid w:val="00D9092E"/>
    <w:rsid w:val="00D91ADF"/>
    <w:rsid w:val="00DA407C"/>
    <w:rsid w:val="00DD0B73"/>
    <w:rsid w:val="00DE3203"/>
    <w:rsid w:val="00DE4C52"/>
    <w:rsid w:val="00E05A9A"/>
    <w:rsid w:val="00E20C32"/>
    <w:rsid w:val="00E376CC"/>
    <w:rsid w:val="00E5063F"/>
    <w:rsid w:val="00E57FAE"/>
    <w:rsid w:val="00E97DA3"/>
    <w:rsid w:val="00EA7BCA"/>
    <w:rsid w:val="00EC70C7"/>
    <w:rsid w:val="00ED2C43"/>
    <w:rsid w:val="00F22FB9"/>
    <w:rsid w:val="00F32361"/>
    <w:rsid w:val="00F32658"/>
    <w:rsid w:val="00F34125"/>
    <w:rsid w:val="00F34F7D"/>
    <w:rsid w:val="00F86D8D"/>
    <w:rsid w:val="00F91B57"/>
    <w:rsid w:val="00FB6456"/>
    <w:rsid w:val="00FC0C31"/>
    <w:rsid w:val="00FC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crosoft Sans Serif" w:hAnsi="Microsoft Sans Serif" w:cs="Microsoft Sans Serif"/>
      <w:color w:val="000000"/>
      <w:sz w:val="24"/>
      <w:szCs w:val="24"/>
      <w:lang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80"/>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color w:val="800000"/>
      <w:sz w:val="20"/>
      <w:szCs w:val="20"/>
    </w:rPr>
  </w:style>
  <w:style w:type="paragraph" w:styleId="BalloonText">
    <w:name w:val="Balloon Text"/>
    <w:basedOn w:val="Normal"/>
    <w:semiHidden/>
    <w:rPr>
      <w:rFonts w:ascii="Times New Roman" w:hAnsi="Times New Roman" w:cs="Times New Roman"/>
      <w:sz w:val="16"/>
      <w:szCs w:val="16"/>
    </w:rPr>
  </w:style>
  <w:style w:type="paragraph" w:styleId="BodyText">
    <w:name w:val="Body Text"/>
    <w:basedOn w:val="Normal"/>
    <w:pPr>
      <w:pBdr>
        <w:top w:val="single" w:sz="6" w:space="1" w:color="C0C0C0"/>
        <w:left w:val="single" w:sz="6" w:space="1" w:color="C0C0C0"/>
        <w:bottom w:val="single" w:sz="6" w:space="1" w:color="C0C0C0"/>
        <w:right w:val="single" w:sz="6" w:space="1" w:color="C0C0C0"/>
        <w:between w:val="single" w:sz="6" w:space="1" w:color="C0C0C0"/>
      </w:pBdr>
      <w:shd w:val="pct25" w:color="FFFF00" w:fill="FFFFFF"/>
      <w:jc w:val="both"/>
    </w:pPr>
    <w:rPr>
      <w:rFonts w:ascii="Times New Roman" w:hAnsi="Times New Roman" w:cs="Times New Roman"/>
      <w:lang w:val="lv-LV"/>
    </w:rPr>
  </w:style>
  <w:style w:type="character" w:styleId="FollowedHyperlink">
    <w:name w:val="FollowedHyperlink"/>
    <w:rPr>
      <w:color w:val="800080"/>
      <w:u w:val="single"/>
    </w:rPr>
  </w:style>
  <w:style w:type="paragraph" w:styleId="BodyTextIndent">
    <w:name w:val="Body Text Indent"/>
    <w:basedOn w:val="Normal"/>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hAnsi="Times New Roman" w:cs="Times New Roman"/>
      <w:lang w:val="lv-LV"/>
    </w:rPr>
  </w:style>
  <w:style w:type="paragraph" w:styleId="Header">
    <w:name w:val="header"/>
    <w:basedOn w:val="Normal"/>
    <w:rsid w:val="00DD0B73"/>
    <w:pPr>
      <w:tabs>
        <w:tab w:val="center" w:pos="4153"/>
        <w:tab w:val="right" w:pos="8306"/>
      </w:tabs>
    </w:pPr>
  </w:style>
  <w:style w:type="paragraph" w:styleId="Footer">
    <w:name w:val="footer"/>
    <w:basedOn w:val="Normal"/>
    <w:rsid w:val="00DD0B73"/>
    <w:pPr>
      <w:tabs>
        <w:tab w:val="center" w:pos="4153"/>
        <w:tab w:val="right" w:pos="8306"/>
      </w:tabs>
    </w:pPr>
  </w:style>
  <w:style w:type="character" w:styleId="PageNumber">
    <w:name w:val="page number"/>
    <w:basedOn w:val="DefaultParagraphFont"/>
    <w:semiHidden/>
    <w:rsid w:val="00DD0B73"/>
  </w:style>
  <w:style w:type="paragraph" w:styleId="FootnoteText">
    <w:name w:val="footnote text"/>
    <w:basedOn w:val="Normal"/>
    <w:semiHidden/>
    <w:rsid w:val="006937AD"/>
    <w:rPr>
      <w:sz w:val="20"/>
      <w:szCs w:val="20"/>
    </w:rPr>
  </w:style>
  <w:style w:type="character" w:styleId="FootnoteReference">
    <w:name w:val="footnote reference"/>
    <w:semiHidden/>
    <w:rsid w:val="006937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13626</Words>
  <Characters>77671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Microsoft Word - TEXT ONLY VERSION_CONF_3_Minamata Convention on Mercury_final 26 08_e.doc</vt:lpstr>
    </vt:vector>
  </TitlesOfParts>
  <Company>VVC</Company>
  <LinksUpToDate>false</LinksUpToDate>
  <CharactersWithSpaces>91115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TEXT ONLY VERSION_CONF_3_Minamata Convention on Mercury_final 26 08_e.doc</dc:title>
  <dc:subject/>
  <dc:creator>laruelle</dc:creator>
  <cp:keywords/>
  <dc:description/>
  <cp:lastModifiedBy>gunak</cp:lastModifiedBy>
  <cp:revision>2</cp:revision>
  <cp:lastPrinted>2014-04-17T07:49:00Z</cp:lastPrinted>
  <dcterms:created xsi:type="dcterms:W3CDTF">2014-08-29T13:27:00Z</dcterms:created>
  <dcterms:modified xsi:type="dcterms:W3CDTF">2014-08-29T13:27:00Z</dcterms:modified>
</cp:coreProperties>
</file>