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12" w:rsidRPr="00D11143" w:rsidRDefault="00424712" w:rsidP="00424712">
      <w:pPr>
        <w:spacing w:after="0" w:line="240" w:lineRule="auto"/>
        <w:jc w:val="center"/>
        <w:rPr>
          <w:b/>
          <w:caps/>
          <w:szCs w:val="24"/>
        </w:rPr>
      </w:pPr>
      <w:r w:rsidRPr="00D11143">
        <w:rPr>
          <w:b/>
          <w:caps/>
          <w:szCs w:val="24"/>
        </w:rPr>
        <w:t>Informatīvais ziņojums</w:t>
      </w:r>
    </w:p>
    <w:p w:rsidR="00424712" w:rsidRPr="00D11143" w:rsidRDefault="00424712" w:rsidP="00424712">
      <w:pPr>
        <w:autoSpaceDE w:val="0"/>
        <w:autoSpaceDN w:val="0"/>
        <w:adjustRightInd w:val="0"/>
        <w:spacing w:after="0" w:line="240" w:lineRule="auto"/>
        <w:jc w:val="center"/>
        <w:rPr>
          <w:b/>
          <w:szCs w:val="24"/>
        </w:rPr>
      </w:pPr>
      <w:r w:rsidRPr="00D11143">
        <w:rPr>
          <w:b/>
          <w:szCs w:val="24"/>
        </w:rPr>
        <w:t>Par papildu valsts budžeta saistību uzņemšanos Eiropas Savienības Konkurētspējas un inovācijas ietvarprogrammas Informācijas un komunikāciju tehnoloģijas politikas atbalsta programmas (ICT PSP) ietvaros apstiprinātā projekta „Atvērtās ģeogrāfiskās informācijas pārņemšana, izmantojot saistīto datu inovatīvus servisus</w:t>
      </w:r>
    </w:p>
    <w:p w:rsidR="00424712" w:rsidRPr="00D11143" w:rsidRDefault="00424712" w:rsidP="00424712">
      <w:pPr>
        <w:spacing w:after="0" w:line="240" w:lineRule="auto"/>
        <w:jc w:val="center"/>
        <w:rPr>
          <w:b/>
          <w:szCs w:val="24"/>
        </w:rPr>
      </w:pPr>
      <w:r w:rsidRPr="00D11143">
        <w:rPr>
          <w:b/>
          <w:szCs w:val="24"/>
        </w:rPr>
        <w:t>(</w:t>
      </w:r>
      <w:r w:rsidRPr="00D11143">
        <w:rPr>
          <w:b/>
          <w:i/>
          <w:szCs w:val="24"/>
        </w:rPr>
        <w:t>SDI4Apps</w:t>
      </w:r>
      <w:r w:rsidRPr="00D11143">
        <w:rPr>
          <w:b/>
          <w:szCs w:val="24"/>
        </w:rPr>
        <w:t>)” ieviešanai</w:t>
      </w:r>
    </w:p>
    <w:p w:rsidR="00424712" w:rsidRPr="00D11143" w:rsidRDefault="00424712" w:rsidP="00424712">
      <w:pPr>
        <w:spacing w:after="0" w:line="240" w:lineRule="auto"/>
        <w:ind w:firstLine="567"/>
        <w:jc w:val="both"/>
        <w:rPr>
          <w:b/>
          <w:szCs w:val="24"/>
        </w:rPr>
      </w:pPr>
    </w:p>
    <w:p w:rsidR="00424712" w:rsidRPr="00D11143" w:rsidRDefault="00424712" w:rsidP="00424712">
      <w:pPr>
        <w:spacing w:after="0" w:line="240" w:lineRule="auto"/>
        <w:ind w:firstLine="567"/>
        <w:jc w:val="both"/>
        <w:rPr>
          <w:b/>
          <w:szCs w:val="24"/>
        </w:rPr>
      </w:pPr>
    </w:p>
    <w:p w:rsidR="00424712" w:rsidRPr="00D11143" w:rsidRDefault="00424712" w:rsidP="00424712">
      <w:pPr>
        <w:spacing w:after="0" w:line="240" w:lineRule="auto"/>
        <w:jc w:val="both"/>
        <w:rPr>
          <w:b/>
          <w:szCs w:val="24"/>
        </w:rPr>
      </w:pPr>
      <w:r w:rsidRPr="00D11143">
        <w:rPr>
          <w:b/>
          <w:szCs w:val="24"/>
        </w:rPr>
        <w:t>I Projekta sasaiste ar politikas dokumentiem un tiesību aktiem</w:t>
      </w:r>
    </w:p>
    <w:p w:rsidR="00424712" w:rsidRPr="00D11143" w:rsidRDefault="00424712" w:rsidP="00424712">
      <w:pPr>
        <w:spacing w:after="0" w:line="240" w:lineRule="auto"/>
        <w:jc w:val="both"/>
        <w:rPr>
          <w:szCs w:val="24"/>
        </w:rPr>
      </w:pPr>
    </w:p>
    <w:p w:rsidR="00424712" w:rsidRPr="00D11143" w:rsidRDefault="006E20D6" w:rsidP="00424712">
      <w:pPr>
        <w:spacing w:after="0" w:line="240" w:lineRule="auto"/>
        <w:jc w:val="both"/>
        <w:rPr>
          <w:szCs w:val="24"/>
        </w:rPr>
      </w:pPr>
      <w:r>
        <w:rPr>
          <w:szCs w:val="24"/>
        </w:rPr>
        <w:t>S</w:t>
      </w:r>
      <w:r w:rsidR="00424712" w:rsidRPr="00D11143">
        <w:rPr>
          <w:szCs w:val="24"/>
        </w:rPr>
        <w:t>askaņā ar Eiropas Parlamenta un Padomes 2006. gada 24. oktobra lēmumu Nr. 1639/2006/EC tika izveidota Konkurētspējas un inovāciju ietvarprogramma (</w:t>
      </w:r>
      <w:r w:rsidR="00424712" w:rsidRPr="00D11143">
        <w:rPr>
          <w:i/>
          <w:szCs w:val="24"/>
        </w:rPr>
        <w:t>CIP</w:t>
      </w:r>
      <w:r w:rsidR="00424712" w:rsidRPr="00D11143">
        <w:rPr>
          <w:szCs w:val="24"/>
        </w:rPr>
        <w:t>) laika posmam no 2007. gada līdz 2013. gadam.</w:t>
      </w:r>
    </w:p>
    <w:p w:rsidR="00424712" w:rsidRPr="00D11143" w:rsidRDefault="00424712" w:rsidP="00424712">
      <w:pPr>
        <w:spacing w:after="0" w:line="240" w:lineRule="auto"/>
        <w:jc w:val="both"/>
        <w:rPr>
          <w:szCs w:val="24"/>
        </w:rPr>
      </w:pPr>
      <w:r w:rsidRPr="00D11143">
        <w:rPr>
          <w:szCs w:val="24"/>
        </w:rPr>
        <w:t>Konkurētspējas un inovāciju ietvarprogrammas galvenais mērķis ir veicināt uzņēmumu konkurētspēju un to inovatīvo kapacitāti un tai ir trīs rīcības programmas:</w:t>
      </w:r>
    </w:p>
    <w:p w:rsidR="00424712" w:rsidRPr="00D11143" w:rsidRDefault="00424712" w:rsidP="004167A1">
      <w:pPr>
        <w:numPr>
          <w:ilvl w:val="0"/>
          <w:numId w:val="1"/>
        </w:numPr>
        <w:spacing w:after="0" w:line="240" w:lineRule="auto"/>
        <w:ind w:left="426" w:hanging="284"/>
        <w:jc w:val="both"/>
        <w:rPr>
          <w:szCs w:val="24"/>
        </w:rPr>
      </w:pPr>
      <w:r w:rsidRPr="00D11143">
        <w:rPr>
          <w:szCs w:val="24"/>
        </w:rPr>
        <w:t>Uzņēmējdarbības un inovāciju programma (</w:t>
      </w:r>
      <w:r w:rsidRPr="00D11143">
        <w:rPr>
          <w:i/>
          <w:szCs w:val="24"/>
        </w:rPr>
        <w:t>EIP</w:t>
      </w:r>
      <w:r w:rsidRPr="00D11143">
        <w:rPr>
          <w:szCs w:val="24"/>
        </w:rPr>
        <w:t>);</w:t>
      </w:r>
    </w:p>
    <w:p w:rsidR="00424712" w:rsidRPr="00D11143" w:rsidRDefault="00424712" w:rsidP="004167A1">
      <w:pPr>
        <w:numPr>
          <w:ilvl w:val="0"/>
          <w:numId w:val="1"/>
        </w:numPr>
        <w:spacing w:after="0" w:line="240" w:lineRule="auto"/>
        <w:ind w:left="426" w:hanging="284"/>
        <w:jc w:val="both"/>
        <w:rPr>
          <w:szCs w:val="24"/>
        </w:rPr>
      </w:pPr>
      <w:r w:rsidRPr="00D11143">
        <w:rPr>
          <w:szCs w:val="24"/>
        </w:rPr>
        <w:t>Informācijas un komunikāciju tehnoloģijas politikas atbalsta programma (</w:t>
      </w:r>
      <w:r w:rsidRPr="00D11143">
        <w:rPr>
          <w:i/>
          <w:szCs w:val="24"/>
        </w:rPr>
        <w:t>ICT PSP</w:t>
      </w:r>
      <w:r w:rsidR="00016E96">
        <w:rPr>
          <w:szCs w:val="24"/>
        </w:rPr>
        <w:t xml:space="preserve">, turpmāk – </w:t>
      </w:r>
      <w:r w:rsidR="00016E96" w:rsidRPr="00D11143">
        <w:rPr>
          <w:szCs w:val="24"/>
        </w:rPr>
        <w:t xml:space="preserve">IKT </w:t>
      </w:r>
      <w:r w:rsidR="006E20D6">
        <w:rPr>
          <w:szCs w:val="24"/>
        </w:rPr>
        <w:t xml:space="preserve">politikas </w:t>
      </w:r>
      <w:r w:rsidR="00016E96" w:rsidRPr="00D11143">
        <w:rPr>
          <w:szCs w:val="24"/>
        </w:rPr>
        <w:t>atbalsta programma</w:t>
      </w:r>
      <w:r w:rsidRPr="00D11143">
        <w:rPr>
          <w:szCs w:val="24"/>
        </w:rPr>
        <w:t>);</w:t>
      </w:r>
    </w:p>
    <w:p w:rsidR="00424712" w:rsidRPr="00D11143" w:rsidRDefault="00424712" w:rsidP="004167A1">
      <w:pPr>
        <w:numPr>
          <w:ilvl w:val="0"/>
          <w:numId w:val="1"/>
        </w:numPr>
        <w:spacing w:after="0" w:line="240" w:lineRule="auto"/>
        <w:ind w:left="426" w:hanging="284"/>
        <w:jc w:val="both"/>
        <w:rPr>
          <w:szCs w:val="24"/>
        </w:rPr>
      </w:pPr>
      <w:r w:rsidRPr="00D11143">
        <w:rPr>
          <w:szCs w:val="24"/>
        </w:rPr>
        <w:t>Inteliģentās enerģijas Eiropai programma (</w:t>
      </w:r>
      <w:r w:rsidRPr="00D11143">
        <w:rPr>
          <w:i/>
          <w:szCs w:val="24"/>
        </w:rPr>
        <w:t>IEE</w:t>
      </w:r>
      <w:r w:rsidRPr="00D11143">
        <w:rPr>
          <w:szCs w:val="24"/>
        </w:rPr>
        <w:t>).</w:t>
      </w:r>
    </w:p>
    <w:p w:rsidR="00424712" w:rsidRPr="00D11143" w:rsidRDefault="00424712" w:rsidP="00424712">
      <w:pPr>
        <w:spacing w:after="0" w:line="240" w:lineRule="auto"/>
        <w:jc w:val="both"/>
        <w:rPr>
          <w:szCs w:val="24"/>
        </w:rPr>
      </w:pPr>
      <w:r w:rsidRPr="00D11143">
        <w:rPr>
          <w:szCs w:val="24"/>
        </w:rPr>
        <w:t>Katrai no rīcības programmām ir savi konkrēti mērķi ar nolūku veicināt uzņēmumu konkurētspēju un inovāciju kapacitāti to darbības jomās.</w:t>
      </w:r>
    </w:p>
    <w:p w:rsidR="00016E96" w:rsidRDefault="00016E96" w:rsidP="00424712">
      <w:pPr>
        <w:spacing w:after="0" w:line="240" w:lineRule="auto"/>
        <w:jc w:val="both"/>
        <w:rPr>
          <w:szCs w:val="24"/>
        </w:rPr>
      </w:pPr>
    </w:p>
    <w:p w:rsidR="00C37E40" w:rsidRPr="00D11143" w:rsidRDefault="00C37E40" w:rsidP="00C37E40">
      <w:pPr>
        <w:spacing w:after="0" w:line="240" w:lineRule="auto"/>
        <w:jc w:val="both"/>
        <w:rPr>
          <w:szCs w:val="24"/>
        </w:rPr>
      </w:pPr>
      <w:r w:rsidRPr="00D11143">
        <w:rPr>
          <w:szCs w:val="24"/>
        </w:rPr>
        <w:t xml:space="preserve">IKT </w:t>
      </w:r>
      <w:r w:rsidR="006E20D6">
        <w:rPr>
          <w:szCs w:val="24"/>
        </w:rPr>
        <w:t xml:space="preserve">politikas </w:t>
      </w:r>
      <w:r w:rsidRPr="00D11143">
        <w:rPr>
          <w:szCs w:val="24"/>
        </w:rPr>
        <w:t>atbalsta programmas mērķis ir veicināt inovāciju plašāku ieviešanu, konkurētspēju un optimālu informācijas un komunikāciju tehnoloģiju izmantošanu iedzīvotāju vidū, valsts pār</w:t>
      </w:r>
      <w:r w:rsidR="009943B1">
        <w:rPr>
          <w:szCs w:val="24"/>
        </w:rPr>
        <w:t>valdē un uzņēmumos, un jo īpaši</w:t>
      </w:r>
      <w:r w:rsidRPr="00D11143">
        <w:rPr>
          <w:szCs w:val="24"/>
        </w:rPr>
        <w:t xml:space="preserve"> mazajos un vidējos uzņēmumos. IKT</w:t>
      </w:r>
      <w:r w:rsidR="006E20D6" w:rsidRPr="006E20D6">
        <w:rPr>
          <w:szCs w:val="24"/>
        </w:rPr>
        <w:t xml:space="preserve"> </w:t>
      </w:r>
      <w:r w:rsidR="006E20D6">
        <w:rPr>
          <w:szCs w:val="24"/>
        </w:rPr>
        <w:t>politikas</w:t>
      </w:r>
      <w:r w:rsidRPr="00D11143">
        <w:rPr>
          <w:szCs w:val="24"/>
        </w:rPr>
        <w:t xml:space="preserve"> atbalsta programma ir paredzēta tehnoloģiju jauninājumiem un ar tehnoloģijām nesaistītiem jauninājumiem, kuriem jau ir veikts izpētes un demonstrācijas pēdējais posms. IKT</w:t>
      </w:r>
      <w:r w:rsidR="006E20D6" w:rsidRPr="006E20D6">
        <w:rPr>
          <w:szCs w:val="24"/>
        </w:rPr>
        <w:t xml:space="preserve"> </w:t>
      </w:r>
      <w:r w:rsidR="006E20D6">
        <w:rPr>
          <w:szCs w:val="24"/>
        </w:rPr>
        <w:t>politikas</w:t>
      </w:r>
      <w:r w:rsidRPr="00D11143">
        <w:rPr>
          <w:szCs w:val="24"/>
        </w:rPr>
        <w:t xml:space="preserve"> atbalsta programma sekmē šādas darbības:</w:t>
      </w:r>
    </w:p>
    <w:p w:rsidR="00C37E40" w:rsidRPr="00D11143" w:rsidRDefault="00C37E40" w:rsidP="004167A1">
      <w:pPr>
        <w:numPr>
          <w:ilvl w:val="0"/>
          <w:numId w:val="1"/>
        </w:numPr>
        <w:spacing w:after="0" w:line="240" w:lineRule="auto"/>
        <w:ind w:left="426" w:hanging="284"/>
        <w:jc w:val="both"/>
        <w:rPr>
          <w:szCs w:val="24"/>
        </w:rPr>
      </w:pPr>
      <w:r w:rsidRPr="00C37E40">
        <w:rPr>
          <w:szCs w:val="24"/>
        </w:rPr>
        <w:t>vienotas</w:t>
      </w:r>
      <w:r w:rsidRPr="00D11143">
        <w:rPr>
          <w:szCs w:val="24"/>
        </w:rPr>
        <w:t xml:space="preserve"> Eiropas informācijas telpas attīstīšana un iekšējā tirgus stiprināšana </w:t>
      </w:r>
      <w:r w:rsidR="00A509D1" w:rsidRPr="00892D16">
        <w:rPr>
          <w:szCs w:val="24"/>
          <w:shd w:val="clear" w:color="auto" w:fill="FFFFFF"/>
        </w:rPr>
        <w:t>informācijas un komunikācijas tehnoloģiju</w:t>
      </w:r>
      <w:r w:rsidR="00A509D1">
        <w:rPr>
          <w:szCs w:val="24"/>
          <w:shd w:val="clear" w:color="auto" w:fill="FFFFFF"/>
        </w:rPr>
        <w:t xml:space="preserve"> </w:t>
      </w:r>
      <w:r w:rsidRPr="00D11143">
        <w:rPr>
          <w:szCs w:val="24"/>
        </w:rPr>
        <w:t xml:space="preserve">ražojumiem un pakalpojumiem un uz </w:t>
      </w:r>
      <w:r w:rsidR="00372E9B" w:rsidRPr="00D11143">
        <w:rPr>
          <w:szCs w:val="24"/>
        </w:rPr>
        <w:t>informācijas un kom</w:t>
      </w:r>
      <w:r w:rsidR="00372E9B">
        <w:rPr>
          <w:szCs w:val="24"/>
        </w:rPr>
        <w:t>unikāciju tehnoloģijām</w:t>
      </w:r>
      <w:r w:rsidR="00372E9B" w:rsidRPr="00D11143">
        <w:rPr>
          <w:szCs w:val="24"/>
        </w:rPr>
        <w:t xml:space="preserve"> </w:t>
      </w:r>
      <w:r w:rsidRPr="00D11143">
        <w:rPr>
          <w:szCs w:val="24"/>
        </w:rPr>
        <w:t xml:space="preserve">balstītiem ražojumiem un pakalpojumiem; </w:t>
      </w:r>
    </w:p>
    <w:p w:rsidR="00C37E40" w:rsidRPr="00D11143" w:rsidRDefault="00C37E40" w:rsidP="004167A1">
      <w:pPr>
        <w:numPr>
          <w:ilvl w:val="0"/>
          <w:numId w:val="1"/>
        </w:numPr>
        <w:spacing w:after="0" w:line="240" w:lineRule="auto"/>
        <w:ind w:left="426" w:hanging="284"/>
        <w:jc w:val="both"/>
        <w:rPr>
          <w:szCs w:val="24"/>
        </w:rPr>
      </w:pPr>
      <w:r w:rsidRPr="00D11143">
        <w:rPr>
          <w:szCs w:val="24"/>
        </w:rPr>
        <w:t xml:space="preserve">jauninājumu veicināšana, vairāk pielāgojot un investējot </w:t>
      </w:r>
      <w:r w:rsidR="00372E9B" w:rsidRPr="00D11143">
        <w:rPr>
          <w:szCs w:val="24"/>
        </w:rPr>
        <w:t>informācijas un kom</w:t>
      </w:r>
      <w:r w:rsidR="00372E9B">
        <w:rPr>
          <w:szCs w:val="24"/>
        </w:rPr>
        <w:t>unikāciju tehnoloģijās</w:t>
      </w:r>
      <w:r w:rsidRPr="00D11143">
        <w:rPr>
          <w:szCs w:val="24"/>
        </w:rPr>
        <w:t xml:space="preserve">; </w:t>
      </w:r>
    </w:p>
    <w:p w:rsidR="00C37E40" w:rsidRPr="00D11143" w:rsidRDefault="00C37E40" w:rsidP="004167A1">
      <w:pPr>
        <w:numPr>
          <w:ilvl w:val="0"/>
          <w:numId w:val="1"/>
        </w:numPr>
        <w:spacing w:after="0" w:line="240" w:lineRule="auto"/>
        <w:ind w:left="426" w:hanging="284"/>
        <w:jc w:val="both"/>
        <w:rPr>
          <w:szCs w:val="24"/>
        </w:rPr>
      </w:pPr>
      <w:r w:rsidRPr="00D11143">
        <w:rPr>
          <w:szCs w:val="24"/>
        </w:rPr>
        <w:t>visaptverošas informācijas sabiedrības un efektīvāku un lietderīgāku pakalpojumu attīstīšana sabiedrības interešu jomās un dzīves kvalitātes uzlabošana.</w:t>
      </w:r>
    </w:p>
    <w:p w:rsidR="00C37E40" w:rsidRDefault="00C37E40" w:rsidP="00424712">
      <w:pPr>
        <w:spacing w:after="0" w:line="240" w:lineRule="auto"/>
        <w:jc w:val="both"/>
        <w:rPr>
          <w:szCs w:val="24"/>
        </w:rPr>
      </w:pPr>
    </w:p>
    <w:p w:rsidR="00424712" w:rsidRPr="00D11143" w:rsidRDefault="00016E96" w:rsidP="00424712">
      <w:pPr>
        <w:spacing w:after="0" w:line="240" w:lineRule="auto"/>
        <w:jc w:val="both"/>
        <w:rPr>
          <w:szCs w:val="24"/>
        </w:rPr>
      </w:pPr>
      <w:r w:rsidRPr="00D11143">
        <w:rPr>
          <w:szCs w:val="24"/>
        </w:rPr>
        <w:t xml:space="preserve">IKT </w:t>
      </w:r>
      <w:r w:rsidR="006E20D6">
        <w:rPr>
          <w:szCs w:val="24"/>
        </w:rPr>
        <w:t xml:space="preserve">politikas </w:t>
      </w:r>
      <w:r w:rsidRPr="00D11143">
        <w:rPr>
          <w:szCs w:val="24"/>
        </w:rPr>
        <w:t xml:space="preserve">atbalsta programma </w:t>
      </w:r>
      <w:r w:rsidR="00424712" w:rsidRPr="00D11143">
        <w:rPr>
          <w:szCs w:val="24"/>
        </w:rPr>
        <w:t xml:space="preserve">atbalsta Eiropas Informācijas sabiedrības attīstības politikas un, jo īpaši, </w:t>
      </w:r>
      <w:r w:rsidR="00424712" w:rsidRPr="00892D16">
        <w:rPr>
          <w:szCs w:val="24"/>
        </w:rPr>
        <w:t>Digitālās Programmas Eiropai</w:t>
      </w:r>
      <w:r w:rsidR="00424712" w:rsidRPr="00892D16">
        <w:rPr>
          <w:rStyle w:val="FootnoteReference"/>
          <w:szCs w:val="24"/>
        </w:rPr>
        <w:footnoteReference w:id="1"/>
      </w:r>
      <w:r w:rsidR="00424712" w:rsidRPr="00892D16">
        <w:rPr>
          <w:szCs w:val="24"/>
        </w:rPr>
        <w:t xml:space="preserve"> īstenošanu. </w:t>
      </w:r>
      <w:r w:rsidR="00F017B0" w:rsidRPr="00892D16">
        <w:rPr>
          <w:szCs w:val="24"/>
        </w:rPr>
        <w:t>Tā ir saskaņā ar Informācijas sabiedrības attīstības pamatnostādņu 2014.</w:t>
      </w:r>
      <w:r w:rsidR="009943B1">
        <w:rPr>
          <w:szCs w:val="24"/>
        </w:rPr>
        <w:t>-</w:t>
      </w:r>
      <w:r w:rsidR="00F017B0" w:rsidRPr="00892D16">
        <w:rPr>
          <w:szCs w:val="24"/>
        </w:rPr>
        <w:t>2020.</w:t>
      </w:r>
      <w:r w:rsidR="009943B1">
        <w:rPr>
          <w:szCs w:val="24"/>
        </w:rPr>
        <w:t> </w:t>
      </w:r>
      <w:r w:rsidR="00BB0B53" w:rsidRPr="00892D16">
        <w:rPr>
          <w:szCs w:val="24"/>
        </w:rPr>
        <w:t>g</w:t>
      </w:r>
      <w:r w:rsidR="009943B1">
        <w:rPr>
          <w:szCs w:val="24"/>
        </w:rPr>
        <w:t>adam</w:t>
      </w:r>
      <w:r w:rsidR="009943B1" w:rsidRPr="00892D16">
        <w:rPr>
          <w:rStyle w:val="FootnoteReference"/>
          <w:szCs w:val="24"/>
          <w:shd w:val="clear" w:color="auto" w:fill="FFFFFF"/>
        </w:rPr>
        <w:footnoteReference w:id="2"/>
      </w:r>
      <w:r w:rsidR="00F017B0" w:rsidRPr="00892D16">
        <w:rPr>
          <w:szCs w:val="24"/>
        </w:rPr>
        <w:t xml:space="preserve"> </w:t>
      </w:r>
      <w:r w:rsidR="00FE159C">
        <w:rPr>
          <w:szCs w:val="24"/>
        </w:rPr>
        <w:t xml:space="preserve">(turpmāk – Pamatnostādnes) </w:t>
      </w:r>
      <w:r w:rsidR="00BB0B53" w:rsidRPr="00892D16">
        <w:rPr>
          <w:szCs w:val="24"/>
        </w:rPr>
        <w:t>m</w:t>
      </w:r>
      <w:r w:rsidR="00F017B0" w:rsidRPr="00892D16">
        <w:rPr>
          <w:szCs w:val="24"/>
        </w:rPr>
        <w:t xml:space="preserve">ērķi: </w:t>
      </w:r>
      <w:r w:rsidR="000835DA" w:rsidRPr="00892D16">
        <w:rPr>
          <w:szCs w:val="24"/>
          <w:shd w:val="clear" w:color="auto" w:fill="FFFFFF"/>
        </w:rPr>
        <w:t xml:space="preserve">nodrošināt iespēju ikvienam izmantot </w:t>
      </w:r>
      <w:r w:rsidR="004167A1" w:rsidRPr="00D11143">
        <w:rPr>
          <w:szCs w:val="24"/>
        </w:rPr>
        <w:t>informāci</w:t>
      </w:r>
      <w:r w:rsidR="004167A1">
        <w:rPr>
          <w:szCs w:val="24"/>
        </w:rPr>
        <w:t xml:space="preserve">jas un komunikāciju tehnoloģiju </w:t>
      </w:r>
      <w:r w:rsidR="000835DA" w:rsidRPr="00892D16">
        <w:rPr>
          <w:szCs w:val="24"/>
          <w:shd w:val="clear" w:color="auto" w:fill="FFFFFF"/>
        </w:rPr>
        <w:t xml:space="preserve">sniegtās iespējas, veidot uz zināšanām balstītu ekonomiku un uzlabot kopējo dzīves kvalitāti, sniedzot ieguldījumu publiskās pārvaldes efektivitātes un valsts konkurētspējas, ekonomiskās izaugsmes paaugstināšanā un </w:t>
      </w:r>
      <w:r w:rsidR="00F81C9A" w:rsidRPr="00892D16">
        <w:rPr>
          <w:szCs w:val="24"/>
          <w:shd w:val="clear" w:color="auto" w:fill="FFFFFF"/>
        </w:rPr>
        <w:t>darbavietu</w:t>
      </w:r>
      <w:r w:rsidR="000835DA" w:rsidRPr="00892D16">
        <w:rPr>
          <w:szCs w:val="24"/>
          <w:shd w:val="clear" w:color="auto" w:fill="FFFFFF"/>
        </w:rPr>
        <w:t xml:space="preserve"> radīšanā.</w:t>
      </w:r>
      <w:r w:rsidR="00F017B0" w:rsidRPr="00892D16">
        <w:rPr>
          <w:szCs w:val="24"/>
        </w:rPr>
        <w:t xml:space="preserve"> </w:t>
      </w:r>
      <w:r w:rsidR="00424712" w:rsidRPr="00892D16">
        <w:rPr>
          <w:szCs w:val="24"/>
        </w:rPr>
        <w:t>Digitālā</w:t>
      </w:r>
      <w:r w:rsidR="00424712" w:rsidRPr="00D11143">
        <w:rPr>
          <w:szCs w:val="24"/>
        </w:rPr>
        <w:t xml:space="preserve"> programma Eiropai ir viena no </w:t>
      </w:r>
      <w:r w:rsidR="00E1304C">
        <w:t>Eiropas Savienības (turpmāk – ES)</w:t>
      </w:r>
      <w:r w:rsidR="00E1304C" w:rsidRPr="00A67ADD">
        <w:t xml:space="preserve"> d</w:t>
      </w:r>
      <w:r w:rsidR="00E1304C">
        <w:t xml:space="preserve">esmit gadu izaugsmes stratēģijas „Eiropa 2020” (turpmāk – Eiropa 2020) </w:t>
      </w:r>
      <w:r w:rsidR="00424712" w:rsidRPr="00D11143">
        <w:rPr>
          <w:szCs w:val="24"/>
        </w:rPr>
        <w:t xml:space="preserve">septiņām </w:t>
      </w:r>
      <w:proofErr w:type="spellStart"/>
      <w:r w:rsidR="00424712" w:rsidRPr="00D11143">
        <w:rPr>
          <w:szCs w:val="24"/>
        </w:rPr>
        <w:t>pamatiniciatīvām</w:t>
      </w:r>
      <w:proofErr w:type="spellEnd"/>
      <w:r w:rsidR="00E1304C">
        <w:rPr>
          <w:szCs w:val="24"/>
        </w:rPr>
        <w:t>, un t</w:t>
      </w:r>
      <w:r w:rsidR="00424712" w:rsidRPr="00D11143">
        <w:rPr>
          <w:szCs w:val="24"/>
        </w:rPr>
        <w:t xml:space="preserve">ā nosaka galveno lomu informācijas un komunikāciju tehnoloģijām, lai tiktu sasniegti Eiropa 2020 mērķi „Nodarbinātība” </w:t>
      </w:r>
      <w:r w:rsidR="00C37E40">
        <w:rPr>
          <w:szCs w:val="24"/>
        </w:rPr>
        <w:t xml:space="preserve">(līdz 2020. gadam jānodarbina </w:t>
      </w:r>
      <w:r w:rsidR="00424712" w:rsidRPr="00D11143">
        <w:rPr>
          <w:szCs w:val="24"/>
        </w:rPr>
        <w:t>75% iedzīvotāju vecumā</w:t>
      </w:r>
      <w:r w:rsidR="00C37E40">
        <w:rPr>
          <w:szCs w:val="24"/>
        </w:rPr>
        <w:t xml:space="preserve"> no</w:t>
      </w:r>
      <w:r w:rsidR="00424712" w:rsidRPr="00D11143">
        <w:rPr>
          <w:szCs w:val="24"/>
        </w:rPr>
        <w:t xml:space="preserve"> 20</w:t>
      </w:r>
      <w:r w:rsidR="00C37E40">
        <w:rPr>
          <w:szCs w:val="24"/>
        </w:rPr>
        <w:t xml:space="preserve"> līdz </w:t>
      </w:r>
      <w:r w:rsidR="00C37E40">
        <w:rPr>
          <w:szCs w:val="24"/>
        </w:rPr>
        <w:lastRenderedPageBreak/>
        <w:t>64 </w:t>
      </w:r>
      <w:r w:rsidR="00424712" w:rsidRPr="00D11143">
        <w:rPr>
          <w:szCs w:val="24"/>
        </w:rPr>
        <w:t>g</w:t>
      </w:r>
      <w:r w:rsidR="00C37E40">
        <w:rPr>
          <w:szCs w:val="24"/>
        </w:rPr>
        <w:t>adiem) un „</w:t>
      </w:r>
      <w:r w:rsidR="00424712" w:rsidRPr="00D11143">
        <w:rPr>
          <w:szCs w:val="24"/>
        </w:rPr>
        <w:t>Pētniecība un Attīstība</w:t>
      </w:r>
      <w:r w:rsidR="00C37E40">
        <w:rPr>
          <w:szCs w:val="24"/>
        </w:rPr>
        <w:t xml:space="preserve">” (līdz 2020. gadam pētniecībā un izstrādē paredzēts ieguldīt </w:t>
      </w:r>
      <w:r w:rsidR="00424712" w:rsidRPr="00D11143">
        <w:rPr>
          <w:szCs w:val="24"/>
        </w:rPr>
        <w:t>3% ES</w:t>
      </w:r>
      <w:r w:rsidR="00C37E40">
        <w:rPr>
          <w:szCs w:val="24"/>
        </w:rPr>
        <w:t xml:space="preserve"> iekšzemes kopprodukta)</w:t>
      </w:r>
      <w:r w:rsidR="009943B1">
        <w:rPr>
          <w:szCs w:val="24"/>
        </w:rPr>
        <w:t>.</w:t>
      </w:r>
    </w:p>
    <w:p w:rsidR="00424712" w:rsidRPr="00D11143" w:rsidRDefault="00424712" w:rsidP="00424712">
      <w:pPr>
        <w:spacing w:after="0" w:line="240" w:lineRule="auto"/>
        <w:jc w:val="both"/>
        <w:rPr>
          <w:szCs w:val="24"/>
        </w:rPr>
      </w:pPr>
    </w:p>
    <w:p w:rsidR="00F017B0" w:rsidRDefault="00F017B0" w:rsidP="00424712">
      <w:pPr>
        <w:spacing w:after="0" w:line="240" w:lineRule="auto"/>
        <w:jc w:val="both"/>
        <w:rPr>
          <w:szCs w:val="24"/>
        </w:rPr>
      </w:pPr>
      <w:r w:rsidRPr="00D11143">
        <w:rPr>
          <w:szCs w:val="24"/>
        </w:rPr>
        <w:t>Projekts</w:t>
      </w:r>
      <w:r>
        <w:rPr>
          <w:szCs w:val="24"/>
        </w:rPr>
        <w:t xml:space="preserve"> atbilst vairākiem ES un Latvijas nacionālā līmeņa attīstības plānošanas un nozaru politiku </w:t>
      </w:r>
      <w:r w:rsidR="00F81C9A">
        <w:rPr>
          <w:szCs w:val="24"/>
        </w:rPr>
        <w:t xml:space="preserve">plānošanas </w:t>
      </w:r>
      <w:r>
        <w:rPr>
          <w:szCs w:val="24"/>
        </w:rPr>
        <w:t xml:space="preserve">dokumentos definētajiem mērķiem un prioritātēm un sniedz ieguldījumu to sasniegšanā. Projekts </w:t>
      </w:r>
      <w:r w:rsidR="00424712" w:rsidRPr="00D11143">
        <w:rPr>
          <w:szCs w:val="24"/>
        </w:rPr>
        <w:t>atbilst</w:t>
      </w:r>
      <w:r w:rsidR="00892D16">
        <w:rPr>
          <w:szCs w:val="24"/>
        </w:rPr>
        <w:t>:</w:t>
      </w:r>
    </w:p>
    <w:p w:rsidR="00424712" w:rsidRDefault="00424712" w:rsidP="00FE159C">
      <w:pPr>
        <w:numPr>
          <w:ilvl w:val="0"/>
          <w:numId w:val="1"/>
        </w:numPr>
        <w:spacing w:after="0" w:line="240" w:lineRule="auto"/>
        <w:ind w:left="426" w:hanging="284"/>
        <w:jc w:val="both"/>
        <w:rPr>
          <w:szCs w:val="24"/>
        </w:rPr>
      </w:pPr>
      <w:r w:rsidRPr="00D11143">
        <w:rPr>
          <w:szCs w:val="24"/>
        </w:rPr>
        <w:t>Digitālās programmas Eiropai 5.</w:t>
      </w:r>
      <w:r w:rsidR="00C37E40">
        <w:rPr>
          <w:szCs w:val="24"/>
        </w:rPr>
        <w:t> </w:t>
      </w:r>
      <w:r w:rsidRPr="00D11143">
        <w:rPr>
          <w:szCs w:val="24"/>
        </w:rPr>
        <w:t>Pīlāram „Pētniecība un inovācija” un tā 54.</w:t>
      </w:r>
      <w:r w:rsidR="00C37E40">
        <w:rPr>
          <w:szCs w:val="24"/>
        </w:rPr>
        <w:t> </w:t>
      </w:r>
      <w:r w:rsidRPr="00D11143">
        <w:rPr>
          <w:szCs w:val="24"/>
        </w:rPr>
        <w:t>Darbība</w:t>
      </w:r>
      <w:r w:rsidR="00C37E40">
        <w:rPr>
          <w:szCs w:val="24"/>
        </w:rPr>
        <w:t>s</w:t>
      </w:r>
      <w:r w:rsidRPr="00D11143">
        <w:rPr>
          <w:szCs w:val="24"/>
        </w:rPr>
        <w:t xml:space="preserve"> „Attīstīt jaunas paaudzes tīklā bāzētas aplikācijas un pakalpojumus” mērķim, kas paredz strādāt ar iesaistītajām pusēm, lai attīstītu jaunas paaudzes tīklā bāzētas aplikācijas un pakalpojumus, t</w:t>
      </w:r>
      <w:r w:rsidR="00C37E40">
        <w:rPr>
          <w:szCs w:val="24"/>
        </w:rPr>
        <w:t>ajā skaitā</w:t>
      </w:r>
      <w:r w:rsidRPr="00D11143">
        <w:rPr>
          <w:szCs w:val="24"/>
        </w:rPr>
        <w:t xml:space="preserve"> saturu un pakalpojums vairākās valodās, </w:t>
      </w:r>
      <w:r w:rsidR="00BC680E" w:rsidRPr="00D11143">
        <w:rPr>
          <w:szCs w:val="24"/>
        </w:rPr>
        <w:t>atbalstot standartu</w:t>
      </w:r>
      <w:r w:rsidRPr="00D11143">
        <w:rPr>
          <w:szCs w:val="24"/>
        </w:rPr>
        <w:t xml:space="preserve"> un atvērtu platformu attīstību</w:t>
      </w:r>
      <w:r w:rsidR="00BC680E" w:rsidRPr="00BC680E">
        <w:rPr>
          <w:szCs w:val="24"/>
        </w:rPr>
        <w:t xml:space="preserve"> </w:t>
      </w:r>
      <w:r w:rsidR="00BC680E" w:rsidRPr="00D11143">
        <w:rPr>
          <w:szCs w:val="24"/>
        </w:rPr>
        <w:t>ar ES fondu programmu palīdzību</w:t>
      </w:r>
      <w:r w:rsidR="00FE159C">
        <w:rPr>
          <w:szCs w:val="24"/>
        </w:rPr>
        <w:t xml:space="preserve">, kā arī </w:t>
      </w:r>
      <w:r w:rsidRPr="00D11143">
        <w:rPr>
          <w:szCs w:val="24"/>
        </w:rPr>
        <w:t>121.</w:t>
      </w:r>
      <w:r w:rsidR="00C37E40">
        <w:rPr>
          <w:szCs w:val="24"/>
        </w:rPr>
        <w:t> Darbībai</w:t>
      </w:r>
      <w:r w:rsidRPr="00D11143">
        <w:rPr>
          <w:szCs w:val="24"/>
        </w:rPr>
        <w:t xml:space="preserve"> „Īstenot Eiropas </w:t>
      </w:r>
      <w:proofErr w:type="spellStart"/>
      <w:r w:rsidRPr="00D11143">
        <w:rPr>
          <w:szCs w:val="24"/>
        </w:rPr>
        <w:t>mākoņdatošanas</w:t>
      </w:r>
      <w:proofErr w:type="spellEnd"/>
      <w:r w:rsidRPr="00D11143">
        <w:rPr>
          <w:szCs w:val="24"/>
        </w:rPr>
        <w:t xml:space="preserve"> (</w:t>
      </w:r>
      <w:proofErr w:type="spellStart"/>
      <w:r w:rsidRPr="00C37E40">
        <w:rPr>
          <w:i/>
          <w:szCs w:val="24"/>
        </w:rPr>
        <w:t>cloud</w:t>
      </w:r>
      <w:proofErr w:type="spellEnd"/>
      <w:r w:rsidRPr="00C37E40">
        <w:rPr>
          <w:i/>
          <w:szCs w:val="24"/>
        </w:rPr>
        <w:t xml:space="preserve"> </w:t>
      </w:r>
      <w:proofErr w:type="spellStart"/>
      <w:r w:rsidRPr="00C37E40">
        <w:rPr>
          <w:i/>
          <w:szCs w:val="24"/>
        </w:rPr>
        <w:t>computing</w:t>
      </w:r>
      <w:proofErr w:type="spellEnd"/>
      <w:r w:rsidRPr="00D11143">
        <w:rPr>
          <w:szCs w:val="24"/>
        </w:rPr>
        <w:t>) stratēģiju</w:t>
      </w:r>
      <w:r w:rsidR="00C37E40">
        <w:rPr>
          <w:szCs w:val="24"/>
        </w:rPr>
        <w:t>”</w:t>
      </w:r>
      <w:r w:rsidR="00FE159C">
        <w:rPr>
          <w:szCs w:val="24"/>
        </w:rPr>
        <w:t>;</w:t>
      </w:r>
    </w:p>
    <w:p w:rsidR="00FE159C" w:rsidRDefault="00424712" w:rsidP="00372E9B">
      <w:pPr>
        <w:numPr>
          <w:ilvl w:val="0"/>
          <w:numId w:val="1"/>
        </w:numPr>
        <w:spacing w:after="0" w:line="240" w:lineRule="auto"/>
        <w:ind w:left="426" w:hanging="284"/>
        <w:jc w:val="both"/>
        <w:rPr>
          <w:szCs w:val="24"/>
        </w:rPr>
      </w:pPr>
      <w:r w:rsidRPr="00FE159C">
        <w:rPr>
          <w:szCs w:val="24"/>
        </w:rPr>
        <w:t>„Eiropas digitalizācijas programmas – digitalizācijas virzīta Eiropas izaugsme”</w:t>
      </w:r>
      <w:r w:rsidRPr="00D11143">
        <w:rPr>
          <w:rStyle w:val="FootnoteReference"/>
          <w:szCs w:val="24"/>
        </w:rPr>
        <w:footnoteReference w:id="3"/>
      </w:r>
      <w:r w:rsidR="00372E9B" w:rsidRPr="00FE159C">
        <w:rPr>
          <w:szCs w:val="24"/>
        </w:rPr>
        <w:t xml:space="preserve"> </w:t>
      </w:r>
      <w:r w:rsidRPr="00FE159C">
        <w:rPr>
          <w:szCs w:val="24"/>
        </w:rPr>
        <w:t xml:space="preserve">prioritārā fokusa jomas: izveidot saistītu ietvaru un apstākļus </w:t>
      </w:r>
      <w:proofErr w:type="spellStart"/>
      <w:r w:rsidRPr="00FE159C">
        <w:rPr>
          <w:szCs w:val="24"/>
        </w:rPr>
        <w:t>mākoņdatošanas</w:t>
      </w:r>
      <w:proofErr w:type="spellEnd"/>
      <w:r w:rsidRPr="00FE159C">
        <w:rPr>
          <w:szCs w:val="24"/>
        </w:rPr>
        <w:t xml:space="preserve"> pakalpojumiem Eiropā, radot pasaules lielāko </w:t>
      </w:r>
      <w:proofErr w:type="spellStart"/>
      <w:r w:rsidRPr="00FE159C">
        <w:rPr>
          <w:szCs w:val="24"/>
        </w:rPr>
        <w:t>mākoņdatu</w:t>
      </w:r>
      <w:proofErr w:type="spellEnd"/>
      <w:r w:rsidRPr="00FE159C">
        <w:rPr>
          <w:szCs w:val="24"/>
        </w:rPr>
        <w:t xml:space="preserve"> a</w:t>
      </w:r>
      <w:r w:rsidR="00FE159C">
        <w:rPr>
          <w:szCs w:val="24"/>
        </w:rPr>
        <w:t xml:space="preserve">tbalstītu </w:t>
      </w:r>
      <w:proofErr w:type="spellStart"/>
      <w:r w:rsidR="00FE159C">
        <w:rPr>
          <w:szCs w:val="24"/>
        </w:rPr>
        <w:t>infor</w:t>
      </w:r>
      <w:r w:rsidR="00FE159C" w:rsidRPr="00D11143">
        <w:rPr>
          <w:szCs w:val="24"/>
        </w:rPr>
        <w:t>rmāci</w:t>
      </w:r>
      <w:r w:rsidR="00FE159C">
        <w:rPr>
          <w:szCs w:val="24"/>
        </w:rPr>
        <w:t>jas</w:t>
      </w:r>
      <w:proofErr w:type="spellEnd"/>
      <w:r w:rsidR="00FE159C">
        <w:rPr>
          <w:szCs w:val="24"/>
        </w:rPr>
        <w:t xml:space="preserve"> un komunikāciju tehnoloģiju tirgu, attīstībai;</w:t>
      </w:r>
    </w:p>
    <w:p w:rsidR="00FE159C" w:rsidRDefault="00424712" w:rsidP="00372E9B">
      <w:pPr>
        <w:numPr>
          <w:ilvl w:val="0"/>
          <w:numId w:val="1"/>
        </w:numPr>
        <w:spacing w:after="0" w:line="240" w:lineRule="auto"/>
        <w:ind w:left="426" w:hanging="284"/>
        <w:jc w:val="both"/>
        <w:rPr>
          <w:szCs w:val="24"/>
        </w:rPr>
      </w:pPr>
      <w:r w:rsidRPr="00FE159C">
        <w:rPr>
          <w:szCs w:val="24"/>
        </w:rPr>
        <w:t>Latvijas Ilgtspējīgas Attīstības stratēģijas līdz 2030.</w:t>
      </w:r>
      <w:r w:rsidR="00260248" w:rsidRPr="00FE159C">
        <w:rPr>
          <w:szCs w:val="24"/>
        </w:rPr>
        <w:t> </w:t>
      </w:r>
      <w:r w:rsidRPr="00FE159C">
        <w:rPr>
          <w:szCs w:val="24"/>
        </w:rPr>
        <w:t>gadam</w:t>
      </w:r>
      <w:r w:rsidRPr="00D11143">
        <w:rPr>
          <w:rStyle w:val="FootnoteReference"/>
          <w:szCs w:val="24"/>
        </w:rPr>
        <w:footnoteReference w:id="4"/>
      </w:r>
      <w:r w:rsidR="00723F53" w:rsidRPr="00FE159C">
        <w:rPr>
          <w:szCs w:val="24"/>
        </w:rPr>
        <w:t xml:space="preserve"> 4. a</w:t>
      </w:r>
      <w:r w:rsidR="00372E9B" w:rsidRPr="00FE159C">
        <w:rPr>
          <w:szCs w:val="24"/>
        </w:rPr>
        <w:t xml:space="preserve">ttīstības virziena </w:t>
      </w:r>
      <w:r w:rsidRPr="00FE159C">
        <w:rPr>
          <w:szCs w:val="24"/>
        </w:rPr>
        <w:t>„Inovatīva un efektīva ekonomika” prioritāro ilgtermiņā rīcības virzienu „Lietotāju virzītas inovācijas”, „Atvērta inovāciju prakse” un „Inovatīva uzņēmējdarbība” attīstī</w:t>
      </w:r>
      <w:r w:rsidR="00FE159C">
        <w:rPr>
          <w:szCs w:val="24"/>
        </w:rPr>
        <w:t>bai;</w:t>
      </w:r>
    </w:p>
    <w:p w:rsidR="00424712" w:rsidRPr="00FE159C" w:rsidRDefault="00424712" w:rsidP="00372E9B">
      <w:pPr>
        <w:numPr>
          <w:ilvl w:val="0"/>
          <w:numId w:val="1"/>
        </w:numPr>
        <w:spacing w:after="0" w:line="240" w:lineRule="auto"/>
        <w:ind w:left="426" w:hanging="284"/>
        <w:jc w:val="both"/>
        <w:rPr>
          <w:szCs w:val="24"/>
        </w:rPr>
      </w:pPr>
      <w:r w:rsidRPr="00FE159C">
        <w:rPr>
          <w:szCs w:val="24"/>
        </w:rPr>
        <w:t>Latvijas Nacionālā attīstības plāna 2014.</w:t>
      </w:r>
      <w:r w:rsidR="00260248" w:rsidRPr="00FE159C">
        <w:rPr>
          <w:szCs w:val="24"/>
        </w:rPr>
        <w:t>-</w:t>
      </w:r>
      <w:r w:rsidRPr="00FE159C">
        <w:rPr>
          <w:szCs w:val="24"/>
        </w:rPr>
        <w:t>2020. gadam</w:t>
      </w:r>
      <w:r w:rsidRPr="00D11143">
        <w:rPr>
          <w:rStyle w:val="FootnoteReference"/>
          <w:szCs w:val="24"/>
        </w:rPr>
        <w:footnoteReference w:id="5"/>
      </w:r>
      <w:r w:rsidRPr="00FE159C">
        <w:rPr>
          <w:szCs w:val="24"/>
        </w:rPr>
        <w:t xml:space="preserve"> </w:t>
      </w:r>
      <w:r w:rsidR="00FE159C">
        <w:rPr>
          <w:szCs w:val="24"/>
        </w:rPr>
        <w:t>p</w:t>
      </w:r>
      <w:r w:rsidR="00372E9B" w:rsidRPr="00FE159C">
        <w:rPr>
          <w:szCs w:val="24"/>
        </w:rPr>
        <w:t xml:space="preserve">rioritātes „Tautas </w:t>
      </w:r>
      <w:proofErr w:type="spellStart"/>
      <w:r w:rsidR="00372E9B" w:rsidRPr="00FE159C">
        <w:rPr>
          <w:szCs w:val="24"/>
        </w:rPr>
        <w:t>saimniecības</w:t>
      </w:r>
      <w:r w:rsidRPr="00FE159C">
        <w:rPr>
          <w:szCs w:val="24"/>
        </w:rPr>
        <w:t>izaugsme</w:t>
      </w:r>
      <w:proofErr w:type="spellEnd"/>
      <w:r w:rsidRPr="00FE159C">
        <w:rPr>
          <w:szCs w:val="24"/>
        </w:rPr>
        <w:t xml:space="preserve">” </w:t>
      </w:r>
      <w:r w:rsidR="00FE159C">
        <w:rPr>
          <w:szCs w:val="24"/>
        </w:rPr>
        <w:t>r</w:t>
      </w:r>
      <w:r w:rsidRPr="00FE159C">
        <w:rPr>
          <w:szCs w:val="24"/>
        </w:rPr>
        <w:t>īcības virziena „Attīstīta pētniecība, inovācija un aug</w:t>
      </w:r>
      <w:r w:rsidR="00723F53" w:rsidRPr="00FE159C">
        <w:rPr>
          <w:szCs w:val="24"/>
        </w:rPr>
        <w:t>stākā izglītība” abiem mērķiem</w:t>
      </w:r>
      <w:r w:rsidR="00F017B0" w:rsidRPr="00FE159C">
        <w:rPr>
          <w:szCs w:val="24"/>
        </w:rPr>
        <w:t>:</w:t>
      </w:r>
    </w:p>
    <w:p w:rsidR="00FE159C" w:rsidRDefault="00BC680E" w:rsidP="00FE159C">
      <w:pPr>
        <w:numPr>
          <w:ilvl w:val="1"/>
          <w:numId w:val="1"/>
        </w:numPr>
        <w:spacing w:after="0" w:line="240" w:lineRule="auto"/>
        <w:ind w:left="993"/>
        <w:jc w:val="both"/>
        <w:rPr>
          <w:szCs w:val="24"/>
        </w:rPr>
      </w:pPr>
      <w:r w:rsidRPr="004167A1">
        <w:rPr>
          <w:szCs w:val="24"/>
        </w:rPr>
        <w:t>i</w:t>
      </w:r>
      <w:r w:rsidR="000835DA" w:rsidRPr="004167A1">
        <w:rPr>
          <w:szCs w:val="24"/>
        </w:rPr>
        <w:t>eguldījumi pētniecībā un attīstībā 1,5% apmērā</w:t>
      </w:r>
      <w:r w:rsidRPr="004167A1">
        <w:rPr>
          <w:szCs w:val="24"/>
        </w:rPr>
        <w:t xml:space="preserve"> no iekšzemes kopprodukta 2020. </w:t>
      </w:r>
      <w:r w:rsidR="000835DA" w:rsidRPr="004167A1">
        <w:rPr>
          <w:szCs w:val="24"/>
        </w:rPr>
        <w:t>gadā, mērķtiecīgi sekmējot cilvēkresursu piesaisti, inovatīvu ideju izstrādi, pētnieciskās infrastruktūras pilnveidi, augstākās izglītības, zinātnes un privātā sektora sadarbību, kā arī pētniecības un inovācijas pārnesi uzņēmējdarbībā</w:t>
      </w:r>
      <w:r w:rsidRPr="004167A1">
        <w:rPr>
          <w:szCs w:val="24"/>
        </w:rPr>
        <w:t>;</w:t>
      </w:r>
    </w:p>
    <w:p w:rsidR="00856BB0" w:rsidRPr="00FE159C" w:rsidRDefault="00BC680E" w:rsidP="00FE159C">
      <w:pPr>
        <w:numPr>
          <w:ilvl w:val="1"/>
          <w:numId w:val="1"/>
        </w:numPr>
        <w:spacing w:after="0" w:line="240" w:lineRule="auto"/>
        <w:ind w:left="993"/>
        <w:jc w:val="both"/>
        <w:rPr>
          <w:szCs w:val="24"/>
        </w:rPr>
      </w:pPr>
      <w:r w:rsidRPr="00FE159C">
        <w:rPr>
          <w:szCs w:val="24"/>
        </w:rPr>
        <w:t>k</w:t>
      </w:r>
      <w:r w:rsidR="000835DA" w:rsidRPr="00FE159C">
        <w:rPr>
          <w:szCs w:val="24"/>
        </w:rPr>
        <w:t>omercializējot zināšanas, veicināt inovatīvu, starptautiski konkurētspējīgu produktu ar augstu pievienoto vērtību radīšanu un ieviešanu ražošanā, šādi paaugstinot minēto produktu izlaides apjoma īpatsvaru tautas saimniecībā</w:t>
      </w:r>
      <w:r w:rsidR="00FE159C">
        <w:rPr>
          <w:szCs w:val="24"/>
        </w:rPr>
        <w:t>;</w:t>
      </w:r>
    </w:p>
    <w:p w:rsidR="00424712" w:rsidRPr="00D11143" w:rsidRDefault="00260248" w:rsidP="00FE159C">
      <w:pPr>
        <w:numPr>
          <w:ilvl w:val="0"/>
          <w:numId w:val="1"/>
        </w:numPr>
        <w:spacing w:after="0" w:line="240" w:lineRule="auto"/>
        <w:ind w:left="426" w:hanging="284"/>
        <w:jc w:val="both"/>
        <w:rPr>
          <w:b/>
          <w:i/>
          <w:szCs w:val="24"/>
        </w:rPr>
      </w:pPr>
      <w:r>
        <w:rPr>
          <w:szCs w:val="24"/>
        </w:rPr>
        <w:t>Pamatnostādn</w:t>
      </w:r>
      <w:r w:rsidR="00FE159C">
        <w:rPr>
          <w:szCs w:val="24"/>
        </w:rPr>
        <w:t>ēs</w:t>
      </w:r>
      <w:r>
        <w:rPr>
          <w:szCs w:val="24"/>
        </w:rPr>
        <w:t xml:space="preserve"> </w:t>
      </w:r>
      <w:r w:rsidR="00424712" w:rsidRPr="00D11143">
        <w:rPr>
          <w:szCs w:val="24"/>
        </w:rPr>
        <w:t xml:space="preserve">izvirzītajām prioritātēm un rīcības virzieniem. Tas sniedz ieguldījumu </w:t>
      </w:r>
      <w:r>
        <w:rPr>
          <w:szCs w:val="24"/>
        </w:rPr>
        <w:t>P</w:t>
      </w:r>
      <w:r w:rsidR="00424712" w:rsidRPr="00D11143">
        <w:rPr>
          <w:szCs w:val="24"/>
        </w:rPr>
        <w:t>amatnostādnēs es</w:t>
      </w:r>
      <w:r w:rsidR="00424712" w:rsidRPr="00D11143">
        <w:rPr>
          <w:rFonts w:eastAsia="Times New Roman"/>
          <w:szCs w:val="24"/>
        </w:rPr>
        <w:t xml:space="preserve">ošās situācijas analizē konstatētās problemātikas: </w:t>
      </w:r>
      <w:r w:rsidR="00424712" w:rsidRPr="00D11143">
        <w:rPr>
          <w:rFonts w:eastAsia="Times New Roman"/>
          <w:i/>
          <w:szCs w:val="24"/>
        </w:rPr>
        <w:t xml:space="preserve">„Publiskajā pārvaldē tikai atsevišķos izņēmuma gadījumos tiek nodrošinātas atvērto datu izmantošanas iespējas. Nodrošinot valsts rīcībā esošo datu brīvu pieejamību, tiek radīta iespēja privātā, nevalstiskā un zinātniskā sektora nepastarpinātai iesaistei uz valsts datiem bāzētu e-pakalpojumu un </w:t>
      </w:r>
      <w:r w:rsidR="00FE159C" w:rsidRPr="00FE159C">
        <w:rPr>
          <w:i/>
          <w:szCs w:val="24"/>
        </w:rPr>
        <w:t>informācijas un komunikāciju tehnoloģiju</w:t>
      </w:r>
      <w:r w:rsidR="00424712" w:rsidRPr="00D11143">
        <w:rPr>
          <w:rFonts w:eastAsia="Times New Roman"/>
          <w:i/>
          <w:szCs w:val="24"/>
        </w:rPr>
        <w:t xml:space="preserve"> produktu attīstībai, kā arī nepastarpinātai situācijas analīzei un izpētei, tādejādi veicinot valsts ekonomisko izaugsmi, darbavietu radīšanu, kā arī sociālo pro</w:t>
      </w:r>
      <w:r w:rsidR="004167A1">
        <w:rPr>
          <w:rFonts w:eastAsia="Times New Roman"/>
          <w:i/>
          <w:szCs w:val="24"/>
        </w:rPr>
        <w:t>cesu modelēšanu un paredzēšanu”</w:t>
      </w:r>
      <w:r w:rsidR="00FE159C">
        <w:rPr>
          <w:rFonts w:eastAsia="Times New Roman"/>
          <w:szCs w:val="24"/>
        </w:rPr>
        <w:t xml:space="preserve"> </w:t>
      </w:r>
      <w:r w:rsidR="00424712">
        <w:rPr>
          <w:rFonts w:eastAsia="Times New Roman"/>
          <w:szCs w:val="24"/>
        </w:rPr>
        <w:t>r</w:t>
      </w:r>
      <w:r w:rsidR="00424712" w:rsidRPr="00D11143">
        <w:rPr>
          <w:rFonts w:eastAsia="Times New Roman"/>
          <w:szCs w:val="24"/>
        </w:rPr>
        <w:t xml:space="preserve">isināšanā, sniedzot ieguldījumu Pamatnostādņu </w:t>
      </w:r>
      <w:bookmarkStart w:id="0" w:name="_Toc362602491"/>
      <w:r w:rsidR="00424712" w:rsidRPr="00D11143">
        <w:rPr>
          <w:rFonts w:eastAsia="Times New Roman"/>
          <w:szCs w:val="24"/>
        </w:rPr>
        <w:t>5.4.</w:t>
      </w:r>
      <w:r w:rsidR="00723F53">
        <w:rPr>
          <w:rFonts w:eastAsia="Times New Roman"/>
          <w:szCs w:val="24"/>
        </w:rPr>
        <w:t> </w:t>
      </w:r>
      <w:r w:rsidR="00FE159C">
        <w:rPr>
          <w:rFonts w:eastAsia="Times New Roman"/>
          <w:szCs w:val="24"/>
        </w:rPr>
        <w:t>Rīcības virziena „E</w:t>
      </w:r>
      <w:r w:rsidR="00FE159C">
        <w:rPr>
          <w:rFonts w:eastAsia="Times New Roman"/>
          <w:szCs w:val="24"/>
        </w:rPr>
        <w:noBreakHyphen/>
      </w:r>
      <w:r w:rsidR="00424712" w:rsidRPr="00D11143">
        <w:rPr>
          <w:rFonts w:eastAsia="Times New Roman"/>
          <w:szCs w:val="24"/>
        </w:rPr>
        <w:t>pakalpojumi un digitālais saturs sabiedrībai</w:t>
      </w:r>
      <w:bookmarkEnd w:id="0"/>
      <w:r w:rsidR="00424712" w:rsidRPr="00D11143">
        <w:rPr>
          <w:rFonts w:eastAsia="Times New Roman"/>
          <w:szCs w:val="24"/>
        </w:rPr>
        <w:t xml:space="preserve">”, </w:t>
      </w:r>
      <w:bookmarkStart w:id="1" w:name="_Toc362602492"/>
      <w:r w:rsidR="00424712" w:rsidRPr="00D11143">
        <w:rPr>
          <w:rFonts w:eastAsia="Times New Roman"/>
          <w:szCs w:val="24"/>
        </w:rPr>
        <w:t>5.4.1.</w:t>
      </w:r>
      <w:r w:rsidR="00723F53">
        <w:rPr>
          <w:rFonts w:eastAsia="Times New Roman"/>
          <w:szCs w:val="24"/>
        </w:rPr>
        <w:t> </w:t>
      </w:r>
      <w:r w:rsidR="00424712" w:rsidRPr="00D11143">
        <w:rPr>
          <w:rFonts w:eastAsia="Times New Roman"/>
          <w:szCs w:val="24"/>
        </w:rPr>
        <w:t>punktā „Publiskās pārvaldes datu un transakciju pakalpojumu atvēršana citiem lietotājiem</w:t>
      </w:r>
      <w:bookmarkEnd w:id="1"/>
      <w:r w:rsidR="00424712" w:rsidRPr="00D11143">
        <w:rPr>
          <w:rFonts w:eastAsia="Times New Roman"/>
          <w:szCs w:val="24"/>
        </w:rPr>
        <w:t xml:space="preserve">”, un </w:t>
      </w:r>
      <w:bookmarkStart w:id="2" w:name="h.ihv636" w:colFirst="0" w:colLast="0"/>
      <w:bookmarkEnd w:id="2"/>
      <w:r w:rsidR="00424712" w:rsidRPr="00D11143">
        <w:rPr>
          <w:rFonts w:eastAsia="Times New Roman"/>
          <w:szCs w:val="24"/>
        </w:rPr>
        <w:t>5.4.1.1.</w:t>
      </w:r>
      <w:r w:rsidR="00723F53">
        <w:rPr>
          <w:rFonts w:eastAsia="Times New Roman"/>
          <w:szCs w:val="24"/>
        </w:rPr>
        <w:t> </w:t>
      </w:r>
      <w:r w:rsidR="00424712" w:rsidRPr="00D11143">
        <w:rPr>
          <w:rFonts w:eastAsia="Times New Roman"/>
          <w:szCs w:val="24"/>
        </w:rPr>
        <w:t>apakšpunktā „Publiskās pārvaldes datu atvēršana citiem lietotājiem” paredzētajām rīcībām.</w:t>
      </w:r>
      <w:r w:rsidR="00424712">
        <w:rPr>
          <w:rFonts w:eastAsia="Times New Roman"/>
          <w:szCs w:val="24"/>
        </w:rPr>
        <w:t xml:space="preserve"> Projekts atbilst pamatnostādņu </w:t>
      </w:r>
      <w:bookmarkStart w:id="3" w:name="_Toc362602472"/>
      <w:r w:rsidR="00723F53">
        <w:rPr>
          <w:rFonts w:eastAsia="Times New Roman"/>
          <w:szCs w:val="24"/>
        </w:rPr>
        <w:t>3.3. </w:t>
      </w:r>
      <w:r w:rsidR="00424712" w:rsidRPr="00D11143">
        <w:rPr>
          <w:rFonts w:eastAsia="Times New Roman"/>
          <w:szCs w:val="24"/>
        </w:rPr>
        <w:t>punkt</w:t>
      </w:r>
      <w:r w:rsidR="00424712">
        <w:rPr>
          <w:rFonts w:eastAsia="Times New Roman"/>
          <w:szCs w:val="24"/>
        </w:rPr>
        <w:t>a: „</w:t>
      </w:r>
      <w:r w:rsidR="00424712" w:rsidRPr="00D11143">
        <w:rPr>
          <w:rFonts w:eastAsia="Times New Roman"/>
          <w:szCs w:val="24"/>
        </w:rPr>
        <w:t>Pamatprincipi e-pārvaldes plānošanā</w:t>
      </w:r>
      <w:bookmarkEnd w:id="3"/>
      <w:r w:rsidR="00424712">
        <w:rPr>
          <w:rFonts w:eastAsia="Times New Roman"/>
          <w:szCs w:val="24"/>
        </w:rPr>
        <w:t>”</w:t>
      </w:r>
      <w:r w:rsidR="00424712" w:rsidRPr="00D11143">
        <w:rPr>
          <w:rFonts w:eastAsia="Times New Roman"/>
          <w:szCs w:val="24"/>
        </w:rPr>
        <w:t>, a)</w:t>
      </w:r>
      <w:r w:rsidR="00723F53">
        <w:rPr>
          <w:rFonts w:eastAsia="Times New Roman"/>
          <w:szCs w:val="24"/>
        </w:rPr>
        <w:t> </w:t>
      </w:r>
      <w:r w:rsidR="00424712" w:rsidRPr="00D11143">
        <w:rPr>
          <w:rFonts w:eastAsia="Times New Roman"/>
          <w:szCs w:val="24"/>
        </w:rPr>
        <w:t>publiskās pārvaldes dati tautsaimniecības izaugsmei:</w:t>
      </w:r>
      <w:r w:rsidR="00723F53">
        <w:rPr>
          <w:rFonts w:eastAsia="Times New Roman"/>
          <w:szCs w:val="24"/>
        </w:rPr>
        <w:t> </w:t>
      </w:r>
      <w:r w:rsidR="00424712" w:rsidRPr="00D11143">
        <w:rPr>
          <w:rFonts w:eastAsia="Times New Roman"/>
          <w:szCs w:val="24"/>
        </w:rPr>
        <w:t>1.</w:t>
      </w:r>
      <w:r w:rsidR="00FE159C">
        <w:rPr>
          <w:rFonts w:eastAsia="Times New Roman"/>
          <w:szCs w:val="24"/>
        </w:rPr>
        <w:t> </w:t>
      </w:r>
      <w:r w:rsidR="00424712" w:rsidRPr="00D11143">
        <w:rPr>
          <w:rFonts w:eastAsia="Times New Roman"/>
          <w:szCs w:val="24"/>
        </w:rPr>
        <w:t>atvērtie dati</w:t>
      </w:r>
      <w:r w:rsidR="00FE159C">
        <w:rPr>
          <w:rFonts w:eastAsia="Times New Roman"/>
          <w:szCs w:val="24"/>
        </w:rPr>
        <w:t>, apakšpunktiem;</w:t>
      </w:r>
    </w:p>
    <w:p w:rsidR="00424712" w:rsidRPr="00D11143" w:rsidRDefault="00424712" w:rsidP="00FE159C">
      <w:pPr>
        <w:numPr>
          <w:ilvl w:val="0"/>
          <w:numId w:val="1"/>
        </w:numPr>
        <w:spacing w:after="0" w:line="240" w:lineRule="auto"/>
        <w:ind w:left="426" w:hanging="284"/>
        <w:jc w:val="both"/>
        <w:rPr>
          <w:szCs w:val="24"/>
        </w:rPr>
      </w:pPr>
      <w:r w:rsidRPr="00D11143">
        <w:rPr>
          <w:szCs w:val="24"/>
        </w:rPr>
        <w:lastRenderedPageBreak/>
        <w:t>Zinātnes, tehnoloģijas attīstības un inovācijas pamatnostādņu 2014.</w:t>
      </w:r>
      <w:r w:rsidR="00723F53">
        <w:rPr>
          <w:szCs w:val="24"/>
        </w:rPr>
        <w:t>-</w:t>
      </w:r>
      <w:r w:rsidRPr="00D11143">
        <w:rPr>
          <w:szCs w:val="24"/>
        </w:rPr>
        <w:t>2020.</w:t>
      </w:r>
      <w:r w:rsidRPr="00D11143">
        <w:rPr>
          <w:rStyle w:val="FootnoteReference"/>
          <w:szCs w:val="24"/>
        </w:rPr>
        <w:footnoteReference w:id="6"/>
      </w:r>
      <w:r w:rsidRPr="00D11143">
        <w:rPr>
          <w:szCs w:val="24"/>
        </w:rPr>
        <w:t xml:space="preserve"> 4.prioritātei: </w:t>
      </w:r>
      <w:r w:rsidRPr="00D11143">
        <w:rPr>
          <w:bCs/>
          <w:szCs w:val="24"/>
        </w:rPr>
        <w:t xml:space="preserve">Modernas un mūsdienu prasībām atbilstošas </w:t>
      </w:r>
      <w:r w:rsidR="00FE159C" w:rsidRPr="00D11143">
        <w:rPr>
          <w:szCs w:val="24"/>
        </w:rPr>
        <w:t>informāci</w:t>
      </w:r>
      <w:r w:rsidR="00FE159C">
        <w:rPr>
          <w:szCs w:val="24"/>
        </w:rPr>
        <w:t xml:space="preserve">jas un komunikāciju tehnoloģiju </w:t>
      </w:r>
      <w:r w:rsidRPr="00D11143">
        <w:rPr>
          <w:bCs/>
          <w:szCs w:val="24"/>
        </w:rPr>
        <w:t>sistēmas attīstība privātajā un valsts sektorā, kam atbilst viedās specializācijas joma „Informācijas un komunikāciju tehnoloģijas”</w:t>
      </w:r>
      <w:r w:rsidRPr="00D11143">
        <w:rPr>
          <w:rStyle w:val="FootnoteReference"/>
          <w:bCs/>
          <w:szCs w:val="24"/>
        </w:rPr>
        <w:footnoteReference w:id="7"/>
      </w:r>
      <w:r w:rsidRPr="00D11143">
        <w:rPr>
          <w:bCs/>
          <w:szCs w:val="24"/>
        </w:rPr>
        <w:t>, un ir tieši saistīts</w:t>
      </w:r>
      <w:r w:rsidRPr="00815221">
        <w:t xml:space="preserve"> ar </w:t>
      </w:r>
      <w:r w:rsidRPr="00D11143">
        <w:rPr>
          <w:bCs/>
          <w:szCs w:val="24"/>
        </w:rPr>
        <w:t xml:space="preserve">pamatnostādnēs minēto prioritātes pamatojumu: </w:t>
      </w:r>
      <w:r w:rsidRPr="00D11143">
        <w:rPr>
          <w:bCs/>
          <w:i/>
          <w:szCs w:val="24"/>
        </w:rPr>
        <w:t xml:space="preserve">„[..] </w:t>
      </w:r>
      <w:r w:rsidRPr="00D11143">
        <w:rPr>
          <w:i/>
          <w:szCs w:val="24"/>
        </w:rPr>
        <w:t xml:space="preserve">Datu vērtība pieaug, tos nododot atklātībā, kur tie var tikt izmantoti jaunu produktu un pakalpojumu, kā arī inovāciju radīšanā, zinātniskajā un pētnieciskajā darbā. Atvērta, droša un </w:t>
      </w:r>
      <w:proofErr w:type="spellStart"/>
      <w:r w:rsidRPr="00D11143">
        <w:rPr>
          <w:i/>
          <w:szCs w:val="24"/>
        </w:rPr>
        <w:t>sadarbspējīga</w:t>
      </w:r>
      <w:proofErr w:type="spellEnd"/>
      <w:r w:rsidRPr="00D11143">
        <w:rPr>
          <w:i/>
          <w:szCs w:val="24"/>
        </w:rPr>
        <w:t xml:space="preserve"> publisko datu infrastruktūra ir viens no galvenajiem risinājumiem, lai palielinātu valsts ekonomisko izaugsmi.</w:t>
      </w:r>
      <w:r w:rsidRPr="00D11143">
        <w:rPr>
          <w:szCs w:val="24"/>
        </w:rPr>
        <w:t>”</w:t>
      </w:r>
      <w:r w:rsidR="00FE159C">
        <w:rPr>
          <w:szCs w:val="24"/>
        </w:rPr>
        <w:t>;</w:t>
      </w:r>
    </w:p>
    <w:p w:rsidR="00424712" w:rsidRPr="00D11143" w:rsidRDefault="00424712" w:rsidP="00FE159C">
      <w:pPr>
        <w:numPr>
          <w:ilvl w:val="0"/>
          <w:numId w:val="1"/>
        </w:numPr>
        <w:spacing w:after="0" w:line="240" w:lineRule="auto"/>
        <w:ind w:left="426" w:hanging="284"/>
        <w:jc w:val="both"/>
        <w:rPr>
          <w:szCs w:val="24"/>
        </w:rPr>
      </w:pPr>
      <w:r w:rsidRPr="00D11143">
        <w:rPr>
          <w:szCs w:val="24"/>
        </w:rPr>
        <w:t>Latvijas ģeotelpiskās informācijas attīstības koncepcijas</w:t>
      </w:r>
      <w:r w:rsidRPr="00D11143">
        <w:rPr>
          <w:rStyle w:val="FootnoteReference"/>
          <w:szCs w:val="24"/>
        </w:rPr>
        <w:footnoteReference w:id="8"/>
      </w:r>
      <w:r w:rsidRPr="00D11143">
        <w:rPr>
          <w:szCs w:val="24"/>
        </w:rPr>
        <w:t xml:space="preserve"> mērķa: „Aktuālas un kvalitatīvas ģeotelpiskās informācijas sagatavošanas un pieejamības nodrošināšana valstī ilgtspējīgas attīstības kontekstā, sasniegšanas uzdevumiem, lai panāktu:</w:t>
      </w:r>
    </w:p>
    <w:p w:rsidR="00424712" w:rsidRPr="00D11143" w:rsidRDefault="00424712" w:rsidP="00FE159C">
      <w:pPr>
        <w:numPr>
          <w:ilvl w:val="1"/>
          <w:numId w:val="1"/>
        </w:numPr>
        <w:spacing w:after="0" w:line="240" w:lineRule="auto"/>
        <w:ind w:left="993"/>
        <w:jc w:val="both"/>
        <w:rPr>
          <w:szCs w:val="24"/>
        </w:rPr>
      </w:pPr>
      <w:r w:rsidRPr="005D6380">
        <w:rPr>
          <w:szCs w:val="24"/>
        </w:rPr>
        <w:t>Eiropas Parlamenta un Padomes 2007.</w:t>
      </w:r>
      <w:r w:rsidR="005D6380">
        <w:rPr>
          <w:szCs w:val="24"/>
        </w:rPr>
        <w:t> </w:t>
      </w:r>
      <w:r w:rsidRPr="005D6380">
        <w:rPr>
          <w:szCs w:val="24"/>
        </w:rPr>
        <w:t>g</w:t>
      </w:r>
      <w:r w:rsidR="005D6380">
        <w:rPr>
          <w:szCs w:val="24"/>
        </w:rPr>
        <w:t>ada 14. marta</w:t>
      </w:r>
      <w:r w:rsidRPr="005D6380">
        <w:rPr>
          <w:szCs w:val="24"/>
        </w:rPr>
        <w:t xml:space="preserve"> direktīvas 2007/2/EK</w:t>
      </w:r>
      <w:r w:rsidR="005D6380">
        <w:rPr>
          <w:szCs w:val="24"/>
        </w:rPr>
        <w:t>,</w:t>
      </w:r>
      <w:r w:rsidRPr="005D6380">
        <w:rPr>
          <w:szCs w:val="24"/>
        </w:rPr>
        <w:t xml:space="preserve"> ar ko izveido Telpiskās informācijas infrastruktūru Eiropas Kopienā</w:t>
      </w:r>
      <w:r w:rsidR="005D6380">
        <w:rPr>
          <w:szCs w:val="24"/>
        </w:rPr>
        <w:t xml:space="preserve"> (</w:t>
      </w:r>
      <w:r w:rsidR="005D6380" w:rsidRPr="005D6380">
        <w:rPr>
          <w:i/>
          <w:szCs w:val="24"/>
        </w:rPr>
        <w:t>INSPIRE</w:t>
      </w:r>
      <w:r w:rsidR="005D6380">
        <w:rPr>
          <w:szCs w:val="24"/>
        </w:rPr>
        <w:t xml:space="preserve">), </w:t>
      </w:r>
      <w:r w:rsidRPr="005D6380">
        <w:rPr>
          <w:szCs w:val="24"/>
        </w:rPr>
        <w:t>praktiskās ieviešanas Latvijā turpināšanu un ģeotelpiskās informācijas nozarē saistošo ES</w:t>
      </w:r>
      <w:r w:rsidRPr="00D11143">
        <w:rPr>
          <w:szCs w:val="24"/>
        </w:rPr>
        <w:t xml:space="preserve"> līmeņa dokumentu prasību pilnvērtīgu izpildi;</w:t>
      </w:r>
    </w:p>
    <w:p w:rsidR="00424712" w:rsidRPr="00D11143" w:rsidRDefault="00BC680E" w:rsidP="00FE159C">
      <w:pPr>
        <w:numPr>
          <w:ilvl w:val="1"/>
          <w:numId w:val="1"/>
        </w:numPr>
        <w:spacing w:after="0" w:line="240" w:lineRule="auto"/>
        <w:ind w:left="993"/>
        <w:jc w:val="both"/>
        <w:rPr>
          <w:szCs w:val="24"/>
        </w:rPr>
      </w:pPr>
      <w:r>
        <w:rPr>
          <w:szCs w:val="24"/>
        </w:rPr>
        <w:t>v</w:t>
      </w:r>
      <w:r w:rsidR="00424712" w:rsidRPr="00D11143">
        <w:rPr>
          <w:szCs w:val="24"/>
        </w:rPr>
        <w:t>alsts un privātā sektora sadarbības attīstību ģeotelpiskās informācijas nozares produktu sagatavošanā un pakalpojumu sniegšanā un Latvijā pieejamā zinātniski – tehniskā potenciāla ģeotelpiskās informācijas jomas attīstību;</w:t>
      </w:r>
    </w:p>
    <w:p w:rsidR="00424712" w:rsidRPr="00D11143" w:rsidRDefault="00BC680E" w:rsidP="00FE159C">
      <w:pPr>
        <w:numPr>
          <w:ilvl w:val="1"/>
          <w:numId w:val="1"/>
        </w:numPr>
        <w:spacing w:after="0" w:line="240" w:lineRule="auto"/>
        <w:ind w:left="993"/>
        <w:jc w:val="both"/>
        <w:rPr>
          <w:szCs w:val="24"/>
        </w:rPr>
      </w:pPr>
      <w:r>
        <w:rPr>
          <w:szCs w:val="24"/>
        </w:rPr>
        <w:t>p</w:t>
      </w:r>
      <w:r w:rsidR="00424712" w:rsidRPr="00D11143">
        <w:rPr>
          <w:szCs w:val="24"/>
        </w:rPr>
        <w:t>lašāku sabiedrības informēšanu par ģeotelpiskās informācijas nozari, jaunumiem tajā, ģeotelpiskās informācijas izmantošanas iespējām un plašāku ģeotelpiskās informācijas pieejamība</w:t>
      </w:r>
      <w:r w:rsidR="00FE159C">
        <w:rPr>
          <w:szCs w:val="24"/>
        </w:rPr>
        <w:t>s un izmantošanas nodrošināšanu</w:t>
      </w:r>
      <w:r w:rsidR="005D6380">
        <w:rPr>
          <w:szCs w:val="24"/>
        </w:rPr>
        <w:t>.</w:t>
      </w:r>
    </w:p>
    <w:p w:rsidR="00424712" w:rsidRPr="00D11143" w:rsidRDefault="00424712" w:rsidP="00424712">
      <w:pPr>
        <w:spacing w:after="0" w:line="240" w:lineRule="auto"/>
        <w:jc w:val="both"/>
        <w:rPr>
          <w:szCs w:val="24"/>
        </w:rPr>
      </w:pPr>
    </w:p>
    <w:p w:rsidR="00424712" w:rsidRPr="00D11143" w:rsidRDefault="00260248" w:rsidP="00424712">
      <w:pPr>
        <w:spacing w:after="0" w:line="240" w:lineRule="auto"/>
        <w:jc w:val="both"/>
        <w:rPr>
          <w:szCs w:val="24"/>
        </w:rPr>
      </w:pPr>
      <w:r>
        <w:rPr>
          <w:szCs w:val="24"/>
        </w:rPr>
        <w:t xml:space="preserve">Saskaņā ar </w:t>
      </w:r>
      <w:r w:rsidR="00424712" w:rsidRPr="00D11143">
        <w:rPr>
          <w:szCs w:val="24"/>
        </w:rPr>
        <w:t>Reģionālās attīstības likuma 16.</w:t>
      </w:r>
      <w:r w:rsidR="00424712" w:rsidRPr="00D11143">
        <w:rPr>
          <w:szCs w:val="24"/>
          <w:vertAlign w:val="superscript"/>
        </w:rPr>
        <w:t>1</w:t>
      </w:r>
      <w:r>
        <w:rPr>
          <w:szCs w:val="24"/>
        </w:rPr>
        <w:t> </w:t>
      </w:r>
      <w:r w:rsidR="00424712" w:rsidRPr="00D11143">
        <w:rPr>
          <w:szCs w:val="24"/>
        </w:rPr>
        <w:t>pant</w:t>
      </w:r>
      <w:r>
        <w:rPr>
          <w:szCs w:val="24"/>
        </w:rPr>
        <w:t>a</w:t>
      </w:r>
      <w:r w:rsidR="00424712" w:rsidRPr="00D11143">
        <w:rPr>
          <w:szCs w:val="24"/>
        </w:rPr>
        <w:t xml:space="preserve"> 10.</w:t>
      </w:r>
      <w:r>
        <w:rPr>
          <w:szCs w:val="24"/>
        </w:rPr>
        <w:t> </w:t>
      </w:r>
      <w:r w:rsidR="00424712" w:rsidRPr="00D11143">
        <w:rPr>
          <w:szCs w:val="24"/>
        </w:rPr>
        <w:t>punkt</w:t>
      </w:r>
      <w:r>
        <w:rPr>
          <w:szCs w:val="24"/>
        </w:rPr>
        <w:t>u</w:t>
      </w:r>
      <w:r w:rsidR="00424712" w:rsidRPr="00D11143">
        <w:rPr>
          <w:szCs w:val="24"/>
        </w:rPr>
        <w:t xml:space="preserve"> plānošanas reģioni izstrādā un īsteno projektus reģionālās attīstības atbalsta pasākumu ietvaros.</w:t>
      </w:r>
      <w:r w:rsidR="00424712">
        <w:rPr>
          <w:szCs w:val="24"/>
        </w:rPr>
        <w:t xml:space="preserve"> </w:t>
      </w:r>
      <w:r w:rsidR="00424712" w:rsidRPr="00D11143">
        <w:rPr>
          <w:szCs w:val="24"/>
        </w:rPr>
        <w:t>Projekta nepieciešamība un lietderība saistībā ar Vidzemes un Zemgales plānošanas reģionu attīstības virzieniem, atspoguļojas abu plānošanas reģiona attīstības plānošanas dokumentu prioritātēs un tām pakār</w:t>
      </w:r>
      <w:r>
        <w:rPr>
          <w:szCs w:val="24"/>
        </w:rPr>
        <w:t>totajās plānotajās aktivitātēs.</w:t>
      </w:r>
    </w:p>
    <w:p w:rsidR="00424712" w:rsidRPr="00D11143" w:rsidRDefault="00424712" w:rsidP="00424712">
      <w:pPr>
        <w:spacing w:after="0" w:line="240" w:lineRule="auto"/>
        <w:jc w:val="both"/>
        <w:rPr>
          <w:szCs w:val="24"/>
        </w:rPr>
      </w:pPr>
    </w:p>
    <w:p w:rsidR="00424712" w:rsidRPr="00D11143" w:rsidRDefault="00125CDA" w:rsidP="00815221">
      <w:pPr>
        <w:spacing w:after="0" w:line="240" w:lineRule="auto"/>
        <w:jc w:val="both"/>
        <w:rPr>
          <w:szCs w:val="24"/>
        </w:rPr>
      </w:pPr>
      <w:r>
        <w:rPr>
          <w:szCs w:val="24"/>
        </w:rPr>
        <w:t xml:space="preserve">Saskaņā ar </w:t>
      </w:r>
      <w:r w:rsidR="00424712" w:rsidRPr="00D11143">
        <w:rPr>
          <w:szCs w:val="24"/>
        </w:rPr>
        <w:t xml:space="preserve">Vidzemes plānošanas reģiona </w:t>
      </w:r>
      <w:r>
        <w:rPr>
          <w:szCs w:val="24"/>
        </w:rPr>
        <w:t xml:space="preserve">(turpmāk – VPR) </w:t>
      </w:r>
      <w:r w:rsidR="00424712" w:rsidRPr="00D11143">
        <w:rPr>
          <w:szCs w:val="24"/>
        </w:rPr>
        <w:t>attīstības programma</w:t>
      </w:r>
      <w:r w:rsidR="00BC680E">
        <w:rPr>
          <w:szCs w:val="24"/>
        </w:rPr>
        <w:t>s 2007.</w:t>
      </w:r>
      <w:r w:rsidR="00BC680E">
        <w:rPr>
          <w:szCs w:val="24"/>
        </w:rPr>
        <w:noBreakHyphen/>
      </w:r>
      <w:r w:rsidR="0018345D">
        <w:rPr>
          <w:szCs w:val="24"/>
        </w:rPr>
        <w:t>2013. gadam</w:t>
      </w:r>
      <w:r w:rsidR="00424712" w:rsidRPr="00D11143">
        <w:rPr>
          <w:rStyle w:val="FootnoteReference"/>
          <w:szCs w:val="24"/>
        </w:rPr>
        <w:footnoteReference w:id="9"/>
      </w:r>
      <w:r w:rsidR="00424712" w:rsidRPr="00D11143">
        <w:rPr>
          <w:szCs w:val="24"/>
        </w:rPr>
        <w:t xml:space="preserve"> </w:t>
      </w:r>
      <w:r w:rsidR="0018345D">
        <w:rPr>
          <w:szCs w:val="24"/>
        </w:rPr>
        <w:t>p</w:t>
      </w:r>
      <w:r w:rsidR="00424712" w:rsidRPr="00D11143">
        <w:rPr>
          <w:szCs w:val="24"/>
        </w:rPr>
        <w:t xml:space="preserve">rioritātes „Ekonomiskā attīstība, konkurētspējas palielināšana un virzība uz zināšanu ietilpīgu ekonomiku” </w:t>
      </w:r>
      <w:r w:rsidR="00024E21">
        <w:rPr>
          <w:szCs w:val="24"/>
        </w:rPr>
        <w:t>13. </w:t>
      </w:r>
      <w:r>
        <w:rPr>
          <w:szCs w:val="24"/>
        </w:rPr>
        <w:t xml:space="preserve">pasākuma </w:t>
      </w:r>
      <w:r w:rsidR="00853FEB">
        <w:rPr>
          <w:szCs w:val="24"/>
        </w:rPr>
        <w:t>13.1. </w:t>
      </w:r>
      <w:r w:rsidR="0018345D">
        <w:rPr>
          <w:szCs w:val="24"/>
        </w:rPr>
        <w:t>v</w:t>
      </w:r>
      <w:r w:rsidR="00424712" w:rsidRPr="00D11143">
        <w:rPr>
          <w:szCs w:val="24"/>
        </w:rPr>
        <w:t>idēja termiņa mērķa „Attīstīta ražošana un pakalpojumi, kuriem rodas aizvien pieaug</w:t>
      </w:r>
      <w:r w:rsidR="005D6380">
        <w:rPr>
          <w:szCs w:val="24"/>
        </w:rPr>
        <w:t>oša pievienotā vērtība” 13.1.2. </w:t>
      </w:r>
      <w:r>
        <w:rPr>
          <w:szCs w:val="24"/>
        </w:rPr>
        <w:t>aktivitāti</w:t>
      </w:r>
      <w:r w:rsidR="00424712" w:rsidRPr="00D11143">
        <w:rPr>
          <w:szCs w:val="24"/>
        </w:rPr>
        <w:t xml:space="preserve"> </w:t>
      </w:r>
      <w:r>
        <w:rPr>
          <w:szCs w:val="24"/>
        </w:rPr>
        <w:t>VPR a</w:t>
      </w:r>
      <w:r w:rsidR="00424712" w:rsidRPr="00D11143">
        <w:rPr>
          <w:szCs w:val="24"/>
        </w:rPr>
        <w:t>tbalst</w:t>
      </w:r>
      <w:r>
        <w:rPr>
          <w:szCs w:val="24"/>
        </w:rPr>
        <w:t>a</w:t>
      </w:r>
      <w:r w:rsidR="00424712" w:rsidRPr="00D11143">
        <w:rPr>
          <w:szCs w:val="24"/>
        </w:rPr>
        <w:t xml:space="preserve"> iniciatīvas, kas ir vērstas uz augstas pievienotās vērtības preču ražošanu vai pakalpojumu sniegšanu sektoros, kuri šobrīd nav pietiekami pārstāvēti reģionā</w:t>
      </w:r>
      <w:r>
        <w:rPr>
          <w:szCs w:val="24"/>
        </w:rPr>
        <w:t>, p</w:t>
      </w:r>
      <w:r w:rsidR="00424712" w:rsidRPr="00D11143">
        <w:rPr>
          <w:szCs w:val="24"/>
        </w:rPr>
        <w:t xml:space="preserve">iemēram, </w:t>
      </w:r>
      <w:r w:rsidR="005D6380" w:rsidRPr="00D11143">
        <w:rPr>
          <w:szCs w:val="24"/>
        </w:rPr>
        <w:t>informāciju un komunikāciju tehnoloģij</w:t>
      </w:r>
      <w:r w:rsidR="005D6380">
        <w:rPr>
          <w:szCs w:val="24"/>
        </w:rPr>
        <w:t xml:space="preserve">u </w:t>
      </w:r>
      <w:r w:rsidR="00424712" w:rsidRPr="00D11143">
        <w:rPr>
          <w:szCs w:val="24"/>
        </w:rPr>
        <w:t>attīstība, citas inovācijas/jauninājumi, balstītas uz zināšanām un pētniecību</w:t>
      </w:r>
      <w:r>
        <w:rPr>
          <w:szCs w:val="24"/>
        </w:rPr>
        <w:t xml:space="preserve">, un </w:t>
      </w:r>
      <w:r w:rsidR="00853FEB">
        <w:rPr>
          <w:szCs w:val="24"/>
        </w:rPr>
        <w:t>13.2. </w:t>
      </w:r>
      <w:r>
        <w:rPr>
          <w:szCs w:val="24"/>
        </w:rPr>
        <w:t>v</w:t>
      </w:r>
      <w:r w:rsidR="00424712" w:rsidRPr="00D11143">
        <w:rPr>
          <w:szCs w:val="24"/>
        </w:rPr>
        <w:t>idēja termiņ</w:t>
      </w:r>
      <w:r w:rsidR="005D6380">
        <w:rPr>
          <w:szCs w:val="24"/>
        </w:rPr>
        <w:t>a</w:t>
      </w:r>
      <w:r w:rsidR="00424712" w:rsidRPr="00D11143">
        <w:rPr>
          <w:szCs w:val="24"/>
        </w:rPr>
        <w:t xml:space="preserve"> mērķa „Atbalstīt jaunu konkurētspējīgu p</w:t>
      </w:r>
      <w:r>
        <w:rPr>
          <w:szCs w:val="24"/>
        </w:rPr>
        <w:t>roduktu izstrādi un inovācijas”</w:t>
      </w:r>
      <w:r w:rsidR="00424712" w:rsidRPr="00D11143">
        <w:rPr>
          <w:szCs w:val="24"/>
        </w:rPr>
        <w:t xml:space="preserve"> 13.2.1.</w:t>
      </w:r>
      <w:r>
        <w:rPr>
          <w:szCs w:val="24"/>
        </w:rPr>
        <w:t> aktivitāti VPR a</w:t>
      </w:r>
      <w:r w:rsidR="00424712" w:rsidRPr="00D11143">
        <w:rPr>
          <w:szCs w:val="24"/>
        </w:rPr>
        <w:t>tbalst</w:t>
      </w:r>
      <w:r>
        <w:rPr>
          <w:szCs w:val="24"/>
        </w:rPr>
        <w:t>a</w:t>
      </w:r>
      <w:r w:rsidR="00424712" w:rsidRPr="00D11143">
        <w:rPr>
          <w:szCs w:val="24"/>
        </w:rPr>
        <w:t xml:space="preserve"> informāciju un komunikāciju tehnoloģij</w:t>
      </w:r>
      <w:r w:rsidR="005D6380">
        <w:rPr>
          <w:szCs w:val="24"/>
        </w:rPr>
        <w:t xml:space="preserve">u </w:t>
      </w:r>
      <w:r w:rsidR="00424712" w:rsidRPr="00D11143">
        <w:rPr>
          <w:szCs w:val="24"/>
        </w:rPr>
        <w:t>izmantošanu dažādās tautsaimniecības nozarēs.</w:t>
      </w:r>
    </w:p>
    <w:p w:rsidR="00424712" w:rsidRPr="00D11143" w:rsidRDefault="00424712" w:rsidP="00424712">
      <w:pPr>
        <w:spacing w:after="0" w:line="240" w:lineRule="auto"/>
        <w:jc w:val="both"/>
        <w:rPr>
          <w:szCs w:val="24"/>
        </w:rPr>
      </w:pPr>
    </w:p>
    <w:p w:rsidR="00424712" w:rsidRPr="00E2034B" w:rsidRDefault="00024E21" w:rsidP="00424712">
      <w:pPr>
        <w:pStyle w:val="Header"/>
        <w:tabs>
          <w:tab w:val="left" w:pos="720"/>
        </w:tabs>
        <w:spacing w:after="0" w:line="240" w:lineRule="auto"/>
        <w:jc w:val="both"/>
        <w:rPr>
          <w:szCs w:val="24"/>
        </w:rPr>
      </w:pPr>
      <w:r>
        <w:rPr>
          <w:szCs w:val="24"/>
        </w:rPr>
        <w:lastRenderedPageBreak/>
        <w:t>Atbilstoši</w:t>
      </w:r>
      <w:r w:rsidR="00D773F1">
        <w:rPr>
          <w:szCs w:val="24"/>
        </w:rPr>
        <w:t xml:space="preserve"> </w:t>
      </w:r>
      <w:r w:rsidR="00424712" w:rsidRPr="00E2034B">
        <w:rPr>
          <w:szCs w:val="24"/>
        </w:rPr>
        <w:t xml:space="preserve">Zemgales plānošanas reģiona </w:t>
      </w:r>
      <w:r w:rsidR="00125CDA">
        <w:rPr>
          <w:szCs w:val="24"/>
        </w:rPr>
        <w:t xml:space="preserve">(turpmāk – ZPR) </w:t>
      </w:r>
      <w:r w:rsidR="00BC680E">
        <w:rPr>
          <w:szCs w:val="24"/>
        </w:rPr>
        <w:t>attīstības programmas 2008.</w:t>
      </w:r>
      <w:r w:rsidR="00BC680E">
        <w:rPr>
          <w:szCs w:val="24"/>
        </w:rPr>
        <w:noBreakHyphen/>
      </w:r>
      <w:r w:rsidR="00424712" w:rsidRPr="00E2034B">
        <w:rPr>
          <w:szCs w:val="24"/>
        </w:rPr>
        <w:t>2014</w:t>
      </w:r>
      <w:r w:rsidR="00125CDA">
        <w:rPr>
          <w:szCs w:val="24"/>
        </w:rPr>
        <w:t>.</w:t>
      </w:r>
      <w:r w:rsidR="00D773F1">
        <w:rPr>
          <w:szCs w:val="24"/>
        </w:rPr>
        <w:t> </w:t>
      </w:r>
      <w:r w:rsidR="00125CDA">
        <w:rPr>
          <w:szCs w:val="24"/>
        </w:rPr>
        <w:t>gadam</w:t>
      </w:r>
      <w:r w:rsidR="00424712" w:rsidRPr="00E2034B">
        <w:rPr>
          <w:rStyle w:val="FootnoteReference"/>
          <w:szCs w:val="24"/>
        </w:rPr>
        <w:footnoteReference w:id="10"/>
      </w:r>
      <w:r w:rsidR="00424712" w:rsidRPr="00E2034B">
        <w:rPr>
          <w:szCs w:val="24"/>
        </w:rPr>
        <w:t xml:space="preserve"> prioritātes „Izglītots</w:t>
      </w:r>
      <w:r w:rsidR="00D773F1">
        <w:rPr>
          <w:szCs w:val="24"/>
        </w:rPr>
        <w:t>, radošs un konkurētspējīgs” rīcības virziena</w:t>
      </w:r>
      <w:r w:rsidR="00424712" w:rsidRPr="00E2034B">
        <w:rPr>
          <w:szCs w:val="24"/>
        </w:rPr>
        <w:t xml:space="preserve"> „Informā</w:t>
      </w:r>
      <w:r w:rsidR="00EE0D0C">
        <w:rPr>
          <w:szCs w:val="24"/>
        </w:rPr>
        <w:t>cijas sabiedrības veidošana” uzdevumiem ZPR</w:t>
      </w:r>
      <w:r w:rsidR="00424712" w:rsidRPr="00E2034B">
        <w:rPr>
          <w:szCs w:val="24"/>
        </w:rPr>
        <w:t xml:space="preserve"> </w:t>
      </w:r>
      <w:r w:rsidR="00EE0D0C">
        <w:rPr>
          <w:szCs w:val="24"/>
        </w:rPr>
        <w:t>sekmē</w:t>
      </w:r>
      <w:r w:rsidR="00424712" w:rsidRPr="00E2034B">
        <w:rPr>
          <w:szCs w:val="24"/>
        </w:rPr>
        <w:t xml:space="preserve"> informācijas un telekomunikāciju tehnoloģiju pieejamību un pielietošanu un </w:t>
      </w:r>
      <w:r w:rsidR="00EE0D0C">
        <w:rPr>
          <w:szCs w:val="24"/>
        </w:rPr>
        <w:t>nodrošina</w:t>
      </w:r>
      <w:r w:rsidR="00424712" w:rsidRPr="00E2034B">
        <w:rPr>
          <w:szCs w:val="24"/>
        </w:rPr>
        <w:t xml:space="preserve"> pašvaldību info</w:t>
      </w:r>
      <w:r w:rsidR="00EE0D0C">
        <w:rPr>
          <w:szCs w:val="24"/>
        </w:rPr>
        <w:t xml:space="preserve">rmācijas pakalpojumu attīstību </w:t>
      </w:r>
      <w:r w:rsidR="00424712" w:rsidRPr="00E2034B">
        <w:rPr>
          <w:szCs w:val="24"/>
        </w:rPr>
        <w:t>reģionā, t</w:t>
      </w:r>
      <w:r w:rsidR="00EE0D0C">
        <w:rPr>
          <w:szCs w:val="24"/>
        </w:rPr>
        <w:t xml:space="preserve">ajā skaitā </w:t>
      </w:r>
      <w:r w:rsidR="00424712" w:rsidRPr="00E2034B">
        <w:rPr>
          <w:szCs w:val="24"/>
        </w:rPr>
        <w:t>e-pakalpojumus</w:t>
      </w:r>
      <w:r w:rsidR="00424712">
        <w:rPr>
          <w:szCs w:val="24"/>
        </w:rPr>
        <w:t>.</w:t>
      </w:r>
    </w:p>
    <w:p w:rsidR="00424712" w:rsidRPr="00815221" w:rsidRDefault="00424712" w:rsidP="00424712">
      <w:pPr>
        <w:spacing w:after="0" w:line="240" w:lineRule="auto"/>
        <w:jc w:val="both"/>
      </w:pPr>
    </w:p>
    <w:p w:rsidR="00424712" w:rsidRPr="00D11143" w:rsidRDefault="00424712" w:rsidP="00424712">
      <w:pPr>
        <w:spacing w:after="0" w:line="240" w:lineRule="auto"/>
        <w:jc w:val="both"/>
        <w:rPr>
          <w:szCs w:val="24"/>
        </w:rPr>
      </w:pPr>
      <w:r w:rsidRPr="00D11143">
        <w:rPr>
          <w:szCs w:val="24"/>
        </w:rPr>
        <w:t>Ministru kabineta 2010. gada 18. maija noteikumu Nr. 464 „</w:t>
      </w:r>
      <w:r w:rsidRPr="00D11143">
        <w:rPr>
          <w:bCs/>
          <w:szCs w:val="24"/>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D11143">
        <w:rPr>
          <w:szCs w:val="24"/>
        </w:rPr>
        <w:t>” 15. punkts nosaka, ka valsts budžeta līdzekļu pieprasījumu citu ES politiku instrumentu un pārējās ārvalstu finanšu palīdzības finansēta projekta, kā arī klimata pārmaiņu finanšu instrumenta projekta īstenošanai ministrija sagatavo un iesniedz Finanšu ministrijā, ievērojot memoranda (līguma) nosacījumus.</w:t>
      </w:r>
    </w:p>
    <w:p w:rsidR="00424712" w:rsidRPr="00D11143" w:rsidRDefault="00424712" w:rsidP="00424712">
      <w:pPr>
        <w:spacing w:after="0" w:line="240" w:lineRule="auto"/>
        <w:jc w:val="both"/>
        <w:rPr>
          <w:szCs w:val="24"/>
          <w:lang w:eastAsia="lv-LV"/>
        </w:rPr>
      </w:pPr>
    </w:p>
    <w:p w:rsidR="00424712" w:rsidRPr="00D11143" w:rsidRDefault="00424712" w:rsidP="00424712">
      <w:pPr>
        <w:spacing w:after="0" w:line="240" w:lineRule="auto"/>
        <w:jc w:val="both"/>
        <w:rPr>
          <w:szCs w:val="24"/>
          <w:lang w:eastAsia="lv-LV"/>
        </w:rPr>
      </w:pPr>
      <w:r w:rsidRPr="00D11143">
        <w:rPr>
          <w:szCs w:val="24"/>
          <w:lang w:eastAsia="lv-LV"/>
        </w:rPr>
        <w:t>Saskaņā ar likuma „Par budžetu un finanšu vadību” 24. panta trešo daļu budžeta iestādes var uzņemties papildu valsts budžeta ilgtermiņa saistības vienīgi ES politikas instrumentu un pārējās ārvalstu finanšu palīdzības līdzfinansētos projektos un pasākumos, ja pieņemts attiecīgs Ministru kabineta lēmums.</w:t>
      </w:r>
    </w:p>
    <w:p w:rsidR="00424712" w:rsidRPr="00D11143" w:rsidRDefault="00424712" w:rsidP="00424712">
      <w:pPr>
        <w:spacing w:after="0" w:line="240" w:lineRule="auto"/>
        <w:jc w:val="both"/>
        <w:rPr>
          <w:szCs w:val="24"/>
          <w:lang w:eastAsia="lv-LV"/>
        </w:rPr>
      </w:pPr>
    </w:p>
    <w:p w:rsidR="00424712" w:rsidRPr="00D11143" w:rsidRDefault="00424712" w:rsidP="00424712">
      <w:pPr>
        <w:spacing w:after="0" w:line="240" w:lineRule="auto"/>
        <w:jc w:val="both"/>
        <w:rPr>
          <w:b/>
          <w:szCs w:val="24"/>
        </w:rPr>
      </w:pPr>
      <w:r w:rsidRPr="00D11143">
        <w:rPr>
          <w:szCs w:val="24"/>
          <w:lang w:eastAsia="lv-LV"/>
        </w:rPr>
        <w:t>Vides aizsardzības un reģionālās attīstības ministrija (turpmāk – VARAM) ir sagatavojusi informatīvo ziņojumu, lai tiktu pieņemts Ministru kabineta lēmums par iespēju uzņemties papildu valsts budžeta ilgtermiņa saistības ES politikas instrumentu projektu īstenošanai.</w:t>
      </w:r>
    </w:p>
    <w:p w:rsidR="00424712" w:rsidRDefault="00424712" w:rsidP="00424712">
      <w:pPr>
        <w:spacing w:after="0" w:line="240" w:lineRule="auto"/>
        <w:jc w:val="both"/>
        <w:rPr>
          <w:b/>
          <w:szCs w:val="24"/>
        </w:rPr>
      </w:pPr>
    </w:p>
    <w:p w:rsidR="00424712" w:rsidRPr="00D11143" w:rsidRDefault="00424712" w:rsidP="00424712">
      <w:pPr>
        <w:spacing w:after="0" w:line="240" w:lineRule="auto"/>
        <w:jc w:val="both"/>
        <w:rPr>
          <w:b/>
          <w:szCs w:val="24"/>
        </w:rPr>
      </w:pPr>
      <w:r w:rsidRPr="00D11143">
        <w:rPr>
          <w:b/>
          <w:szCs w:val="24"/>
        </w:rPr>
        <w:t xml:space="preserve">II Informācija par projektu </w:t>
      </w:r>
    </w:p>
    <w:p w:rsidR="00424712" w:rsidRPr="00D11143" w:rsidRDefault="00424712" w:rsidP="00424712">
      <w:pPr>
        <w:autoSpaceDE w:val="0"/>
        <w:autoSpaceDN w:val="0"/>
        <w:adjustRightInd w:val="0"/>
        <w:spacing w:after="0" w:line="240" w:lineRule="auto"/>
        <w:jc w:val="both"/>
        <w:rPr>
          <w:b/>
          <w:szCs w:val="24"/>
        </w:rPr>
      </w:pPr>
    </w:p>
    <w:p w:rsidR="00424712" w:rsidRPr="00D11143" w:rsidRDefault="00424712" w:rsidP="00424712">
      <w:pPr>
        <w:pStyle w:val="BodyTextIndent"/>
        <w:spacing w:after="0"/>
        <w:ind w:left="0"/>
        <w:jc w:val="both"/>
      </w:pPr>
      <w:r w:rsidRPr="00D11143">
        <w:rPr>
          <w:i/>
        </w:rPr>
        <w:t xml:space="preserve">Projektu finansē </w:t>
      </w:r>
      <w:r w:rsidRPr="00D11143">
        <w:t>Eiropas Savienības Konkurētspējas un inovācijas ietvarprogrammas Informācijas un komunikāciju tehnoloģijas politikas atbalsta programma (</w:t>
      </w:r>
      <w:r w:rsidRPr="00D11143">
        <w:rPr>
          <w:i/>
        </w:rPr>
        <w:t>ICT PSP</w:t>
      </w:r>
      <w:r w:rsidRPr="00D11143">
        <w:t>).</w:t>
      </w:r>
    </w:p>
    <w:p w:rsidR="00424712" w:rsidRPr="00D11143" w:rsidRDefault="00424712" w:rsidP="00424712">
      <w:pPr>
        <w:pStyle w:val="BodyTextIndent"/>
        <w:spacing w:after="0"/>
        <w:ind w:left="0"/>
        <w:jc w:val="both"/>
        <w:rPr>
          <w:i/>
        </w:rPr>
      </w:pPr>
    </w:p>
    <w:p w:rsidR="00424712" w:rsidRPr="00815221" w:rsidRDefault="00424712" w:rsidP="00424712">
      <w:pPr>
        <w:pStyle w:val="BodyTextIndent"/>
        <w:spacing w:after="0"/>
        <w:ind w:left="0"/>
        <w:jc w:val="both"/>
      </w:pPr>
      <w:r w:rsidRPr="00D11143">
        <w:rPr>
          <w:i/>
        </w:rPr>
        <w:t>Projekts tiek īstenots</w:t>
      </w:r>
      <w:r w:rsidRPr="00D11143">
        <w:t xml:space="preserve"> no 2014. gada 1. aprīļa līdz 2017. gada 31. martam.</w:t>
      </w:r>
    </w:p>
    <w:p w:rsidR="00424712" w:rsidRPr="00815221" w:rsidRDefault="00424712" w:rsidP="00424712">
      <w:pPr>
        <w:pStyle w:val="BodyTextIndent"/>
        <w:spacing w:after="0"/>
        <w:ind w:left="0"/>
        <w:jc w:val="both"/>
      </w:pPr>
    </w:p>
    <w:p w:rsidR="00424712" w:rsidRPr="00815221" w:rsidRDefault="00424712" w:rsidP="00424712">
      <w:pPr>
        <w:pStyle w:val="BodyTextIndent"/>
        <w:spacing w:after="0"/>
        <w:ind w:left="0"/>
        <w:jc w:val="both"/>
      </w:pPr>
      <w:r w:rsidRPr="00815221">
        <w:rPr>
          <w:i/>
        </w:rPr>
        <w:t>Projekta vadošais partneris</w:t>
      </w:r>
      <w:r w:rsidRPr="00815221">
        <w:t xml:space="preserve"> ir </w:t>
      </w:r>
      <w:proofErr w:type="spellStart"/>
      <w:r w:rsidR="00C37E40" w:rsidRPr="00815221">
        <w:t>Zapadoceska</w:t>
      </w:r>
      <w:proofErr w:type="spellEnd"/>
      <w:r w:rsidR="00C37E40" w:rsidRPr="00815221">
        <w:t xml:space="preserve"> </w:t>
      </w:r>
      <w:proofErr w:type="spellStart"/>
      <w:r w:rsidR="00C37E40" w:rsidRPr="00815221">
        <w:t>Univerzita</w:t>
      </w:r>
      <w:proofErr w:type="spellEnd"/>
      <w:r w:rsidR="00C37E40" w:rsidRPr="00815221">
        <w:t xml:space="preserve"> V </w:t>
      </w:r>
      <w:proofErr w:type="spellStart"/>
      <w:r w:rsidR="00C37E40" w:rsidRPr="00815221">
        <w:t>Plzni</w:t>
      </w:r>
      <w:proofErr w:type="spellEnd"/>
      <w:r w:rsidR="00C37E40" w:rsidRPr="00D11143">
        <w:t xml:space="preserve"> </w:t>
      </w:r>
      <w:r w:rsidR="00C37E40">
        <w:t>(</w:t>
      </w:r>
      <w:proofErr w:type="spellStart"/>
      <w:r w:rsidRPr="00D11143">
        <w:t>Rietumbohēmijas</w:t>
      </w:r>
      <w:proofErr w:type="spellEnd"/>
      <w:r w:rsidRPr="00D11143">
        <w:t xml:space="preserve"> Universitāt</w:t>
      </w:r>
      <w:r w:rsidR="00C37E40">
        <w:t>e</w:t>
      </w:r>
      <w:r w:rsidRPr="00815221">
        <w:t xml:space="preserve">, Čehijas Republika). </w:t>
      </w:r>
    </w:p>
    <w:p w:rsidR="00424712" w:rsidRPr="00815221" w:rsidRDefault="00424712" w:rsidP="00424712">
      <w:pPr>
        <w:pStyle w:val="BodyTextIndent"/>
        <w:spacing w:after="0"/>
        <w:ind w:left="0"/>
        <w:jc w:val="both"/>
        <w:rPr>
          <w:i/>
        </w:rPr>
      </w:pPr>
    </w:p>
    <w:p w:rsidR="00424712" w:rsidRPr="00815221" w:rsidRDefault="00424712" w:rsidP="004167A1">
      <w:pPr>
        <w:spacing w:after="0" w:line="240" w:lineRule="auto"/>
        <w:jc w:val="both"/>
      </w:pPr>
      <w:r w:rsidRPr="00815221">
        <w:rPr>
          <w:i/>
        </w:rPr>
        <w:t xml:space="preserve">Projekta </w:t>
      </w:r>
      <w:r w:rsidRPr="004167A1">
        <w:rPr>
          <w:i/>
          <w:szCs w:val="24"/>
        </w:rPr>
        <w:t>partneri</w:t>
      </w:r>
      <w:r w:rsidRPr="00815221">
        <w:t xml:space="preserve"> ir:</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Hyperborea</w:t>
      </w:r>
      <w:proofErr w:type="spellEnd"/>
      <w:r w:rsidRPr="00C37E40">
        <w:rPr>
          <w:szCs w:val="24"/>
        </w:rPr>
        <w:t xml:space="preserve"> S.R.L. (HYPER) (IT nozares MVU, Itālija);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Asplan</w:t>
      </w:r>
      <w:proofErr w:type="spellEnd"/>
      <w:r w:rsidRPr="00C37E40">
        <w:rPr>
          <w:szCs w:val="24"/>
        </w:rPr>
        <w:t xml:space="preserve"> </w:t>
      </w:r>
      <w:proofErr w:type="spellStart"/>
      <w:r w:rsidRPr="00C37E40">
        <w:rPr>
          <w:szCs w:val="24"/>
        </w:rPr>
        <w:t>Viak</w:t>
      </w:r>
      <w:proofErr w:type="spellEnd"/>
      <w:r w:rsidRPr="00C37E40">
        <w:rPr>
          <w:szCs w:val="24"/>
        </w:rPr>
        <w:t xml:space="preserve"> Internet A/S (AVINET) (Norvēģijas konsultāciju uzņēmumu grupas „</w:t>
      </w:r>
      <w:proofErr w:type="spellStart"/>
      <w:r w:rsidRPr="00C37E40">
        <w:rPr>
          <w:szCs w:val="24"/>
        </w:rPr>
        <w:t>Asplan</w:t>
      </w:r>
      <w:proofErr w:type="spellEnd"/>
      <w:r w:rsidRPr="00C37E40">
        <w:rPr>
          <w:szCs w:val="24"/>
        </w:rPr>
        <w:t xml:space="preserve"> </w:t>
      </w:r>
      <w:proofErr w:type="spellStart"/>
      <w:r w:rsidRPr="00C37E40">
        <w:rPr>
          <w:szCs w:val="24"/>
        </w:rPr>
        <w:t>Viak</w:t>
      </w:r>
      <w:proofErr w:type="spellEnd"/>
      <w:r w:rsidRPr="00C37E40">
        <w:rPr>
          <w:szCs w:val="24"/>
        </w:rPr>
        <w:t>” tehnoloģiju filiāle</w:t>
      </w:r>
      <w:r w:rsidR="00C37E40">
        <w:rPr>
          <w:szCs w:val="24"/>
        </w:rPr>
        <w:t xml:space="preserve">, </w:t>
      </w:r>
      <w:r w:rsidRPr="00C37E40">
        <w:rPr>
          <w:szCs w:val="24"/>
        </w:rPr>
        <w:t>Norvēģija);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Ceske</w:t>
      </w:r>
      <w:proofErr w:type="spellEnd"/>
      <w:r w:rsidRPr="00C37E40">
        <w:rPr>
          <w:szCs w:val="24"/>
        </w:rPr>
        <w:t xml:space="preserve"> </w:t>
      </w:r>
      <w:proofErr w:type="spellStart"/>
      <w:r w:rsidRPr="00C37E40">
        <w:rPr>
          <w:szCs w:val="24"/>
        </w:rPr>
        <w:t>Centrum</w:t>
      </w:r>
      <w:proofErr w:type="spellEnd"/>
      <w:r w:rsidRPr="00C37E40">
        <w:rPr>
          <w:szCs w:val="24"/>
        </w:rPr>
        <w:t xml:space="preserve"> </w:t>
      </w:r>
      <w:proofErr w:type="spellStart"/>
      <w:r w:rsidRPr="00C37E40">
        <w:rPr>
          <w:szCs w:val="24"/>
        </w:rPr>
        <w:t>Pro</w:t>
      </w:r>
      <w:proofErr w:type="spellEnd"/>
      <w:r w:rsidRPr="00C37E40">
        <w:rPr>
          <w:szCs w:val="24"/>
        </w:rPr>
        <w:t xml:space="preserve"> Vedu A </w:t>
      </w:r>
      <w:proofErr w:type="spellStart"/>
      <w:r w:rsidRPr="00C37E40">
        <w:rPr>
          <w:szCs w:val="24"/>
        </w:rPr>
        <w:t>Spolecnost</w:t>
      </w:r>
      <w:proofErr w:type="spellEnd"/>
      <w:r w:rsidRPr="00C37E40">
        <w:rPr>
          <w:szCs w:val="24"/>
        </w:rPr>
        <w:t xml:space="preserve"> (Čehijas Zinātnes un Sabiedrības Centrs (neatkarīga nevalstiskā organizācija – ekselences centrs</w:t>
      </w:r>
      <w:r w:rsidR="00C37E40">
        <w:rPr>
          <w:szCs w:val="24"/>
        </w:rPr>
        <w:t xml:space="preserve">, </w:t>
      </w:r>
      <w:r w:rsidRPr="00C37E40">
        <w:rPr>
          <w:szCs w:val="24"/>
        </w:rPr>
        <w:t>Čehijas Republika);</w:t>
      </w:r>
    </w:p>
    <w:p w:rsidR="00424712" w:rsidRPr="00C37E40" w:rsidRDefault="00424712" w:rsidP="004167A1">
      <w:pPr>
        <w:numPr>
          <w:ilvl w:val="0"/>
          <w:numId w:val="1"/>
        </w:numPr>
        <w:spacing w:after="0" w:line="240" w:lineRule="auto"/>
        <w:ind w:left="426" w:hanging="284"/>
        <w:jc w:val="both"/>
        <w:rPr>
          <w:szCs w:val="24"/>
        </w:rPr>
      </w:pPr>
      <w:r w:rsidRPr="00C37E40">
        <w:rPr>
          <w:szCs w:val="24"/>
        </w:rPr>
        <w:t>Zemgales Plānošanas Reģions (turpmāk – ZPR, Latvija);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Masarykova</w:t>
      </w:r>
      <w:proofErr w:type="spellEnd"/>
      <w:r w:rsidRPr="00C37E40">
        <w:rPr>
          <w:szCs w:val="24"/>
        </w:rPr>
        <w:t xml:space="preserve"> </w:t>
      </w:r>
      <w:proofErr w:type="spellStart"/>
      <w:r w:rsidRPr="00C37E40">
        <w:rPr>
          <w:szCs w:val="24"/>
        </w:rPr>
        <w:t>Univerzita</w:t>
      </w:r>
      <w:proofErr w:type="spellEnd"/>
      <w:r w:rsidRPr="00C37E40">
        <w:rPr>
          <w:szCs w:val="24"/>
        </w:rPr>
        <w:t xml:space="preserve"> (</w:t>
      </w:r>
      <w:proofErr w:type="spellStart"/>
      <w:r w:rsidRPr="00C37E40">
        <w:rPr>
          <w:szCs w:val="24"/>
        </w:rPr>
        <w:t>Masarjuka</w:t>
      </w:r>
      <w:proofErr w:type="spellEnd"/>
      <w:r w:rsidRPr="00C37E40">
        <w:rPr>
          <w:szCs w:val="24"/>
        </w:rPr>
        <w:t xml:space="preserve"> Universitāte</w:t>
      </w:r>
      <w:r w:rsidR="00C37E40">
        <w:rPr>
          <w:szCs w:val="24"/>
        </w:rPr>
        <w:t xml:space="preserve">, </w:t>
      </w:r>
      <w:r w:rsidRPr="00C37E40">
        <w:rPr>
          <w:szCs w:val="24"/>
        </w:rPr>
        <w:t>Čehijas Republika);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The</w:t>
      </w:r>
      <w:proofErr w:type="spellEnd"/>
      <w:r w:rsidRPr="00C37E40">
        <w:rPr>
          <w:szCs w:val="24"/>
        </w:rPr>
        <w:t xml:space="preserve"> </w:t>
      </w:r>
      <w:proofErr w:type="spellStart"/>
      <w:r w:rsidRPr="00C37E40">
        <w:rPr>
          <w:szCs w:val="24"/>
        </w:rPr>
        <w:t>National</w:t>
      </w:r>
      <w:proofErr w:type="spellEnd"/>
      <w:r w:rsidRPr="00C37E40">
        <w:rPr>
          <w:szCs w:val="24"/>
        </w:rPr>
        <w:t xml:space="preserve"> </w:t>
      </w:r>
      <w:proofErr w:type="spellStart"/>
      <w:r w:rsidRPr="00C37E40">
        <w:rPr>
          <w:szCs w:val="24"/>
        </w:rPr>
        <w:t>Microelectronics</w:t>
      </w:r>
      <w:proofErr w:type="spellEnd"/>
      <w:r w:rsidRPr="00C37E40">
        <w:rPr>
          <w:szCs w:val="24"/>
        </w:rPr>
        <w:t xml:space="preserve"> </w:t>
      </w:r>
      <w:proofErr w:type="spellStart"/>
      <w:r w:rsidRPr="00C37E40">
        <w:rPr>
          <w:szCs w:val="24"/>
        </w:rPr>
        <w:t>Applications</w:t>
      </w:r>
      <w:proofErr w:type="spellEnd"/>
      <w:r w:rsidRPr="00C37E40">
        <w:rPr>
          <w:szCs w:val="24"/>
        </w:rPr>
        <w:t xml:space="preserve"> </w:t>
      </w:r>
      <w:proofErr w:type="spellStart"/>
      <w:r w:rsidRPr="00C37E40">
        <w:rPr>
          <w:szCs w:val="24"/>
        </w:rPr>
        <w:t>Centre</w:t>
      </w:r>
      <w:proofErr w:type="spellEnd"/>
      <w:r w:rsidRPr="00C37E40">
        <w:rPr>
          <w:szCs w:val="24"/>
        </w:rPr>
        <w:t xml:space="preserve"> </w:t>
      </w:r>
      <w:proofErr w:type="spellStart"/>
      <w:r w:rsidRPr="00C37E40">
        <w:rPr>
          <w:szCs w:val="24"/>
        </w:rPr>
        <w:t>Ltd</w:t>
      </w:r>
      <w:proofErr w:type="spellEnd"/>
      <w:r w:rsidRPr="00C37E40">
        <w:rPr>
          <w:szCs w:val="24"/>
        </w:rPr>
        <w:t xml:space="preserve"> (SIA „Nacionālais </w:t>
      </w:r>
      <w:proofErr w:type="spellStart"/>
      <w:r w:rsidRPr="00C37E40">
        <w:rPr>
          <w:szCs w:val="24"/>
        </w:rPr>
        <w:t>Mikroelektronisko</w:t>
      </w:r>
      <w:proofErr w:type="spellEnd"/>
      <w:r w:rsidRPr="00C37E40">
        <w:rPr>
          <w:szCs w:val="24"/>
        </w:rPr>
        <w:t xml:space="preserve"> Lietojumprogrammatūru Centrs” MAC, Īrija);</w:t>
      </w:r>
    </w:p>
    <w:p w:rsidR="00424712" w:rsidRPr="00C37E40" w:rsidRDefault="00424712" w:rsidP="004167A1">
      <w:pPr>
        <w:numPr>
          <w:ilvl w:val="0"/>
          <w:numId w:val="1"/>
        </w:numPr>
        <w:spacing w:after="0" w:line="240" w:lineRule="auto"/>
        <w:ind w:left="426" w:hanging="284"/>
        <w:jc w:val="both"/>
        <w:rPr>
          <w:szCs w:val="24"/>
        </w:rPr>
      </w:pPr>
      <w:r w:rsidRPr="00C37E40">
        <w:rPr>
          <w:szCs w:val="24"/>
        </w:rPr>
        <w:t>SIA „</w:t>
      </w:r>
      <w:proofErr w:type="spellStart"/>
      <w:r w:rsidRPr="00C37E40">
        <w:rPr>
          <w:szCs w:val="24"/>
        </w:rPr>
        <w:t>Baltic</w:t>
      </w:r>
      <w:proofErr w:type="spellEnd"/>
      <w:r w:rsidRPr="00C37E40">
        <w:rPr>
          <w:szCs w:val="24"/>
        </w:rPr>
        <w:t xml:space="preserve"> </w:t>
      </w:r>
      <w:proofErr w:type="spellStart"/>
      <w:r w:rsidRPr="00C37E40">
        <w:rPr>
          <w:szCs w:val="24"/>
        </w:rPr>
        <w:t>Open</w:t>
      </w:r>
      <w:proofErr w:type="spellEnd"/>
      <w:r w:rsidRPr="00C37E40">
        <w:rPr>
          <w:szCs w:val="24"/>
        </w:rPr>
        <w:t xml:space="preserve"> </w:t>
      </w:r>
      <w:proofErr w:type="spellStart"/>
      <w:r w:rsidRPr="00C37E40">
        <w:rPr>
          <w:szCs w:val="24"/>
        </w:rPr>
        <w:t>Solutions</w:t>
      </w:r>
      <w:proofErr w:type="spellEnd"/>
      <w:r w:rsidRPr="00C37E40">
        <w:rPr>
          <w:szCs w:val="24"/>
        </w:rPr>
        <w:t xml:space="preserve"> </w:t>
      </w:r>
      <w:proofErr w:type="spellStart"/>
      <w:r w:rsidRPr="00C37E40">
        <w:rPr>
          <w:szCs w:val="24"/>
        </w:rPr>
        <w:t>Center</w:t>
      </w:r>
      <w:proofErr w:type="spellEnd"/>
      <w:r w:rsidRPr="00C37E40">
        <w:rPr>
          <w:szCs w:val="24"/>
        </w:rPr>
        <w:t>” (Latvija);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Univerza</w:t>
      </w:r>
      <w:proofErr w:type="spellEnd"/>
      <w:r w:rsidRPr="00C37E40">
        <w:rPr>
          <w:szCs w:val="24"/>
        </w:rPr>
        <w:t xml:space="preserve"> V Mariboru (Mariboras Universitāte</w:t>
      </w:r>
      <w:r w:rsidR="00C37E40">
        <w:rPr>
          <w:szCs w:val="24"/>
        </w:rPr>
        <w:t xml:space="preserve">, </w:t>
      </w:r>
      <w:r w:rsidRPr="00C37E40">
        <w:rPr>
          <w:szCs w:val="24"/>
        </w:rPr>
        <w:t>Slovēnija);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The</w:t>
      </w:r>
      <w:proofErr w:type="spellEnd"/>
      <w:r w:rsidRPr="00C37E40">
        <w:rPr>
          <w:szCs w:val="24"/>
        </w:rPr>
        <w:t xml:space="preserve"> Slovak </w:t>
      </w:r>
      <w:proofErr w:type="spellStart"/>
      <w:r w:rsidRPr="00C37E40">
        <w:rPr>
          <w:szCs w:val="24"/>
        </w:rPr>
        <w:t>Environmental</w:t>
      </w:r>
      <w:proofErr w:type="spellEnd"/>
      <w:r w:rsidRPr="00C37E40">
        <w:rPr>
          <w:szCs w:val="24"/>
        </w:rPr>
        <w:t xml:space="preserve"> </w:t>
      </w:r>
      <w:proofErr w:type="spellStart"/>
      <w:r w:rsidRPr="00C37E40">
        <w:rPr>
          <w:szCs w:val="24"/>
        </w:rPr>
        <w:t>Agency</w:t>
      </w:r>
      <w:proofErr w:type="spellEnd"/>
      <w:r w:rsidRPr="00C37E40">
        <w:rPr>
          <w:szCs w:val="24"/>
        </w:rPr>
        <w:t xml:space="preserve"> (Slovākijas Vides Aģentūra</w:t>
      </w:r>
      <w:r w:rsidR="00C37E40">
        <w:rPr>
          <w:szCs w:val="24"/>
        </w:rPr>
        <w:t xml:space="preserve">, </w:t>
      </w:r>
      <w:r w:rsidRPr="00C37E40">
        <w:rPr>
          <w:szCs w:val="24"/>
        </w:rPr>
        <w:t>Slovākija);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lastRenderedPageBreak/>
        <w:t>European</w:t>
      </w:r>
      <w:proofErr w:type="spellEnd"/>
      <w:r w:rsidRPr="00C37E40">
        <w:rPr>
          <w:szCs w:val="24"/>
        </w:rPr>
        <w:t xml:space="preserve"> </w:t>
      </w:r>
      <w:proofErr w:type="spellStart"/>
      <w:r w:rsidRPr="00C37E40">
        <w:rPr>
          <w:szCs w:val="24"/>
        </w:rPr>
        <w:t>Regional</w:t>
      </w:r>
      <w:proofErr w:type="spellEnd"/>
      <w:r w:rsidRPr="00C37E40">
        <w:rPr>
          <w:szCs w:val="24"/>
        </w:rPr>
        <w:t xml:space="preserve"> </w:t>
      </w:r>
      <w:proofErr w:type="spellStart"/>
      <w:r w:rsidRPr="00C37E40">
        <w:rPr>
          <w:szCs w:val="24"/>
        </w:rPr>
        <w:t>Framework</w:t>
      </w:r>
      <w:proofErr w:type="spellEnd"/>
      <w:r w:rsidRPr="00C37E40">
        <w:rPr>
          <w:szCs w:val="24"/>
        </w:rPr>
        <w:t xml:space="preserve"> </w:t>
      </w:r>
      <w:proofErr w:type="spellStart"/>
      <w:r w:rsidRPr="00C37E40">
        <w:rPr>
          <w:szCs w:val="24"/>
        </w:rPr>
        <w:t>For</w:t>
      </w:r>
      <w:proofErr w:type="spellEnd"/>
      <w:r w:rsidRPr="00C37E40">
        <w:rPr>
          <w:szCs w:val="24"/>
        </w:rPr>
        <w:t xml:space="preserve"> Co-</w:t>
      </w:r>
      <w:proofErr w:type="spellStart"/>
      <w:r w:rsidRPr="00C37E40">
        <w:rPr>
          <w:szCs w:val="24"/>
        </w:rPr>
        <w:t>Operation</w:t>
      </w:r>
      <w:proofErr w:type="spellEnd"/>
      <w:r w:rsidRPr="00C37E40">
        <w:rPr>
          <w:szCs w:val="24"/>
        </w:rPr>
        <w:t xml:space="preserve"> </w:t>
      </w:r>
      <w:proofErr w:type="spellStart"/>
      <w:r w:rsidRPr="00C37E40">
        <w:rPr>
          <w:szCs w:val="24"/>
        </w:rPr>
        <w:t>Association</w:t>
      </w:r>
      <w:proofErr w:type="spellEnd"/>
      <w:r w:rsidRPr="00C37E40">
        <w:rPr>
          <w:szCs w:val="24"/>
        </w:rPr>
        <w:t xml:space="preserve"> (Eiropas Reģionālā Sadarbības ietvara asociācija</w:t>
      </w:r>
      <w:r w:rsidR="00C37E40">
        <w:rPr>
          <w:szCs w:val="24"/>
        </w:rPr>
        <w:t xml:space="preserve">, </w:t>
      </w:r>
      <w:r w:rsidRPr="00C37E40">
        <w:rPr>
          <w:szCs w:val="24"/>
        </w:rPr>
        <w:t>Grieķija);</w:t>
      </w:r>
    </w:p>
    <w:p w:rsidR="00424712" w:rsidRPr="00C37E40" w:rsidRDefault="00424712" w:rsidP="004167A1">
      <w:pPr>
        <w:numPr>
          <w:ilvl w:val="0"/>
          <w:numId w:val="1"/>
        </w:numPr>
        <w:spacing w:after="0" w:line="240" w:lineRule="auto"/>
        <w:ind w:left="426" w:hanging="284"/>
        <w:jc w:val="both"/>
        <w:rPr>
          <w:szCs w:val="24"/>
        </w:rPr>
      </w:pPr>
      <w:r w:rsidRPr="00C37E40">
        <w:rPr>
          <w:szCs w:val="24"/>
        </w:rPr>
        <w:t>E-</w:t>
      </w:r>
      <w:proofErr w:type="spellStart"/>
      <w:r w:rsidRPr="00C37E40">
        <w:rPr>
          <w:szCs w:val="24"/>
        </w:rPr>
        <w:t>Pro</w:t>
      </w:r>
      <w:proofErr w:type="spellEnd"/>
      <w:r w:rsidRPr="00C37E40">
        <w:rPr>
          <w:szCs w:val="24"/>
        </w:rPr>
        <w:t xml:space="preserve"> </w:t>
      </w:r>
      <w:proofErr w:type="spellStart"/>
      <w:r w:rsidRPr="00C37E40">
        <w:rPr>
          <w:szCs w:val="24"/>
        </w:rPr>
        <w:t>Group</w:t>
      </w:r>
      <w:proofErr w:type="spellEnd"/>
      <w:r w:rsidRPr="00C37E40">
        <w:rPr>
          <w:szCs w:val="24"/>
        </w:rPr>
        <w:t>, A.S.(E-</w:t>
      </w:r>
      <w:proofErr w:type="spellStart"/>
      <w:r w:rsidRPr="00C37E40">
        <w:rPr>
          <w:szCs w:val="24"/>
        </w:rPr>
        <w:t>Pro</w:t>
      </w:r>
      <w:proofErr w:type="spellEnd"/>
      <w:r w:rsidRPr="00C37E40">
        <w:rPr>
          <w:szCs w:val="24"/>
        </w:rPr>
        <w:t xml:space="preserve"> Grupa</w:t>
      </w:r>
      <w:r w:rsidR="00C37E40">
        <w:rPr>
          <w:szCs w:val="24"/>
        </w:rPr>
        <w:t xml:space="preserve">, </w:t>
      </w:r>
      <w:r w:rsidRPr="00C37E40">
        <w:rPr>
          <w:szCs w:val="24"/>
        </w:rPr>
        <w:t>Slovākija);</w:t>
      </w:r>
    </w:p>
    <w:p w:rsidR="00424712" w:rsidRPr="00C37E40" w:rsidRDefault="00424712" w:rsidP="004167A1">
      <w:pPr>
        <w:numPr>
          <w:ilvl w:val="0"/>
          <w:numId w:val="1"/>
        </w:numPr>
        <w:spacing w:after="0" w:line="240" w:lineRule="auto"/>
        <w:ind w:left="426" w:hanging="284"/>
        <w:jc w:val="both"/>
        <w:rPr>
          <w:szCs w:val="24"/>
        </w:rPr>
      </w:pPr>
      <w:r w:rsidRPr="00C37E40">
        <w:rPr>
          <w:szCs w:val="24"/>
        </w:rPr>
        <w:t>Vidzemes Plānošanas Reģions (turpmāk – VPR, Latvija);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Stepim</w:t>
      </w:r>
      <w:proofErr w:type="spellEnd"/>
      <w:r w:rsidRPr="00C37E40">
        <w:rPr>
          <w:szCs w:val="24"/>
        </w:rPr>
        <w:t xml:space="preserve"> S.A.S (Stratēģijas teritoriju sociālajai un ekonomiskajai attīstībai – uzņēmums STEPIM</w:t>
      </w:r>
      <w:r w:rsidR="00260248">
        <w:rPr>
          <w:szCs w:val="24"/>
        </w:rPr>
        <w:t xml:space="preserve">, </w:t>
      </w:r>
      <w:r w:rsidRPr="00C37E40">
        <w:rPr>
          <w:szCs w:val="24"/>
        </w:rPr>
        <w:t>Itālija);</w:t>
      </w:r>
    </w:p>
    <w:p w:rsidR="00424712" w:rsidRPr="00C37E40" w:rsidRDefault="00424712" w:rsidP="004167A1">
      <w:pPr>
        <w:numPr>
          <w:ilvl w:val="0"/>
          <w:numId w:val="1"/>
        </w:numPr>
        <w:spacing w:after="0" w:line="240" w:lineRule="auto"/>
        <w:ind w:left="426" w:hanging="284"/>
        <w:jc w:val="both"/>
        <w:rPr>
          <w:szCs w:val="24"/>
        </w:rPr>
      </w:pPr>
      <w:proofErr w:type="spellStart"/>
      <w:r w:rsidRPr="00C37E40">
        <w:rPr>
          <w:szCs w:val="24"/>
        </w:rPr>
        <w:t>Uhlava</w:t>
      </w:r>
      <w:proofErr w:type="spellEnd"/>
      <w:r w:rsidRPr="00C37E40">
        <w:rPr>
          <w:szCs w:val="24"/>
        </w:rPr>
        <w:t>, O. P. S. (NVO, kas darbojas ar reģionālās attīstības jautājumiem</w:t>
      </w:r>
      <w:r w:rsidR="00260248">
        <w:rPr>
          <w:szCs w:val="24"/>
        </w:rPr>
        <w:t xml:space="preserve">, </w:t>
      </w:r>
      <w:r w:rsidRPr="00C37E40">
        <w:rPr>
          <w:szCs w:val="24"/>
        </w:rPr>
        <w:t>Čehijas Republika);</w:t>
      </w:r>
    </w:p>
    <w:p w:rsidR="00815221" w:rsidRPr="00C37E40" w:rsidRDefault="00424712" w:rsidP="004167A1">
      <w:pPr>
        <w:numPr>
          <w:ilvl w:val="0"/>
          <w:numId w:val="1"/>
        </w:numPr>
        <w:spacing w:after="0" w:line="240" w:lineRule="auto"/>
        <w:ind w:left="426" w:hanging="284"/>
        <w:jc w:val="both"/>
        <w:rPr>
          <w:caps/>
          <w:szCs w:val="24"/>
        </w:rPr>
      </w:pPr>
      <w:proofErr w:type="spellStart"/>
      <w:r w:rsidRPr="00C37E40">
        <w:rPr>
          <w:szCs w:val="24"/>
        </w:rPr>
        <w:t>Help</w:t>
      </w:r>
      <w:proofErr w:type="spellEnd"/>
      <w:r w:rsidRPr="00C37E40">
        <w:rPr>
          <w:szCs w:val="24"/>
        </w:rPr>
        <w:t xml:space="preserve"> </w:t>
      </w:r>
      <w:proofErr w:type="spellStart"/>
      <w:r w:rsidRPr="00C37E40">
        <w:rPr>
          <w:szCs w:val="24"/>
        </w:rPr>
        <w:t>Service</w:t>
      </w:r>
      <w:proofErr w:type="spellEnd"/>
      <w:r w:rsidRPr="00C37E40">
        <w:rPr>
          <w:szCs w:val="24"/>
        </w:rPr>
        <w:t xml:space="preserve"> </w:t>
      </w:r>
      <w:r w:rsidR="00853FEB">
        <w:rPr>
          <w:szCs w:val="24"/>
        </w:rPr>
        <w:t>–</w:t>
      </w:r>
      <w:r w:rsidRPr="00C37E40">
        <w:rPr>
          <w:szCs w:val="24"/>
        </w:rPr>
        <w:t xml:space="preserve"> </w:t>
      </w:r>
      <w:proofErr w:type="spellStart"/>
      <w:r w:rsidRPr="00C37E40">
        <w:rPr>
          <w:szCs w:val="24"/>
        </w:rPr>
        <w:t>Remote</w:t>
      </w:r>
      <w:proofErr w:type="spellEnd"/>
      <w:r w:rsidRPr="00C37E40">
        <w:rPr>
          <w:szCs w:val="24"/>
        </w:rPr>
        <w:t xml:space="preserve"> </w:t>
      </w:r>
      <w:proofErr w:type="spellStart"/>
      <w:r w:rsidRPr="00C37E40">
        <w:rPr>
          <w:szCs w:val="24"/>
        </w:rPr>
        <w:t>Sensing</w:t>
      </w:r>
      <w:proofErr w:type="spellEnd"/>
      <w:r w:rsidRPr="00C37E40">
        <w:rPr>
          <w:szCs w:val="24"/>
        </w:rPr>
        <w:t xml:space="preserve"> </w:t>
      </w:r>
      <w:proofErr w:type="spellStart"/>
      <w:r w:rsidRPr="00C37E40">
        <w:rPr>
          <w:szCs w:val="24"/>
        </w:rPr>
        <w:t>Sro</w:t>
      </w:r>
      <w:proofErr w:type="spellEnd"/>
      <w:r w:rsidRPr="00C37E40">
        <w:rPr>
          <w:szCs w:val="24"/>
        </w:rPr>
        <w:t xml:space="preserve"> (MVU</w:t>
      </w:r>
      <w:r w:rsidRPr="00C37E40">
        <w:rPr>
          <w:b/>
          <w:szCs w:val="24"/>
        </w:rPr>
        <w:t xml:space="preserve"> </w:t>
      </w:r>
      <w:r w:rsidR="00853FEB">
        <w:rPr>
          <w:b/>
          <w:szCs w:val="24"/>
        </w:rPr>
        <w:t>–</w:t>
      </w:r>
      <w:r w:rsidRPr="00C37E40">
        <w:rPr>
          <w:szCs w:val="24"/>
        </w:rPr>
        <w:t xml:space="preserve"> </w:t>
      </w:r>
      <w:proofErr w:type="spellStart"/>
      <w:r w:rsidRPr="00C37E40">
        <w:rPr>
          <w:szCs w:val="24"/>
        </w:rPr>
        <w:t>Tālozondēšanas</w:t>
      </w:r>
      <w:proofErr w:type="spellEnd"/>
      <w:r w:rsidRPr="00C37E40">
        <w:rPr>
          <w:szCs w:val="24"/>
        </w:rPr>
        <w:t xml:space="preserve"> palīdzības dienests</w:t>
      </w:r>
      <w:r w:rsidR="00260248">
        <w:rPr>
          <w:szCs w:val="24"/>
        </w:rPr>
        <w:t xml:space="preserve">, </w:t>
      </w:r>
      <w:r w:rsidRPr="00C37E40">
        <w:rPr>
          <w:szCs w:val="24"/>
        </w:rPr>
        <w:t>Čehijas Republika);</w:t>
      </w:r>
    </w:p>
    <w:p w:rsidR="00424712" w:rsidRPr="00C37E40" w:rsidRDefault="00424712" w:rsidP="004167A1">
      <w:pPr>
        <w:numPr>
          <w:ilvl w:val="0"/>
          <w:numId w:val="1"/>
        </w:numPr>
        <w:spacing w:after="0" w:line="240" w:lineRule="auto"/>
        <w:ind w:left="426" w:hanging="284"/>
        <w:jc w:val="both"/>
        <w:rPr>
          <w:caps/>
          <w:szCs w:val="24"/>
        </w:rPr>
      </w:pPr>
      <w:proofErr w:type="spellStart"/>
      <w:r w:rsidRPr="00C37E40">
        <w:rPr>
          <w:szCs w:val="24"/>
        </w:rPr>
        <w:t>Scuola</w:t>
      </w:r>
      <w:proofErr w:type="spellEnd"/>
      <w:r w:rsidRPr="00C37E40">
        <w:rPr>
          <w:szCs w:val="24"/>
        </w:rPr>
        <w:t xml:space="preserve"> </w:t>
      </w:r>
      <w:proofErr w:type="spellStart"/>
      <w:r w:rsidRPr="00C37E40">
        <w:rPr>
          <w:szCs w:val="24"/>
        </w:rPr>
        <w:t>Superiore</w:t>
      </w:r>
      <w:proofErr w:type="spellEnd"/>
      <w:r w:rsidRPr="00C37E40">
        <w:rPr>
          <w:szCs w:val="24"/>
        </w:rPr>
        <w:t xml:space="preserve"> </w:t>
      </w:r>
      <w:proofErr w:type="spellStart"/>
      <w:r w:rsidRPr="00C37E40">
        <w:rPr>
          <w:szCs w:val="24"/>
        </w:rPr>
        <w:t>Di</w:t>
      </w:r>
      <w:proofErr w:type="spellEnd"/>
      <w:r w:rsidRPr="00C37E40">
        <w:rPr>
          <w:szCs w:val="24"/>
        </w:rPr>
        <w:t xml:space="preserve"> </w:t>
      </w:r>
      <w:proofErr w:type="spellStart"/>
      <w:r w:rsidRPr="00C37E40">
        <w:rPr>
          <w:szCs w:val="24"/>
        </w:rPr>
        <w:t>Studi</w:t>
      </w:r>
      <w:proofErr w:type="spellEnd"/>
      <w:r w:rsidRPr="00C37E40">
        <w:rPr>
          <w:szCs w:val="24"/>
        </w:rPr>
        <w:t xml:space="preserve"> </w:t>
      </w:r>
      <w:proofErr w:type="spellStart"/>
      <w:r w:rsidRPr="00C37E40">
        <w:rPr>
          <w:szCs w:val="24"/>
        </w:rPr>
        <w:t>Universitari</w:t>
      </w:r>
      <w:proofErr w:type="spellEnd"/>
      <w:r w:rsidRPr="00C37E40">
        <w:rPr>
          <w:szCs w:val="24"/>
        </w:rPr>
        <w:t xml:space="preserve"> E </w:t>
      </w:r>
      <w:proofErr w:type="spellStart"/>
      <w:r w:rsidRPr="00C37E40">
        <w:rPr>
          <w:szCs w:val="24"/>
        </w:rPr>
        <w:t>Di</w:t>
      </w:r>
      <w:proofErr w:type="spellEnd"/>
      <w:r w:rsidRPr="00C37E40">
        <w:rPr>
          <w:szCs w:val="24"/>
        </w:rPr>
        <w:t xml:space="preserve"> </w:t>
      </w:r>
      <w:proofErr w:type="spellStart"/>
      <w:r w:rsidRPr="00C37E40">
        <w:rPr>
          <w:szCs w:val="24"/>
        </w:rPr>
        <w:t>Perfezionamento</w:t>
      </w:r>
      <w:proofErr w:type="spellEnd"/>
      <w:r w:rsidRPr="00C37E40">
        <w:rPr>
          <w:szCs w:val="24"/>
        </w:rPr>
        <w:t xml:space="preserve"> </w:t>
      </w:r>
      <w:proofErr w:type="spellStart"/>
      <w:r w:rsidRPr="00C37E40">
        <w:rPr>
          <w:szCs w:val="24"/>
        </w:rPr>
        <w:t>Sant'anna</w:t>
      </w:r>
      <w:proofErr w:type="spellEnd"/>
      <w:r w:rsidRPr="00C37E40">
        <w:rPr>
          <w:szCs w:val="24"/>
        </w:rPr>
        <w:t xml:space="preserve"> (</w:t>
      </w:r>
      <w:proofErr w:type="spellStart"/>
      <w:r w:rsidRPr="00C37E40">
        <w:rPr>
          <w:szCs w:val="24"/>
        </w:rPr>
        <w:t>Sv.Annas</w:t>
      </w:r>
      <w:proofErr w:type="spellEnd"/>
      <w:r w:rsidRPr="00C37E40">
        <w:rPr>
          <w:szCs w:val="24"/>
        </w:rPr>
        <w:t xml:space="preserve"> Progresīvo studiju universitāte</w:t>
      </w:r>
      <w:r w:rsidR="00260248">
        <w:rPr>
          <w:szCs w:val="24"/>
        </w:rPr>
        <w:t xml:space="preserve">, </w:t>
      </w:r>
      <w:r w:rsidRPr="00C37E40">
        <w:rPr>
          <w:szCs w:val="24"/>
        </w:rPr>
        <w:t>Itālija);</w:t>
      </w:r>
    </w:p>
    <w:p w:rsidR="00424712" w:rsidRPr="00C37E40" w:rsidRDefault="00424712" w:rsidP="004167A1">
      <w:pPr>
        <w:numPr>
          <w:ilvl w:val="0"/>
          <w:numId w:val="1"/>
        </w:numPr>
        <w:spacing w:after="0" w:line="240" w:lineRule="auto"/>
        <w:ind w:left="426" w:hanging="284"/>
        <w:jc w:val="both"/>
        <w:rPr>
          <w:caps/>
          <w:szCs w:val="24"/>
        </w:rPr>
      </w:pPr>
      <w:proofErr w:type="spellStart"/>
      <w:r w:rsidRPr="00C37E40">
        <w:rPr>
          <w:szCs w:val="24"/>
        </w:rPr>
        <w:t>Pronatur</w:t>
      </w:r>
      <w:proofErr w:type="spellEnd"/>
      <w:r w:rsidRPr="00C37E40">
        <w:rPr>
          <w:szCs w:val="24"/>
        </w:rPr>
        <w:t xml:space="preserve"> (Vides aizsardzības NVO</w:t>
      </w:r>
      <w:r w:rsidR="00260248">
        <w:rPr>
          <w:szCs w:val="24"/>
        </w:rPr>
        <w:t xml:space="preserve">, </w:t>
      </w:r>
      <w:r w:rsidRPr="00C37E40">
        <w:rPr>
          <w:szCs w:val="24"/>
        </w:rPr>
        <w:t>Slovākija);</w:t>
      </w:r>
    </w:p>
    <w:p w:rsidR="00424712" w:rsidRPr="00C37E40" w:rsidRDefault="00424712" w:rsidP="004167A1">
      <w:pPr>
        <w:numPr>
          <w:ilvl w:val="0"/>
          <w:numId w:val="1"/>
        </w:numPr>
        <w:spacing w:after="0" w:line="240" w:lineRule="auto"/>
        <w:ind w:left="426" w:hanging="284"/>
        <w:jc w:val="both"/>
        <w:rPr>
          <w:caps/>
          <w:szCs w:val="24"/>
        </w:rPr>
      </w:pPr>
      <w:proofErr w:type="spellStart"/>
      <w:r w:rsidRPr="00C37E40">
        <w:rPr>
          <w:szCs w:val="24"/>
        </w:rPr>
        <w:t>Rtd</w:t>
      </w:r>
      <w:proofErr w:type="spellEnd"/>
      <w:r w:rsidRPr="00C37E40">
        <w:rPr>
          <w:szCs w:val="24"/>
        </w:rPr>
        <w:t xml:space="preserve"> </w:t>
      </w:r>
      <w:proofErr w:type="spellStart"/>
      <w:r w:rsidRPr="00C37E40">
        <w:rPr>
          <w:szCs w:val="24"/>
        </w:rPr>
        <w:t>Talos</w:t>
      </w:r>
      <w:proofErr w:type="spellEnd"/>
      <w:r w:rsidRPr="00C37E40">
        <w:rPr>
          <w:szCs w:val="24"/>
        </w:rPr>
        <w:t xml:space="preserve"> </w:t>
      </w:r>
      <w:proofErr w:type="spellStart"/>
      <w:r w:rsidRPr="00C37E40">
        <w:rPr>
          <w:szCs w:val="24"/>
        </w:rPr>
        <w:t>Limited</w:t>
      </w:r>
      <w:proofErr w:type="spellEnd"/>
      <w:r w:rsidRPr="00C37E40">
        <w:rPr>
          <w:szCs w:val="24"/>
        </w:rPr>
        <w:t xml:space="preserve"> (Pētniecisko projektu konsultāciju MVU</w:t>
      </w:r>
      <w:r w:rsidR="00260248">
        <w:rPr>
          <w:szCs w:val="24"/>
        </w:rPr>
        <w:t xml:space="preserve">, </w:t>
      </w:r>
      <w:r w:rsidRPr="00C37E40">
        <w:rPr>
          <w:szCs w:val="24"/>
        </w:rPr>
        <w:t>Kipra).</w:t>
      </w:r>
    </w:p>
    <w:p w:rsidR="00424712" w:rsidRPr="00D11143" w:rsidRDefault="00424712" w:rsidP="00424712">
      <w:pPr>
        <w:spacing w:after="0" w:line="240" w:lineRule="auto"/>
        <w:jc w:val="both"/>
        <w:rPr>
          <w:szCs w:val="24"/>
        </w:rPr>
      </w:pPr>
    </w:p>
    <w:p w:rsidR="00424712" w:rsidRPr="00D11143" w:rsidRDefault="00815221" w:rsidP="00424712">
      <w:pPr>
        <w:spacing w:after="0" w:line="240" w:lineRule="auto"/>
        <w:jc w:val="both"/>
        <w:rPr>
          <w:szCs w:val="24"/>
        </w:rPr>
      </w:pPr>
      <w:r w:rsidRPr="00260248">
        <w:rPr>
          <w:i/>
          <w:szCs w:val="24"/>
        </w:rPr>
        <w:t>Projekta pamatojums</w:t>
      </w:r>
      <w:r w:rsidR="00260248">
        <w:rPr>
          <w:szCs w:val="24"/>
        </w:rPr>
        <w:t xml:space="preserve">. </w:t>
      </w:r>
      <w:r w:rsidR="00424712">
        <w:rPr>
          <w:szCs w:val="24"/>
        </w:rPr>
        <w:t xml:space="preserve">Ģeogrāfisko datu informācijas, kas ir ievākta un ir dažādu publisku institūciju, kā arī privātā un nevalstiskā sektora organizāciju rīcībā, potenciāls ir nepilnīgi izmantots. </w:t>
      </w:r>
      <w:r w:rsidR="00853FEB">
        <w:rPr>
          <w:szCs w:val="24"/>
        </w:rPr>
        <w:t>I</w:t>
      </w:r>
      <w:r w:rsidR="00853FEB" w:rsidRPr="00E2034B">
        <w:rPr>
          <w:szCs w:val="24"/>
        </w:rPr>
        <w:t>nformācijas un telekomunikāciju tehnoloģiju</w:t>
      </w:r>
      <w:r w:rsidR="00853FEB">
        <w:rPr>
          <w:szCs w:val="24"/>
        </w:rPr>
        <w:t xml:space="preserve"> </w:t>
      </w:r>
      <w:r w:rsidR="00424712">
        <w:rPr>
          <w:szCs w:val="24"/>
        </w:rPr>
        <w:t>attīstība un pāreja uz savienotajiem atvērtajiem datiem (</w:t>
      </w:r>
      <w:proofErr w:type="spellStart"/>
      <w:r w:rsidR="00424712" w:rsidRPr="00260248">
        <w:rPr>
          <w:i/>
          <w:szCs w:val="24"/>
        </w:rPr>
        <w:t>linked</w:t>
      </w:r>
      <w:proofErr w:type="spellEnd"/>
      <w:r w:rsidR="00424712" w:rsidRPr="00260248">
        <w:rPr>
          <w:i/>
          <w:szCs w:val="24"/>
        </w:rPr>
        <w:t xml:space="preserve"> </w:t>
      </w:r>
      <w:proofErr w:type="spellStart"/>
      <w:r w:rsidR="00424712" w:rsidRPr="00260248">
        <w:rPr>
          <w:i/>
          <w:szCs w:val="24"/>
        </w:rPr>
        <w:t>open</w:t>
      </w:r>
      <w:proofErr w:type="spellEnd"/>
      <w:r w:rsidR="00424712" w:rsidRPr="00260248">
        <w:rPr>
          <w:i/>
          <w:szCs w:val="24"/>
        </w:rPr>
        <w:t xml:space="preserve"> </w:t>
      </w:r>
      <w:proofErr w:type="spellStart"/>
      <w:r w:rsidR="00424712" w:rsidRPr="00260248">
        <w:rPr>
          <w:i/>
          <w:szCs w:val="24"/>
        </w:rPr>
        <w:t>data</w:t>
      </w:r>
      <w:proofErr w:type="spellEnd"/>
      <w:r w:rsidR="00424712">
        <w:rPr>
          <w:szCs w:val="24"/>
        </w:rPr>
        <w:t>) paver inovāciju iespējas. Esošā telpisko datu infrastruktūra lielākoties ir nacionālo un Eiropas politiku un institūciju pārraudzībā. Mūsdienās ģeogrāfiskie dati vairs neatrodas atsevišķā informācijas telpā, bet ir daļa no plašākas Eiropas informatīvās telpas, un tās ietvaros ir nepieciešams attīstīt jaunus pakalpojumus un produktus ar pievienoto vērtību, izmantojot šos publiskos datus. Tādēļ, lai tiktu sekmēta šo datu potenciāla izmantošana jaunu produktu un pakalpojumu radīšanā (piem</w:t>
      </w:r>
      <w:r w:rsidR="00260248">
        <w:rPr>
          <w:szCs w:val="24"/>
        </w:rPr>
        <w:t>ēram,</w:t>
      </w:r>
      <w:r w:rsidR="00424712">
        <w:rPr>
          <w:szCs w:val="24"/>
        </w:rPr>
        <w:t xml:space="preserve"> mobilās aplikācijas uz šo datu bāzes), ir nepieciešams attīstīt atbalsta infrastruktūru, lai sekmētu šo datu pārņemšanu jaunu produktu un pakalpojumu izstrādē.</w:t>
      </w:r>
    </w:p>
    <w:p w:rsidR="00424712" w:rsidRPr="00D11143" w:rsidRDefault="00424712" w:rsidP="00424712">
      <w:pPr>
        <w:spacing w:after="0" w:line="240" w:lineRule="auto"/>
        <w:jc w:val="both"/>
        <w:rPr>
          <w:szCs w:val="24"/>
        </w:rPr>
      </w:pPr>
    </w:p>
    <w:p w:rsidR="00424712" w:rsidRDefault="00424712" w:rsidP="00424712">
      <w:pPr>
        <w:spacing w:after="0" w:line="240" w:lineRule="auto"/>
        <w:jc w:val="both"/>
        <w:rPr>
          <w:szCs w:val="24"/>
        </w:rPr>
      </w:pPr>
      <w:r w:rsidRPr="00D11143">
        <w:rPr>
          <w:i/>
          <w:szCs w:val="24"/>
        </w:rPr>
        <w:t>Projekta mērķis</w:t>
      </w:r>
      <w:r w:rsidRPr="00D11143">
        <w:rPr>
          <w:szCs w:val="24"/>
        </w:rPr>
        <w:t xml:space="preserve"> ir sniegt izpratni pašvaldībām, uzņēmējiem, iedzīvotājiem un citiem interesentiem par </w:t>
      </w:r>
      <w:r w:rsidR="00853FEB" w:rsidRPr="005D6380">
        <w:rPr>
          <w:szCs w:val="24"/>
        </w:rPr>
        <w:t>Eiropas Parlamenta un Padomes 2007.</w:t>
      </w:r>
      <w:r w:rsidR="00853FEB">
        <w:rPr>
          <w:szCs w:val="24"/>
        </w:rPr>
        <w:t> </w:t>
      </w:r>
      <w:r w:rsidR="00853FEB" w:rsidRPr="005D6380">
        <w:rPr>
          <w:szCs w:val="24"/>
        </w:rPr>
        <w:t>g</w:t>
      </w:r>
      <w:r w:rsidR="00853FEB">
        <w:rPr>
          <w:szCs w:val="24"/>
        </w:rPr>
        <w:t>ada 14. marta</w:t>
      </w:r>
      <w:r w:rsidR="00853FEB" w:rsidRPr="005D6380">
        <w:rPr>
          <w:szCs w:val="24"/>
        </w:rPr>
        <w:t xml:space="preserve"> direktīvas 2007/2/EK</w:t>
      </w:r>
      <w:r w:rsidR="00853FEB">
        <w:rPr>
          <w:szCs w:val="24"/>
        </w:rPr>
        <w:t>,</w:t>
      </w:r>
      <w:r w:rsidR="00853FEB" w:rsidRPr="005D6380">
        <w:rPr>
          <w:szCs w:val="24"/>
        </w:rPr>
        <w:t xml:space="preserve"> ar ko izveido Telpiskās informācijas infrastruktūru Eiropas Kopienā</w:t>
      </w:r>
      <w:r w:rsidR="00853FEB">
        <w:rPr>
          <w:szCs w:val="24"/>
        </w:rPr>
        <w:t xml:space="preserve"> (</w:t>
      </w:r>
      <w:r w:rsidR="00853FEB" w:rsidRPr="005D6380">
        <w:rPr>
          <w:i/>
          <w:szCs w:val="24"/>
        </w:rPr>
        <w:t>INSPIRE</w:t>
      </w:r>
      <w:r w:rsidR="00853FEB">
        <w:rPr>
          <w:szCs w:val="24"/>
        </w:rPr>
        <w:t>)</w:t>
      </w:r>
      <w:r w:rsidR="00260248">
        <w:rPr>
          <w:szCs w:val="24"/>
        </w:rPr>
        <w:t>,</w:t>
      </w:r>
      <w:r w:rsidRPr="00D11143">
        <w:rPr>
          <w:szCs w:val="24"/>
        </w:rPr>
        <w:t xml:space="preserve"> un citu Eiropas Komisijas iniciatīvu kā </w:t>
      </w:r>
      <w:proofErr w:type="spellStart"/>
      <w:r w:rsidR="00853FEB" w:rsidRPr="00D11143">
        <w:rPr>
          <w:szCs w:val="24"/>
        </w:rPr>
        <w:t>Copernicus</w:t>
      </w:r>
      <w:proofErr w:type="spellEnd"/>
      <w:r w:rsidRPr="00D11143">
        <w:rPr>
          <w:szCs w:val="24"/>
        </w:rPr>
        <w:t>/GEOSS un INSPIRE/</w:t>
      </w:r>
      <w:proofErr w:type="spellStart"/>
      <w:r w:rsidRPr="00D11143">
        <w:rPr>
          <w:szCs w:val="24"/>
        </w:rPr>
        <w:t>Copernicus</w:t>
      </w:r>
      <w:proofErr w:type="spellEnd"/>
      <w:r w:rsidRPr="00D11143">
        <w:rPr>
          <w:szCs w:val="24"/>
        </w:rPr>
        <w:t>/GEOSS pielietojamību.</w:t>
      </w:r>
    </w:p>
    <w:p w:rsidR="00424712" w:rsidRPr="00D11143" w:rsidRDefault="00424712" w:rsidP="00424712">
      <w:pPr>
        <w:spacing w:after="0" w:line="240" w:lineRule="auto"/>
        <w:jc w:val="both"/>
        <w:rPr>
          <w:szCs w:val="24"/>
        </w:rPr>
      </w:pPr>
    </w:p>
    <w:p w:rsidR="00424712" w:rsidRPr="00D11143" w:rsidRDefault="00424712" w:rsidP="00424712">
      <w:pPr>
        <w:spacing w:after="0" w:line="240" w:lineRule="auto"/>
        <w:jc w:val="both"/>
        <w:rPr>
          <w:szCs w:val="24"/>
        </w:rPr>
      </w:pPr>
      <w:r w:rsidRPr="00D11143">
        <w:rPr>
          <w:szCs w:val="24"/>
        </w:rPr>
        <w:t>Projekta ietvaros plānots:</w:t>
      </w:r>
    </w:p>
    <w:p w:rsidR="00424712" w:rsidRPr="00D11143" w:rsidRDefault="00260248" w:rsidP="004167A1">
      <w:pPr>
        <w:numPr>
          <w:ilvl w:val="0"/>
          <w:numId w:val="1"/>
        </w:numPr>
        <w:spacing w:after="0" w:line="240" w:lineRule="auto"/>
        <w:ind w:left="426" w:hanging="284"/>
        <w:jc w:val="both"/>
        <w:rPr>
          <w:szCs w:val="24"/>
        </w:rPr>
      </w:pPr>
      <w:r>
        <w:rPr>
          <w:szCs w:val="24"/>
        </w:rPr>
        <w:t>i</w:t>
      </w:r>
      <w:r w:rsidR="00424712" w:rsidRPr="00D11143">
        <w:rPr>
          <w:szCs w:val="24"/>
        </w:rPr>
        <w:t>zstrādāt jaunas paaudzes aplikācijas, izmantojot atvērtās ģeogrāfiskās informācijas saistītos datus;</w:t>
      </w:r>
    </w:p>
    <w:p w:rsidR="00424712" w:rsidRPr="00D11143" w:rsidRDefault="00260248" w:rsidP="004167A1">
      <w:pPr>
        <w:numPr>
          <w:ilvl w:val="0"/>
          <w:numId w:val="1"/>
        </w:numPr>
        <w:spacing w:after="0" w:line="240" w:lineRule="auto"/>
        <w:ind w:left="426" w:hanging="284"/>
        <w:jc w:val="both"/>
        <w:rPr>
          <w:szCs w:val="24"/>
        </w:rPr>
      </w:pPr>
      <w:r>
        <w:rPr>
          <w:szCs w:val="24"/>
        </w:rPr>
        <w:t>i</w:t>
      </w:r>
      <w:r w:rsidR="00424712" w:rsidRPr="00D11143">
        <w:rPr>
          <w:szCs w:val="24"/>
        </w:rPr>
        <w:t>zvērtēt telpisko datu infrastruktūras iespējas datu savietošanai un atpazīstamībai dažādās ierīcēs (GPS ierīces, viedtālruņos mobilās kamerās u.c. ierīcēs);</w:t>
      </w:r>
    </w:p>
    <w:p w:rsidR="00424712" w:rsidRPr="00D11143" w:rsidRDefault="00260248" w:rsidP="004167A1">
      <w:pPr>
        <w:numPr>
          <w:ilvl w:val="0"/>
          <w:numId w:val="1"/>
        </w:numPr>
        <w:spacing w:after="0" w:line="240" w:lineRule="auto"/>
        <w:ind w:left="426" w:hanging="284"/>
        <w:jc w:val="both"/>
        <w:rPr>
          <w:szCs w:val="24"/>
        </w:rPr>
      </w:pPr>
      <w:r>
        <w:rPr>
          <w:szCs w:val="24"/>
        </w:rPr>
        <w:t>i</w:t>
      </w:r>
      <w:r w:rsidR="00424712" w:rsidRPr="00D11143">
        <w:rPr>
          <w:szCs w:val="24"/>
        </w:rPr>
        <w:t>zstrādāt telpisko datu infrastruktūru dažādu mērījumu (sensori, mobilās ierīces) izmatošanai un savietošanai;</w:t>
      </w:r>
    </w:p>
    <w:p w:rsidR="00424712" w:rsidRPr="00D11143" w:rsidRDefault="00260248" w:rsidP="004167A1">
      <w:pPr>
        <w:numPr>
          <w:ilvl w:val="0"/>
          <w:numId w:val="1"/>
        </w:numPr>
        <w:spacing w:after="0" w:line="240" w:lineRule="auto"/>
        <w:ind w:left="426" w:hanging="284"/>
        <w:jc w:val="both"/>
        <w:rPr>
          <w:szCs w:val="24"/>
        </w:rPr>
      </w:pPr>
      <w:r>
        <w:rPr>
          <w:szCs w:val="24"/>
        </w:rPr>
        <w:t>i</w:t>
      </w:r>
      <w:r w:rsidR="00424712" w:rsidRPr="00D11143">
        <w:rPr>
          <w:szCs w:val="24"/>
        </w:rPr>
        <w:t>zstrādāt telpisko datu infrastruktūru atvērtā koda programmatūras pielāgošanai virtuālai/attālinātai (</w:t>
      </w:r>
      <w:proofErr w:type="spellStart"/>
      <w:r w:rsidR="00424712" w:rsidRPr="00024E21">
        <w:rPr>
          <w:i/>
          <w:szCs w:val="24"/>
        </w:rPr>
        <w:t>Cloud</w:t>
      </w:r>
      <w:proofErr w:type="spellEnd"/>
      <w:r w:rsidR="00424712" w:rsidRPr="00024E21">
        <w:rPr>
          <w:i/>
          <w:szCs w:val="24"/>
        </w:rPr>
        <w:t xml:space="preserve"> SDI</w:t>
      </w:r>
      <w:r w:rsidR="00424712" w:rsidRPr="00D11143">
        <w:rPr>
          <w:szCs w:val="24"/>
        </w:rPr>
        <w:t>) infrastruktūrai;</w:t>
      </w:r>
    </w:p>
    <w:p w:rsidR="00424712" w:rsidRPr="00D11143" w:rsidRDefault="00260248" w:rsidP="004167A1">
      <w:pPr>
        <w:numPr>
          <w:ilvl w:val="0"/>
          <w:numId w:val="1"/>
        </w:numPr>
        <w:spacing w:after="0" w:line="240" w:lineRule="auto"/>
        <w:ind w:left="426" w:hanging="284"/>
        <w:jc w:val="both"/>
        <w:rPr>
          <w:szCs w:val="24"/>
        </w:rPr>
      </w:pPr>
      <w:r>
        <w:rPr>
          <w:szCs w:val="24"/>
        </w:rPr>
        <w:t>i</w:t>
      </w:r>
      <w:r w:rsidR="00424712" w:rsidRPr="00D11143">
        <w:rPr>
          <w:szCs w:val="24"/>
        </w:rPr>
        <w:t>zstrādāt atvērtās ģeogrāfiskās informācijas saistīto datu aplikāciju vieglu izmantošanu ne tikai ģeogrāfiskās informācijas speciālistiem, bet arī uzņēmējiem un vietējiem iedzīvotājiem.</w:t>
      </w:r>
    </w:p>
    <w:p w:rsidR="00424712" w:rsidRPr="00815221" w:rsidRDefault="00424712" w:rsidP="00424712">
      <w:pPr>
        <w:autoSpaceDE w:val="0"/>
        <w:autoSpaceDN w:val="0"/>
        <w:adjustRightInd w:val="0"/>
        <w:spacing w:after="0" w:line="240" w:lineRule="auto"/>
        <w:jc w:val="both"/>
      </w:pPr>
    </w:p>
    <w:p w:rsidR="00424712" w:rsidRPr="00A2452E" w:rsidRDefault="00424712" w:rsidP="00424712">
      <w:pPr>
        <w:spacing w:after="0" w:line="240" w:lineRule="auto"/>
        <w:jc w:val="both"/>
        <w:rPr>
          <w:szCs w:val="24"/>
        </w:rPr>
      </w:pPr>
      <w:r w:rsidRPr="00A2452E">
        <w:rPr>
          <w:i/>
          <w:szCs w:val="24"/>
        </w:rPr>
        <w:t>Plānotie projekta rezultāti</w:t>
      </w:r>
      <w:r>
        <w:rPr>
          <w:i/>
          <w:szCs w:val="24"/>
        </w:rPr>
        <w:t xml:space="preserve">, </w:t>
      </w:r>
      <w:r w:rsidR="00853FEB">
        <w:rPr>
          <w:i/>
          <w:szCs w:val="24"/>
        </w:rPr>
        <w:t>VPR un ZPR</w:t>
      </w:r>
      <w:r>
        <w:rPr>
          <w:i/>
          <w:szCs w:val="24"/>
        </w:rPr>
        <w:t xml:space="preserve"> ieguvumi un pienesums</w:t>
      </w:r>
      <w:r w:rsidRPr="00A2452E">
        <w:rPr>
          <w:szCs w:val="24"/>
        </w:rPr>
        <w:t>:</w:t>
      </w:r>
    </w:p>
    <w:p w:rsidR="00424712" w:rsidRPr="00A2452E" w:rsidRDefault="00424712" w:rsidP="004167A1">
      <w:pPr>
        <w:numPr>
          <w:ilvl w:val="0"/>
          <w:numId w:val="1"/>
        </w:numPr>
        <w:spacing w:after="0" w:line="240" w:lineRule="auto"/>
        <w:ind w:left="426" w:hanging="284"/>
        <w:jc w:val="both"/>
        <w:rPr>
          <w:szCs w:val="24"/>
        </w:rPr>
      </w:pPr>
      <w:r w:rsidRPr="00A2452E">
        <w:rPr>
          <w:szCs w:val="24"/>
        </w:rPr>
        <w:t xml:space="preserve">pilnveidotas zināšanas par </w:t>
      </w:r>
      <w:proofErr w:type="spellStart"/>
      <w:r w:rsidR="00853FEB">
        <w:rPr>
          <w:szCs w:val="24"/>
        </w:rPr>
        <w:t>ģ</w:t>
      </w:r>
      <w:r w:rsidR="00E72653">
        <w:rPr>
          <w:szCs w:val="24"/>
        </w:rPr>
        <w:t>eoportālu</w:t>
      </w:r>
      <w:proofErr w:type="spellEnd"/>
      <w:r w:rsidRPr="00A2452E">
        <w:rPr>
          <w:szCs w:val="24"/>
        </w:rPr>
        <w:t xml:space="preserve"> izveidošanu un uzturēšanu;</w:t>
      </w:r>
    </w:p>
    <w:p w:rsidR="00424712" w:rsidRPr="00A2452E" w:rsidRDefault="00424712" w:rsidP="004167A1">
      <w:pPr>
        <w:numPr>
          <w:ilvl w:val="0"/>
          <w:numId w:val="1"/>
        </w:numPr>
        <w:spacing w:after="0" w:line="240" w:lineRule="auto"/>
        <w:ind w:left="426" w:hanging="284"/>
        <w:jc w:val="both"/>
        <w:rPr>
          <w:szCs w:val="24"/>
        </w:rPr>
      </w:pPr>
      <w:r w:rsidRPr="00A2452E">
        <w:rPr>
          <w:szCs w:val="24"/>
        </w:rPr>
        <w:t xml:space="preserve">iegūtas papildus prasmes par mobilo aplikāciju izmantošanu caur dažādām </w:t>
      </w:r>
      <w:proofErr w:type="spellStart"/>
      <w:r w:rsidRPr="00A2452E">
        <w:rPr>
          <w:szCs w:val="24"/>
        </w:rPr>
        <w:t>pilotaktivitātēm</w:t>
      </w:r>
      <w:proofErr w:type="spellEnd"/>
      <w:r w:rsidRPr="00A2452E">
        <w:rPr>
          <w:szCs w:val="24"/>
        </w:rPr>
        <w:t xml:space="preserve"> (viena no tām tiks īstenota arī VPR teritorijā);</w:t>
      </w:r>
    </w:p>
    <w:p w:rsidR="00424712" w:rsidRPr="00A2452E" w:rsidRDefault="00424712" w:rsidP="004167A1">
      <w:pPr>
        <w:numPr>
          <w:ilvl w:val="0"/>
          <w:numId w:val="1"/>
        </w:numPr>
        <w:spacing w:after="0" w:line="240" w:lineRule="auto"/>
        <w:ind w:left="426" w:hanging="284"/>
        <w:jc w:val="both"/>
        <w:rPr>
          <w:szCs w:val="24"/>
        </w:rPr>
      </w:pPr>
      <w:r w:rsidRPr="00A2452E">
        <w:rPr>
          <w:szCs w:val="24"/>
        </w:rPr>
        <w:lastRenderedPageBreak/>
        <w:t>iegūti jauni sadarbības partneri;</w:t>
      </w:r>
    </w:p>
    <w:p w:rsidR="00424712" w:rsidRPr="00A2452E" w:rsidRDefault="00424712" w:rsidP="004167A1">
      <w:pPr>
        <w:numPr>
          <w:ilvl w:val="0"/>
          <w:numId w:val="1"/>
        </w:numPr>
        <w:spacing w:after="0" w:line="240" w:lineRule="auto"/>
        <w:ind w:left="426" w:hanging="284"/>
        <w:jc w:val="both"/>
        <w:rPr>
          <w:szCs w:val="24"/>
        </w:rPr>
      </w:pPr>
      <w:r w:rsidRPr="00A2452E">
        <w:rPr>
          <w:szCs w:val="24"/>
        </w:rPr>
        <w:t>iegūta iespēja veidot un piedalīties jaunos projektos;</w:t>
      </w:r>
    </w:p>
    <w:p w:rsidR="00424712" w:rsidRPr="00A2452E" w:rsidRDefault="00424712" w:rsidP="004167A1">
      <w:pPr>
        <w:numPr>
          <w:ilvl w:val="0"/>
          <w:numId w:val="1"/>
        </w:numPr>
        <w:spacing w:after="0" w:line="240" w:lineRule="auto"/>
        <w:ind w:left="426" w:hanging="284"/>
        <w:jc w:val="both"/>
        <w:rPr>
          <w:szCs w:val="24"/>
        </w:rPr>
      </w:pPr>
      <w:r w:rsidRPr="00A2452E">
        <w:rPr>
          <w:szCs w:val="24"/>
        </w:rPr>
        <w:t xml:space="preserve">iegūta iespēja popularizēt </w:t>
      </w:r>
      <w:r w:rsidR="00853FEB">
        <w:rPr>
          <w:szCs w:val="24"/>
        </w:rPr>
        <w:t>VPR un ZPR</w:t>
      </w:r>
      <w:r w:rsidRPr="00A2452E">
        <w:rPr>
          <w:szCs w:val="24"/>
        </w:rPr>
        <w:t xml:space="preserve"> labās prakses un pieredzi starptautiskā līmenī;</w:t>
      </w:r>
    </w:p>
    <w:p w:rsidR="00424712" w:rsidRPr="00A2452E" w:rsidRDefault="00424712" w:rsidP="004167A1">
      <w:pPr>
        <w:numPr>
          <w:ilvl w:val="0"/>
          <w:numId w:val="1"/>
        </w:numPr>
        <w:spacing w:after="0" w:line="240" w:lineRule="auto"/>
        <w:ind w:left="426" w:hanging="284"/>
        <w:jc w:val="both"/>
        <w:rPr>
          <w:szCs w:val="24"/>
        </w:rPr>
      </w:pPr>
      <w:r w:rsidRPr="00A2452E">
        <w:rPr>
          <w:szCs w:val="24"/>
        </w:rPr>
        <w:t xml:space="preserve">informācijas platformas izveidošana, kas var tikt izmantota biznesa modelēšanai, nodrošinot ilgtspējīgu biznesa </w:t>
      </w:r>
      <w:r>
        <w:rPr>
          <w:szCs w:val="24"/>
        </w:rPr>
        <w:t>attīstību;</w:t>
      </w:r>
    </w:p>
    <w:p w:rsidR="00424712" w:rsidRPr="00A2452E" w:rsidRDefault="00853FEB" w:rsidP="004167A1">
      <w:pPr>
        <w:numPr>
          <w:ilvl w:val="0"/>
          <w:numId w:val="1"/>
        </w:numPr>
        <w:spacing w:after="0" w:line="240" w:lineRule="auto"/>
        <w:ind w:left="426" w:hanging="284"/>
        <w:jc w:val="both"/>
      </w:pPr>
      <w:proofErr w:type="spellStart"/>
      <w:r>
        <w:rPr>
          <w:szCs w:val="24"/>
        </w:rPr>
        <w:t>ģ</w:t>
      </w:r>
      <w:r w:rsidR="00424712" w:rsidRPr="004167A1">
        <w:rPr>
          <w:szCs w:val="24"/>
        </w:rPr>
        <w:t>eoportāla</w:t>
      </w:r>
      <w:proofErr w:type="spellEnd"/>
      <w:r w:rsidR="00424712" w:rsidRPr="00A2452E">
        <w:t xml:space="preserve"> tehniskās infrastruktūras un tematisko datu slānu pilnveidošana un uzturēšana</w:t>
      </w:r>
      <w:r w:rsidR="00424712">
        <w:t>;</w:t>
      </w:r>
    </w:p>
    <w:p w:rsidR="00424712" w:rsidRPr="00A2452E" w:rsidRDefault="00853FEB" w:rsidP="004167A1">
      <w:pPr>
        <w:numPr>
          <w:ilvl w:val="0"/>
          <w:numId w:val="1"/>
        </w:numPr>
        <w:spacing w:after="0" w:line="240" w:lineRule="auto"/>
        <w:ind w:left="426" w:hanging="284"/>
        <w:jc w:val="both"/>
        <w:rPr>
          <w:color w:val="000000"/>
        </w:rPr>
      </w:pPr>
      <w:r>
        <w:rPr>
          <w:szCs w:val="24"/>
        </w:rPr>
        <w:t>a</w:t>
      </w:r>
      <w:r w:rsidR="00424712" w:rsidRPr="004167A1">
        <w:rPr>
          <w:szCs w:val="24"/>
        </w:rPr>
        <w:t>tvērtās</w:t>
      </w:r>
      <w:r w:rsidR="00424712" w:rsidRPr="00A2452E">
        <w:t xml:space="preserve"> ģeogrāfiskās informācijas programmatūras pieejamība un izmantošana servisu veidā</w:t>
      </w:r>
      <w:r w:rsidR="00424712">
        <w:t>;</w:t>
      </w:r>
    </w:p>
    <w:p w:rsidR="00424712" w:rsidRPr="00245BF2" w:rsidRDefault="00853FEB" w:rsidP="004167A1">
      <w:pPr>
        <w:numPr>
          <w:ilvl w:val="0"/>
          <w:numId w:val="1"/>
        </w:numPr>
        <w:spacing w:after="0" w:line="240" w:lineRule="auto"/>
        <w:ind w:left="426" w:hanging="284"/>
        <w:jc w:val="both"/>
        <w:rPr>
          <w:b/>
          <w:color w:val="000000"/>
        </w:rPr>
      </w:pPr>
      <w:r>
        <w:t>m</w:t>
      </w:r>
      <w:r w:rsidR="00424712" w:rsidRPr="00A2452E">
        <w:t xml:space="preserve">obilo aplikāciju izmantošana tūrisma t.sk. velotūrisma maršrutiem </w:t>
      </w:r>
      <w:r w:rsidR="00AB07EF">
        <w:t>ZPR</w:t>
      </w:r>
      <w:r w:rsidR="00424712" w:rsidRPr="00A2452E">
        <w:t xml:space="preserve"> (plānots </w:t>
      </w:r>
      <w:r w:rsidR="00424712" w:rsidRPr="004167A1">
        <w:rPr>
          <w:szCs w:val="24"/>
        </w:rPr>
        <w:t>projektā</w:t>
      </w:r>
      <w:r w:rsidR="00424712" w:rsidRPr="00A2452E">
        <w:t xml:space="preserve"> </w:t>
      </w:r>
      <w:r w:rsidR="00424712" w:rsidRPr="00AB07EF">
        <w:t>„V</w:t>
      </w:r>
      <w:r w:rsidR="00424712" w:rsidRPr="00AB07EF">
        <w:rPr>
          <w:rStyle w:val="Emphasis"/>
          <w:bCs/>
          <w:i w:val="0"/>
        </w:rPr>
        <w:t>elotūrisma tīkla izveidošana un ieviešana Centrālajā Baltijā</w:t>
      </w:r>
      <w:r w:rsidR="00424712" w:rsidRPr="00841B45">
        <w:rPr>
          <w:rStyle w:val="Strong"/>
        </w:rPr>
        <w:t xml:space="preserve"> </w:t>
      </w:r>
      <w:r w:rsidR="00424712" w:rsidRPr="00841B45">
        <w:rPr>
          <w:rStyle w:val="Strong"/>
          <w:b w:val="0"/>
        </w:rPr>
        <w:t>(</w:t>
      </w:r>
      <w:proofErr w:type="spellStart"/>
      <w:r w:rsidR="00424712" w:rsidRPr="00841B45">
        <w:rPr>
          <w:rStyle w:val="Emphasis"/>
          <w:bCs/>
        </w:rPr>
        <w:t>Central</w:t>
      </w:r>
      <w:proofErr w:type="spellEnd"/>
      <w:r w:rsidR="00424712" w:rsidRPr="00841B45">
        <w:rPr>
          <w:rStyle w:val="Emphasis"/>
          <w:bCs/>
        </w:rPr>
        <w:t xml:space="preserve"> </w:t>
      </w:r>
      <w:proofErr w:type="spellStart"/>
      <w:r w:rsidR="00424712" w:rsidRPr="00841B45">
        <w:rPr>
          <w:rStyle w:val="Emphasis"/>
          <w:bCs/>
        </w:rPr>
        <w:t>Baltic</w:t>
      </w:r>
      <w:proofErr w:type="spellEnd"/>
      <w:r w:rsidR="00424712" w:rsidRPr="00841B45">
        <w:rPr>
          <w:rStyle w:val="Emphasis"/>
          <w:bCs/>
        </w:rPr>
        <w:t xml:space="preserve"> </w:t>
      </w:r>
      <w:proofErr w:type="spellStart"/>
      <w:r w:rsidR="00424712" w:rsidRPr="00841B45">
        <w:rPr>
          <w:rStyle w:val="Emphasis"/>
          <w:bCs/>
        </w:rPr>
        <w:t>Cycling</w:t>
      </w:r>
      <w:proofErr w:type="spellEnd"/>
      <w:r w:rsidR="00424712" w:rsidRPr="00841B45">
        <w:rPr>
          <w:rStyle w:val="Strong"/>
          <w:b w:val="0"/>
        </w:rPr>
        <w:t>)” izstrādāto velomaršrutu integrēšana mobilajā aplikācijā;</w:t>
      </w:r>
    </w:p>
    <w:p w:rsidR="00424712" w:rsidRPr="00A2452E" w:rsidRDefault="00853FEB" w:rsidP="004167A1">
      <w:pPr>
        <w:numPr>
          <w:ilvl w:val="0"/>
          <w:numId w:val="1"/>
        </w:numPr>
        <w:spacing w:after="0" w:line="240" w:lineRule="auto"/>
        <w:ind w:left="426" w:hanging="284"/>
        <w:jc w:val="both"/>
        <w:rPr>
          <w:color w:val="000000"/>
        </w:rPr>
      </w:pPr>
      <w:r>
        <w:rPr>
          <w:szCs w:val="24"/>
        </w:rPr>
        <w:t>d</w:t>
      </w:r>
      <w:r w:rsidR="00424712" w:rsidRPr="004167A1">
        <w:rPr>
          <w:szCs w:val="24"/>
        </w:rPr>
        <w:t>abas</w:t>
      </w:r>
      <w:r w:rsidR="00424712" w:rsidRPr="00A2452E">
        <w:rPr>
          <w:color w:val="000000"/>
        </w:rPr>
        <w:t xml:space="preserve"> aizsardzības datu un informācijas pieejamība</w:t>
      </w:r>
      <w:r w:rsidR="00424712">
        <w:rPr>
          <w:color w:val="000000"/>
        </w:rPr>
        <w:t>;</w:t>
      </w:r>
    </w:p>
    <w:p w:rsidR="00424712" w:rsidRPr="00A2452E" w:rsidRDefault="00853FEB" w:rsidP="004167A1">
      <w:pPr>
        <w:numPr>
          <w:ilvl w:val="0"/>
          <w:numId w:val="1"/>
        </w:numPr>
        <w:spacing w:after="0" w:line="240" w:lineRule="auto"/>
        <w:ind w:left="426" w:hanging="284"/>
        <w:jc w:val="both"/>
        <w:rPr>
          <w:color w:val="000000"/>
        </w:rPr>
      </w:pPr>
      <w:r>
        <w:rPr>
          <w:color w:val="000000"/>
        </w:rPr>
        <w:t>p</w:t>
      </w:r>
      <w:r w:rsidR="00424712" w:rsidRPr="00A2452E">
        <w:rPr>
          <w:color w:val="000000"/>
        </w:rPr>
        <w:t xml:space="preserve">ieeja </w:t>
      </w:r>
      <w:r w:rsidR="00424712" w:rsidRPr="004167A1">
        <w:rPr>
          <w:szCs w:val="24"/>
        </w:rPr>
        <w:t>atvērtajām</w:t>
      </w:r>
      <w:r w:rsidR="00424712" w:rsidRPr="00A2452E">
        <w:rPr>
          <w:color w:val="000000"/>
        </w:rPr>
        <w:t xml:space="preserve"> zemes izmantošanas kartēm</w:t>
      </w:r>
      <w:r w:rsidR="00424712">
        <w:rPr>
          <w:color w:val="000000"/>
        </w:rPr>
        <w:t>;</w:t>
      </w:r>
    </w:p>
    <w:p w:rsidR="00424712" w:rsidRPr="00A2452E" w:rsidRDefault="00853FEB" w:rsidP="004167A1">
      <w:pPr>
        <w:numPr>
          <w:ilvl w:val="0"/>
          <w:numId w:val="1"/>
        </w:numPr>
        <w:spacing w:after="0" w:line="240" w:lineRule="auto"/>
        <w:ind w:left="426" w:hanging="284"/>
        <w:jc w:val="both"/>
      </w:pPr>
      <w:r>
        <w:t>i</w:t>
      </w:r>
      <w:r w:rsidR="00424712" w:rsidRPr="00A2452E">
        <w:t xml:space="preserve">espēja </w:t>
      </w:r>
      <w:r w:rsidR="00424712" w:rsidRPr="004167A1">
        <w:rPr>
          <w:szCs w:val="24"/>
        </w:rPr>
        <w:t>iesaistīties</w:t>
      </w:r>
      <w:r w:rsidR="00424712" w:rsidRPr="00A2452E">
        <w:t xml:space="preserve"> jaunās tīkla organizācijās</w:t>
      </w:r>
      <w:r w:rsidR="00841B45">
        <w:t>;</w:t>
      </w:r>
    </w:p>
    <w:p w:rsidR="00424712" w:rsidRDefault="00853FEB" w:rsidP="004167A1">
      <w:pPr>
        <w:numPr>
          <w:ilvl w:val="0"/>
          <w:numId w:val="1"/>
        </w:numPr>
        <w:spacing w:after="0" w:line="240" w:lineRule="auto"/>
        <w:ind w:left="426" w:hanging="284"/>
        <w:jc w:val="both"/>
      </w:pPr>
      <w:r>
        <w:t>i</w:t>
      </w:r>
      <w:r w:rsidR="00424712" w:rsidRPr="00A2452E">
        <w:t>espēja gūt pieredzi no kolēģiem, kontaktu veidošana ar profesionāļiem telpiskās plānošanas jomā</w:t>
      </w:r>
      <w:r w:rsidR="00841B45">
        <w:t>.</w:t>
      </w:r>
    </w:p>
    <w:p w:rsidR="00841B45" w:rsidRDefault="00841B45" w:rsidP="00024E21">
      <w:pPr>
        <w:pStyle w:val="NoSpacing"/>
        <w:jc w:val="both"/>
      </w:pPr>
    </w:p>
    <w:p w:rsidR="00424712" w:rsidRDefault="00424712" w:rsidP="00841B45">
      <w:pPr>
        <w:autoSpaceDE w:val="0"/>
        <w:autoSpaceDN w:val="0"/>
        <w:adjustRightInd w:val="0"/>
        <w:spacing w:after="0" w:line="240" w:lineRule="auto"/>
        <w:jc w:val="both"/>
        <w:rPr>
          <w:szCs w:val="24"/>
        </w:rPr>
      </w:pPr>
      <w:r>
        <w:rPr>
          <w:szCs w:val="24"/>
        </w:rPr>
        <w:t>P</w:t>
      </w:r>
      <w:r w:rsidRPr="00A2452E">
        <w:rPr>
          <w:szCs w:val="24"/>
        </w:rPr>
        <w:t>rojekta ietvaros izstrādātie risinājumi tiks vērsti uz dažādām interesentu grupām kā ekspertiem, vietējiem iedzīvotājiem, nevalstisko organizāciju pārstāvjiem, uzņēmējiem, kas projekta ietvaros apkopotos telpiskos datus varēs izmantot dažādu jomu attīstības veicināšanai un informācijas ērtākai lietošanai.</w:t>
      </w:r>
      <w:r>
        <w:rPr>
          <w:szCs w:val="24"/>
        </w:rPr>
        <w:t xml:space="preserve"> </w:t>
      </w:r>
      <w:r w:rsidRPr="00A2452E">
        <w:rPr>
          <w:szCs w:val="24"/>
        </w:rPr>
        <w:t xml:space="preserve">Projekta rezultātus varēs izmantot </w:t>
      </w:r>
      <w:r>
        <w:rPr>
          <w:szCs w:val="24"/>
        </w:rPr>
        <w:t xml:space="preserve">Vidzemes un </w:t>
      </w:r>
      <w:r w:rsidRPr="00A2452E">
        <w:rPr>
          <w:szCs w:val="24"/>
        </w:rPr>
        <w:t xml:space="preserve">Zemgales reģiona pašvaldības, ikviens </w:t>
      </w:r>
      <w:proofErr w:type="spellStart"/>
      <w:r w:rsidR="00853FEB">
        <w:rPr>
          <w:szCs w:val="24"/>
        </w:rPr>
        <w:t>ģ</w:t>
      </w:r>
      <w:r w:rsidRPr="00A2452E">
        <w:rPr>
          <w:szCs w:val="24"/>
        </w:rPr>
        <w:t>eoportāla</w:t>
      </w:r>
      <w:proofErr w:type="spellEnd"/>
      <w:r w:rsidRPr="00A2452E">
        <w:rPr>
          <w:szCs w:val="24"/>
        </w:rPr>
        <w:t xml:space="preserve"> lietotājs</w:t>
      </w:r>
      <w:r w:rsidR="00AB07EF">
        <w:rPr>
          <w:szCs w:val="24"/>
        </w:rPr>
        <w:t xml:space="preserve"> </w:t>
      </w:r>
      <w:r w:rsidRPr="00A2452E">
        <w:rPr>
          <w:szCs w:val="24"/>
        </w:rPr>
        <w:t xml:space="preserve">(pašvaldību darbinieks, uzņēmējs, iedzīvotājs, mobilās aplikācijas </w:t>
      </w:r>
      <w:r w:rsidR="00841B45" w:rsidRPr="00A2452E">
        <w:rPr>
          <w:szCs w:val="24"/>
        </w:rPr>
        <w:t>arī</w:t>
      </w:r>
      <w:r w:rsidRPr="00A2452E">
        <w:rPr>
          <w:szCs w:val="24"/>
        </w:rPr>
        <w:t xml:space="preserve"> ikviens L</w:t>
      </w:r>
      <w:r w:rsidR="00AB07EF">
        <w:rPr>
          <w:szCs w:val="24"/>
        </w:rPr>
        <w:t>atvijas</w:t>
      </w:r>
      <w:r w:rsidRPr="00A2452E">
        <w:rPr>
          <w:szCs w:val="24"/>
        </w:rPr>
        <w:t xml:space="preserve"> un ārzemju interesents, kurš velēsies lejuplādēt aplikācijas</w:t>
      </w:r>
      <w:r w:rsidR="00AB07EF">
        <w:rPr>
          <w:szCs w:val="24"/>
        </w:rPr>
        <w:t>)</w:t>
      </w:r>
      <w:r w:rsidRPr="00A2452E">
        <w:rPr>
          <w:szCs w:val="24"/>
        </w:rPr>
        <w:t>.</w:t>
      </w:r>
    </w:p>
    <w:p w:rsidR="00424712" w:rsidRDefault="00424712" w:rsidP="00424712">
      <w:pPr>
        <w:autoSpaceDE w:val="0"/>
        <w:autoSpaceDN w:val="0"/>
        <w:adjustRightInd w:val="0"/>
        <w:spacing w:after="0" w:line="240" w:lineRule="auto"/>
        <w:jc w:val="both"/>
        <w:rPr>
          <w:szCs w:val="24"/>
        </w:rPr>
      </w:pPr>
    </w:p>
    <w:p w:rsidR="00424712" w:rsidRDefault="00424712" w:rsidP="00424712">
      <w:pPr>
        <w:spacing w:after="0" w:line="240" w:lineRule="auto"/>
        <w:jc w:val="both"/>
      </w:pPr>
      <w:r>
        <w:t xml:space="preserve">Pašvaldību paredzamā loma projektā ir ieinteresēto pašvaldību telpisko datu sniegšana, saņemot pieeju platformai un platformas pakalpojumiem. Plānošanas reģioni nodrošinās teritorijas datu reprezentāciju projekta platformā. Pašvaldību teritorijas un attīstības plānotāji tiks iesaistīti Reģionu </w:t>
      </w:r>
      <w:proofErr w:type="spellStart"/>
      <w:r>
        <w:t>pilotaktivitāšu</w:t>
      </w:r>
      <w:proofErr w:type="spellEnd"/>
      <w:r>
        <w:t xml:space="preserve"> testēšanā (t.i. plānotāji tiks aicināti izmēģināt izstrādātās aplikācijas un izteikt savus komentārus par funkcionalitāti, uztveramību un pielietojamību</w:t>
      </w:r>
      <w:r w:rsidR="00FE244D">
        <w:t>)</w:t>
      </w:r>
      <w:r>
        <w:t xml:space="preserve">. Ieteikumu rezultātā tiks pilnveidotas izstrādātās aplikācijas projekta laikā. Pēc projekta pašvaldībām būs iespēja izmantot </w:t>
      </w:r>
      <w:proofErr w:type="spellStart"/>
      <w:r>
        <w:t>pilotaktivitāšu</w:t>
      </w:r>
      <w:proofErr w:type="spellEnd"/>
      <w:r>
        <w:t xml:space="preserve"> rezultātā izstrādātās aplikācijas kā pamatu tālākai pilnveidošanai/attīstībai un modificēt atbilstoši savām vajadzībām. Pašvaldībām tiks nodrošināta iespēja izmantot ne tikai </w:t>
      </w:r>
      <w:r w:rsidR="00853FEB">
        <w:t>Latvijas</w:t>
      </w:r>
      <w:r>
        <w:t xml:space="preserve"> partneru izstrādātās aplikācijas, bet arī citu tehnisko un </w:t>
      </w:r>
      <w:proofErr w:type="spellStart"/>
      <w:r>
        <w:t>pilotpartneru</w:t>
      </w:r>
      <w:proofErr w:type="spellEnd"/>
      <w:r>
        <w:t xml:space="preserve"> risinājumus.</w:t>
      </w:r>
      <w:r w:rsidR="00AB07EF">
        <w:t xml:space="preserve"> Turklāt</w:t>
      </w:r>
      <w:r>
        <w:t xml:space="preserve"> vietējās </w:t>
      </w:r>
      <w:r w:rsidR="00853FEB">
        <w:t>pašvaldības tiks iesaistītas 2. </w:t>
      </w:r>
      <w:r>
        <w:t xml:space="preserve">darba pakā </w:t>
      </w:r>
      <w:r w:rsidRPr="00AB07EF">
        <w:rPr>
          <w:i/>
        </w:rPr>
        <w:t>„</w:t>
      </w:r>
      <w:proofErr w:type="spellStart"/>
      <w:r w:rsidRPr="00AB07EF">
        <w:rPr>
          <w:i/>
        </w:rPr>
        <w:t>Community</w:t>
      </w:r>
      <w:proofErr w:type="spellEnd"/>
      <w:r w:rsidRPr="00AB07EF">
        <w:rPr>
          <w:i/>
        </w:rPr>
        <w:t xml:space="preserve"> </w:t>
      </w:r>
      <w:proofErr w:type="spellStart"/>
      <w:r w:rsidRPr="00AB07EF">
        <w:rPr>
          <w:i/>
        </w:rPr>
        <w:t>Building</w:t>
      </w:r>
      <w:proofErr w:type="spellEnd"/>
      <w:r w:rsidRPr="00AB07EF">
        <w:rPr>
          <w:i/>
        </w:rPr>
        <w:t xml:space="preserve"> </w:t>
      </w:r>
      <w:proofErr w:type="spellStart"/>
      <w:r w:rsidRPr="00AB07EF">
        <w:rPr>
          <w:i/>
        </w:rPr>
        <w:t>and</w:t>
      </w:r>
      <w:proofErr w:type="spellEnd"/>
      <w:r w:rsidRPr="00AB07EF">
        <w:rPr>
          <w:i/>
        </w:rPr>
        <w:t xml:space="preserve"> </w:t>
      </w:r>
      <w:proofErr w:type="spellStart"/>
      <w:r w:rsidRPr="00AB07EF">
        <w:rPr>
          <w:i/>
        </w:rPr>
        <w:t>Social</w:t>
      </w:r>
      <w:proofErr w:type="spellEnd"/>
      <w:r w:rsidRPr="00AB07EF">
        <w:rPr>
          <w:i/>
        </w:rPr>
        <w:t xml:space="preserve"> </w:t>
      </w:r>
      <w:proofErr w:type="spellStart"/>
      <w:r w:rsidRPr="00AB07EF">
        <w:rPr>
          <w:i/>
        </w:rPr>
        <w:t>Validation</w:t>
      </w:r>
      <w:proofErr w:type="spellEnd"/>
      <w:r w:rsidRPr="00AB07EF">
        <w:rPr>
          <w:i/>
        </w:rPr>
        <w:t>”</w:t>
      </w:r>
      <w:r w:rsidR="00853FEB">
        <w:t xml:space="preserve"> un 8. </w:t>
      </w:r>
      <w:r>
        <w:t>darba pakā</w:t>
      </w:r>
      <w:r w:rsidRPr="008E25FB">
        <w:t xml:space="preserve"> </w:t>
      </w:r>
      <w:r w:rsidRPr="00AB07EF">
        <w:rPr>
          <w:i/>
        </w:rPr>
        <w:t>„</w:t>
      </w:r>
      <w:proofErr w:type="spellStart"/>
      <w:r w:rsidRPr="00AB07EF">
        <w:rPr>
          <w:i/>
        </w:rPr>
        <w:t>Dissemination</w:t>
      </w:r>
      <w:proofErr w:type="spellEnd"/>
      <w:r w:rsidRPr="00AB07EF">
        <w:rPr>
          <w:i/>
        </w:rPr>
        <w:t>”</w:t>
      </w:r>
      <w:r>
        <w:t xml:space="preserve"> kā viena no būtiskām mērķauditorijām. </w:t>
      </w:r>
    </w:p>
    <w:p w:rsidR="00424712" w:rsidRDefault="00424712" w:rsidP="00424712">
      <w:pPr>
        <w:autoSpaceDE w:val="0"/>
        <w:autoSpaceDN w:val="0"/>
        <w:adjustRightInd w:val="0"/>
        <w:spacing w:after="0" w:line="240" w:lineRule="auto"/>
        <w:ind w:left="714"/>
        <w:jc w:val="both"/>
        <w:rPr>
          <w:szCs w:val="24"/>
        </w:rPr>
      </w:pPr>
    </w:p>
    <w:p w:rsidR="00424712" w:rsidRPr="00982C23" w:rsidRDefault="00424712" w:rsidP="00424712">
      <w:pPr>
        <w:pStyle w:val="PlainText"/>
        <w:jc w:val="both"/>
        <w:rPr>
          <w:rFonts w:ascii="Times New Roman" w:hAnsi="Times New Roman" w:cs="Times New Roman"/>
          <w:sz w:val="24"/>
          <w:szCs w:val="24"/>
        </w:rPr>
      </w:pPr>
      <w:r w:rsidRPr="00982C23">
        <w:rPr>
          <w:rFonts w:ascii="Times New Roman" w:hAnsi="Times New Roman" w:cs="Times New Roman"/>
          <w:sz w:val="24"/>
          <w:szCs w:val="24"/>
        </w:rPr>
        <w:t>Projekta galvenie ieguvumi Latvijai būs datu harmonizēšana un datu koplietošana ar OGC („Atvērtais Ģeotelpiskais Konsorcijs”,</w:t>
      </w:r>
      <w:r>
        <w:rPr>
          <w:rFonts w:ascii="Times New Roman" w:hAnsi="Times New Roman" w:cs="Times New Roman"/>
          <w:sz w:val="24"/>
          <w:szCs w:val="24"/>
        </w:rPr>
        <w:t xml:space="preserve"> </w:t>
      </w:r>
      <w:r w:rsidRPr="00982C23">
        <w:rPr>
          <w:rFonts w:ascii="Times New Roman" w:hAnsi="Times New Roman" w:cs="Times New Roman"/>
          <w:sz w:val="24"/>
          <w:szCs w:val="24"/>
        </w:rPr>
        <w:t>(</w:t>
      </w:r>
      <w:proofErr w:type="spellStart"/>
      <w:r w:rsidRPr="00AB07EF">
        <w:rPr>
          <w:rFonts w:ascii="Times New Roman" w:hAnsi="Times New Roman" w:cs="Times New Roman"/>
          <w:i/>
          <w:sz w:val="24"/>
          <w:szCs w:val="24"/>
        </w:rPr>
        <w:t>Open</w:t>
      </w:r>
      <w:proofErr w:type="spellEnd"/>
      <w:r w:rsidRPr="00AB07EF">
        <w:rPr>
          <w:rFonts w:ascii="Times New Roman" w:hAnsi="Times New Roman" w:cs="Times New Roman"/>
          <w:i/>
          <w:sz w:val="24"/>
          <w:szCs w:val="24"/>
        </w:rPr>
        <w:t xml:space="preserve"> </w:t>
      </w:r>
      <w:proofErr w:type="spellStart"/>
      <w:r w:rsidRPr="00AB07EF">
        <w:rPr>
          <w:rFonts w:ascii="Times New Roman" w:hAnsi="Times New Roman" w:cs="Times New Roman"/>
          <w:i/>
          <w:sz w:val="24"/>
          <w:szCs w:val="24"/>
        </w:rPr>
        <w:t>Geospatial</w:t>
      </w:r>
      <w:proofErr w:type="spellEnd"/>
      <w:r w:rsidRPr="00AB07EF">
        <w:rPr>
          <w:rFonts w:ascii="Times New Roman" w:hAnsi="Times New Roman" w:cs="Times New Roman"/>
          <w:i/>
          <w:sz w:val="24"/>
          <w:szCs w:val="24"/>
        </w:rPr>
        <w:t xml:space="preserve"> </w:t>
      </w:r>
      <w:proofErr w:type="spellStart"/>
      <w:r w:rsidRPr="00AB07EF">
        <w:rPr>
          <w:rFonts w:ascii="Times New Roman" w:hAnsi="Times New Roman" w:cs="Times New Roman"/>
          <w:i/>
          <w:sz w:val="24"/>
          <w:szCs w:val="24"/>
        </w:rPr>
        <w:t>Consortium</w:t>
      </w:r>
      <w:proofErr w:type="spellEnd"/>
      <w:r w:rsidRPr="00982C23">
        <w:rPr>
          <w:rFonts w:ascii="Times New Roman" w:hAnsi="Times New Roman" w:cs="Times New Roman"/>
          <w:sz w:val="24"/>
          <w:szCs w:val="24"/>
        </w:rPr>
        <w:t xml:space="preserve">), kas definē ģeotelpisko informācijas sistēmu standartus) standartu palīdzību, pieeja datiem ar </w:t>
      </w:r>
      <w:proofErr w:type="spellStart"/>
      <w:r w:rsidRPr="00982C23">
        <w:rPr>
          <w:rFonts w:ascii="Times New Roman" w:hAnsi="Times New Roman" w:cs="Times New Roman"/>
          <w:sz w:val="24"/>
          <w:szCs w:val="24"/>
        </w:rPr>
        <w:t>APIs</w:t>
      </w:r>
      <w:proofErr w:type="spellEnd"/>
      <w:r w:rsidRPr="00982C23">
        <w:rPr>
          <w:rFonts w:ascii="Times New Roman" w:hAnsi="Times New Roman" w:cs="Times New Roman"/>
          <w:sz w:val="24"/>
          <w:szCs w:val="24"/>
        </w:rPr>
        <w:t xml:space="preserve"> - interfeisa programmatūras palīdzību, atvērto datu atkārtota izmantošana</w:t>
      </w:r>
      <w:r>
        <w:rPr>
          <w:rFonts w:ascii="Times New Roman" w:hAnsi="Times New Roman" w:cs="Times New Roman"/>
          <w:sz w:val="24"/>
          <w:szCs w:val="24"/>
        </w:rPr>
        <w:t xml:space="preserve"> </w:t>
      </w:r>
      <w:r w:rsidR="00024E21">
        <w:rPr>
          <w:rFonts w:ascii="Times New Roman" w:hAnsi="Times New Roman" w:cs="Times New Roman"/>
          <w:sz w:val="24"/>
          <w:szCs w:val="24"/>
        </w:rPr>
        <w:t>„</w:t>
      </w:r>
      <w:r w:rsidRPr="00982C23">
        <w:rPr>
          <w:rFonts w:ascii="Times New Roman" w:hAnsi="Times New Roman" w:cs="Times New Roman"/>
          <w:sz w:val="24"/>
          <w:szCs w:val="24"/>
        </w:rPr>
        <w:t>trešajām personām</w:t>
      </w:r>
      <w:r w:rsidR="00024E21">
        <w:rPr>
          <w:rFonts w:ascii="Times New Roman" w:hAnsi="Times New Roman" w:cs="Times New Roman"/>
          <w:sz w:val="24"/>
          <w:szCs w:val="24"/>
        </w:rPr>
        <w:t xml:space="preserve">”, </w:t>
      </w:r>
      <w:r w:rsidRPr="00982C23">
        <w:rPr>
          <w:rFonts w:ascii="Times New Roman" w:hAnsi="Times New Roman" w:cs="Times New Roman"/>
          <w:sz w:val="24"/>
          <w:szCs w:val="24"/>
        </w:rPr>
        <w:t>t</w:t>
      </w:r>
      <w:r w:rsidR="00024E21">
        <w:rPr>
          <w:rFonts w:ascii="Times New Roman" w:hAnsi="Times New Roman" w:cs="Times New Roman"/>
          <w:sz w:val="24"/>
          <w:szCs w:val="24"/>
        </w:rPr>
        <w:t xml:space="preserve">ajā </w:t>
      </w:r>
      <w:r w:rsidR="00024E21" w:rsidRPr="008133B8">
        <w:rPr>
          <w:rFonts w:ascii="Times New Roman" w:hAnsi="Times New Roman" w:cs="Times New Roman"/>
          <w:sz w:val="24"/>
          <w:szCs w:val="24"/>
        </w:rPr>
        <w:t>skaitā</w:t>
      </w:r>
      <w:r w:rsidRPr="008133B8">
        <w:rPr>
          <w:rFonts w:ascii="Times New Roman" w:hAnsi="Times New Roman" w:cs="Times New Roman"/>
          <w:sz w:val="24"/>
          <w:szCs w:val="24"/>
        </w:rPr>
        <w:t xml:space="preserve"> </w:t>
      </w:r>
      <w:r w:rsidR="008133B8">
        <w:rPr>
          <w:rFonts w:ascii="Times New Roman" w:hAnsi="Times New Roman" w:cs="Times New Roman"/>
          <w:sz w:val="24"/>
          <w:szCs w:val="24"/>
        </w:rPr>
        <w:t>i</w:t>
      </w:r>
      <w:r w:rsidR="008133B8" w:rsidRPr="008133B8">
        <w:rPr>
          <w:rFonts w:ascii="Times New Roman" w:hAnsi="Times New Roman" w:cs="Times New Roman"/>
          <w:sz w:val="24"/>
          <w:szCs w:val="24"/>
        </w:rPr>
        <w:t xml:space="preserve">nformācijas un telekomunikāciju tehnoloģiju </w:t>
      </w:r>
      <w:r w:rsidRPr="008133B8">
        <w:rPr>
          <w:rFonts w:ascii="Times New Roman" w:hAnsi="Times New Roman" w:cs="Times New Roman"/>
          <w:sz w:val="24"/>
          <w:szCs w:val="24"/>
        </w:rPr>
        <w:t>nozares</w:t>
      </w:r>
      <w:r w:rsidRPr="00982C23">
        <w:rPr>
          <w:rFonts w:ascii="Times New Roman" w:hAnsi="Times New Roman" w:cs="Times New Roman"/>
          <w:sz w:val="24"/>
          <w:szCs w:val="24"/>
        </w:rPr>
        <w:t xml:space="preserve"> uzņēmumiem, kas uz šo datu bāzes var izstrādāt aplikācijas, tādējādi radot ekonomiskās izaugsmes iespējas</w:t>
      </w:r>
      <w:r w:rsidRPr="00982C23">
        <w:rPr>
          <w:rFonts w:ascii="Times New Roman" w:hAnsi="Times New Roman" w:cs="Times New Roman"/>
          <w:i/>
          <w:sz w:val="24"/>
          <w:szCs w:val="24"/>
        </w:rPr>
        <w:t xml:space="preserve">. </w:t>
      </w:r>
    </w:p>
    <w:p w:rsidR="00424712" w:rsidRPr="00982C23" w:rsidRDefault="00424712" w:rsidP="00424712">
      <w:pPr>
        <w:pStyle w:val="PlainText"/>
        <w:jc w:val="both"/>
        <w:rPr>
          <w:rFonts w:ascii="Times New Roman" w:hAnsi="Times New Roman" w:cs="Times New Roman"/>
          <w:sz w:val="24"/>
          <w:szCs w:val="24"/>
        </w:rPr>
      </w:pPr>
    </w:p>
    <w:p w:rsidR="00424712" w:rsidRPr="00982C23" w:rsidRDefault="00424712" w:rsidP="00424712">
      <w:pPr>
        <w:pStyle w:val="PlainText"/>
        <w:jc w:val="both"/>
        <w:rPr>
          <w:rFonts w:ascii="Times New Roman" w:hAnsi="Times New Roman" w:cs="Times New Roman"/>
          <w:sz w:val="24"/>
          <w:szCs w:val="24"/>
        </w:rPr>
      </w:pPr>
      <w:r w:rsidRPr="00982C23">
        <w:rPr>
          <w:rFonts w:ascii="Times New Roman" w:hAnsi="Times New Roman" w:cs="Times New Roman"/>
          <w:sz w:val="24"/>
          <w:szCs w:val="24"/>
        </w:rPr>
        <w:t xml:space="preserve">Dati būs pieejami arī Latvijas </w:t>
      </w:r>
      <w:proofErr w:type="spellStart"/>
      <w:r>
        <w:rPr>
          <w:rFonts w:ascii="Times New Roman" w:hAnsi="Times New Roman" w:cs="Times New Roman"/>
          <w:sz w:val="24"/>
          <w:szCs w:val="24"/>
        </w:rPr>
        <w:t>ģeoportālā</w:t>
      </w:r>
      <w:proofErr w:type="spellEnd"/>
      <w:r w:rsidRPr="00982C23">
        <w:rPr>
          <w:rFonts w:ascii="Times New Roman" w:hAnsi="Times New Roman" w:cs="Times New Roman"/>
          <w:sz w:val="24"/>
          <w:szCs w:val="24"/>
        </w:rPr>
        <w:t xml:space="preserve">.  Ja portāls atbalstīs šos OGC servisus, tad arī ir iespējama datubāzes savietojamība ar Teritorijas attīstības plānošanas un informācijas sistēmu </w:t>
      </w:r>
      <w:r w:rsidR="008133B8">
        <w:rPr>
          <w:rFonts w:ascii="Times New Roman" w:hAnsi="Times New Roman" w:cs="Times New Roman"/>
          <w:sz w:val="24"/>
          <w:szCs w:val="24"/>
        </w:rPr>
        <w:t>(</w:t>
      </w:r>
      <w:r w:rsidRPr="008133B8">
        <w:rPr>
          <w:rFonts w:ascii="Times New Roman" w:hAnsi="Times New Roman" w:cs="Times New Roman"/>
          <w:i/>
          <w:sz w:val="24"/>
          <w:szCs w:val="24"/>
        </w:rPr>
        <w:t>TAPIS</w:t>
      </w:r>
      <w:r w:rsidR="008133B8">
        <w:rPr>
          <w:rFonts w:ascii="Times New Roman" w:hAnsi="Times New Roman" w:cs="Times New Roman"/>
          <w:sz w:val="24"/>
          <w:szCs w:val="24"/>
        </w:rPr>
        <w:t>)</w:t>
      </w:r>
      <w:r w:rsidRPr="00982C23">
        <w:rPr>
          <w:rFonts w:ascii="Times New Roman" w:hAnsi="Times New Roman" w:cs="Times New Roman"/>
          <w:sz w:val="24"/>
          <w:szCs w:val="24"/>
        </w:rPr>
        <w:t xml:space="preserve">.  </w:t>
      </w:r>
    </w:p>
    <w:p w:rsidR="00424712" w:rsidRPr="00D11143" w:rsidRDefault="00424712" w:rsidP="00424712">
      <w:pPr>
        <w:spacing w:after="0" w:line="240" w:lineRule="auto"/>
        <w:ind w:left="9"/>
        <w:jc w:val="both"/>
        <w:rPr>
          <w:szCs w:val="24"/>
        </w:rPr>
      </w:pPr>
    </w:p>
    <w:p w:rsidR="00424712" w:rsidRPr="00D11143" w:rsidRDefault="00424712" w:rsidP="00424712">
      <w:pPr>
        <w:spacing w:after="0" w:line="240" w:lineRule="auto"/>
        <w:jc w:val="both"/>
        <w:rPr>
          <w:b/>
          <w:szCs w:val="24"/>
        </w:rPr>
      </w:pPr>
      <w:r w:rsidRPr="00D11143">
        <w:rPr>
          <w:b/>
          <w:szCs w:val="24"/>
        </w:rPr>
        <w:lastRenderedPageBreak/>
        <w:t>IV Projekta īstenošanai paredzētais finansējuma apjoms un tā sadalījums</w:t>
      </w:r>
    </w:p>
    <w:p w:rsidR="00424712" w:rsidRPr="00D11143" w:rsidRDefault="00424712" w:rsidP="00424712">
      <w:pPr>
        <w:tabs>
          <w:tab w:val="left" w:pos="0"/>
        </w:tabs>
        <w:spacing w:after="0" w:line="240" w:lineRule="auto"/>
        <w:ind w:firstLine="539"/>
        <w:jc w:val="both"/>
        <w:rPr>
          <w:b/>
          <w:szCs w:val="24"/>
        </w:rPr>
      </w:pPr>
    </w:p>
    <w:p w:rsidR="00424712" w:rsidRPr="00D11143" w:rsidRDefault="00424712" w:rsidP="00424712">
      <w:pPr>
        <w:pStyle w:val="naiskr"/>
        <w:spacing w:before="0" w:after="0"/>
        <w:jc w:val="both"/>
      </w:pPr>
      <w:r w:rsidRPr="00D11143">
        <w:t>Projekta kopējais budžets ir 4 070 000 </w:t>
      </w:r>
      <w:r w:rsidRPr="00D11143">
        <w:rPr>
          <w:i/>
        </w:rPr>
        <w:t>euro</w:t>
      </w:r>
      <w:r w:rsidRPr="00D11143">
        <w:t>.</w:t>
      </w:r>
    </w:p>
    <w:p w:rsidR="00424712" w:rsidRPr="00D11143" w:rsidRDefault="00424712" w:rsidP="00424712">
      <w:pPr>
        <w:pStyle w:val="naiskr"/>
        <w:spacing w:before="0" w:after="0"/>
        <w:jc w:val="both"/>
      </w:pPr>
    </w:p>
    <w:p w:rsidR="00B430CC" w:rsidRPr="00D11143" w:rsidRDefault="00B430CC" w:rsidP="00B430CC">
      <w:pPr>
        <w:spacing w:after="0" w:line="240" w:lineRule="auto"/>
        <w:jc w:val="both"/>
        <w:rPr>
          <w:szCs w:val="24"/>
        </w:rPr>
      </w:pPr>
      <w:r w:rsidRPr="00815221">
        <w:t xml:space="preserve">ZPR apstiprinātais kopējais finansējums ir </w:t>
      </w:r>
      <w:r w:rsidRPr="00D11143">
        <w:rPr>
          <w:szCs w:val="24"/>
          <w:lang w:eastAsia="lv-LV"/>
        </w:rPr>
        <w:t xml:space="preserve">181 230 </w:t>
      </w:r>
      <w:r w:rsidRPr="00D11143">
        <w:rPr>
          <w:i/>
          <w:szCs w:val="24"/>
        </w:rPr>
        <w:t>euro</w:t>
      </w:r>
      <w:r w:rsidRPr="00D11143">
        <w:rPr>
          <w:szCs w:val="24"/>
        </w:rPr>
        <w:t xml:space="preserve"> apmērā, tajā skaitā </w:t>
      </w:r>
      <w:r w:rsidRPr="00D11143">
        <w:rPr>
          <w:szCs w:val="24"/>
          <w:lang w:eastAsia="lv-LV"/>
        </w:rPr>
        <w:t xml:space="preserve">90 615 </w:t>
      </w:r>
      <w:r w:rsidRPr="00D11143">
        <w:rPr>
          <w:i/>
          <w:szCs w:val="24"/>
        </w:rPr>
        <w:t>euro</w:t>
      </w:r>
      <w:r>
        <w:rPr>
          <w:szCs w:val="24"/>
        </w:rPr>
        <w:t xml:space="preserve"> </w:t>
      </w:r>
      <w:r>
        <w:t xml:space="preserve">Eiropas Komisijas </w:t>
      </w:r>
      <w:r w:rsidRPr="00D11143">
        <w:rPr>
          <w:szCs w:val="24"/>
        </w:rPr>
        <w:t xml:space="preserve">finansējums un </w:t>
      </w:r>
      <w:r w:rsidRPr="00D11143">
        <w:rPr>
          <w:szCs w:val="24"/>
          <w:lang w:eastAsia="lv-LV"/>
        </w:rPr>
        <w:t xml:space="preserve">90 615 </w:t>
      </w:r>
      <w:r w:rsidRPr="00D11143">
        <w:rPr>
          <w:i/>
          <w:szCs w:val="24"/>
        </w:rPr>
        <w:t>euro</w:t>
      </w:r>
      <w:r w:rsidRPr="00D11143">
        <w:rPr>
          <w:szCs w:val="24"/>
        </w:rPr>
        <w:t xml:space="preserve"> valsts budžeta līdzfinansējums.</w:t>
      </w:r>
    </w:p>
    <w:p w:rsidR="00424712" w:rsidRPr="00D11143" w:rsidRDefault="00424712" w:rsidP="00424712">
      <w:pPr>
        <w:pStyle w:val="BodyTextIndent"/>
        <w:spacing w:after="0"/>
        <w:ind w:left="0"/>
        <w:jc w:val="both"/>
      </w:pPr>
      <w:r w:rsidRPr="00815221">
        <w:t xml:space="preserve">VPR apstiprinātais kopējais finansējums ir </w:t>
      </w:r>
      <w:r w:rsidRPr="00D11143">
        <w:rPr>
          <w:rFonts w:eastAsia="Calibri"/>
        </w:rPr>
        <w:t xml:space="preserve">169 230 </w:t>
      </w:r>
      <w:r w:rsidRPr="00D11143">
        <w:rPr>
          <w:i/>
        </w:rPr>
        <w:t>euro</w:t>
      </w:r>
      <w:r w:rsidRPr="00D11143">
        <w:t xml:space="preserve"> apmērā, tajā skaitā </w:t>
      </w:r>
      <w:r w:rsidRPr="00D11143">
        <w:rPr>
          <w:rFonts w:eastAsia="Calibri"/>
        </w:rPr>
        <w:t>84 615</w:t>
      </w:r>
      <w:r w:rsidRPr="00D11143">
        <w:rPr>
          <w:i/>
        </w:rPr>
        <w:t xml:space="preserve"> euro</w:t>
      </w:r>
      <w:r w:rsidRPr="00D11143">
        <w:t xml:space="preserve"> </w:t>
      </w:r>
      <w:r w:rsidR="00D54C9C">
        <w:t>Eiropas Komisijas</w:t>
      </w:r>
      <w:r w:rsidR="00723F53">
        <w:t xml:space="preserve"> </w:t>
      </w:r>
      <w:r w:rsidRPr="00D11143">
        <w:t xml:space="preserve">finansējums un </w:t>
      </w:r>
      <w:r w:rsidRPr="00D11143">
        <w:rPr>
          <w:rFonts w:eastAsia="Calibri"/>
        </w:rPr>
        <w:t xml:space="preserve">84 615 </w:t>
      </w:r>
      <w:r w:rsidRPr="00D11143">
        <w:rPr>
          <w:i/>
        </w:rPr>
        <w:t>euro</w:t>
      </w:r>
      <w:r w:rsidRPr="00D11143">
        <w:t xml:space="preserve"> valsts budžeta līdzfinansējums.</w:t>
      </w:r>
    </w:p>
    <w:p w:rsidR="00424712" w:rsidRPr="00D11143" w:rsidRDefault="00424712" w:rsidP="00424712">
      <w:pPr>
        <w:pStyle w:val="naiskr"/>
        <w:spacing w:before="0" w:after="0"/>
        <w:jc w:val="both"/>
      </w:pPr>
    </w:p>
    <w:p w:rsidR="00424712" w:rsidRPr="00D11143" w:rsidRDefault="00424712" w:rsidP="00424712">
      <w:pPr>
        <w:pStyle w:val="naiskr"/>
        <w:spacing w:before="0" w:after="0"/>
        <w:jc w:val="both"/>
      </w:pPr>
      <w:r w:rsidRPr="00D11143">
        <w:t>Projekta budžets sadalījumā pa gadiem un pēc finansējuma avota redzams tabulā.</w:t>
      </w:r>
    </w:p>
    <w:tbl>
      <w:tblPr>
        <w:tblStyle w:val="TableGrid"/>
        <w:tblW w:w="9810" w:type="dxa"/>
        <w:tblInd w:w="-318" w:type="dxa"/>
        <w:tblLayout w:type="fixed"/>
        <w:tblLook w:val="04A0"/>
      </w:tblPr>
      <w:tblGrid>
        <w:gridCol w:w="803"/>
        <w:gridCol w:w="767"/>
        <w:gridCol w:w="948"/>
        <w:gridCol w:w="851"/>
        <w:gridCol w:w="992"/>
        <w:gridCol w:w="850"/>
        <w:gridCol w:w="1027"/>
        <w:gridCol w:w="850"/>
        <w:gridCol w:w="993"/>
        <w:gridCol w:w="850"/>
        <w:gridCol w:w="879"/>
      </w:tblGrid>
      <w:tr w:rsidR="00841B45" w:rsidRPr="00815221" w:rsidTr="00841B45">
        <w:trPr>
          <w:trHeight w:val="64"/>
        </w:trPr>
        <w:tc>
          <w:tcPr>
            <w:tcW w:w="803" w:type="dxa"/>
            <w:vMerge w:val="restart"/>
            <w:shd w:val="pct15" w:color="auto" w:fill="auto"/>
            <w:noWrap/>
            <w:vAlign w:val="center"/>
            <w:hideMark/>
          </w:tcPr>
          <w:p w:rsidR="00424712" w:rsidRPr="00815221" w:rsidRDefault="00424712" w:rsidP="00841B45">
            <w:pPr>
              <w:ind w:left="-57" w:right="-57"/>
              <w:jc w:val="center"/>
              <w:rPr>
                <w:i/>
                <w:sz w:val="16"/>
                <w:szCs w:val="16"/>
              </w:rPr>
            </w:pPr>
            <w:r w:rsidRPr="00815221">
              <w:rPr>
                <w:i/>
                <w:sz w:val="16"/>
                <w:szCs w:val="16"/>
              </w:rPr>
              <w:t>Projekta</w:t>
            </w:r>
            <w:r w:rsidRPr="00815221">
              <w:rPr>
                <w:i/>
                <w:sz w:val="16"/>
                <w:szCs w:val="16"/>
                <w:lang w:eastAsia="lv-LV"/>
              </w:rPr>
              <w:t xml:space="preserve"> partneris</w:t>
            </w:r>
          </w:p>
        </w:tc>
        <w:tc>
          <w:tcPr>
            <w:tcW w:w="2566" w:type="dxa"/>
            <w:gridSpan w:val="3"/>
            <w:shd w:val="pct15" w:color="auto" w:fill="auto"/>
            <w:vAlign w:val="center"/>
            <w:hideMark/>
          </w:tcPr>
          <w:p w:rsidR="00424712" w:rsidRPr="00815221" w:rsidRDefault="00424712" w:rsidP="00815221">
            <w:pPr>
              <w:jc w:val="center"/>
              <w:rPr>
                <w:i/>
                <w:sz w:val="16"/>
                <w:szCs w:val="16"/>
              </w:rPr>
            </w:pPr>
            <w:r w:rsidRPr="00815221">
              <w:rPr>
                <w:i/>
                <w:sz w:val="16"/>
                <w:szCs w:val="16"/>
              </w:rPr>
              <w:t>2014. gads</w:t>
            </w:r>
          </w:p>
        </w:tc>
        <w:tc>
          <w:tcPr>
            <w:tcW w:w="1842" w:type="dxa"/>
            <w:gridSpan w:val="2"/>
            <w:shd w:val="pct15" w:color="auto" w:fill="auto"/>
            <w:vAlign w:val="center"/>
            <w:hideMark/>
          </w:tcPr>
          <w:p w:rsidR="00424712" w:rsidRPr="00815221" w:rsidRDefault="00424712" w:rsidP="00815221">
            <w:pPr>
              <w:jc w:val="center"/>
              <w:rPr>
                <w:i/>
                <w:sz w:val="16"/>
                <w:szCs w:val="16"/>
              </w:rPr>
            </w:pPr>
            <w:r w:rsidRPr="00815221">
              <w:rPr>
                <w:i/>
                <w:sz w:val="16"/>
                <w:szCs w:val="16"/>
              </w:rPr>
              <w:t>2015. gads</w:t>
            </w:r>
          </w:p>
        </w:tc>
        <w:tc>
          <w:tcPr>
            <w:tcW w:w="1877" w:type="dxa"/>
            <w:gridSpan w:val="2"/>
            <w:shd w:val="pct15" w:color="auto" w:fill="auto"/>
            <w:vAlign w:val="center"/>
            <w:hideMark/>
          </w:tcPr>
          <w:p w:rsidR="00424712" w:rsidRPr="00815221" w:rsidRDefault="00424712" w:rsidP="00815221">
            <w:pPr>
              <w:jc w:val="center"/>
              <w:rPr>
                <w:i/>
                <w:sz w:val="16"/>
                <w:szCs w:val="16"/>
              </w:rPr>
            </w:pPr>
            <w:r w:rsidRPr="00815221">
              <w:rPr>
                <w:i/>
                <w:sz w:val="16"/>
                <w:szCs w:val="16"/>
              </w:rPr>
              <w:t>2016. gads</w:t>
            </w:r>
          </w:p>
        </w:tc>
        <w:tc>
          <w:tcPr>
            <w:tcW w:w="1843" w:type="dxa"/>
            <w:gridSpan w:val="2"/>
            <w:shd w:val="pct15" w:color="auto" w:fill="auto"/>
            <w:vAlign w:val="center"/>
          </w:tcPr>
          <w:p w:rsidR="00424712" w:rsidRPr="00815221" w:rsidRDefault="00424712" w:rsidP="00815221">
            <w:pPr>
              <w:jc w:val="center"/>
              <w:rPr>
                <w:i/>
                <w:sz w:val="16"/>
                <w:szCs w:val="16"/>
              </w:rPr>
            </w:pPr>
            <w:r w:rsidRPr="00815221">
              <w:rPr>
                <w:i/>
                <w:sz w:val="16"/>
                <w:szCs w:val="16"/>
              </w:rPr>
              <w:t>2017. gads</w:t>
            </w:r>
          </w:p>
        </w:tc>
        <w:tc>
          <w:tcPr>
            <w:tcW w:w="879" w:type="dxa"/>
            <w:vMerge w:val="restart"/>
            <w:shd w:val="pct15" w:color="auto" w:fill="auto"/>
            <w:vAlign w:val="center"/>
            <w:hideMark/>
          </w:tcPr>
          <w:p w:rsidR="00424712" w:rsidRPr="00815221" w:rsidRDefault="00424712" w:rsidP="00841B45">
            <w:pPr>
              <w:ind w:left="-57" w:right="-57"/>
              <w:jc w:val="center"/>
              <w:rPr>
                <w:i/>
                <w:sz w:val="16"/>
                <w:szCs w:val="16"/>
              </w:rPr>
            </w:pPr>
            <w:r w:rsidRPr="00815221">
              <w:rPr>
                <w:i/>
                <w:sz w:val="16"/>
                <w:szCs w:val="16"/>
              </w:rPr>
              <w:t>KOP</w:t>
            </w:r>
            <w:r w:rsidR="00841B45">
              <w:rPr>
                <w:i/>
                <w:sz w:val="16"/>
                <w:szCs w:val="16"/>
              </w:rPr>
              <w:t>Ā</w:t>
            </w:r>
            <w:r w:rsidRPr="00815221">
              <w:rPr>
                <w:i/>
                <w:sz w:val="16"/>
                <w:szCs w:val="16"/>
              </w:rPr>
              <w:t xml:space="preserve"> projekta budžets, euro</w:t>
            </w:r>
          </w:p>
        </w:tc>
      </w:tr>
      <w:tr w:rsidR="00841B45" w:rsidRPr="00815221" w:rsidTr="00841B45">
        <w:trPr>
          <w:trHeight w:val="187"/>
        </w:trPr>
        <w:tc>
          <w:tcPr>
            <w:tcW w:w="803" w:type="dxa"/>
            <w:vMerge/>
            <w:shd w:val="pct15" w:color="auto" w:fill="auto"/>
            <w:vAlign w:val="center"/>
            <w:hideMark/>
          </w:tcPr>
          <w:p w:rsidR="00841B45" w:rsidRPr="00815221" w:rsidRDefault="00841B45" w:rsidP="00815221">
            <w:pPr>
              <w:jc w:val="center"/>
              <w:rPr>
                <w:i/>
                <w:sz w:val="16"/>
                <w:szCs w:val="16"/>
              </w:rPr>
            </w:pPr>
          </w:p>
        </w:tc>
        <w:tc>
          <w:tcPr>
            <w:tcW w:w="767" w:type="dxa"/>
            <w:shd w:val="pct15" w:color="auto" w:fill="auto"/>
            <w:vAlign w:val="center"/>
            <w:hideMark/>
          </w:tcPr>
          <w:p w:rsidR="00841B45" w:rsidRPr="00815221" w:rsidRDefault="00841B45" w:rsidP="00841B45">
            <w:pPr>
              <w:ind w:left="-57" w:right="-57"/>
              <w:jc w:val="center"/>
              <w:rPr>
                <w:i/>
                <w:sz w:val="16"/>
                <w:szCs w:val="16"/>
              </w:rPr>
            </w:pPr>
            <w:r w:rsidRPr="00815221">
              <w:rPr>
                <w:i/>
                <w:sz w:val="16"/>
                <w:szCs w:val="16"/>
              </w:rPr>
              <w:t>Avansa maksā</w:t>
            </w:r>
            <w:r>
              <w:rPr>
                <w:i/>
                <w:sz w:val="16"/>
                <w:szCs w:val="16"/>
              </w:rPr>
              <w:t>-</w:t>
            </w:r>
            <w:r w:rsidRPr="00815221">
              <w:rPr>
                <w:i/>
                <w:sz w:val="16"/>
                <w:szCs w:val="16"/>
              </w:rPr>
              <w:t>jums</w:t>
            </w:r>
          </w:p>
        </w:tc>
        <w:tc>
          <w:tcPr>
            <w:tcW w:w="948" w:type="dxa"/>
            <w:shd w:val="pct15" w:color="auto" w:fill="auto"/>
            <w:noWrap/>
            <w:vAlign w:val="center"/>
            <w:hideMark/>
          </w:tcPr>
          <w:p w:rsidR="00841B45" w:rsidRPr="00815221" w:rsidRDefault="00D54C9C" w:rsidP="00841B45">
            <w:pPr>
              <w:ind w:left="-57" w:right="-57"/>
              <w:jc w:val="center"/>
              <w:rPr>
                <w:i/>
                <w:sz w:val="16"/>
                <w:szCs w:val="16"/>
              </w:rPr>
            </w:pPr>
            <w:r>
              <w:rPr>
                <w:i/>
                <w:sz w:val="16"/>
                <w:szCs w:val="16"/>
              </w:rPr>
              <w:t>EK</w:t>
            </w:r>
            <w:r w:rsidR="00841B45" w:rsidRPr="00815221">
              <w:rPr>
                <w:i/>
                <w:sz w:val="16"/>
                <w:szCs w:val="16"/>
              </w:rPr>
              <w:t xml:space="preserve"> līdz-finansējums</w:t>
            </w:r>
          </w:p>
        </w:tc>
        <w:tc>
          <w:tcPr>
            <w:tcW w:w="851" w:type="dxa"/>
            <w:shd w:val="pct15" w:color="auto" w:fill="auto"/>
            <w:noWrap/>
            <w:vAlign w:val="center"/>
            <w:hideMark/>
          </w:tcPr>
          <w:p w:rsidR="00841B45" w:rsidRPr="00815221" w:rsidRDefault="00841B45" w:rsidP="00841B45">
            <w:pPr>
              <w:ind w:left="-57" w:right="-57"/>
              <w:jc w:val="center"/>
              <w:rPr>
                <w:i/>
                <w:sz w:val="16"/>
                <w:szCs w:val="16"/>
              </w:rPr>
            </w:pPr>
            <w:r w:rsidRPr="00815221">
              <w:rPr>
                <w:i/>
                <w:sz w:val="16"/>
                <w:szCs w:val="16"/>
              </w:rPr>
              <w:t>LV līdz-finansē</w:t>
            </w:r>
            <w:r>
              <w:rPr>
                <w:i/>
                <w:sz w:val="16"/>
                <w:szCs w:val="16"/>
              </w:rPr>
              <w:t>-</w:t>
            </w:r>
            <w:r w:rsidRPr="00815221">
              <w:rPr>
                <w:i/>
                <w:sz w:val="16"/>
                <w:szCs w:val="16"/>
              </w:rPr>
              <w:t>juma daļa</w:t>
            </w:r>
          </w:p>
        </w:tc>
        <w:tc>
          <w:tcPr>
            <w:tcW w:w="992" w:type="dxa"/>
            <w:shd w:val="pct15" w:color="auto" w:fill="auto"/>
            <w:noWrap/>
            <w:vAlign w:val="center"/>
            <w:hideMark/>
          </w:tcPr>
          <w:p w:rsidR="00841B45" w:rsidRPr="00815221" w:rsidRDefault="00D54C9C" w:rsidP="00B813D4">
            <w:pPr>
              <w:ind w:left="-57" w:right="-57"/>
              <w:jc w:val="center"/>
              <w:rPr>
                <w:i/>
                <w:sz w:val="16"/>
                <w:szCs w:val="16"/>
              </w:rPr>
            </w:pPr>
            <w:r>
              <w:rPr>
                <w:i/>
                <w:sz w:val="16"/>
                <w:szCs w:val="16"/>
              </w:rPr>
              <w:t>EK</w:t>
            </w:r>
            <w:r w:rsidR="00841B45" w:rsidRPr="00815221">
              <w:rPr>
                <w:i/>
                <w:sz w:val="16"/>
                <w:szCs w:val="16"/>
              </w:rPr>
              <w:t xml:space="preserve"> līdz-finansējums</w:t>
            </w:r>
          </w:p>
        </w:tc>
        <w:tc>
          <w:tcPr>
            <w:tcW w:w="850" w:type="dxa"/>
            <w:shd w:val="pct15" w:color="auto" w:fill="auto"/>
            <w:noWrap/>
            <w:vAlign w:val="center"/>
            <w:hideMark/>
          </w:tcPr>
          <w:p w:rsidR="00841B45" w:rsidRPr="00815221" w:rsidRDefault="00841B45" w:rsidP="00125CDA">
            <w:pPr>
              <w:ind w:left="-57" w:right="-57"/>
              <w:jc w:val="center"/>
              <w:rPr>
                <w:i/>
                <w:sz w:val="16"/>
                <w:szCs w:val="16"/>
              </w:rPr>
            </w:pPr>
            <w:r w:rsidRPr="00815221">
              <w:rPr>
                <w:i/>
                <w:sz w:val="16"/>
                <w:szCs w:val="16"/>
              </w:rPr>
              <w:t>LV līdz-finansē</w:t>
            </w:r>
            <w:r>
              <w:rPr>
                <w:i/>
                <w:sz w:val="16"/>
                <w:szCs w:val="16"/>
              </w:rPr>
              <w:t>-</w:t>
            </w:r>
            <w:r w:rsidRPr="00815221">
              <w:rPr>
                <w:i/>
                <w:sz w:val="16"/>
                <w:szCs w:val="16"/>
              </w:rPr>
              <w:t>juma daļa</w:t>
            </w:r>
          </w:p>
        </w:tc>
        <w:tc>
          <w:tcPr>
            <w:tcW w:w="1027" w:type="dxa"/>
            <w:shd w:val="pct15" w:color="auto" w:fill="auto"/>
            <w:noWrap/>
            <w:vAlign w:val="center"/>
            <w:hideMark/>
          </w:tcPr>
          <w:p w:rsidR="00841B45" w:rsidRPr="00815221" w:rsidRDefault="00D54C9C" w:rsidP="00B813D4">
            <w:pPr>
              <w:ind w:left="-57" w:right="-57"/>
              <w:jc w:val="center"/>
              <w:rPr>
                <w:i/>
                <w:sz w:val="16"/>
                <w:szCs w:val="16"/>
              </w:rPr>
            </w:pPr>
            <w:r>
              <w:rPr>
                <w:i/>
                <w:sz w:val="16"/>
                <w:szCs w:val="16"/>
              </w:rPr>
              <w:t>EK</w:t>
            </w:r>
            <w:r w:rsidR="00841B45" w:rsidRPr="00815221">
              <w:rPr>
                <w:i/>
                <w:sz w:val="16"/>
                <w:szCs w:val="16"/>
              </w:rPr>
              <w:t xml:space="preserve"> līdz-finansējums</w:t>
            </w:r>
          </w:p>
        </w:tc>
        <w:tc>
          <w:tcPr>
            <w:tcW w:w="850" w:type="dxa"/>
            <w:shd w:val="pct15" w:color="auto" w:fill="auto"/>
            <w:noWrap/>
            <w:vAlign w:val="center"/>
            <w:hideMark/>
          </w:tcPr>
          <w:p w:rsidR="00841B45" w:rsidRPr="00815221" w:rsidRDefault="00841B45" w:rsidP="00125CDA">
            <w:pPr>
              <w:ind w:left="-57" w:right="-57"/>
              <w:jc w:val="center"/>
              <w:rPr>
                <w:i/>
                <w:sz w:val="16"/>
                <w:szCs w:val="16"/>
              </w:rPr>
            </w:pPr>
            <w:r w:rsidRPr="00815221">
              <w:rPr>
                <w:i/>
                <w:sz w:val="16"/>
                <w:szCs w:val="16"/>
              </w:rPr>
              <w:t>LV līdz-finansē</w:t>
            </w:r>
            <w:r>
              <w:rPr>
                <w:i/>
                <w:sz w:val="16"/>
                <w:szCs w:val="16"/>
              </w:rPr>
              <w:t>-</w:t>
            </w:r>
            <w:r w:rsidRPr="00815221">
              <w:rPr>
                <w:i/>
                <w:sz w:val="16"/>
                <w:szCs w:val="16"/>
              </w:rPr>
              <w:t>juma daļa</w:t>
            </w:r>
          </w:p>
        </w:tc>
        <w:tc>
          <w:tcPr>
            <w:tcW w:w="993" w:type="dxa"/>
            <w:shd w:val="pct15" w:color="auto" w:fill="auto"/>
            <w:vAlign w:val="center"/>
          </w:tcPr>
          <w:p w:rsidR="00841B45" w:rsidRPr="00815221" w:rsidRDefault="00D54C9C" w:rsidP="00B813D4">
            <w:pPr>
              <w:ind w:left="-57" w:right="-57"/>
              <w:jc w:val="center"/>
              <w:rPr>
                <w:i/>
                <w:sz w:val="16"/>
                <w:szCs w:val="16"/>
              </w:rPr>
            </w:pPr>
            <w:r>
              <w:rPr>
                <w:i/>
                <w:sz w:val="16"/>
                <w:szCs w:val="16"/>
              </w:rPr>
              <w:t>EK</w:t>
            </w:r>
            <w:r w:rsidR="00841B45" w:rsidRPr="00815221">
              <w:rPr>
                <w:i/>
                <w:sz w:val="16"/>
                <w:szCs w:val="16"/>
              </w:rPr>
              <w:t xml:space="preserve"> līdz-finansējums</w:t>
            </w:r>
          </w:p>
        </w:tc>
        <w:tc>
          <w:tcPr>
            <w:tcW w:w="850" w:type="dxa"/>
            <w:shd w:val="pct15" w:color="auto" w:fill="auto"/>
            <w:vAlign w:val="center"/>
          </w:tcPr>
          <w:p w:rsidR="00841B45" w:rsidRPr="00815221" w:rsidRDefault="00841B45" w:rsidP="00125CDA">
            <w:pPr>
              <w:ind w:left="-57" w:right="-57"/>
              <w:jc w:val="center"/>
              <w:rPr>
                <w:i/>
                <w:sz w:val="16"/>
                <w:szCs w:val="16"/>
              </w:rPr>
            </w:pPr>
            <w:r w:rsidRPr="00815221">
              <w:rPr>
                <w:i/>
                <w:sz w:val="16"/>
                <w:szCs w:val="16"/>
              </w:rPr>
              <w:t>LV līdz-finansē</w:t>
            </w:r>
            <w:r>
              <w:rPr>
                <w:i/>
                <w:sz w:val="16"/>
                <w:szCs w:val="16"/>
              </w:rPr>
              <w:t>-</w:t>
            </w:r>
            <w:r w:rsidRPr="00815221">
              <w:rPr>
                <w:i/>
                <w:sz w:val="16"/>
                <w:szCs w:val="16"/>
              </w:rPr>
              <w:t>juma daļa</w:t>
            </w:r>
          </w:p>
        </w:tc>
        <w:tc>
          <w:tcPr>
            <w:tcW w:w="879" w:type="dxa"/>
            <w:vMerge/>
            <w:shd w:val="pct15" w:color="auto" w:fill="auto"/>
            <w:vAlign w:val="center"/>
            <w:hideMark/>
          </w:tcPr>
          <w:p w:rsidR="00841B45" w:rsidRPr="00815221" w:rsidRDefault="00841B45" w:rsidP="00815221">
            <w:pPr>
              <w:jc w:val="center"/>
              <w:rPr>
                <w:rFonts w:eastAsia="Times New Roman"/>
                <w:bCs/>
                <w:i/>
                <w:iCs/>
                <w:sz w:val="16"/>
                <w:szCs w:val="16"/>
                <w:lang w:eastAsia="lv-LV"/>
              </w:rPr>
            </w:pPr>
          </w:p>
        </w:tc>
      </w:tr>
      <w:tr w:rsidR="00424712" w:rsidRPr="00841B45" w:rsidTr="00841B45">
        <w:trPr>
          <w:trHeight w:val="64"/>
        </w:trPr>
        <w:tc>
          <w:tcPr>
            <w:tcW w:w="803" w:type="dxa"/>
            <w:noWrap/>
            <w:hideMark/>
          </w:tcPr>
          <w:p w:rsidR="00424712" w:rsidRPr="00841B45" w:rsidRDefault="00424712" w:rsidP="00815221">
            <w:pPr>
              <w:jc w:val="both"/>
              <w:rPr>
                <w:sz w:val="20"/>
                <w:szCs w:val="20"/>
              </w:rPr>
            </w:pPr>
            <w:r w:rsidRPr="00841B45">
              <w:rPr>
                <w:sz w:val="20"/>
                <w:szCs w:val="20"/>
              </w:rPr>
              <w:t>ZPR</w:t>
            </w:r>
          </w:p>
        </w:tc>
        <w:tc>
          <w:tcPr>
            <w:tcW w:w="767" w:type="dxa"/>
            <w:noWrap/>
            <w:hideMark/>
          </w:tcPr>
          <w:p w:rsidR="00424712" w:rsidRPr="00841B45" w:rsidRDefault="00424712" w:rsidP="00841B45">
            <w:pPr>
              <w:jc w:val="center"/>
              <w:rPr>
                <w:sz w:val="20"/>
                <w:szCs w:val="20"/>
              </w:rPr>
            </w:pPr>
            <w:r w:rsidRPr="00841B45">
              <w:rPr>
                <w:sz w:val="20"/>
                <w:szCs w:val="20"/>
              </w:rPr>
              <w:t>48 090</w:t>
            </w:r>
          </w:p>
        </w:tc>
        <w:tc>
          <w:tcPr>
            <w:tcW w:w="948" w:type="dxa"/>
            <w:noWrap/>
            <w:hideMark/>
          </w:tcPr>
          <w:p w:rsidR="00424712" w:rsidRPr="00841B45" w:rsidRDefault="00424712" w:rsidP="00841B45">
            <w:pPr>
              <w:jc w:val="center"/>
              <w:rPr>
                <w:sz w:val="20"/>
                <w:szCs w:val="20"/>
              </w:rPr>
            </w:pPr>
            <w:r w:rsidRPr="00841B45">
              <w:rPr>
                <w:sz w:val="20"/>
                <w:szCs w:val="20"/>
              </w:rPr>
              <w:t>0</w:t>
            </w:r>
          </w:p>
        </w:tc>
        <w:tc>
          <w:tcPr>
            <w:tcW w:w="851" w:type="dxa"/>
            <w:noWrap/>
            <w:hideMark/>
          </w:tcPr>
          <w:p w:rsidR="00424712" w:rsidRPr="00841B45" w:rsidRDefault="00424712" w:rsidP="00841B45">
            <w:pPr>
              <w:jc w:val="center"/>
              <w:rPr>
                <w:sz w:val="20"/>
                <w:szCs w:val="20"/>
              </w:rPr>
            </w:pPr>
            <w:r w:rsidRPr="00841B45">
              <w:rPr>
                <w:sz w:val="20"/>
                <w:szCs w:val="20"/>
              </w:rPr>
              <w:t>26 250</w:t>
            </w:r>
          </w:p>
        </w:tc>
        <w:tc>
          <w:tcPr>
            <w:tcW w:w="992" w:type="dxa"/>
            <w:noWrap/>
            <w:hideMark/>
          </w:tcPr>
          <w:p w:rsidR="00424712" w:rsidRPr="00841B45" w:rsidRDefault="00424712" w:rsidP="00841B45">
            <w:pPr>
              <w:jc w:val="center"/>
              <w:rPr>
                <w:sz w:val="20"/>
                <w:szCs w:val="20"/>
              </w:rPr>
            </w:pPr>
            <w:r w:rsidRPr="00841B45">
              <w:rPr>
                <w:sz w:val="20"/>
                <w:szCs w:val="20"/>
              </w:rPr>
              <w:t>16 700</w:t>
            </w:r>
          </w:p>
        </w:tc>
        <w:tc>
          <w:tcPr>
            <w:tcW w:w="850" w:type="dxa"/>
            <w:noWrap/>
            <w:hideMark/>
          </w:tcPr>
          <w:p w:rsidR="00424712" w:rsidRPr="00841B45" w:rsidRDefault="00424712" w:rsidP="00841B45">
            <w:pPr>
              <w:jc w:val="center"/>
              <w:rPr>
                <w:sz w:val="20"/>
                <w:szCs w:val="20"/>
              </w:rPr>
            </w:pPr>
            <w:r w:rsidRPr="00841B45">
              <w:rPr>
                <w:sz w:val="20"/>
                <w:szCs w:val="20"/>
              </w:rPr>
              <w:t>38 540</w:t>
            </w:r>
          </w:p>
        </w:tc>
        <w:tc>
          <w:tcPr>
            <w:tcW w:w="1027" w:type="dxa"/>
            <w:noWrap/>
            <w:hideMark/>
          </w:tcPr>
          <w:p w:rsidR="00424712" w:rsidRPr="00841B45" w:rsidRDefault="00424712" w:rsidP="00841B45">
            <w:pPr>
              <w:jc w:val="center"/>
              <w:rPr>
                <w:sz w:val="20"/>
                <w:szCs w:val="20"/>
              </w:rPr>
            </w:pPr>
            <w:r w:rsidRPr="00841B45">
              <w:rPr>
                <w:rFonts w:eastAsia="Times New Roman"/>
                <w:sz w:val="20"/>
                <w:szCs w:val="20"/>
                <w:lang w:eastAsia="lv-LV"/>
              </w:rPr>
              <w:t>23</w:t>
            </w:r>
            <w:r w:rsidRPr="00841B45">
              <w:rPr>
                <w:sz w:val="20"/>
                <w:szCs w:val="20"/>
              </w:rPr>
              <w:t xml:space="preserve"> 825</w:t>
            </w:r>
          </w:p>
        </w:tc>
        <w:tc>
          <w:tcPr>
            <w:tcW w:w="850" w:type="dxa"/>
            <w:noWrap/>
            <w:hideMark/>
          </w:tcPr>
          <w:p w:rsidR="00424712" w:rsidRPr="00841B45" w:rsidRDefault="00424712" w:rsidP="00841B45">
            <w:pPr>
              <w:jc w:val="center"/>
              <w:rPr>
                <w:sz w:val="20"/>
                <w:szCs w:val="20"/>
              </w:rPr>
            </w:pPr>
            <w:r w:rsidRPr="00841B45">
              <w:rPr>
                <w:rFonts w:eastAsia="Times New Roman"/>
                <w:sz w:val="20"/>
                <w:szCs w:val="20"/>
                <w:lang w:eastAsia="lv-LV"/>
              </w:rPr>
              <w:t>23</w:t>
            </w:r>
            <w:r w:rsidRPr="00841B45">
              <w:rPr>
                <w:sz w:val="20"/>
                <w:szCs w:val="20"/>
              </w:rPr>
              <w:t xml:space="preserve"> 825</w:t>
            </w:r>
          </w:p>
        </w:tc>
        <w:tc>
          <w:tcPr>
            <w:tcW w:w="993" w:type="dxa"/>
          </w:tcPr>
          <w:p w:rsidR="00424712" w:rsidRPr="00841B45" w:rsidRDefault="00424712" w:rsidP="00841B45">
            <w:pPr>
              <w:jc w:val="center"/>
              <w:rPr>
                <w:rFonts w:eastAsia="Times New Roman"/>
                <w:bCs/>
                <w:sz w:val="20"/>
                <w:szCs w:val="20"/>
                <w:lang w:eastAsia="lv-LV"/>
              </w:rPr>
            </w:pPr>
            <w:r w:rsidRPr="00841B45">
              <w:rPr>
                <w:rFonts w:eastAsia="Times New Roman"/>
                <w:bCs/>
                <w:sz w:val="20"/>
                <w:szCs w:val="20"/>
                <w:lang w:eastAsia="lv-LV"/>
              </w:rPr>
              <w:t>2 000</w:t>
            </w:r>
          </w:p>
        </w:tc>
        <w:tc>
          <w:tcPr>
            <w:tcW w:w="850" w:type="dxa"/>
          </w:tcPr>
          <w:p w:rsidR="00424712" w:rsidRPr="00841B45" w:rsidRDefault="00424712" w:rsidP="00841B45">
            <w:pPr>
              <w:jc w:val="center"/>
              <w:rPr>
                <w:rFonts w:eastAsia="Times New Roman"/>
                <w:bCs/>
                <w:sz w:val="20"/>
                <w:szCs w:val="20"/>
                <w:lang w:eastAsia="lv-LV"/>
              </w:rPr>
            </w:pPr>
            <w:r w:rsidRPr="00841B45">
              <w:rPr>
                <w:rFonts w:eastAsia="Times New Roman"/>
                <w:bCs/>
                <w:sz w:val="20"/>
                <w:szCs w:val="20"/>
                <w:lang w:eastAsia="lv-LV"/>
              </w:rPr>
              <w:t>2 000</w:t>
            </w:r>
          </w:p>
        </w:tc>
        <w:tc>
          <w:tcPr>
            <w:tcW w:w="879" w:type="dxa"/>
            <w:noWrap/>
            <w:hideMark/>
          </w:tcPr>
          <w:p w:rsidR="00424712" w:rsidRPr="00841B45" w:rsidRDefault="00424712" w:rsidP="00841B45">
            <w:pPr>
              <w:jc w:val="center"/>
              <w:rPr>
                <w:sz w:val="20"/>
                <w:szCs w:val="20"/>
              </w:rPr>
            </w:pPr>
            <w:r w:rsidRPr="00841B45">
              <w:rPr>
                <w:sz w:val="20"/>
                <w:szCs w:val="20"/>
              </w:rPr>
              <w:t>181 230</w:t>
            </w:r>
          </w:p>
        </w:tc>
      </w:tr>
      <w:tr w:rsidR="00424712" w:rsidRPr="00841B45" w:rsidTr="00841B45">
        <w:trPr>
          <w:trHeight w:val="64"/>
        </w:trPr>
        <w:tc>
          <w:tcPr>
            <w:tcW w:w="803" w:type="dxa"/>
            <w:noWrap/>
            <w:hideMark/>
          </w:tcPr>
          <w:p w:rsidR="00424712" w:rsidRPr="00841B45" w:rsidRDefault="00424712" w:rsidP="00815221">
            <w:pPr>
              <w:jc w:val="both"/>
              <w:rPr>
                <w:sz w:val="20"/>
                <w:szCs w:val="20"/>
              </w:rPr>
            </w:pPr>
            <w:r w:rsidRPr="00841B45">
              <w:rPr>
                <w:sz w:val="20"/>
                <w:szCs w:val="20"/>
              </w:rPr>
              <w:t>VPR</w:t>
            </w:r>
          </w:p>
        </w:tc>
        <w:tc>
          <w:tcPr>
            <w:tcW w:w="767" w:type="dxa"/>
            <w:noWrap/>
            <w:hideMark/>
          </w:tcPr>
          <w:p w:rsidR="00424712" w:rsidRPr="00841B45" w:rsidRDefault="00424712" w:rsidP="00841B45">
            <w:pPr>
              <w:jc w:val="center"/>
              <w:rPr>
                <w:sz w:val="20"/>
                <w:szCs w:val="20"/>
              </w:rPr>
            </w:pPr>
            <w:r w:rsidRPr="00841B45">
              <w:rPr>
                <w:sz w:val="20"/>
                <w:szCs w:val="20"/>
              </w:rPr>
              <w:t>44 906</w:t>
            </w:r>
          </w:p>
        </w:tc>
        <w:tc>
          <w:tcPr>
            <w:tcW w:w="948" w:type="dxa"/>
            <w:noWrap/>
            <w:hideMark/>
          </w:tcPr>
          <w:p w:rsidR="00424712" w:rsidRPr="00841B45" w:rsidRDefault="00424712" w:rsidP="00841B45">
            <w:pPr>
              <w:jc w:val="center"/>
              <w:rPr>
                <w:sz w:val="20"/>
                <w:szCs w:val="20"/>
              </w:rPr>
            </w:pPr>
            <w:r w:rsidRPr="00841B45">
              <w:rPr>
                <w:sz w:val="20"/>
                <w:szCs w:val="20"/>
              </w:rPr>
              <w:t>0</w:t>
            </w:r>
          </w:p>
        </w:tc>
        <w:tc>
          <w:tcPr>
            <w:tcW w:w="851" w:type="dxa"/>
            <w:noWrap/>
            <w:hideMark/>
          </w:tcPr>
          <w:p w:rsidR="00424712" w:rsidRPr="00841B45" w:rsidRDefault="00424712" w:rsidP="00841B45">
            <w:pPr>
              <w:jc w:val="center"/>
              <w:rPr>
                <w:sz w:val="20"/>
                <w:szCs w:val="20"/>
              </w:rPr>
            </w:pPr>
            <w:r w:rsidRPr="00841B45">
              <w:rPr>
                <w:sz w:val="20"/>
                <w:szCs w:val="20"/>
              </w:rPr>
              <w:t>24 500</w:t>
            </w:r>
          </w:p>
        </w:tc>
        <w:tc>
          <w:tcPr>
            <w:tcW w:w="992" w:type="dxa"/>
            <w:noWrap/>
            <w:hideMark/>
          </w:tcPr>
          <w:p w:rsidR="00424712" w:rsidRPr="00841B45" w:rsidRDefault="00424712" w:rsidP="00841B45">
            <w:pPr>
              <w:jc w:val="center"/>
              <w:rPr>
                <w:sz w:val="20"/>
                <w:szCs w:val="20"/>
              </w:rPr>
            </w:pPr>
            <w:r w:rsidRPr="00841B45">
              <w:rPr>
                <w:sz w:val="20"/>
                <w:szCs w:val="20"/>
              </w:rPr>
              <w:t>15 594</w:t>
            </w:r>
          </w:p>
        </w:tc>
        <w:tc>
          <w:tcPr>
            <w:tcW w:w="850" w:type="dxa"/>
            <w:noWrap/>
            <w:hideMark/>
          </w:tcPr>
          <w:p w:rsidR="00424712" w:rsidRPr="00841B45" w:rsidRDefault="00424712" w:rsidP="00841B45">
            <w:pPr>
              <w:jc w:val="center"/>
              <w:rPr>
                <w:sz w:val="20"/>
                <w:szCs w:val="20"/>
              </w:rPr>
            </w:pPr>
            <w:r w:rsidRPr="00841B45">
              <w:rPr>
                <w:sz w:val="20"/>
                <w:szCs w:val="20"/>
              </w:rPr>
              <w:t>36 000</w:t>
            </w:r>
          </w:p>
        </w:tc>
        <w:tc>
          <w:tcPr>
            <w:tcW w:w="1027" w:type="dxa"/>
            <w:noWrap/>
            <w:hideMark/>
          </w:tcPr>
          <w:p w:rsidR="00424712" w:rsidRPr="00841B45" w:rsidRDefault="00424712" w:rsidP="00841B45">
            <w:pPr>
              <w:jc w:val="center"/>
              <w:rPr>
                <w:sz w:val="20"/>
                <w:szCs w:val="20"/>
              </w:rPr>
            </w:pPr>
            <w:r w:rsidRPr="00841B45">
              <w:rPr>
                <w:rFonts w:eastAsia="Times New Roman"/>
                <w:sz w:val="20"/>
                <w:szCs w:val="20"/>
                <w:lang w:eastAsia="lv-LV"/>
              </w:rPr>
              <w:t>22 615</w:t>
            </w:r>
          </w:p>
        </w:tc>
        <w:tc>
          <w:tcPr>
            <w:tcW w:w="850" w:type="dxa"/>
            <w:noWrap/>
            <w:hideMark/>
          </w:tcPr>
          <w:p w:rsidR="00424712" w:rsidRPr="00841B45" w:rsidRDefault="00424712" w:rsidP="00841B45">
            <w:pPr>
              <w:jc w:val="center"/>
              <w:rPr>
                <w:sz w:val="20"/>
                <w:szCs w:val="20"/>
              </w:rPr>
            </w:pPr>
            <w:r w:rsidRPr="00841B45">
              <w:rPr>
                <w:rFonts w:eastAsia="Times New Roman"/>
                <w:sz w:val="20"/>
                <w:szCs w:val="20"/>
                <w:lang w:eastAsia="lv-LV"/>
              </w:rPr>
              <w:t>22 615</w:t>
            </w:r>
          </w:p>
        </w:tc>
        <w:tc>
          <w:tcPr>
            <w:tcW w:w="993" w:type="dxa"/>
          </w:tcPr>
          <w:p w:rsidR="00424712" w:rsidRPr="00841B45" w:rsidRDefault="00424712" w:rsidP="00841B45">
            <w:pPr>
              <w:jc w:val="center"/>
              <w:rPr>
                <w:rFonts w:eastAsia="Times New Roman"/>
                <w:bCs/>
                <w:sz w:val="20"/>
                <w:szCs w:val="20"/>
                <w:lang w:eastAsia="lv-LV"/>
              </w:rPr>
            </w:pPr>
            <w:r w:rsidRPr="00841B45">
              <w:rPr>
                <w:rFonts w:eastAsia="Times New Roman"/>
                <w:bCs/>
                <w:sz w:val="20"/>
                <w:szCs w:val="20"/>
                <w:lang w:eastAsia="lv-LV"/>
              </w:rPr>
              <w:t>1 500</w:t>
            </w:r>
          </w:p>
        </w:tc>
        <w:tc>
          <w:tcPr>
            <w:tcW w:w="850" w:type="dxa"/>
          </w:tcPr>
          <w:p w:rsidR="00424712" w:rsidRPr="00841B45" w:rsidRDefault="00424712" w:rsidP="00841B45">
            <w:pPr>
              <w:jc w:val="center"/>
              <w:rPr>
                <w:rFonts w:eastAsia="Times New Roman"/>
                <w:bCs/>
                <w:sz w:val="20"/>
                <w:szCs w:val="20"/>
                <w:lang w:eastAsia="lv-LV"/>
              </w:rPr>
            </w:pPr>
            <w:r w:rsidRPr="00841B45">
              <w:rPr>
                <w:rFonts w:eastAsia="Times New Roman"/>
                <w:bCs/>
                <w:sz w:val="20"/>
                <w:szCs w:val="20"/>
                <w:lang w:eastAsia="lv-LV"/>
              </w:rPr>
              <w:t>1 500</w:t>
            </w:r>
          </w:p>
        </w:tc>
        <w:tc>
          <w:tcPr>
            <w:tcW w:w="879" w:type="dxa"/>
            <w:noWrap/>
            <w:hideMark/>
          </w:tcPr>
          <w:p w:rsidR="00424712" w:rsidRPr="00841B45" w:rsidRDefault="00424712" w:rsidP="00841B45">
            <w:pPr>
              <w:jc w:val="center"/>
              <w:rPr>
                <w:sz w:val="20"/>
                <w:szCs w:val="20"/>
              </w:rPr>
            </w:pPr>
            <w:r w:rsidRPr="00841B45">
              <w:rPr>
                <w:sz w:val="20"/>
                <w:szCs w:val="20"/>
              </w:rPr>
              <w:t>169 230</w:t>
            </w:r>
          </w:p>
        </w:tc>
      </w:tr>
      <w:tr w:rsidR="00424712" w:rsidRPr="00841B45" w:rsidTr="00841B45">
        <w:trPr>
          <w:trHeight w:val="64"/>
        </w:trPr>
        <w:tc>
          <w:tcPr>
            <w:tcW w:w="803" w:type="dxa"/>
            <w:noWrap/>
            <w:hideMark/>
          </w:tcPr>
          <w:p w:rsidR="00424712" w:rsidRPr="00841B45" w:rsidRDefault="00424712" w:rsidP="00815221">
            <w:pPr>
              <w:jc w:val="both"/>
              <w:rPr>
                <w:b/>
                <w:sz w:val="20"/>
                <w:szCs w:val="20"/>
              </w:rPr>
            </w:pPr>
            <w:r w:rsidRPr="00841B45">
              <w:rPr>
                <w:b/>
                <w:sz w:val="20"/>
                <w:szCs w:val="20"/>
              </w:rPr>
              <w:t>Kopā</w:t>
            </w:r>
          </w:p>
        </w:tc>
        <w:tc>
          <w:tcPr>
            <w:tcW w:w="767" w:type="dxa"/>
            <w:noWrap/>
            <w:hideMark/>
          </w:tcPr>
          <w:p w:rsidR="00424712" w:rsidRPr="00841B45" w:rsidRDefault="00424712" w:rsidP="00841B45">
            <w:pPr>
              <w:jc w:val="center"/>
              <w:rPr>
                <w:b/>
                <w:sz w:val="20"/>
                <w:szCs w:val="20"/>
              </w:rPr>
            </w:pPr>
            <w:r w:rsidRPr="00841B45">
              <w:rPr>
                <w:b/>
                <w:sz w:val="20"/>
                <w:szCs w:val="20"/>
              </w:rPr>
              <w:t>92 996</w:t>
            </w:r>
          </w:p>
        </w:tc>
        <w:tc>
          <w:tcPr>
            <w:tcW w:w="948" w:type="dxa"/>
            <w:noWrap/>
            <w:hideMark/>
          </w:tcPr>
          <w:p w:rsidR="00424712" w:rsidRPr="00841B45" w:rsidRDefault="00424712" w:rsidP="00841B45">
            <w:pPr>
              <w:jc w:val="center"/>
              <w:rPr>
                <w:b/>
                <w:sz w:val="20"/>
                <w:szCs w:val="20"/>
              </w:rPr>
            </w:pPr>
            <w:r w:rsidRPr="00841B45">
              <w:rPr>
                <w:b/>
                <w:sz w:val="20"/>
                <w:szCs w:val="20"/>
              </w:rPr>
              <w:t>0</w:t>
            </w:r>
          </w:p>
        </w:tc>
        <w:tc>
          <w:tcPr>
            <w:tcW w:w="851" w:type="dxa"/>
            <w:noWrap/>
            <w:hideMark/>
          </w:tcPr>
          <w:p w:rsidR="00424712" w:rsidRPr="00841B45" w:rsidRDefault="00424712" w:rsidP="00841B45">
            <w:pPr>
              <w:jc w:val="center"/>
              <w:rPr>
                <w:b/>
                <w:sz w:val="20"/>
                <w:szCs w:val="20"/>
              </w:rPr>
            </w:pPr>
            <w:r w:rsidRPr="00841B45">
              <w:rPr>
                <w:b/>
                <w:sz w:val="20"/>
                <w:szCs w:val="20"/>
              </w:rPr>
              <w:t>50 750</w:t>
            </w:r>
          </w:p>
        </w:tc>
        <w:tc>
          <w:tcPr>
            <w:tcW w:w="992" w:type="dxa"/>
            <w:noWrap/>
            <w:hideMark/>
          </w:tcPr>
          <w:p w:rsidR="00424712" w:rsidRPr="00841B45" w:rsidRDefault="00424712" w:rsidP="00841B45">
            <w:pPr>
              <w:jc w:val="center"/>
              <w:rPr>
                <w:b/>
                <w:sz w:val="20"/>
                <w:szCs w:val="20"/>
              </w:rPr>
            </w:pPr>
            <w:r w:rsidRPr="00841B45">
              <w:rPr>
                <w:b/>
                <w:sz w:val="20"/>
                <w:szCs w:val="20"/>
              </w:rPr>
              <w:t>32 294</w:t>
            </w:r>
          </w:p>
        </w:tc>
        <w:tc>
          <w:tcPr>
            <w:tcW w:w="850" w:type="dxa"/>
            <w:noWrap/>
            <w:hideMark/>
          </w:tcPr>
          <w:p w:rsidR="00424712" w:rsidRPr="00841B45" w:rsidRDefault="00424712" w:rsidP="00841B45">
            <w:pPr>
              <w:jc w:val="center"/>
              <w:rPr>
                <w:b/>
                <w:sz w:val="20"/>
                <w:szCs w:val="20"/>
              </w:rPr>
            </w:pPr>
            <w:r w:rsidRPr="00841B45">
              <w:rPr>
                <w:b/>
                <w:sz w:val="20"/>
                <w:szCs w:val="20"/>
              </w:rPr>
              <w:t>74 540</w:t>
            </w:r>
          </w:p>
        </w:tc>
        <w:tc>
          <w:tcPr>
            <w:tcW w:w="1027" w:type="dxa"/>
            <w:noWrap/>
            <w:hideMark/>
          </w:tcPr>
          <w:p w:rsidR="00424712" w:rsidRPr="00841B45" w:rsidRDefault="00424712" w:rsidP="00841B45">
            <w:pPr>
              <w:jc w:val="center"/>
              <w:rPr>
                <w:b/>
                <w:sz w:val="20"/>
                <w:szCs w:val="20"/>
              </w:rPr>
            </w:pPr>
            <w:r w:rsidRPr="00841B45">
              <w:rPr>
                <w:rFonts w:eastAsia="Times New Roman"/>
                <w:b/>
                <w:bCs/>
                <w:sz w:val="20"/>
                <w:szCs w:val="20"/>
                <w:lang w:eastAsia="lv-LV"/>
              </w:rPr>
              <w:t>46 440</w:t>
            </w:r>
          </w:p>
        </w:tc>
        <w:tc>
          <w:tcPr>
            <w:tcW w:w="850" w:type="dxa"/>
            <w:noWrap/>
            <w:hideMark/>
          </w:tcPr>
          <w:p w:rsidR="00424712" w:rsidRPr="00841B45" w:rsidRDefault="00424712" w:rsidP="00841B45">
            <w:pPr>
              <w:jc w:val="center"/>
              <w:rPr>
                <w:b/>
                <w:sz w:val="20"/>
                <w:szCs w:val="20"/>
              </w:rPr>
            </w:pPr>
            <w:r w:rsidRPr="00841B45">
              <w:rPr>
                <w:rFonts w:eastAsia="Times New Roman"/>
                <w:b/>
                <w:bCs/>
                <w:sz w:val="20"/>
                <w:szCs w:val="20"/>
                <w:lang w:eastAsia="lv-LV"/>
              </w:rPr>
              <w:t>46 440</w:t>
            </w:r>
          </w:p>
        </w:tc>
        <w:tc>
          <w:tcPr>
            <w:tcW w:w="993" w:type="dxa"/>
          </w:tcPr>
          <w:p w:rsidR="00424712" w:rsidRPr="00841B45" w:rsidRDefault="00424712" w:rsidP="00841B45">
            <w:pPr>
              <w:jc w:val="center"/>
              <w:rPr>
                <w:rFonts w:eastAsia="Times New Roman"/>
                <w:b/>
                <w:bCs/>
                <w:sz w:val="20"/>
                <w:szCs w:val="20"/>
                <w:lang w:eastAsia="lv-LV"/>
              </w:rPr>
            </w:pPr>
            <w:r w:rsidRPr="00841B45">
              <w:rPr>
                <w:rFonts w:eastAsia="Times New Roman"/>
                <w:b/>
                <w:bCs/>
                <w:sz w:val="20"/>
                <w:szCs w:val="20"/>
                <w:lang w:eastAsia="lv-LV"/>
              </w:rPr>
              <w:t>3 500</w:t>
            </w:r>
          </w:p>
        </w:tc>
        <w:tc>
          <w:tcPr>
            <w:tcW w:w="850" w:type="dxa"/>
          </w:tcPr>
          <w:p w:rsidR="00424712" w:rsidRPr="00841B45" w:rsidRDefault="00424712" w:rsidP="00841B45">
            <w:pPr>
              <w:jc w:val="center"/>
              <w:rPr>
                <w:rFonts w:eastAsia="Times New Roman"/>
                <w:b/>
                <w:bCs/>
                <w:sz w:val="20"/>
                <w:szCs w:val="20"/>
                <w:lang w:eastAsia="lv-LV"/>
              </w:rPr>
            </w:pPr>
            <w:r w:rsidRPr="00841B45">
              <w:rPr>
                <w:rFonts w:eastAsia="Times New Roman"/>
                <w:b/>
                <w:bCs/>
                <w:sz w:val="20"/>
                <w:szCs w:val="20"/>
                <w:lang w:eastAsia="lv-LV"/>
              </w:rPr>
              <w:t>3 500</w:t>
            </w:r>
          </w:p>
        </w:tc>
        <w:tc>
          <w:tcPr>
            <w:tcW w:w="879" w:type="dxa"/>
            <w:noWrap/>
            <w:hideMark/>
          </w:tcPr>
          <w:p w:rsidR="00424712" w:rsidRPr="00841B45" w:rsidRDefault="00424712" w:rsidP="00841B45">
            <w:pPr>
              <w:jc w:val="center"/>
              <w:rPr>
                <w:b/>
                <w:sz w:val="20"/>
                <w:szCs w:val="20"/>
              </w:rPr>
            </w:pPr>
            <w:r w:rsidRPr="00841B45">
              <w:rPr>
                <w:b/>
                <w:sz w:val="20"/>
                <w:szCs w:val="20"/>
              </w:rPr>
              <w:t>350 460</w:t>
            </w:r>
          </w:p>
        </w:tc>
      </w:tr>
    </w:tbl>
    <w:p w:rsidR="00424712" w:rsidRPr="00D11143" w:rsidRDefault="00424712" w:rsidP="00424712">
      <w:pPr>
        <w:pStyle w:val="naiskr"/>
        <w:spacing w:before="0" w:after="0"/>
        <w:jc w:val="both"/>
      </w:pPr>
    </w:p>
    <w:p w:rsidR="00424712" w:rsidRPr="00D11143" w:rsidRDefault="00424712" w:rsidP="00424712">
      <w:pPr>
        <w:spacing w:after="0" w:line="240" w:lineRule="auto"/>
        <w:jc w:val="both"/>
        <w:rPr>
          <w:szCs w:val="24"/>
        </w:rPr>
      </w:pPr>
      <w:r w:rsidRPr="00D11143">
        <w:rPr>
          <w:szCs w:val="24"/>
        </w:rPr>
        <w:t>Saskaņā ar 2014. gada martā noslēgtā Granta līguma Nr. 621129 nosacījumiem:</w:t>
      </w:r>
    </w:p>
    <w:p w:rsidR="00424712" w:rsidRPr="00D11143" w:rsidRDefault="00424712" w:rsidP="004167A1">
      <w:pPr>
        <w:numPr>
          <w:ilvl w:val="0"/>
          <w:numId w:val="1"/>
        </w:numPr>
        <w:spacing w:after="0" w:line="240" w:lineRule="auto"/>
        <w:ind w:left="426" w:hanging="284"/>
        <w:jc w:val="both"/>
        <w:rPr>
          <w:szCs w:val="24"/>
        </w:rPr>
      </w:pPr>
      <w:r w:rsidRPr="00D11143">
        <w:rPr>
          <w:szCs w:val="24"/>
        </w:rPr>
        <w:t>50% no projekta kopējā budžeta jeb 2 035 000 </w:t>
      </w:r>
      <w:r w:rsidRPr="00D11143">
        <w:rPr>
          <w:i/>
          <w:szCs w:val="24"/>
        </w:rPr>
        <w:t>euro</w:t>
      </w:r>
      <w:r w:rsidRPr="00D11143">
        <w:rPr>
          <w:szCs w:val="24"/>
        </w:rPr>
        <w:t xml:space="preserve"> apmērā finansē IKT </w:t>
      </w:r>
      <w:r w:rsidR="00D54C9C">
        <w:rPr>
          <w:szCs w:val="24"/>
        </w:rPr>
        <w:t xml:space="preserve">politikas </w:t>
      </w:r>
      <w:r w:rsidRPr="00D11143">
        <w:rPr>
          <w:szCs w:val="24"/>
        </w:rPr>
        <w:t>atbalsta programma, un 50% jeb 2 035 000 </w:t>
      </w:r>
      <w:r w:rsidRPr="00D11143">
        <w:rPr>
          <w:i/>
          <w:szCs w:val="24"/>
        </w:rPr>
        <w:t>euro</w:t>
      </w:r>
      <w:r w:rsidRPr="00D11143">
        <w:rPr>
          <w:szCs w:val="24"/>
        </w:rPr>
        <w:t xml:space="preserve"> apmērā finansē visi projekta partneri atbilstoši katra partnera apstiprinātajam budžetam;</w:t>
      </w:r>
    </w:p>
    <w:p w:rsidR="00424712" w:rsidRPr="00D11143" w:rsidRDefault="00424712" w:rsidP="004167A1">
      <w:pPr>
        <w:numPr>
          <w:ilvl w:val="0"/>
          <w:numId w:val="1"/>
        </w:numPr>
        <w:spacing w:after="0" w:line="240" w:lineRule="auto"/>
        <w:ind w:left="426" w:hanging="284"/>
        <w:jc w:val="both"/>
        <w:rPr>
          <w:szCs w:val="24"/>
        </w:rPr>
      </w:pPr>
      <w:r w:rsidRPr="00D11143">
        <w:rPr>
          <w:szCs w:val="24"/>
        </w:rPr>
        <w:t>30 dienu laikā pēc Granta līguma spēkā stāšanās projekta vadošajam partnerim tiek pārskaitīts priekšfinansējums 1 080 000 </w:t>
      </w:r>
      <w:r w:rsidRPr="00D11143">
        <w:rPr>
          <w:i/>
          <w:szCs w:val="24"/>
        </w:rPr>
        <w:t>euro</w:t>
      </w:r>
      <w:r w:rsidRPr="00D11143">
        <w:rPr>
          <w:szCs w:val="24"/>
        </w:rPr>
        <w:t xml:space="preserve"> apmērā no </w:t>
      </w:r>
      <w:r w:rsidR="008133B8" w:rsidRPr="00D11143">
        <w:rPr>
          <w:szCs w:val="24"/>
        </w:rPr>
        <w:t xml:space="preserve">IKT </w:t>
      </w:r>
      <w:r w:rsidR="008133B8">
        <w:rPr>
          <w:szCs w:val="24"/>
        </w:rPr>
        <w:t xml:space="preserve">politikas </w:t>
      </w:r>
      <w:r w:rsidR="008133B8" w:rsidRPr="00D11143">
        <w:rPr>
          <w:szCs w:val="24"/>
        </w:rPr>
        <w:t>atbalsta programma</w:t>
      </w:r>
      <w:r w:rsidR="008133B8">
        <w:rPr>
          <w:szCs w:val="24"/>
        </w:rPr>
        <w:t>s</w:t>
      </w:r>
      <w:r w:rsidR="008133B8" w:rsidRPr="00D11143">
        <w:rPr>
          <w:szCs w:val="24"/>
        </w:rPr>
        <w:t xml:space="preserve"> </w:t>
      </w:r>
      <w:r w:rsidRPr="00D11143">
        <w:rPr>
          <w:szCs w:val="24"/>
        </w:rPr>
        <w:t xml:space="preserve">līdzfinansējuma. Vadošais partneris saņemto priekšfinansējumu sadala projekta partneriem atbilstoši projekta ietvaros izpildītajām lomām, uzdevumiem un aktivitātēm, tajā skaitā </w:t>
      </w:r>
      <w:r w:rsidR="00D54C9C" w:rsidRPr="00D11143">
        <w:rPr>
          <w:szCs w:val="24"/>
        </w:rPr>
        <w:t>ZPR – 48 090</w:t>
      </w:r>
      <w:r w:rsidR="00D54C9C" w:rsidRPr="00D11143">
        <w:rPr>
          <w:i/>
          <w:szCs w:val="24"/>
        </w:rPr>
        <w:t> euro</w:t>
      </w:r>
      <w:r w:rsidR="00D54C9C" w:rsidRPr="00D11143">
        <w:rPr>
          <w:szCs w:val="24"/>
        </w:rPr>
        <w:t xml:space="preserve"> </w:t>
      </w:r>
      <w:r w:rsidRPr="00D11143">
        <w:rPr>
          <w:szCs w:val="24"/>
        </w:rPr>
        <w:t>un</w:t>
      </w:r>
      <w:r w:rsidR="00D54C9C" w:rsidRPr="00D54C9C">
        <w:rPr>
          <w:szCs w:val="24"/>
        </w:rPr>
        <w:t xml:space="preserve"> </w:t>
      </w:r>
      <w:r w:rsidR="00D54C9C" w:rsidRPr="00D11143">
        <w:rPr>
          <w:szCs w:val="24"/>
        </w:rPr>
        <w:t>VPR – 44 906</w:t>
      </w:r>
      <w:r w:rsidR="00D54C9C" w:rsidRPr="00D11143">
        <w:rPr>
          <w:i/>
          <w:szCs w:val="24"/>
        </w:rPr>
        <w:t xml:space="preserve"> euro</w:t>
      </w:r>
      <w:r w:rsidRPr="00D11143">
        <w:rPr>
          <w:szCs w:val="24"/>
        </w:rPr>
        <w:t>;</w:t>
      </w:r>
    </w:p>
    <w:p w:rsidR="00424712" w:rsidRPr="00D11143" w:rsidRDefault="00424712" w:rsidP="004167A1">
      <w:pPr>
        <w:numPr>
          <w:ilvl w:val="0"/>
          <w:numId w:val="1"/>
        </w:numPr>
        <w:spacing w:after="0" w:line="240" w:lineRule="auto"/>
        <w:ind w:left="426" w:hanging="284"/>
        <w:jc w:val="both"/>
        <w:rPr>
          <w:szCs w:val="24"/>
        </w:rPr>
      </w:pPr>
      <w:r w:rsidRPr="00D11143">
        <w:rPr>
          <w:szCs w:val="24"/>
        </w:rPr>
        <w:t xml:space="preserve">pēc katra pārskata perioda (1x12 mēnešos), </w:t>
      </w:r>
      <w:r w:rsidRPr="00D11143">
        <w:rPr>
          <w:rStyle w:val="hps"/>
          <w:szCs w:val="24"/>
        </w:rPr>
        <w:t>izņemot</w:t>
      </w:r>
      <w:r w:rsidRPr="00D11143">
        <w:rPr>
          <w:szCs w:val="24"/>
        </w:rPr>
        <w:t xml:space="preserve"> </w:t>
      </w:r>
      <w:r w:rsidRPr="00D11143">
        <w:rPr>
          <w:rStyle w:val="hps"/>
          <w:szCs w:val="24"/>
        </w:rPr>
        <w:t>pēdējo pārskata</w:t>
      </w:r>
      <w:r w:rsidRPr="00D11143">
        <w:rPr>
          <w:szCs w:val="24"/>
        </w:rPr>
        <w:t xml:space="preserve"> </w:t>
      </w:r>
      <w:r w:rsidRPr="00D11143">
        <w:rPr>
          <w:rStyle w:val="hps"/>
          <w:szCs w:val="24"/>
        </w:rPr>
        <w:t>periodu,</w:t>
      </w:r>
      <w:r w:rsidRPr="00D11143">
        <w:rPr>
          <w:szCs w:val="24"/>
        </w:rPr>
        <w:t xml:space="preserve"> vadošais partneris 60 dienu laikā iesniedz Eiropas Komisijai atskaiti par visu projekta partneru iepriekšējā periodā veiktajiem izdevumiem. 90 dienu laikā pēc atskaites saņemšanas un apstiprināšanas Eiropas Komisija veic starpposma maksājumu par iepriekšējā pārskata periodā plānoto aktivitāšu izdevumiem. </w:t>
      </w:r>
    </w:p>
    <w:p w:rsidR="00424712" w:rsidRPr="00D11143" w:rsidRDefault="00424712" w:rsidP="00424712">
      <w:pPr>
        <w:spacing w:after="0" w:line="240" w:lineRule="auto"/>
        <w:jc w:val="both"/>
        <w:rPr>
          <w:szCs w:val="24"/>
        </w:rPr>
      </w:pPr>
    </w:p>
    <w:p w:rsidR="00CE7426" w:rsidRDefault="00AF42FD" w:rsidP="00CE7426">
      <w:pPr>
        <w:pStyle w:val="naiskr"/>
        <w:tabs>
          <w:tab w:val="left" w:pos="170"/>
        </w:tabs>
        <w:spacing w:before="0" w:after="0"/>
        <w:jc w:val="both"/>
      </w:pPr>
      <w:r>
        <w:t>P</w:t>
      </w:r>
      <w:r w:rsidR="00424712" w:rsidRPr="00A03260">
        <w:t xml:space="preserve">lānošanas reģioniem nav pašiem savu ieņēmumu, un tie nesniedz maksas pakalpojumus, </w:t>
      </w:r>
      <w:r>
        <w:t xml:space="preserve">līdz ar to </w:t>
      </w:r>
      <w:r w:rsidR="00424712" w:rsidRPr="00A03260">
        <w:t>projekta ieviešanai nepieciešams valsts budžeta līdzfinansējums 50% jeb 175 230 </w:t>
      </w:r>
      <w:r w:rsidR="00424712" w:rsidRPr="00A03260">
        <w:rPr>
          <w:i/>
        </w:rPr>
        <w:t>euro</w:t>
      </w:r>
      <w:r w:rsidR="00424712" w:rsidRPr="00A03260">
        <w:t xml:space="preserve"> abu projektā iesaistīto </w:t>
      </w:r>
      <w:r w:rsidR="00CE7426" w:rsidRPr="00A03260">
        <w:t xml:space="preserve">plānošanas reģionu līdzfinansējuma daļas nodrošināšanai un priekšfinansējuma daļas nodrošināšanai </w:t>
      </w:r>
      <w:r w:rsidR="00CE7426">
        <w:t xml:space="preserve">46.93% </w:t>
      </w:r>
      <w:r w:rsidR="00CE7426" w:rsidRPr="00815221">
        <w:t>jeb</w:t>
      </w:r>
      <w:r w:rsidR="00CE7426" w:rsidRPr="00A03260">
        <w:t xml:space="preserve"> 82</w:t>
      </w:r>
      <w:r w:rsidR="00CE7426">
        <w:t> </w:t>
      </w:r>
      <w:r w:rsidR="00CE7426" w:rsidRPr="00A03260">
        <w:t>234</w:t>
      </w:r>
      <w:r w:rsidR="00CE7426">
        <w:t> </w:t>
      </w:r>
      <w:r w:rsidR="00CE7426" w:rsidRPr="00815221">
        <w:rPr>
          <w:i/>
        </w:rPr>
        <w:t>euro</w:t>
      </w:r>
      <w:r w:rsidR="00CE7426" w:rsidRPr="00A03260">
        <w:t xml:space="preserve"> apmērā no IKT </w:t>
      </w:r>
      <w:r w:rsidR="00CE7426">
        <w:t xml:space="preserve">politikas </w:t>
      </w:r>
      <w:r w:rsidR="00CE7426" w:rsidRPr="00A03260">
        <w:t>atbalsta programmas priekšfinansējuma 50% (nepieciešamā līdzfinansējuma un priekšfinansējuma sadalījumu skatīt tabulā).</w:t>
      </w:r>
    </w:p>
    <w:p w:rsidR="00AF42FD" w:rsidRPr="00A03260" w:rsidRDefault="00AF42FD" w:rsidP="00424712">
      <w:pPr>
        <w:pStyle w:val="naiskr"/>
        <w:tabs>
          <w:tab w:val="left" w:pos="170"/>
        </w:tabs>
        <w:spacing w:before="0" w:after="0"/>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9"/>
        <w:gridCol w:w="1605"/>
        <w:gridCol w:w="3068"/>
        <w:gridCol w:w="1418"/>
      </w:tblGrid>
      <w:tr w:rsidR="00AF42FD" w:rsidRPr="003A610F" w:rsidTr="008133B8">
        <w:trPr>
          <w:cantSplit/>
          <w:trHeight w:val="141"/>
          <w:tblHeader/>
          <w:jc w:val="center"/>
        </w:trPr>
        <w:tc>
          <w:tcPr>
            <w:tcW w:w="2489" w:type="dxa"/>
            <w:shd w:val="pct15" w:color="auto" w:fill="auto"/>
            <w:vAlign w:val="center"/>
          </w:tcPr>
          <w:p w:rsidR="00AF42FD" w:rsidRPr="003A610F" w:rsidRDefault="00AF42FD" w:rsidP="0071310F">
            <w:pPr>
              <w:pStyle w:val="BodyText3"/>
              <w:spacing w:after="0"/>
              <w:jc w:val="center"/>
              <w:rPr>
                <w:rFonts w:ascii="Times New Roman" w:hAnsi="Times New Roman"/>
                <w:i/>
                <w:sz w:val="18"/>
                <w:szCs w:val="18"/>
                <w:lang w:eastAsia="lv-LV"/>
              </w:rPr>
            </w:pPr>
            <w:r w:rsidRPr="003A610F">
              <w:rPr>
                <w:rFonts w:ascii="Times New Roman" w:hAnsi="Times New Roman"/>
                <w:i/>
                <w:sz w:val="18"/>
                <w:szCs w:val="18"/>
                <w:lang w:eastAsia="lv-LV"/>
              </w:rPr>
              <w:t>Projekta partneris</w:t>
            </w:r>
          </w:p>
        </w:tc>
        <w:tc>
          <w:tcPr>
            <w:tcW w:w="1605" w:type="dxa"/>
            <w:shd w:val="pct15" w:color="auto" w:fill="auto"/>
            <w:vAlign w:val="center"/>
          </w:tcPr>
          <w:p w:rsidR="00AF42FD" w:rsidRPr="003A610F" w:rsidRDefault="008133B8" w:rsidP="008133B8">
            <w:pPr>
              <w:pStyle w:val="BodyText3"/>
              <w:spacing w:after="0"/>
              <w:jc w:val="center"/>
              <w:rPr>
                <w:rFonts w:ascii="Times New Roman" w:hAnsi="Times New Roman"/>
                <w:i/>
                <w:sz w:val="18"/>
                <w:szCs w:val="18"/>
                <w:lang w:eastAsia="lv-LV"/>
              </w:rPr>
            </w:pPr>
            <w:r>
              <w:rPr>
                <w:rFonts w:ascii="Times New Roman" w:hAnsi="Times New Roman"/>
                <w:i/>
                <w:sz w:val="18"/>
                <w:szCs w:val="18"/>
                <w:lang w:eastAsia="lv-LV"/>
              </w:rPr>
              <w:t>Latvijas l</w:t>
            </w:r>
            <w:r w:rsidR="00AF42FD" w:rsidRPr="003A610F">
              <w:rPr>
                <w:rFonts w:ascii="Times New Roman" w:hAnsi="Times New Roman"/>
                <w:i/>
                <w:sz w:val="18"/>
                <w:szCs w:val="18"/>
                <w:lang w:eastAsia="lv-LV"/>
              </w:rPr>
              <w:t xml:space="preserve">īdzfinansējums </w:t>
            </w:r>
            <w:r w:rsidR="00AF42FD">
              <w:rPr>
                <w:rFonts w:ascii="Times New Roman" w:hAnsi="Times New Roman"/>
                <w:i/>
                <w:sz w:val="18"/>
                <w:szCs w:val="18"/>
                <w:lang w:eastAsia="lv-LV"/>
              </w:rPr>
              <w:t>50</w:t>
            </w:r>
            <w:r w:rsidR="00AF42FD" w:rsidRPr="003A610F">
              <w:rPr>
                <w:rFonts w:ascii="Times New Roman" w:hAnsi="Times New Roman"/>
                <w:i/>
                <w:sz w:val="18"/>
                <w:szCs w:val="18"/>
                <w:lang w:eastAsia="lv-LV"/>
              </w:rPr>
              <w:t>% apmērā, euro</w:t>
            </w:r>
          </w:p>
        </w:tc>
        <w:tc>
          <w:tcPr>
            <w:tcW w:w="3068" w:type="dxa"/>
            <w:shd w:val="pct15" w:color="auto" w:fill="auto"/>
            <w:vAlign w:val="center"/>
          </w:tcPr>
          <w:p w:rsidR="00AF42FD" w:rsidRPr="003A610F" w:rsidRDefault="00AF42FD" w:rsidP="0071310F">
            <w:pPr>
              <w:pStyle w:val="BodyText3"/>
              <w:spacing w:after="0"/>
              <w:jc w:val="center"/>
              <w:rPr>
                <w:rFonts w:ascii="Times New Roman" w:hAnsi="Times New Roman"/>
                <w:i/>
                <w:sz w:val="18"/>
                <w:szCs w:val="18"/>
                <w:lang w:eastAsia="lv-LV"/>
              </w:rPr>
            </w:pPr>
            <w:r w:rsidRPr="003A610F">
              <w:rPr>
                <w:rFonts w:ascii="Times New Roman" w:hAnsi="Times New Roman"/>
                <w:i/>
                <w:sz w:val="18"/>
                <w:szCs w:val="18"/>
                <w:lang w:eastAsia="lv-LV"/>
              </w:rPr>
              <w:t>Priekšfinansējums</w:t>
            </w:r>
          </w:p>
          <w:p w:rsidR="00AF42FD" w:rsidRPr="003A610F" w:rsidRDefault="00AF42FD" w:rsidP="008271CF">
            <w:pPr>
              <w:pStyle w:val="BodyText3"/>
              <w:spacing w:after="0"/>
              <w:jc w:val="center"/>
              <w:rPr>
                <w:rFonts w:ascii="Times New Roman" w:hAnsi="Times New Roman"/>
                <w:i/>
                <w:sz w:val="18"/>
                <w:szCs w:val="18"/>
                <w:lang w:eastAsia="lv-LV"/>
              </w:rPr>
            </w:pPr>
            <w:r>
              <w:rPr>
                <w:rFonts w:ascii="Times New Roman" w:hAnsi="Times New Roman"/>
                <w:i/>
                <w:sz w:val="18"/>
                <w:szCs w:val="18"/>
                <w:lang w:eastAsia="lv-LV"/>
              </w:rPr>
              <w:t>4</w:t>
            </w:r>
            <w:r w:rsidR="008271CF">
              <w:rPr>
                <w:rFonts w:ascii="Times New Roman" w:hAnsi="Times New Roman"/>
                <w:i/>
                <w:sz w:val="18"/>
                <w:szCs w:val="18"/>
                <w:lang w:eastAsia="lv-LV"/>
              </w:rPr>
              <w:t>6.9</w:t>
            </w:r>
            <w:r w:rsidR="008133B8">
              <w:rPr>
                <w:rFonts w:ascii="Times New Roman" w:hAnsi="Times New Roman"/>
                <w:i/>
                <w:sz w:val="18"/>
                <w:szCs w:val="18"/>
                <w:lang w:eastAsia="lv-LV"/>
              </w:rPr>
              <w:t>3</w:t>
            </w:r>
            <w:r w:rsidRPr="003A610F">
              <w:rPr>
                <w:rFonts w:ascii="Times New Roman" w:hAnsi="Times New Roman"/>
                <w:i/>
                <w:sz w:val="18"/>
                <w:szCs w:val="18"/>
                <w:lang w:eastAsia="lv-LV"/>
              </w:rPr>
              <w:t xml:space="preserve">% apmērā (no </w:t>
            </w:r>
            <w:r>
              <w:rPr>
                <w:rFonts w:ascii="Times New Roman" w:hAnsi="Times New Roman"/>
                <w:i/>
                <w:sz w:val="18"/>
                <w:szCs w:val="18"/>
                <w:lang w:eastAsia="lv-LV"/>
              </w:rPr>
              <w:t>Eiropas Komisijas</w:t>
            </w:r>
            <w:r w:rsidRPr="003A610F">
              <w:rPr>
                <w:rFonts w:ascii="Times New Roman" w:hAnsi="Times New Roman"/>
                <w:i/>
                <w:sz w:val="18"/>
                <w:szCs w:val="18"/>
                <w:lang w:eastAsia="lv-LV"/>
              </w:rPr>
              <w:t xml:space="preserve"> līdzfinansējuma </w:t>
            </w:r>
            <w:r>
              <w:rPr>
                <w:rFonts w:ascii="Times New Roman" w:hAnsi="Times New Roman"/>
                <w:i/>
                <w:sz w:val="18"/>
                <w:szCs w:val="18"/>
                <w:lang w:eastAsia="lv-LV"/>
              </w:rPr>
              <w:t>50</w:t>
            </w:r>
            <w:r w:rsidRPr="003A610F">
              <w:rPr>
                <w:rFonts w:ascii="Times New Roman" w:hAnsi="Times New Roman"/>
                <w:i/>
                <w:sz w:val="18"/>
                <w:szCs w:val="18"/>
                <w:lang w:eastAsia="lv-LV"/>
              </w:rPr>
              <w:t>%), euro</w:t>
            </w:r>
          </w:p>
        </w:tc>
        <w:tc>
          <w:tcPr>
            <w:tcW w:w="1418" w:type="dxa"/>
            <w:shd w:val="pct15" w:color="auto" w:fill="auto"/>
            <w:vAlign w:val="center"/>
          </w:tcPr>
          <w:p w:rsidR="00AF42FD" w:rsidRPr="003A610F" w:rsidRDefault="00AF42FD" w:rsidP="0071310F">
            <w:pPr>
              <w:pStyle w:val="BodyText3"/>
              <w:spacing w:after="0"/>
              <w:jc w:val="center"/>
              <w:rPr>
                <w:rFonts w:ascii="Times New Roman" w:hAnsi="Times New Roman"/>
                <w:i/>
                <w:sz w:val="18"/>
                <w:szCs w:val="18"/>
                <w:lang w:eastAsia="lv-LV"/>
              </w:rPr>
            </w:pPr>
            <w:r w:rsidRPr="003A610F">
              <w:rPr>
                <w:rFonts w:ascii="Times New Roman" w:hAnsi="Times New Roman"/>
                <w:i/>
                <w:sz w:val="18"/>
                <w:szCs w:val="18"/>
                <w:lang w:eastAsia="lv-LV"/>
              </w:rPr>
              <w:t>KOPĀ, euro</w:t>
            </w:r>
          </w:p>
        </w:tc>
      </w:tr>
      <w:tr w:rsidR="00AF42FD" w:rsidRPr="00025426" w:rsidTr="008133B8">
        <w:trPr>
          <w:cantSplit/>
          <w:trHeight w:val="56"/>
          <w:jc w:val="center"/>
        </w:trPr>
        <w:tc>
          <w:tcPr>
            <w:tcW w:w="2489" w:type="dxa"/>
          </w:tcPr>
          <w:p w:rsidR="00AF42FD" w:rsidRPr="00FB67F7" w:rsidRDefault="00AF42FD" w:rsidP="008133B8">
            <w:pPr>
              <w:pStyle w:val="BodyText3"/>
              <w:spacing w:after="0"/>
              <w:jc w:val="both"/>
              <w:rPr>
                <w:rFonts w:ascii="Times New Roman" w:hAnsi="Times New Roman"/>
                <w:sz w:val="18"/>
                <w:szCs w:val="18"/>
                <w:lang w:eastAsia="lv-LV"/>
              </w:rPr>
            </w:pPr>
            <w:r w:rsidRPr="00FB67F7">
              <w:rPr>
                <w:rFonts w:ascii="Times New Roman" w:hAnsi="Times New Roman"/>
                <w:sz w:val="18"/>
                <w:szCs w:val="18"/>
                <w:lang w:eastAsia="lv-LV"/>
              </w:rPr>
              <w:t xml:space="preserve">Zemgales </w:t>
            </w:r>
            <w:r w:rsidR="008133B8">
              <w:rPr>
                <w:rFonts w:ascii="Times New Roman" w:hAnsi="Times New Roman"/>
                <w:sz w:val="18"/>
                <w:szCs w:val="18"/>
                <w:lang w:eastAsia="lv-LV"/>
              </w:rPr>
              <w:t>plānošanas reģions</w:t>
            </w:r>
          </w:p>
        </w:tc>
        <w:tc>
          <w:tcPr>
            <w:tcW w:w="1605" w:type="dxa"/>
            <w:vAlign w:val="center"/>
          </w:tcPr>
          <w:p w:rsidR="00AF42FD" w:rsidRPr="00FB67F7" w:rsidRDefault="00AF42FD" w:rsidP="0071310F">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90 615</w:t>
            </w:r>
          </w:p>
        </w:tc>
        <w:tc>
          <w:tcPr>
            <w:tcW w:w="3068" w:type="dxa"/>
            <w:vAlign w:val="center"/>
          </w:tcPr>
          <w:p w:rsidR="00AF42FD" w:rsidRPr="00FB67F7" w:rsidRDefault="00AF42FD" w:rsidP="0071310F">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42 525</w:t>
            </w:r>
          </w:p>
        </w:tc>
        <w:tc>
          <w:tcPr>
            <w:tcW w:w="1418" w:type="dxa"/>
            <w:vAlign w:val="center"/>
          </w:tcPr>
          <w:p w:rsidR="00AF42FD" w:rsidRPr="00FB67F7" w:rsidRDefault="00AF42FD" w:rsidP="0071310F">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133 140</w:t>
            </w:r>
          </w:p>
        </w:tc>
      </w:tr>
      <w:tr w:rsidR="00AF42FD" w:rsidRPr="00025426" w:rsidTr="008133B8">
        <w:trPr>
          <w:cantSplit/>
          <w:trHeight w:val="70"/>
          <w:jc w:val="center"/>
        </w:trPr>
        <w:tc>
          <w:tcPr>
            <w:tcW w:w="2489" w:type="dxa"/>
          </w:tcPr>
          <w:p w:rsidR="00AF42FD" w:rsidRPr="00FB67F7" w:rsidRDefault="00AF42FD" w:rsidP="008133B8">
            <w:pPr>
              <w:pStyle w:val="BodyText3"/>
              <w:spacing w:after="0"/>
              <w:jc w:val="both"/>
              <w:rPr>
                <w:rFonts w:ascii="Times New Roman" w:hAnsi="Times New Roman"/>
                <w:sz w:val="18"/>
                <w:szCs w:val="18"/>
                <w:lang w:eastAsia="lv-LV"/>
              </w:rPr>
            </w:pPr>
            <w:r w:rsidRPr="00FB67F7">
              <w:rPr>
                <w:rFonts w:ascii="Times New Roman" w:hAnsi="Times New Roman"/>
                <w:sz w:val="18"/>
                <w:szCs w:val="18"/>
                <w:lang w:eastAsia="lv-LV"/>
              </w:rPr>
              <w:t xml:space="preserve">Vidzemes </w:t>
            </w:r>
            <w:r w:rsidR="008133B8">
              <w:rPr>
                <w:rFonts w:ascii="Times New Roman" w:hAnsi="Times New Roman"/>
                <w:sz w:val="18"/>
                <w:szCs w:val="18"/>
                <w:lang w:eastAsia="lv-LV"/>
              </w:rPr>
              <w:t>plānošanas reģions</w:t>
            </w:r>
          </w:p>
        </w:tc>
        <w:tc>
          <w:tcPr>
            <w:tcW w:w="1605" w:type="dxa"/>
            <w:vAlign w:val="center"/>
          </w:tcPr>
          <w:p w:rsidR="00AF42FD" w:rsidRPr="00FB67F7" w:rsidRDefault="00AF42FD" w:rsidP="0071310F">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84 615</w:t>
            </w:r>
          </w:p>
        </w:tc>
        <w:tc>
          <w:tcPr>
            <w:tcW w:w="3068" w:type="dxa"/>
            <w:vAlign w:val="center"/>
          </w:tcPr>
          <w:p w:rsidR="00AF42FD" w:rsidRPr="00FB67F7" w:rsidRDefault="00AF42FD" w:rsidP="0071310F">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39 709</w:t>
            </w:r>
          </w:p>
        </w:tc>
        <w:tc>
          <w:tcPr>
            <w:tcW w:w="1418" w:type="dxa"/>
            <w:vAlign w:val="center"/>
          </w:tcPr>
          <w:p w:rsidR="00AF42FD" w:rsidRPr="00FB67F7" w:rsidRDefault="00AF42FD" w:rsidP="0071310F">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124 324</w:t>
            </w:r>
          </w:p>
        </w:tc>
      </w:tr>
      <w:tr w:rsidR="00AF42FD" w:rsidRPr="003A610F" w:rsidTr="008133B8">
        <w:trPr>
          <w:cantSplit/>
          <w:trHeight w:val="64"/>
          <w:jc w:val="center"/>
        </w:trPr>
        <w:tc>
          <w:tcPr>
            <w:tcW w:w="2489" w:type="dxa"/>
          </w:tcPr>
          <w:p w:rsidR="00AF42FD" w:rsidRPr="00FB67F7" w:rsidRDefault="00AF42FD" w:rsidP="00AF42FD">
            <w:pPr>
              <w:pStyle w:val="BodyText3"/>
              <w:spacing w:after="0"/>
              <w:jc w:val="both"/>
              <w:rPr>
                <w:rFonts w:ascii="Times New Roman" w:hAnsi="Times New Roman"/>
                <w:b/>
                <w:sz w:val="18"/>
                <w:szCs w:val="18"/>
                <w:lang w:eastAsia="lv-LV"/>
              </w:rPr>
            </w:pPr>
            <w:r w:rsidRPr="00FB67F7">
              <w:rPr>
                <w:rFonts w:ascii="Times New Roman" w:hAnsi="Times New Roman"/>
                <w:b/>
                <w:sz w:val="18"/>
                <w:szCs w:val="18"/>
                <w:lang w:eastAsia="lv-LV"/>
              </w:rPr>
              <w:t>KOPĀ:</w:t>
            </w:r>
          </w:p>
        </w:tc>
        <w:tc>
          <w:tcPr>
            <w:tcW w:w="1605" w:type="dxa"/>
            <w:vAlign w:val="center"/>
          </w:tcPr>
          <w:p w:rsidR="00AF42FD" w:rsidRPr="00FB67F7" w:rsidRDefault="00AF42FD" w:rsidP="00AF42FD">
            <w:pPr>
              <w:spacing w:after="0" w:line="240" w:lineRule="auto"/>
              <w:jc w:val="center"/>
              <w:rPr>
                <w:b/>
                <w:color w:val="000000"/>
                <w:sz w:val="18"/>
                <w:szCs w:val="18"/>
              </w:rPr>
            </w:pPr>
            <w:r>
              <w:rPr>
                <w:b/>
                <w:color w:val="000000"/>
                <w:sz w:val="18"/>
                <w:szCs w:val="18"/>
              </w:rPr>
              <w:t>175 230</w:t>
            </w:r>
          </w:p>
        </w:tc>
        <w:tc>
          <w:tcPr>
            <w:tcW w:w="3068" w:type="dxa"/>
            <w:vAlign w:val="center"/>
          </w:tcPr>
          <w:p w:rsidR="00AF42FD" w:rsidRPr="00FB67F7" w:rsidRDefault="00AF42FD" w:rsidP="00AF42FD">
            <w:pPr>
              <w:spacing w:after="0" w:line="240" w:lineRule="auto"/>
              <w:jc w:val="center"/>
              <w:rPr>
                <w:b/>
                <w:bCs/>
                <w:color w:val="000000"/>
                <w:sz w:val="18"/>
                <w:szCs w:val="18"/>
              </w:rPr>
            </w:pPr>
            <w:r>
              <w:rPr>
                <w:b/>
                <w:bCs/>
                <w:color w:val="000000"/>
                <w:sz w:val="18"/>
                <w:szCs w:val="18"/>
              </w:rPr>
              <w:t>82 234</w:t>
            </w:r>
          </w:p>
        </w:tc>
        <w:tc>
          <w:tcPr>
            <w:tcW w:w="1418" w:type="dxa"/>
            <w:vAlign w:val="center"/>
          </w:tcPr>
          <w:p w:rsidR="00AF42FD" w:rsidRPr="00FB67F7" w:rsidRDefault="00AF42FD" w:rsidP="00AF42FD">
            <w:pPr>
              <w:spacing w:after="0" w:line="240" w:lineRule="auto"/>
              <w:jc w:val="center"/>
              <w:rPr>
                <w:b/>
                <w:bCs/>
                <w:color w:val="000000"/>
                <w:sz w:val="18"/>
                <w:szCs w:val="18"/>
              </w:rPr>
            </w:pPr>
            <w:r>
              <w:rPr>
                <w:b/>
                <w:bCs/>
                <w:color w:val="000000"/>
                <w:sz w:val="18"/>
                <w:szCs w:val="18"/>
              </w:rPr>
              <w:t>257 464</w:t>
            </w:r>
          </w:p>
        </w:tc>
      </w:tr>
    </w:tbl>
    <w:p w:rsidR="00424712" w:rsidRPr="00815221" w:rsidRDefault="00424712" w:rsidP="004A0ADC">
      <w:pPr>
        <w:pStyle w:val="naiskr"/>
        <w:tabs>
          <w:tab w:val="left" w:pos="170"/>
        </w:tabs>
        <w:spacing w:before="0" w:after="0"/>
        <w:jc w:val="both"/>
      </w:pPr>
    </w:p>
    <w:p w:rsidR="00424712" w:rsidRPr="00A03260" w:rsidRDefault="00424712" w:rsidP="00424712">
      <w:pPr>
        <w:pStyle w:val="naiskr"/>
        <w:tabs>
          <w:tab w:val="left" w:pos="170"/>
        </w:tabs>
        <w:spacing w:before="0" w:after="0"/>
        <w:jc w:val="both"/>
      </w:pPr>
      <w:r w:rsidRPr="00A03260">
        <w:t>Lai sekmīgi realizētu projektu, plānošanas reģioniem:</w:t>
      </w:r>
    </w:p>
    <w:p w:rsidR="00424712" w:rsidRPr="00A03260" w:rsidRDefault="00424712" w:rsidP="00424712">
      <w:pPr>
        <w:pStyle w:val="naiskr"/>
        <w:tabs>
          <w:tab w:val="left" w:pos="170"/>
        </w:tabs>
        <w:spacing w:before="0" w:after="0"/>
        <w:jc w:val="both"/>
      </w:pPr>
      <w:r w:rsidRPr="00A03260">
        <w:rPr>
          <w:b/>
        </w:rPr>
        <w:t>2014. gadā</w:t>
      </w:r>
      <w:r w:rsidRPr="00A03260">
        <w:t xml:space="preserve"> nepieciešams līdzfinansējums 50</w:t>
      </w:r>
      <w:r w:rsidR="004A0ADC">
        <w:t> </w:t>
      </w:r>
      <w:r w:rsidRPr="00A03260">
        <w:t>750</w:t>
      </w:r>
      <w:r w:rsidR="004A0ADC">
        <w:t> </w:t>
      </w:r>
      <w:r w:rsidRPr="00815221">
        <w:rPr>
          <w:i/>
        </w:rPr>
        <w:t>euro</w:t>
      </w:r>
      <w:r w:rsidRPr="00A03260">
        <w:t xml:space="preserve"> apmērā (tajā skaitā </w:t>
      </w:r>
      <w:r w:rsidR="00AF42FD" w:rsidRPr="00A03260">
        <w:t>ZPR – 26</w:t>
      </w:r>
      <w:r w:rsidR="00AF42FD">
        <w:t> </w:t>
      </w:r>
      <w:r w:rsidR="00AF42FD" w:rsidRPr="00A03260">
        <w:t>250</w:t>
      </w:r>
      <w:r w:rsidR="00AF42FD">
        <w:t> </w:t>
      </w:r>
      <w:r w:rsidR="00AF42FD" w:rsidRPr="00815221">
        <w:rPr>
          <w:i/>
        </w:rPr>
        <w:t>euro</w:t>
      </w:r>
      <w:r w:rsidR="00AF42FD" w:rsidRPr="00A03260">
        <w:t xml:space="preserve"> un </w:t>
      </w:r>
      <w:r w:rsidRPr="00A03260">
        <w:t>VPR – 24</w:t>
      </w:r>
      <w:r w:rsidR="004A0ADC">
        <w:t> </w:t>
      </w:r>
      <w:r w:rsidRPr="00A03260">
        <w:t>500</w:t>
      </w:r>
      <w:r w:rsidR="004A0ADC">
        <w:t> </w:t>
      </w:r>
      <w:r w:rsidRPr="00815221">
        <w:rPr>
          <w:i/>
        </w:rPr>
        <w:t>euro</w:t>
      </w:r>
      <w:r w:rsidRPr="00A03260">
        <w:t>).</w:t>
      </w:r>
    </w:p>
    <w:p w:rsidR="00424712" w:rsidRPr="00A03260" w:rsidRDefault="00424712" w:rsidP="00424712">
      <w:pPr>
        <w:pStyle w:val="naiskr"/>
        <w:tabs>
          <w:tab w:val="left" w:pos="170"/>
        </w:tabs>
        <w:spacing w:before="0" w:after="0"/>
        <w:jc w:val="both"/>
      </w:pPr>
      <w:r w:rsidRPr="00A03260">
        <w:rPr>
          <w:b/>
        </w:rPr>
        <w:t>2015. gadā</w:t>
      </w:r>
      <w:r w:rsidRPr="00A03260">
        <w:t xml:space="preserve"> nepieciešams līdzfinansējums un priekšfinansējums kopā 106</w:t>
      </w:r>
      <w:r w:rsidR="004A0ADC">
        <w:t> </w:t>
      </w:r>
      <w:r w:rsidRPr="00A03260">
        <w:t>834</w:t>
      </w:r>
      <w:r w:rsidR="004A0ADC">
        <w:t> </w:t>
      </w:r>
      <w:r w:rsidRPr="00815221">
        <w:rPr>
          <w:i/>
        </w:rPr>
        <w:t>euro</w:t>
      </w:r>
      <w:r w:rsidRPr="00A03260">
        <w:t xml:space="preserve"> apmērā (tajā skaitā </w:t>
      </w:r>
      <w:r w:rsidR="00AF42FD" w:rsidRPr="00A03260">
        <w:t>ZPR – 55</w:t>
      </w:r>
      <w:r w:rsidR="00AF42FD">
        <w:t> </w:t>
      </w:r>
      <w:r w:rsidR="00AF42FD" w:rsidRPr="00A03260">
        <w:t>240</w:t>
      </w:r>
      <w:r w:rsidR="00AF42FD">
        <w:t> </w:t>
      </w:r>
      <w:r w:rsidR="00AF42FD" w:rsidRPr="00815221">
        <w:rPr>
          <w:i/>
        </w:rPr>
        <w:t>euro</w:t>
      </w:r>
      <w:r w:rsidR="00AF42FD" w:rsidRPr="00A03260">
        <w:t xml:space="preserve"> un </w:t>
      </w:r>
      <w:r w:rsidRPr="00A03260">
        <w:t>VPR – 51</w:t>
      </w:r>
      <w:r w:rsidR="004A0ADC">
        <w:t> </w:t>
      </w:r>
      <w:r w:rsidRPr="00A03260">
        <w:t>594</w:t>
      </w:r>
      <w:r w:rsidR="004A0ADC">
        <w:t> </w:t>
      </w:r>
      <w:r w:rsidRPr="00815221">
        <w:rPr>
          <w:i/>
        </w:rPr>
        <w:t>euro</w:t>
      </w:r>
      <w:r w:rsidRPr="00A03260">
        <w:t>);</w:t>
      </w:r>
    </w:p>
    <w:p w:rsidR="00424712" w:rsidRPr="00A03260" w:rsidRDefault="00424712" w:rsidP="00424712">
      <w:pPr>
        <w:pStyle w:val="naiskr"/>
        <w:tabs>
          <w:tab w:val="left" w:pos="170"/>
        </w:tabs>
        <w:spacing w:before="0" w:after="0"/>
        <w:jc w:val="both"/>
      </w:pPr>
      <w:r w:rsidRPr="00A03260">
        <w:rPr>
          <w:b/>
        </w:rPr>
        <w:lastRenderedPageBreak/>
        <w:t>2016. gadā</w:t>
      </w:r>
      <w:r w:rsidRPr="00A03260">
        <w:t xml:space="preserve"> nepieciešams līdzfinansējums un priekšfinansējums kopā 92</w:t>
      </w:r>
      <w:r w:rsidR="004A0ADC">
        <w:t> </w:t>
      </w:r>
      <w:r w:rsidRPr="00A03260">
        <w:t>880</w:t>
      </w:r>
      <w:r w:rsidR="004A0ADC">
        <w:t> </w:t>
      </w:r>
      <w:r w:rsidRPr="00A03260">
        <w:rPr>
          <w:i/>
        </w:rPr>
        <w:t>euro</w:t>
      </w:r>
      <w:r w:rsidRPr="00A03260">
        <w:t xml:space="preserve"> apmērā (tajā skaitā </w:t>
      </w:r>
      <w:r w:rsidR="00AF42FD" w:rsidRPr="00A03260">
        <w:t>ZPR – 47</w:t>
      </w:r>
      <w:r w:rsidR="00AF42FD">
        <w:t> </w:t>
      </w:r>
      <w:r w:rsidR="00AF42FD" w:rsidRPr="00A03260">
        <w:t>650</w:t>
      </w:r>
      <w:r w:rsidR="00AF42FD">
        <w:t> </w:t>
      </w:r>
      <w:r w:rsidR="00AF42FD" w:rsidRPr="00A03260">
        <w:rPr>
          <w:i/>
        </w:rPr>
        <w:t>euro</w:t>
      </w:r>
      <w:r w:rsidR="00AF42FD" w:rsidRPr="00A03260">
        <w:t xml:space="preserve"> un </w:t>
      </w:r>
      <w:r w:rsidRPr="00A03260">
        <w:t>VPR – 45</w:t>
      </w:r>
      <w:r w:rsidR="004A0ADC">
        <w:t> </w:t>
      </w:r>
      <w:r w:rsidRPr="00A03260">
        <w:t>230</w:t>
      </w:r>
      <w:r w:rsidR="004A0ADC">
        <w:t> </w:t>
      </w:r>
      <w:r w:rsidRPr="00A03260">
        <w:rPr>
          <w:i/>
        </w:rPr>
        <w:t>euro</w:t>
      </w:r>
      <w:r w:rsidRPr="00A03260">
        <w:t>).</w:t>
      </w:r>
    </w:p>
    <w:p w:rsidR="00424712" w:rsidRPr="00A03260" w:rsidRDefault="00424712" w:rsidP="00424712">
      <w:pPr>
        <w:pStyle w:val="naiskr"/>
        <w:tabs>
          <w:tab w:val="left" w:pos="170"/>
        </w:tabs>
        <w:spacing w:before="0" w:after="0"/>
        <w:jc w:val="both"/>
      </w:pPr>
      <w:r w:rsidRPr="00A03260">
        <w:rPr>
          <w:b/>
        </w:rPr>
        <w:t>2017. gadā</w:t>
      </w:r>
      <w:r w:rsidRPr="00A03260">
        <w:t xml:space="preserve"> nepieciešams līdzfinansējums un priekšfinansējums kopā 7</w:t>
      </w:r>
      <w:r w:rsidR="004A0ADC">
        <w:t> </w:t>
      </w:r>
      <w:r w:rsidRPr="00A03260">
        <w:t>000</w:t>
      </w:r>
      <w:r w:rsidR="004A0ADC">
        <w:t> </w:t>
      </w:r>
      <w:r w:rsidRPr="00A03260">
        <w:rPr>
          <w:i/>
        </w:rPr>
        <w:t>euro</w:t>
      </w:r>
      <w:r w:rsidRPr="00A03260">
        <w:t xml:space="preserve"> apmērā (tajā skaitā </w:t>
      </w:r>
      <w:r w:rsidR="00AF42FD" w:rsidRPr="00A03260">
        <w:t>ZPR – 4</w:t>
      </w:r>
      <w:r w:rsidR="00AF42FD">
        <w:t> </w:t>
      </w:r>
      <w:r w:rsidR="00AF42FD" w:rsidRPr="00A03260">
        <w:t>000</w:t>
      </w:r>
      <w:r w:rsidR="00AF42FD">
        <w:t> </w:t>
      </w:r>
      <w:r w:rsidR="00AF42FD" w:rsidRPr="00A03260">
        <w:rPr>
          <w:i/>
        </w:rPr>
        <w:t>euro</w:t>
      </w:r>
      <w:r w:rsidR="00AF42FD" w:rsidRPr="00A03260">
        <w:t xml:space="preserve"> un </w:t>
      </w:r>
      <w:r w:rsidRPr="00A03260">
        <w:t>VPR – 3</w:t>
      </w:r>
      <w:r w:rsidR="004A0ADC">
        <w:t> </w:t>
      </w:r>
      <w:r w:rsidRPr="00A03260">
        <w:t>000</w:t>
      </w:r>
      <w:r w:rsidR="004A0ADC">
        <w:t> </w:t>
      </w:r>
      <w:r w:rsidRPr="00A03260">
        <w:rPr>
          <w:i/>
        </w:rPr>
        <w:t>euro</w:t>
      </w:r>
      <w:r w:rsidRPr="00A03260">
        <w:t>).</w:t>
      </w:r>
    </w:p>
    <w:p w:rsidR="00424712" w:rsidRPr="00815221" w:rsidRDefault="00424712" w:rsidP="00424712">
      <w:pPr>
        <w:pStyle w:val="naiskr"/>
        <w:tabs>
          <w:tab w:val="left" w:pos="170"/>
        </w:tabs>
        <w:spacing w:before="0" w:after="0"/>
        <w:jc w:val="both"/>
      </w:pPr>
    </w:p>
    <w:p w:rsidR="00424712" w:rsidRPr="00A03260" w:rsidRDefault="00424712" w:rsidP="00424712">
      <w:pPr>
        <w:pStyle w:val="naiskr"/>
        <w:tabs>
          <w:tab w:val="left" w:pos="170"/>
        </w:tabs>
        <w:spacing w:before="0" w:after="0"/>
        <w:jc w:val="both"/>
      </w:pPr>
      <w:r w:rsidRPr="00A03260">
        <w:t xml:space="preserve">Atmaksas VARAM valsts budžetā tiks ieplānotas atbilstoši Granta līguma </w:t>
      </w:r>
      <w:r w:rsidRPr="00815221">
        <w:t>Nr.</w:t>
      </w:r>
      <w:r w:rsidRPr="00A03260">
        <w:t xml:space="preserve"> 621129 par projekta ieviešanu paredzētajiem termiņiem </w:t>
      </w:r>
      <w:r w:rsidRPr="00815221">
        <w:t>2017. gadā</w:t>
      </w:r>
      <w:r w:rsidRPr="00A03260">
        <w:t xml:space="preserve">, kopumā </w:t>
      </w:r>
      <w:r w:rsidR="00510CA6">
        <w:t>82 234</w:t>
      </w:r>
      <w:r w:rsidR="004A0ADC">
        <w:t> </w:t>
      </w:r>
      <w:r w:rsidRPr="00815221">
        <w:rPr>
          <w:i/>
        </w:rPr>
        <w:t>euro</w:t>
      </w:r>
      <w:r w:rsidRPr="00A03260">
        <w:t xml:space="preserve"> apmērā. Plānošanas reģioni pēc atmaksu saņemšanas tās ieskaitīs VARAM attiecīgajā kontā, kas tālāk tiks ieskaitītas valsts budžetā.</w:t>
      </w:r>
    </w:p>
    <w:p w:rsidR="00424712" w:rsidRPr="00A03260" w:rsidRDefault="00424712" w:rsidP="00424712">
      <w:pPr>
        <w:pStyle w:val="naiskr"/>
        <w:tabs>
          <w:tab w:val="left" w:pos="170"/>
        </w:tabs>
        <w:spacing w:before="0" w:after="0"/>
        <w:jc w:val="both"/>
      </w:pPr>
    </w:p>
    <w:p w:rsidR="00424712" w:rsidRPr="00815221" w:rsidRDefault="00EE67AB" w:rsidP="00815221">
      <w:pPr>
        <w:spacing w:after="0" w:line="240" w:lineRule="auto"/>
        <w:jc w:val="both"/>
      </w:pPr>
      <w:r>
        <w:rPr>
          <w:szCs w:val="24"/>
        </w:rPr>
        <w:t>P</w:t>
      </w:r>
      <w:r w:rsidR="00424712" w:rsidRPr="00A03260">
        <w:rPr>
          <w:szCs w:val="24"/>
        </w:rPr>
        <w:t>apildu</w:t>
      </w:r>
      <w:r w:rsidR="00424712" w:rsidRPr="00815221">
        <w:t xml:space="preserve"> finansējums </w:t>
      </w:r>
      <w:r w:rsidR="00424712" w:rsidRPr="00A03260">
        <w:rPr>
          <w:szCs w:val="24"/>
        </w:rPr>
        <w:t xml:space="preserve">projekta </w:t>
      </w:r>
      <w:r w:rsidR="00424712" w:rsidRPr="00815221">
        <w:t>uzturēšanas un citiem ilgtspējas nodrošināšanas izdevumiem no valsts budžeta pamatfunkciju izdevumiem pēc projekta pabeigšanas nebūs nepieciešami.</w:t>
      </w:r>
    </w:p>
    <w:p w:rsidR="00424712" w:rsidRPr="00815221" w:rsidRDefault="00424712" w:rsidP="00424712">
      <w:pPr>
        <w:pStyle w:val="naiskr"/>
        <w:tabs>
          <w:tab w:val="left" w:pos="170"/>
        </w:tabs>
        <w:spacing w:before="0" w:after="0"/>
        <w:jc w:val="both"/>
      </w:pPr>
    </w:p>
    <w:p w:rsidR="00424712" w:rsidRDefault="00424712" w:rsidP="00424712">
      <w:pPr>
        <w:tabs>
          <w:tab w:val="left" w:pos="0"/>
        </w:tabs>
        <w:spacing w:after="0" w:line="240" w:lineRule="auto"/>
        <w:jc w:val="both"/>
        <w:rPr>
          <w:szCs w:val="24"/>
        </w:rPr>
      </w:pPr>
    </w:p>
    <w:p w:rsidR="008271CF" w:rsidRPr="00D11143" w:rsidRDefault="008271CF" w:rsidP="00424712">
      <w:pPr>
        <w:tabs>
          <w:tab w:val="left" w:pos="0"/>
        </w:tabs>
        <w:spacing w:after="0" w:line="240" w:lineRule="auto"/>
        <w:jc w:val="both"/>
        <w:rPr>
          <w:szCs w:val="24"/>
        </w:rPr>
      </w:pPr>
    </w:p>
    <w:p w:rsidR="00424712" w:rsidRPr="00D11143" w:rsidRDefault="00424712" w:rsidP="00815221">
      <w:pPr>
        <w:spacing w:after="0" w:line="240" w:lineRule="auto"/>
        <w:jc w:val="both"/>
        <w:rPr>
          <w:szCs w:val="24"/>
        </w:rPr>
      </w:pPr>
      <w:r w:rsidRPr="00D11143">
        <w:rPr>
          <w:szCs w:val="24"/>
        </w:rPr>
        <w:t>Vides aizsardzības u</w:t>
      </w:r>
      <w:r w:rsidR="004A0ADC">
        <w:rPr>
          <w:szCs w:val="24"/>
        </w:rPr>
        <w:t>n reģionālās attīstības ministrs</w:t>
      </w:r>
      <w:r w:rsidRPr="00D11143">
        <w:rPr>
          <w:szCs w:val="24"/>
        </w:rPr>
        <w:tab/>
      </w:r>
      <w:r w:rsidRPr="00D11143">
        <w:rPr>
          <w:szCs w:val="24"/>
        </w:rPr>
        <w:tab/>
      </w:r>
      <w:r w:rsidRPr="00D11143">
        <w:rPr>
          <w:szCs w:val="24"/>
        </w:rPr>
        <w:tab/>
      </w:r>
      <w:r w:rsidRPr="00D11143">
        <w:rPr>
          <w:szCs w:val="24"/>
        </w:rPr>
        <w:tab/>
      </w:r>
      <w:r w:rsidR="004A0ADC">
        <w:rPr>
          <w:szCs w:val="24"/>
        </w:rPr>
        <w:t>R</w:t>
      </w:r>
      <w:r w:rsidRPr="00D11143">
        <w:rPr>
          <w:szCs w:val="24"/>
        </w:rPr>
        <w:t>.</w:t>
      </w:r>
      <w:r w:rsidR="004A0ADC">
        <w:rPr>
          <w:szCs w:val="24"/>
        </w:rPr>
        <w:t> Naudiņš</w:t>
      </w:r>
    </w:p>
    <w:p w:rsidR="00424712" w:rsidRDefault="00424712" w:rsidP="00815221">
      <w:pPr>
        <w:tabs>
          <w:tab w:val="left" w:pos="6096"/>
        </w:tabs>
        <w:spacing w:after="0" w:line="240" w:lineRule="auto"/>
        <w:jc w:val="both"/>
        <w:rPr>
          <w:szCs w:val="24"/>
        </w:rPr>
      </w:pPr>
    </w:p>
    <w:p w:rsidR="008271CF" w:rsidRPr="00D11143" w:rsidRDefault="008271CF" w:rsidP="00815221">
      <w:pPr>
        <w:tabs>
          <w:tab w:val="left" w:pos="6096"/>
        </w:tabs>
        <w:spacing w:after="0" w:line="240" w:lineRule="auto"/>
        <w:jc w:val="both"/>
        <w:rPr>
          <w:szCs w:val="24"/>
        </w:rPr>
      </w:pPr>
    </w:p>
    <w:p w:rsidR="00424712" w:rsidRPr="00D11143" w:rsidRDefault="00424712" w:rsidP="00815221">
      <w:pPr>
        <w:spacing w:after="0" w:line="240" w:lineRule="auto"/>
        <w:jc w:val="both"/>
        <w:rPr>
          <w:szCs w:val="24"/>
        </w:rPr>
      </w:pPr>
      <w:r w:rsidRPr="00D11143">
        <w:rPr>
          <w:szCs w:val="24"/>
        </w:rPr>
        <w:t>Vīza: valsts sekretār</w:t>
      </w:r>
      <w:r w:rsidR="004A0ADC">
        <w:rPr>
          <w:szCs w:val="24"/>
        </w:rPr>
        <w:t>s</w:t>
      </w:r>
      <w:r w:rsidR="004A0ADC">
        <w:rPr>
          <w:szCs w:val="24"/>
        </w:rPr>
        <w:tab/>
      </w:r>
      <w:r w:rsidR="004A0ADC">
        <w:rPr>
          <w:szCs w:val="24"/>
        </w:rPr>
        <w:tab/>
      </w:r>
      <w:r w:rsidR="004A0ADC">
        <w:rPr>
          <w:szCs w:val="24"/>
        </w:rPr>
        <w:tab/>
      </w:r>
      <w:r w:rsidR="004A0ADC">
        <w:rPr>
          <w:szCs w:val="24"/>
        </w:rPr>
        <w:tab/>
      </w:r>
      <w:r w:rsidRPr="00D11143">
        <w:rPr>
          <w:szCs w:val="24"/>
        </w:rPr>
        <w:tab/>
      </w:r>
      <w:r w:rsidRPr="00D11143">
        <w:rPr>
          <w:szCs w:val="24"/>
        </w:rPr>
        <w:tab/>
      </w:r>
      <w:r w:rsidRPr="00D11143">
        <w:rPr>
          <w:szCs w:val="24"/>
        </w:rPr>
        <w:tab/>
      </w:r>
      <w:r w:rsidRPr="00D11143">
        <w:rPr>
          <w:szCs w:val="24"/>
        </w:rPr>
        <w:tab/>
      </w:r>
      <w:r w:rsidR="004A0ADC">
        <w:rPr>
          <w:szCs w:val="24"/>
        </w:rPr>
        <w:t>G</w:t>
      </w:r>
      <w:r w:rsidRPr="00D11143">
        <w:rPr>
          <w:szCs w:val="24"/>
        </w:rPr>
        <w:t>.</w:t>
      </w:r>
      <w:r w:rsidR="004A0ADC">
        <w:rPr>
          <w:szCs w:val="24"/>
        </w:rPr>
        <w:t> Puķītis</w:t>
      </w:r>
    </w:p>
    <w:p w:rsidR="00424712" w:rsidRDefault="00424712" w:rsidP="00815221">
      <w:pPr>
        <w:tabs>
          <w:tab w:val="left" w:pos="7371"/>
        </w:tabs>
        <w:spacing w:after="0" w:line="240" w:lineRule="auto"/>
        <w:jc w:val="both"/>
        <w:rPr>
          <w:szCs w:val="24"/>
        </w:rPr>
      </w:pPr>
    </w:p>
    <w:p w:rsidR="008271CF" w:rsidRPr="00D11143" w:rsidRDefault="008271CF" w:rsidP="00815221">
      <w:pPr>
        <w:tabs>
          <w:tab w:val="left" w:pos="7371"/>
        </w:tabs>
        <w:spacing w:after="0" w:line="240" w:lineRule="auto"/>
        <w:jc w:val="both"/>
        <w:rPr>
          <w:szCs w:val="24"/>
        </w:rPr>
      </w:pPr>
    </w:p>
    <w:p w:rsidR="00424712" w:rsidRPr="00EB6C53" w:rsidRDefault="002D3A68" w:rsidP="00815221">
      <w:pPr>
        <w:spacing w:after="0" w:line="240" w:lineRule="auto"/>
        <w:jc w:val="both"/>
        <w:rPr>
          <w:sz w:val="20"/>
          <w:szCs w:val="20"/>
        </w:rPr>
      </w:pPr>
      <w:r w:rsidRPr="00EB6C53">
        <w:rPr>
          <w:sz w:val="20"/>
          <w:szCs w:val="20"/>
        </w:rPr>
        <w:fldChar w:fldCharType="begin"/>
      </w:r>
      <w:r w:rsidR="00424712" w:rsidRPr="00EB6C53">
        <w:rPr>
          <w:sz w:val="20"/>
          <w:szCs w:val="20"/>
        </w:rPr>
        <w:instrText xml:space="preserve"> TIME \@ "dd.MM.yyyy H:mm" </w:instrText>
      </w:r>
      <w:r w:rsidRPr="00EB6C53">
        <w:rPr>
          <w:sz w:val="20"/>
          <w:szCs w:val="20"/>
        </w:rPr>
        <w:fldChar w:fldCharType="separate"/>
      </w:r>
      <w:r w:rsidR="00615EC1">
        <w:rPr>
          <w:noProof/>
          <w:sz w:val="20"/>
          <w:szCs w:val="20"/>
        </w:rPr>
        <w:t>06.06.2014 13:29</w:t>
      </w:r>
      <w:r w:rsidRPr="00EB6C53">
        <w:rPr>
          <w:sz w:val="20"/>
          <w:szCs w:val="20"/>
        </w:rPr>
        <w:fldChar w:fldCharType="end"/>
      </w:r>
    </w:p>
    <w:p w:rsidR="00424712" w:rsidRPr="00EB6C53" w:rsidRDefault="00F7243B" w:rsidP="00815221">
      <w:pPr>
        <w:spacing w:after="0" w:line="240" w:lineRule="auto"/>
        <w:jc w:val="both"/>
        <w:rPr>
          <w:sz w:val="20"/>
          <w:szCs w:val="20"/>
        </w:rPr>
      </w:pPr>
      <w:r w:rsidRPr="00EB6C53">
        <w:rPr>
          <w:sz w:val="20"/>
          <w:szCs w:val="20"/>
        </w:rPr>
        <w:t>2</w:t>
      </w:r>
      <w:r w:rsidR="008133B8">
        <w:rPr>
          <w:sz w:val="20"/>
          <w:szCs w:val="20"/>
        </w:rPr>
        <w:t>9</w:t>
      </w:r>
      <w:r w:rsidR="00B82933">
        <w:rPr>
          <w:sz w:val="20"/>
          <w:szCs w:val="20"/>
        </w:rPr>
        <w:t>31</w:t>
      </w:r>
    </w:p>
    <w:p w:rsidR="00424712" w:rsidRPr="00EB6C53" w:rsidRDefault="00424712" w:rsidP="00815221">
      <w:pPr>
        <w:spacing w:after="0" w:line="240" w:lineRule="auto"/>
        <w:jc w:val="both"/>
        <w:rPr>
          <w:sz w:val="20"/>
          <w:szCs w:val="20"/>
        </w:rPr>
      </w:pPr>
      <w:r w:rsidRPr="00EB6C53">
        <w:rPr>
          <w:sz w:val="20"/>
          <w:szCs w:val="20"/>
        </w:rPr>
        <w:t>I. Freiberga</w:t>
      </w:r>
      <w:bookmarkStart w:id="4" w:name="_GoBack"/>
      <w:bookmarkEnd w:id="4"/>
    </w:p>
    <w:p w:rsidR="005A6D27" w:rsidRPr="00EB6C53" w:rsidRDefault="00424712" w:rsidP="004A0ADC">
      <w:pPr>
        <w:spacing w:after="0" w:line="240" w:lineRule="auto"/>
        <w:jc w:val="both"/>
        <w:rPr>
          <w:sz w:val="20"/>
          <w:szCs w:val="20"/>
        </w:rPr>
      </w:pPr>
      <w:r w:rsidRPr="00EB6C53">
        <w:rPr>
          <w:sz w:val="20"/>
          <w:szCs w:val="20"/>
        </w:rPr>
        <w:t xml:space="preserve">66016770, </w:t>
      </w:r>
      <w:hyperlink r:id="rId8" w:history="1">
        <w:r w:rsidR="00EB6C53" w:rsidRPr="005D7239">
          <w:rPr>
            <w:rStyle w:val="Hyperlink"/>
            <w:sz w:val="20"/>
            <w:szCs w:val="20"/>
          </w:rPr>
          <w:t>iveta.freiberga@varam.gov.lv</w:t>
        </w:r>
      </w:hyperlink>
    </w:p>
    <w:sectPr w:rsidR="005A6D27" w:rsidRPr="00EB6C53" w:rsidSect="00B3136B">
      <w:headerReference w:type="default" r:id="rId9"/>
      <w:footerReference w:type="default" r:id="rId10"/>
      <w:footerReference w:type="first" r:id="rId11"/>
      <w:pgSz w:w="11906" w:h="16838" w:code="9"/>
      <w:pgMar w:top="1134" w:right="1134" w:bottom="1702" w:left="1797" w:header="624" w:footer="4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58" w:rsidRDefault="00F96358" w:rsidP="00424712">
      <w:pPr>
        <w:spacing w:after="0" w:line="240" w:lineRule="auto"/>
      </w:pPr>
      <w:r>
        <w:separator/>
      </w:r>
    </w:p>
  </w:endnote>
  <w:endnote w:type="continuationSeparator" w:id="0">
    <w:p w:rsidR="00F96358" w:rsidRDefault="00F96358" w:rsidP="0042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DA" w:rsidRDefault="002D3A68" w:rsidP="00125CDA">
    <w:pPr>
      <w:pStyle w:val="Footer"/>
      <w:spacing w:after="0" w:line="240" w:lineRule="auto"/>
      <w:jc w:val="both"/>
    </w:pPr>
    <w:fldSimple w:instr=" FILENAME  \* Caps  \* MERGEFORMAT ">
      <w:r w:rsidR="00615EC1" w:rsidRPr="00615EC1">
        <w:rPr>
          <w:noProof/>
          <w:sz w:val="20"/>
          <w:szCs w:val="20"/>
        </w:rPr>
        <w:t>Varamzino_060614_SDI4Apps</w:t>
      </w:r>
    </w:fldSimple>
    <w:r w:rsidR="00125CDA" w:rsidRPr="00493EE4">
      <w:rPr>
        <w:sz w:val="20"/>
        <w:szCs w:val="20"/>
      </w:rPr>
      <w:t>: „Par papildu vals</w:t>
    </w:r>
    <w:r w:rsidR="00125CDA">
      <w:rPr>
        <w:sz w:val="20"/>
        <w:szCs w:val="20"/>
      </w:rPr>
      <w:t xml:space="preserve">ts budžeta saistību uzņemšanos </w:t>
    </w:r>
    <w:r w:rsidR="00125CDA" w:rsidRPr="0026089C">
      <w:rPr>
        <w:sz w:val="20"/>
        <w:szCs w:val="20"/>
      </w:rPr>
      <w:t>Eiropas Savienības Konkurētspējas un inovācijas ietvarprogrammas „Informācijas un komunikāciju tehnoloģijas politikas atbalsta programma (ICT PSP)”</w:t>
    </w:r>
    <w:r w:rsidR="00125CDA">
      <w:rPr>
        <w:sz w:val="20"/>
        <w:szCs w:val="20"/>
      </w:rPr>
      <w:t xml:space="preserve"> ietvaros </w:t>
    </w:r>
    <w:r w:rsidR="00125CDA" w:rsidRPr="00493EE4">
      <w:rPr>
        <w:sz w:val="20"/>
        <w:szCs w:val="20"/>
      </w:rPr>
      <w:t>apstiprinātā projekta „</w:t>
    </w:r>
    <w:r w:rsidR="00125CDA">
      <w:rPr>
        <w:sz w:val="20"/>
        <w:szCs w:val="20"/>
      </w:rPr>
      <w:t>Atvērtās ģeogrāfiskās informācijas pārņemšana, izmantojot saistīto datu inovatīvus servisus (SDI4Apps)</w:t>
    </w:r>
    <w:r w:rsidR="00125CDA" w:rsidRPr="00493EE4">
      <w:rPr>
        <w:sz w:val="20"/>
        <w:szCs w:val="20"/>
      </w:rPr>
      <w:t>” ieviešanai</w:t>
    </w:r>
    <w:r w:rsidR="00BC680E">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DA" w:rsidRPr="00EE6DDA" w:rsidRDefault="002D3A68" w:rsidP="00125CDA">
    <w:pPr>
      <w:pStyle w:val="Footer"/>
      <w:spacing w:after="0" w:line="240" w:lineRule="auto"/>
      <w:jc w:val="both"/>
      <w:rPr>
        <w:sz w:val="20"/>
        <w:szCs w:val="20"/>
      </w:rPr>
    </w:pPr>
    <w:fldSimple w:instr=" FILENAME  \* Caps  \* MERGEFORMAT ">
      <w:r w:rsidR="00615EC1" w:rsidRPr="00615EC1">
        <w:rPr>
          <w:noProof/>
          <w:sz w:val="20"/>
          <w:szCs w:val="20"/>
        </w:rPr>
        <w:t>Varamzino_060614_SDI4Apps</w:t>
      </w:r>
    </w:fldSimple>
    <w:r w:rsidR="00125CDA" w:rsidRPr="00493EE4">
      <w:rPr>
        <w:sz w:val="20"/>
        <w:szCs w:val="20"/>
      </w:rPr>
      <w:t xml:space="preserve">: </w:t>
    </w:r>
    <w:r w:rsidR="00BC680E" w:rsidRPr="00493EE4">
      <w:rPr>
        <w:sz w:val="20"/>
        <w:szCs w:val="20"/>
      </w:rPr>
      <w:t>„Par papildu vals</w:t>
    </w:r>
    <w:r w:rsidR="00BC680E">
      <w:rPr>
        <w:sz w:val="20"/>
        <w:szCs w:val="20"/>
      </w:rPr>
      <w:t xml:space="preserve">ts budžeta saistību uzņemšanos </w:t>
    </w:r>
    <w:r w:rsidR="00BC680E" w:rsidRPr="0026089C">
      <w:rPr>
        <w:sz w:val="20"/>
        <w:szCs w:val="20"/>
      </w:rPr>
      <w:t>Eiropas Savienības Konkurētspējas un inovācijas ietvarprogrammas „Informācijas un komunikāciju tehnoloģijas politikas atbalsta programma (ICT PSP)”</w:t>
    </w:r>
    <w:r w:rsidR="00BC680E">
      <w:rPr>
        <w:sz w:val="20"/>
        <w:szCs w:val="20"/>
      </w:rPr>
      <w:t xml:space="preserve"> ietvaros </w:t>
    </w:r>
    <w:r w:rsidR="00BC680E" w:rsidRPr="00493EE4">
      <w:rPr>
        <w:sz w:val="20"/>
        <w:szCs w:val="20"/>
      </w:rPr>
      <w:t>apstiprinātā projekta „</w:t>
    </w:r>
    <w:r w:rsidR="00BC680E">
      <w:rPr>
        <w:sz w:val="20"/>
        <w:szCs w:val="20"/>
      </w:rPr>
      <w:t>Atvērtās ģeogrāfiskās informācijas pārņemšana, izmantojot saistīto datu inovatīvus servisus (SDI4Apps)</w:t>
    </w:r>
    <w:r w:rsidR="00BC680E" w:rsidRPr="00493EE4">
      <w:rPr>
        <w:sz w:val="20"/>
        <w:szCs w:val="20"/>
      </w:rPr>
      <w:t>” ieviešanai</w:t>
    </w:r>
    <w:r w:rsidR="00BC680E">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58" w:rsidRDefault="00F96358" w:rsidP="00424712">
      <w:pPr>
        <w:spacing w:after="0" w:line="240" w:lineRule="auto"/>
      </w:pPr>
      <w:r>
        <w:separator/>
      </w:r>
    </w:p>
  </w:footnote>
  <w:footnote w:type="continuationSeparator" w:id="0">
    <w:p w:rsidR="00F96358" w:rsidRDefault="00F96358" w:rsidP="00424712">
      <w:pPr>
        <w:spacing w:after="0" w:line="240" w:lineRule="auto"/>
      </w:pPr>
      <w:r>
        <w:continuationSeparator/>
      </w:r>
    </w:p>
  </w:footnote>
  <w:footnote w:id="1">
    <w:p w:rsidR="00125CDA" w:rsidRPr="00A2452E" w:rsidRDefault="00125CDA" w:rsidP="00424712">
      <w:pPr>
        <w:pStyle w:val="FootnoteText"/>
        <w:spacing w:after="0" w:line="240" w:lineRule="auto"/>
        <w:ind w:left="142" w:hanging="142"/>
        <w:jc w:val="both"/>
      </w:pPr>
      <w:r w:rsidRPr="00A2452E">
        <w:rPr>
          <w:rStyle w:val="FootnoteReference"/>
        </w:rPr>
        <w:footnoteRef/>
      </w:r>
      <w:r w:rsidRPr="00A2452E">
        <w:t> Komisijas paziņojums Eiropas Parlamentam, Digitālā programma Eiropai, COM (2010), 245.</w:t>
      </w:r>
    </w:p>
  </w:footnote>
  <w:footnote w:id="2">
    <w:p w:rsidR="009943B1" w:rsidRPr="00F017B0" w:rsidRDefault="009943B1" w:rsidP="009943B1">
      <w:pPr>
        <w:pStyle w:val="FootnoteText"/>
        <w:spacing w:after="0" w:line="240" w:lineRule="auto"/>
        <w:ind w:left="142" w:hanging="142"/>
        <w:jc w:val="both"/>
      </w:pPr>
      <w:r>
        <w:rPr>
          <w:rStyle w:val="FootnoteReference"/>
        </w:rPr>
        <w:footnoteRef/>
      </w:r>
      <w:r>
        <w:t> </w:t>
      </w:r>
      <w:r w:rsidRPr="00B3136B">
        <w:rPr>
          <w:rFonts w:eastAsia="Times New Roman"/>
        </w:rPr>
        <w:t>Ministru</w:t>
      </w:r>
      <w:r>
        <w:t xml:space="preserve"> kabineta 2013. gada 14. o</w:t>
      </w:r>
      <w:r w:rsidRPr="00A2452E">
        <w:t>ktobra rīkojums Nr.</w:t>
      </w:r>
      <w:r w:rsidR="00FE159C">
        <w:t> </w:t>
      </w:r>
      <w:r w:rsidRPr="00A2452E">
        <w:t>468 „Par Informācijas sabiedrības attīstības pamatnostādnēm 2014.-2020.</w:t>
      </w:r>
      <w:r>
        <w:t> </w:t>
      </w:r>
      <w:r w:rsidRPr="00A2452E">
        <w:t xml:space="preserve">gadam” </w:t>
      </w:r>
      <w:hyperlink r:id="rId1" w:history="1">
        <w:r w:rsidRPr="00A2452E">
          <w:rPr>
            <w:rStyle w:val="Hyperlink"/>
          </w:rPr>
          <w:t>http://polsis.mk.gov.lv/view.do?id=4518</w:t>
        </w:r>
      </w:hyperlink>
    </w:p>
  </w:footnote>
  <w:footnote w:id="3">
    <w:p w:rsidR="00125CDA" w:rsidRPr="00A2452E" w:rsidRDefault="00125CDA" w:rsidP="00B3136B">
      <w:pPr>
        <w:pStyle w:val="FootnoteText"/>
        <w:spacing w:after="0" w:line="240" w:lineRule="auto"/>
        <w:ind w:left="142" w:hanging="142"/>
        <w:jc w:val="both"/>
      </w:pPr>
      <w:r w:rsidRPr="00A2452E">
        <w:rPr>
          <w:rStyle w:val="FootnoteReference"/>
        </w:rPr>
        <w:footnoteRef/>
      </w:r>
      <w:r w:rsidRPr="00A2452E">
        <w:t xml:space="preserve"> </w:t>
      </w:r>
      <w:r w:rsidRPr="00A2452E">
        <w:rPr>
          <w:rFonts w:eastAsia="Times New Roman"/>
        </w:rPr>
        <w:t>Eiropas digitalizācijas programma – digitalizācijas virzīta Eiropas izaugsme (</w:t>
      </w:r>
      <w:proofErr w:type="spellStart"/>
      <w:r w:rsidRPr="00A2452E">
        <w:rPr>
          <w:rFonts w:eastAsia="Times New Roman"/>
          <w:i/>
        </w:rPr>
        <w:t>Digital</w:t>
      </w:r>
      <w:proofErr w:type="spellEnd"/>
      <w:r w:rsidRPr="00A2452E">
        <w:rPr>
          <w:rFonts w:eastAsia="Times New Roman"/>
          <w:i/>
        </w:rPr>
        <w:t xml:space="preserve"> </w:t>
      </w:r>
      <w:proofErr w:type="spellStart"/>
      <w:r w:rsidRPr="00A2452E">
        <w:rPr>
          <w:rFonts w:eastAsia="Times New Roman"/>
          <w:i/>
        </w:rPr>
        <w:t>Agenda</w:t>
      </w:r>
      <w:proofErr w:type="spellEnd"/>
      <w:r w:rsidRPr="00A2452E">
        <w:rPr>
          <w:rFonts w:eastAsia="Times New Roman"/>
          <w:i/>
        </w:rPr>
        <w:t xml:space="preserve"> </w:t>
      </w:r>
      <w:proofErr w:type="spellStart"/>
      <w:r w:rsidRPr="00A2452E">
        <w:rPr>
          <w:rFonts w:eastAsia="Times New Roman"/>
          <w:i/>
        </w:rPr>
        <w:t>for</w:t>
      </w:r>
      <w:proofErr w:type="spellEnd"/>
      <w:r w:rsidRPr="00A2452E">
        <w:rPr>
          <w:rFonts w:eastAsia="Times New Roman"/>
          <w:i/>
        </w:rPr>
        <w:t xml:space="preserve"> </w:t>
      </w:r>
      <w:proofErr w:type="spellStart"/>
      <w:r w:rsidRPr="00A2452E">
        <w:rPr>
          <w:rFonts w:eastAsia="Times New Roman"/>
          <w:i/>
        </w:rPr>
        <w:t>Europe</w:t>
      </w:r>
      <w:proofErr w:type="spellEnd"/>
      <w:r w:rsidRPr="00A2452E">
        <w:rPr>
          <w:rFonts w:eastAsia="Times New Roman"/>
          <w:i/>
        </w:rPr>
        <w:t xml:space="preserve"> - </w:t>
      </w:r>
      <w:proofErr w:type="spellStart"/>
      <w:r w:rsidRPr="00A2452E">
        <w:rPr>
          <w:rFonts w:eastAsia="Times New Roman"/>
          <w:i/>
        </w:rPr>
        <w:t>Driving</w:t>
      </w:r>
      <w:proofErr w:type="spellEnd"/>
      <w:r w:rsidRPr="00A2452E">
        <w:rPr>
          <w:rFonts w:eastAsia="Times New Roman"/>
          <w:i/>
        </w:rPr>
        <w:t xml:space="preserve"> </w:t>
      </w:r>
      <w:proofErr w:type="spellStart"/>
      <w:r w:rsidRPr="00A2452E">
        <w:rPr>
          <w:rFonts w:eastAsia="Times New Roman"/>
          <w:i/>
        </w:rPr>
        <w:t>European</w:t>
      </w:r>
      <w:proofErr w:type="spellEnd"/>
      <w:r w:rsidRPr="00A2452E">
        <w:rPr>
          <w:rFonts w:eastAsia="Times New Roman"/>
          <w:i/>
        </w:rPr>
        <w:t xml:space="preserve"> </w:t>
      </w:r>
      <w:proofErr w:type="spellStart"/>
      <w:r w:rsidRPr="00A2452E">
        <w:rPr>
          <w:rFonts w:eastAsia="Times New Roman"/>
          <w:i/>
        </w:rPr>
        <w:t>Growth</w:t>
      </w:r>
      <w:proofErr w:type="spellEnd"/>
      <w:r w:rsidRPr="00A2452E">
        <w:rPr>
          <w:rFonts w:eastAsia="Times New Roman"/>
          <w:i/>
        </w:rPr>
        <w:t xml:space="preserve"> </w:t>
      </w:r>
      <w:proofErr w:type="spellStart"/>
      <w:r w:rsidRPr="00A2452E">
        <w:rPr>
          <w:rFonts w:eastAsia="Times New Roman"/>
          <w:i/>
        </w:rPr>
        <w:t>Digitally</w:t>
      </w:r>
      <w:proofErr w:type="spellEnd"/>
      <w:r w:rsidRPr="00A2452E">
        <w:rPr>
          <w:rFonts w:eastAsia="Times New Roman"/>
        </w:rPr>
        <w:t>, 2012.</w:t>
      </w:r>
      <w:r w:rsidR="00FE159C">
        <w:rPr>
          <w:rFonts w:eastAsia="Times New Roman"/>
        </w:rPr>
        <w:t> </w:t>
      </w:r>
      <w:r w:rsidRPr="00A2452E">
        <w:rPr>
          <w:rFonts w:eastAsia="Times New Roman"/>
        </w:rPr>
        <w:t>gada 18.</w:t>
      </w:r>
      <w:r w:rsidR="00FE159C">
        <w:rPr>
          <w:rFonts w:eastAsia="Times New Roman"/>
        </w:rPr>
        <w:t> </w:t>
      </w:r>
      <w:r w:rsidRPr="00A2452E">
        <w:rPr>
          <w:rFonts w:eastAsia="Times New Roman"/>
        </w:rPr>
        <w:t>decembris, COM(2012)784</w:t>
      </w:r>
      <w:r w:rsidR="00FE159C">
        <w:rPr>
          <w:rFonts w:eastAsia="Times New Roman"/>
        </w:rPr>
        <w:t>.</w:t>
      </w:r>
    </w:p>
  </w:footnote>
  <w:footnote w:id="4">
    <w:p w:rsidR="00125CDA" w:rsidRPr="00A2452E" w:rsidRDefault="00125CDA" w:rsidP="00B3136B">
      <w:pPr>
        <w:pStyle w:val="FootnoteText"/>
        <w:spacing w:after="0" w:line="240" w:lineRule="auto"/>
        <w:ind w:left="142" w:hanging="142"/>
        <w:jc w:val="both"/>
      </w:pPr>
      <w:r w:rsidRPr="00A2452E">
        <w:rPr>
          <w:rStyle w:val="FootnoteReference"/>
        </w:rPr>
        <w:footnoteRef/>
      </w:r>
      <w:r>
        <w:t> </w:t>
      </w:r>
      <w:r w:rsidRPr="00A2452E">
        <w:t>Latvijas Ilgtermiņa attīstības stratēģija līdz 2030.</w:t>
      </w:r>
      <w:r w:rsidR="00FE159C">
        <w:t> g</w:t>
      </w:r>
      <w:r w:rsidRPr="00A2452E">
        <w:t>adam</w:t>
      </w:r>
      <w:r w:rsidR="00FE159C">
        <w:t xml:space="preserve">, </w:t>
      </w:r>
      <w:r w:rsidRPr="00A2452E">
        <w:t>apstiprināta Saeimā 2010.</w:t>
      </w:r>
      <w:r w:rsidR="00FE159C">
        <w:t> </w:t>
      </w:r>
      <w:r w:rsidRPr="00A2452E">
        <w:t>g</w:t>
      </w:r>
      <w:r>
        <w:t>ada</w:t>
      </w:r>
      <w:r w:rsidRPr="00A2452E">
        <w:t xml:space="preserve"> 10.</w:t>
      </w:r>
      <w:r w:rsidR="00FE159C">
        <w:t> j</w:t>
      </w:r>
      <w:r w:rsidRPr="00A2452E">
        <w:t>ūnijā</w:t>
      </w:r>
      <w:r w:rsidR="00FE159C">
        <w:t>,</w:t>
      </w:r>
      <w:r>
        <w:t xml:space="preserve"> </w:t>
      </w:r>
      <w:r w:rsidRPr="00A2452E">
        <w:t>http://www.pkc.gov.lv/latvija2030</w:t>
      </w:r>
    </w:p>
  </w:footnote>
  <w:footnote w:id="5">
    <w:p w:rsidR="00125CDA" w:rsidRPr="00A2452E" w:rsidRDefault="00125CDA" w:rsidP="00B3136B">
      <w:pPr>
        <w:pStyle w:val="FootnoteText"/>
        <w:spacing w:after="0" w:line="240" w:lineRule="auto"/>
        <w:ind w:left="142" w:hanging="142"/>
        <w:jc w:val="both"/>
      </w:pPr>
      <w:r w:rsidRPr="00A2452E">
        <w:rPr>
          <w:rStyle w:val="FootnoteReference"/>
        </w:rPr>
        <w:footnoteRef/>
      </w:r>
      <w:r>
        <w:t> </w:t>
      </w:r>
      <w:r w:rsidRPr="00A2452E">
        <w:t>PKC (</w:t>
      </w:r>
      <w:r w:rsidRPr="00B3136B">
        <w:rPr>
          <w:rFonts w:eastAsia="Times New Roman"/>
        </w:rPr>
        <w:t>2012</w:t>
      </w:r>
      <w:r w:rsidRPr="00A2452E">
        <w:t>) Latvijas Nacionālais attīstības plāns 2014.</w:t>
      </w:r>
      <w:r>
        <w:t>-</w:t>
      </w:r>
      <w:r w:rsidRPr="00A2452E">
        <w:t xml:space="preserve">2020. </w:t>
      </w:r>
      <w:r w:rsidR="00FE159C" w:rsidRPr="00A2452E">
        <w:t>G</w:t>
      </w:r>
      <w:r w:rsidRPr="00A2452E">
        <w:t>adam</w:t>
      </w:r>
      <w:r w:rsidR="00FE159C">
        <w:t>, a</w:t>
      </w:r>
      <w:r w:rsidRPr="00A2452E">
        <w:t xml:space="preserve">pstiprināts Saeimā </w:t>
      </w:r>
      <w:r w:rsidR="00FE159C">
        <w:t>2012. gada 20. decembrī.</w:t>
      </w:r>
    </w:p>
  </w:footnote>
  <w:footnote w:id="6">
    <w:p w:rsidR="00125CDA" w:rsidRPr="00A2452E" w:rsidRDefault="00125CDA" w:rsidP="00815221">
      <w:pPr>
        <w:pStyle w:val="FootnoteText"/>
        <w:spacing w:after="0" w:line="240" w:lineRule="auto"/>
        <w:ind w:left="142" w:hanging="142"/>
        <w:jc w:val="both"/>
      </w:pPr>
      <w:r w:rsidRPr="00A2452E">
        <w:rPr>
          <w:rStyle w:val="FootnoteReference"/>
        </w:rPr>
        <w:footnoteRef/>
      </w:r>
      <w:r>
        <w:t> </w:t>
      </w:r>
      <w:r w:rsidRPr="00A2452E">
        <w:t>Ministru kabineta 2013. gada 28. </w:t>
      </w:r>
      <w:r>
        <w:t>d</w:t>
      </w:r>
      <w:r w:rsidRPr="00A2452E">
        <w:t>ecembra rīkojums Nr.685 „Par Zinātnes, tehnoloģijas attīstības un inovācijas</w:t>
      </w:r>
      <w:r w:rsidR="005D6380">
        <w:t xml:space="preserve"> pamatnostādnēm 2014.-</w:t>
      </w:r>
      <w:r>
        <w:t>2020. g</w:t>
      </w:r>
      <w:r w:rsidR="005D6380">
        <w:t>adam</w:t>
      </w:r>
      <w:r w:rsidRPr="00A2452E">
        <w:t>”. http://polsis.mk.gov.lv/view.do?id=4608</w:t>
      </w:r>
    </w:p>
  </w:footnote>
  <w:footnote w:id="7">
    <w:p w:rsidR="00125CDA" w:rsidRPr="00A2452E" w:rsidRDefault="00125CDA" w:rsidP="00815221">
      <w:pPr>
        <w:pStyle w:val="FootnoteText"/>
        <w:spacing w:after="0" w:line="240" w:lineRule="auto"/>
        <w:ind w:left="142" w:hanging="142"/>
        <w:jc w:val="both"/>
      </w:pPr>
      <w:r w:rsidRPr="00A2452E">
        <w:rPr>
          <w:rStyle w:val="FootnoteReference"/>
        </w:rPr>
        <w:footnoteRef/>
      </w:r>
      <w:r>
        <w:t> </w:t>
      </w:r>
      <w:r w:rsidRPr="00A2452E">
        <w:t xml:space="preserve">IZM (2013) </w:t>
      </w:r>
      <w:r w:rsidRPr="00A2452E">
        <w:rPr>
          <w:color w:val="000000"/>
          <w:shd w:val="clear" w:color="auto" w:fill="FFFFFF"/>
        </w:rPr>
        <w:t>Informatīvais ziņojums „Par Viedās specializācijas stratēģijas izstrādi”</w:t>
      </w:r>
      <w:r w:rsidRPr="00A2452E">
        <w:rPr>
          <w:rStyle w:val="apple-converted-space"/>
          <w:color w:val="000000"/>
          <w:shd w:val="clear" w:color="auto" w:fill="FFFFFF"/>
        </w:rPr>
        <w:t xml:space="preserve">  (izskatīts MK 17.12.2013. </w:t>
      </w:r>
      <w:r>
        <w:rPr>
          <w:rStyle w:val="apple-converted-space"/>
          <w:color w:val="000000"/>
          <w:shd w:val="clear" w:color="auto" w:fill="FFFFFF"/>
        </w:rPr>
        <w:t>s</w:t>
      </w:r>
      <w:r w:rsidRPr="00A2452E">
        <w:rPr>
          <w:rStyle w:val="apple-converted-space"/>
          <w:color w:val="000000"/>
          <w:shd w:val="clear" w:color="auto" w:fill="FFFFFF"/>
        </w:rPr>
        <w:t>ēdē).</w:t>
      </w:r>
    </w:p>
  </w:footnote>
  <w:footnote w:id="8">
    <w:p w:rsidR="00125CDA" w:rsidRPr="00A2452E" w:rsidRDefault="00125CDA" w:rsidP="005D6380">
      <w:pPr>
        <w:pStyle w:val="FootnoteText"/>
        <w:spacing w:after="0" w:line="240" w:lineRule="auto"/>
        <w:ind w:left="142" w:hanging="142"/>
        <w:jc w:val="both"/>
      </w:pPr>
      <w:r w:rsidRPr="00A2452E">
        <w:rPr>
          <w:rStyle w:val="FootnoteReference"/>
        </w:rPr>
        <w:footnoteRef/>
      </w:r>
      <w:r>
        <w:t> </w:t>
      </w:r>
      <w:r w:rsidRPr="00A2452E">
        <w:t>Ministru kabineta 2013. gada 28. </w:t>
      </w:r>
      <w:r>
        <w:t>d</w:t>
      </w:r>
      <w:r w:rsidRPr="00A2452E">
        <w:t>ecembra rīkojums Nr.686 „Par Latvijas ģeotelpiskās informācijas attīstības koncepciju”.</w:t>
      </w:r>
    </w:p>
  </w:footnote>
  <w:footnote w:id="9">
    <w:p w:rsidR="00125CDA" w:rsidRPr="00125CDA" w:rsidRDefault="00125CDA" w:rsidP="005D6380">
      <w:pPr>
        <w:pStyle w:val="FootnoteText"/>
        <w:spacing w:after="0" w:line="240" w:lineRule="auto"/>
        <w:ind w:left="142" w:hanging="142"/>
        <w:jc w:val="both"/>
      </w:pPr>
      <w:r w:rsidRPr="00A2452E">
        <w:rPr>
          <w:rStyle w:val="FootnoteReference"/>
        </w:rPr>
        <w:footnoteRef/>
      </w:r>
      <w:r>
        <w:t> VPR</w:t>
      </w:r>
      <w:r w:rsidRPr="00A2452E">
        <w:t xml:space="preserve"> attīstības programma 2007.-2013.</w:t>
      </w:r>
      <w:r>
        <w:t> </w:t>
      </w:r>
      <w:r w:rsidRPr="00A2452E">
        <w:t xml:space="preserve">gadam </w:t>
      </w:r>
      <w:r w:rsidRPr="00D11143">
        <w:rPr>
          <w:szCs w:val="24"/>
        </w:rPr>
        <w:t>apstiprināta 2007.</w:t>
      </w:r>
      <w:r>
        <w:rPr>
          <w:szCs w:val="24"/>
        </w:rPr>
        <w:t> </w:t>
      </w:r>
      <w:r w:rsidRPr="00D11143">
        <w:rPr>
          <w:szCs w:val="24"/>
        </w:rPr>
        <w:t>gada 19.</w:t>
      </w:r>
      <w:r>
        <w:rPr>
          <w:szCs w:val="24"/>
        </w:rPr>
        <w:t> </w:t>
      </w:r>
      <w:r w:rsidRPr="00D11143">
        <w:rPr>
          <w:szCs w:val="24"/>
        </w:rPr>
        <w:t xml:space="preserve">septembra </w:t>
      </w:r>
      <w:r>
        <w:rPr>
          <w:szCs w:val="24"/>
        </w:rPr>
        <w:t>VPR A</w:t>
      </w:r>
      <w:r w:rsidRPr="00D11143">
        <w:rPr>
          <w:szCs w:val="24"/>
        </w:rPr>
        <w:t>ttīstības padomes sēdē</w:t>
      </w:r>
      <w:r>
        <w:rPr>
          <w:szCs w:val="24"/>
        </w:rPr>
        <w:t>,</w:t>
      </w:r>
      <w:r w:rsidRPr="0018345D">
        <w:t xml:space="preserve"> </w:t>
      </w:r>
      <w:r>
        <w:t xml:space="preserve">ar </w:t>
      </w:r>
      <w:r w:rsidRPr="0018345D">
        <w:t>Attīstības padomes sēdes 2014. gada 29. janvāra lēmumu (prot. Nr.1, punkts 5.1.) programmas darbības termiņš pagarināts lī</w:t>
      </w:r>
      <w:r>
        <w:t xml:space="preserve">dz </w:t>
      </w:r>
      <w:r w:rsidRPr="0018345D">
        <w:t>jaunas attīstības programmas izstrādei, bet ne ilgāk kā līdz 2015. gada 31.</w:t>
      </w:r>
      <w:r>
        <w:t> </w:t>
      </w:r>
      <w:r w:rsidRPr="0018345D">
        <w:t>decembrim</w:t>
      </w:r>
      <w:r>
        <w:t>.</w:t>
      </w:r>
    </w:p>
  </w:footnote>
  <w:footnote w:id="10">
    <w:p w:rsidR="00125CDA" w:rsidRPr="00D773F1" w:rsidRDefault="00125CDA" w:rsidP="00853FEB">
      <w:pPr>
        <w:pStyle w:val="FootnoteText"/>
        <w:spacing w:after="0" w:line="240" w:lineRule="auto"/>
        <w:ind w:left="181" w:hanging="181"/>
        <w:jc w:val="both"/>
      </w:pPr>
      <w:r>
        <w:rPr>
          <w:rStyle w:val="FootnoteReference"/>
        </w:rPr>
        <w:footnoteRef/>
      </w:r>
      <w:r>
        <w:t> </w:t>
      </w:r>
      <w:r w:rsidR="00D773F1">
        <w:t>ZPR a</w:t>
      </w:r>
      <w:r w:rsidR="00372E9B">
        <w:t>ttīstības programma 2008.-2014. g</w:t>
      </w:r>
      <w:r w:rsidR="00D773F1">
        <w:t>adam</w:t>
      </w:r>
      <w:r w:rsidR="00372E9B">
        <w:t>,</w:t>
      </w:r>
      <w:r w:rsidR="00D773F1">
        <w:t xml:space="preserve"> </w:t>
      </w:r>
      <w:r w:rsidR="00D773F1" w:rsidRPr="00E2034B">
        <w:rPr>
          <w:szCs w:val="24"/>
        </w:rPr>
        <w:t xml:space="preserve">apstiprināta ar ZPRAP </w:t>
      </w:r>
      <w:r w:rsidR="00853FEB">
        <w:rPr>
          <w:szCs w:val="24"/>
        </w:rPr>
        <w:t>2008. gada 16. septembra</w:t>
      </w:r>
      <w:r w:rsidR="00D773F1" w:rsidRPr="00E2034B">
        <w:rPr>
          <w:szCs w:val="24"/>
        </w:rPr>
        <w:t xml:space="preserve"> lēmumu Nr.</w:t>
      </w:r>
      <w:r w:rsidR="00372E9B">
        <w:rPr>
          <w:szCs w:val="24"/>
        </w:rPr>
        <w:t> </w:t>
      </w:r>
      <w:r w:rsidR="00D773F1" w:rsidRPr="00E2034B">
        <w:rPr>
          <w:szCs w:val="24"/>
        </w:rPr>
        <w:t>105</w:t>
      </w:r>
      <w:r w:rsidR="00D773F1">
        <w:rPr>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DA" w:rsidRPr="00EE6DDA" w:rsidRDefault="002D3A68" w:rsidP="00125CDA">
    <w:pPr>
      <w:pStyle w:val="Header"/>
      <w:jc w:val="center"/>
    </w:pPr>
    <w:r>
      <w:fldChar w:fldCharType="begin"/>
    </w:r>
    <w:r w:rsidR="00125CDA">
      <w:instrText xml:space="preserve"> PAGE   \* MERGEFORMAT </w:instrText>
    </w:r>
    <w:r>
      <w:fldChar w:fldCharType="separate"/>
    </w:r>
    <w:r w:rsidR="00615EC1">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EC8"/>
    <w:multiLevelType w:val="hybridMultilevel"/>
    <w:tmpl w:val="71AC3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896624"/>
    <w:multiLevelType w:val="hybridMultilevel"/>
    <w:tmpl w:val="ADC284CC"/>
    <w:lvl w:ilvl="0" w:tplc="CDCEE8B4">
      <w:numFmt w:val="bullet"/>
      <w:lvlText w:val="-"/>
      <w:lvlJc w:val="left"/>
      <w:pPr>
        <w:ind w:left="720" w:hanging="360"/>
      </w:pPr>
      <w:rPr>
        <w:rFonts w:ascii="Times New Roman" w:eastAsia="Calibri" w:hAnsi="Times New Roman" w:cs="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754C4F"/>
    <w:multiLevelType w:val="hybridMultilevel"/>
    <w:tmpl w:val="D5105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871FE4"/>
    <w:multiLevelType w:val="hybridMultilevel"/>
    <w:tmpl w:val="3366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E212FC"/>
    <w:multiLevelType w:val="hybridMultilevel"/>
    <w:tmpl w:val="173CCA36"/>
    <w:lvl w:ilvl="0" w:tplc="380E02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061D63"/>
    <w:multiLevelType w:val="hybridMultilevel"/>
    <w:tmpl w:val="78000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DE7F90"/>
    <w:multiLevelType w:val="hybridMultilevel"/>
    <w:tmpl w:val="7FD6BBEE"/>
    <w:lvl w:ilvl="0" w:tplc="D00CFE9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9034935"/>
    <w:multiLevelType w:val="hybridMultilevel"/>
    <w:tmpl w:val="0FDE3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4712"/>
    <w:rsid w:val="00016E96"/>
    <w:rsid w:val="00024E21"/>
    <w:rsid w:val="000835DA"/>
    <w:rsid w:val="00125CDA"/>
    <w:rsid w:val="00180509"/>
    <w:rsid w:val="0018345D"/>
    <w:rsid w:val="001D0880"/>
    <w:rsid w:val="00221B95"/>
    <w:rsid w:val="002275F8"/>
    <w:rsid w:val="00260248"/>
    <w:rsid w:val="002C28CA"/>
    <w:rsid w:val="002D3A68"/>
    <w:rsid w:val="00372E9B"/>
    <w:rsid w:val="004167A1"/>
    <w:rsid w:val="00424712"/>
    <w:rsid w:val="004A0ADC"/>
    <w:rsid w:val="004A2135"/>
    <w:rsid w:val="00510CA6"/>
    <w:rsid w:val="005A6D27"/>
    <w:rsid w:val="005D5375"/>
    <w:rsid w:val="005D6380"/>
    <w:rsid w:val="00615EC1"/>
    <w:rsid w:val="006336B8"/>
    <w:rsid w:val="006E20D6"/>
    <w:rsid w:val="006E30FC"/>
    <w:rsid w:val="00723F53"/>
    <w:rsid w:val="008133B8"/>
    <w:rsid w:val="00815221"/>
    <w:rsid w:val="008271CF"/>
    <w:rsid w:val="00841B45"/>
    <w:rsid w:val="00853FEB"/>
    <w:rsid w:val="00856BB0"/>
    <w:rsid w:val="00892D16"/>
    <w:rsid w:val="009943B1"/>
    <w:rsid w:val="00994A9B"/>
    <w:rsid w:val="009953AD"/>
    <w:rsid w:val="00A509D1"/>
    <w:rsid w:val="00AB07EF"/>
    <w:rsid w:val="00AF42FD"/>
    <w:rsid w:val="00B3136B"/>
    <w:rsid w:val="00B430CC"/>
    <w:rsid w:val="00B813D4"/>
    <w:rsid w:val="00B82933"/>
    <w:rsid w:val="00BB0B53"/>
    <w:rsid w:val="00BC680E"/>
    <w:rsid w:val="00BE09F6"/>
    <w:rsid w:val="00C07319"/>
    <w:rsid w:val="00C37E40"/>
    <w:rsid w:val="00C61FFC"/>
    <w:rsid w:val="00CE7426"/>
    <w:rsid w:val="00D54C9C"/>
    <w:rsid w:val="00D773F1"/>
    <w:rsid w:val="00DB0210"/>
    <w:rsid w:val="00E1304C"/>
    <w:rsid w:val="00E368A6"/>
    <w:rsid w:val="00E72653"/>
    <w:rsid w:val="00EB6C53"/>
    <w:rsid w:val="00EE0D0C"/>
    <w:rsid w:val="00EE67AB"/>
    <w:rsid w:val="00F017B0"/>
    <w:rsid w:val="00F10107"/>
    <w:rsid w:val="00F7243B"/>
    <w:rsid w:val="00F81C9A"/>
    <w:rsid w:val="00F96358"/>
    <w:rsid w:val="00FE159C"/>
    <w:rsid w:val="00FE24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12"/>
    <w:rPr>
      <w:rFonts w:ascii="Times New Roman" w:eastAsia="Calibri" w:hAnsi="Times New Roman" w:cs="Times New Roman"/>
      <w:sz w:val="24"/>
    </w:rPr>
  </w:style>
  <w:style w:type="paragraph" w:styleId="Heading2">
    <w:name w:val="heading 2"/>
    <w:basedOn w:val="Normal1"/>
    <w:next w:val="Normal1"/>
    <w:link w:val="Heading2Char"/>
    <w:rsid w:val="00424712"/>
    <w:pPr>
      <w:jc w:val="both"/>
      <w:outlineLvl w:val="1"/>
    </w:pPr>
    <w:rPr>
      <w:rFonts w:ascii="Arial" w:eastAsia="Arial" w:hAnsi="Arial" w:cs="Arial"/>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712"/>
    <w:rPr>
      <w:rFonts w:ascii="Arial" w:eastAsia="Arial" w:hAnsi="Arial" w:cs="Arial"/>
      <w:b/>
      <w:i/>
      <w:color w:val="000000"/>
      <w:sz w:val="24"/>
      <w:u w:val="single"/>
      <w:lang w:eastAsia="lv-LV"/>
    </w:rPr>
  </w:style>
  <w:style w:type="character" w:styleId="Hyperlink">
    <w:name w:val="Hyperlink"/>
    <w:unhideWhenUsed/>
    <w:rsid w:val="00424712"/>
    <w:rPr>
      <w:color w:val="0000FF"/>
      <w:u w:val="single"/>
    </w:rPr>
  </w:style>
  <w:style w:type="character" w:customStyle="1" w:styleId="hps">
    <w:name w:val="hps"/>
    <w:rsid w:val="00424712"/>
  </w:style>
  <w:style w:type="paragraph" w:styleId="FootnoteText">
    <w:name w:val="footnote text"/>
    <w:basedOn w:val="Normal"/>
    <w:link w:val="FootnoteTextChar"/>
    <w:uiPriority w:val="99"/>
    <w:rsid w:val="00424712"/>
    <w:rPr>
      <w:sz w:val="20"/>
      <w:szCs w:val="20"/>
    </w:rPr>
  </w:style>
  <w:style w:type="character" w:customStyle="1" w:styleId="FootnoteTextChar">
    <w:name w:val="Footnote Text Char"/>
    <w:basedOn w:val="DefaultParagraphFont"/>
    <w:link w:val="FootnoteText"/>
    <w:uiPriority w:val="99"/>
    <w:rsid w:val="00424712"/>
    <w:rPr>
      <w:rFonts w:ascii="Times New Roman" w:eastAsia="Calibri" w:hAnsi="Times New Roman" w:cs="Times New Roman"/>
      <w:sz w:val="20"/>
      <w:szCs w:val="20"/>
    </w:rPr>
  </w:style>
  <w:style w:type="character" w:styleId="FootnoteReference">
    <w:name w:val="footnote reference"/>
    <w:rsid w:val="00424712"/>
    <w:rPr>
      <w:vertAlign w:val="superscript"/>
    </w:rPr>
  </w:style>
  <w:style w:type="character" w:styleId="CommentReference">
    <w:name w:val="annotation reference"/>
    <w:rsid w:val="00424712"/>
    <w:rPr>
      <w:sz w:val="16"/>
      <w:szCs w:val="16"/>
    </w:rPr>
  </w:style>
  <w:style w:type="paragraph" w:styleId="CommentText">
    <w:name w:val="annotation text"/>
    <w:basedOn w:val="Normal"/>
    <w:link w:val="CommentTextChar"/>
    <w:rsid w:val="00424712"/>
    <w:rPr>
      <w:sz w:val="20"/>
      <w:szCs w:val="20"/>
    </w:rPr>
  </w:style>
  <w:style w:type="character" w:customStyle="1" w:styleId="CommentTextChar">
    <w:name w:val="Comment Text Char"/>
    <w:basedOn w:val="DefaultParagraphFont"/>
    <w:link w:val="CommentText"/>
    <w:rsid w:val="00424712"/>
    <w:rPr>
      <w:rFonts w:ascii="Times New Roman" w:eastAsia="Calibri" w:hAnsi="Times New Roman" w:cs="Times New Roman"/>
      <w:sz w:val="20"/>
      <w:szCs w:val="20"/>
    </w:rPr>
  </w:style>
  <w:style w:type="paragraph" w:styleId="BodyTextIndent">
    <w:name w:val="Body Text Indent"/>
    <w:basedOn w:val="Normal"/>
    <w:link w:val="BodyTextIndentChar"/>
    <w:rsid w:val="00424712"/>
    <w:pPr>
      <w:spacing w:after="120" w:line="240" w:lineRule="auto"/>
      <w:ind w:left="283"/>
    </w:pPr>
    <w:rPr>
      <w:rFonts w:eastAsia="Times New Roman"/>
      <w:szCs w:val="24"/>
    </w:rPr>
  </w:style>
  <w:style w:type="character" w:customStyle="1" w:styleId="BodyTextIndentChar">
    <w:name w:val="Body Text Indent Char"/>
    <w:basedOn w:val="DefaultParagraphFont"/>
    <w:link w:val="BodyTextIndent"/>
    <w:rsid w:val="00424712"/>
    <w:rPr>
      <w:rFonts w:ascii="Times New Roman" w:eastAsia="Times New Roman" w:hAnsi="Times New Roman" w:cs="Times New Roman"/>
      <w:sz w:val="24"/>
      <w:szCs w:val="24"/>
    </w:rPr>
  </w:style>
  <w:style w:type="paragraph" w:customStyle="1" w:styleId="naiskr">
    <w:name w:val="naiskr"/>
    <w:basedOn w:val="Normal"/>
    <w:rsid w:val="00424712"/>
    <w:pPr>
      <w:spacing w:before="75" w:after="75" w:line="240" w:lineRule="auto"/>
    </w:pPr>
    <w:rPr>
      <w:rFonts w:eastAsia="Times New Roman"/>
      <w:szCs w:val="24"/>
      <w:lang w:eastAsia="lv-LV"/>
    </w:rPr>
  </w:style>
  <w:style w:type="character" w:customStyle="1" w:styleId="spelle">
    <w:name w:val="spelle"/>
    <w:rsid w:val="00424712"/>
  </w:style>
  <w:style w:type="paragraph" w:styleId="Footer">
    <w:name w:val="footer"/>
    <w:basedOn w:val="Normal"/>
    <w:link w:val="FooterChar"/>
    <w:uiPriority w:val="99"/>
    <w:unhideWhenUsed/>
    <w:rsid w:val="00424712"/>
    <w:pPr>
      <w:tabs>
        <w:tab w:val="center" w:pos="4153"/>
        <w:tab w:val="right" w:pos="8306"/>
      </w:tabs>
    </w:pPr>
  </w:style>
  <w:style w:type="character" w:customStyle="1" w:styleId="FooterChar">
    <w:name w:val="Footer Char"/>
    <w:basedOn w:val="DefaultParagraphFont"/>
    <w:link w:val="Footer"/>
    <w:uiPriority w:val="99"/>
    <w:rsid w:val="00424712"/>
    <w:rPr>
      <w:rFonts w:ascii="Times New Roman" w:eastAsia="Calibri" w:hAnsi="Times New Roman" w:cs="Times New Roman"/>
      <w:sz w:val="24"/>
    </w:rPr>
  </w:style>
  <w:style w:type="paragraph" w:styleId="Header">
    <w:name w:val="header"/>
    <w:basedOn w:val="Normal"/>
    <w:link w:val="HeaderChar"/>
    <w:uiPriority w:val="99"/>
    <w:rsid w:val="00424712"/>
    <w:pPr>
      <w:tabs>
        <w:tab w:val="center" w:pos="4153"/>
        <w:tab w:val="right" w:pos="8306"/>
      </w:tabs>
    </w:pPr>
  </w:style>
  <w:style w:type="character" w:customStyle="1" w:styleId="HeaderChar">
    <w:name w:val="Header Char"/>
    <w:basedOn w:val="DefaultParagraphFont"/>
    <w:link w:val="Header"/>
    <w:uiPriority w:val="99"/>
    <w:rsid w:val="00424712"/>
    <w:rPr>
      <w:rFonts w:ascii="Times New Roman" w:eastAsia="Calibri" w:hAnsi="Times New Roman" w:cs="Times New Roman"/>
      <w:sz w:val="24"/>
    </w:rPr>
  </w:style>
  <w:style w:type="paragraph" w:styleId="ListParagraph">
    <w:name w:val="List Paragraph"/>
    <w:basedOn w:val="Normal"/>
    <w:uiPriority w:val="34"/>
    <w:qFormat/>
    <w:rsid w:val="00424712"/>
    <w:pPr>
      <w:ind w:left="720"/>
      <w:contextualSpacing/>
    </w:pPr>
  </w:style>
  <w:style w:type="character" w:customStyle="1" w:styleId="apple-converted-space">
    <w:name w:val="apple-converted-space"/>
    <w:basedOn w:val="DefaultParagraphFont"/>
    <w:rsid w:val="00424712"/>
  </w:style>
  <w:style w:type="paragraph" w:customStyle="1" w:styleId="Normal1">
    <w:name w:val="Normal1"/>
    <w:rsid w:val="00424712"/>
    <w:pPr>
      <w:spacing w:after="0" w:line="240" w:lineRule="auto"/>
    </w:pPr>
    <w:rPr>
      <w:rFonts w:ascii="Calibri" w:eastAsia="Calibri" w:hAnsi="Calibri" w:cs="Calibri"/>
      <w:color w:val="000000"/>
      <w:lang w:eastAsia="lv-LV"/>
    </w:rPr>
  </w:style>
  <w:style w:type="paragraph" w:styleId="NoSpacing">
    <w:name w:val="No Spacing"/>
    <w:uiPriority w:val="99"/>
    <w:qFormat/>
    <w:rsid w:val="00424712"/>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24712"/>
    <w:rPr>
      <w:b/>
      <w:bCs/>
    </w:rPr>
  </w:style>
  <w:style w:type="character" w:styleId="Emphasis">
    <w:name w:val="Emphasis"/>
    <w:basedOn w:val="DefaultParagraphFont"/>
    <w:uiPriority w:val="20"/>
    <w:qFormat/>
    <w:rsid w:val="00424712"/>
    <w:rPr>
      <w:i/>
      <w:iCs/>
    </w:rPr>
  </w:style>
  <w:style w:type="paragraph" w:styleId="PlainText">
    <w:name w:val="Plain Text"/>
    <w:basedOn w:val="Normal"/>
    <w:link w:val="PlainTextChar"/>
    <w:uiPriority w:val="99"/>
    <w:unhideWhenUsed/>
    <w:rsid w:val="00424712"/>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24712"/>
    <w:rPr>
      <w:rFonts w:ascii="Calibri" w:hAnsi="Calibri"/>
      <w:szCs w:val="21"/>
    </w:rPr>
  </w:style>
  <w:style w:type="paragraph" w:styleId="BalloonText">
    <w:name w:val="Balloon Text"/>
    <w:basedOn w:val="Normal"/>
    <w:link w:val="BalloonTextChar"/>
    <w:uiPriority w:val="99"/>
    <w:semiHidden/>
    <w:unhideWhenUsed/>
    <w:rsid w:val="0042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12"/>
    <w:rPr>
      <w:rFonts w:ascii="Tahoma" w:eastAsia="Calibri" w:hAnsi="Tahoma" w:cs="Tahoma"/>
      <w:sz w:val="16"/>
      <w:szCs w:val="16"/>
    </w:rPr>
  </w:style>
  <w:style w:type="paragraph" w:styleId="Revision">
    <w:name w:val="Revision"/>
    <w:hidden/>
    <w:uiPriority w:val="99"/>
    <w:semiHidden/>
    <w:rsid w:val="00815221"/>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81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23F53"/>
    <w:pPr>
      <w:spacing w:line="240" w:lineRule="auto"/>
    </w:pPr>
    <w:rPr>
      <w:b/>
      <w:bCs/>
    </w:rPr>
  </w:style>
  <w:style w:type="character" w:customStyle="1" w:styleId="CommentSubjectChar">
    <w:name w:val="Comment Subject Char"/>
    <w:basedOn w:val="CommentTextChar"/>
    <w:link w:val="CommentSubject"/>
    <w:uiPriority w:val="99"/>
    <w:semiHidden/>
    <w:rsid w:val="00723F53"/>
    <w:rPr>
      <w:rFonts w:ascii="Times New Roman" w:eastAsia="Calibri" w:hAnsi="Times New Roman" w:cs="Times New Roman"/>
      <w:b/>
      <w:bCs/>
      <w:sz w:val="20"/>
      <w:szCs w:val="20"/>
    </w:rPr>
  </w:style>
  <w:style w:type="paragraph" w:styleId="BodyText3">
    <w:name w:val="Body Text 3"/>
    <w:basedOn w:val="Normal"/>
    <w:link w:val="BodyText3Char"/>
    <w:rsid w:val="00AF42FD"/>
    <w:pPr>
      <w:spacing w:after="120" w:line="240" w:lineRule="auto"/>
    </w:pPr>
    <w:rPr>
      <w:rFonts w:ascii="BaltOptima" w:eastAsia="Times New Roman" w:hAnsi="BaltOptima"/>
      <w:sz w:val="16"/>
      <w:szCs w:val="16"/>
    </w:rPr>
  </w:style>
  <w:style w:type="character" w:customStyle="1" w:styleId="BodyText3Char">
    <w:name w:val="Body Text 3 Char"/>
    <w:basedOn w:val="DefaultParagraphFont"/>
    <w:link w:val="BodyText3"/>
    <w:rsid w:val="00AF42FD"/>
    <w:rPr>
      <w:rFonts w:ascii="BaltOptima" w:eastAsia="Times New Roman" w:hAnsi="BaltOptima" w:cs="Times New Roman"/>
      <w:sz w:val="16"/>
      <w:szCs w:val="16"/>
    </w:rPr>
  </w:style>
  <w:style w:type="character" w:styleId="FollowedHyperlink">
    <w:name w:val="FollowedHyperlink"/>
    <w:basedOn w:val="DefaultParagraphFont"/>
    <w:uiPriority w:val="99"/>
    <w:semiHidden/>
    <w:unhideWhenUsed/>
    <w:rsid w:val="00994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12"/>
    <w:rPr>
      <w:rFonts w:ascii="Times New Roman" w:eastAsia="Calibri" w:hAnsi="Times New Roman" w:cs="Times New Roman"/>
      <w:sz w:val="24"/>
    </w:rPr>
  </w:style>
  <w:style w:type="paragraph" w:styleId="Heading2">
    <w:name w:val="heading 2"/>
    <w:basedOn w:val="Normal1"/>
    <w:next w:val="Normal1"/>
    <w:link w:val="Heading2Char"/>
    <w:rsid w:val="00424712"/>
    <w:pPr>
      <w:jc w:val="both"/>
      <w:outlineLvl w:val="1"/>
    </w:pPr>
    <w:rPr>
      <w:rFonts w:ascii="Arial" w:eastAsia="Arial" w:hAnsi="Arial" w:cs="Arial"/>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712"/>
    <w:rPr>
      <w:rFonts w:ascii="Arial" w:eastAsia="Arial" w:hAnsi="Arial" w:cs="Arial"/>
      <w:b/>
      <w:i/>
      <w:color w:val="000000"/>
      <w:sz w:val="24"/>
      <w:u w:val="single"/>
      <w:lang w:eastAsia="lv-LV"/>
    </w:rPr>
  </w:style>
  <w:style w:type="character" w:styleId="Hyperlink">
    <w:name w:val="Hyperlink"/>
    <w:unhideWhenUsed/>
    <w:rsid w:val="00424712"/>
    <w:rPr>
      <w:color w:val="0000FF"/>
      <w:u w:val="single"/>
    </w:rPr>
  </w:style>
  <w:style w:type="character" w:customStyle="1" w:styleId="hps">
    <w:name w:val="hps"/>
    <w:rsid w:val="00424712"/>
  </w:style>
  <w:style w:type="paragraph" w:styleId="FootnoteText">
    <w:name w:val="footnote text"/>
    <w:basedOn w:val="Normal"/>
    <w:link w:val="FootnoteTextChar"/>
    <w:uiPriority w:val="99"/>
    <w:rsid w:val="00424712"/>
    <w:rPr>
      <w:sz w:val="20"/>
      <w:szCs w:val="20"/>
      <w:lang w:val="x-none"/>
    </w:rPr>
  </w:style>
  <w:style w:type="character" w:customStyle="1" w:styleId="FootnoteTextChar">
    <w:name w:val="Footnote Text Char"/>
    <w:basedOn w:val="DefaultParagraphFont"/>
    <w:link w:val="FootnoteText"/>
    <w:uiPriority w:val="99"/>
    <w:rsid w:val="00424712"/>
    <w:rPr>
      <w:rFonts w:ascii="Times New Roman" w:eastAsia="Calibri" w:hAnsi="Times New Roman" w:cs="Times New Roman"/>
      <w:sz w:val="20"/>
      <w:szCs w:val="20"/>
      <w:lang w:val="x-none"/>
    </w:rPr>
  </w:style>
  <w:style w:type="character" w:styleId="FootnoteReference">
    <w:name w:val="footnote reference"/>
    <w:rsid w:val="00424712"/>
    <w:rPr>
      <w:vertAlign w:val="superscript"/>
    </w:rPr>
  </w:style>
  <w:style w:type="character" w:styleId="CommentReference">
    <w:name w:val="annotation reference"/>
    <w:rsid w:val="00424712"/>
    <w:rPr>
      <w:sz w:val="16"/>
      <w:szCs w:val="16"/>
    </w:rPr>
  </w:style>
  <w:style w:type="paragraph" w:styleId="CommentText">
    <w:name w:val="annotation text"/>
    <w:basedOn w:val="Normal"/>
    <w:link w:val="CommentTextChar"/>
    <w:rsid w:val="00424712"/>
    <w:rPr>
      <w:sz w:val="20"/>
      <w:szCs w:val="20"/>
      <w:lang w:val="x-none"/>
    </w:rPr>
  </w:style>
  <w:style w:type="character" w:customStyle="1" w:styleId="CommentTextChar">
    <w:name w:val="Comment Text Char"/>
    <w:basedOn w:val="DefaultParagraphFont"/>
    <w:link w:val="CommentText"/>
    <w:rsid w:val="00424712"/>
    <w:rPr>
      <w:rFonts w:ascii="Times New Roman" w:eastAsia="Calibri" w:hAnsi="Times New Roman" w:cs="Times New Roman"/>
      <w:sz w:val="20"/>
      <w:szCs w:val="20"/>
      <w:lang w:val="x-none"/>
    </w:rPr>
  </w:style>
  <w:style w:type="paragraph" w:styleId="BodyTextIndent">
    <w:name w:val="Body Text Indent"/>
    <w:basedOn w:val="Normal"/>
    <w:link w:val="BodyTextIndentChar"/>
    <w:rsid w:val="00424712"/>
    <w:pPr>
      <w:spacing w:after="120" w:line="240" w:lineRule="auto"/>
      <w:ind w:left="283"/>
    </w:pPr>
    <w:rPr>
      <w:rFonts w:eastAsia="Times New Roman"/>
      <w:szCs w:val="24"/>
      <w:lang w:val="x-none" w:eastAsia="x-none"/>
    </w:rPr>
  </w:style>
  <w:style w:type="character" w:customStyle="1" w:styleId="BodyTextIndentChar">
    <w:name w:val="Body Text Indent Char"/>
    <w:basedOn w:val="DefaultParagraphFont"/>
    <w:link w:val="BodyTextIndent"/>
    <w:rsid w:val="00424712"/>
    <w:rPr>
      <w:rFonts w:ascii="Times New Roman" w:eastAsia="Times New Roman" w:hAnsi="Times New Roman" w:cs="Times New Roman"/>
      <w:sz w:val="24"/>
      <w:szCs w:val="24"/>
      <w:lang w:val="x-none" w:eastAsia="x-none"/>
    </w:rPr>
  </w:style>
  <w:style w:type="paragraph" w:customStyle="1" w:styleId="naiskr">
    <w:name w:val="naiskr"/>
    <w:basedOn w:val="Normal"/>
    <w:rsid w:val="00424712"/>
    <w:pPr>
      <w:spacing w:before="75" w:after="75" w:line="240" w:lineRule="auto"/>
    </w:pPr>
    <w:rPr>
      <w:rFonts w:eastAsia="Times New Roman"/>
      <w:szCs w:val="24"/>
      <w:lang w:eastAsia="lv-LV"/>
    </w:rPr>
  </w:style>
  <w:style w:type="character" w:customStyle="1" w:styleId="spelle">
    <w:name w:val="spelle"/>
    <w:rsid w:val="00424712"/>
  </w:style>
  <w:style w:type="paragraph" w:styleId="Footer">
    <w:name w:val="footer"/>
    <w:basedOn w:val="Normal"/>
    <w:link w:val="FooterChar"/>
    <w:uiPriority w:val="99"/>
    <w:unhideWhenUsed/>
    <w:rsid w:val="00424712"/>
    <w:pPr>
      <w:tabs>
        <w:tab w:val="center" w:pos="4153"/>
        <w:tab w:val="right" w:pos="8306"/>
      </w:tabs>
    </w:pPr>
  </w:style>
  <w:style w:type="character" w:customStyle="1" w:styleId="FooterChar">
    <w:name w:val="Footer Char"/>
    <w:basedOn w:val="DefaultParagraphFont"/>
    <w:link w:val="Footer"/>
    <w:uiPriority w:val="99"/>
    <w:rsid w:val="00424712"/>
    <w:rPr>
      <w:rFonts w:ascii="Times New Roman" w:eastAsia="Calibri" w:hAnsi="Times New Roman" w:cs="Times New Roman"/>
      <w:sz w:val="24"/>
    </w:rPr>
  </w:style>
  <w:style w:type="paragraph" w:styleId="Header">
    <w:name w:val="header"/>
    <w:basedOn w:val="Normal"/>
    <w:link w:val="HeaderChar"/>
    <w:uiPriority w:val="99"/>
    <w:rsid w:val="00424712"/>
    <w:pPr>
      <w:tabs>
        <w:tab w:val="center" w:pos="4153"/>
        <w:tab w:val="right" w:pos="8306"/>
      </w:tabs>
    </w:pPr>
    <w:rPr>
      <w:lang w:val="x-none"/>
    </w:rPr>
  </w:style>
  <w:style w:type="character" w:customStyle="1" w:styleId="HeaderChar">
    <w:name w:val="Header Char"/>
    <w:basedOn w:val="DefaultParagraphFont"/>
    <w:link w:val="Header"/>
    <w:uiPriority w:val="99"/>
    <w:rsid w:val="00424712"/>
    <w:rPr>
      <w:rFonts w:ascii="Times New Roman" w:eastAsia="Calibri" w:hAnsi="Times New Roman" w:cs="Times New Roman"/>
      <w:sz w:val="24"/>
      <w:lang w:val="x-none"/>
    </w:rPr>
  </w:style>
  <w:style w:type="paragraph" w:styleId="ListParagraph">
    <w:name w:val="List Paragraph"/>
    <w:basedOn w:val="Normal"/>
    <w:uiPriority w:val="34"/>
    <w:qFormat/>
    <w:rsid w:val="00424712"/>
    <w:pPr>
      <w:ind w:left="720"/>
      <w:contextualSpacing/>
    </w:pPr>
  </w:style>
  <w:style w:type="character" w:customStyle="1" w:styleId="apple-converted-space">
    <w:name w:val="apple-converted-space"/>
    <w:basedOn w:val="DefaultParagraphFont"/>
    <w:rsid w:val="00424712"/>
  </w:style>
  <w:style w:type="paragraph" w:customStyle="1" w:styleId="Normal1">
    <w:name w:val="Normal1"/>
    <w:rsid w:val="00424712"/>
    <w:pPr>
      <w:spacing w:after="0" w:line="240" w:lineRule="auto"/>
    </w:pPr>
    <w:rPr>
      <w:rFonts w:ascii="Calibri" w:eastAsia="Calibri" w:hAnsi="Calibri" w:cs="Calibri"/>
      <w:color w:val="000000"/>
      <w:lang w:eastAsia="lv-LV"/>
    </w:rPr>
  </w:style>
  <w:style w:type="paragraph" w:styleId="NoSpacing">
    <w:name w:val="No Spacing"/>
    <w:uiPriority w:val="99"/>
    <w:qFormat/>
    <w:rsid w:val="00424712"/>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24712"/>
    <w:rPr>
      <w:b/>
      <w:bCs/>
    </w:rPr>
  </w:style>
  <w:style w:type="character" w:styleId="Emphasis">
    <w:name w:val="Emphasis"/>
    <w:basedOn w:val="DefaultParagraphFont"/>
    <w:uiPriority w:val="20"/>
    <w:qFormat/>
    <w:rsid w:val="00424712"/>
    <w:rPr>
      <w:i/>
      <w:iCs/>
    </w:rPr>
  </w:style>
  <w:style w:type="paragraph" w:styleId="PlainText">
    <w:name w:val="Plain Text"/>
    <w:basedOn w:val="Normal"/>
    <w:link w:val="PlainTextChar"/>
    <w:uiPriority w:val="99"/>
    <w:unhideWhenUsed/>
    <w:rsid w:val="00424712"/>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24712"/>
    <w:rPr>
      <w:rFonts w:ascii="Calibri" w:hAnsi="Calibri"/>
      <w:szCs w:val="21"/>
    </w:rPr>
  </w:style>
  <w:style w:type="paragraph" w:styleId="BalloonText">
    <w:name w:val="Balloon Text"/>
    <w:basedOn w:val="Normal"/>
    <w:link w:val="BalloonTextChar"/>
    <w:uiPriority w:val="99"/>
    <w:semiHidden/>
    <w:unhideWhenUsed/>
    <w:rsid w:val="0042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12"/>
    <w:rPr>
      <w:rFonts w:ascii="Tahoma" w:eastAsia="Calibri" w:hAnsi="Tahoma" w:cs="Tahoma"/>
      <w:sz w:val="16"/>
      <w:szCs w:val="16"/>
    </w:rPr>
  </w:style>
  <w:style w:type="paragraph" w:styleId="Revision">
    <w:name w:val="Revision"/>
    <w:hidden/>
    <w:uiPriority w:val="99"/>
    <w:semiHidden/>
    <w:rsid w:val="00815221"/>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81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23F53"/>
    <w:pPr>
      <w:spacing w:line="240" w:lineRule="auto"/>
    </w:pPr>
    <w:rPr>
      <w:b/>
      <w:bCs/>
      <w:lang w:val="lv-LV"/>
    </w:rPr>
  </w:style>
  <w:style w:type="character" w:customStyle="1" w:styleId="CommentSubjectChar">
    <w:name w:val="Comment Subject Char"/>
    <w:basedOn w:val="CommentTextChar"/>
    <w:link w:val="CommentSubject"/>
    <w:uiPriority w:val="99"/>
    <w:semiHidden/>
    <w:rsid w:val="00723F53"/>
    <w:rPr>
      <w:rFonts w:ascii="Times New Roman" w:eastAsia="Calibri" w:hAnsi="Times New Roman" w:cs="Times New Roman"/>
      <w:b/>
      <w:bCs/>
      <w:sz w:val="20"/>
      <w:szCs w:val="20"/>
      <w:lang w:val="x-none"/>
    </w:rPr>
  </w:style>
  <w:style w:type="paragraph" w:styleId="BodyText3">
    <w:name w:val="Body Text 3"/>
    <w:basedOn w:val="Normal"/>
    <w:link w:val="BodyText3Char"/>
    <w:rsid w:val="00AF42FD"/>
    <w:pPr>
      <w:spacing w:after="120" w:line="240" w:lineRule="auto"/>
    </w:pPr>
    <w:rPr>
      <w:rFonts w:ascii="BaltOptima" w:eastAsia="Times New Roman" w:hAnsi="BaltOptima"/>
      <w:sz w:val="16"/>
      <w:szCs w:val="16"/>
      <w:lang w:val="x-none" w:eastAsia="x-none"/>
    </w:rPr>
  </w:style>
  <w:style w:type="character" w:customStyle="1" w:styleId="BodyText3Char">
    <w:name w:val="Body Text 3 Char"/>
    <w:basedOn w:val="DefaultParagraphFont"/>
    <w:link w:val="BodyText3"/>
    <w:rsid w:val="00AF42FD"/>
    <w:rPr>
      <w:rFonts w:ascii="BaltOptima" w:eastAsia="Times New Roman" w:hAnsi="BaltOptima" w:cs="Times New Roman"/>
      <w:sz w:val="16"/>
      <w:szCs w:val="16"/>
      <w:lang w:val="x-none" w:eastAsia="x-none"/>
    </w:rPr>
  </w:style>
  <w:style w:type="character" w:styleId="FollowedHyperlink">
    <w:name w:val="FollowedHyperlink"/>
    <w:basedOn w:val="DefaultParagraphFont"/>
    <w:uiPriority w:val="99"/>
    <w:semiHidden/>
    <w:unhideWhenUsed/>
    <w:rsid w:val="00994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freiberg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view.do?id=4518"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D46E-9865-47F7-A4F7-9DFD1118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14391</Words>
  <Characters>8204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santao</cp:lastModifiedBy>
  <cp:revision>8</cp:revision>
  <cp:lastPrinted>2014-05-29T11:33:00Z</cp:lastPrinted>
  <dcterms:created xsi:type="dcterms:W3CDTF">2014-05-30T14:54:00Z</dcterms:created>
  <dcterms:modified xsi:type="dcterms:W3CDTF">2014-06-06T10:29:00Z</dcterms:modified>
</cp:coreProperties>
</file>