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47" w:rsidRPr="0007707C" w:rsidRDefault="007A1EDF" w:rsidP="00600747">
      <w:pPr>
        <w:jc w:val="center"/>
        <w:rPr>
          <w:b/>
        </w:rPr>
      </w:pPr>
      <w:r>
        <w:rPr>
          <w:b/>
        </w:rPr>
        <w:t>I</w:t>
      </w:r>
      <w:r w:rsidR="00600747" w:rsidRPr="0007707C">
        <w:rPr>
          <w:b/>
        </w:rPr>
        <w:t>NFORMATĪVAIS ZIŅOJUMS</w:t>
      </w:r>
    </w:p>
    <w:p w:rsidR="00600747" w:rsidRPr="0007707C" w:rsidRDefault="00600747" w:rsidP="00600747">
      <w:pPr>
        <w:jc w:val="center"/>
      </w:pPr>
    </w:p>
    <w:p w:rsidR="00600747" w:rsidRPr="0007707C" w:rsidRDefault="0039693B" w:rsidP="0021791A">
      <w:pPr>
        <w:jc w:val="center"/>
        <w:rPr>
          <w:b/>
        </w:rPr>
      </w:pPr>
      <w:r>
        <w:rPr>
          <w:b/>
        </w:rPr>
        <w:t>„</w:t>
      </w:r>
      <w:r w:rsidR="00CA75D4" w:rsidRPr="00CA75D4">
        <w:rPr>
          <w:b/>
        </w:rPr>
        <w:t>Par nacionālā līdzfinansējuma apjomu Teritoriālās sadarbības programmai ESPON 2020</w:t>
      </w:r>
      <w:r w:rsidR="00600747" w:rsidRPr="0007707C">
        <w:rPr>
          <w:b/>
        </w:rPr>
        <w:t>”</w:t>
      </w:r>
    </w:p>
    <w:p w:rsidR="0021791A" w:rsidRPr="0007707C" w:rsidRDefault="0021791A" w:rsidP="0021791A">
      <w:pPr>
        <w:jc w:val="center"/>
        <w:rPr>
          <w:b/>
        </w:rPr>
      </w:pPr>
    </w:p>
    <w:p w:rsidR="000E08B7" w:rsidRPr="0007707C" w:rsidRDefault="000E08B7" w:rsidP="000E08B7">
      <w:pPr>
        <w:pStyle w:val="ListParagraph"/>
        <w:numPr>
          <w:ilvl w:val="0"/>
          <w:numId w:val="9"/>
        </w:numPr>
        <w:tabs>
          <w:tab w:val="left" w:pos="284"/>
        </w:tabs>
        <w:autoSpaceDE w:val="0"/>
        <w:autoSpaceDN w:val="0"/>
        <w:adjustRightInd w:val="0"/>
        <w:spacing w:before="120"/>
        <w:ind w:left="0" w:firstLine="0"/>
        <w:jc w:val="both"/>
        <w:rPr>
          <w:rFonts w:ascii="Times New Roman" w:hAnsi="Times New Roman"/>
          <w:b/>
          <w:sz w:val="24"/>
          <w:szCs w:val="24"/>
        </w:rPr>
      </w:pPr>
      <w:r w:rsidRPr="0007707C">
        <w:rPr>
          <w:rFonts w:ascii="Times New Roman" w:hAnsi="Times New Roman"/>
          <w:b/>
          <w:sz w:val="24"/>
          <w:szCs w:val="24"/>
        </w:rPr>
        <w:t xml:space="preserve">ES tiesību </w:t>
      </w:r>
      <w:smartTag w:uri="schemas-tilde-lv/tildestengine" w:element="veidnes">
        <w:smartTagPr>
          <w:attr w:name="text" w:val="akta"/>
          <w:attr w:name="id" w:val="-1"/>
          <w:attr w:name="baseform" w:val="akt|s"/>
        </w:smartTagPr>
        <w:r w:rsidRPr="0007707C">
          <w:rPr>
            <w:rFonts w:ascii="Times New Roman" w:hAnsi="Times New Roman"/>
            <w:b/>
            <w:sz w:val="24"/>
            <w:szCs w:val="24"/>
          </w:rPr>
          <w:t>akta</w:t>
        </w:r>
      </w:smartTag>
      <w:r w:rsidRPr="0007707C">
        <w:rPr>
          <w:rFonts w:ascii="Times New Roman" w:hAnsi="Times New Roman"/>
          <w:b/>
          <w:sz w:val="24"/>
          <w:szCs w:val="24"/>
        </w:rPr>
        <w:t xml:space="preserve"> projekta/izskatāmā jautājuma īss apraksts</w:t>
      </w:r>
    </w:p>
    <w:p w:rsidR="006A0F60" w:rsidRPr="006A0F60" w:rsidRDefault="006A0F60" w:rsidP="006A0F60">
      <w:pPr>
        <w:tabs>
          <w:tab w:val="left" w:pos="283"/>
        </w:tabs>
        <w:spacing w:after="120"/>
        <w:ind w:right="227"/>
        <w:jc w:val="both"/>
        <w:rPr>
          <w:rStyle w:val="at4"/>
        </w:rPr>
      </w:pPr>
      <w:r>
        <w:tab/>
      </w:r>
      <w:r>
        <w:tab/>
      </w:r>
      <w:r w:rsidRPr="00BD7E87">
        <w:t xml:space="preserve">2011.gada 6.oktobrī Eiropas Komisija (turpmāk – EK) ir publicējusi </w:t>
      </w:r>
      <w:r w:rsidRPr="006A0F60">
        <w:rPr>
          <w:rStyle w:val="at2"/>
        </w:rPr>
        <w:t>Eiropas Parlamenta un Padomes regulas projektu (turpmāk – regulas projekts) par īpašiem noteikumiem par atbalstu no Eiropas Reģionālās attīstības fonda saistībā ar Eiropas Teritoriālās sadarbības (turpmāk – ETS) mērķi.</w:t>
      </w:r>
      <w:r w:rsidRPr="006A0F60">
        <w:rPr>
          <w:rStyle w:val="at4"/>
        </w:rPr>
        <w:t xml:space="preserve"> </w:t>
      </w:r>
    </w:p>
    <w:p w:rsidR="006A0F60" w:rsidRPr="006A0F60" w:rsidRDefault="006A0F60" w:rsidP="006A0F60">
      <w:pPr>
        <w:tabs>
          <w:tab w:val="left" w:pos="283"/>
        </w:tabs>
        <w:spacing w:after="120"/>
        <w:ind w:right="227"/>
        <w:jc w:val="both"/>
        <w:rPr>
          <w:rStyle w:val="at2"/>
        </w:rPr>
      </w:pPr>
      <w:r>
        <w:rPr>
          <w:rStyle w:val="at2"/>
        </w:rPr>
        <w:tab/>
      </w:r>
      <w:r>
        <w:rPr>
          <w:rStyle w:val="at2"/>
        </w:rPr>
        <w:tab/>
      </w:r>
      <w:r w:rsidRPr="006A0F60">
        <w:rPr>
          <w:rStyle w:val="at2"/>
        </w:rPr>
        <w:t xml:space="preserve">Regulas projekts paredz īpašus noteikumus Eiropas Reģionālās attīstības fonda (turpmāk – ERAF) atbalstam attiecībā uz ETS mērķi 2014.-2020.gada plānošanas periodā, nosakot ETS mērķa sadarbības elementus, teritoriālā pārklājuma un finansēšanas nosacījumus, tematisko koncentrāciju un kopējo indikatoru sistēmu, kā arī ietver programmēšanas, vadības, uzraudzības un kontroles aspektus. </w:t>
      </w:r>
    </w:p>
    <w:p w:rsidR="006A0F60" w:rsidRPr="006A0F60" w:rsidRDefault="006A0F60" w:rsidP="006A0F60">
      <w:pPr>
        <w:tabs>
          <w:tab w:val="left" w:pos="283"/>
        </w:tabs>
        <w:spacing w:after="120"/>
        <w:ind w:right="227"/>
        <w:jc w:val="both"/>
        <w:rPr>
          <w:rStyle w:val="at2"/>
        </w:rPr>
      </w:pPr>
      <w:r>
        <w:rPr>
          <w:rStyle w:val="at2"/>
        </w:rPr>
        <w:tab/>
      </w:r>
      <w:r>
        <w:rPr>
          <w:rStyle w:val="at2"/>
        </w:rPr>
        <w:tab/>
      </w:r>
      <w:r w:rsidRPr="006A0F60">
        <w:rPr>
          <w:rStyle w:val="at2"/>
        </w:rPr>
        <w:t>Latvija šobrīd aktīvi piedalās ETS programmu periodam no 2014.-2020.gadam izstrādē, tajā skaitā, ESPON (</w:t>
      </w:r>
      <w:proofErr w:type="spellStart"/>
      <w:r w:rsidRPr="006A0F60">
        <w:rPr>
          <w:rStyle w:val="at2"/>
          <w:i/>
        </w:rPr>
        <w:t>European</w:t>
      </w:r>
      <w:proofErr w:type="spellEnd"/>
      <w:r w:rsidRPr="006A0F60">
        <w:rPr>
          <w:rStyle w:val="at2"/>
          <w:i/>
        </w:rPr>
        <w:t xml:space="preserve"> </w:t>
      </w:r>
      <w:proofErr w:type="spellStart"/>
      <w:r w:rsidRPr="006A0F60">
        <w:rPr>
          <w:rStyle w:val="at2"/>
          <w:i/>
        </w:rPr>
        <w:t>Observation</w:t>
      </w:r>
      <w:proofErr w:type="spellEnd"/>
      <w:r w:rsidRPr="006A0F60">
        <w:rPr>
          <w:rStyle w:val="at2"/>
          <w:i/>
        </w:rPr>
        <w:t xml:space="preserve"> </w:t>
      </w:r>
      <w:proofErr w:type="spellStart"/>
      <w:r w:rsidRPr="006A0F60">
        <w:rPr>
          <w:rStyle w:val="at2"/>
          <w:i/>
        </w:rPr>
        <w:t>Network</w:t>
      </w:r>
      <w:proofErr w:type="spellEnd"/>
      <w:r w:rsidRPr="006A0F60">
        <w:rPr>
          <w:rStyle w:val="at2"/>
          <w:i/>
        </w:rPr>
        <w:t xml:space="preserve"> </w:t>
      </w:r>
      <w:proofErr w:type="spellStart"/>
      <w:r w:rsidRPr="006A0F60">
        <w:rPr>
          <w:rStyle w:val="at2"/>
          <w:i/>
        </w:rPr>
        <w:t>for</w:t>
      </w:r>
      <w:proofErr w:type="spellEnd"/>
      <w:r w:rsidRPr="006A0F60">
        <w:rPr>
          <w:rStyle w:val="at2"/>
          <w:i/>
        </w:rPr>
        <w:t xml:space="preserve"> </w:t>
      </w:r>
      <w:proofErr w:type="spellStart"/>
      <w:r w:rsidRPr="006A0F60">
        <w:rPr>
          <w:rStyle w:val="at2"/>
          <w:i/>
        </w:rPr>
        <w:t>Territorial</w:t>
      </w:r>
      <w:proofErr w:type="spellEnd"/>
      <w:r w:rsidRPr="006A0F60">
        <w:rPr>
          <w:rStyle w:val="at2"/>
          <w:i/>
        </w:rPr>
        <w:t xml:space="preserve"> </w:t>
      </w:r>
      <w:proofErr w:type="spellStart"/>
      <w:r w:rsidRPr="006A0F60">
        <w:rPr>
          <w:rStyle w:val="at2"/>
          <w:i/>
        </w:rPr>
        <w:t>Development</w:t>
      </w:r>
      <w:proofErr w:type="spellEnd"/>
      <w:r w:rsidRPr="006A0F60">
        <w:rPr>
          <w:rStyle w:val="at2"/>
          <w:i/>
        </w:rPr>
        <w:t xml:space="preserve"> </w:t>
      </w:r>
      <w:proofErr w:type="spellStart"/>
      <w:r w:rsidRPr="006A0F60">
        <w:rPr>
          <w:rStyle w:val="at2"/>
          <w:i/>
        </w:rPr>
        <w:t>and</w:t>
      </w:r>
      <w:proofErr w:type="spellEnd"/>
      <w:r w:rsidRPr="006A0F60">
        <w:rPr>
          <w:rStyle w:val="at2"/>
          <w:i/>
        </w:rPr>
        <w:t xml:space="preserve"> </w:t>
      </w:r>
      <w:proofErr w:type="spellStart"/>
      <w:r w:rsidRPr="006A0F60">
        <w:rPr>
          <w:rStyle w:val="at2"/>
          <w:i/>
        </w:rPr>
        <w:t>Cohesion</w:t>
      </w:r>
      <w:proofErr w:type="spellEnd"/>
      <w:r w:rsidRPr="006A0F60">
        <w:rPr>
          <w:rStyle w:val="at2"/>
        </w:rPr>
        <w:t>) programmas izstrādē.</w:t>
      </w:r>
    </w:p>
    <w:p w:rsidR="006A0F60" w:rsidRPr="006A0F60" w:rsidRDefault="006A0F60" w:rsidP="006A0F60">
      <w:pPr>
        <w:spacing w:after="120"/>
        <w:ind w:right="284" w:firstLine="720"/>
        <w:jc w:val="both"/>
        <w:rPr>
          <w:color w:val="000000"/>
          <w:lang w:eastAsia="lv-LV"/>
        </w:rPr>
      </w:pPr>
      <w:r w:rsidRPr="006A0F60">
        <w:rPr>
          <w:color w:val="000000"/>
          <w:lang w:eastAsia="lv-LV"/>
        </w:rPr>
        <w:t>2012.gadā ESPON programmas Koordinācijas nodaļa</w:t>
      </w:r>
      <w:r w:rsidRPr="006A0F60">
        <w:rPr>
          <w:i/>
          <w:color w:val="000000"/>
          <w:lang w:eastAsia="lv-LV"/>
        </w:rPr>
        <w:t xml:space="preserve"> (</w:t>
      </w:r>
      <w:proofErr w:type="spellStart"/>
      <w:r w:rsidRPr="006A0F60">
        <w:rPr>
          <w:i/>
          <w:color w:val="000000"/>
          <w:lang w:eastAsia="lv-LV"/>
        </w:rPr>
        <w:t>Coordination</w:t>
      </w:r>
      <w:proofErr w:type="spellEnd"/>
      <w:r w:rsidRPr="006A0F60">
        <w:rPr>
          <w:i/>
          <w:color w:val="000000"/>
          <w:lang w:eastAsia="lv-LV"/>
        </w:rPr>
        <w:t xml:space="preserve"> </w:t>
      </w:r>
      <w:proofErr w:type="spellStart"/>
      <w:r w:rsidRPr="006A0F60">
        <w:rPr>
          <w:i/>
          <w:color w:val="000000"/>
          <w:lang w:eastAsia="lv-LV"/>
        </w:rPr>
        <w:t>Unit</w:t>
      </w:r>
      <w:proofErr w:type="spellEnd"/>
      <w:r w:rsidRPr="006A0F60">
        <w:rPr>
          <w:i/>
          <w:color w:val="000000"/>
          <w:lang w:eastAsia="lv-LV"/>
        </w:rPr>
        <w:t>)</w:t>
      </w:r>
      <w:r w:rsidRPr="006A0F60">
        <w:rPr>
          <w:color w:val="000000"/>
          <w:lang w:eastAsia="lv-LV"/>
        </w:rPr>
        <w:t xml:space="preserve"> Vadošās iestādes (</w:t>
      </w:r>
      <w:proofErr w:type="spellStart"/>
      <w:r w:rsidRPr="006A0F60">
        <w:rPr>
          <w:i/>
          <w:color w:val="000000"/>
          <w:lang w:eastAsia="lv-LV"/>
        </w:rPr>
        <w:t>Managing</w:t>
      </w:r>
      <w:proofErr w:type="spellEnd"/>
      <w:r w:rsidRPr="006A0F60">
        <w:rPr>
          <w:i/>
          <w:color w:val="000000"/>
          <w:lang w:eastAsia="lv-LV"/>
        </w:rPr>
        <w:t xml:space="preserve"> </w:t>
      </w:r>
      <w:proofErr w:type="spellStart"/>
      <w:r w:rsidRPr="006A0F60">
        <w:rPr>
          <w:i/>
          <w:color w:val="000000"/>
          <w:lang w:eastAsia="lv-LV"/>
        </w:rPr>
        <w:t>Authority</w:t>
      </w:r>
      <w:proofErr w:type="spellEnd"/>
      <w:r w:rsidRPr="006A0F60">
        <w:rPr>
          <w:color w:val="000000"/>
          <w:lang w:eastAsia="lv-LV"/>
        </w:rPr>
        <w:t xml:space="preserve">) vārdā uzsāka diskusiju par ESPON programmas darbības uzlabošanu, izveidojot dalībvalstu apvienoto darba grupu. Darba grupa sagatavoja ziņojumu par programmas darbības problēmām un nonāca pie secinājuma, ka nepieciešams pārskatīt ESPON finansēšanas mehānismu, kas šajā plānošanas periodā darbojās pēc grantu līgumu principa. Par šo principu neapmierinātību izteica visas valstis, kas ir piedalījušās ESPON projektos, tajā skaitā Latvija. </w:t>
      </w:r>
    </w:p>
    <w:p w:rsidR="006A0F60" w:rsidRPr="006A0F60" w:rsidRDefault="006A0F60" w:rsidP="006A0F60">
      <w:pPr>
        <w:spacing w:after="120"/>
        <w:ind w:right="284" w:firstLine="720"/>
        <w:jc w:val="both"/>
        <w:rPr>
          <w:color w:val="000000"/>
          <w:lang w:eastAsia="lv-LV"/>
        </w:rPr>
      </w:pPr>
      <w:r w:rsidRPr="006A0F60">
        <w:rPr>
          <w:color w:val="000000"/>
          <w:lang w:eastAsia="lv-LV"/>
        </w:rPr>
        <w:t xml:space="preserve">Dalībvalstis ar ESPON Koordinācijas nodaļu un Vadošo iestādi ir vienojušās par programmas struktūru un apsaimniekošanas modeli, kas paredz izveidot jaunu mehānismu nākamā perioda finansējuma apsaimniekošanai – </w:t>
      </w:r>
      <w:proofErr w:type="spellStart"/>
      <w:r w:rsidRPr="006A0F60">
        <w:rPr>
          <w:i/>
          <w:color w:val="000000"/>
          <w:lang w:eastAsia="lv-LV"/>
        </w:rPr>
        <w:t>European</w:t>
      </w:r>
      <w:proofErr w:type="spellEnd"/>
      <w:r w:rsidRPr="006A0F60">
        <w:rPr>
          <w:i/>
          <w:color w:val="000000"/>
          <w:lang w:eastAsia="lv-LV"/>
        </w:rPr>
        <w:t xml:space="preserve"> </w:t>
      </w:r>
      <w:proofErr w:type="spellStart"/>
      <w:r w:rsidRPr="006A0F60">
        <w:rPr>
          <w:i/>
          <w:color w:val="000000"/>
          <w:lang w:eastAsia="lv-LV"/>
        </w:rPr>
        <w:t>Grouping</w:t>
      </w:r>
      <w:proofErr w:type="spellEnd"/>
      <w:r w:rsidRPr="006A0F60">
        <w:rPr>
          <w:i/>
          <w:color w:val="000000"/>
          <w:lang w:eastAsia="lv-LV"/>
        </w:rPr>
        <w:t xml:space="preserve"> </w:t>
      </w:r>
      <w:proofErr w:type="spellStart"/>
      <w:r w:rsidRPr="006A0F60">
        <w:rPr>
          <w:i/>
          <w:color w:val="000000"/>
          <w:lang w:eastAsia="lv-LV"/>
        </w:rPr>
        <w:t>for</w:t>
      </w:r>
      <w:proofErr w:type="spellEnd"/>
      <w:r w:rsidRPr="006A0F60">
        <w:rPr>
          <w:i/>
          <w:color w:val="000000"/>
          <w:lang w:eastAsia="lv-LV"/>
        </w:rPr>
        <w:t xml:space="preserve"> </w:t>
      </w:r>
      <w:proofErr w:type="spellStart"/>
      <w:r w:rsidRPr="006A0F60">
        <w:rPr>
          <w:i/>
          <w:color w:val="000000"/>
          <w:lang w:eastAsia="lv-LV"/>
        </w:rPr>
        <w:t>Territorial</w:t>
      </w:r>
      <w:proofErr w:type="spellEnd"/>
      <w:r w:rsidRPr="006A0F60">
        <w:rPr>
          <w:i/>
          <w:color w:val="000000"/>
          <w:lang w:eastAsia="lv-LV"/>
        </w:rPr>
        <w:t xml:space="preserve"> </w:t>
      </w:r>
      <w:proofErr w:type="spellStart"/>
      <w:r w:rsidRPr="006A0F60">
        <w:rPr>
          <w:i/>
          <w:color w:val="000000"/>
          <w:lang w:eastAsia="lv-LV"/>
        </w:rPr>
        <w:t>Cooperation</w:t>
      </w:r>
      <w:proofErr w:type="spellEnd"/>
      <w:r w:rsidRPr="006A0F60">
        <w:rPr>
          <w:color w:val="000000"/>
          <w:lang w:eastAsia="lv-LV"/>
        </w:rPr>
        <w:t xml:space="preserve"> (EGTC) kā vienīgo labuma guvēju. Saskaņā ar Luksemburgas likumdošanu un ņemot vērā Struktūrfondu regulas, EGTC dalībnieki uzņemas atbildību par finansējuma līguma izpildi, tāpēc dalībvalstīm būtu jāatbalsta EGTC un jāuzņemas daļa atbildības. EGTC veidos 4 pārstāvji (1 no Luksemburgas un 3 Beļģijas – pa vienam no katra reģiona) un tā būs atbildīga par pirmā līmeņa finanšu kontroles un audita laikā konstatētajām neattiecināmajām izmaksām. Tā kā EGTC pašai nav sava finansējuma, tiks veidots riska atbildības fondu (</w:t>
      </w:r>
      <w:proofErr w:type="spellStart"/>
      <w:r w:rsidRPr="006A0F60">
        <w:rPr>
          <w:i/>
          <w:color w:val="000000"/>
          <w:lang w:eastAsia="lv-LV"/>
        </w:rPr>
        <w:t>Liability</w:t>
      </w:r>
      <w:proofErr w:type="spellEnd"/>
      <w:r w:rsidRPr="006A0F60">
        <w:rPr>
          <w:i/>
          <w:color w:val="000000"/>
          <w:lang w:eastAsia="lv-LV"/>
        </w:rPr>
        <w:t xml:space="preserve"> </w:t>
      </w:r>
      <w:proofErr w:type="spellStart"/>
      <w:r w:rsidRPr="006A0F60">
        <w:rPr>
          <w:i/>
          <w:color w:val="000000"/>
          <w:lang w:eastAsia="lv-LV"/>
        </w:rPr>
        <w:t>fund</w:t>
      </w:r>
      <w:proofErr w:type="spellEnd"/>
      <w:r w:rsidRPr="006A0F60">
        <w:rPr>
          <w:color w:val="000000"/>
          <w:lang w:eastAsia="lv-LV"/>
        </w:rPr>
        <w:t>) kurā dalībvalstis veiks iemaksas, izmantojot proporcionalitātes principu. Uzraudzības Komiteja, tāpat kā līdz šim, pieņems visus lēmumus un strādās ar stratēģiskiem jautājumiem.</w:t>
      </w:r>
    </w:p>
    <w:p w:rsidR="006A0F60" w:rsidRPr="006A0F60" w:rsidRDefault="006A0F60" w:rsidP="006A0F60">
      <w:pPr>
        <w:tabs>
          <w:tab w:val="left" w:pos="283"/>
        </w:tabs>
        <w:spacing w:after="120"/>
        <w:ind w:right="227"/>
        <w:jc w:val="both"/>
        <w:rPr>
          <w:color w:val="000000"/>
          <w:lang w:eastAsia="lv-LV"/>
        </w:rPr>
      </w:pPr>
      <w:r>
        <w:rPr>
          <w:color w:val="000000"/>
          <w:lang w:eastAsia="lv-LV"/>
        </w:rPr>
        <w:tab/>
      </w:r>
      <w:r>
        <w:rPr>
          <w:color w:val="000000"/>
          <w:lang w:eastAsia="lv-LV"/>
        </w:rPr>
        <w:tab/>
      </w:r>
      <w:r w:rsidRPr="006A0F60">
        <w:rPr>
          <w:color w:val="000000"/>
          <w:lang w:eastAsia="lv-LV"/>
        </w:rPr>
        <w:t xml:space="preserve">Lai sagatavotos nākamajam programmēšanas periodam šobrīd turpinās diskusijas par darbības programmas, grantu līguma, kā arī </w:t>
      </w:r>
      <w:proofErr w:type="spellStart"/>
      <w:r w:rsidRPr="006A0F60">
        <w:rPr>
          <w:i/>
          <w:color w:val="000000"/>
          <w:lang w:eastAsia="lv-LV"/>
        </w:rPr>
        <w:t>liability</w:t>
      </w:r>
      <w:proofErr w:type="spellEnd"/>
      <w:r w:rsidRPr="006A0F60">
        <w:rPr>
          <w:i/>
          <w:color w:val="000000"/>
          <w:lang w:eastAsia="lv-LV"/>
        </w:rPr>
        <w:t xml:space="preserve"> </w:t>
      </w:r>
      <w:proofErr w:type="spellStart"/>
      <w:r w:rsidRPr="006A0F60">
        <w:rPr>
          <w:i/>
          <w:color w:val="000000"/>
          <w:lang w:eastAsia="lv-LV"/>
        </w:rPr>
        <w:t>agreement</w:t>
      </w:r>
      <w:proofErr w:type="spellEnd"/>
      <w:r w:rsidRPr="006A0F60">
        <w:rPr>
          <w:color w:val="000000"/>
          <w:lang w:eastAsia="lv-LV"/>
        </w:rPr>
        <w:t xml:space="preserve"> precizēšanu, ko EGTC slēgs ar visām 32 programmas dalībvalstīm. Tāpat vēl nav panākta vienošanās par EGTC statūtu gala redakciju, kas būs saistoša tikai EGTC dalībniekiem. </w:t>
      </w:r>
    </w:p>
    <w:p w:rsidR="006A0F60" w:rsidRPr="006A0F60" w:rsidRDefault="006A0F60" w:rsidP="006A0F60">
      <w:pPr>
        <w:spacing w:after="120"/>
        <w:ind w:right="284" w:firstLine="720"/>
        <w:jc w:val="both"/>
        <w:rPr>
          <w:color w:val="000000"/>
        </w:rPr>
      </w:pPr>
      <w:r w:rsidRPr="006A0F60">
        <w:rPr>
          <w:color w:val="000000"/>
        </w:rPr>
        <w:t xml:space="preserve">2013.gadā </w:t>
      </w:r>
      <w:r w:rsidRPr="006A0F60">
        <w:rPr>
          <w:i/>
          <w:color w:val="000000"/>
        </w:rPr>
        <w:t>Eiropas Komisijas</w:t>
      </w:r>
      <w:r w:rsidRPr="006A0F60">
        <w:rPr>
          <w:color w:val="000000"/>
        </w:rPr>
        <w:t xml:space="preserve"> </w:t>
      </w:r>
      <w:r w:rsidRPr="006A0F60">
        <w:rPr>
          <w:i/>
          <w:color w:val="000000"/>
        </w:rPr>
        <w:t xml:space="preserve">Reģionu politikas un </w:t>
      </w:r>
      <w:proofErr w:type="spellStart"/>
      <w:r w:rsidRPr="006A0F60">
        <w:rPr>
          <w:i/>
          <w:color w:val="000000"/>
        </w:rPr>
        <w:t>pilsētpolitikas</w:t>
      </w:r>
      <w:proofErr w:type="spellEnd"/>
      <w:r w:rsidRPr="006A0F60">
        <w:rPr>
          <w:i/>
          <w:color w:val="000000"/>
        </w:rPr>
        <w:t xml:space="preserve"> ģenerāldirektorāts</w:t>
      </w:r>
      <w:r w:rsidRPr="006A0F60">
        <w:rPr>
          <w:color w:val="000000"/>
        </w:rPr>
        <w:t xml:space="preserve"> nāca klajā ar paziņojumu, ka ESPON 2020 programmas ERAF līdzfinansējums salīdzinājumā ar esošo periodu ir palielināts par 20%, kopā sastādot 41,3 miljonus </w:t>
      </w:r>
      <w:proofErr w:type="spellStart"/>
      <w:r w:rsidRPr="006A0F60">
        <w:rPr>
          <w:i/>
          <w:color w:val="000000"/>
        </w:rPr>
        <w:t>euro</w:t>
      </w:r>
      <w:proofErr w:type="spellEnd"/>
      <w:r w:rsidRPr="006A0F60">
        <w:rPr>
          <w:color w:val="000000"/>
        </w:rPr>
        <w:t>. Vadošā iestāde piedāvāja saglabāt esošo finansēšanas modeli – 25% dalībvalstu iemaksas pret 75% ERAF finansējuma daļu.</w:t>
      </w:r>
    </w:p>
    <w:p w:rsidR="006A0F60" w:rsidRPr="006A0F60" w:rsidRDefault="006A0F60" w:rsidP="006A0F60">
      <w:pPr>
        <w:spacing w:after="120"/>
        <w:ind w:right="284" w:firstLine="720"/>
        <w:jc w:val="both"/>
        <w:rPr>
          <w:color w:val="000000"/>
        </w:rPr>
      </w:pPr>
      <w:r w:rsidRPr="006A0F60">
        <w:rPr>
          <w:color w:val="000000"/>
        </w:rPr>
        <w:lastRenderedPageBreak/>
        <w:t>Kopš 2013.gada intensīvākās diskusijas starp dalībvalstīm notiek par ESPON 2020 programmas nacionālā līdzfinansējuma daļu, ko katra dalībvalsts atvēlēs konkrētajai programmai.</w:t>
      </w:r>
      <w:r w:rsidRPr="006A0F60">
        <w:rPr>
          <w:b/>
          <w:color w:val="000000"/>
        </w:rPr>
        <w:t xml:space="preserve"> </w:t>
      </w:r>
      <w:r w:rsidRPr="006A0F60">
        <w:rPr>
          <w:color w:val="000000"/>
        </w:rPr>
        <w:t>Liela daļa dalībvalstu, tajā skaitā arī Latvija, ņemot vērā valstu stingro fiskālo disciplīnu, iestājas par labu minimālajai regulā noteiktajai likmei – 15%, bet kopējais valstu viedoklis ir būtiski nepalielināt iemaksu apjomu salīdzinājumā ar ESPON 2013 programmu.</w:t>
      </w:r>
    </w:p>
    <w:p w:rsidR="006A0F60" w:rsidRPr="006A0F60" w:rsidRDefault="006A0F60" w:rsidP="006A0F60">
      <w:pPr>
        <w:spacing w:after="120"/>
        <w:ind w:right="284" w:firstLine="720"/>
        <w:jc w:val="both"/>
        <w:rPr>
          <w:b/>
          <w:color w:val="000000"/>
        </w:rPr>
      </w:pPr>
      <w:r w:rsidRPr="006A0F60">
        <w:rPr>
          <w:color w:val="000000"/>
        </w:rPr>
        <w:t xml:space="preserve">Ņemot vērā dalībvalstu nostāju par iespējamo līdzfinansējumu, Vadošā iestāde ir izsūtījusi vēstules visu dalībvalstu ģenerāldirektoriem ar kompromisa piedāvājumu programmas finansēšanai, </w:t>
      </w:r>
      <w:r w:rsidRPr="006A0F60">
        <w:rPr>
          <w:b/>
          <w:color w:val="000000"/>
        </w:rPr>
        <w:t xml:space="preserve">piedāvājot nacionālā līdzfinansējuma daļu 20% pret 80% ERAF finansējuma.   </w:t>
      </w:r>
    </w:p>
    <w:p w:rsidR="006A0F60" w:rsidRPr="006A0F60" w:rsidRDefault="006A0F60" w:rsidP="006A0F60">
      <w:pPr>
        <w:spacing w:after="120"/>
        <w:ind w:right="284" w:firstLine="720"/>
        <w:jc w:val="both"/>
        <w:rPr>
          <w:color w:val="000000"/>
        </w:rPr>
      </w:pPr>
      <w:r w:rsidRPr="006A0F60">
        <w:rPr>
          <w:color w:val="000000"/>
        </w:rPr>
        <w:t>Šis kompromisa piedāvājums, ņemot vērā maksimālo pieļaujamo tehniskās palīdzības apjomu 6% apmērā, ir pamatots ar minimālajām programmas apsaimniekošanas un uzraudzības izmaksām, kas ļaus saglabāt tādu pašu projektu un publikāciju daudzumu kā ESPON 2013 programmā.</w:t>
      </w:r>
    </w:p>
    <w:p w:rsidR="00B51B8F" w:rsidRPr="0007707C" w:rsidRDefault="00B51B8F" w:rsidP="00B51B8F">
      <w:pPr>
        <w:tabs>
          <w:tab w:val="left" w:pos="0"/>
        </w:tabs>
        <w:ind w:left="360" w:right="227"/>
        <w:jc w:val="both"/>
      </w:pPr>
    </w:p>
    <w:p w:rsidR="000E08B7" w:rsidRDefault="000E08B7" w:rsidP="000E08B7">
      <w:pPr>
        <w:pStyle w:val="EntEmet"/>
        <w:numPr>
          <w:ilvl w:val="0"/>
          <w:numId w:val="9"/>
        </w:numPr>
        <w:tabs>
          <w:tab w:val="clear" w:pos="567"/>
        </w:tabs>
        <w:ind w:hanging="720"/>
        <w:jc w:val="both"/>
        <w:rPr>
          <w:b/>
        </w:rPr>
      </w:pPr>
      <w:r w:rsidRPr="0007707C">
        <w:rPr>
          <w:b/>
        </w:rPr>
        <w:t xml:space="preserve">Latvijas Republikas pozīcija </w:t>
      </w:r>
    </w:p>
    <w:p w:rsidR="00512FA9" w:rsidRPr="0007707C" w:rsidRDefault="00512FA9" w:rsidP="00512FA9">
      <w:pPr>
        <w:pStyle w:val="EntEmet"/>
        <w:tabs>
          <w:tab w:val="clear" w:pos="567"/>
        </w:tabs>
        <w:ind w:left="720"/>
        <w:jc w:val="both"/>
        <w:rPr>
          <w:b/>
        </w:rPr>
      </w:pPr>
    </w:p>
    <w:p w:rsidR="006A0F60" w:rsidRPr="003E27C0" w:rsidRDefault="006A0F60" w:rsidP="006A0F60">
      <w:pPr>
        <w:pStyle w:val="NormalWeb"/>
        <w:spacing w:before="0" w:beforeAutospacing="0" w:after="120" w:afterAutospacing="0"/>
        <w:ind w:left="142" w:right="284"/>
        <w:jc w:val="both"/>
      </w:pPr>
      <w:r w:rsidRPr="003E27C0">
        <w:t>Latvija</w:t>
      </w:r>
      <w:r>
        <w:t xml:space="preserve"> </w:t>
      </w:r>
      <w:r w:rsidRPr="00022496">
        <w:rPr>
          <w:u w:val="single"/>
        </w:rPr>
        <w:t>jau ir atbalstījusi</w:t>
      </w:r>
      <w:r w:rsidRPr="003E27C0">
        <w:t>:</w:t>
      </w:r>
    </w:p>
    <w:p w:rsidR="006A0F60" w:rsidRPr="003E27C0" w:rsidRDefault="006A0F60" w:rsidP="006A0F60">
      <w:pPr>
        <w:pStyle w:val="NormalWeb"/>
        <w:numPr>
          <w:ilvl w:val="0"/>
          <w:numId w:val="27"/>
        </w:numPr>
        <w:spacing w:before="0" w:beforeAutospacing="0" w:after="120" w:afterAutospacing="0"/>
        <w:ind w:right="284"/>
        <w:jc w:val="both"/>
      </w:pPr>
      <w:r w:rsidRPr="003E27C0">
        <w:t>ESPON Uzraudzības komitejas vadošās lomas saglabāšanu programmas apsaimniekošanā, ievieš</w:t>
      </w:r>
      <w:r>
        <w:t>ot tam nepieciešamās procedūras (</w:t>
      </w:r>
      <w:r w:rsidRPr="003E27C0">
        <w:t>daudzgadu un ikgadējo da</w:t>
      </w:r>
      <w:r>
        <w:t>rba plānu</w:t>
      </w:r>
      <w:r w:rsidRPr="003E27C0">
        <w:t>, ziņošanas kārtības noteikumu</w:t>
      </w:r>
      <w:r>
        <w:t xml:space="preserve"> apstiprināšana),</w:t>
      </w:r>
      <w:r w:rsidRPr="003E27C0">
        <w:t xml:space="preserve"> kā arī</w:t>
      </w:r>
      <w:r>
        <w:t>,</w:t>
      </w:r>
      <w:r w:rsidRPr="003E27C0">
        <w:t xml:space="preserve"> iesaist</w:t>
      </w:r>
      <w:r>
        <w:t>ot</w:t>
      </w:r>
      <w:r w:rsidRPr="003E27C0">
        <w:t xml:space="preserve"> Uzraudzības komitejas pārstāvjus, Projektu atbalsta grupās, kas tiks veidotas lielākajiem un nozīmīgākajiem projektiem.</w:t>
      </w:r>
    </w:p>
    <w:p w:rsidR="006A0F60" w:rsidRDefault="006A0F60" w:rsidP="006A0F60">
      <w:pPr>
        <w:pStyle w:val="NormalWeb"/>
        <w:numPr>
          <w:ilvl w:val="0"/>
          <w:numId w:val="27"/>
        </w:numPr>
        <w:spacing w:before="0" w:beforeAutospacing="0" w:after="120" w:afterAutospacing="0"/>
        <w:ind w:right="284"/>
        <w:jc w:val="both"/>
      </w:pPr>
      <w:r>
        <w:t>EGTC</w:t>
      </w:r>
      <w:r w:rsidRPr="003A4E47">
        <w:t xml:space="preserve"> kā vien</w:t>
      </w:r>
      <w:r>
        <w:t>īgā saņēmēja (</w:t>
      </w:r>
      <w:proofErr w:type="spellStart"/>
      <w:r w:rsidRPr="003E27C0">
        <w:rPr>
          <w:i/>
        </w:rPr>
        <w:t>single</w:t>
      </w:r>
      <w:proofErr w:type="spellEnd"/>
      <w:r w:rsidRPr="003E27C0">
        <w:rPr>
          <w:i/>
        </w:rPr>
        <w:t xml:space="preserve"> </w:t>
      </w:r>
      <w:proofErr w:type="spellStart"/>
      <w:r w:rsidRPr="003E27C0">
        <w:rPr>
          <w:i/>
        </w:rPr>
        <w:t>beneficiary</w:t>
      </w:r>
      <w:proofErr w:type="spellEnd"/>
      <w:r>
        <w:t xml:space="preserve">) institūcijas izveidošanu, kas sākotnēji sastāv no Luksemburgas un Beļģijas (pārstāvēta ar trīs reģioniem), kas ir finansiāli efektīva un ar ierobežotu dalībnieku skaitu, vienlaikus atbalstot principu, ka lēmumu pieņemšana joprojām ir ESPON Uzraudzības komitejas, ko veido visas 32 programmas dalībvalstis, funkcija. </w:t>
      </w:r>
    </w:p>
    <w:p w:rsidR="006A0F60" w:rsidRDefault="006A0F60" w:rsidP="006A0F60">
      <w:pPr>
        <w:pStyle w:val="NormalWeb"/>
        <w:numPr>
          <w:ilvl w:val="0"/>
          <w:numId w:val="27"/>
        </w:numPr>
        <w:spacing w:before="0" w:beforeAutospacing="0" w:after="120" w:afterAutospacing="0"/>
        <w:ind w:right="284"/>
        <w:jc w:val="both"/>
      </w:pPr>
      <w:r>
        <w:t>Riska atbildības fonda izveidi ESPON programmai pēc</w:t>
      </w:r>
      <w:r w:rsidRPr="00E7394F">
        <w:t xml:space="preserve"> 2013</w:t>
      </w:r>
      <w:r>
        <w:t>.gada</w:t>
      </w:r>
      <w:r w:rsidRPr="00E7394F">
        <w:t>,</w:t>
      </w:r>
      <w:r>
        <w:t xml:space="preserve"> kur balstoties uz proporcionalitātes principu visas valstis iesaistās neattiecināmu un neatgūstamu izmaksu (kas rodas EGTC atbildības jomā) finansēšanā 2% apmērā no kopējā ESPON budžeta, un, kas tiek aprēķināts atbilstoši katras dalībvalsts individuālajam ieguldījumam darbības programmā.</w:t>
      </w:r>
    </w:p>
    <w:p w:rsidR="006A0F60" w:rsidRPr="006A0F60" w:rsidRDefault="006A0F60" w:rsidP="006A0F60">
      <w:pPr>
        <w:pStyle w:val="NormalWeb"/>
        <w:spacing w:before="0" w:beforeAutospacing="0" w:after="120" w:afterAutospacing="0"/>
        <w:ind w:right="284" w:firstLine="502"/>
        <w:jc w:val="both"/>
      </w:pPr>
      <w:r w:rsidRPr="006A0F60">
        <w:rPr>
          <w:color w:val="000000"/>
        </w:rPr>
        <w:t xml:space="preserve">Latvija </w:t>
      </w:r>
      <w:r w:rsidRPr="006A0F60">
        <w:t>nesaskata būtiskus riskus Vadošās iestādes piedāvātajā ESPON 2020</w:t>
      </w:r>
      <w:r>
        <w:t xml:space="preserve"> </w:t>
      </w:r>
      <w:r w:rsidRPr="006A0F60">
        <w:t xml:space="preserve">programmas finansējuma modelī. </w:t>
      </w:r>
    </w:p>
    <w:p w:rsidR="00DA4E69" w:rsidRPr="006A0F60" w:rsidRDefault="006A0F60" w:rsidP="006A0F60">
      <w:pPr>
        <w:ind w:firstLine="502"/>
        <w:jc w:val="both"/>
        <w:rPr>
          <w:lang w:eastAsia="fr-BE"/>
        </w:rPr>
      </w:pPr>
      <w:r w:rsidRPr="006A0F60">
        <w:t>Tāpat arī ir uzlabotā programmas pārvaldība un atvieglotie nosacījumi finansējuma saņemšanai, palielinās Latvijas zinātnisko institūciju iespējas piedalīties ESPON 2020 programmā kā partneriem un palielinās kopējos ieguvumi no programmas Latvijā.</w:t>
      </w:r>
    </w:p>
    <w:p w:rsidR="00DA4E69" w:rsidRPr="0007707C" w:rsidRDefault="00DA4E69" w:rsidP="00514F37">
      <w:pPr>
        <w:jc w:val="both"/>
        <w:rPr>
          <w:lang w:eastAsia="fr-BE"/>
        </w:rPr>
      </w:pPr>
    </w:p>
    <w:p w:rsidR="009B2B2E" w:rsidRPr="0007707C" w:rsidRDefault="009B2B2E" w:rsidP="00514F37">
      <w:pPr>
        <w:jc w:val="both"/>
        <w:rPr>
          <w:lang w:eastAsia="fr-BE"/>
        </w:rPr>
      </w:pPr>
    </w:p>
    <w:p w:rsidR="00514F37" w:rsidRPr="0007707C" w:rsidRDefault="00514F37" w:rsidP="00514F37">
      <w:pPr>
        <w:jc w:val="both"/>
        <w:rPr>
          <w:lang w:eastAsia="fr-BE"/>
        </w:rPr>
      </w:pPr>
      <w:r w:rsidRPr="0007707C">
        <w:rPr>
          <w:lang w:eastAsia="fr-BE"/>
        </w:rPr>
        <w:t>Vides aizsardzības un reģionālās</w:t>
      </w:r>
    </w:p>
    <w:p w:rsidR="00514F37" w:rsidRPr="0007707C" w:rsidRDefault="00514F37" w:rsidP="00514F37">
      <w:pPr>
        <w:jc w:val="both"/>
      </w:pPr>
      <w:r w:rsidRPr="0007707C">
        <w:rPr>
          <w:lang w:eastAsia="fr-BE"/>
        </w:rPr>
        <w:t>attīstības m</w:t>
      </w:r>
      <w:r w:rsidRPr="0007707C">
        <w:t xml:space="preserve">inistrs </w:t>
      </w:r>
      <w:r w:rsidRPr="0007707C">
        <w:tab/>
      </w:r>
      <w:r w:rsidRPr="0007707C">
        <w:tab/>
      </w:r>
      <w:r w:rsidRPr="0007707C">
        <w:tab/>
      </w:r>
      <w:r w:rsidRPr="0007707C">
        <w:tab/>
      </w:r>
      <w:r w:rsidRPr="0007707C">
        <w:tab/>
      </w:r>
      <w:r w:rsidRPr="0007707C">
        <w:tab/>
      </w:r>
      <w:r w:rsidRPr="0007707C">
        <w:tab/>
      </w:r>
      <w:r w:rsidRPr="0007707C">
        <w:tab/>
      </w:r>
      <w:proofErr w:type="gramStart"/>
      <w:r w:rsidR="0021791A" w:rsidRPr="0007707C">
        <w:t xml:space="preserve">  </w:t>
      </w:r>
      <w:r w:rsidR="00DA4E69" w:rsidRPr="0007707C">
        <w:t xml:space="preserve">           </w:t>
      </w:r>
      <w:proofErr w:type="gramEnd"/>
      <w:r w:rsidRPr="0007707C">
        <w:t>E.</w:t>
      </w:r>
      <w:r w:rsidR="006A0F60">
        <w:t>Cilinskis</w:t>
      </w:r>
    </w:p>
    <w:p w:rsidR="00514F37" w:rsidRPr="0007707C" w:rsidRDefault="00514F37" w:rsidP="00514F37">
      <w:pPr>
        <w:jc w:val="both"/>
        <w:rPr>
          <w:lang w:eastAsia="fr-BE"/>
        </w:rPr>
      </w:pPr>
      <w:r w:rsidRPr="0007707C">
        <w:tab/>
      </w:r>
      <w:r w:rsidRPr="0007707C">
        <w:tab/>
      </w:r>
      <w:r w:rsidRPr="0007707C">
        <w:tab/>
      </w:r>
      <w:r w:rsidRPr="0007707C">
        <w:tab/>
      </w:r>
      <w:r w:rsidRPr="0007707C">
        <w:tab/>
      </w:r>
    </w:p>
    <w:p w:rsidR="00DA4E69" w:rsidRPr="0007707C" w:rsidRDefault="00DA4E69" w:rsidP="00514F37">
      <w:pPr>
        <w:jc w:val="both"/>
      </w:pPr>
    </w:p>
    <w:p w:rsidR="00DA4E69" w:rsidRPr="0007707C" w:rsidRDefault="00DA4E69" w:rsidP="00514F37">
      <w:pPr>
        <w:jc w:val="both"/>
      </w:pPr>
    </w:p>
    <w:p w:rsidR="00302158" w:rsidRPr="0007707C" w:rsidRDefault="00302158" w:rsidP="00302158">
      <w:pPr>
        <w:jc w:val="both"/>
      </w:pPr>
    </w:p>
    <w:p w:rsidR="0039693B" w:rsidRDefault="0039693B" w:rsidP="0039693B">
      <w:pPr>
        <w:ind w:right="-766"/>
        <w:jc w:val="both"/>
        <w:rPr>
          <w:lang w:eastAsia="fr-BE"/>
        </w:rPr>
      </w:pPr>
      <w:r>
        <w:t xml:space="preserve">Vīza: Vides </w:t>
      </w:r>
      <w:r>
        <w:rPr>
          <w:lang w:eastAsia="fr-BE"/>
        </w:rPr>
        <w:t>aizsardzības un reģionālās</w:t>
      </w:r>
    </w:p>
    <w:p w:rsidR="0039693B" w:rsidRDefault="0039693B" w:rsidP="006A0F60">
      <w:pPr>
        <w:ind w:right="-766"/>
        <w:jc w:val="both"/>
      </w:pPr>
      <w:r>
        <w:rPr>
          <w:lang w:eastAsia="fr-BE"/>
        </w:rPr>
        <w:lastRenderedPageBreak/>
        <w:t>attīstības</w:t>
      </w:r>
      <w:r>
        <w:t xml:space="preserve"> ministrijas valsts sekretāra </w:t>
      </w:r>
      <w:proofErr w:type="spellStart"/>
      <w:r w:rsidR="006A0F60">
        <w:t>p.i</w:t>
      </w:r>
      <w:proofErr w:type="spellEnd"/>
      <w:r w:rsidR="006A0F60">
        <w:t>.</w:t>
      </w:r>
      <w:r w:rsidR="00B51B8F">
        <w:tab/>
      </w:r>
      <w:r w:rsidR="006A0F60">
        <w:tab/>
      </w:r>
      <w:r w:rsidR="006A0F60">
        <w:tab/>
      </w:r>
      <w:r w:rsidR="006A0F60">
        <w:tab/>
      </w:r>
      <w:r w:rsidR="00B51B8F">
        <w:tab/>
      </w:r>
      <w:r w:rsidR="006A0F60">
        <w:t>E.Turka</w:t>
      </w:r>
    </w:p>
    <w:p w:rsidR="00291AE7" w:rsidRPr="0007707C" w:rsidRDefault="00291AE7" w:rsidP="00514F37">
      <w:pPr>
        <w:jc w:val="both"/>
        <w:rPr>
          <w:sz w:val="20"/>
          <w:szCs w:val="20"/>
        </w:rPr>
      </w:pPr>
    </w:p>
    <w:p w:rsidR="00291AE7" w:rsidRPr="0007707C" w:rsidRDefault="00291AE7" w:rsidP="00514F37">
      <w:pPr>
        <w:jc w:val="both"/>
        <w:rPr>
          <w:sz w:val="20"/>
          <w:szCs w:val="20"/>
        </w:rPr>
      </w:pPr>
    </w:p>
    <w:p w:rsidR="00DA4E69" w:rsidRPr="0007707C" w:rsidRDefault="00DA4E69" w:rsidP="00514F37">
      <w:pPr>
        <w:jc w:val="both"/>
        <w:rPr>
          <w:sz w:val="20"/>
          <w:szCs w:val="20"/>
        </w:rPr>
      </w:pPr>
    </w:p>
    <w:p w:rsidR="00DA4E69" w:rsidRPr="0007707C" w:rsidRDefault="00DA4E69" w:rsidP="00514F37">
      <w:pPr>
        <w:jc w:val="both"/>
        <w:rPr>
          <w:sz w:val="20"/>
          <w:szCs w:val="20"/>
        </w:rPr>
      </w:pPr>
    </w:p>
    <w:p w:rsidR="00DA4E69" w:rsidRPr="0007707C" w:rsidRDefault="00DA4E69" w:rsidP="00514F37">
      <w:pPr>
        <w:jc w:val="both"/>
        <w:rPr>
          <w:sz w:val="20"/>
          <w:szCs w:val="20"/>
        </w:rPr>
      </w:pPr>
    </w:p>
    <w:p w:rsidR="008C3937" w:rsidRPr="0007707C" w:rsidRDefault="008C3937" w:rsidP="00514F37">
      <w:pPr>
        <w:jc w:val="both"/>
        <w:rPr>
          <w:sz w:val="20"/>
          <w:szCs w:val="20"/>
        </w:rPr>
      </w:pPr>
    </w:p>
    <w:p w:rsidR="00514F37" w:rsidRPr="0007707C" w:rsidRDefault="0039693B" w:rsidP="00514F37">
      <w:pPr>
        <w:jc w:val="both"/>
        <w:rPr>
          <w:sz w:val="20"/>
          <w:szCs w:val="20"/>
        </w:rPr>
      </w:pPr>
      <w:r>
        <w:rPr>
          <w:sz w:val="20"/>
          <w:szCs w:val="20"/>
        </w:rPr>
        <w:t>15</w:t>
      </w:r>
      <w:r w:rsidR="00514F37" w:rsidRPr="0007707C">
        <w:rPr>
          <w:sz w:val="20"/>
          <w:szCs w:val="20"/>
        </w:rPr>
        <w:t>.</w:t>
      </w:r>
      <w:r w:rsidR="00AF0090" w:rsidRPr="0007707C">
        <w:rPr>
          <w:sz w:val="20"/>
          <w:szCs w:val="20"/>
        </w:rPr>
        <w:t>0</w:t>
      </w:r>
      <w:r>
        <w:rPr>
          <w:sz w:val="20"/>
          <w:szCs w:val="20"/>
        </w:rPr>
        <w:t>4</w:t>
      </w:r>
      <w:r w:rsidR="00514F37" w:rsidRPr="0007707C">
        <w:rPr>
          <w:sz w:val="20"/>
          <w:szCs w:val="20"/>
        </w:rPr>
        <w:t>.1</w:t>
      </w:r>
      <w:r w:rsidR="009B2B2E" w:rsidRPr="0007707C">
        <w:rPr>
          <w:sz w:val="20"/>
          <w:szCs w:val="20"/>
        </w:rPr>
        <w:t>3</w:t>
      </w:r>
      <w:r w:rsidR="00514F37" w:rsidRPr="0007707C">
        <w:rPr>
          <w:sz w:val="20"/>
          <w:szCs w:val="20"/>
        </w:rPr>
        <w:t xml:space="preserve">. </w:t>
      </w:r>
      <w:r w:rsidR="002C4D1F" w:rsidRPr="00B51B8F">
        <w:rPr>
          <w:sz w:val="20"/>
          <w:szCs w:val="20"/>
        </w:rPr>
        <w:t>1</w:t>
      </w:r>
      <w:r w:rsidR="00B51B8F" w:rsidRPr="00B51B8F">
        <w:rPr>
          <w:sz w:val="20"/>
          <w:szCs w:val="20"/>
        </w:rPr>
        <w:t>0</w:t>
      </w:r>
      <w:r w:rsidR="002C4D1F" w:rsidRPr="00B51B8F">
        <w:rPr>
          <w:sz w:val="20"/>
          <w:szCs w:val="20"/>
        </w:rPr>
        <w:t>:</w:t>
      </w:r>
      <w:r w:rsidR="0023112B">
        <w:rPr>
          <w:sz w:val="20"/>
          <w:szCs w:val="20"/>
        </w:rPr>
        <w:t>3</w:t>
      </w:r>
      <w:r w:rsidR="00B51B8F" w:rsidRPr="00B51B8F">
        <w:rPr>
          <w:sz w:val="20"/>
          <w:szCs w:val="20"/>
        </w:rPr>
        <w:t>4</w:t>
      </w:r>
    </w:p>
    <w:p w:rsidR="00514F37" w:rsidRPr="0007707C" w:rsidRDefault="006A0F60" w:rsidP="00514F37">
      <w:pPr>
        <w:jc w:val="both"/>
        <w:rPr>
          <w:sz w:val="20"/>
          <w:szCs w:val="20"/>
        </w:rPr>
      </w:pPr>
      <w:r>
        <w:rPr>
          <w:sz w:val="20"/>
          <w:szCs w:val="20"/>
        </w:rPr>
        <w:t>726</w:t>
      </w:r>
    </w:p>
    <w:p w:rsidR="00194EBC" w:rsidRPr="0007707C" w:rsidRDefault="006A0F60" w:rsidP="002C4D1F">
      <w:pPr>
        <w:jc w:val="both"/>
        <w:rPr>
          <w:sz w:val="20"/>
          <w:szCs w:val="20"/>
        </w:rPr>
      </w:pPr>
      <w:r>
        <w:rPr>
          <w:sz w:val="20"/>
          <w:szCs w:val="20"/>
        </w:rPr>
        <w:t>K.Rasiņa</w:t>
      </w:r>
      <w:r w:rsidR="00AF0090" w:rsidRPr="0007707C">
        <w:rPr>
          <w:sz w:val="20"/>
          <w:szCs w:val="20"/>
        </w:rPr>
        <w:t xml:space="preserve"> </w:t>
      </w:r>
      <w:r w:rsidR="00514F37" w:rsidRPr="0007707C">
        <w:rPr>
          <w:sz w:val="20"/>
          <w:szCs w:val="20"/>
        </w:rPr>
        <w:t>6</w:t>
      </w:r>
      <w:r>
        <w:rPr>
          <w:sz w:val="20"/>
          <w:szCs w:val="20"/>
        </w:rPr>
        <w:t>601655</w:t>
      </w:r>
      <w:r w:rsidR="0039693B">
        <w:rPr>
          <w:sz w:val="20"/>
          <w:szCs w:val="20"/>
        </w:rPr>
        <w:t>3</w:t>
      </w:r>
    </w:p>
    <w:p w:rsidR="00514F37" w:rsidRPr="0007707C" w:rsidRDefault="0022550B" w:rsidP="002C4D1F">
      <w:pPr>
        <w:jc w:val="both"/>
      </w:pPr>
      <w:hyperlink r:id="rId8" w:history="1">
        <w:r w:rsidR="006A0F60" w:rsidRPr="001739C7">
          <w:rPr>
            <w:rStyle w:val="Hyperlink"/>
            <w:sz w:val="20"/>
            <w:szCs w:val="20"/>
          </w:rPr>
          <w:t>kristine.rasina@varam.gov.lv</w:t>
        </w:r>
      </w:hyperlink>
      <w:r w:rsidR="00AF0090" w:rsidRPr="0007707C">
        <w:rPr>
          <w:sz w:val="20"/>
          <w:szCs w:val="20"/>
        </w:rPr>
        <w:t xml:space="preserve"> </w:t>
      </w:r>
    </w:p>
    <w:sectPr w:rsidR="00514F37" w:rsidRPr="0007707C" w:rsidSect="008964B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8B" w:rsidRDefault="00181F8B" w:rsidP="007E6849">
      <w:r>
        <w:separator/>
      </w:r>
    </w:p>
  </w:endnote>
  <w:endnote w:type="continuationSeparator" w:id="0">
    <w:p w:rsidR="00181F8B" w:rsidRDefault="00181F8B" w:rsidP="007E68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49" w:rsidRPr="007E6849" w:rsidRDefault="00E557A7" w:rsidP="006A0F60">
    <w:pPr>
      <w:pStyle w:val="Footer"/>
      <w:jc w:val="center"/>
      <w:rPr>
        <w:sz w:val="20"/>
        <w:szCs w:val="20"/>
      </w:rPr>
    </w:pPr>
    <w:r>
      <w:rPr>
        <w:sz w:val="20"/>
        <w:szCs w:val="20"/>
      </w:rPr>
      <w:t>VARAMZino_</w:t>
    </w:r>
    <w:r w:rsidR="006A0F60">
      <w:rPr>
        <w:sz w:val="20"/>
        <w:szCs w:val="20"/>
      </w:rPr>
      <w:t>07</w:t>
    </w:r>
    <w:r w:rsidR="00B13C01">
      <w:rPr>
        <w:sz w:val="20"/>
        <w:szCs w:val="20"/>
      </w:rPr>
      <w:t>0</w:t>
    </w:r>
    <w:r w:rsidR="006A0F60">
      <w:rPr>
        <w:sz w:val="20"/>
        <w:szCs w:val="20"/>
      </w:rPr>
      <w:t>314</w:t>
    </w:r>
    <w:r w:rsidR="007E6849" w:rsidRPr="007E6849">
      <w:rPr>
        <w:sz w:val="20"/>
        <w:szCs w:val="20"/>
      </w:rPr>
      <w:t xml:space="preserve">; </w:t>
    </w:r>
    <w:r w:rsidR="006A0F60" w:rsidRPr="005F656E">
      <w:rPr>
        <w:sz w:val="20"/>
        <w:szCs w:val="20"/>
      </w:rPr>
      <w:t xml:space="preserve">Par </w:t>
    </w:r>
    <w:r w:rsidR="006A0F60">
      <w:rPr>
        <w:sz w:val="20"/>
        <w:szCs w:val="20"/>
      </w:rPr>
      <w:t>nacionālā līdzfinansējuma apjomu Teritoriālās sadarbības programmai ESPON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C2" w:rsidRPr="007E6849" w:rsidRDefault="00194EBC" w:rsidP="002F34C2">
    <w:pPr>
      <w:pStyle w:val="Footer"/>
      <w:rPr>
        <w:sz w:val="20"/>
        <w:szCs w:val="20"/>
      </w:rPr>
    </w:pPr>
    <w:r>
      <w:rPr>
        <w:sz w:val="20"/>
        <w:szCs w:val="20"/>
      </w:rPr>
      <w:t>VARAMZino_</w:t>
    </w:r>
    <w:r w:rsidR="00512FA9">
      <w:rPr>
        <w:sz w:val="20"/>
        <w:szCs w:val="20"/>
      </w:rPr>
      <w:t>1504</w:t>
    </w:r>
    <w:r w:rsidR="002F34C2">
      <w:rPr>
        <w:sz w:val="20"/>
        <w:szCs w:val="20"/>
      </w:rPr>
      <w:t>13</w:t>
    </w:r>
    <w:r w:rsidR="002F34C2" w:rsidRPr="007E6849">
      <w:rPr>
        <w:sz w:val="20"/>
        <w:szCs w:val="20"/>
      </w:rPr>
      <w:t xml:space="preserve">; </w:t>
    </w:r>
    <w:r w:rsidR="00512FA9">
      <w:rPr>
        <w:noProof/>
        <w:sz w:val="20"/>
        <w:szCs w:val="20"/>
      </w:rPr>
      <w:t>P</w:t>
    </w:r>
    <w:r w:rsidR="00512FA9" w:rsidRPr="00A54090">
      <w:rPr>
        <w:noProof/>
        <w:sz w:val="20"/>
        <w:szCs w:val="20"/>
      </w:rPr>
      <w:t xml:space="preserve">ar </w:t>
    </w:r>
    <w:r w:rsidR="00967C87">
      <w:rPr>
        <w:noProof/>
        <w:sz w:val="20"/>
        <w:szCs w:val="20"/>
      </w:rPr>
      <w:t xml:space="preserve">Latvijas nacionālo pozīciju par </w:t>
    </w:r>
    <w:r w:rsidR="00512FA9" w:rsidRPr="00A54090">
      <w:rPr>
        <w:noProof/>
        <w:sz w:val="20"/>
        <w:szCs w:val="20"/>
      </w:rPr>
      <w:t>Teritoriālās sadarbības programmas ESPON pēc 2013.gada darbības principiem</w:t>
    </w:r>
  </w:p>
  <w:p w:rsidR="002A1A18" w:rsidRDefault="002A1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8B" w:rsidRDefault="00181F8B" w:rsidP="007E6849">
      <w:r>
        <w:separator/>
      </w:r>
    </w:p>
  </w:footnote>
  <w:footnote w:type="continuationSeparator" w:id="0">
    <w:p w:rsidR="00181F8B" w:rsidRDefault="00181F8B" w:rsidP="007E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7" w:rsidRDefault="0022550B">
    <w:pPr>
      <w:pStyle w:val="Header"/>
      <w:jc w:val="center"/>
    </w:pPr>
    <w:fldSimple w:instr=" PAGE   \* MERGEFORMAT ">
      <w:r w:rsidR="007A1EDF">
        <w:rPr>
          <w:noProof/>
        </w:rPr>
        <w:t>3</w:t>
      </w:r>
    </w:fldSimple>
  </w:p>
  <w:p w:rsidR="00514F37" w:rsidRDefault="00514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906"/>
    <w:multiLevelType w:val="hybridMultilevel"/>
    <w:tmpl w:val="23AE23CC"/>
    <w:lvl w:ilvl="0" w:tplc="0426000B">
      <w:start w:val="1"/>
      <w:numFmt w:val="bullet"/>
      <w:lvlText w:val=""/>
      <w:lvlJc w:val="left"/>
      <w:pPr>
        <w:ind w:left="1222" w:hanging="360"/>
      </w:pPr>
      <w:rPr>
        <w:rFonts w:ascii="Wingdings" w:hAnsi="Wingding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
    <w:nsid w:val="04061406"/>
    <w:multiLevelType w:val="hybridMultilevel"/>
    <w:tmpl w:val="9828A8C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83226CF"/>
    <w:multiLevelType w:val="hybridMultilevel"/>
    <w:tmpl w:val="17BABE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816C0B"/>
    <w:multiLevelType w:val="hybridMultilevel"/>
    <w:tmpl w:val="DB76E4C4"/>
    <w:lvl w:ilvl="0" w:tplc="290E6B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E66D29"/>
    <w:multiLevelType w:val="hybridMultilevel"/>
    <w:tmpl w:val="18EA32FA"/>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5">
    <w:nsid w:val="1C9B2943"/>
    <w:multiLevelType w:val="hybridMultilevel"/>
    <w:tmpl w:val="74823876"/>
    <w:lvl w:ilvl="0" w:tplc="0426000B">
      <w:start w:val="1"/>
      <w:numFmt w:val="bullet"/>
      <w:lvlText w:val=""/>
      <w:lvlJc w:val="left"/>
      <w:pPr>
        <w:ind w:left="1222" w:hanging="360"/>
      </w:pPr>
      <w:rPr>
        <w:rFonts w:ascii="Wingdings" w:hAnsi="Wingding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6">
    <w:nsid w:val="1D463344"/>
    <w:multiLevelType w:val="hybridMultilevel"/>
    <w:tmpl w:val="FCEA5808"/>
    <w:lvl w:ilvl="0" w:tplc="695EBE5A">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208302D5"/>
    <w:multiLevelType w:val="hybridMultilevel"/>
    <w:tmpl w:val="8DBE3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2A42909"/>
    <w:multiLevelType w:val="hybridMultilevel"/>
    <w:tmpl w:val="EC98324C"/>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nsid w:val="28E47492"/>
    <w:multiLevelType w:val="hybridMultilevel"/>
    <w:tmpl w:val="8FD081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AC03B75"/>
    <w:multiLevelType w:val="hybridMultilevel"/>
    <w:tmpl w:val="648604BA"/>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F6319FD"/>
    <w:multiLevelType w:val="hybridMultilevel"/>
    <w:tmpl w:val="D122C34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nsid w:val="33A17179"/>
    <w:multiLevelType w:val="hybridMultilevel"/>
    <w:tmpl w:val="00CE37FC"/>
    <w:lvl w:ilvl="0" w:tplc="0426000B">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3">
    <w:nsid w:val="37947A39"/>
    <w:multiLevelType w:val="hybridMultilevel"/>
    <w:tmpl w:val="46C2DBF8"/>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nsid w:val="381B3283"/>
    <w:multiLevelType w:val="hybridMultilevel"/>
    <w:tmpl w:val="114E431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9181124"/>
    <w:multiLevelType w:val="hybridMultilevel"/>
    <w:tmpl w:val="8CC8494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461A1DAD"/>
    <w:multiLevelType w:val="hybridMultilevel"/>
    <w:tmpl w:val="4510EFE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6875E71"/>
    <w:multiLevelType w:val="hybridMultilevel"/>
    <w:tmpl w:val="7E723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27404C"/>
    <w:multiLevelType w:val="hybridMultilevel"/>
    <w:tmpl w:val="EA8825AA"/>
    <w:lvl w:ilvl="0" w:tplc="2DCC41E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BF6655C"/>
    <w:multiLevelType w:val="hybridMultilevel"/>
    <w:tmpl w:val="B49C5FF2"/>
    <w:lvl w:ilvl="0" w:tplc="CA70CFAC">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56AD6F06"/>
    <w:multiLevelType w:val="hybridMultilevel"/>
    <w:tmpl w:val="F3C426DA"/>
    <w:lvl w:ilvl="0" w:tplc="60B2226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5AFC2E15"/>
    <w:multiLevelType w:val="hybridMultilevel"/>
    <w:tmpl w:val="284AEFCA"/>
    <w:lvl w:ilvl="0" w:tplc="0426000B">
      <w:start w:val="1"/>
      <w:numFmt w:val="bullet"/>
      <w:lvlText w:val=""/>
      <w:lvlJc w:val="left"/>
      <w:pPr>
        <w:ind w:left="1222" w:hanging="360"/>
      </w:pPr>
      <w:rPr>
        <w:rFonts w:ascii="Wingdings" w:hAnsi="Wingding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2">
    <w:nsid w:val="60710907"/>
    <w:multiLevelType w:val="hybridMultilevel"/>
    <w:tmpl w:val="06901FB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61E737B4"/>
    <w:multiLevelType w:val="hybridMultilevel"/>
    <w:tmpl w:val="72D25F62"/>
    <w:lvl w:ilvl="0" w:tplc="0426000B">
      <w:start w:val="1"/>
      <w:numFmt w:val="bullet"/>
      <w:lvlText w:val=""/>
      <w:lvlJc w:val="left"/>
      <w:pPr>
        <w:ind w:left="1260" w:hanging="360"/>
      </w:pPr>
      <w:rPr>
        <w:rFonts w:ascii="Wingdings" w:hAnsi="Wingdings"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4">
    <w:nsid w:val="66B45B63"/>
    <w:multiLevelType w:val="hybridMultilevel"/>
    <w:tmpl w:val="4CDE5F9A"/>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nsid w:val="676D00A5"/>
    <w:multiLevelType w:val="hybridMultilevel"/>
    <w:tmpl w:val="CF4A06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C08418D"/>
    <w:multiLevelType w:val="hybridMultilevel"/>
    <w:tmpl w:val="F65E1F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12E54A4"/>
    <w:multiLevelType w:val="hybridMultilevel"/>
    <w:tmpl w:val="980A4854"/>
    <w:lvl w:ilvl="0" w:tplc="0426000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D493EF5"/>
    <w:multiLevelType w:val="hybridMultilevel"/>
    <w:tmpl w:val="0106A2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DF278D9"/>
    <w:multiLevelType w:val="hybridMultilevel"/>
    <w:tmpl w:val="6CB24DA6"/>
    <w:lvl w:ilvl="0" w:tplc="3AE6FDE8">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4"/>
  </w:num>
  <w:num w:numId="3">
    <w:abstractNumId w:val="27"/>
  </w:num>
  <w:num w:numId="4">
    <w:abstractNumId w:val="24"/>
  </w:num>
  <w:num w:numId="5">
    <w:abstractNumId w:val="28"/>
  </w:num>
  <w:num w:numId="6">
    <w:abstractNumId w:val="29"/>
  </w:num>
  <w:num w:numId="7">
    <w:abstractNumId w:val="6"/>
  </w:num>
  <w:num w:numId="8">
    <w:abstractNumId w:val="4"/>
  </w:num>
  <w:num w:numId="9">
    <w:abstractNumId w:val="17"/>
  </w:num>
  <w:num w:numId="10">
    <w:abstractNumId w:val="19"/>
  </w:num>
  <w:num w:numId="11">
    <w:abstractNumId w:val="18"/>
  </w:num>
  <w:num w:numId="12">
    <w:abstractNumId w:val="9"/>
  </w:num>
  <w:num w:numId="13">
    <w:abstractNumId w:val="26"/>
  </w:num>
  <w:num w:numId="14">
    <w:abstractNumId w:val="23"/>
  </w:num>
  <w:num w:numId="15">
    <w:abstractNumId w:val="0"/>
  </w:num>
  <w:num w:numId="16">
    <w:abstractNumId w:val="16"/>
  </w:num>
  <w:num w:numId="17">
    <w:abstractNumId w:val="5"/>
  </w:num>
  <w:num w:numId="18">
    <w:abstractNumId w:val="21"/>
  </w:num>
  <w:num w:numId="19">
    <w:abstractNumId w:val="12"/>
  </w:num>
  <w:num w:numId="20">
    <w:abstractNumId w:val="3"/>
  </w:num>
  <w:num w:numId="21">
    <w:abstractNumId w:val="20"/>
  </w:num>
  <w:num w:numId="22">
    <w:abstractNumId w:val="13"/>
  </w:num>
  <w:num w:numId="23">
    <w:abstractNumId w:val="15"/>
  </w:num>
  <w:num w:numId="24">
    <w:abstractNumId w:val="22"/>
  </w:num>
  <w:num w:numId="25">
    <w:abstractNumId w:val="10"/>
  </w:num>
  <w:num w:numId="26">
    <w:abstractNumId w:val="8"/>
  </w:num>
  <w:num w:numId="27">
    <w:abstractNumId w:val="11"/>
  </w:num>
  <w:num w:numId="28">
    <w:abstractNumId w:val="2"/>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hideGrammaticalErrors/>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600747"/>
    <w:rsid w:val="000212CC"/>
    <w:rsid w:val="0003719D"/>
    <w:rsid w:val="00044F82"/>
    <w:rsid w:val="0007707C"/>
    <w:rsid w:val="000E08B7"/>
    <w:rsid w:val="000F59AB"/>
    <w:rsid w:val="00140F03"/>
    <w:rsid w:val="001511F6"/>
    <w:rsid w:val="00181F8B"/>
    <w:rsid w:val="00194EBC"/>
    <w:rsid w:val="001C678B"/>
    <w:rsid w:val="0021791A"/>
    <w:rsid w:val="0022550B"/>
    <w:rsid w:val="0023112B"/>
    <w:rsid w:val="002717BC"/>
    <w:rsid w:val="00291AE7"/>
    <w:rsid w:val="002A1A18"/>
    <w:rsid w:val="002B2ED5"/>
    <w:rsid w:val="002C4D1F"/>
    <w:rsid w:val="002D3925"/>
    <w:rsid w:val="002D5F5D"/>
    <w:rsid w:val="002F34C2"/>
    <w:rsid w:val="002F4746"/>
    <w:rsid w:val="00302158"/>
    <w:rsid w:val="00377F9C"/>
    <w:rsid w:val="00383BEB"/>
    <w:rsid w:val="003873BF"/>
    <w:rsid w:val="0039171F"/>
    <w:rsid w:val="0039693B"/>
    <w:rsid w:val="003A4992"/>
    <w:rsid w:val="003C2EC1"/>
    <w:rsid w:val="003E3152"/>
    <w:rsid w:val="00415049"/>
    <w:rsid w:val="00424D5B"/>
    <w:rsid w:val="00431809"/>
    <w:rsid w:val="0049085B"/>
    <w:rsid w:val="004A1B08"/>
    <w:rsid w:val="004E51C2"/>
    <w:rsid w:val="00512FA9"/>
    <w:rsid w:val="00514F37"/>
    <w:rsid w:val="00600747"/>
    <w:rsid w:val="00601D9F"/>
    <w:rsid w:val="00605FA5"/>
    <w:rsid w:val="00633690"/>
    <w:rsid w:val="0067396E"/>
    <w:rsid w:val="006911D5"/>
    <w:rsid w:val="006A0F60"/>
    <w:rsid w:val="006C30E7"/>
    <w:rsid w:val="006F748D"/>
    <w:rsid w:val="00706AEE"/>
    <w:rsid w:val="00725558"/>
    <w:rsid w:val="0075686A"/>
    <w:rsid w:val="007755A9"/>
    <w:rsid w:val="007A1EDF"/>
    <w:rsid w:val="007B320F"/>
    <w:rsid w:val="007E6849"/>
    <w:rsid w:val="007E6A76"/>
    <w:rsid w:val="007F0373"/>
    <w:rsid w:val="00815574"/>
    <w:rsid w:val="00870755"/>
    <w:rsid w:val="0087103E"/>
    <w:rsid w:val="008964BA"/>
    <w:rsid w:val="008C3937"/>
    <w:rsid w:val="008F1C06"/>
    <w:rsid w:val="00934C66"/>
    <w:rsid w:val="00955B73"/>
    <w:rsid w:val="00967C87"/>
    <w:rsid w:val="00976D08"/>
    <w:rsid w:val="009877E7"/>
    <w:rsid w:val="009A0510"/>
    <w:rsid w:val="009B2B2E"/>
    <w:rsid w:val="009F050B"/>
    <w:rsid w:val="00A16387"/>
    <w:rsid w:val="00A2679D"/>
    <w:rsid w:val="00A37F5E"/>
    <w:rsid w:val="00A83F03"/>
    <w:rsid w:val="00A954CB"/>
    <w:rsid w:val="00AD7232"/>
    <w:rsid w:val="00AF0090"/>
    <w:rsid w:val="00AF49E9"/>
    <w:rsid w:val="00B13C01"/>
    <w:rsid w:val="00B16F0C"/>
    <w:rsid w:val="00B51B8F"/>
    <w:rsid w:val="00B5564F"/>
    <w:rsid w:val="00BA6667"/>
    <w:rsid w:val="00BB2C47"/>
    <w:rsid w:val="00BC2C36"/>
    <w:rsid w:val="00BD676B"/>
    <w:rsid w:val="00C02EE3"/>
    <w:rsid w:val="00C231CD"/>
    <w:rsid w:val="00C87F67"/>
    <w:rsid w:val="00CA75D4"/>
    <w:rsid w:val="00CF500C"/>
    <w:rsid w:val="00D230B6"/>
    <w:rsid w:val="00D80853"/>
    <w:rsid w:val="00D874F3"/>
    <w:rsid w:val="00D95BF3"/>
    <w:rsid w:val="00D97875"/>
    <w:rsid w:val="00DA4E69"/>
    <w:rsid w:val="00DB4C41"/>
    <w:rsid w:val="00DD2467"/>
    <w:rsid w:val="00DE3164"/>
    <w:rsid w:val="00DF5C52"/>
    <w:rsid w:val="00E04E71"/>
    <w:rsid w:val="00E34F4E"/>
    <w:rsid w:val="00E557A7"/>
    <w:rsid w:val="00EA7E8C"/>
    <w:rsid w:val="00EE185B"/>
    <w:rsid w:val="00EE1C0E"/>
    <w:rsid w:val="00F3231E"/>
    <w:rsid w:val="00F36222"/>
    <w:rsid w:val="00F4736E"/>
    <w:rsid w:val="00F63C83"/>
    <w:rsid w:val="00FC70EE"/>
    <w:rsid w:val="00FE3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7"/>
    <w:rPr>
      <w:rFonts w:ascii="Times New Roman" w:eastAsia="Times New Roman" w:hAnsi="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2">
    <w:name w:val="a__t2"/>
    <w:rsid w:val="00600747"/>
  </w:style>
  <w:style w:type="character" w:customStyle="1" w:styleId="at4">
    <w:name w:val="a__t4"/>
    <w:rsid w:val="00600747"/>
  </w:style>
  <w:style w:type="paragraph" w:customStyle="1" w:styleId="EntEmet">
    <w:name w:val="EntEmet"/>
    <w:basedOn w:val="Normal"/>
    <w:rsid w:val="00600747"/>
    <w:pPr>
      <w:widowControl w:val="0"/>
      <w:tabs>
        <w:tab w:val="left" w:pos="284"/>
        <w:tab w:val="left" w:pos="567"/>
        <w:tab w:val="left" w:pos="851"/>
        <w:tab w:val="left" w:pos="1134"/>
        <w:tab w:val="left" w:pos="1418"/>
      </w:tabs>
      <w:spacing w:before="40"/>
    </w:pPr>
    <w:rPr>
      <w:lang w:eastAsia="fr-BE"/>
    </w:rPr>
  </w:style>
  <w:style w:type="paragraph" w:styleId="ListParagraph">
    <w:name w:val="List Paragraph"/>
    <w:basedOn w:val="Normal"/>
    <w:uiPriority w:val="34"/>
    <w:qFormat/>
    <w:rsid w:val="00600747"/>
    <w:pPr>
      <w:spacing w:after="200" w:line="276" w:lineRule="auto"/>
      <w:ind w:left="720"/>
    </w:pPr>
    <w:rPr>
      <w:rFonts w:ascii="Calibri" w:eastAsia="Calibri" w:hAnsi="Calibri"/>
      <w:sz w:val="22"/>
      <w:szCs w:val="22"/>
    </w:rPr>
  </w:style>
  <w:style w:type="character" w:customStyle="1" w:styleId="hps">
    <w:name w:val="hps"/>
    <w:basedOn w:val="DefaultParagraphFont"/>
    <w:rsid w:val="00600747"/>
  </w:style>
  <w:style w:type="paragraph" w:styleId="Header">
    <w:name w:val="header"/>
    <w:basedOn w:val="Normal"/>
    <w:link w:val="HeaderChar"/>
    <w:uiPriority w:val="99"/>
    <w:unhideWhenUsed/>
    <w:rsid w:val="007E6849"/>
    <w:pPr>
      <w:tabs>
        <w:tab w:val="center" w:pos="4153"/>
        <w:tab w:val="right" w:pos="8306"/>
      </w:tabs>
    </w:pPr>
  </w:style>
  <w:style w:type="character" w:customStyle="1" w:styleId="HeaderChar">
    <w:name w:val="Header Char"/>
    <w:basedOn w:val="DefaultParagraphFont"/>
    <w:link w:val="Header"/>
    <w:uiPriority w:val="99"/>
    <w:rsid w:val="007E68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849"/>
    <w:pPr>
      <w:tabs>
        <w:tab w:val="center" w:pos="4153"/>
        <w:tab w:val="right" w:pos="8306"/>
      </w:tabs>
    </w:pPr>
  </w:style>
  <w:style w:type="character" w:customStyle="1" w:styleId="FooterChar">
    <w:name w:val="Footer Char"/>
    <w:basedOn w:val="DefaultParagraphFont"/>
    <w:link w:val="Footer"/>
    <w:uiPriority w:val="99"/>
    <w:rsid w:val="007E6849"/>
    <w:rPr>
      <w:rFonts w:ascii="Times New Roman" w:eastAsia="Times New Roman" w:hAnsi="Times New Roman" w:cs="Times New Roman"/>
      <w:sz w:val="24"/>
      <w:szCs w:val="24"/>
    </w:rPr>
  </w:style>
  <w:style w:type="character" w:styleId="Hyperlink">
    <w:name w:val="Hyperlink"/>
    <w:basedOn w:val="DefaultParagraphFont"/>
    <w:rsid w:val="00514F37"/>
    <w:rPr>
      <w:color w:val="0000FF"/>
      <w:u w:val="single"/>
    </w:rPr>
  </w:style>
  <w:style w:type="paragraph" w:styleId="BalloonText">
    <w:name w:val="Balloon Text"/>
    <w:basedOn w:val="Normal"/>
    <w:link w:val="BalloonTextChar"/>
    <w:uiPriority w:val="99"/>
    <w:semiHidden/>
    <w:unhideWhenUsed/>
    <w:rsid w:val="00815574"/>
    <w:rPr>
      <w:rFonts w:ascii="Tahoma" w:hAnsi="Tahoma" w:cs="Tahoma"/>
      <w:sz w:val="16"/>
      <w:szCs w:val="16"/>
    </w:rPr>
  </w:style>
  <w:style w:type="character" w:customStyle="1" w:styleId="BalloonTextChar">
    <w:name w:val="Balloon Text Char"/>
    <w:basedOn w:val="DefaultParagraphFont"/>
    <w:link w:val="BalloonText"/>
    <w:uiPriority w:val="99"/>
    <w:semiHidden/>
    <w:rsid w:val="00815574"/>
    <w:rPr>
      <w:rFonts w:ascii="Tahoma" w:eastAsia="Times New Roman" w:hAnsi="Tahoma" w:cs="Tahoma"/>
      <w:sz w:val="16"/>
      <w:szCs w:val="16"/>
    </w:rPr>
  </w:style>
  <w:style w:type="character" w:styleId="CommentReference">
    <w:name w:val="annotation reference"/>
    <w:uiPriority w:val="99"/>
    <w:semiHidden/>
    <w:unhideWhenUsed/>
    <w:rsid w:val="00424D5B"/>
    <w:rPr>
      <w:sz w:val="16"/>
      <w:szCs w:val="16"/>
    </w:rPr>
  </w:style>
  <w:style w:type="character" w:styleId="FootnoteReference">
    <w:name w:val="footnote reference"/>
    <w:semiHidden/>
    <w:unhideWhenUsed/>
    <w:rsid w:val="002F34C2"/>
    <w:rPr>
      <w:vertAlign w:val="superscript"/>
    </w:rPr>
  </w:style>
  <w:style w:type="paragraph" w:styleId="PlainText">
    <w:name w:val="Plain Text"/>
    <w:basedOn w:val="Normal"/>
    <w:link w:val="PlainTextChar"/>
    <w:uiPriority w:val="99"/>
    <w:unhideWhenUsed/>
    <w:rsid w:val="002F34C2"/>
    <w:rPr>
      <w:rFonts w:ascii="Consolas" w:eastAsia="Calibri" w:hAnsi="Consolas"/>
      <w:sz w:val="21"/>
      <w:szCs w:val="21"/>
    </w:rPr>
  </w:style>
  <w:style w:type="character" w:customStyle="1" w:styleId="PlainTextChar">
    <w:name w:val="Plain Text Char"/>
    <w:basedOn w:val="DefaultParagraphFont"/>
    <w:link w:val="PlainText"/>
    <w:uiPriority w:val="99"/>
    <w:rsid w:val="002F34C2"/>
    <w:rPr>
      <w:rFonts w:ascii="Consolas" w:hAnsi="Consolas"/>
      <w:sz w:val="21"/>
      <w:szCs w:val="21"/>
      <w:lang w:eastAsia="en-US"/>
    </w:rPr>
  </w:style>
  <w:style w:type="paragraph" w:styleId="NormalWeb">
    <w:name w:val="Normal (Web)"/>
    <w:basedOn w:val="Normal"/>
    <w:uiPriority w:val="99"/>
    <w:unhideWhenUsed/>
    <w:rsid w:val="00512FA9"/>
    <w:pPr>
      <w:spacing w:before="100" w:beforeAutospacing="1" w:after="100" w:afterAutospacing="1"/>
    </w:pPr>
    <w:rPr>
      <w:lang w:eastAsia="lv-LV"/>
    </w:rPr>
  </w:style>
  <w:style w:type="paragraph" w:styleId="FootnoteText">
    <w:name w:val="footnote text"/>
    <w:basedOn w:val="Normal"/>
    <w:link w:val="FootnoteTextChar"/>
    <w:uiPriority w:val="99"/>
    <w:semiHidden/>
    <w:unhideWhenUsed/>
    <w:rsid w:val="00B51B8F"/>
    <w:rPr>
      <w:sz w:val="20"/>
      <w:szCs w:val="20"/>
    </w:rPr>
  </w:style>
  <w:style w:type="character" w:customStyle="1" w:styleId="FootnoteTextChar">
    <w:name w:val="Footnote Text Char"/>
    <w:basedOn w:val="DefaultParagraphFont"/>
    <w:link w:val="FootnoteText"/>
    <w:uiPriority w:val="99"/>
    <w:semiHidden/>
    <w:rsid w:val="00B51B8F"/>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3350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ras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1DEC6-F7FD-450C-814B-40436712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VARAMZino_081112_BJR; Par Latvijas nacionālo pozīciju par tematiskajiem mērķiem Baltijas jūras reģiona programmā 2014.-2020.gadam</vt:lpstr>
    </vt:vector>
  </TitlesOfParts>
  <Company>VARAM</Company>
  <LinksUpToDate>false</LinksUpToDate>
  <CharactersWithSpaces>5981</CharactersWithSpaces>
  <SharedDoc>false</SharedDoc>
  <HLinks>
    <vt:vector size="6" baseType="variant">
      <vt:variant>
        <vt:i4>5111920</vt:i4>
      </vt:variant>
      <vt:variant>
        <vt:i4>0</vt:i4>
      </vt:variant>
      <vt:variant>
        <vt:i4>0</vt:i4>
      </vt:variant>
      <vt:variant>
        <vt:i4>5</vt:i4>
      </vt:variant>
      <vt:variant>
        <vt:lpwstr>mailto:Inguna.Urtane@varam.gov.lv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VARAMZino_081112_BJR; Par Latvijas nacionālo pozīciju par tematiskajiem mērķiem Baltijas jūras reģiona programmā 2014.-2020.gadam</dc:title>
  <dc:subject>Informatīvais ziņojums</dc:subject>
  <dc:creator>IlgaGruseva</dc:creator>
  <cp:keywords/>
  <cp:lastModifiedBy>larisat</cp:lastModifiedBy>
  <cp:revision>5</cp:revision>
  <dcterms:created xsi:type="dcterms:W3CDTF">2014-03-06T21:44:00Z</dcterms:created>
  <dcterms:modified xsi:type="dcterms:W3CDTF">2014-03-10T05:24:00Z</dcterms:modified>
</cp:coreProperties>
</file>