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AA1F" w14:textId="77777777" w:rsidR="00676088" w:rsidRPr="00DB63F0" w:rsidRDefault="00676088" w:rsidP="00D056D0">
      <w:pPr>
        <w:pStyle w:val="Header"/>
        <w:ind w:right="360"/>
        <w:jc w:val="center"/>
        <w:rPr>
          <w:rFonts w:ascii="Times New Roman" w:hAnsi="Times New Roman"/>
          <w:sz w:val="24"/>
          <w:szCs w:val="24"/>
        </w:rPr>
      </w:pPr>
    </w:p>
    <w:p w14:paraId="5A49AA20" w14:textId="77777777" w:rsidR="00533FC4" w:rsidRPr="0062375D" w:rsidRDefault="004D18F6" w:rsidP="00D056D0">
      <w:pPr>
        <w:pStyle w:val="Header"/>
        <w:ind w:right="360"/>
        <w:jc w:val="center"/>
        <w:rPr>
          <w:rFonts w:ascii="Times New Roman" w:hAnsi="Times New Roman"/>
          <w:szCs w:val="24"/>
        </w:rPr>
      </w:pPr>
      <w:r w:rsidRPr="0062375D">
        <w:rPr>
          <w:rFonts w:ascii="Times New Roman" w:hAnsi="Times New Roman"/>
          <w:b/>
          <w:szCs w:val="24"/>
        </w:rPr>
        <w:t>Ministru kabineta noteikumu projekta</w:t>
      </w:r>
      <w:r w:rsidR="00896A3F" w:rsidRPr="0062375D">
        <w:rPr>
          <w:rFonts w:ascii="Times New Roman" w:hAnsi="Times New Roman"/>
          <w:b/>
          <w:szCs w:val="24"/>
        </w:rPr>
        <w:t xml:space="preserve"> </w:t>
      </w:r>
      <w:r w:rsidR="0062375D">
        <w:rPr>
          <w:rFonts w:ascii="Times New Roman" w:hAnsi="Times New Roman"/>
          <w:b/>
          <w:szCs w:val="24"/>
        </w:rPr>
        <w:t>"</w:t>
      </w:r>
      <w:r w:rsidRPr="0062375D">
        <w:rPr>
          <w:rFonts w:ascii="Times New Roman" w:hAnsi="Times New Roman"/>
          <w:b/>
          <w:bCs/>
          <w:szCs w:val="24"/>
        </w:rPr>
        <w:t>Grozījumi Ministru kabineta 2005.</w:t>
      </w:r>
      <w:r w:rsidR="0062375D">
        <w:rPr>
          <w:rFonts w:ascii="Times New Roman" w:hAnsi="Times New Roman"/>
          <w:b/>
          <w:bCs/>
          <w:szCs w:val="24"/>
        </w:rPr>
        <w:t> </w:t>
      </w:r>
      <w:r w:rsidRPr="0062375D">
        <w:rPr>
          <w:rFonts w:ascii="Times New Roman" w:hAnsi="Times New Roman"/>
          <w:b/>
          <w:bCs/>
          <w:szCs w:val="24"/>
        </w:rPr>
        <w:t>gada 22.</w:t>
      </w:r>
      <w:r w:rsidR="0062375D">
        <w:rPr>
          <w:rFonts w:ascii="Times New Roman" w:hAnsi="Times New Roman"/>
          <w:b/>
          <w:bCs/>
          <w:szCs w:val="24"/>
        </w:rPr>
        <w:t> </w:t>
      </w:r>
      <w:r w:rsidRPr="0062375D">
        <w:rPr>
          <w:rFonts w:ascii="Times New Roman" w:hAnsi="Times New Roman"/>
          <w:b/>
          <w:bCs/>
          <w:szCs w:val="24"/>
        </w:rPr>
        <w:t>marta noteikumos Nr.</w:t>
      </w:r>
      <w:r w:rsidR="0062375D">
        <w:rPr>
          <w:rFonts w:ascii="Times New Roman" w:hAnsi="Times New Roman"/>
          <w:b/>
          <w:bCs/>
          <w:szCs w:val="24"/>
        </w:rPr>
        <w:t> </w:t>
      </w:r>
      <w:r w:rsidRPr="0062375D">
        <w:rPr>
          <w:rFonts w:ascii="Times New Roman" w:hAnsi="Times New Roman"/>
          <w:b/>
          <w:bCs/>
          <w:szCs w:val="24"/>
        </w:rPr>
        <w:t xml:space="preserve">201 </w:t>
      </w:r>
      <w:r w:rsidR="0062375D">
        <w:rPr>
          <w:rFonts w:ascii="Times New Roman" w:hAnsi="Times New Roman"/>
          <w:b/>
          <w:bCs/>
          <w:szCs w:val="24"/>
        </w:rPr>
        <w:t>"</w:t>
      </w:r>
      <w:r w:rsidRPr="0062375D">
        <w:rPr>
          <w:rFonts w:ascii="Times New Roman" w:hAnsi="Times New Roman"/>
          <w:b/>
          <w:bCs/>
          <w:szCs w:val="24"/>
        </w:rPr>
        <w:t>Korupcijas novēršanas un apkarošanas biroja nolikums</w:t>
      </w:r>
      <w:r w:rsidR="0062375D">
        <w:rPr>
          <w:rFonts w:ascii="Times New Roman" w:hAnsi="Times New Roman"/>
          <w:b/>
          <w:bCs/>
          <w:szCs w:val="24"/>
        </w:rPr>
        <w:t>""</w:t>
      </w:r>
      <w:r w:rsidRPr="0062375D">
        <w:rPr>
          <w:rFonts w:ascii="Times New Roman" w:hAnsi="Times New Roman"/>
          <w:b/>
          <w:bCs/>
          <w:szCs w:val="24"/>
        </w:rPr>
        <w:t xml:space="preserve"> </w:t>
      </w:r>
      <w:r w:rsidR="00533FC4" w:rsidRPr="0062375D">
        <w:rPr>
          <w:rFonts w:ascii="Times New Roman" w:hAnsi="Times New Roman"/>
          <w:b/>
          <w:szCs w:val="24"/>
        </w:rPr>
        <w:t xml:space="preserve">sākotnējās ietekmes </w:t>
      </w:r>
      <w:r w:rsidR="00543C96" w:rsidRPr="0062375D">
        <w:rPr>
          <w:rFonts w:ascii="Times New Roman" w:hAnsi="Times New Roman"/>
          <w:b/>
          <w:szCs w:val="24"/>
        </w:rPr>
        <w:t>novērtējuma ziņojums</w:t>
      </w:r>
      <w:r w:rsidR="0062375D">
        <w:rPr>
          <w:rFonts w:ascii="Times New Roman" w:hAnsi="Times New Roman"/>
          <w:b/>
          <w:szCs w:val="24"/>
        </w:rPr>
        <w:t xml:space="preserve"> </w:t>
      </w:r>
      <w:r w:rsidR="00533FC4" w:rsidRPr="0062375D">
        <w:rPr>
          <w:rFonts w:ascii="Times New Roman" w:hAnsi="Times New Roman"/>
          <w:b/>
          <w:szCs w:val="24"/>
        </w:rPr>
        <w:t>(anotācija)</w:t>
      </w:r>
    </w:p>
    <w:p w14:paraId="5A49AA21" w14:textId="77777777" w:rsidR="00533FC4" w:rsidRPr="00DB63F0" w:rsidRDefault="00533FC4" w:rsidP="00D056D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"/>
        <w:gridCol w:w="1863"/>
        <w:gridCol w:w="6989"/>
      </w:tblGrid>
      <w:tr w:rsidR="00533FC4" w:rsidRPr="00FD55CA" w14:paraId="5A49AA23" w14:textId="77777777" w:rsidTr="0062375D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5A49AA22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  <w:jc w:val="center"/>
            </w:pPr>
            <w:r w:rsidRPr="00DB63F0">
              <w:rPr>
                <w:b/>
                <w:bCs/>
              </w:rPr>
              <w:t>I. Tiesību akta projekta izstrādes nepieciešamība</w:t>
            </w:r>
          </w:p>
        </w:tc>
      </w:tr>
      <w:tr w:rsidR="00533FC4" w:rsidRPr="00FD55CA" w14:paraId="5A49AA27" w14:textId="77777777" w:rsidTr="0062375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4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1.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5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Pamatojums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6" w14:textId="7F04BC33" w:rsidR="00533FC4" w:rsidRPr="00B52DAC" w:rsidRDefault="004D18F6" w:rsidP="004C328E">
            <w:pPr>
              <w:rPr>
                <w:noProof/>
                <w:color w:val="000000"/>
              </w:rPr>
            </w:pPr>
            <w:r w:rsidRPr="004D18F6">
              <w:rPr>
                <w:lang w:eastAsia="en-US"/>
              </w:rPr>
              <w:t>Ministru kabineta 2013.</w:t>
            </w:r>
            <w:r w:rsidR="0062375D">
              <w:rPr>
                <w:lang w:eastAsia="en-US"/>
              </w:rPr>
              <w:t> </w:t>
            </w:r>
            <w:r w:rsidRPr="004D18F6">
              <w:rPr>
                <w:lang w:eastAsia="en-US"/>
              </w:rPr>
              <w:t>gada 3.</w:t>
            </w:r>
            <w:r w:rsidR="0062375D">
              <w:rPr>
                <w:lang w:eastAsia="en-US"/>
              </w:rPr>
              <w:t> </w:t>
            </w:r>
            <w:r w:rsidRPr="004D18F6">
              <w:rPr>
                <w:lang w:eastAsia="en-US"/>
              </w:rPr>
              <w:t>decembra sēdē tika i</w:t>
            </w:r>
            <w:r w:rsidR="00B75322">
              <w:rPr>
                <w:lang w:eastAsia="en-US"/>
              </w:rPr>
              <w:t>zskatīts informatīvais ziņojums</w:t>
            </w:r>
            <w:r w:rsidRPr="004D18F6">
              <w:t xml:space="preserve"> </w:t>
            </w:r>
            <w:r w:rsidR="0062375D">
              <w:t>"</w:t>
            </w:r>
            <w:r w:rsidRPr="004D18F6">
              <w:t>Par Korupcijas novēršanas un apkarošanas biroja darbību regulējošo tiesību normu efektivitāti un priekšlikumiem biroja darbības uzlabošanai</w:t>
            </w:r>
            <w:r w:rsidR="0062375D">
              <w:t>"</w:t>
            </w:r>
            <w:r>
              <w:t>. Atbilstoši Ministru kabineta sēdes lēmumam Valsts kancelejai tika uzdots sagatavot izskatīšanai Ministru kabinetā informatīv</w:t>
            </w:r>
            <w:r w:rsidR="004C328E">
              <w:t>ajam</w:t>
            </w:r>
            <w:r>
              <w:t xml:space="preserve"> ziņojuma</w:t>
            </w:r>
            <w:r w:rsidR="004C328E">
              <w:t>m</w:t>
            </w:r>
            <w:r>
              <w:t xml:space="preserve"> pievienoto Ministru kabineta noteikumu projektu (prot. Nr.</w:t>
            </w:r>
            <w:r w:rsidR="002945D0">
              <w:t> </w:t>
            </w:r>
            <w:r>
              <w:t>64 53.</w:t>
            </w:r>
            <w:r w:rsidR="00A36C83">
              <w:t> </w:t>
            </w:r>
            <w:r>
              <w:t>§ 2.3.</w:t>
            </w:r>
            <w:r w:rsidR="002945D0">
              <w:t> </w:t>
            </w:r>
            <w:r>
              <w:t>apakšpunkts)</w:t>
            </w:r>
          </w:p>
        </w:tc>
      </w:tr>
      <w:tr w:rsidR="00533FC4" w:rsidRPr="00FD55CA" w14:paraId="5A49AA2C" w14:textId="77777777" w:rsidTr="0062375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8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2.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9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Pašreizējā situācija un problēmas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A" w14:textId="1F5F2A4B" w:rsidR="00DB63F0" w:rsidRDefault="00B75322" w:rsidP="004C328E">
            <w:r w:rsidRPr="006154B5">
              <w:t>Ar Ministru prezidenta 2013.</w:t>
            </w:r>
            <w:r w:rsidR="0062375D">
              <w:t> </w:t>
            </w:r>
            <w:r w:rsidRPr="006154B5">
              <w:t>gada 29.</w:t>
            </w:r>
            <w:r w:rsidR="0062375D">
              <w:t> </w:t>
            </w:r>
            <w:r w:rsidRPr="006154B5">
              <w:t>augusta rīkojumu Nr.</w:t>
            </w:r>
            <w:r w:rsidR="0062375D">
              <w:t> </w:t>
            </w:r>
            <w:r w:rsidRPr="006154B5">
              <w:t xml:space="preserve">316 </w:t>
            </w:r>
            <w:r w:rsidR="0062375D">
              <w:t>"</w:t>
            </w:r>
            <w:r w:rsidR="006154B5" w:rsidRPr="006154B5">
              <w:rPr>
                <w:bCs/>
              </w:rPr>
              <w:t>Par darba grupu Korupcijas novēršanas un apkarošanas biroja darbības efektivitātes uzlabošanai</w:t>
            </w:r>
            <w:r w:rsidR="0062375D">
              <w:t>"</w:t>
            </w:r>
            <w:r w:rsidRPr="006154B5">
              <w:t xml:space="preserve"> izveidotā darba grupa</w:t>
            </w:r>
            <w:r w:rsidR="006154B5">
              <w:t>, kuras sastāvā darbojās ģenerālprokurors (darba grupas vadītājs), Valsts kancelejas direktor</w:t>
            </w:r>
            <w:r w:rsidR="002945D0">
              <w:t>s</w:t>
            </w:r>
            <w:r w:rsidR="006154B5">
              <w:t xml:space="preserve">, Tieslietu ministrijas valsts sekretārs, Satversmes aizsardzības biroja direktors, Drošības policijas priekšnieks, kā arī biedrības </w:t>
            </w:r>
            <w:r w:rsidR="0062375D">
              <w:t>"</w:t>
            </w:r>
            <w:r w:rsidR="006154B5">
              <w:t xml:space="preserve">Sabiedrība par atklātību </w:t>
            </w:r>
            <w:r w:rsidR="002945D0">
              <w:t>–</w:t>
            </w:r>
            <w:r w:rsidR="006154B5">
              <w:t xml:space="preserve"> Delna</w:t>
            </w:r>
            <w:r w:rsidR="0062375D">
              <w:t>"</w:t>
            </w:r>
            <w:r w:rsidR="006154B5">
              <w:t xml:space="preserve"> un biedrības </w:t>
            </w:r>
            <w:r w:rsidR="0062375D">
              <w:t>"</w:t>
            </w:r>
            <w:r w:rsidR="006154B5">
              <w:t xml:space="preserve">Sabiedriskās politikas centrs </w:t>
            </w:r>
            <w:proofErr w:type="spellStart"/>
            <w:r w:rsidR="006154B5">
              <w:t>PROVIDUS</w:t>
            </w:r>
            <w:proofErr w:type="spellEnd"/>
            <w:r w:rsidR="0062375D">
              <w:t>"</w:t>
            </w:r>
            <w:r w:rsidR="00A36C83">
              <w:t xml:space="preserve"> pārstāvji,</w:t>
            </w:r>
            <w:proofErr w:type="gramStart"/>
            <w:r w:rsidR="00A36C83" w:rsidRPr="006154B5">
              <w:t xml:space="preserve">  </w:t>
            </w:r>
            <w:proofErr w:type="gramEnd"/>
            <w:r w:rsidRPr="006154B5">
              <w:t>ir konstatējusi, ka Korupcijas novēršanas un apkarošanas biroja (turpmāk – Birojs)</w:t>
            </w:r>
            <w:r w:rsidR="00D03959" w:rsidRPr="006154B5">
              <w:t xml:space="preserve"> nolikumā nav noteikta</w:t>
            </w:r>
            <w:r>
              <w:t xml:space="preserve"> Biroja priekšnieka vietnieku kompetence, deleģējot kompetences noteikšanu </w:t>
            </w:r>
            <w:r w:rsidR="00D03959">
              <w:t>Biroja priekšniekam. Šāda situācija nenodrošina Biroja vadošo amatpersonu kompetences pārskatāmību, kā arī rada iekšēj</w:t>
            </w:r>
            <w:r w:rsidR="002945D0">
              <w:t>a</w:t>
            </w:r>
            <w:r w:rsidR="00D03959">
              <w:t>s nesaskaņas</w:t>
            </w:r>
            <w:r w:rsidR="00C50825">
              <w:t xml:space="preserve"> Biroja priekšnieka </w:t>
            </w:r>
            <w:r w:rsidR="002945D0">
              <w:t>noteiktās</w:t>
            </w:r>
            <w:r w:rsidR="00C50825">
              <w:t xml:space="preserve"> kompetences atšķirīgas interpretācijas </w:t>
            </w:r>
            <w:r w:rsidR="002945D0">
              <w:t>dēļ</w:t>
            </w:r>
            <w:r w:rsidR="00C50825">
              <w:t>.</w:t>
            </w:r>
          </w:p>
          <w:p w14:paraId="5A49AA2B" w14:textId="77777777" w:rsidR="00E500DE" w:rsidRPr="00DB63F0" w:rsidRDefault="00E500DE" w:rsidP="004C328E">
            <w:pPr>
              <w:pStyle w:val="NoSpacing"/>
            </w:pPr>
            <w:r>
              <w:t xml:space="preserve">Biroja nolikumā netiek atrunāta Biroja priekšnieka kompetence Biroja uzsāktajos kriminālprocesos un īstenotajos operatīvās darbības procesos, kas apgrūtina </w:t>
            </w:r>
            <w:r w:rsidR="006154B5">
              <w:t xml:space="preserve">iestādes vadītāja </w:t>
            </w:r>
            <w:r>
              <w:t>pamatfunkcij</w:t>
            </w:r>
            <w:r w:rsidR="003840C0">
              <w:t>as</w:t>
            </w:r>
            <w:r>
              <w:t xml:space="preserve"> </w:t>
            </w:r>
            <w:r w:rsidR="003840C0">
              <w:t xml:space="preserve">īstenošanu </w:t>
            </w:r>
            <w:r>
              <w:t>– Biroja darbības tiesiskuma nodrošināšanu</w:t>
            </w:r>
          </w:p>
        </w:tc>
      </w:tr>
      <w:tr w:rsidR="00533FC4" w:rsidRPr="00FD55CA" w14:paraId="5A49AA30" w14:textId="77777777" w:rsidTr="0062375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D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3.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E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Saistītie politikas ietekmes novērtējumi un pētījumi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2F" w14:textId="77777777" w:rsidR="00533FC4" w:rsidRPr="00DB63F0" w:rsidRDefault="008273A8" w:rsidP="00D056D0">
            <w:pPr>
              <w:pStyle w:val="tvhtmlmktable"/>
              <w:spacing w:before="0" w:beforeAutospacing="0" w:after="0" w:afterAutospacing="0"/>
            </w:pPr>
            <w:r>
              <w:t>Projekts šo jomu neskar</w:t>
            </w:r>
          </w:p>
        </w:tc>
      </w:tr>
      <w:tr w:rsidR="00533FC4" w:rsidRPr="00FD55CA" w14:paraId="5A49AA36" w14:textId="77777777" w:rsidTr="0062375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1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4.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2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Tiesiskā regulējuma mērķis un būtība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3" w14:textId="01A62F1D" w:rsidR="00440004" w:rsidRPr="00A36C83" w:rsidRDefault="00E62E0E" w:rsidP="004C328E">
            <w:r>
              <w:t>Noteikumu projekts paredz papildināt Biroja nolikumu, precīzi nosakot Biroja priekšnieka vietnieka korupcijas apkarošanas jautājumos un Biroja priekšnieka vietnieka korupcijas novēršanas jautājumos kompetenci</w:t>
            </w:r>
            <w:r w:rsidRPr="00A36C83">
              <w:t>. Šāds normatīvais precizējums nav pretrunā ar Korupcijas novēršanas un apkarošanas biroja likuma 4.</w:t>
            </w:r>
            <w:r w:rsidR="004C328E">
              <w:t> </w:t>
            </w:r>
            <w:r w:rsidRPr="00A36C83">
              <w:t>panta trešo daļu, kas piešķir Biroja priekšniekam tiesību noteikt Biroja centrālā aparāta amatpersonu un darbinieku, kā arī teritoriālo nodaļu vadītāju pienākumus, tie</w:t>
            </w:r>
            <w:r w:rsidR="00A36C83" w:rsidRPr="00A36C83">
              <w:t>sības un uzdevumus. Ar terminu "kompetence"</w:t>
            </w:r>
            <w:r w:rsidRPr="00A36C83">
              <w:t xml:space="preserve"> ir jāsaprot attiecīgās amatpersonas darbības joma. Savukārt amatpersonas pienākumi, tiesības un uzdevumi tiek noteikti, lai efektīvi risināt</w:t>
            </w:r>
            <w:r w:rsidR="004C328E">
              <w:t>u</w:t>
            </w:r>
            <w:r w:rsidRPr="00A36C83">
              <w:t xml:space="preserve"> savas jomas (kompetences) jautājumus.</w:t>
            </w:r>
          </w:p>
          <w:p w14:paraId="5A49AA34" w14:textId="77777777" w:rsidR="00E62E0E" w:rsidRDefault="00E62E0E" w:rsidP="004C328E"/>
          <w:p w14:paraId="5A49AA35" w14:textId="77777777" w:rsidR="004954F7" w:rsidRPr="00DB63F0" w:rsidRDefault="003D5206" w:rsidP="004C328E">
            <w:r>
              <w:t xml:space="preserve">Noteikumu projekts paredz papildināt Biroja nolikumu, </w:t>
            </w:r>
            <w:r w:rsidR="003840C0">
              <w:t>nosakot</w:t>
            </w:r>
            <w:r>
              <w:t xml:space="preserve"> Biroja </w:t>
            </w:r>
            <w:r>
              <w:lastRenderedPageBreak/>
              <w:t>priekšnieka kompetenci kriminālprocesā, kā arī operatīvās darbības procesā</w:t>
            </w:r>
          </w:p>
        </w:tc>
      </w:tr>
      <w:tr w:rsidR="00533FC4" w:rsidRPr="00FD55CA" w14:paraId="5A49AA3B" w14:textId="77777777" w:rsidTr="0062375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7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lastRenderedPageBreak/>
              <w:t>5.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8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Projekta izstrādē iesaistītās institūcijas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9" w14:textId="67D5647E" w:rsidR="00533FC4" w:rsidRDefault="003D5206" w:rsidP="004C328E">
            <w:pPr>
              <w:pStyle w:val="tvhtmlmktable"/>
              <w:spacing w:before="0" w:beforeAutospacing="0" w:after="0" w:afterAutospacing="0"/>
              <w:jc w:val="both"/>
            </w:pPr>
            <w:r>
              <w:t>Noteikumu projektu sagatavoja darba grupa, kura izveidota a</w:t>
            </w:r>
            <w:r w:rsidRPr="006154B5">
              <w:t>r Ministru prezidenta 2013.</w:t>
            </w:r>
            <w:r w:rsidR="0062375D">
              <w:t> </w:t>
            </w:r>
            <w:r w:rsidRPr="006154B5">
              <w:t>gada 29.</w:t>
            </w:r>
            <w:r w:rsidR="0062375D">
              <w:t> </w:t>
            </w:r>
            <w:r w:rsidRPr="006154B5">
              <w:t>augusta rīkojumu Nr.</w:t>
            </w:r>
            <w:r w:rsidR="0062375D">
              <w:t> </w:t>
            </w:r>
            <w:r w:rsidRPr="006154B5">
              <w:t xml:space="preserve">316 </w:t>
            </w:r>
            <w:r w:rsidR="0062375D">
              <w:t>"</w:t>
            </w:r>
            <w:r w:rsidRPr="006154B5">
              <w:rPr>
                <w:bCs/>
              </w:rPr>
              <w:t>Par darba grupu Korupcijas novēršanas un apkarošanas biroja darbības efektivitātes uzlabošanai</w:t>
            </w:r>
            <w:r w:rsidR="0062375D">
              <w:t>"</w:t>
            </w:r>
            <w:r>
              <w:t>. Darba grupas sastāvā darbojās ģenerālprokurors (darba grupas vadītājs), Valsts kancelejas direktor</w:t>
            </w:r>
            <w:r w:rsidR="003840C0">
              <w:t>s</w:t>
            </w:r>
            <w:r>
              <w:t xml:space="preserve">, Tieslietu ministrijas valsts sekretārs, Satversmes aizsardzības biroja direktors, Drošības policijas priekšnieks, kā arī biedrības </w:t>
            </w:r>
            <w:r w:rsidR="0062375D">
              <w:t>"</w:t>
            </w:r>
            <w:r>
              <w:t xml:space="preserve">Sabiedrība par atklātību </w:t>
            </w:r>
            <w:r w:rsidR="003840C0">
              <w:t>–</w:t>
            </w:r>
            <w:r>
              <w:t xml:space="preserve"> Delna</w:t>
            </w:r>
            <w:r w:rsidR="0062375D">
              <w:t>"</w:t>
            </w:r>
            <w:r>
              <w:t xml:space="preserve"> un biedrības </w:t>
            </w:r>
            <w:r w:rsidR="0062375D">
              <w:t>"</w:t>
            </w:r>
            <w:r>
              <w:t xml:space="preserve">Sabiedriskās politikas centrs </w:t>
            </w:r>
            <w:proofErr w:type="spellStart"/>
            <w:r>
              <w:t>PROVIDUS</w:t>
            </w:r>
            <w:proofErr w:type="spellEnd"/>
            <w:r w:rsidR="0062375D">
              <w:t>"</w:t>
            </w:r>
            <w:r w:rsidR="00A36C83">
              <w:t xml:space="preserve"> pārstāvji.</w:t>
            </w:r>
          </w:p>
          <w:p w14:paraId="5A49AA3A" w14:textId="57311536" w:rsidR="003D5206" w:rsidRPr="00DB63F0" w:rsidRDefault="003D5206" w:rsidP="004C328E">
            <w:pPr>
              <w:pStyle w:val="tvhtmlmktable"/>
              <w:spacing w:before="0" w:beforeAutospacing="0" w:after="0" w:afterAutospacing="0"/>
              <w:jc w:val="both"/>
            </w:pPr>
            <w:r>
              <w:t xml:space="preserve">Projekts izskatīts informatīvā ziņojuma ietvaros un konceptuāli atbalstīts Ministru kabineta </w:t>
            </w:r>
            <w:r w:rsidRPr="004D18F6">
              <w:rPr>
                <w:lang w:eastAsia="en-US"/>
              </w:rPr>
              <w:t>2013.</w:t>
            </w:r>
            <w:r w:rsidR="003840C0">
              <w:rPr>
                <w:lang w:eastAsia="en-US"/>
              </w:rPr>
              <w:t> </w:t>
            </w:r>
            <w:r w:rsidRPr="004D18F6">
              <w:rPr>
                <w:lang w:eastAsia="en-US"/>
              </w:rPr>
              <w:t>gada 3.</w:t>
            </w:r>
            <w:r w:rsidR="003840C0">
              <w:rPr>
                <w:lang w:eastAsia="en-US"/>
              </w:rPr>
              <w:t> </w:t>
            </w:r>
            <w:r w:rsidRPr="004D18F6">
              <w:rPr>
                <w:lang w:eastAsia="en-US"/>
              </w:rPr>
              <w:t>decembra sēdē</w:t>
            </w:r>
            <w:r>
              <w:rPr>
                <w:lang w:eastAsia="en-US"/>
              </w:rPr>
              <w:t xml:space="preserve"> (prot</w:t>
            </w:r>
            <w:r w:rsidR="00A36C8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Nr.</w:t>
            </w:r>
            <w:r w:rsidR="003840C0">
              <w:rPr>
                <w:lang w:eastAsia="en-US"/>
              </w:rPr>
              <w:t> </w:t>
            </w:r>
            <w:r>
              <w:t>64 53.</w:t>
            </w:r>
            <w:r w:rsidR="003840C0">
              <w:t> </w:t>
            </w:r>
            <w:r>
              <w:t>§)</w:t>
            </w:r>
          </w:p>
        </w:tc>
      </w:tr>
      <w:tr w:rsidR="00533FC4" w:rsidRPr="00FD55CA" w14:paraId="5A49AA3F" w14:textId="77777777" w:rsidTr="0062375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C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6.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D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Iemesli, kādēļ netika nodrošināta sabiedrības līdzdalība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3E" w14:textId="77777777" w:rsidR="00533FC4" w:rsidRPr="00DB63F0" w:rsidRDefault="003D5206" w:rsidP="003D5206">
            <w:pPr>
              <w:pStyle w:val="tvhtmlmktable"/>
              <w:spacing w:before="0" w:beforeAutospacing="0" w:after="0" w:afterAutospacing="0"/>
              <w:jc w:val="both"/>
            </w:pPr>
            <w:r>
              <w:t>Projekts šo jomu neskar</w:t>
            </w:r>
          </w:p>
        </w:tc>
      </w:tr>
      <w:tr w:rsidR="00533FC4" w:rsidRPr="00FD55CA" w14:paraId="5A49AA43" w14:textId="77777777" w:rsidTr="0062375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40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7.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41" w14:textId="77777777" w:rsidR="00533FC4" w:rsidRPr="00DB63F0" w:rsidRDefault="00533FC4" w:rsidP="00D056D0">
            <w:pPr>
              <w:pStyle w:val="tvhtmlmktable"/>
              <w:spacing w:before="0" w:beforeAutospacing="0" w:after="0" w:afterAutospacing="0"/>
            </w:pPr>
            <w:r w:rsidRPr="00DB63F0">
              <w:t>Cita informācija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42" w14:textId="77777777" w:rsidR="00533FC4" w:rsidRPr="00DB63F0" w:rsidRDefault="00D83153" w:rsidP="00D056D0">
            <w:pPr>
              <w:pStyle w:val="tvhtmlmktable"/>
              <w:spacing w:before="0" w:beforeAutospacing="0" w:after="0" w:afterAutospacing="0"/>
            </w:pPr>
            <w:r w:rsidRPr="00DB63F0">
              <w:t>Nav</w:t>
            </w:r>
          </w:p>
        </w:tc>
      </w:tr>
    </w:tbl>
    <w:p w14:paraId="5A49AA44" w14:textId="77777777" w:rsidR="00D83153" w:rsidRDefault="00D83153" w:rsidP="00D056D0"/>
    <w:tbl>
      <w:tblPr>
        <w:tblW w:w="50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3402"/>
        <w:gridCol w:w="5528"/>
      </w:tblGrid>
      <w:tr w:rsidR="008273A8" w:rsidRPr="00FF0AED" w14:paraId="5A49AA46" w14:textId="77777777" w:rsidTr="0062375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5A49AA45" w14:textId="77777777" w:rsidR="008273A8" w:rsidRPr="00FF0AED" w:rsidRDefault="008273A8" w:rsidP="00D056D0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FF0AED">
              <w:rPr>
                <w:b/>
                <w:bCs/>
                <w:szCs w:val="28"/>
              </w:rPr>
              <w:t>II</w:t>
            </w:r>
            <w:proofErr w:type="spellEnd"/>
            <w:r w:rsidRPr="00FF0AED">
              <w:rPr>
                <w:b/>
                <w:bCs/>
                <w:szCs w:val="28"/>
              </w:rPr>
              <w:t>. Tiesību akta projekta ietekme uz sabiedrību</w:t>
            </w:r>
          </w:p>
        </w:tc>
      </w:tr>
      <w:tr w:rsidR="008273A8" w:rsidRPr="00FF0AED" w14:paraId="5A49AA4A" w14:textId="77777777" w:rsidTr="0062375D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47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1.</w:t>
            </w:r>
          </w:p>
        </w:tc>
        <w:tc>
          <w:tcPr>
            <w:tcW w:w="1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48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Sabiedrības mērķgrupa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49" w14:textId="6A6225FC" w:rsidR="008273A8" w:rsidRPr="00FF0AED" w:rsidRDefault="003D5206" w:rsidP="004C328E">
            <w:pPr>
              <w:rPr>
                <w:szCs w:val="28"/>
              </w:rPr>
            </w:pPr>
            <w:r>
              <w:rPr>
                <w:szCs w:val="28"/>
              </w:rPr>
              <w:t xml:space="preserve">Noteikumu projektā paredzētais regulējums ir orientēts uz Biroja </w:t>
            </w:r>
            <w:r w:rsidR="00511DBC">
              <w:rPr>
                <w:szCs w:val="28"/>
              </w:rPr>
              <w:t>priekšnieku un Biroja priekšniek</w:t>
            </w:r>
            <w:r w:rsidR="003840C0">
              <w:rPr>
                <w:szCs w:val="28"/>
              </w:rPr>
              <w:t>a</w:t>
            </w:r>
            <w:r w:rsidR="00511DBC">
              <w:rPr>
                <w:szCs w:val="28"/>
              </w:rPr>
              <w:t xml:space="preserve"> vietniekiem. Paredzētais regulējums uzlabos Biroja darbības organizāciju, kas </w:t>
            </w:r>
            <w:r w:rsidR="00A36C83">
              <w:rPr>
                <w:szCs w:val="28"/>
              </w:rPr>
              <w:t xml:space="preserve">savukārt </w:t>
            </w:r>
            <w:r w:rsidR="00511DBC">
              <w:rPr>
                <w:szCs w:val="28"/>
              </w:rPr>
              <w:t>veicinās Biroja darbības efektivitāti</w:t>
            </w:r>
          </w:p>
        </w:tc>
      </w:tr>
      <w:tr w:rsidR="008273A8" w:rsidRPr="00FF0AED" w14:paraId="5A49AA4E" w14:textId="77777777" w:rsidTr="0062375D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4B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2.</w:t>
            </w:r>
          </w:p>
        </w:tc>
        <w:tc>
          <w:tcPr>
            <w:tcW w:w="1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4C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4D" w14:textId="77777777" w:rsidR="008273A8" w:rsidRPr="00FF0AED" w:rsidRDefault="00511DBC" w:rsidP="00D056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Projekts šo jomu neskar</w:t>
            </w:r>
          </w:p>
        </w:tc>
      </w:tr>
      <w:tr w:rsidR="008273A8" w:rsidRPr="00FF0AED" w14:paraId="5A49AA52" w14:textId="77777777" w:rsidTr="0062375D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4F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3.</w:t>
            </w:r>
          </w:p>
        </w:tc>
        <w:tc>
          <w:tcPr>
            <w:tcW w:w="1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0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Tiesiskā regulējuma finansiālā ietekme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1" w14:textId="77777777" w:rsidR="008273A8" w:rsidRPr="00FF0AED" w:rsidRDefault="008273A8" w:rsidP="00D056D0">
            <w:pPr>
              <w:jc w:val="both"/>
              <w:rPr>
                <w:szCs w:val="28"/>
              </w:rPr>
            </w:pPr>
            <w:r w:rsidRPr="00FF0AED">
              <w:rPr>
                <w:szCs w:val="28"/>
              </w:rPr>
              <w:t>Projekts šo jomu neskar</w:t>
            </w:r>
          </w:p>
        </w:tc>
      </w:tr>
      <w:tr w:rsidR="008273A8" w:rsidRPr="00FF0AED" w14:paraId="5A49AA56" w14:textId="77777777" w:rsidTr="0062375D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3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4.</w:t>
            </w:r>
          </w:p>
        </w:tc>
        <w:tc>
          <w:tcPr>
            <w:tcW w:w="1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4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Tiesiskā regulējuma nefinansiālā ietekme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5" w14:textId="77777777" w:rsidR="008273A8" w:rsidRPr="00FF0AED" w:rsidRDefault="008273A8" w:rsidP="00D056D0">
            <w:pPr>
              <w:jc w:val="both"/>
              <w:rPr>
                <w:szCs w:val="28"/>
              </w:rPr>
            </w:pPr>
            <w:r w:rsidRPr="00FF0AED">
              <w:rPr>
                <w:szCs w:val="28"/>
              </w:rPr>
              <w:t>Projekts šo jomu neskar</w:t>
            </w:r>
          </w:p>
        </w:tc>
      </w:tr>
      <w:tr w:rsidR="008273A8" w:rsidRPr="00FF0AED" w14:paraId="5A49AA5A" w14:textId="77777777" w:rsidTr="0062375D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7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5.</w:t>
            </w:r>
          </w:p>
        </w:tc>
        <w:tc>
          <w:tcPr>
            <w:tcW w:w="1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8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Administratīvās procedūras raksturojums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9" w14:textId="77777777" w:rsidR="008273A8" w:rsidRPr="00FF0AED" w:rsidRDefault="008273A8" w:rsidP="00D056D0">
            <w:pPr>
              <w:jc w:val="both"/>
              <w:rPr>
                <w:szCs w:val="28"/>
              </w:rPr>
            </w:pPr>
            <w:r w:rsidRPr="00FF0AED">
              <w:rPr>
                <w:szCs w:val="28"/>
              </w:rPr>
              <w:t>Projekts šo jomu neskar</w:t>
            </w:r>
          </w:p>
        </w:tc>
      </w:tr>
      <w:tr w:rsidR="008273A8" w:rsidRPr="00FF0AED" w14:paraId="5A49AA5E" w14:textId="77777777" w:rsidTr="0062375D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B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6.</w:t>
            </w:r>
          </w:p>
        </w:tc>
        <w:tc>
          <w:tcPr>
            <w:tcW w:w="1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C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Administratīvo izmaksu monetārs novērtējums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D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Projekts šo jomu neskar</w:t>
            </w:r>
          </w:p>
        </w:tc>
      </w:tr>
      <w:tr w:rsidR="008273A8" w:rsidRPr="00FF0AED" w14:paraId="5A49AA62" w14:textId="77777777" w:rsidTr="0062375D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5F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7.</w:t>
            </w:r>
          </w:p>
        </w:tc>
        <w:tc>
          <w:tcPr>
            <w:tcW w:w="1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60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Cita informācija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AA61" w14:textId="77777777" w:rsidR="008273A8" w:rsidRPr="00FF0AED" w:rsidRDefault="008273A8" w:rsidP="00D056D0">
            <w:pPr>
              <w:rPr>
                <w:szCs w:val="28"/>
              </w:rPr>
            </w:pPr>
            <w:r w:rsidRPr="00FF0AED">
              <w:rPr>
                <w:szCs w:val="28"/>
              </w:rPr>
              <w:t>Nav</w:t>
            </w:r>
          </w:p>
        </w:tc>
      </w:tr>
    </w:tbl>
    <w:p w14:paraId="5A49AA63" w14:textId="77777777" w:rsidR="002F32F0" w:rsidRDefault="002F32F0"/>
    <w:tbl>
      <w:tblPr>
        <w:tblW w:w="50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2F32F0" w:rsidRPr="00FF0AED" w14:paraId="5A49AA65" w14:textId="77777777" w:rsidTr="002F32F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9AA64" w14:textId="77777777" w:rsidR="002F32F0" w:rsidRPr="00FF0AED" w:rsidRDefault="002F32F0" w:rsidP="00D056D0">
            <w:pPr>
              <w:rPr>
                <w:szCs w:val="28"/>
              </w:rPr>
            </w:pPr>
            <w:proofErr w:type="spellStart"/>
            <w:r w:rsidRPr="00FF0AED">
              <w:rPr>
                <w:b/>
                <w:bCs/>
              </w:rPr>
              <w:t>III</w:t>
            </w:r>
            <w:proofErr w:type="spellEnd"/>
            <w:r w:rsidRPr="00FF0AED">
              <w:rPr>
                <w:b/>
                <w:bCs/>
              </w:rPr>
              <w:t>. Tiesību akta projekta ietekme uz valsts budžetu un pašvaldību budžetiem</w:t>
            </w:r>
          </w:p>
        </w:tc>
      </w:tr>
      <w:tr w:rsidR="002F32F0" w:rsidRPr="00FF0AED" w14:paraId="5A49AA67" w14:textId="77777777" w:rsidTr="002F32F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9AA66" w14:textId="77777777" w:rsidR="002F32F0" w:rsidRPr="00FF0AED" w:rsidRDefault="002F32F0" w:rsidP="002F32F0">
            <w:pPr>
              <w:jc w:val="center"/>
              <w:rPr>
                <w:szCs w:val="28"/>
              </w:rPr>
            </w:pPr>
            <w:r w:rsidRPr="003840C0">
              <w:rPr>
                <w:szCs w:val="28"/>
              </w:rPr>
              <w:t>Projekts šo jomu neskar</w:t>
            </w:r>
          </w:p>
        </w:tc>
      </w:tr>
    </w:tbl>
    <w:p w14:paraId="5A49AA68" w14:textId="77777777" w:rsidR="002F32F0" w:rsidRPr="00FF0AED" w:rsidRDefault="002F32F0" w:rsidP="00D056D0"/>
    <w:tbl>
      <w:tblPr>
        <w:tblW w:w="9200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61"/>
        <w:gridCol w:w="5743"/>
      </w:tblGrid>
      <w:tr w:rsidR="00C265F3" w:rsidRPr="00C265F3" w14:paraId="5A49AA6A" w14:textId="77777777" w:rsidTr="003840C0">
        <w:trPr>
          <w:jc w:val="center"/>
        </w:trPr>
        <w:tc>
          <w:tcPr>
            <w:tcW w:w="9200" w:type="dxa"/>
            <w:gridSpan w:val="3"/>
          </w:tcPr>
          <w:p w14:paraId="5A49AA69" w14:textId="77777777" w:rsidR="00C265F3" w:rsidRPr="00C265F3" w:rsidRDefault="00C265F3" w:rsidP="00D056D0">
            <w:pPr>
              <w:rPr>
                <w:b/>
                <w:bCs/>
              </w:rPr>
            </w:pPr>
            <w:proofErr w:type="spellStart"/>
            <w:r w:rsidRPr="00C265F3">
              <w:rPr>
                <w:b/>
                <w:bCs/>
              </w:rPr>
              <w:t>IV</w:t>
            </w:r>
            <w:proofErr w:type="spellEnd"/>
            <w:r w:rsidRPr="00C265F3">
              <w:rPr>
                <w:b/>
                <w:bCs/>
              </w:rPr>
              <w:t>. Tiesību akta projekta ietekme uz spēkā esošo tiesību normu sistēmu</w:t>
            </w:r>
          </w:p>
        </w:tc>
      </w:tr>
      <w:tr w:rsidR="00C265F3" w:rsidRPr="00C265F3" w14:paraId="5A49AA6E" w14:textId="77777777" w:rsidTr="002F32F0">
        <w:trPr>
          <w:jc w:val="center"/>
        </w:trPr>
        <w:tc>
          <w:tcPr>
            <w:tcW w:w="396" w:type="dxa"/>
          </w:tcPr>
          <w:p w14:paraId="5A49AA6B" w14:textId="77777777" w:rsidR="00C265F3" w:rsidRPr="00C265F3" w:rsidRDefault="00C265F3" w:rsidP="00D056D0">
            <w:pPr>
              <w:rPr>
                <w:iCs/>
              </w:rPr>
            </w:pPr>
            <w:r w:rsidRPr="00C265F3">
              <w:rPr>
                <w:iCs/>
              </w:rPr>
              <w:t>1.</w:t>
            </w:r>
          </w:p>
        </w:tc>
        <w:tc>
          <w:tcPr>
            <w:tcW w:w="3061" w:type="dxa"/>
          </w:tcPr>
          <w:p w14:paraId="5A49AA6C" w14:textId="77777777" w:rsidR="00C265F3" w:rsidRPr="00C265F3" w:rsidRDefault="00C265F3" w:rsidP="00D056D0">
            <w:pPr>
              <w:rPr>
                <w:iCs/>
              </w:rPr>
            </w:pPr>
            <w:r w:rsidRPr="00C265F3">
              <w:t>Nepieciešamie saistītie tiesību aktu projekti</w:t>
            </w:r>
          </w:p>
        </w:tc>
        <w:tc>
          <w:tcPr>
            <w:tcW w:w="5743" w:type="dxa"/>
          </w:tcPr>
          <w:p w14:paraId="5A49AA6D" w14:textId="77777777" w:rsidR="00D119D8" w:rsidRPr="00C265F3" w:rsidRDefault="00511DBC" w:rsidP="00D056D0">
            <w:pPr>
              <w:jc w:val="both"/>
              <w:rPr>
                <w:iCs/>
              </w:rPr>
            </w:pPr>
            <w:r>
              <w:t>Projekts šo jomu neskar</w:t>
            </w:r>
          </w:p>
        </w:tc>
      </w:tr>
      <w:tr w:rsidR="00C265F3" w:rsidRPr="00C265F3" w14:paraId="5A49AA72" w14:textId="77777777" w:rsidTr="002F32F0">
        <w:trPr>
          <w:jc w:val="center"/>
        </w:trPr>
        <w:tc>
          <w:tcPr>
            <w:tcW w:w="396" w:type="dxa"/>
          </w:tcPr>
          <w:p w14:paraId="5A49AA6F" w14:textId="77777777" w:rsidR="00C265F3" w:rsidRPr="00C265F3" w:rsidRDefault="00C265F3" w:rsidP="00D056D0">
            <w:pPr>
              <w:rPr>
                <w:iCs/>
              </w:rPr>
            </w:pPr>
            <w:r w:rsidRPr="00C265F3">
              <w:rPr>
                <w:iCs/>
              </w:rPr>
              <w:t>2.</w:t>
            </w:r>
          </w:p>
        </w:tc>
        <w:tc>
          <w:tcPr>
            <w:tcW w:w="3061" w:type="dxa"/>
          </w:tcPr>
          <w:p w14:paraId="5A49AA70" w14:textId="77777777" w:rsidR="00C265F3" w:rsidRPr="00C265F3" w:rsidRDefault="00C265F3" w:rsidP="00D056D0">
            <w:pPr>
              <w:rPr>
                <w:iCs/>
              </w:rPr>
            </w:pPr>
            <w:r w:rsidRPr="00C265F3">
              <w:t>Cita informācija</w:t>
            </w:r>
          </w:p>
        </w:tc>
        <w:tc>
          <w:tcPr>
            <w:tcW w:w="5743" w:type="dxa"/>
          </w:tcPr>
          <w:p w14:paraId="5A49AA71" w14:textId="77777777" w:rsidR="00C265F3" w:rsidRPr="00C265F3" w:rsidRDefault="00C265F3" w:rsidP="00D056D0">
            <w:pPr>
              <w:rPr>
                <w:iCs/>
              </w:rPr>
            </w:pPr>
            <w:r w:rsidRPr="00C265F3">
              <w:t>Nav</w:t>
            </w:r>
          </w:p>
        </w:tc>
      </w:tr>
    </w:tbl>
    <w:p w14:paraId="5A49AA73" w14:textId="77777777" w:rsidR="002F32F0" w:rsidRDefault="002F32F0" w:rsidP="002F32F0"/>
    <w:tbl>
      <w:tblPr>
        <w:tblW w:w="50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2F32F0" w:rsidRPr="00FF0AED" w14:paraId="5A49AA75" w14:textId="77777777" w:rsidTr="00F81F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9AA74" w14:textId="77777777" w:rsidR="002F32F0" w:rsidRPr="00FF0AED" w:rsidRDefault="002F32F0" w:rsidP="002F32F0">
            <w:pPr>
              <w:jc w:val="center"/>
              <w:rPr>
                <w:szCs w:val="28"/>
              </w:rPr>
            </w:pPr>
            <w:r w:rsidRPr="00FF0AED">
              <w:rPr>
                <w:b/>
                <w:bCs/>
              </w:rPr>
              <w:lastRenderedPageBreak/>
              <w:t>V. Tiesību akta projekta atbilstība Latvijas Republikas starptautiskajām saistībām</w:t>
            </w:r>
          </w:p>
        </w:tc>
      </w:tr>
      <w:tr w:rsidR="002F32F0" w:rsidRPr="00FF0AED" w14:paraId="5A49AA77" w14:textId="77777777" w:rsidTr="00F81F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9AA76" w14:textId="77777777" w:rsidR="002F32F0" w:rsidRPr="00FF0AED" w:rsidRDefault="002F32F0" w:rsidP="00F81F64">
            <w:pPr>
              <w:jc w:val="center"/>
              <w:rPr>
                <w:szCs w:val="28"/>
              </w:rPr>
            </w:pPr>
            <w:r w:rsidRPr="003840C0">
              <w:rPr>
                <w:szCs w:val="28"/>
              </w:rPr>
              <w:t>Projekts šo jomu neskar</w:t>
            </w:r>
          </w:p>
        </w:tc>
      </w:tr>
    </w:tbl>
    <w:p w14:paraId="5A49AA78" w14:textId="77777777" w:rsidR="002F32F0" w:rsidRDefault="002F32F0" w:rsidP="002F32F0"/>
    <w:tbl>
      <w:tblPr>
        <w:tblW w:w="50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2F32F0" w:rsidRPr="00FF0AED" w14:paraId="5A49AA7A" w14:textId="77777777" w:rsidTr="00F81F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9AA79" w14:textId="77777777" w:rsidR="002F32F0" w:rsidRPr="00FF0AED" w:rsidRDefault="002F32F0" w:rsidP="002F32F0">
            <w:pPr>
              <w:jc w:val="center"/>
              <w:rPr>
                <w:szCs w:val="28"/>
              </w:rPr>
            </w:pPr>
            <w:proofErr w:type="spellStart"/>
            <w:r w:rsidRPr="00FF0AED">
              <w:rPr>
                <w:b/>
                <w:bCs/>
              </w:rPr>
              <w:t>VI</w:t>
            </w:r>
            <w:proofErr w:type="spellEnd"/>
            <w:r w:rsidRPr="00FF0AED">
              <w:rPr>
                <w:b/>
                <w:bCs/>
              </w:rPr>
              <w:t>. Sabiedrības līdzdalība un šīs līdzdalības rezultāti</w:t>
            </w:r>
          </w:p>
        </w:tc>
      </w:tr>
      <w:tr w:rsidR="002F32F0" w:rsidRPr="00FF0AED" w14:paraId="5A49AA7C" w14:textId="77777777" w:rsidTr="00F81F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9AA7B" w14:textId="77777777" w:rsidR="002F32F0" w:rsidRPr="00FF0AED" w:rsidRDefault="002F32F0" w:rsidP="00F81F64">
            <w:pPr>
              <w:jc w:val="center"/>
              <w:rPr>
                <w:szCs w:val="28"/>
              </w:rPr>
            </w:pPr>
            <w:r w:rsidRPr="003840C0">
              <w:rPr>
                <w:szCs w:val="28"/>
              </w:rPr>
              <w:t>Projekts šo jomu neskar</w:t>
            </w:r>
          </w:p>
        </w:tc>
      </w:tr>
    </w:tbl>
    <w:p w14:paraId="5A49AA7D" w14:textId="77777777" w:rsidR="008273A8" w:rsidRPr="003840C0" w:rsidRDefault="008273A8" w:rsidP="00D056D0">
      <w:pPr>
        <w:rPr>
          <w:b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4664"/>
        <w:gridCol w:w="4227"/>
      </w:tblGrid>
      <w:tr w:rsidR="00215F89" w:rsidRPr="00FD55CA" w14:paraId="5A49AA7F" w14:textId="77777777" w:rsidTr="006237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7E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  <w:jc w:val="center"/>
            </w:pPr>
            <w:proofErr w:type="spellStart"/>
            <w:r w:rsidRPr="00DB63F0">
              <w:rPr>
                <w:b/>
                <w:bCs/>
              </w:rPr>
              <w:t>VII</w:t>
            </w:r>
            <w:proofErr w:type="spellEnd"/>
            <w:r w:rsidRPr="00DB63F0">
              <w:rPr>
                <w:b/>
                <w:bCs/>
              </w:rPr>
              <w:t>. Tiesību akta projekta izpildes nodrošināšana un tās ietekme uz institūcijām</w:t>
            </w:r>
          </w:p>
        </w:tc>
      </w:tr>
      <w:tr w:rsidR="00215F89" w:rsidRPr="00FD55CA" w14:paraId="5A49AA83" w14:textId="77777777" w:rsidTr="006237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0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1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2" w14:textId="77777777" w:rsidR="00215F89" w:rsidRPr="00DB63F0" w:rsidRDefault="00511DBC" w:rsidP="004C328E">
            <w:pPr>
              <w:pStyle w:val="tvhtmlmktable"/>
              <w:spacing w:before="0" w:beforeAutospacing="0" w:after="0" w:afterAutospacing="0"/>
            </w:pPr>
            <w:r>
              <w:t>Projektā ietvert</w:t>
            </w:r>
            <w:r w:rsidR="003840C0">
              <w:t>ā</w:t>
            </w:r>
            <w:r>
              <w:t xml:space="preserve"> regulējuma īstenošanu nodrošinās Birojs</w:t>
            </w:r>
          </w:p>
        </w:tc>
      </w:tr>
      <w:tr w:rsidR="00215F89" w:rsidRPr="00FD55CA" w14:paraId="5A49AA87" w14:textId="77777777" w:rsidTr="006237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4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5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6" w14:textId="77777777" w:rsidR="00215F89" w:rsidRPr="00DB63F0" w:rsidRDefault="00215F89" w:rsidP="004C328E">
            <w:pPr>
              <w:pStyle w:val="tvhtmlmktable"/>
              <w:spacing w:before="0" w:beforeAutospacing="0" w:after="0" w:afterAutospacing="0"/>
            </w:pPr>
            <w:r w:rsidRPr="00DB63F0">
              <w:t>Projekta izpilde notiks esošo pārvaldes funkciju ietvaros</w:t>
            </w:r>
          </w:p>
        </w:tc>
      </w:tr>
      <w:tr w:rsidR="00215F89" w:rsidRPr="00FD55CA" w14:paraId="5A49AA8C" w14:textId="77777777" w:rsidTr="006237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8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9" w14:textId="77777777" w:rsidR="009E285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Projekta izpildes ietekme uz pārvaldes institucionālo struktūru.</w:t>
            </w:r>
          </w:p>
          <w:p w14:paraId="5A49AA8A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Jaunu institūciju izveide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B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Projekts šo jomu neskar</w:t>
            </w:r>
          </w:p>
        </w:tc>
      </w:tr>
      <w:tr w:rsidR="00215F89" w:rsidRPr="00FD55CA" w14:paraId="5A49AA91" w14:textId="77777777" w:rsidTr="006237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D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8E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Projekta izpildes ietekme uz pārvaldes institucionālo struktūru.</w:t>
            </w:r>
          </w:p>
          <w:p w14:paraId="5A49AA8F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90" w14:textId="77777777" w:rsidR="00215F89" w:rsidRPr="00DB63F0" w:rsidRDefault="00935FD7" w:rsidP="00D056D0">
            <w:pPr>
              <w:pStyle w:val="tvhtmlmktable"/>
              <w:spacing w:before="0" w:beforeAutospacing="0" w:after="0" w:afterAutospacing="0"/>
            </w:pPr>
            <w:r w:rsidRPr="00DB63F0">
              <w:t>Projekts šo jomu neskar</w:t>
            </w:r>
          </w:p>
        </w:tc>
      </w:tr>
      <w:tr w:rsidR="00215F89" w:rsidRPr="00FD55CA" w14:paraId="5A49AA96" w14:textId="77777777" w:rsidTr="006237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92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93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Projekta izpildes ietekme uz pārvaldes institucionālo struktūru.</w:t>
            </w:r>
          </w:p>
          <w:p w14:paraId="5A49AA94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95" w14:textId="77777777" w:rsidR="00215F89" w:rsidRPr="00DB63F0" w:rsidRDefault="00935FD7" w:rsidP="00D056D0">
            <w:pPr>
              <w:pStyle w:val="tvhtmlmktable"/>
              <w:spacing w:before="0" w:beforeAutospacing="0" w:after="0" w:afterAutospacing="0"/>
            </w:pPr>
            <w:r w:rsidRPr="00DB63F0">
              <w:t>Projekts šo jomu neskar</w:t>
            </w:r>
          </w:p>
        </w:tc>
      </w:tr>
      <w:tr w:rsidR="00215F89" w:rsidRPr="00FD55CA" w14:paraId="5A49AA9A" w14:textId="77777777" w:rsidTr="006237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97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98" w14:textId="77777777" w:rsidR="00215F89" w:rsidRPr="00DB63F0" w:rsidRDefault="00215F89" w:rsidP="00D056D0">
            <w:pPr>
              <w:pStyle w:val="tvhtmlmktable"/>
              <w:spacing w:before="0" w:beforeAutospacing="0" w:after="0" w:afterAutospacing="0"/>
            </w:pPr>
            <w:r w:rsidRPr="00DB63F0">
              <w:t>Cita informācija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AA99" w14:textId="77777777" w:rsidR="00215F89" w:rsidRPr="00DB63F0" w:rsidRDefault="00935FD7" w:rsidP="00D056D0">
            <w:pPr>
              <w:pStyle w:val="tvhtmlmktable"/>
              <w:spacing w:before="0" w:beforeAutospacing="0" w:after="0" w:afterAutospacing="0"/>
            </w:pPr>
            <w:r w:rsidRPr="00DB63F0">
              <w:t>Nav</w:t>
            </w:r>
          </w:p>
        </w:tc>
      </w:tr>
    </w:tbl>
    <w:p w14:paraId="5A49AA9B" w14:textId="77777777" w:rsidR="00CD451E" w:rsidRDefault="00CD451E" w:rsidP="00D056D0">
      <w:pPr>
        <w:tabs>
          <w:tab w:val="left" w:pos="7020"/>
        </w:tabs>
        <w:ind w:firstLine="709"/>
        <w:rPr>
          <w:sz w:val="28"/>
          <w:szCs w:val="28"/>
        </w:rPr>
      </w:pPr>
    </w:p>
    <w:p w14:paraId="5A49AA9C" w14:textId="77777777" w:rsidR="008273A8" w:rsidRDefault="008273A8" w:rsidP="00D056D0">
      <w:pPr>
        <w:tabs>
          <w:tab w:val="left" w:pos="7020"/>
        </w:tabs>
        <w:ind w:firstLine="709"/>
        <w:rPr>
          <w:sz w:val="28"/>
          <w:szCs w:val="28"/>
        </w:rPr>
      </w:pPr>
    </w:p>
    <w:p w14:paraId="5A49AA9D" w14:textId="77777777" w:rsidR="008273A8" w:rsidRPr="008273A8" w:rsidRDefault="008273A8" w:rsidP="00D056D0">
      <w:pPr>
        <w:tabs>
          <w:tab w:val="left" w:pos="7020"/>
        </w:tabs>
        <w:ind w:firstLine="709"/>
        <w:rPr>
          <w:sz w:val="28"/>
          <w:szCs w:val="28"/>
        </w:rPr>
      </w:pPr>
    </w:p>
    <w:p w14:paraId="5A49AA9E" w14:textId="77777777" w:rsidR="00551387" w:rsidRPr="008273A8" w:rsidRDefault="00F34498" w:rsidP="0062375D">
      <w:pPr>
        <w:tabs>
          <w:tab w:val="left" w:pos="6521"/>
        </w:tabs>
        <w:ind w:left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99794B" w:rsidRPr="008273A8">
        <w:rPr>
          <w:sz w:val="28"/>
          <w:szCs w:val="28"/>
        </w:rPr>
        <w:tab/>
      </w:r>
      <w:r>
        <w:rPr>
          <w:sz w:val="28"/>
          <w:szCs w:val="28"/>
        </w:rPr>
        <w:t>Laimdota Straujuma</w:t>
      </w:r>
    </w:p>
    <w:p w14:paraId="5A49AA9F" w14:textId="77777777" w:rsidR="00551387" w:rsidRPr="008273A8" w:rsidRDefault="00551387" w:rsidP="00D056D0">
      <w:pPr>
        <w:tabs>
          <w:tab w:val="left" w:pos="7020"/>
        </w:tabs>
        <w:ind w:firstLine="709"/>
        <w:rPr>
          <w:sz w:val="28"/>
          <w:szCs w:val="28"/>
        </w:rPr>
      </w:pPr>
    </w:p>
    <w:p w14:paraId="5A49AAA0" w14:textId="77777777" w:rsidR="00E82260" w:rsidRPr="008273A8" w:rsidRDefault="00E82260" w:rsidP="00D056D0">
      <w:pPr>
        <w:ind w:firstLine="709"/>
        <w:rPr>
          <w:sz w:val="28"/>
          <w:szCs w:val="28"/>
        </w:rPr>
      </w:pPr>
    </w:p>
    <w:p w14:paraId="5A49AAA1" w14:textId="77777777" w:rsidR="00DC6AEE" w:rsidRDefault="00DC6AEE" w:rsidP="00D056D0">
      <w:pPr>
        <w:ind w:firstLine="709"/>
        <w:jc w:val="both"/>
        <w:rPr>
          <w:sz w:val="28"/>
          <w:szCs w:val="28"/>
        </w:rPr>
      </w:pPr>
    </w:p>
    <w:p w14:paraId="773E970E" w14:textId="77777777" w:rsidR="00A94B61" w:rsidRDefault="00A94B61" w:rsidP="00A94B61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3735E873" w14:textId="77777777" w:rsidR="00A94B61" w:rsidRDefault="00A94B61" w:rsidP="00A94B61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</w:t>
      </w:r>
      <w:proofErr w:type="spellStart"/>
      <w:r>
        <w:rPr>
          <w:sz w:val="28"/>
          <w:szCs w:val="28"/>
        </w:rPr>
        <w:t>direktore_________________Elita</w:t>
      </w:r>
      <w:proofErr w:type="spellEnd"/>
      <w:r>
        <w:rPr>
          <w:sz w:val="28"/>
          <w:szCs w:val="28"/>
        </w:rPr>
        <w:t xml:space="preserve"> Dreimane</w:t>
      </w:r>
    </w:p>
    <w:p w14:paraId="5A49AAA2" w14:textId="77777777" w:rsidR="0062375D" w:rsidRPr="00FB5E51" w:rsidRDefault="0062375D" w:rsidP="0062375D">
      <w:pPr>
        <w:tabs>
          <w:tab w:val="left" w:pos="6521"/>
        </w:tabs>
        <w:ind w:firstLine="720"/>
      </w:pPr>
    </w:p>
    <w:p w14:paraId="5A49AAA3" w14:textId="77777777" w:rsidR="0062375D" w:rsidRPr="00063477" w:rsidRDefault="0062375D" w:rsidP="0062375D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49AAA4" w14:textId="77777777" w:rsidR="0062375D" w:rsidRPr="008273A8" w:rsidRDefault="0062375D" w:rsidP="00D056D0">
      <w:pPr>
        <w:ind w:firstLine="709"/>
        <w:jc w:val="both"/>
        <w:rPr>
          <w:sz w:val="28"/>
          <w:szCs w:val="28"/>
        </w:rPr>
      </w:pPr>
    </w:p>
    <w:p w14:paraId="5A49AAA5" w14:textId="77777777" w:rsidR="008C18A7" w:rsidRPr="00DB63F0" w:rsidRDefault="00511DBC" w:rsidP="00D056D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Lācis 67082897</w:t>
      </w:r>
    </w:p>
    <w:p w14:paraId="5A49AAA6" w14:textId="77777777" w:rsidR="008C18A7" w:rsidRPr="00DB63F0" w:rsidRDefault="008C18A7" w:rsidP="00D056D0">
      <w:pPr>
        <w:ind w:firstLine="709"/>
        <w:jc w:val="both"/>
        <w:rPr>
          <w:sz w:val="20"/>
          <w:szCs w:val="20"/>
        </w:rPr>
      </w:pPr>
      <w:r w:rsidRPr="00DB63F0">
        <w:rPr>
          <w:sz w:val="20"/>
          <w:szCs w:val="20"/>
        </w:rPr>
        <w:fldChar w:fldCharType="begin"/>
      </w:r>
      <w:r w:rsidRPr="00DB63F0">
        <w:rPr>
          <w:sz w:val="20"/>
          <w:szCs w:val="20"/>
        </w:rPr>
        <w:instrText xml:space="preserve"> COMMENTS   \* MERGEFORMAT </w:instrText>
      </w:r>
      <w:r w:rsidRPr="00DB63F0">
        <w:rPr>
          <w:sz w:val="20"/>
          <w:szCs w:val="20"/>
        </w:rPr>
        <w:fldChar w:fldCharType="separate"/>
      </w:r>
      <w:proofErr w:type="spellStart"/>
      <w:r w:rsidR="00511DBC">
        <w:rPr>
          <w:sz w:val="20"/>
          <w:szCs w:val="20"/>
        </w:rPr>
        <w:t>andris.lacis</w:t>
      </w:r>
      <w:r w:rsidRPr="00DB63F0">
        <w:rPr>
          <w:sz w:val="20"/>
          <w:szCs w:val="20"/>
        </w:rPr>
        <w:t>@</w:t>
      </w:r>
      <w:r w:rsidR="00511DBC">
        <w:rPr>
          <w:sz w:val="20"/>
          <w:szCs w:val="20"/>
        </w:rPr>
        <w:t>mk</w:t>
      </w:r>
      <w:r w:rsidRPr="00DB63F0">
        <w:rPr>
          <w:sz w:val="20"/>
          <w:szCs w:val="20"/>
        </w:rPr>
        <w:t>.gov.lv</w:t>
      </w:r>
      <w:proofErr w:type="spellEnd"/>
    </w:p>
    <w:p w14:paraId="5A49AAA7" w14:textId="77777777" w:rsidR="00F81532" w:rsidRDefault="008C18A7" w:rsidP="00D056D0">
      <w:pPr>
        <w:ind w:firstLine="709"/>
        <w:jc w:val="both"/>
      </w:pPr>
      <w:r w:rsidRPr="00DB63F0">
        <w:fldChar w:fldCharType="end"/>
      </w:r>
    </w:p>
    <w:p w14:paraId="5A49AAA8" w14:textId="77777777" w:rsidR="00D056D0" w:rsidRDefault="00D056D0" w:rsidP="00D056D0">
      <w:pPr>
        <w:ind w:firstLine="709"/>
        <w:jc w:val="both"/>
      </w:pPr>
      <w:bookmarkStart w:id="0" w:name="_GoBack"/>
      <w:bookmarkEnd w:id="0"/>
    </w:p>
    <w:sectPr w:rsidR="00D056D0" w:rsidSect="00A94B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AAAB" w14:textId="77777777" w:rsidR="00807249" w:rsidRDefault="00807249">
      <w:r>
        <w:separator/>
      </w:r>
    </w:p>
  </w:endnote>
  <w:endnote w:type="continuationSeparator" w:id="0">
    <w:p w14:paraId="5A49AAAC" w14:textId="77777777" w:rsidR="00807249" w:rsidRDefault="008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AAAF" w14:textId="77777777" w:rsidR="00995ABF" w:rsidRDefault="00995ABF" w:rsidP="00132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9AAB0" w14:textId="77777777" w:rsidR="00995ABF" w:rsidRDefault="00995ABF" w:rsidP="003D3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7954" w14:textId="77777777" w:rsidR="00A94B61" w:rsidRPr="00A94B61" w:rsidRDefault="00A94B61" w:rsidP="00A94B61">
    <w:pPr>
      <w:pStyle w:val="Footer"/>
      <w:rPr>
        <w:sz w:val="16"/>
        <w:szCs w:val="16"/>
      </w:rPr>
    </w:pPr>
    <w:proofErr w:type="spellStart"/>
    <w:r w:rsidRPr="00A94B61">
      <w:rPr>
        <w:bCs/>
        <w:sz w:val="16"/>
        <w:szCs w:val="16"/>
      </w:rPr>
      <w:t>VKnot_Anot_040314_VSS-65</w:t>
    </w:r>
    <w:proofErr w:type="spellEnd"/>
    <w:r w:rsidRPr="00A94B61">
      <w:rPr>
        <w:bCs/>
        <w:sz w:val="16"/>
        <w:szCs w:val="16"/>
      </w:rPr>
      <w:t xml:space="preserve"> (15010)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AAB3" w14:textId="6FF10D84" w:rsidR="0062375D" w:rsidRPr="00A94B61" w:rsidRDefault="00F34498" w:rsidP="00F34498">
    <w:pPr>
      <w:pStyle w:val="Footer"/>
      <w:rPr>
        <w:sz w:val="16"/>
        <w:szCs w:val="16"/>
      </w:rPr>
    </w:pPr>
    <w:proofErr w:type="spellStart"/>
    <w:r w:rsidRPr="00A94B61">
      <w:rPr>
        <w:bCs/>
        <w:sz w:val="16"/>
        <w:szCs w:val="16"/>
      </w:rPr>
      <w:t>VKnot_Anot_040314_VSS-65</w:t>
    </w:r>
    <w:proofErr w:type="spellEnd"/>
    <w:r w:rsidR="00A94B61" w:rsidRPr="00A94B61">
      <w:rPr>
        <w:bCs/>
        <w:sz w:val="16"/>
        <w:szCs w:val="16"/>
      </w:rPr>
      <w:t xml:space="preserve"> (15010)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AAA9" w14:textId="77777777" w:rsidR="00807249" w:rsidRDefault="00807249">
      <w:r>
        <w:separator/>
      </w:r>
    </w:p>
  </w:footnote>
  <w:footnote w:type="continuationSeparator" w:id="0">
    <w:p w14:paraId="5A49AAAA" w14:textId="77777777" w:rsidR="00807249" w:rsidRDefault="0080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547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5A49AAAD" w14:textId="77777777" w:rsidR="00D056D0" w:rsidRPr="00D056D0" w:rsidRDefault="00D056D0">
        <w:pPr>
          <w:pStyle w:val="Header"/>
          <w:jc w:val="center"/>
          <w:rPr>
            <w:rFonts w:ascii="Times New Roman" w:hAnsi="Times New Roman"/>
            <w:sz w:val="24"/>
          </w:rPr>
        </w:pPr>
        <w:r w:rsidRPr="00D056D0">
          <w:rPr>
            <w:rFonts w:ascii="Times New Roman" w:hAnsi="Times New Roman"/>
            <w:sz w:val="24"/>
          </w:rPr>
          <w:fldChar w:fldCharType="begin"/>
        </w:r>
        <w:r w:rsidRPr="00D056D0">
          <w:rPr>
            <w:rFonts w:ascii="Times New Roman" w:hAnsi="Times New Roman"/>
            <w:sz w:val="24"/>
          </w:rPr>
          <w:instrText xml:space="preserve"> PAGE   \* MERGEFORMAT </w:instrText>
        </w:r>
        <w:r w:rsidRPr="00D056D0">
          <w:rPr>
            <w:rFonts w:ascii="Times New Roman" w:hAnsi="Times New Roman"/>
            <w:sz w:val="24"/>
          </w:rPr>
          <w:fldChar w:fldCharType="separate"/>
        </w:r>
        <w:r w:rsidR="004C328E">
          <w:rPr>
            <w:rFonts w:ascii="Times New Roman" w:hAnsi="Times New Roman"/>
            <w:noProof/>
            <w:sz w:val="24"/>
          </w:rPr>
          <w:t>3</w:t>
        </w:r>
        <w:r w:rsidRPr="00D056D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A49AAAE" w14:textId="77777777" w:rsidR="00D056D0" w:rsidRDefault="00D05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AAB2" w14:textId="77777777" w:rsidR="00D056D0" w:rsidRDefault="00D056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4E11"/>
    <w:multiLevelType w:val="hybridMultilevel"/>
    <w:tmpl w:val="7F2C37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4"/>
    <w:rsid w:val="000009A5"/>
    <w:rsid w:val="00003D42"/>
    <w:rsid w:val="000047A4"/>
    <w:rsid w:val="00017977"/>
    <w:rsid w:val="00030FEB"/>
    <w:rsid w:val="00034011"/>
    <w:rsid w:val="00034E67"/>
    <w:rsid w:val="00036428"/>
    <w:rsid w:val="00044A07"/>
    <w:rsid w:val="00066E07"/>
    <w:rsid w:val="00076E81"/>
    <w:rsid w:val="000818BF"/>
    <w:rsid w:val="00082ACF"/>
    <w:rsid w:val="000837D7"/>
    <w:rsid w:val="000B2499"/>
    <w:rsid w:val="00104C65"/>
    <w:rsid w:val="00124F94"/>
    <w:rsid w:val="00131948"/>
    <w:rsid w:val="00132493"/>
    <w:rsid w:val="00160398"/>
    <w:rsid w:val="001635EE"/>
    <w:rsid w:val="00165CCB"/>
    <w:rsid w:val="00183BBB"/>
    <w:rsid w:val="001841BF"/>
    <w:rsid w:val="0019796F"/>
    <w:rsid w:val="001A045B"/>
    <w:rsid w:val="001A2134"/>
    <w:rsid w:val="001B4EE1"/>
    <w:rsid w:val="001B7EFD"/>
    <w:rsid w:val="001C3497"/>
    <w:rsid w:val="001D4785"/>
    <w:rsid w:val="001F496F"/>
    <w:rsid w:val="00213CDC"/>
    <w:rsid w:val="00215F89"/>
    <w:rsid w:val="002241C5"/>
    <w:rsid w:val="00227552"/>
    <w:rsid w:val="0023293B"/>
    <w:rsid w:val="00243DA1"/>
    <w:rsid w:val="00244838"/>
    <w:rsid w:val="002453D3"/>
    <w:rsid w:val="00247AD7"/>
    <w:rsid w:val="002643DE"/>
    <w:rsid w:val="00270867"/>
    <w:rsid w:val="0028692B"/>
    <w:rsid w:val="002945D0"/>
    <w:rsid w:val="002979FE"/>
    <w:rsid w:val="002E226D"/>
    <w:rsid w:val="002E3454"/>
    <w:rsid w:val="002F0947"/>
    <w:rsid w:val="002F32F0"/>
    <w:rsid w:val="002F3EC8"/>
    <w:rsid w:val="002F4C33"/>
    <w:rsid w:val="00310444"/>
    <w:rsid w:val="00311A51"/>
    <w:rsid w:val="00315D29"/>
    <w:rsid w:val="003274EA"/>
    <w:rsid w:val="003441B4"/>
    <w:rsid w:val="00346187"/>
    <w:rsid w:val="00353AD9"/>
    <w:rsid w:val="00356E0F"/>
    <w:rsid w:val="003643CF"/>
    <w:rsid w:val="00381745"/>
    <w:rsid w:val="003840C0"/>
    <w:rsid w:val="0039173C"/>
    <w:rsid w:val="003A06AE"/>
    <w:rsid w:val="003C13BC"/>
    <w:rsid w:val="003C2874"/>
    <w:rsid w:val="003D3070"/>
    <w:rsid w:val="003D39DE"/>
    <w:rsid w:val="003D5206"/>
    <w:rsid w:val="003F1869"/>
    <w:rsid w:val="003F38FA"/>
    <w:rsid w:val="004143F0"/>
    <w:rsid w:val="00415AE0"/>
    <w:rsid w:val="004205C0"/>
    <w:rsid w:val="00432D23"/>
    <w:rsid w:val="00440004"/>
    <w:rsid w:val="004462A4"/>
    <w:rsid w:val="004464B5"/>
    <w:rsid w:val="00467090"/>
    <w:rsid w:val="004759B7"/>
    <w:rsid w:val="00487D25"/>
    <w:rsid w:val="004954F7"/>
    <w:rsid w:val="004A398B"/>
    <w:rsid w:val="004B28E2"/>
    <w:rsid w:val="004B4637"/>
    <w:rsid w:val="004C13A3"/>
    <w:rsid w:val="004C328E"/>
    <w:rsid w:val="004C40DC"/>
    <w:rsid w:val="004C4C11"/>
    <w:rsid w:val="004D18F6"/>
    <w:rsid w:val="004D300F"/>
    <w:rsid w:val="004D3DC0"/>
    <w:rsid w:val="004E2A5F"/>
    <w:rsid w:val="004F0B93"/>
    <w:rsid w:val="004F42A4"/>
    <w:rsid w:val="00504D09"/>
    <w:rsid w:val="00506719"/>
    <w:rsid w:val="00511DBC"/>
    <w:rsid w:val="00516C3B"/>
    <w:rsid w:val="0053297D"/>
    <w:rsid w:val="00533FC4"/>
    <w:rsid w:val="00535115"/>
    <w:rsid w:val="00537033"/>
    <w:rsid w:val="00543C96"/>
    <w:rsid w:val="005447DB"/>
    <w:rsid w:val="0054508B"/>
    <w:rsid w:val="00551387"/>
    <w:rsid w:val="00555A92"/>
    <w:rsid w:val="00556A76"/>
    <w:rsid w:val="00577905"/>
    <w:rsid w:val="005958F9"/>
    <w:rsid w:val="005A68EF"/>
    <w:rsid w:val="005A7448"/>
    <w:rsid w:val="005D1D02"/>
    <w:rsid w:val="005D31A4"/>
    <w:rsid w:val="005D497B"/>
    <w:rsid w:val="005E31A2"/>
    <w:rsid w:val="005E5858"/>
    <w:rsid w:val="005F4271"/>
    <w:rsid w:val="005F5162"/>
    <w:rsid w:val="00601CF0"/>
    <w:rsid w:val="00610261"/>
    <w:rsid w:val="00612245"/>
    <w:rsid w:val="006154B5"/>
    <w:rsid w:val="0062375D"/>
    <w:rsid w:val="00633EA7"/>
    <w:rsid w:val="00634ECB"/>
    <w:rsid w:val="00655213"/>
    <w:rsid w:val="0065786E"/>
    <w:rsid w:val="006615BD"/>
    <w:rsid w:val="00676088"/>
    <w:rsid w:val="00676484"/>
    <w:rsid w:val="00682437"/>
    <w:rsid w:val="0068435A"/>
    <w:rsid w:val="00685256"/>
    <w:rsid w:val="006A6563"/>
    <w:rsid w:val="006A6573"/>
    <w:rsid w:val="006B569F"/>
    <w:rsid w:val="006B61A4"/>
    <w:rsid w:val="006B7372"/>
    <w:rsid w:val="006C635B"/>
    <w:rsid w:val="006D566E"/>
    <w:rsid w:val="006D6778"/>
    <w:rsid w:val="006E334D"/>
    <w:rsid w:val="006E4107"/>
    <w:rsid w:val="007065EF"/>
    <w:rsid w:val="00710DB5"/>
    <w:rsid w:val="00716051"/>
    <w:rsid w:val="007332B2"/>
    <w:rsid w:val="00734377"/>
    <w:rsid w:val="00744142"/>
    <w:rsid w:val="00744834"/>
    <w:rsid w:val="00744EF6"/>
    <w:rsid w:val="00764AC3"/>
    <w:rsid w:val="00766CBE"/>
    <w:rsid w:val="00776510"/>
    <w:rsid w:val="00797D26"/>
    <w:rsid w:val="007A08FE"/>
    <w:rsid w:val="007A2FD4"/>
    <w:rsid w:val="007A487A"/>
    <w:rsid w:val="007A699A"/>
    <w:rsid w:val="007C0FB5"/>
    <w:rsid w:val="007C69C4"/>
    <w:rsid w:val="007D71EA"/>
    <w:rsid w:val="007E176E"/>
    <w:rsid w:val="007E6A96"/>
    <w:rsid w:val="007F0955"/>
    <w:rsid w:val="007F6B79"/>
    <w:rsid w:val="00807249"/>
    <w:rsid w:val="008109C5"/>
    <w:rsid w:val="00815DA3"/>
    <w:rsid w:val="00817B68"/>
    <w:rsid w:val="0082216E"/>
    <w:rsid w:val="008273A8"/>
    <w:rsid w:val="00831C00"/>
    <w:rsid w:val="00843FFA"/>
    <w:rsid w:val="008557AD"/>
    <w:rsid w:val="00856687"/>
    <w:rsid w:val="008622E4"/>
    <w:rsid w:val="0086378C"/>
    <w:rsid w:val="0087433C"/>
    <w:rsid w:val="00880B73"/>
    <w:rsid w:val="00891545"/>
    <w:rsid w:val="00896A3F"/>
    <w:rsid w:val="008A3C53"/>
    <w:rsid w:val="008A56D3"/>
    <w:rsid w:val="008B0C58"/>
    <w:rsid w:val="008C164E"/>
    <w:rsid w:val="008C18A7"/>
    <w:rsid w:val="008C4355"/>
    <w:rsid w:val="008D31B8"/>
    <w:rsid w:val="008D5AAA"/>
    <w:rsid w:val="008E288C"/>
    <w:rsid w:val="008E37D2"/>
    <w:rsid w:val="008F06E6"/>
    <w:rsid w:val="008F3EA1"/>
    <w:rsid w:val="00910B97"/>
    <w:rsid w:val="00916C89"/>
    <w:rsid w:val="009252A4"/>
    <w:rsid w:val="009258B7"/>
    <w:rsid w:val="00935CA1"/>
    <w:rsid w:val="00935FD7"/>
    <w:rsid w:val="009403DD"/>
    <w:rsid w:val="009427E0"/>
    <w:rsid w:val="009432BA"/>
    <w:rsid w:val="009623E9"/>
    <w:rsid w:val="00965067"/>
    <w:rsid w:val="00965848"/>
    <w:rsid w:val="009740CC"/>
    <w:rsid w:val="0097712C"/>
    <w:rsid w:val="009830C4"/>
    <w:rsid w:val="00983ACC"/>
    <w:rsid w:val="00986F6C"/>
    <w:rsid w:val="00995ABF"/>
    <w:rsid w:val="0099794B"/>
    <w:rsid w:val="009C14FF"/>
    <w:rsid w:val="009C1C78"/>
    <w:rsid w:val="009D3E05"/>
    <w:rsid w:val="009E2850"/>
    <w:rsid w:val="009E36CD"/>
    <w:rsid w:val="009F2D94"/>
    <w:rsid w:val="00A0299B"/>
    <w:rsid w:val="00A04024"/>
    <w:rsid w:val="00A1069A"/>
    <w:rsid w:val="00A15F82"/>
    <w:rsid w:val="00A33A58"/>
    <w:rsid w:val="00A36C83"/>
    <w:rsid w:val="00A40DE5"/>
    <w:rsid w:val="00A426C1"/>
    <w:rsid w:val="00A62F60"/>
    <w:rsid w:val="00A766D1"/>
    <w:rsid w:val="00A77D75"/>
    <w:rsid w:val="00A81C2B"/>
    <w:rsid w:val="00A8699C"/>
    <w:rsid w:val="00A94B61"/>
    <w:rsid w:val="00A97B88"/>
    <w:rsid w:val="00AA45A8"/>
    <w:rsid w:val="00AA5E66"/>
    <w:rsid w:val="00AB1EAD"/>
    <w:rsid w:val="00AB2FF4"/>
    <w:rsid w:val="00AC75A9"/>
    <w:rsid w:val="00AE5D42"/>
    <w:rsid w:val="00AF06A0"/>
    <w:rsid w:val="00AF1B81"/>
    <w:rsid w:val="00B015DE"/>
    <w:rsid w:val="00B1681B"/>
    <w:rsid w:val="00B17819"/>
    <w:rsid w:val="00B2098B"/>
    <w:rsid w:val="00B21D84"/>
    <w:rsid w:val="00B243A2"/>
    <w:rsid w:val="00B24D55"/>
    <w:rsid w:val="00B25A20"/>
    <w:rsid w:val="00B30481"/>
    <w:rsid w:val="00B30BC8"/>
    <w:rsid w:val="00B35009"/>
    <w:rsid w:val="00B41BA4"/>
    <w:rsid w:val="00B44B06"/>
    <w:rsid w:val="00B52DAC"/>
    <w:rsid w:val="00B53DA4"/>
    <w:rsid w:val="00B74ED2"/>
    <w:rsid w:val="00B75322"/>
    <w:rsid w:val="00B773A2"/>
    <w:rsid w:val="00B77BD4"/>
    <w:rsid w:val="00B855F8"/>
    <w:rsid w:val="00B91519"/>
    <w:rsid w:val="00B93C6C"/>
    <w:rsid w:val="00B94657"/>
    <w:rsid w:val="00BA2BED"/>
    <w:rsid w:val="00BA5369"/>
    <w:rsid w:val="00BA7405"/>
    <w:rsid w:val="00BB49E0"/>
    <w:rsid w:val="00BC36C3"/>
    <w:rsid w:val="00BC423B"/>
    <w:rsid w:val="00BD06F1"/>
    <w:rsid w:val="00BD0E9E"/>
    <w:rsid w:val="00BD3ED0"/>
    <w:rsid w:val="00BD5979"/>
    <w:rsid w:val="00BF1E2A"/>
    <w:rsid w:val="00BF26BC"/>
    <w:rsid w:val="00C00023"/>
    <w:rsid w:val="00C0274A"/>
    <w:rsid w:val="00C05DA5"/>
    <w:rsid w:val="00C203DD"/>
    <w:rsid w:val="00C22DA3"/>
    <w:rsid w:val="00C265F3"/>
    <w:rsid w:val="00C47B03"/>
    <w:rsid w:val="00C50825"/>
    <w:rsid w:val="00C52BB1"/>
    <w:rsid w:val="00C551DD"/>
    <w:rsid w:val="00C56DCC"/>
    <w:rsid w:val="00C57670"/>
    <w:rsid w:val="00C97235"/>
    <w:rsid w:val="00CA75E0"/>
    <w:rsid w:val="00CB0F8C"/>
    <w:rsid w:val="00CB1AC0"/>
    <w:rsid w:val="00CB29F0"/>
    <w:rsid w:val="00CB6AD8"/>
    <w:rsid w:val="00CD0603"/>
    <w:rsid w:val="00CD0A2C"/>
    <w:rsid w:val="00CD2246"/>
    <w:rsid w:val="00CD451E"/>
    <w:rsid w:val="00CD608C"/>
    <w:rsid w:val="00CE4244"/>
    <w:rsid w:val="00CF187B"/>
    <w:rsid w:val="00CF28EF"/>
    <w:rsid w:val="00CF3D45"/>
    <w:rsid w:val="00CF3F35"/>
    <w:rsid w:val="00D03959"/>
    <w:rsid w:val="00D05695"/>
    <w:rsid w:val="00D056D0"/>
    <w:rsid w:val="00D119D8"/>
    <w:rsid w:val="00D11D49"/>
    <w:rsid w:val="00D3607D"/>
    <w:rsid w:val="00D424B9"/>
    <w:rsid w:val="00D429F0"/>
    <w:rsid w:val="00D473EA"/>
    <w:rsid w:val="00D5136E"/>
    <w:rsid w:val="00D5289B"/>
    <w:rsid w:val="00D52AA5"/>
    <w:rsid w:val="00D61601"/>
    <w:rsid w:val="00D6359C"/>
    <w:rsid w:val="00D64E76"/>
    <w:rsid w:val="00D677F1"/>
    <w:rsid w:val="00D70835"/>
    <w:rsid w:val="00D71770"/>
    <w:rsid w:val="00D812D3"/>
    <w:rsid w:val="00D83153"/>
    <w:rsid w:val="00DA41D7"/>
    <w:rsid w:val="00DB4A11"/>
    <w:rsid w:val="00DB63F0"/>
    <w:rsid w:val="00DC6AEE"/>
    <w:rsid w:val="00DD5A10"/>
    <w:rsid w:val="00DD61AB"/>
    <w:rsid w:val="00E24C9F"/>
    <w:rsid w:val="00E26B25"/>
    <w:rsid w:val="00E500DE"/>
    <w:rsid w:val="00E55D1B"/>
    <w:rsid w:val="00E610B6"/>
    <w:rsid w:val="00E62E0E"/>
    <w:rsid w:val="00E72AE4"/>
    <w:rsid w:val="00E80052"/>
    <w:rsid w:val="00E82260"/>
    <w:rsid w:val="00EA36B6"/>
    <w:rsid w:val="00EA7F20"/>
    <w:rsid w:val="00EB0E8C"/>
    <w:rsid w:val="00EB2213"/>
    <w:rsid w:val="00EB64B5"/>
    <w:rsid w:val="00EC0CD6"/>
    <w:rsid w:val="00EF088C"/>
    <w:rsid w:val="00F05FF9"/>
    <w:rsid w:val="00F20A4B"/>
    <w:rsid w:val="00F34498"/>
    <w:rsid w:val="00F518D7"/>
    <w:rsid w:val="00F55883"/>
    <w:rsid w:val="00F635A0"/>
    <w:rsid w:val="00F6563C"/>
    <w:rsid w:val="00F67199"/>
    <w:rsid w:val="00F81532"/>
    <w:rsid w:val="00F8292B"/>
    <w:rsid w:val="00F831F6"/>
    <w:rsid w:val="00F86EFC"/>
    <w:rsid w:val="00F90BCF"/>
    <w:rsid w:val="00F91F6D"/>
    <w:rsid w:val="00FA4868"/>
    <w:rsid w:val="00FD55CA"/>
    <w:rsid w:val="00FD5ADB"/>
    <w:rsid w:val="00FD6BC8"/>
    <w:rsid w:val="00FE03A9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49A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533FC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33FC4"/>
    <w:pPr>
      <w:tabs>
        <w:tab w:val="center" w:pos="4153"/>
        <w:tab w:val="right" w:pos="8306"/>
      </w:tabs>
    </w:pPr>
    <w:rPr>
      <w:rFonts w:ascii="Dutch TL" w:hAnsi="Dutch TL"/>
      <w:sz w:val="28"/>
      <w:szCs w:val="20"/>
      <w:lang w:eastAsia="zh-TW"/>
    </w:rPr>
  </w:style>
  <w:style w:type="paragraph" w:styleId="Footer">
    <w:name w:val="footer"/>
    <w:basedOn w:val="Normal"/>
    <w:rsid w:val="007448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098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1BA4"/>
    <w:rPr>
      <w:sz w:val="16"/>
      <w:szCs w:val="16"/>
    </w:rPr>
  </w:style>
  <w:style w:type="paragraph" w:styleId="CommentText">
    <w:name w:val="annotation text"/>
    <w:basedOn w:val="Normal"/>
    <w:semiHidden/>
    <w:rsid w:val="00B41B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1BA4"/>
    <w:rPr>
      <w:b/>
      <w:bCs/>
    </w:rPr>
  </w:style>
  <w:style w:type="character" w:styleId="PageNumber">
    <w:name w:val="page number"/>
    <w:basedOn w:val="DefaultParagraphFont"/>
    <w:rsid w:val="003D39DE"/>
  </w:style>
  <w:style w:type="character" w:customStyle="1" w:styleId="HeaderChar">
    <w:name w:val="Header Char"/>
    <w:link w:val="Header"/>
    <w:uiPriority w:val="99"/>
    <w:rsid w:val="000009A5"/>
    <w:rPr>
      <w:rFonts w:ascii="Dutch TL" w:hAnsi="Dutch TL"/>
      <w:sz w:val="28"/>
      <w:lang w:eastAsia="zh-TW"/>
    </w:rPr>
  </w:style>
  <w:style w:type="paragraph" w:styleId="ListParagraph">
    <w:name w:val="List Paragraph"/>
    <w:basedOn w:val="Normal"/>
    <w:uiPriority w:val="34"/>
    <w:qFormat/>
    <w:rsid w:val="004A398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681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1681B"/>
    <w:rPr>
      <w:b/>
      <w:sz w:val="32"/>
      <w:lang w:eastAsia="en-US"/>
    </w:rPr>
  </w:style>
  <w:style w:type="paragraph" w:customStyle="1" w:styleId="naiskr">
    <w:name w:val="naiskr"/>
    <w:basedOn w:val="Normal"/>
    <w:rsid w:val="001B7EFD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1"/>
    <w:qFormat/>
    <w:rsid w:val="001B7EFD"/>
    <w:rPr>
      <w:sz w:val="24"/>
      <w:szCs w:val="24"/>
    </w:rPr>
  </w:style>
  <w:style w:type="paragraph" w:customStyle="1" w:styleId="naisf">
    <w:name w:val="naisf"/>
    <w:basedOn w:val="Normal"/>
    <w:link w:val="naisfChar"/>
    <w:rsid w:val="0062375D"/>
    <w:pPr>
      <w:spacing w:before="100" w:beforeAutospacing="1" w:after="100" w:afterAutospacing="1"/>
    </w:pPr>
  </w:style>
  <w:style w:type="character" w:customStyle="1" w:styleId="naisfChar">
    <w:name w:val="naisf Char"/>
    <w:link w:val="naisf"/>
    <w:rsid w:val="00A94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533FC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33FC4"/>
    <w:pPr>
      <w:tabs>
        <w:tab w:val="center" w:pos="4153"/>
        <w:tab w:val="right" w:pos="8306"/>
      </w:tabs>
    </w:pPr>
    <w:rPr>
      <w:rFonts w:ascii="Dutch TL" w:hAnsi="Dutch TL"/>
      <w:sz w:val="28"/>
      <w:szCs w:val="20"/>
      <w:lang w:eastAsia="zh-TW"/>
    </w:rPr>
  </w:style>
  <w:style w:type="paragraph" w:styleId="Footer">
    <w:name w:val="footer"/>
    <w:basedOn w:val="Normal"/>
    <w:rsid w:val="007448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098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1BA4"/>
    <w:rPr>
      <w:sz w:val="16"/>
      <w:szCs w:val="16"/>
    </w:rPr>
  </w:style>
  <w:style w:type="paragraph" w:styleId="CommentText">
    <w:name w:val="annotation text"/>
    <w:basedOn w:val="Normal"/>
    <w:semiHidden/>
    <w:rsid w:val="00B41B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1BA4"/>
    <w:rPr>
      <w:b/>
      <w:bCs/>
    </w:rPr>
  </w:style>
  <w:style w:type="character" w:styleId="PageNumber">
    <w:name w:val="page number"/>
    <w:basedOn w:val="DefaultParagraphFont"/>
    <w:rsid w:val="003D39DE"/>
  </w:style>
  <w:style w:type="character" w:customStyle="1" w:styleId="HeaderChar">
    <w:name w:val="Header Char"/>
    <w:link w:val="Header"/>
    <w:uiPriority w:val="99"/>
    <w:rsid w:val="000009A5"/>
    <w:rPr>
      <w:rFonts w:ascii="Dutch TL" w:hAnsi="Dutch TL"/>
      <w:sz w:val="28"/>
      <w:lang w:eastAsia="zh-TW"/>
    </w:rPr>
  </w:style>
  <w:style w:type="paragraph" w:styleId="ListParagraph">
    <w:name w:val="List Paragraph"/>
    <w:basedOn w:val="Normal"/>
    <w:uiPriority w:val="34"/>
    <w:qFormat/>
    <w:rsid w:val="004A398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681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1681B"/>
    <w:rPr>
      <w:b/>
      <w:sz w:val="32"/>
      <w:lang w:eastAsia="en-US"/>
    </w:rPr>
  </w:style>
  <w:style w:type="paragraph" w:customStyle="1" w:styleId="naiskr">
    <w:name w:val="naiskr"/>
    <w:basedOn w:val="Normal"/>
    <w:rsid w:val="001B7EFD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1"/>
    <w:qFormat/>
    <w:rsid w:val="001B7EFD"/>
    <w:rPr>
      <w:sz w:val="24"/>
      <w:szCs w:val="24"/>
    </w:rPr>
  </w:style>
  <w:style w:type="paragraph" w:customStyle="1" w:styleId="naisf">
    <w:name w:val="naisf"/>
    <w:basedOn w:val="Normal"/>
    <w:link w:val="naisfChar"/>
    <w:rsid w:val="0062375D"/>
    <w:pPr>
      <w:spacing w:before="100" w:beforeAutospacing="1" w:after="100" w:afterAutospacing="1"/>
    </w:pPr>
  </w:style>
  <w:style w:type="character" w:customStyle="1" w:styleId="naisfChar">
    <w:name w:val="naisf Char"/>
    <w:link w:val="naisf"/>
    <w:rsid w:val="00A94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59C7-8021-4737-9725-FF449196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AIMAnot_26112013_TA_1957</vt:lpstr>
      <vt:lpstr>AIMAnot_28102013_TA_1957</vt:lpstr>
    </vt:vector>
  </TitlesOfParts>
  <Company>AIM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AIMAnot_26112013_TA_1957</dc:title>
  <dc:subject>Grozījums Ministru kabineta 2004.gada 6.janvāra noteikumos Nr.21 „Valsts noslēpuma, Ziemeļatlantijas līguma organizācijas, Eiropas Savienības un ārvalstu institūciju klasificētās informācijas aizsardzības noteikumi” (anotācija)</dc:subject>
  <dc:creator>Elvīra Šmukste</dc:creator>
  <dc:description>Elvīra Šmukste
elvira.smukste@mod.gov.lv
tel:.67335298   fakss:67212307</dc:description>
  <cp:lastModifiedBy>Emīlija Spundzāne</cp:lastModifiedBy>
  <cp:revision>5</cp:revision>
  <cp:lastPrinted>2014-03-07T09:37:00Z</cp:lastPrinted>
  <dcterms:created xsi:type="dcterms:W3CDTF">2014-03-06T08:28:00Z</dcterms:created>
  <dcterms:modified xsi:type="dcterms:W3CDTF">2014-03-07T09:37:00Z</dcterms:modified>
</cp:coreProperties>
</file>