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1" w:rsidRPr="00AB0CFC" w:rsidRDefault="006C4EB7" w:rsidP="00A7297A">
      <w:pPr>
        <w:jc w:val="center"/>
        <w:rPr>
          <w:b/>
          <w:sz w:val="28"/>
          <w:szCs w:val="28"/>
        </w:rPr>
      </w:pPr>
      <w:bookmarkStart w:id="0" w:name="OLE_LINK1"/>
      <w:bookmarkStart w:id="1" w:name="OLE_LINK2"/>
      <w:r w:rsidRPr="00AB0CFC">
        <w:rPr>
          <w:b/>
          <w:sz w:val="28"/>
          <w:szCs w:val="28"/>
        </w:rPr>
        <w:t xml:space="preserve">Ministru kabineta noteikumu projekta </w:t>
      </w:r>
      <w:r w:rsidR="00A7297A" w:rsidRPr="00AB0CFC">
        <w:rPr>
          <w:b/>
          <w:sz w:val="28"/>
          <w:szCs w:val="28"/>
        </w:rPr>
        <w:t>„</w:t>
      </w:r>
      <w:r w:rsidR="00E42C64" w:rsidRPr="00AB0CFC">
        <w:rPr>
          <w:b/>
          <w:sz w:val="28"/>
          <w:szCs w:val="28"/>
        </w:rPr>
        <w:t xml:space="preserve">Par </w:t>
      </w:r>
      <w:bookmarkStart w:id="2" w:name="OLE_LINK6"/>
      <w:bookmarkStart w:id="3" w:name="OLE_LINK7"/>
      <w:r w:rsidR="00E42C64" w:rsidRPr="00AB0CFC">
        <w:rPr>
          <w:b/>
          <w:sz w:val="28"/>
          <w:szCs w:val="28"/>
        </w:rPr>
        <w:t>medicīnisko pretlīdzekļu kopīgā iepirkuma nolīgumu</w:t>
      </w:r>
      <w:bookmarkEnd w:id="2"/>
      <w:bookmarkEnd w:id="3"/>
      <w:r w:rsidR="00A7297A" w:rsidRPr="00AB0CFC">
        <w:rPr>
          <w:b/>
          <w:sz w:val="28"/>
          <w:szCs w:val="28"/>
        </w:rPr>
        <w:t>”</w:t>
      </w:r>
      <w:r w:rsidR="00C92DBC" w:rsidRPr="00AB0CFC">
        <w:rPr>
          <w:b/>
          <w:sz w:val="28"/>
          <w:szCs w:val="28"/>
        </w:rPr>
        <w:t xml:space="preserve"> </w:t>
      </w:r>
      <w:r w:rsidR="000F41F1" w:rsidRPr="00AB0CFC">
        <w:rPr>
          <w:b/>
          <w:sz w:val="28"/>
          <w:szCs w:val="28"/>
        </w:rPr>
        <w:t>sākotnējās ietekmes novērtējuma ziņojums (anotācija)</w:t>
      </w:r>
    </w:p>
    <w:bookmarkEnd w:id="0"/>
    <w:bookmarkEnd w:id="1"/>
    <w:p w:rsidR="001609FF" w:rsidRPr="00AB0CFC" w:rsidRDefault="001609FF" w:rsidP="00A7297A">
      <w:pPr>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543"/>
        <w:gridCol w:w="6229"/>
      </w:tblGrid>
      <w:tr w:rsidR="006C4EB7" w:rsidRPr="00AB0CFC" w:rsidTr="00E42C64">
        <w:trPr>
          <w:trHeight w:val="293"/>
        </w:trPr>
        <w:tc>
          <w:tcPr>
            <w:tcW w:w="9288" w:type="dxa"/>
            <w:gridSpan w:val="3"/>
            <w:shd w:val="clear" w:color="auto" w:fill="auto"/>
          </w:tcPr>
          <w:p w:rsidR="006C4EB7" w:rsidRPr="00AB0CFC" w:rsidRDefault="006C4EB7" w:rsidP="001F20CA">
            <w:pPr>
              <w:pStyle w:val="NormalWeb"/>
              <w:rPr>
                <w:sz w:val="28"/>
                <w:szCs w:val="28"/>
              </w:rPr>
            </w:pPr>
            <w:r w:rsidRPr="00AB0CFC">
              <w:rPr>
                <w:b/>
                <w:bCs/>
                <w:sz w:val="28"/>
                <w:szCs w:val="28"/>
              </w:rPr>
              <w:t>I. Tiesību akta projekta izstrādes nepieciešamība</w:t>
            </w:r>
          </w:p>
        </w:tc>
      </w:tr>
      <w:tr w:rsidR="0049512E" w:rsidRPr="00AB0CFC" w:rsidTr="001609FF">
        <w:tc>
          <w:tcPr>
            <w:tcW w:w="516" w:type="dxa"/>
            <w:shd w:val="clear" w:color="auto" w:fill="auto"/>
          </w:tcPr>
          <w:p w:rsidR="0049512E" w:rsidRPr="00AB0CFC" w:rsidRDefault="0049512E" w:rsidP="001F20CA">
            <w:pPr>
              <w:pStyle w:val="NormalWeb"/>
              <w:rPr>
                <w:sz w:val="28"/>
                <w:szCs w:val="28"/>
              </w:rPr>
            </w:pPr>
            <w:r w:rsidRPr="00AB0CFC">
              <w:rPr>
                <w:sz w:val="28"/>
                <w:szCs w:val="28"/>
              </w:rPr>
              <w:t>1.</w:t>
            </w:r>
          </w:p>
        </w:tc>
        <w:tc>
          <w:tcPr>
            <w:tcW w:w="2543" w:type="dxa"/>
            <w:shd w:val="clear" w:color="auto" w:fill="auto"/>
          </w:tcPr>
          <w:p w:rsidR="0049512E" w:rsidRPr="00AB0CFC" w:rsidRDefault="0049512E" w:rsidP="001F20CA">
            <w:pPr>
              <w:pStyle w:val="NormalWeb"/>
              <w:rPr>
                <w:sz w:val="28"/>
                <w:szCs w:val="28"/>
              </w:rPr>
            </w:pPr>
            <w:r w:rsidRPr="00AB0CFC">
              <w:rPr>
                <w:sz w:val="28"/>
                <w:szCs w:val="28"/>
              </w:rPr>
              <w:t>Pamatojums</w:t>
            </w:r>
          </w:p>
        </w:tc>
        <w:tc>
          <w:tcPr>
            <w:tcW w:w="6229" w:type="dxa"/>
            <w:shd w:val="clear" w:color="auto" w:fill="auto"/>
          </w:tcPr>
          <w:p w:rsidR="00E42C64" w:rsidRPr="00AB0CFC" w:rsidRDefault="00E42C64" w:rsidP="00E42C64">
            <w:pPr>
              <w:spacing w:after="60"/>
              <w:jc w:val="both"/>
              <w:rPr>
                <w:sz w:val="28"/>
                <w:szCs w:val="28"/>
              </w:rPr>
            </w:pPr>
            <w:r w:rsidRPr="00AB0CFC">
              <w:rPr>
                <w:sz w:val="28"/>
                <w:szCs w:val="28"/>
              </w:rPr>
              <w:t>Ministru kabineta</w:t>
            </w:r>
            <w:r w:rsidR="0029200D" w:rsidRPr="00AB0CFC">
              <w:rPr>
                <w:sz w:val="28"/>
                <w:szCs w:val="28"/>
              </w:rPr>
              <w:t xml:space="preserve"> (turpmāk – MK)</w:t>
            </w:r>
            <w:r w:rsidRPr="00AB0CFC">
              <w:rPr>
                <w:sz w:val="28"/>
                <w:szCs w:val="28"/>
              </w:rPr>
              <w:t xml:space="preserve"> noteikumu projekts „Par medicīnisko pretlīdzekļu kopīgā iepirkuma nolīgumu” (turpmāk – noteikumu projekts) izstrādāts, lai nodrošinātu Latvijas dalību kopīgajos medicīnisko pretlīdzekļu iepirkumos saskaņā ar </w:t>
            </w:r>
            <w:r w:rsidRPr="00AB0CFC">
              <w:rPr>
                <w:i/>
                <w:sz w:val="28"/>
                <w:szCs w:val="28"/>
              </w:rPr>
              <w:t xml:space="preserve">Eiropas Parlamenta un Padomes </w:t>
            </w:r>
            <w:r w:rsidR="001032B0">
              <w:rPr>
                <w:i/>
                <w:sz w:val="28"/>
                <w:szCs w:val="28"/>
              </w:rPr>
              <w:t>2013.gada 22.oktobra l</w:t>
            </w:r>
            <w:r w:rsidR="006A7487" w:rsidRPr="00AB0CFC">
              <w:rPr>
                <w:i/>
                <w:sz w:val="28"/>
                <w:szCs w:val="28"/>
              </w:rPr>
              <w:t>ēmuma Nr.1082/2013/ES par nopietniem pārrobežu veselības</w:t>
            </w:r>
            <w:r w:rsidR="001032B0">
              <w:rPr>
                <w:i/>
                <w:sz w:val="28"/>
                <w:szCs w:val="28"/>
              </w:rPr>
              <w:t xml:space="preserve"> apdraudējumiem un ar ko atceļ l</w:t>
            </w:r>
            <w:r w:rsidR="006A7487" w:rsidRPr="00AB0CFC">
              <w:rPr>
                <w:i/>
                <w:sz w:val="28"/>
                <w:szCs w:val="28"/>
              </w:rPr>
              <w:t>ēmumu Nr.2119/98/EK</w:t>
            </w:r>
            <w:r w:rsidR="006A7487" w:rsidRPr="00AB0CFC">
              <w:rPr>
                <w:sz w:val="28"/>
                <w:szCs w:val="28"/>
              </w:rPr>
              <w:t xml:space="preserve"> 5.panta nosacījumiem.</w:t>
            </w:r>
          </w:p>
          <w:p w:rsidR="003678D3" w:rsidRPr="00AB0CFC" w:rsidRDefault="003678D3" w:rsidP="00E42C64">
            <w:pPr>
              <w:spacing w:after="60"/>
              <w:jc w:val="both"/>
              <w:rPr>
                <w:sz w:val="28"/>
                <w:szCs w:val="28"/>
              </w:rPr>
            </w:pPr>
            <w:r w:rsidRPr="00AB0CFC">
              <w:rPr>
                <w:sz w:val="28"/>
                <w:szCs w:val="28"/>
                <w:lang w:bidi="lv-LV"/>
              </w:rPr>
              <w:t xml:space="preserve">Eiropas Parlaments 2011. gada 8. marta rezolūcijā un </w:t>
            </w:r>
            <w:r w:rsidR="003A6EA7">
              <w:rPr>
                <w:sz w:val="28"/>
                <w:szCs w:val="28"/>
                <w:lang w:bidi="lv-LV"/>
              </w:rPr>
              <w:t xml:space="preserve">Eiropas Savienības </w:t>
            </w:r>
            <w:r w:rsidRPr="00AB0CFC">
              <w:rPr>
                <w:sz w:val="28"/>
                <w:szCs w:val="28"/>
                <w:lang w:bidi="lv-LV"/>
              </w:rPr>
              <w:t>Padome 2010. gada 13</w:t>
            </w:r>
            <w:r w:rsidR="003A6EA7" w:rsidRPr="00AB0CFC">
              <w:rPr>
                <w:sz w:val="28"/>
                <w:szCs w:val="28"/>
                <w:lang w:bidi="lv-LV"/>
              </w:rPr>
              <w:t>.</w:t>
            </w:r>
            <w:r w:rsidR="003A6EA7">
              <w:rPr>
                <w:sz w:val="28"/>
                <w:szCs w:val="28"/>
                <w:lang w:bidi="lv-LV"/>
              </w:rPr>
              <w:t> </w:t>
            </w:r>
            <w:r w:rsidRPr="00AB0CFC">
              <w:rPr>
                <w:sz w:val="28"/>
                <w:szCs w:val="28"/>
                <w:lang w:bidi="lv-LV"/>
              </w:rPr>
              <w:t>septembra secinājumos uzsvēra nepieciešamību izveidot vienotu procedūru medicīnisko pretlīdzekļu, jo īpaši pandēmijas vakcīnu, kopīgam iepir</w:t>
            </w:r>
            <w:r w:rsidRPr="00AB0CFC">
              <w:rPr>
                <w:sz w:val="28"/>
                <w:szCs w:val="28"/>
                <w:lang w:bidi="lv-LV"/>
              </w:rPr>
              <w:softHyphen/>
              <w:t>kumam, lai dalībvalstis varētu izmantot šādas vienotas iepirkšanas izdevīgumu, piemēram, izdevīgākas attiecīgā ražojuma cenas un elastīgus tā pasūtījuma nosa</w:t>
            </w:r>
            <w:r w:rsidRPr="00AB0CFC">
              <w:rPr>
                <w:sz w:val="28"/>
                <w:szCs w:val="28"/>
                <w:lang w:bidi="lv-LV"/>
              </w:rPr>
              <w:softHyphen/>
              <w:t>cījumus. Ņemot vērā pasaules mērogā ierobežoto ražo</w:t>
            </w:r>
            <w:r w:rsidRPr="00AB0CFC">
              <w:rPr>
                <w:sz w:val="28"/>
                <w:szCs w:val="28"/>
                <w:lang w:bidi="lv-LV"/>
              </w:rPr>
              <w:softHyphen/>
              <w:t>šanas jaudu attiecībā uz pandēmijas vakcīnām</w:t>
            </w:r>
            <w:r w:rsidR="003A6EA7">
              <w:rPr>
                <w:sz w:val="28"/>
                <w:szCs w:val="28"/>
                <w:lang w:bidi="lv-LV"/>
              </w:rPr>
              <w:t>,</w:t>
            </w:r>
            <w:r w:rsidRPr="00AB0CFC">
              <w:rPr>
                <w:sz w:val="28"/>
                <w:szCs w:val="28"/>
                <w:lang w:bidi="lv-LV"/>
              </w:rPr>
              <w:t xml:space="preserve"> šāda procedūra tiktu piemērota, lai skartajām dalībvalstīm nodrošinātu vienlīdzīgāku piekļuvi vakcīnām un lai tām saskaņā ar attiecīgo valstu vakcinācijas politiku palīdzētu labāk apmierināt iedzīvotāju vakcinācijas vajadzības.</w:t>
            </w:r>
          </w:p>
          <w:p w:rsidR="00E42C64" w:rsidRPr="00AB0CFC" w:rsidRDefault="00B34DA3" w:rsidP="00B34DA3">
            <w:pPr>
              <w:spacing w:after="60"/>
              <w:jc w:val="both"/>
              <w:rPr>
                <w:sz w:val="28"/>
                <w:szCs w:val="28"/>
              </w:rPr>
            </w:pPr>
            <w:r w:rsidRPr="00AB0CFC">
              <w:rPr>
                <w:sz w:val="28"/>
                <w:szCs w:val="28"/>
              </w:rPr>
              <w:t xml:space="preserve">Kopīgā </w:t>
            </w:r>
            <w:r w:rsidR="001032B0" w:rsidRPr="00AB0CFC">
              <w:rPr>
                <w:sz w:val="28"/>
                <w:szCs w:val="28"/>
              </w:rPr>
              <w:t xml:space="preserve">iepirkuma </w:t>
            </w:r>
            <w:r w:rsidRPr="00AB0CFC">
              <w:rPr>
                <w:sz w:val="28"/>
                <w:szCs w:val="28"/>
              </w:rPr>
              <w:t xml:space="preserve">nolīguma </w:t>
            </w:r>
            <w:r w:rsidR="00130A81">
              <w:rPr>
                <w:sz w:val="28"/>
                <w:szCs w:val="28"/>
              </w:rPr>
              <w:t xml:space="preserve">(turpmāk – Nolīgums) </w:t>
            </w:r>
            <w:r w:rsidRPr="00AB0CFC">
              <w:rPr>
                <w:sz w:val="28"/>
                <w:szCs w:val="28"/>
              </w:rPr>
              <w:t xml:space="preserve">projekts sagatavots saskaņā ar </w:t>
            </w:r>
            <w:r w:rsidRPr="00AB0CFC">
              <w:rPr>
                <w:i/>
                <w:sz w:val="28"/>
                <w:szCs w:val="28"/>
              </w:rPr>
              <w:t>Eiropas Parlamenta un Padomes 2012.gada 25.okto</w:t>
            </w:r>
            <w:r w:rsidR="001032B0">
              <w:rPr>
                <w:i/>
                <w:sz w:val="28"/>
                <w:szCs w:val="28"/>
              </w:rPr>
              <w:t>bra r</w:t>
            </w:r>
            <w:r w:rsidRPr="00AB0CFC">
              <w:rPr>
                <w:i/>
                <w:sz w:val="28"/>
                <w:szCs w:val="28"/>
              </w:rPr>
              <w:t>egulas (ES, Euratom) Nr.966/2012 par finanšu noteikumiem, ko piemēro Savienības vispār</w:t>
            </w:r>
            <w:r w:rsidR="001032B0">
              <w:rPr>
                <w:i/>
                <w:sz w:val="28"/>
                <w:szCs w:val="28"/>
              </w:rPr>
              <w:t>ējam budžetam,  un par Padomes r</w:t>
            </w:r>
            <w:r w:rsidRPr="00AB0CFC">
              <w:rPr>
                <w:i/>
                <w:sz w:val="28"/>
                <w:szCs w:val="28"/>
              </w:rPr>
              <w:t xml:space="preserve">egulas (ES, </w:t>
            </w:r>
            <w:proofErr w:type="spellStart"/>
            <w:r w:rsidRPr="00AB0CFC">
              <w:rPr>
                <w:i/>
                <w:sz w:val="28"/>
                <w:szCs w:val="28"/>
              </w:rPr>
              <w:t>Euratom</w:t>
            </w:r>
            <w:proofErr w:type="spellEnd"/>
            <w:r w:rsidRPr="00AB0CFC">
              <w:rPr>
                <w:i/>
                <w:sz w:val="28"/>
                <w:szCs w:val="28"/>
              </w:rPr>
              <w:t>)</w:t>
            </w:r>
            <w:r w:rsidR="003A6EA7">
              <w:rPr>
                <w:i/>
                <w:sz w:val="28"/>
                <w:szCs w:val="28"/>
              </w:rPr>
              <w:t xml:space="preserve"> </w:t>
            </w:r>
            <w:r w:rsidRPr="00AB0CFC">
              <w:rPr>
                <w:i/>
                <w:sz w:val="28"/>
                <w:szCs w:val="28"/>
              </w:rPr>
              <w:t xml:space="preserve">Nr.1605/2002 atcelšanu </w:t>
            </w:r>
            <w:r w:rsidRPr="00AB0CFC">
              <w:rPr>
                <w:sz w:val="28"/>
                <w:szCs w:val="28"/>
              </w:rPr>
              <w:t>104.panta 1.punkta trešo daļu.</w:t>
            </w:r>
          </w:p>
          <w:p w:rsidR="00C9406F" w:rsidRPr="00AB0CFC" w:rsidRDefault="00B34DA3" w:rsidP="00C25964">
            <w:pPr>
              <w:spacing w:after="60"/>
              <w:jc w:val="both"/>
              <w:rPr>
                <w:sz w:val="28"/>
                <w:szCs w:val="28"/>
              </w:rPr>
            </w:pPr>
            <w:r w:rsidRPr="00AB0CFC">
              <w:rPr>
                <w:sz w:val="28"/>
                <w:szCs w:val="28"/>
              </w:rPr>
              <w:t xml:space="preserve">Noteikumu projekts izstrādāts saskaņā ar </w:t>
            </w:r>
            <w:r w:rsidR="00C25964">
              <w:rPr>
                <w:sz w:val="28"/>
                <w:szCs w:val="28"/>
              </w:rPr>
              <w:t>Ministru kabineta</w:t>
            </w:r>
            <w:r w:rsidRPr="00AB0CFC">
              <w:rPr>
                <w:sz w:val="28"/>
                <w:szCs w:val="28"/>
              </w:rPr>
              <w:t xml:space="preserve"> iekārtas likuma 31. panta pirmās daļas 2. punktu.</w:t>
            </w:r>
          </w:p>
        </w:tc>
      </w:tr>
      <w:tr w:rsidR="0049512E" w:rsidRPr="00AB0CFC" w:rsidTr="001609FF">
        <w:tc>
          <w:tcPr>
            <w:tcW w:w="516" w:type="dxa"/>
            <w:shd w:val="clear" w:color="auto" w:fill="auto"/>
          </w:tcPr>
          <w:p w:rsidR="0049512E" w:rsidRPr="00AB0CFC" w:rsidRDefault="0049512E" w:rsidP="001F20CA">
            <w:pPr>
              <w:pStyle w:val="NormalWeb"/>
              <w:rPr>
                <w:sz w:val="28"/>
                <w:szCs w:val="28"/>
              </w:rPr>
            </w:pPr>
            <w:r w:rsidRPr="00AB0CFC">
              <w:rPr>
                <w:sz w:val="28"/>
                <w:szCs w:val="28"/>
              </w:rPr>
              <w:t>2.</w:t>
            </w:r>
          </w:p>
        </w:tc>
        <w:tc>
          <w:tcPr>
            <w:tcW w:w="2543" w:type="dxa"/>
            <w:shd w:val="clear" w:color="auto" w:fill="auto"/>
          </w:tcPr>
          <w:p w:rsidR="0049512E" w:rsidRPr="00AB0CFC" w:rsidRDefault="00C20814" w:rsidP="001F20CA">
            <w:pPr>
              <w:pStyle w:val="NormalWeb"/>
              <w:rPr>
                <w:sz w:val="28"/>
                <w:szCs w:val="28"/>
              </w:rPr>
            </w:pPr>
            <w:r w:rsidRPr="00AB0CFC">
              <w:rPr>
                <w:sz w:val="28"/>
                <w:szCs w:val="28"/>
              </w:rPr>
              <w:t xml:space="preserve"> Pašreizējā situācija un problēmas, kuru </w:t>
            </w:r>
            <w:r w:rsidRPr="00AB0CFC">
              <w:rPr>
                <w:sz w:val="28"/>
                <w:szCs w:val="28"/>
              </w:rPr>
              <w:lastRenderedPageBreak/>
              <w:t>risināšanai tiesību akta projekts izstrādāts, tiesiskā regulējuma mērķis un būtība</w:t>
            </w:r>
          </w:p>
        </w:tc>
        <w:tc>
          <w:tcPr>
            <w:tcW w:w="6229" w:type="dxa"/>
            <w:shd w:val="clear" w:color="auto" w:fill="auto"/>
          </w:tcPr>
          <w:p w:rsidR="00C20814" w:rsidRPr="00AB0CFC" w:rsidRDefault="0029200D" w:rsidP="008373D2">
            <w:pPr>
              <w:pStyle w:val="NormalWeb"/>
              <w:spacing w:before="0" w:beforeAutospacing="0" w:after="0" w:afterAutospacing="0"/>
              <w:jc w:val="both"/>
              <w:rPr>
                <w:sz w:val="28"/>
                <w:szCs w:val="28"/>
                <w:lang w:eastAsia="en-US"/>
              </w:rPr>
            </w:pPr>
            <w:r w:rsidRPr="00AB0CFC">
              <w:rPr>
                <w:sz w:val="28"/>
                <w:szCs w:val="28"/>
                <w:lang w:eastAsia="en-US"/>
              </w:rPr>
              <w:lastRenderedPageBreak/>
              <w:t>Rīcību epidēmiju gadījumā regulē</w:t>
            </w:r>
            <w:r w:rsidRPr="00AB0CFC">
              <w:rPr>
                <w:rFonts w:ascii="Arial" w:hAnsi="Arial" w:cs="Arial"/>
                <w:color w:val="414142"/>
                <w:sz w:val="28"/>
                <w:szCs w:val="28"/>
                <w:shd w:val="clear" w:color="auto" w:fill="F1F1F1"/>
              </w:rPr>
              <w:t xml:space="preserve"> </w:t>
            </w:r>
            <w:r w:rsidRPr="00AB0CFC">
              <w:rPr>
                <w:sz w:val="28"/>
                <w:szCs w:val="28"/>
                <w:lang w:eastAsia="en-US"/>
              </w:rPr>
              <w:t>Ep</w:t>
            </w:r>
            <w:r w:rsidR="008373D2" w:rsidRPr="00AB0CFC">
              <w:rPr>
                <w:sz w:val="28"/>
                <w:szCs w:val="28"/>
                <w:lang w:eastAsia="en-US"/>
              </w:rPr>
              <w:t xml:space="preserve">idemioloģiskās drošības likums. </w:t>
            </w:r>
            <w:r w:rsidRPr="00AB0CFC">
              <w:rPr>
                <w:sz w:val="28"/>
                <w:szCs w:val="28"/>
                <w:lang w:eastAsia="en-US"/>
              </w:rPr>
              <w:t xml:space="preserve">Uz šī likuma pamata izdotie </w:t>
            </w:r>
            <w:r w:rsidR="008373D2" w:rsidRPr="00AB0CFC">
              <w:rPr>
                <w:sz w:val="28"/>
                <w:szCs w:val="28"/>
                <w:lang w:eastAsia="en-US"/>
              </w:rPr>
              <w:t xml:space="preserve">MK </w:t>
            </w:r>
            <w:r w:rsidR="008373D2" w:rsidRPr="00AB0CFC">
              <w:rPr>
                <w:sz w:val="28"/>
                <w:szCs w:val="28"/>
                <w:lang w:eastAsia="en-US"/>
              </w:rPr>
              <w:lastRenderedPageBreak/>
              <w:t xml:space="preserve">2000.gada 26.septembra noteikumi Nr.330 „Vakcinācijas noteikumi” nosaka, ka epidēmijas </w:t>
            </w:r>
            <w:r w:rsidRPr="00AB0CFC">
              <w:rPr>
                <w:sz w:val="28"/>
                <w:szCs w:val="28"/>
                <w:lang w:eastAsia="en-US"/>
              </w:rPr>
              <w:t xml:space="preserve">vai tās draudu gadījumā veselības ministrs ir tiesīgs izdot rīkojumu par atsevišķu iedzīvotāju grupu obligātu vakcināciju neparedzētos gadījumos un papildu vakcīnu iegādi Veselības ministrijai budžetā iedalīto līdzekļu ietvaros. Ja epidēmijas vai tās draudu gadījumā ir nepieciešama papildu obligāta vakcinācija, kas pārsniedz Veselības ministrijai iedalītos līdzekļus, lēmumu par papildu obligāto vakcināciju pēc veselības ministra priekšlikuma pieņem Ministru kabinets. </w:t>
            </w:r>
          </w:p>
          <w:p w:rsidR="000C7085" w:rsidRDefault="00130A81" w:rsidP="00750CD8">
            <w:pPr>
              <w:pStyle w:val="NormalWeb"/>
              <w:spacing w:before="0" w:beforeAutospacing="0" w:after="0" w:afterAutospacing="0"/>
              <w:jc w:val="both"/>
              <w:rPr>
                <w:sz w:val="28"/>
                <w:szCs w:val="28"/>
                <w:lang w:eastAsia="en-US"/>
              </w:rPr>
            </w:pPr>
            <w:r>
              <w:rPr>
                <w:sz w:val="28"/>
                <w:szCs w:val="28"/>
                <w:lang w:eastAsia="en-US"/>
              </w:rPr>
              <w:t>Pievienošanās N</w:t>
            </w:r>
            <w:r w:rsidR="000C7085" w:rsidRPr="00AB0CFC">
              <w:rPr>
                <w:sz w:val="28"/>
                <w:szCs w:val="28"/>
                <w:lang w:eastAsia="en-US"/>
              </w:rPr>
              <w:t xml:space="preserve">olīgumam dod iespēju nopietnu  veselības apdraudējumu gadījumā iegādāties vakcīnas, </w:t>
            </w:r>
            <w:proofErr w:type="spellStart"/>
            <w:r w:rsidR="000C7085" w:rsidRPr="00AB0CFC">
              <w:rPr>
                <w:sz w:val="28"/>
                <w:szCs w:val="28"/>
                <w:lang w:eastAsia="en-US"/>
              </w:rPr>
              <w:t>antivirālos</w:t>
            </w:r>
            <w:proofErr w:type="spellEnd"/>
            <w:r w:rsidR="000C7085" w:rsidRPr="00AB0CFC">
              <w:rPr>
                <w:sz w:val="28"/>
                <w:szCs w:val="28"/>
                <w:lang w:eastAsia="en-US"/>
              </w:rPr>
              <w:t xml:space="preserve"> preparātus vai citus medicīnisko</w:t>
            </w:r>
            <w:r w:rsidR="003A6EA7">
              <w:rPr>
                <w:sz w:val="28"/>
                <w:szCs w:val="28"/>
                <w:lang w:eastAsia="en-US"/>
              </w:rPr>
              <w:t>s</w:t>
            </w:r>
            <w:r w:rsidR="000C7085" w:rsidRPr="00AB0CFC">
              <w:rPr>
                <w:sz w:val="28"/>
                <w:szCs w:val="28"/>
                <w:lang w:eastAsia="en-US"/>
              </w:rPr>
              <w:t xml:space="preserve"> pretlīdzekļus uz izdevīgākiem nosacījumiem, taču</w:t>
            </w:r>
            <w:r w:rsidR="00082F9D" w:rsidRPr="00082F9D">
              <w:rPr>
                <w:noProof/>
                <w:lang w:eastAsia="en-GB"/>
              </w:rPr>
              <w:t xml:space="preserve"> </w:t>
            </w:r>
            <w:r w:rsidR="00750CD8">
              <w:rPr>
                <w:sz w:val="28"/>
                <w:szCs w:val="28"/>
                <w:lang w:eastAsia="en-US"/>
              </w:rPr>
              <w:t>neuzliek l</w:t>
            </w:r>
            <w:r w:rsidR="00082F9D" w:rsidRPr="00082F9D">
              <w:rPr>
                <w:sz w:val="28"/>
                <w:szCs w:val="28"/>
                <w:lang w:eastAsia="en-US"/>
              </w:rPr>
              <w:t xml:space="preserve">īgumslēdzējām pusēm pienākumu </w:t>
            </w:r>
            <w:r w:rsidR="003A6EA7">
              <w:rPr>
                <w:sz w:val="28"/>
                <w:szCs w:val="28"/>
                <w:lang w:eastAsia="en-US"/>
              </w:rPr>
              <w:t xml:space="preserve">uzreiz </w:t>
            </w:r>
            <w:r w:rsidR="00082F9D" w:rsidRPr="00082F9D">
              <w:rPr>
                <w:sz w:val="28"/>
                <w:szCs w:val="28"/>
                <w:lang w:eastAsia="en-US"/>
              </w:rPr>
              <w:t xml:space="preserve">pēc </w:t>
            </w:r>
            <w:r w:rsidR="003A6EA7">
              <w:rPr>
                <w:sz w:val="28"/>
                <w:szCs w:val="28"/>
                <w:lang w:eastAsia="en-US"/>
              </w:rPr>
              <w:t>Nolīguma parakstīšanas sākt</w:t>
            </w:r>
            <w:r w:rsidR="00082F9D" w:rsidRPr="00082F9D">
              <w:rPr>
                <w:sz w:val="28"/>
                <w:szCs w:val="28"/>
                <w:lang w:eastAsia="en-US"/>
              </w:rPr>
              <w:t xml:space="preserve"> piedalīties iepirkuma procedūrās, lai, pamatojoties uz </w:t>
            </w:r>
            <w:r w:rsidR="00750CD8">
              <w:rPr>
                <w:sz w:val="28"/>
                <w:szCs w:val="28"/>
                <w:lang w:eastAsia="en-US"/>
              </w:rPr>
              <w:t>N</w:t>
            </w:r>
            <w:r w:rsidR="00082F9D" w:rsidRPr="00082F9D">
              <w:rPr>
                <w:sz w:val="28"/>
                <w:szCs w:val="28"/>
                <w:lang w:eastAsia="en-US"/>
              </w:rPr>
              <w:t>olīgumu, iegādātos konkrētu medicīnisko pretlīdzekli</w:t>
            </w:r>
            <w:r w:rsidR="000C7085" w:rsidRPr="00AB0CFC">
              <w:rPr>
                <w:sz w:val="28"/>
                <w:szCs w:val="28"/>
                <w:lang w:eastAsia="en-US"/>
              </w:rPr>
              <w:t xml:space="preserve">. Nolīgums dod tiesības tā līgumslēdzējām pusēm slēgt pamatlīgumus, lai iepirktu </w:t>
            </w:r>
            <w:r w:rsidR="007E0917" w:rsidRPr="00AB0CFC">
              <w:rPr>
                <w:sz w:val="28"/>
                <w:szCs w:val="28"/>
                <w:lang w:eastAsia="en-US"/>
              </w:rPr>
              <w:t>medicīniskos pretlīdzekļus pēc tam, kad veikta kopīga iepirkuma procedūra.</w:t>
            </w:r>
            <w:r w:rsidR="00FE4F35">
              <w:rPr>
                <w:sz w:val="28"/>
                <w:szCs w:val="28"/>
                <w:lang w:eastAsia="en-US"/>
              </w:rPr>
              <w:t xml:space="preserve"> </w:t>
            </w:r>
            <w:r w:rsidR="00FE4F35" w:rsidRPr="00FE4F35">
              <w:rPr>
                <w:sz w:val="28"/>
                <w:szCs w:val="28"/>
                <w:lang w:eastAsia="en-US"/>
              </w:rPr>
              <w:t>Iepirkuma procedū</w:t>
            </w:r>
            <w:r w:rsidR="004B0C4B">
              <w:rPr>
                <w:sz w:val="28"/>
                <w:szCs w:val="28"/>
                <w:lang w:eastAsia="en-US"/>
              </w:rPr>
              <w:t>ru uzsāk, ja vismaz piecas l</w:t>
            </w:r>
            <w:r w:rsidR="00FE4F35" w:rsidRPr="00FE4F35">
              <w:rPr>
                <w:sz w:val="28"/>
                <w:szCs w:val="28"/>
                <w:lang w:eastAsia="en-US"/>
              </w:rPr>
              <w:t xml:space="preserve">īgumslēdzējas puses, ieskaitot </w:t>
            </w:r>
            <w:r w:rsidR="004B0C4B">
              <w:rPr>
                <w:sz w:val="28"/>
                <w:szCs w:val="28"/>
                <w:lang w:eastAsia="en-US"/>
              </w:rPr>
              <w:t xml:space="preserve">Eiropas </w:t>
            </w:r>
            <w:r w:rsidR="00FE4F35" w:rsidRPr="00FE4F35">
              <w:rPr>
                <w:sz w:val="28"/>
                <w:szCs w:val="28"/>
                <w:lang w:eastAsia="en-US"/>
              </w:rPr>
              <w:t>Komisiju, nobalso par šādas procedūras uzsākšanu</w:t>
            </w:r>
            <w:r w:rsidR="00C7175F">
              <w:rPr>
                <w:sz w:val="28"/>
                <w:szCs w:val="28"/>
                <w:lang w:eastAsia="en-US"/>
              </w:rPr>
              <w:t>.</w:t>
            </w:r>
          </w:p>
          <w:p w:rsidR="00C7175F" w:rsidRPr="00AB0CFC" w:rsidRDefault="00C7175F" w:rsidP="00750CD8">
            <w:pPr>
              <w:pStyle w:val="NormalWeb"/>
              <w:spacing w:before="0" w:beforeAutospacing="0" w:after="0" w:afterAutospacing="0"/>
              <w:jc w:val="both"/>
              <w:rPr>
                <w:sz w:val="28"/>
                <w:szCs w:val="28"/>
                <w:lang w:eastAsia="en-US"/>
              </w:rPr>
            </w:pPr>
            <w:r>
              <w:rPr>
                <w:sz w:val="28"/>
                <w:szCs w:val="28"/>
                <w:lang w:eastAsia="en-US"/>
              </w:rPr>
              <w:t>Pievienošanās  Nolīgumam neierobežo valstis</w:t>
            </w:r>
            <w:r w:rsidR="000345A8">
              <w:rPr>
                <w:sz w:val="28"/>
                <w:szCs w:val="28"/>
                <w:lang w:eastAsia="en-US"/>
              </w:rPr>
              <w:t xml:space="preserve"> </w:t>
            </w:r>
            <w:r>
              <w:rPr>
                <w:sz w:val="28"/>
                <w:szCs w:val="28"/>
                <w:lang w:eastAsia="en-US"/>
              </w:rPr>
              <w:t>-</w:t>
            </w:r>
            <w:r w:rsidR="000345A8">
              <w:rPr>
                <w:sz w:val="28"/>
                <w:szCs w:val="28"/>
                <w:lang w:eastAsia="en-US"/>
              </w:rPr>
              <w:t xml:space="preserve"> </w:t>
            </w:r>
            <w:r>
              <w:rPr>
                <w:sz w:val="28"/>
                <w:szCs w:val="28"/>
                <w:lang w:eastAsia="en-US"/>
              </w:rPr>
              <w:t xml:space="preserve"> līgumslēdzējas puse</w:t>
            </w:r>
            <w:r w:rsidR="000345A8">
              <w:rPr>
                <w:sz w:val="28"/>
                <w:szCs w:val="28"/>
                <w:lang w:eastAsia="en-US"/>
              </w:rPr>
              <w:t>s</w:t>
            </w:r>
            <w:r w:rsidR="003A6EA7">
              <w:rPr>
                <w:sz w:val="28"/>
                <w:szCs w:val="28"/>
                <w:lang w:eastAsia="en-US"/>
              </w:rPr>
              <w:t>,</w:t>
            </w:r>
            <w:r>
              <w:rPr>
                <w:sz w:val="28"/>
                <w:szCs w:val="28"/>
                <w:lang w:eastAsia="en-US"/>
              </w:rPr>
              <w:t xml:space="preserve"> slēgt citus savstarpējus līgumus, kā arī neietekmē jau noslēgtos līgumus.</w:t>
            </w:r>
          </w:p>
        </w:tc>
      </w:tr>
      <w:tr w:rsidR="009D64B9" w:rsidRPr="00AB0CFC" w:rsidTr="001609FF">
        <w:tc>
          <w:tcPr>
            <w:tcW w:w="516" w:type="dxa"/>
            <w:shd w:val="clear" w:color="auto" w:fill="auto"/>
          </w:tcPr>
          <w:p w:rsidR="009D64B9" w:rsidRPr="00AB0CFC" w:rsidRDefault="00C20814" w:rsidP="001F20CA">
            <w:pPr>
              <w:pStyle w:val="NormalWeb"/>
              <w:rPr>
                <w:sz w:val="28"/>
                <w:szCs w:val="28"/>
              </w:rPr>
            </w:pPr>
            <w:r w:rsidRPr="00AB0CFC">
              <w:rPr>
                <w:sz w:val="28"/>
                <w:szCs w:val="28"/>
              </w:rPr>
              <w:lastRenderedPageBreak/>
              <w:t>3</w:t>
            </w:r>
            <w:r w:rsidR="009D64B9" w:rsidRPr="00AB0CFC">
              <w:rPr>
                <w:sz w:val="28"/>
                <w:szCs w:val="28"/>
              </w:rPr>
              <w:t>.</w:t>
            </w:r>
          </w:p>
        </w:tc>
        <w:tc>
          <w:tcPr>
            <w:tcW w:w="2543" w:type="dxa"/>
            <w:shd w:val="clear" w:color="auto" w:fill="auto"/>
          </w:tcPr>
          <w:p w:rsidR="009D64B9" w:rsidRPr="00AB0CFC" w:rsidRDefault="009D64B9" w:rsidP="001F20CA">
            <w:pPr>
              <w:pStyle w:val="NormalWeb"/>
              <w:rPr>
                <w:sz w:val="28"/>
                <w:szCs w:val="28"/>
              </w:rPr>
            </w:pPr>
            <w:r w:rsidRPr="00AB0CFC">
              <w:rPr>
                <w:sz w:val="28"/>
                <w:szCs w:val="28"/>
              </w:rPr>
              <w:t>Projekta izstrādē iesaistītās institūcijas</w:t>
            </w:r>
          </w:p>
        </w:tc>
        <w:tc>
          <w:tcPr>
            <w:tcW w:w="6229" w:type="dxa"/>
            <w:shd w:val="clear" w:color="auto" w:fill="auto"/>
          </w:tcPr>
          <w:p w:rsidR="009D64B9" w:rsidRPr="00AB0CFC" w:rsidRDefault="007E43DA" w:rsidP="00845533">
            <w:pPr>
              <w:pStyle w:val="NormalWeb"/>
              <w:spacing w:before="0" w:beforeAutospacing="0" w:after="0" w:afterAutospacing="0"/>
              <w:jc w:val="both"/>
              <w:rPr>
                <w:sz w:val="28"/>
                <w:szCs w:val="28"/>
              </w:rPr>
            </w:pPr>
            <w:r w:rsidRPr="00AB0CFC">
              <w:rPr>
                <w:sz w:val="28"/>
                <w:szCs w:val="28"/>
              </w:rPr>
              <w:t>Veselības ministrija, konsultējoties ar Ārlietu ministriju, Finanšu ministriju un Tieslietu ministriju.</w:t>
            </w:r>
          </w:p>
        </w:tc>
      </w:tr>
      <w:tr w:rsidR="009D64B9" w:rsidRPr="00AB0CFC" w:rsidTr="001609FF">
        <w:tc>
          <w:tcPr>
            <w:tcW w:w="516" w:type="dxa"/>
            <w:shd w:val="clear" w:color="auto" w:fill="auto"/>
          </w:tcPr>
          <w:p w:rsidR="009D64B9" w:rsidRPr="00AB0CFC" w:rsidRDefault="00C20814" w:rsidP="00C20814">
            <w:pPr>
              <w:pStyle w:val="NormalWeb"/>
              <w:rPr>
                <w:sz w:val="28"/>
                <w:szCs w:val="28"/>
              </w:rPr>
            </w:pPr>
            <w:r w:rsidRPr="00AB0CFC">
              <w:rPr>
                <w:sz w:val="28"/>
                <w:szCs w:val="28"/>
              </w:rPr>
              <w:t>4</w:t>
            </w:r>
            <w:r w:rsidR="009D64B9" w:rsidRPr="00AB0CFC">
              <w:rPr>
                <w:sz w:val="28"/>
                <w:szCs w:val="28"/>
              </w:rPr>
              <w:t>.</w:t>
            </w:r>
          </w:p>
        </w:tc>
        <w:tc>
          <w:tcPr>
            <w:tcW w:w="2543" w:type="dxa"/>
            <w:shd w:val="clear" w:color="auto" w:fill="auto"/>
          </w:tcPr>
          <w:p w:rsidR="009D64B9" w:rsidRPr="00AB0CFC" w:rsidRDefault="009D64B9" w:rsidP="001F20CA">
            <w:pPr>
              <w:pStyle w:val="NormalWeb"/>
              <w:rPr>
                <w:sz w:val="28"/>
                <w:szCs w:val="28"/>
              </w:rPr>
            </w:pPr>
            <w:r w:rsidRPr="00AB0CFC">
              <w:rPr>
                <w:sz w:val="28"/>
                <w:szCs w:val="28"/>
              </w:rPr>
              <w:t>Cita informācija</w:t>
            </w:r>
          </w:p>
        </w:tc>
        <w:tc>
          <w:tcPr>
            <w:tcW w:w="6229" w:type="dxa"/>
            <w:shd w:val="clear" w:color="auto" w:fill="auto"/>
          </w:tcPr>
          <w:p w:rsidR="001032B0" w:rsidRDefault="007E0917" w:rsidP="00CE61F6">
            <w:pPr>
              <w:tabs>
                <w:tab w:val="left" w:pos="408"/>
              </w:tabs>
              <w:jc w:val="both"/>
              <w:rPr>
                <w:sz w:val="28"/>
                <w:szCs w:val="28"/>
              </w:rPr>
            </w:pPr>
            <w:r w:rsidRPr="00AB0CFC">
              <w:rPr>
                <w:sz w:val="28"/>
                <w:szCs w:val="28"/>
              </w:rPr>
              <w:t xml:space="preserve">Nolīguma projekts 2013.gada aprīlī sākotnējā atzinuma sniegšanai </w:t>
            </w:r>
            <w:r w:rsidR="001032B0">
              <w:rPr>
                <w:sz w:val="28"/>
                <w:szCs w:val="28"/>
              </w:rPr>
              <w:t xml:space="preserve">tika </w:t>
            </w:r>
            <w:r w:rsidRPr="00AB0CFC">
              <w:rPr>
                <w:sz w:val="28"/>
                <w:szCs w:val="28"/>
              </w:rPr>
              <w:t xml:space="preserve">nosūtīts  Ārlietu, Finanšu un Tieslietu ministrijām. </w:t>
            </w:r>
          </w:p>
          <w:p w:rsidR="001032B0" w:rsidRDefault="007E0917" w:rsidP="00CE61F6">
            <w:pPr>
              <w:tabs>
                <w:tab w:val="left" w:pos="408"/>
              </w:tabs>
              <w:jc w:val="both"/>
              <w:rPr>
                <w:sz w:val="28"/>
                <w:szCs w:val="28"/>
              </w:rPr>
            </w:pPr>
            <w:r w:rsidRPr="00AB0CFC">
              <w:rPr>
                <w:sz w:val="28"/>
                <w:szCs w:val="28"/>
              </w:rPr>
              <w:t>Ārlietu ministrija</w:t>
            </w:r>
            <w:r w:rsidR="00E95E0B">
              <w:rPr>
                <w:sz w:val="28"/>
                <w:szCs w:val="28"/>
              </w:rPr>
              <w:t>i</w:t>
            </w:r>
            <w:r w:rsidRPr="00AB0CFC">
              <w:rPr>
                <w:sz w:val="28"/>
                <w:szCs w:val="28"/>
              </w:rPr>
              <w:t xml:space="preserve"> </w:t>
            </w:r>
            <w:r w:rsidR="00E95E0B">
              <w:rPr>
                <w:sz w:val="28"/>
                <w:szCs w:val="28"/>
              </w:rPr>
              <w:t>nebija iebildumu un priekšlikumu par Nolīguma saturu.</w:t>
            </w:r>
            <w:r w:rsidRPr="00AB0CFC">
              <w:rPr>
                <w:sz w:val="28"/>
                <w:szCs w:val="28"/>
              </w:rPr>
              <w:t xml:space="preserve"> </w:t>
            </w:r>
          </w:p>
          <w:p w:rsidR="00EF4286" w:rsidRPr="00A54A5B" w:rsidRDefault="007E0917" w:rsidP="00CE61F6">
            <w:pPr>
              <w:tabs>
                <w:tab w:val="left" w:pos="408"/>
              </w:tabs>
              <w:jc w:val="both"/>
              <w:rPr>
                <w:sz w:val="28"/>
                <w:szCs w:val="28"/>
              </w:rPr>
            </w:pPr>
            <w:r w:rsidRPr="00AB0CFC">
              <w:rPr>
                <w:sz w:val="28"/>
                <w:szCs w:val="28"/>
              </w:rPr>
              <w:t>Finanšu ministr</w:t>
            </w:r>
            <w:r w:rsidR="00130A81">
              <w:rPr>
                <w:sz w:val="28"/>
                <w:szCs w:val="28"/>
              </w:rPr>
              <w:t>ija konceptuāli neiebil</w:t>
            </w:r>
            <w:r w:rsidR="00E63895">
              <w:rPr>
                <w:sz w:val="28"/>
                <w:szCs w:val="28"/>
              </w:rPr>
              <w:t>da</w:t>
            </w:r>
            <w:r w:rsidR="00130A81">
              <w:rPr>
                <w:sz w:val="28"/>
                <w:szCs w:val="28"/>
              </w:rPr>
              <w:t xml:space="preserve"> pret N</w:t>
            </w:r>
            <w:r w:rsidRPr="00AB0CFC">
              <w:rPr>
                <w:sz w:val="28"/>
                <w:szCs w:val="28"/>
              </w:rPr>
              <w:t>olīgum</w:t>
            </w:r>
            <w:r w:rsidR="00E63895">
              <w:rPr>
                <w:sz w:val="28"/>
                <w:szCs w:val="28"/>
              </w:rPr>
              <w:t>u</w:t>
            </w:r>
            <w:r w:rsidRPr="00AB0CFC">
              <w:rPr>
                <w:sz w:val="28"/>
                <w:szCs w:val="28"/>
              </w:rPr>
              <w:t>, ja tā īstenošana nerada pa</w:t>
            </w:r>
            <w:r w:rsidR="00130A81">
              <w:rPr>
                <w:sz w:val="28"/>
                <w:szCs w:val="28"/>
              </w:rPr>
              <w:t>pildu finansiālas saistības uz V</w:t>
            </w:r>
            <w:r w:rsidRPr="00AB0CFC">
              <w:rPr>
                <w:sz w:val="28"/>
                <w:szCs w:val="28"/>
              </w:rPr>
              <w:t>eselības ministrijas budžetu.</w:t>
            </w:r>
            <w:r w:rsidR="00E63895">
              <w:rPr>
                <w:sz w:val="28"/>
                <w:szCs w:val="28"/>
              </w:rPr>
              <w:t xml:space="preserve"> </w:t>
            </w:r>
            <w:r w:rsidR="00E63895" w:rsidRPr="003F77CB">
              <w:rPr>
                <w:sz w:val="28"/>
              </w:rPr>
              <w:t xml:space="preserve">Tā kā Nolīgums tiek slēgts ar mērķi apkarot nopietnus </w:t>
            </w:r>
            <w:r w:rsidR="00E63895" w:rsidRPr="003F77CB">
              <w:rPr>
                <w:sz w:val="28"/>
              </w:rPr>
              <w:lastRenderedPageBreak/>
              <w:t xml:space="preserve">pārrobežu veselības apdraudējumus atbilstīgi </w:t>
            </w:r>
            <w:r w:rsidR="00E63895" w:rsidRPr="003F77CB">
              <w:rPr>
                <w:i/>
                <w:sz w:val="28"/>
              </w:rPr>
              <w:t>Eiropas Parlamenta un Padomes 2013. gada 22. oktobra Lēmumam Nr. 1082/2013/ES par nopietniem pārrobežu veselības apdraudējumiem</w:t>
            </w:r>
            <w:r w:rsidR="00E63895" w:rsidRPr="003F77CB">
              <w:rPr>
                <w:sz w:val="28"/>
              </w:rPr>
              <w:t>, paredzamos izdevumus iepriekš plānot nav iespējams, jo nopietni pārrobežu veselības apdraudējumi ir iepriekš neprognozējamas ārkārtējas situācijas</w:t>
            </w:r>
            <w:r w:rsidR="00E63895">
              <w:rPr>
                <w:sz w:val="28"/>
              </w:rPr>
              <w:t xml:space="preserve"> un, ja tās radīsies</w:t>
            </w:r>
            <w:r w:rsidR="00A33259">
              <w:rPr>
                <w:sz w:val="28"/>
              </w:rPr>
              <w:t xml:space="preserve"> un būs nepieciešama papildu obligāta vakcinācija</w:t>
            </w:r>
            <w:r w:rsidR="00E63895">
              <w:rPr>
                <w:sz w:val="28"/>
              </w:rPr>
              <w:t>,</w:t>
            </w:r>
            <w:r w:rsidR="00A33259">
              <w:rPr>
                <w:sz w:val="28"/>
              </w:rPr>
              <w:t xml:space="preserve"> </w:t>
            </w:r>
            <w:r w:rsidR="00A33259">
              <w:rPr>
                <w:sz w:val="28"/>
                <w:szCs w:val="28"/>
                <w:lang w:eastAsia="en-US"/>
              </w:rPr>
              <w:t>kas pārsniegs</w:t>
            </w:r>
            <w:r w:rsidR="00A33259" w:rsidRPr="00AB0CFC">
              <w:rPr>
                <w:sz w:val="28"/>
                <w:szCs w:val="28"/>
                <w:lang w:eastAsia="en-US"/>
              </w:rPr>
              <w:t xml:space="preserve"> Veselības ministrijai iedalītos līdzekļu</w:t>
            </w:r>
            <w:r w:rsidR="000E618F">
              <w:rPr>
                <w:sz w:val="28"/>
                <w:szCs w:val="28"/>
                <w:lang w:eastAsia="en-US"/>
              </w:rPr>
              <w:t>s</w:t>
            </w:r>
            <w:bookmarkStart w:id="4" w:name="_GoBack"/>
            <w:bookmarkEnd w:id="4"/>
            <w:r w:rsidR="00A33259">
              <w:rPr>
                <w:sz w:val="28"/>
                <w:szCs w:val="28"/>
                <w:lang w:eastAsia="en-US"/>
              </w:rPr>
              <w:t>,</w:t>
            </w:r>
            <w:r w:rsidR="00E63895">
              <w:rPr>
                <w:sz w:val="28"/>
              </w:rPr>
              <w:t xml:space="preserve"> tad Veselības ministrija normatīvajos aktos noteiktajā kārtībā sagatavos un iesniegs izskatī</w:t>
            </w:r>
            <w:r w:rsidR="007C604F">
              <w:rPr>
                <w:sz w:val="28"/>
              </w:rPr>
              <w:t>šanai Ministru kabinetā</w:t>
            </w:r>
            <w:r w:rsidR="00E63895">
              <w:rPr>
                <w:sz w:val="28"/>
              </w:rPr>
              <w:t xml:space="preserve"> </w:t>
            </w:r>
            <w:r w:rsidR="009B44B1">
              <w:rPr>
                <w:sz w:val="28"/>
              </w:rPr>
              <w:t>priekšlikumu par papildu obligāto vakcināciju.</w:t>
            </w:r>
            <w:r w:rsidR="00A54A5B">
              <w:rPr>
                <w:sz w:val="28"/>
                <w:szCs w:val="28"/>
              </w:rPr>
              <w:t xml:space="preserve"> </w:t>
            </w:r>
            <w:r w:rsidR="00F214C8">
              <w:rPr>
                <w:sz w:val="28"/>
                <w:szCs w:val="28"/>
              </w:rPr>
              <w:t>Ņemot vērā, ka N</w:t>
            </w:r>
            <w:r w:rsidR="00A54A5B" w:rsidRPr="00A54A5B">
              <w:rPr>
                <w:sz w:val="28"/>
                <w:szCs w:val="28"/>
              </w:rPr>
              <w:t>olīguma projekts paredz saistību iestāšanās iespējamību, Veselības ministrija nepieciešamības gadījumā minētās saistības uzņemsies atbilstoši Likuma par budžetu un finanšu vadību 24.panta pirmajai daļai</w:t>
            </w:r>
            <w:r w:rsidR="00A54A5B">
              <w:rPr>
                <w:sz w:val="28"/>
                <w:szCs w:val="28"/>
              </w:rPr>
              <w:t xml:space="preserve">. </w:t>
            </w:r>
            <w:r w:rsidR="00A54A5B" w:rsidRPr="00A54A5B">
              <w:rPr>
                <w:sz w:val="28"/>
                <w:szCs w:val="28"/>
              </w:rPr>
              <w:t>Nolīguma projekta 38.pantā un 43.pantā minēto zaudējumu iestāšanās gadījumā tie tiks segti Veselības ministrijai piešķirto valsts budžeta līdzekļu ietvaros.</w:t>
            </w:r>
          </w:p>
          <w:p w:rsidR="00A5385E" w:rsidRPr="00AB0CFC" w:rsidRDefault="00A5385E" w:rsidP="00CE61F6">
            <w:pPr>
              <w:tabs>
                <w:tab w:val="left" w:pos="408"/>
              </w:tabs>
              <w:jc w:val="both"/>
              <w:rPr>
                <w:sz w:val="28"/>
                <w:szCs w:val="28"/>
              </w:rPr>
            </w:pPr>
            <w:r w:rsidRPr="00AB0CFC">
              <w:rPr>
                <w:sz w:val="28"/>
                <w:szCs w:val="28"/>
              </w:rPr>
              <w:t>Tieslietu</w:t>
            </w:r>
            <w:r w:rsidR="001032B0">
              <w:rPr>
                <w:sz w:val="28"/>
                <w:szCs w:val="28"/>
              </w:rPr>
              <w:t xml:space="preserve"> ministrija savā atzinumā lūdza</w:t>
            </w:r>
            <w:r w:rsidRPr="00AB0CFC">
              <w:rPr>
                <w:sz w:val="28"/>
                <w:szCs w:val="28"/>
              </w:rPr>
              <w:t xml:space="preserve"> papildu skaidrojumus:</w:t>
            </w:r>
          </w:p>
          <w:p w:rsidR="001032B0" w:rsidRDefault="00A5385E" w:rsidP="001032B0">
            <w:pPr>
              <w:tabs>
                <w:tab w:val="num" w:pos="1889"/>
              </w:tabs>
              <w:jc w:val="both"/>
              <w:rPr>
                <w:sz w:val="28"/>
                <w:szCs w:val="28"/>
              </w:rPr>
            </w:pPr>
            <w:r w:rsidRPr="00AB0CFC">
              <w:rPr>
                <w:sz w:val="28"/>
                <w:szCs w:val="28"/>
              </w:rPr>
              <w:t xml:space="preserve">1) par termina „medicīniskie pretpasākumi” saturisko tvērumu. </w:t>
            </w:r>
          </w:p>
          <w:p w:rsidR="00A5385E" w:rsidRPr="003A6EA7" w:rsidRDefault="00F91DA6" w:rsidP="001032B0">
            <w:pPr>
              <w:tabs>
                <w:tab w:val="num" w:pos="1889"/>
              </w:tabs>
              <w:jc w:val="both"/>
              <w:rPr>
                <w:iCs/>
                <w:sz w:val="28"/>
                <w:szCs w:val="28"/>
              </w:rPr>
            </w:pPr>
            <w:r w:rsidRPr="00F91DA6">
              <w:rPr>
                <w:iCs/>
                <w:sz w:val="28"/>
                <w:szCs w:val="28"/>
              </w:rPr>
              <w:t>Tā kā šādu iebildi tika izteikušas arī citas dalībvalstis, Eiropas Komisija Nolīguma 2.pantā pievienoja šī termina definīciju:</w:t>
            </w:r>
            <w:r w:rsidRPr="00F91DA6">
              <w:rPr>
                <w:iCs/>
                <w:sz w:val="28"/>
                <w:szCs w:val="28"/>
              </w:rPr>
              <w:br/>
            </w:r>
            <w:r w:rsidRPr="00F91DA6">
              <w:rPr>
                <w:iCs/>
                <w:noProof/>
                <w:sz w:val="28"/>
                <w:szCs w:val="28"/>
              </w:rPr>
              <w:t>„“medicīniskie pretpasākumi” ir visas zāles, medicīniskās ierīces un citas preces un pakalpojumi, kuru mērķis ir apkarot nopietnus pārrobežu veselības apdraudējumus, kā norādīts Lēmumā Nr. 1082/2013/ES.”</w:t>
            </w:r>
          </w:p>
          <w:p w:rsidR="001032B0" w:rsidRDefault="00A5385E" w:rsidP="00CE61F6">
            <w:pPr>
              <w:tabs>
                <w:tab w:val="left" w:pos="408"/>
              </w:tabs>
              <w:jc w:val="both"/>
              <w:rPr>
                <w:i/>
                <w:sz w:val="28"/>
                <w:szCs w:val="28"/>
              </w:rPr>
            </w:pPr>
            <w:r w:rsidRPr="00AB0CFC">
              <w:rPr>
                <w:sz w:val="28"/>
                <w:szCs w:val="28"/>
              </w:rPr>
              <w:t xml:space="preserve">2) par </w:t>
            </w:r>
            <w:r w:rsidR="00F214C8">
              <w:rPr>
                <w:sz w:val="28"/>
                <w:szCs w:val="28"/>
              </w:rPr>
              <w:t>no</w:t>
            </w:r>
            <w:r w:rsidRPr="00AB0CFC">
              <w:rPr>
                <w:sz w:val="28"/>
                <w:szCs w:val="28"/>
              </w:rPr>
              <w:t>līguma projektā paredzēto saistību īstenošanai nepieciešamajiem pasākumiem, tai skaitā nepieciešamajiem grozījumiem nacionālajos normatīvajos akt</w:t>
            </w:r>
            <w:r w:rsidR="001032B0">
              <w:rPr>
                <w:sz w:val="28"/>
                <w:szCs w:val="28"/>
              </w:rPr>
              <w:t>os, kā arī ietekmi uz Latvijas R</w:t>
            </w:r>
            <w:r w:rsidRPr="00AB0CFC">
              <w:rPr>
                <w:sz w:val="28"/>
                <w:szCs w:val="28"/>
              </w:rPr>
              <w:t>epublikas esošajām starptautiskajām saistībām</w:t>
            </w:r>
            <w:r w:rsidRPr="001032B0">
              <w:rPr>
                <w:i/>
                <w:sz w:val="28"/>
                <w:szCs w:val="28"/>
              </w:rPr>
              <w:t xml:space="preserve">. </w:t>
            </w:r>
          </w:p>
          <w:p w:rsidR="00A5385E" w:rsidRPr="003A6EA7" w:rsidRDefault="003A6EA7" w:rsidP="00CE61F6">
            <w:pPr>
              <w:tabs>
                <w:tab w:val="left" w:pos="408"/>
              </w:tabs>
              <w:ind w:firstLine="720"/>
              <w:jc w:val="both"/>
              <w:rPr>
                <w:iCs/>
                <w:sz w:val="28"/>
                <w:szCs w:val="28"/>
              </w:rPr>
            </w:pPr>
            <w:r>
              <w:rPr>
                <w:iCs/>
                <w:sz w:val="28"/>
                <w:szCs w:val="28"/>
              </w:rPr>
              <w:t>Tika sniegts skaidrojums, ka, l</w:t>
            </w:r>
            <w:r w:rsidR="00F91DA6" w:rsidRPr="00F91DA6">
              <w:rPr>
                <w:iCs/>
                <w:sz w:val="28"/>
                <w:szCs w:val="28"/>
              </w:rPr>
              <w:t xml:space="preserve">ai īstenotu līguma projektā paredzētās saistības, papildu pasākumi nav nepieciešami, un Nolīgums neietekmē </w:t>
            </w:r>
            <w:r>
              <w:rPr>
                <w:iCs/>
                <w:sz w:val="28"/>
                <w:szCs w:val="28"/>
              </w:rPr>
              <w:t>l</w:t>
            </w:r>
            <w:r w:rsidR="00F91DA6" w:rsidRPr="00F91DA6">
              <w:rPr>
                <w:iCs/>
                <w:sz w:val="28"/>
                <w:szCs w:val="28"/>
              </w:rPr>
              <w:t xml:space="preserve">īgumslēdzēju pušu tiesības veikt iepirkuma </w:t>
            </w:r>
            <w:r w:rsidR="00F91DA6" w:rsidRPr="00F91DA6">
              <w:rPr>
                <w:iCs/>
                <w:sz w:val="28"/>
                <w:szCs w:val="28"/>
              </w:rPr>
              <w:lastRenderedPageBreak/>
              <w:t>procedūras ārpus šā Nolīguma, ja vien tās neietekmē pušu saistību izpildi saskaņā ar šo Nolīgumu (1.panta 6.punkts).</w:t>
            </w:r>
          </w:p>
          <w:p w:rsidR="001032B0" w:rsidRDefault="007C2E39" w:rsidP="001032B0">
            <w:pPr>
              <w:tabs>
                <w:tab w:val="left" w:pos="408"/>
              </w:tabs>
              <w:jc w:val="both"/>
              <w:rPr>
                <w:sz w:val="28"/>
                <w:szCs w:val="28"/>
              </w:rPr>
            </w:pPr>
            <w:r>
              <w:rPr>
                <w:sz w:val="28"/>
                <w:szCs w:val="28"/>
              </w:rPr>
              <w:t xml:space="preserve">3) </w:t>
            </w:r>
            <w:r w:rsidR="002238C1" w:rsidRPr="00AB0CFC">
              <w:rPr>
                <w:sz w:val="28"/>
                <w:szCs w:val="28"/>
              </w:rPr>
              <w:t>lai apliecinātu piekrišanu starptautiskā līguma grozījumiem, ir jāievēro tās pašas nacionālās procedūras, saskaņā ar kurām Puses ir izteikušas piekrišanu grozāmā starptautiskā līguma saistošajam rakstu</w:t>
            </w:r>
            <w:r w:rsidR="001032B0">
              <w:rPr>
                <w:sz w:val="28"/>
                <w:szCs w:val="28"/>
              </w:rPr>
              <w:t xml:space="preserve">ram, </w:t>
            </w:r>
            <w:r>
              <w:rPr>
                <w:sz w:val="28"/>
                <w:szCs w:val="28"/>
              </w:rPr>
              <w:t>tādēļ</w:t>
            </w:r>
            <w:r w:rsidR="009A4362">
              <w:rPr>
                <w:sz w:val="28"/>
                <w:szCs w:val="28"/>
              </w:rPr>
              <w:t xml:space="preserve"> </w:t>
            </w:r>
            <w:r w:rsidR="001032B0">
              <w:rPr>
                <w:sz w:val="28"/>
                <w:szCs w:val="28"/>
              </w:rPr>
              <w:t>Tieslietu ministrija lūdza</w:t>
            </w:r>
            <w:r w:rsidR="002238C1" w:rsidRPr="00AB0CFC">
              <w:rPr>
                <w:sz w:val="28"/>
                <w:szCs w:val="28"/>
              </w:rPr>
              <w:t xml:space="preserve"> precizēt </w:t>
            </w:r>
            <w:r w:rsidR="00130A81">
              <w:rPr>
                <w:sz w:val="28"/>
                <w:szCs w:val="28"/>
              </w:rPr>
              <w:t>No</w:t>
            </w:r>
            <w:r w:rsidR="002238C1" w:rsidRPr="00AB0CFC">
              <w:rPr>
                <w:sz w:val="28"/>
                <w:szCs w:val="28"/>
              </w:rPr>
              <w:t xml:space="preserve">līguma projekta 45.pantu pēc analoģijas ar </w:t>
            </w:r>
            <w:r w:rsidR="00130A81">
              <w:rPr>
                <w:sz w:val="28"/>
                <w:szCs w:val="28"/>
              </w:rPr>
              <w:t>No</w:t>
            </w:r>
            <w:r w:rsidR="002238C1" w:rsidRPr="00AB0CFC">
              <w:rPr>
                <w:sz w:val="28"/>
                <w:szCs w:val="28"/>
              </w:rPr>
              <w:t xml:space="preserve">līguma projekta 50.panta 4.punktu, nosakot, ka grozījumi apstiprinātajā līguma projektā stājas spēkā pēc tam, kad līgumslēdzējas puses tos apstiprinājušas saskaņā ar savām nacionālajām procedūrām. </w:t>
            </w:r>
          </w:p>
          <w:p w:rsidR="000A5D04" w:rsidRPr="003A6EA7" w:rsidRDefault="00F91DA6" w:rsidP="002D038C">
            <w:pPr>
              <w:tabs>
                <w:tab w:val="left" w:pos="408"/>
              </w:tabs>
              <w:jc w:val="both"/>
              <w:rPr>
                <w:b/>
                <w:iCs/>
                <w:sz w:val="28"/>
                <w:szCs w:val="28"/>
              </w:rPr>
            </w:pPr>
            <w:r w:rsidRPr="00F91DA6">
              <w:rPr>
                <w:iCs/>
                <w:sz w:val="28"/>
                <w:szCs w:val="28"/>
              </w:rPr>
              <w:t xml:space="preserve">Tā kā šādu iebildi </w:t>
            </w:r>
            <w:r w:rsidR="003A6EA7">
              <w:rPr>
                <w:iCs/>
                <w:sz w:val="28"/>
                <w:szCs w:val="28"/>
              </w:rPr>
              <w:t xml:space="preserve">tika </w:t>
            </w:r>
            <w:r w:rsidRPr="00F91DA6">
              <w:rPr>
                <w:iCs/>
                <w:sz w:val="28"/>
                <w:szCs w:val="28"/>
              </w:rPr>
              <w:t>izteikušas arī citas dalībvalstis, Eiropas Komisija laboja Nolīguma 46. (bijušā 45.) panta redakciju, nosakot, ka „Grozījumi stājas spēkā un kļūst par šī Nolīguma neatņemamu sastāvdaļu saskaņā ar 51.panta (bijušais 50.pants) ceturto un piekto punktiem”.</w:t>
            </w:r>
          </w:p>
        </w:tc>
      </w:tr>
    </w:tbl>
    <w:p w:rsidR="000F41F1" w:rsidRDefault="000F41F1">
      <w:pPr>
        <w:rPr>
          <w:sz w:val="28"/>
          <w:szCs w:val="28"/>
        </w:rPr>
      </w:pPr>
    </w:p>
    <w:p w:rsidR="00892F80" w:rsidRPr="00AB0CFC" w:rsidRDefault="00892F80">
      <w:pPr>
        <w:rPr>
          <w:sz w:val="28"/>
          <w:szCs w:val="28"/>
        </w:rPr>
      </w:pPr>
    </w:p>
    <w:p w:rsidR="009C3E29" w:rsidRDefault="009C3E29" w:rsidP="00574FB0">
      <w:pPr>
        <w:rPr>
          <w:b/>
          <w:sz w:val="28"/>
          <w:szCs w:val="28"/>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97"/>
        <w:gridCol w:w="2713"/>
        <w:gridCol w:w="6325"/>
      </w:tblGrid>
      <w:tr w:rsidR="009C3E29" w:rsidRPr="00551A0F" w:rsidTr="00783DF2">
        <w:trPr>
          <w:jc w:val="center"/>
        </w:trPr>
        <w:tc>
          <w:tcPr>
            <w:tcW w:w="9535" w:type="dxa"/>
            <w:gridSpan w:val="3"/>
            <w:tcBorders>
              <w:top w:val="outset" w:sz="6" w:space="0" w:color="auto"/>
              <w:left w:val="outset" w:sz="6" w:space="0" w:color="auto"/>
              <w:bottom w:val="outset" w:sz="6" w:space="0" w:color="auto"/>
              <w:right w:val="outset" w:sz="6" w:space="0" w:color="auto"/>
            </w:tcBorders>
            <w:vAlign w:val="center"/>
          </w:tcPr>
          <w:p w:rsidR="009C3E29" w:rsidRPr="00551A0F" w:rsidRDefault="009C3E29" w:rsidP="00783DF2">
            <w:pPr>
              <w:jc w:val="center"/>
              <w:rPr>
                <w:b/>
                <w:sz w:val="28"/>
                <w:szCs w:val="28"/>
              </w:rPr>
            </w:pPr>
            <w:r w:rsidRPr="00551A0F">
              <w:rPr>
                <w:b/>
                <w:sz w:val="28"/>
                <w:szCs w:val="28"/>
              </w:rPr>
              <w:t>V. Tiesību akta projekta atbilstība Latvijas Republikas starptautiskajām saistībām</w:t>
            </w:r>
          </w:p>
        </w:tc>
      </w:tr>
      <w:tr w:rsidR="009C3E29" w:rsidRPr="00551A0F" w:rsidTr="00783DF2">
        <w:trPr>
          <w:jc w:val="center"/>
        </w:trPr>
        <w:tc>
          <w:tcPr>
            <w:tcW w:w="497"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1.</w:t>
            </w:r>
          </w:p>
        </w:tc>
        <w:tc>
          <w:tcPr>
            <w:tcW w:w="2713"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Saistības pret Eiropas Savienību</w:t>
            </w:r>
          </w:p>
        </w:tc>
        <w:tc>
          <w:tcPr>
            <w:tcW w:w="6325" w:type="dxa"/>
            <w:tcBorders>
              <w:top w:val="outset" w:sz="6" w:space="0" w:color="auto"/>
              <w:left w:val="outset" w:sz="6" w:space="0" w:color="auto"/>
              <w:bottom w:val="outset" w:sz="6" w:space="0" w:color="auto"/>
              <w:right w:val="outset" w:sz="6" w:space="0" w:color="auto"/>
            </w:tcBorders>
          </w:tcPr>
          <w:p w:rsidR="009C3E29" w:rsidRPr="00551A0F" w:rsidRDefault="00C7175F" w:rsidP="00C7175F">
            <w:pPr>
              <w:ind w:left="57"/>
              <w:jc w:val="both"/>
              <w:rPr>
                <w:sz w:val="28"/>
                <w:szCs w:val="28"/>
              </w:rPr>
            </w:pPr>
            <w:r>
              <w:rPr>
                <w:sz w:val="28"/>
              </w:rPr>
              <w:t>Šāda nolīguma slēgšanu</w:t>
            </w:r>
            <w:r w:rsidR="008D4BDF">
              <w:rPr>
                <w:sz w:val="28"/>
              </w:rPr>
              <w:t xml:space="preserve"> paredz </w:t>
            </w:r>
            <w:r w:rsidR="008D4BDF" w:rsidRPr="00AB0CFC">
              <w:rPr>
                <w:i/>
                <w:sz w:val="28"/>
                <w:szCs w:val="28"/>
              </w:rPr>
              <w:t xml:space="preserve">Eiropas Parlamenta un Padomes </w:t>
            </w:r>
            <w:r w:rsidR="008D4BDF">
              <w:rPr>
                <w:i/>
                <w:sz w:val="28"/>
                <w:szCs w:val="28"/>
              </w:rPr>
              <w:t>2013.gada 22.oktobra l</w:t>
            </w:r>
            <w:r w:rsidR="008D4BDF" w:rsidRPr="00AB0CFC">
              <w:rPr>
                <w:i/>
                <w:sz w:val="28"/>
                <w:szCs w:val="28"/>
              </w:rPr>
              <w:t>ēmuma Nr.1082/2013/ES par nopietniem pārrobežu veselības</w:t>
            </w:r>
            <w:r w:rsidR="008D4BDF">
              <w:rPr>
                <w:i/>
                <w:sz w:val="28"/>
                <w:szCs w:val="28"/>
              </w:rPr>
              <w:t xml:space="preserve"> apdraudējumiem un ar ko atceļ l</w:t>
            </w:r>
            <w:r w:rsidR="008D4BDF" w:rsidRPr="00AB0CFC">
              <w:rPr>
                <w:i/>
                <w:sz w:val="28"/>
                <w:szCs w:val="28"/>
              </w:rPr>
              <w:t>ēmumu Nr.2119/98/EK</w:t>
            </w:r>
            <w:r w:rsidR="008D4BDF" w:rsidRPr="00AB0CFC">
              <w:rPr>
                <w:sz w:val="28"/>
                <w:szCs w:val="28"/>
              </w:rPr>
              <w:t xml:space="preserve"> 5.pant</w:t>
            </w:r>
            <w:r w:rsidR="008D4BDF">
              <w:rPr>
                <w:sz w:val="28"/>
                <w:szCs w:val="28"/>
              </w:rPr>
              <w:t>s.</w:t>
            </w:r>
          </w:p>
        </w:tc>
      </w:tr>
      <w:tr w:rsidR="009C3E29" w:rsidRPr="00551A0F" w:rsidTr="00783DF2">
        <w:trPr>
          <w:jc w:val="center"/>
        </w:trPr>
        <w:tc>
          <w:tcPr>
            <w:tcW w:w="497"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2.</w:t>
            </w:r>
          </w:p>
        </w:tc>
        <w:tc>
          <w:tcPr>
            <w:tcW w:w="2713"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Citas starptautiskās saistības</w:t>
            </w:r>
          </w:p>
        </w:tc>
        <w:tc>
          <w:tcPr>
            <w:tcW w:w="6325" w:type="dxa"/>
            <w:tcBorders>
              <w:top w:val="outset" w:sz="6" w:space="0" w:color="auto"/>
              <w:left w:val="outset" w:sz="6" w:space="0" w:color="auto"/>
              <w:bottom w:val="outset" w:sz="6" w:space="0" w:color="auto"/>
              <w:right w:val="outset" w:sz="6" w:space="0" w:color="auto"/>
            </w:tcBorders>
          </w:tcPr>
          <w:p w:rsidR="009C3E29" w:rsidRPr="00551A0F" w:rsidRDefault="009C3E29" w:rsidP="00EE5887">
            <w:pPr>
              <w:ind w:left="57"/>
              <w:jc w:val="both"/>
              <w:rPr>
                <w:sz w:val="28"/>
                <w:szCs w:val="28"/>
              </w:rPr>
            </w:pPr>
            <w:r>
              <w:rPr>
                <w:sz w:val="28"/>
              </w:rPr>
              <w:t>Projekts neskar</w:t>
            </w:r>
            <w:r w:rsidR="00EE5887">
              <w:rPr>
                <w:sz w:val="28"/>
              </w:rPr>
              <w:t xml:space="preserve"> Latvijas Republikas starptautiskās saistības, tostarp </w:t>
            </w:r>
            <w:r w:rsidR="00EE5887" w:rsidRPr="00EE5887">
              <w:rPr>
                <w:i/>
                <w:sz w:val="28"/>
                <w:szCs w:val="28"/>
              </w:rPr>
              <w:t>Latvijas Republikas Veselības ministrijas, Igaunijas Republikas Sociālo lietu ministrijas un Lietuvas Republikas Veselības ministrijas partnerības līgumu par vienotiem zāļu un medicīnas ierīču iepirkumiem un centralizēti iepērkamo zāļu un medicīnas ierīču aizdošanu</w:t>
            </w:r>
            <w:r w:rsidR="00EE5887">
              <w:rPr>
                <w:i/>
                <w:sz w:val="28"/>
                <w:szCs w:val="28"/>
              </w:rPr>
              <w:t>.</w:t>
            </w:r>
          </w:p>
        </w:tc>
      </w:tr>
      <w:tr w:rsidR="009C3E29" w:rsidRPr="00551A0F" w:rsidTr="00783DF2">
        <w:trPr>
          <w:jc w:val="center"/>
        </w:trPr>
        <w:tc>
          <w:tcPr>
            <w:tcW w:w="497"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3.</w:t>
            </w:r>
          </w:p>
        </w:tc>
        <w:tc>
          <w:tcPr>
            <w:tcW w:w="2713"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rPr>
                <w:sz w:val="28"/>
                <w:szCs w:val="28"/>
              </w:rPr>
            </w:pPr>
            <w:r w:rsidRPr="00551A0F">
              <w:rPr>
                <w:sz w:val="28"/>
                <w:szCs w:val="28"/>
              </w:rPr>
              <w:t>Cita informācija</w:t>
            </w:r>
          </w:p>
        </w:tc>
        <w:tc>
          <w:tcPr>
            <w:tcW w:w="6325" w:type="dxa"/>
            <w:tcBorders>
              <w:top w:val="outset" w:sz="6" w:space="0" w:color="auto"/>
              <w:left w:val="outset" w:sz="6" w:space="0" w:color="auto"/>
              <w:bottom w:val="outset" w:sz="6" w:space="0" w:color="auto"/>
              <w:right w:val="outset" w:sz="6" w:space="0" w:color="auto"/>
            </w:tcBorders>
          </w:tcPr>
          <w:p w:rsidR="009C3E29" w:rsidRPr="00551A0F" w:rsidRDefault="009C3E29" w:rsidP="00783DF2">
            <w:pPr>
              <w:ind w:left="57"/>
              <w:jc w:val="both"/>
              <w:rPr>
                <w:sz w:val="28"/>
                <w:szCs w:val="28"/>
              </w:rPr>
            </w:pPr>
            <w:r>
              <w:rPr>
                <w:iCs/>
                <w:sz w:val="28"/>
                <w:szCs w:val="28"/>
              </w:rPr>
              <w:t>Nav</w:t>
            </w:r>
          </w:p>
        </w:tc>
      </w:tr>
    </w:tbl>
    <w:p w:rsidR="009C3E29" w:rsidRDefault="009C3E29" w:rsidP="00574FB0">
      <w:pPr>
        <w:rPr>
          <w:b/>
          <w:sz w:val="28"/>
          <w:szCs w:val="28"/>
        </w:rPr>
      </w:pPr>
    </w:p>
    <w:p w:rsidR="005F7206" w:rsidRDefault="005F7206" w:rsidP="00574FB0">
      <w:pPr>
        <w:rPr>
          <w:b/>
          <w:sz w:val="28"/>
          <w:szCs w:val="28"/>
        </w:rPr>
      </w:pPr>
    </w:p>
    <w:p w:rsidR="00B95FD0" w:rsidRPr="00AB0CFC" w:rsidRDefault="00B95FD0" w:rsidP="00574FB0">
      <w:pPr>
        <w:rPr>
          <w:b/>
          <w:sz w:val="28"/>
          <w:szCs w:val="28"/>
        </w:rPr>
      </w:pPr>
    </w:p>
    <w:p w:rsidR="000F41F1" w:rsidRPr="00AB0CFC" w:rsidRDefault="000F41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880"/>
        <w:gridCol w:w="5939"/>
      </w:tblGrid>
      <w:tr w:rsidR="001F20CA" w:rsidRPr="00AB0CFC" w:rsidTr="001609FF">
        <w:tc>
          <w:tcPr>
            <w:tcW w:w="9287" w:type="dxa"/>
            <w:gridSpan w:val="3"/>
            <w:shd w:val="clear" w:color="auto" w:fill="auto"/>
          </w:tcPr>
          <w:p w:rsidR="001F20CA" w:rsidRPr="00AB0CFC" w:rsidRDefault="001F20CA" w:rsidP="00A83BDB">
            <w:pPr>
              <w:jc w:val="center"/>
              <w:rPr>
                <w:sz w:val="28"/>
                <w:szCs w:val="28"/>
              </w:rPr>
            </w:pPr>
            <w:r w:rsidRPr="00AB0CFC">
              <w:rPr>
                <w:b/>
                <w:bCs/>
                <w:sz w:val="28"/>
                <w:szCs w:val="28"/>
              </w:rPr>
              <w:lastRenderedPageBreak/>
              <w:t>VII. Tiesību akta projekta izpildes nodrošināšana un tās ietekme uz institūcijām</w:t>
            </w:r>
          </w:p>
        </w:tc>
      </w:tr>
      <w:tr w:rsidR="001F20CA" w:rsidRPr="00AB0CFC" w:rsidTr="001609FF">
        <w:tc>
          <w:tcPr>
            <w:tcW w:w="468" w:type="dxa"/>
            <w:shd w:val="clear" w:color="auto" w:fill="auto"/>
          </w:tcPr>
          <w:p w:rsidR="001F20CA" w:rsidRPr="00AB0CFC" w:rsidRDefault="001F20CA" w:rsidP="001F20CA">
            <w:pPr>
              <w:pStyle w:val="NormalWeb"/>
              <w:rPr>
                <w:sz w:val="28"/>
                <w:szCs w:val="28"/>
              </w:rPr>
            </w:pPr>
            <w:r w:rsidRPr="00AB0CFC">
              <w:rPr>
                <w:sz w:val="28"/>
                <w:szCs w:val="28"/>
              </w:rPr>
              <w:t>1.</w:t>
            </w:r>
          </w:p>
        </w:tc>
        <w:tc>
          <w:tcPr>
            <w:tcW w:w="2880" w:type="dxa"/>
            <w:shd w:val="clear" w:color="auto" w:fill="auto"/>
          </w:tcPr>
          <w:p w:rsidR="001F20CA" w:rsidRPr="00AB0CFC" w:rsidRDefault="001F20CA" w:rsidP="001F20CA">
            <w:pPr>
              <w:pStyle w:val="NormalWeb"/>
              <w:rPr>
                <w:sz w:val="28"/>
                <w:szCs w:val="28"/>
              </w:rPr>
            </w:pPr>
            <w:r w:rsidRPr="00AB0CFC">
              <w:rPr>
                <w:sz w:val="28"/>
                <w:szCs w:val="28"/>
              </w:rPr>
              <w:t>Projekta izpildē iesaistītās institūcijas</w:t>
            </w:r>
          </w:p>
        </w:tc>
        <w:tc>
          <w:tcPr>
            <w:tcW w:w="5939" w:type="dxa"/>
            <w:shd w:val="clear" w:color="auto" w:fill="auto"/>
          </w:tcPr>
          <w:p w:rsidR="001F20CA" w:rsidRPr="00AB0CFC" w:rsidRDefault="009C3E29" w:rsidP="00A83BDB">
            <w:pPr>
              <w:pStyle w:val="NormalWeb"/>
              <w:jc w:val="both"/>
              <w:rPr>
                <w:sz w:val="28"/>
                <w:szCs w:val="28"/>
              </w:rPr>
            </w:pPr>
            <w:r>
              <w:rPr>
                <w:sz w:val="28"/>
                <w:szCs w:val="28"/>
              </w:rPr>
              <w:t>Veselības ministrija</w:t>
            </w:r>
          </w:p>
        </w:tc>
      </w:tr>
      <w:tr w:rsidR="001F20CA" w:rsidRPr="00AB0CFC" w:rsidTr="001609FF">
        <w:tc>
          <w:tcPr>
            <w:tcW w:w="468" w:type="dxa"/>
            <w:shd w:val="clear" w:color="auto" w:fill="auto"/>
          </w:tcPr>
          <w:p w:rsidR="001F20CA" w:rsidRPr="00AB0CFC" w:rsidRDefault="001F20CA" w:rsidP="001F20CA">
            <w:pPr>
              <w:pStyle w:val="NormalWeb"/>
              <w:rPr>
                <w:sz w:val="28"/>
                <w:szCs w:val="28"/>
              </w:rPr>
            </w:pPr>
            <w:r w:rsidRPr="00AB0CFC">
              <w:rPr>
                <w:sz w:val="28"/>
                <w:szCs w:val="28"/>
              </w:rPr>
              <w:t>2.</w:t>
            </w:r>
          </w:p>
        </w:tc>
        <w:tc>
          <w:tcPr>
            <w:tcW w:w="2880" w:type="dxa"/>
            <w:shd w:val="clear" w:color="auto" w:fill="auto"/>
          </w:tcPr>
          <w:p w:rsidR="001F20CA" w:rsidRPr="00AB0CFC" w:rsidRDefault="001F20CA" w:rsidP="001609FF">
            <w:pPr>
              <w:rPr>
                <w:sz w:val="28"/>
                <w:szCs w:val="28"/>
              </w:rPr>
            </w:pPr>
            <w:r w:rsidRPr="00AB0CFC">
              <w:rPr>
                <w:sz w:val="28"/>
                <w:szCs w:val="28"/>
              </w:rPr>
              <w:t>Projekta izpildes ietekme uz pārvaldes funkcijām</w:t>
            </w:r>
            <w:r w:rsidR="00BA09FD" w:rsidRPr="00AB0CFC">
              <w:rPr>
                <w:sz w:val="28"/>
                <w:szCs w:val="28"/>
              </w:rPr>
              <w:t xml:space="preserve"> un institucionālo struktūru. Jaunu institūciju izveide, esošu institūciju likvidācija vai reorganizācija, to ietekme uz institūcijas cilvēkresursiem</w:t>
            </w:r>
          </w:p>
        </w:tc>
        <w:tc>
          <w:tcPr>
            <w:tcW w:w="5939" w:type="dxa"/>
            <w:shd w:val="clear" w:color="auto" w:fill="auto"/>
          </w:tcPr>
          <w:p w:rsidR="001F20CA" w:rsidRPr="00AB0CFC" w:rsidRDefault="00EE5887" w:rsidP="001F20CA">
            <w:pPr>
              <w:pStyle w:val="NormalWeb"/>
              <w:rPr>
                <w:sz w:val="28"/>
                <w:szCs w:val="28"/>
              </w:rPr>
            </w:pPr>
            <w:r>
              <w:rPr>
                <w:sz w:val="28"/>
                <w:szCs w:val="28"/>
              </w:rPr>
              <w:t>Nav</w:t>
            </w:r>
          </w:p>
        </w:tc>
      </w:tr>
      <w:tr w:rsidR="001F20CA" w:rsidRPr="00AB0CFC" w:rsidTr="001609FF">
        <w:tc>
          <w:tcPr>
            <w:tcW w:w="468" w:type="dxa"/>
            <w:shd w:val="clear" w:color="auto" w:fill="auto"/>
          </w:tcPr>
          <w:p w:rsidR="001F20CA" w:rsidRPr="00AB0CFC" w:rsidRDefault="00BA09FD" w:rsidP="001F20CA">
            <w:pPr>
              <w:pStyle w:val="NormalWeb"/>
              <w:rPr>
                <w:sz w:val="28"/>
                <w:szCs w:val="28"/>
              </w:rPr>
            </w:pPr>
            <w:r w:rsidRPr="00AB0CFC">
              <w:rPr>
                <w:sz w:val="28"/>
                <w:szCs w:val="28"/>
              </w:rPr>
              <w:t>3</w:t>
            </w:r>
            <w:r w:rsidR="001F20CA" w:rsidRPr="00AB0CFC">
              <w:rPr>
                <w:sz w:val="28"/>
                <w:szCs w:val="28"/>
              </w:rPr>
              <w:t>.</w:t>
            </w:r>
          </w:p>
        </w:tc>
        <w:tc>
          <w:tcPr>
            <w:tcW w:w="2880" w:type="dxa"/>
            <w:shd w:val="clear" w:color="auto" w:fill="auto"/>
          </w:tcPr>
          <w:p w:rsidR="001F20CA" w:rsidRPr="00AB0CFC" w:rsidRDefault="001F20CA" w:rsidP="00A83BDB">
            <w:pPr>
              <w:pStyle w:val="NormalWeb"/>
              <w:spacing w:before="0" w:beforeAutospacing="0" w:after="0" w:afterAutospacing="0"/>
              <w:rPr>
                <w:sz w:val="28"/>
                <w:szCs w:val="28"/>
              </w:rPr>
            </w:pPr>
            <w:r w:rsidRPr="00AB0CFC">
              <w:rPr>
                <w:sz w:val="28"/>
                <w:szCs w:val="28"/>
              </w:rPr>
              <w:t>Cita informācija</w:t>
            </w:r>
          </w:p>
        </w:tc>
        <w:tc>
          <w:tcPr>
            <w:tcW w:w="5939" w:type="dxa"/>
            <w:shd w:val="clear" w:color="auto" w:fill="auto"/>
          </w:tcPr>
          <w:p w:rsidR="001F20CA" w:rsidRPr="00AB0CFC" w:rsidRDefault="00FA2831" w:rsidP="001F20CA">
            <w:pPr>
              <w:pStyle w:val="NormalWeb"/>
              <w:rPr>
                <w:sz w:val="28"/>
                <w:szCs w:val="28"/>
              </w:rPr>
            </w:pPr>
            <w:r w:rsidRPr="00AB0CFC">
              <w:rPr>
                <w:sz w:val="28"/>
                <w:szCs w:val="28"/>
              </w:rPr>
              <w:t>Nav</w:t>
            </w:r>
          </w:p>
        </w:tc>
      </w:tr>
    </w:tbl>
    <w:p w:rsidR="001F20CA" w:rsidRPr="00AB0CFC" w:rsidRDefault="001F20CA">
      <w:pPr>
        <w:rPr>
          <w:sz w:val="28"/>
          <w:szCs w:val="28"/>
        </w:rPr>
      </w:pPr>
    </w:p>
    <w:p w:rsidR="00677AFC" w:rsidRDefault="00677AFC" w:rsidP="009C3E29">
      <w:pPr>
        <w:rPr>
          <w:sz w:val="28"/>
          <w:szCs w:val="28"/>
        </w:rPr>
      </w:pPr>
    </w:p>
    <w:p w:rsidR="00677AFC" w:rsidRDefault="00677AFC" w:rsidP="009C3E29">
      <w:pPr>
        <w:rPr>
          <w:sz w:val="28"/>
          <w:szCs w:val="28"/>
        </w:rPr>
      </w:pPr>
    </w:p>
    <w:p w:rsidR="009C3E29" w:rsidRPr="009C3E29" w:rsidRDefault="009C3E29" w:rsidP="009C3E29">
      <w:pPr>
        <w:rPr>
          <w:sz w:val="28"/>
          <w:szCs w:val="28"/>
        </w:rPr>
      </w:pPr>
      <w:r w:rsidRPr="009C3E29">
        <w:rPr>
          <w:sz w:val="28"/>
          <w:szCs w:val="28"/>
        </w:rPr>
        <w:t xml:space="preserve">Anotācijas II,III, </w:t>
      </w:r>
      <w:r w:rsidRPr="009C3E29">
        <w:rPr>
          <w:bCs/>
          <w:sz w:val="28"/>
          <w:szCs w:val="28"/>
        </w:rPr>
        <w:t>IV</w:t>
      </w:r>
      <w:r w:rsidRPr="009C3E29">
        <w:rPr>
          <w:sz w:val="28"/>
          <w:szCs w:val="28"/>
        </w:rPr>
        <w:t xml:space="preserve"> un VI sadaļa – projekts šo jomu neskar.</w:t>
      </w:r>
    </w:p>
    <w:p w:rsidR="009C3E29" w:rsidRDefault="009C3E29" w:rsidP="002615B9">
      <w:pPr>
        <w:rPr>
          <w:sz w:val="28"/>
          <w:szCs w:val="28"/>
        </w:rPr>
      </w:pPr>
    </w:p>
    <w:p w:rsidR="009C3E29" w:rsidRDefault="009C3E29" w:rsidP="002615B9">
      <w:pPr>
        <w:rPr>
          <w:sz w:val="28"/>
          <w:szCs w:val="28"/>
        </w:rPr>
      </w:pPr>
    </w:p>
    <w:p w:rsidR="009C3E29" w:rsidRDefault="009C3E29" w:rsidP="002615B9">
      <w:pPr>
        <w:rPr>
          <w:sz w:val="28"/>
          <w:szCs w:val="28"/>
        </w:rPr>
      </w:pPr>
    </w:p>
    <w:p w:rsidR="00BC7396" w:rsidRDefault="008B01D4" w:rsidP="002615B9">
      <w:pPr>
        <w:rPr>
          <w:sz w:val="28"/>
          <w:szCs w:val="28"/>
        </w:rPr>
      </w:pPr>
      <w:r>
        <w:rPr>
          <w:sz w:val="28"/>
          <w:szCs w:val="28"/>
        </w:rPr>
        <w:t>Veselības ministra</w:t>
      </w:r>
      <w:r w:rsidR="00BC7396">
        <w:rPr>
          <w:sz w:val="28"/>
          <w:szCs w:val="28"/>
        </w:rPr>
        <w:t xml:space="preserve"> vietā</w:t>
      </w:r>
    </w:p>
    <w:p w:rsidR="002615B9" w:rsidRPr="00AB0CFC" w:rsidRDefault="00BC7396" w:rsidP="002615B9">
      <w:pPr>
        <w:rPr>
          <w:sz w:val="28"/>
          <w:szCs w:val="28"/>
        </w:rPr>
      </w:pPr>
      <w:r>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r w:rsidR="002615B9" w:rsidRPr="00AB0CFC">
        <w:rPr>
          <w:sz w:val="28"/>
          <w:szCs w:val="28"/>
        </w:rPr>
        <w:tab/>
      </w:r>
      <w:r w:rsidR="002615B9" w:rsidRPr="00AB0CFC">
        <w:rPr>
          <w:sz w:val="28"/>
          <w:szCs w:val="28"/>
        </w:rPr>
        <w:tab/>
      </w:r>
      <w:r w:rsidR="002615B9" w:rsidRPr="00AB0CFC">
        <w:rPr>
          <w:sz w:val="28"/>
          <w:szCs w:val="28"/>
        </w:rPr>
        <w:tab/>
      </w:r>
      <w:r w:rsidR="002615B9" w:rsidRPr="00AB0CFC">
        <w:rPr>
          <w:sz w:val="28"/>
          <w:szCs w:val="28"/>
        </w:rPr>
        <w:tab/>
      </w:r>
      <w:r w:rsidR="002615B9" w:rsidRPr="00AB0CFC">
        <w:rPr>
          <w:sz w:val="28"/>
          <w:szCs w:val="28"/>
        </w:rPr>
        <w:tab/>
      </w:r>
    </w:p>
    <w:p w:rsidR="00677AFC" w:rsidRDefault="00677AFC" w:rsidP="001910F3">
      <w:pPr>
        <w:jc w:val="both"/>
      </w:pPr>
    </w:p>
    <w:p w:rsidR="00677AFC" w:rsidRDefault="00677AFC" w:rsidP="001910F3">
      <w:pPr>
        <w:jc w:val="both"/>
      </w:pPr>
    </w:p>
    <w:p w:rsidR="00677AFC" w:rsidRDefault="00677AFC" w:rsidP="001910F3">
      <w:pPr>
        <w:jc w:val="both"/>
      </w:pPr>
    </w:p>
    <w:p w:rsidR="00677AFC" w:rsidRDefault="00677AFC" w:rsidP="001910F3">
      <w:pPr>
        <w:jc w:val="both"/>
      </w:pPr>
    </w:p>
    <w:p w:rsidR="00677AFC" w:rsidRDefault="00677AFC" w:rsidP="001910F3">
      <w:pPr>
        <w:jc w:val="both"/>
      </w:pPr>
    </w:p>
    <w:p w:rsidR="00677AFC" w:rsidRDefault="00677AFC" w:rsidP="001910F3">
      <w:pPr>
        <w:jc w:val="both"/>
      </w:pPr>
    </w:p>
    <w:p w:rsidR="00677AFC" w:rsidRDefault="00677AFC" w:rsidP="001910F3">
      <w:pPr>
        <w:jc w:val="both"/>
      </w:pPr>
    </w:p>
    <w:p w:rsidR="009C3E29" w:rsidRDefault="009C3E29" w:rsidP="001910F3">
      <w:pPr>
        <w:jc w:val="both"/>
      </w:pPr>
    </w:p>
    <w:p w:rsidR="00BC7396" w:rsidRDefault="00BC7396" w:rsidP="001910F3">
      <w:pPr>
        <w:jc w:val="both"/>
      </w:pPr>
    </w:p>
    <w:p w:rsidR="001910F3" w:rsidRPr="009C3E29" w:rsidRDefault="008B01D4" w:rsidP="001910F3">
      <w:pPr>
        <w:jc w:val="both"/>
      </w:pPr>
      <w:r>
        <w:t>05</w:t>
      </w:r>
      <w:r w:rsidR="00294883" w:rsidRPr="009C3E29">
        <w:t>.</w:t>
      </w:r>
      <w:r w:rsidR="009A4362">
        <w:t>06</w:t>
      </w:r>
      <w:r w:rsidR="00294883" w:rsidRPr="009C3E29">
        <w:t>.2014</w:t>
      </w:r>
      <w:r w:rsidR="009A4362">
        <w:t xml:space="preserve"> </w:t>
      </w:r>
      <w:r w:rsidR="00294883" w:rsidRPr="009C3E29">
        <w:t xml:space="preserve"> </w:t>
      </w:r>
      <w:r w:rsidR="00CA7257">
        <w:t>14</w:t>
      </w:r>
      <w:r w:rsidR="00677AFC">
        <w:t>:</w:t>
      </w:r>
      <w:r w:rsidR="00EE54C6">
        <w:t>28</w:t>
      </w:r>
    </w:p>
    <w:p w:rsidR="001910F3" w:rsidRPr="009C3E29" w:rsidRDefault="008B01D4" w:rsidP="001910F3">
      <w:pPr>
        <w:jc w:val="both"/>
      </w:pPr>
      <w:r>
        <w:t>949</w:t>
      </w:r>
    </w:p>
    <w:p w:rsidR="00A72C5A" w:rsidRPr="009C3E29" w:rsidRDefault="009C3E29">
      <w:pPr>
        <w:rPr>
          <w:lang w:eastAsia="en-US"/>
        </w:rPr>
      </w:pPr>
      <w:r w:rsidRPr="009C3E29">
        <w:rPr>
          <w:lang w:eastAsia="en-US"/>
        </w:rPr>
        <w:t>L.Pauliņš</w:t>
      </w:r>
    </w:p>
    <w:p w:rsidR="001F20CA" w:rsidRPr="009C3E29" w:rsidRDefault="006604A2">
      <w:r w:rsidRPr="009C3E29">
        <w:rPr>
          <w:lang w:eastAsia="en-US"/>
        </w:rPr>
        <w:t>67</w:t>
      </w:r>
      <w:r w:rsidR="009C3E29" w:rsidRPr="009C3E29">
        <w:rPr>
          <w:lang w:eastAsia="en-US"/>
        </w:rPr>
        <w:t>876024</w:t>
      </w:r>
      <w:r w:rsidRPr="009C3E29">
        <w:rPr>
          <w:lang w:eastAsia="en-US"/>
        </w:rPr>
        <w:t xml:space="preserve">, </w:t>
      </w:r>
      <w:r w:rsidR="009C3E29" w:rsidRPr="009C3E29">
        <w:rPr>
          <w:lang w:eastAsia="en-US"/>
        </w:rPr>
        <w:t>ludis.paulins@vm.gov.lv</w:t>
      </w:r>
    </w:p>
    <w:sectPr w:rsidR="001F20CA" w:rsidRPr="009C3E29" w:rsidSect="00EE54C6">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96D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A1" w:rsidRDefault="00CC35A1">
      <w:r>
        <w:separator/>
      </w:r>
    </w:p>
  </w:endnote>
  <w:endnote w:type="continuationSeparator" w:id="0">
    <w:p w:rsidR="00CC35A1" w:rsidRDefault="00CC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0B" w:rsidRPr="008B01D4" w:rsidRDefault="00E95E0B" w:rsidP="00483A07">
    <w:pPr>
      <w:pStyle w:val="Heading4"/>
      <w:jc w:val="both"/>
      <w:rPr>
        <w:sz w:val="20"/>
        <w:szCs w:val="20"/>
      </w:rPr>
    </w:pPr>
    <w:r w:rsidRPr="008B01D4">
      <w:rPr>
        <w:b w:val="0"/>
        <w:sz w:val="20"/>
        <w:szCs w:val="20"/>
      </w:rPr>
      <w:t>VMAnot_</w:t>
    </w:r>
    <w:r w:rsidR="0001720D">
      <w:rPr>
        <w:b w:val="0"/>
        <w:sz w:val="20"/>
        <w:szCs w:val="20"/>
      </w:rPr>
      <w:t>05</w:t>
    </w:r>
    <w:r w:rsidR="009A4362" w:rsidRPr="008B01D4">
      <w:rPr>
        <w:b w:val="0"/>
        <w:sz w:val="20"/>
        <w:szCs w:val="20"/>
      </w:rPr>
      <w:t>06</w:t>
    </w:r>
    <w:r w:rsidRPr="008B01D4">
      <w:rPr>
        <w:b w:val="0"/>
        <w:sz w:val="20"/>
        <w:szCs w:val="20"/>
      </w:rPr>
      <w:t>14_kopiepirk; Ministru kabineta noteikumu projekta „Par medicīnisko pretlīdzekļu kopīgā iepirkuma nolīgumu” sākotnējās ietekmes novērtējuma ziņojums (anotācija)</w:t>
    </w:r>
  </w:p>
  <w:p w:rsidR="00E95E0B" w:rsidRDefault="00E95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0B" w:rsidRPr="008B01D4" w:rsidRDefault="00E95E0B" w:rsidP="00B647B8">
    <w:pPr>
      <w:pStyle w:val="Heading4"/>
      <w:jc w:val="both"/>
      <w:rPr>
        <w:sz w:val="20"/>
        <w:szCs w:val="20"/>
      </w:rPr>
    </w:pPr>
    <w:r w:rsidRPr="008B01D4">
      <w:rPr>
        <w:b w:val="0"/>
        <w:sz w:val="20"/>
        <w:szCs w:val="20"/>
      </w:rPr>
      <w:t>VMAnot_</w:t>
    </w:r>
    <w:r w:rsidR="008B01D4" w:rsidRPr="008B01D4">
      <w:rPr>
        <w:b w:val="0"/>
        <w:sz w:val="20"/>
        <w:szCs w:val="20"/>
      </w:rPr>
      <w:t>05</w:t>
    </w:r>
    <w:r w:rsidR="009A4362" w:rsidRPr="008B01D4">
      <w:rPr>
        <w:b w:val="0"/>
        <w:sz w:val="20"/>
        <w:szCs w:val="20"/>
      </w:rPr>
      <w:t>06</w:t>
    </w:r>
    <w:r w:rsidRPr="008B01D4">
      <w:rPr>
        <w:b w:val="0"/>
        <w:sz w:val="20"/>
        <w:szCs w:val="20"/>
      </w:rPr>
      <w:t>14_kopiepirk; Ministru kabineta noteikumu projekta „Par medicīnisko pretlīdzekļu kopīgā iepirkuma nolīgumu”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A1" w:rsidRDefault="00CC35A1">
      <w:r>
        <w:separator/>
      </w:r>
    </w:p>
  </w:footnote>
  <w:footnote w:type="continuationSeparator" w:id="0">
    <w:p w:rsidR="00CC35A1" w:rsidRDefault="00CC3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0B" w:rsidRDefault="00FB150E">
    <w:pPr>
      <w:pStyle w:val="Header"/>
      <w:jc w:val="center"/>
    </w:pPr>
    <w:r>
      <w:fldChar w:fldCharType="begin"/>
    </w:r>
    <w:r w:rsidR="00B53FB8">
      <w:instrText xml:space="preserve"> PAGE   \* MERGEFORMAT </w:instrText>
    </w:r>
    <w:r>
      <w:fldChar w:fldCharType="separate"/>
    </w:r>
    <w:r w:rsidR="00EE54C6">
      <w:rPr>
        <w:noProof/>
      </w:rPr>
      <w:t>5</w:t>
    </w:r>
    <w:r>
      <w:rPr>
        <w:noProof/>
      </w:rPr>
      <w:fldChar w:fldCharType="end"/>
    </w:r>
  </w:p>
  <w:p w:rsidR="00E95E0B" w:rsidRDefault="00E95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D4" w:rsidRDefault="008B01D4">
    <w:pPr>
      <w:pStyle w:val="Header"/>
      <w:jc w:val="center"/>
    </w:pPr>
  </w:p>
  <w:p w:rsidR="00E95E0B" w:rsidRDefault="00E95E0B" w:rsidP="009951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B1C"/>
    <w:multiLevelType w:val="hybridMultilevel"/>
    <w:tmpl w:val="A896F144"/>
    <w:lvl w:ilvl="0" w:tplc="7040B28A">
      <w:start w:val="1"/>
      <w:numFmt w:val="decimal"/>
      <w:lvlText w:val="%1."/>
      <w:lvlJc w:val="left"/>
      <w:pPr>
        <w:ind w:left="720" w:hanging="360"/>
      </w:pPr>
      <w:rPr>
        <w:b w:val="0"/>
      </w:rPr>
    </w:lvl>
    <w:lvl w:ilvl="1" w:tplc="04090019">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96BDF"/>
    <w:multiLevelType w:val="hybridMultilevel"/>
    <w:tmpl w:val="E7064D88"/>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12C71B1E"/>
    <w:multiLevelType w:val="hybridMultilevel"/>
    <w:tmpl w:val="A770DDC0"/>
    <w:lvl w:ilvl="0" w:tplc="F776107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
    <w:nsid w:val="16C52B22"/>
    <w:multiLevelType w:val="hybridMultilevel"/>
    <w:tmpl w:val="EDE0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47C30"/>
    <w:multiLevelType w:val="hybridMultilevel"/>
    <w:tmpl w:val="4FA272D6"/>
    <w:lvl w:ilvl="0" w:tplc="0426000F">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5">
    <w:nsid w:val="194C3039"/>
    <w:multiLevelType w:val="multilevel"/>
    <w:tmpl w:val="70421C6E"/>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6">
    <w:nsid w:val="21E44E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D535D2"/>
    <w:multiLevelType w:val="hybridMultilevel"/>
    <w:tmpl w:val="92761FC0"/>
    <w:lvl w:ilvl="0" w:tplc="5D1216C6">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EFB1C97"/>
    <w:multiLevelType w:val="hybridMultilevel"/>
    <w:tmpl w:val="AD96D03A"/>
    <w:lvl w:ilvl="0" w:tplc="0409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31A13441"/>
    <w:multiLevelType w:val="multilevel"/>
    <w:tmpl w:val="0F30290E"/>
    <w:lvl w:ilvl="0">
      <w:start w:val="1"/>
      <w:numFmt w:val="decimal"/>
      <w:lvlText w:val="%1."/>
      <w:lvlJc w:val="left"/>
      <w:pPr>
        <w:ind w:left="720" w:hanging="360"/>
      </w:pPr>
      <w:rPr>
        <w:rFonts w:hint="default"/>
        <w:i w:val="0"/>
      </w:rPr>
    </w:lvl>
    <w:lvl w:ilvl="1">
      <w:start w:val="2"/>
      <w:numFmt w:val="decimal"/>
      <w:isLgl/>
      <w:lvlText w:val="%1.%2."/>
      <w:lvlJc w:val="left"/>
      <w:pPr>
        <w:ind w:left="1434" w:hanging="1020"/>
      </w:pPr>
      <w:rPr>
        <w:rFonts w:hint="default"/>
      </w:rPr>
    </w:lvl>
    <w:lvl w:ilvl="2">
      <w:start w:val="1"/>
      <w:numFmt w:val="decimal"/>
      <w:isLgl/>
      <w:lvlText w:val="%1.%2.%3."/>
      <w:lvlJc w:val="left"/>
      <w:pPr>
        <w:ind w:left="1488" w:hanging="1020"/>
      </w:pPr>
      <w:rPr>
        <w:rFonts w:hint="default"/>
      </w:rPr>
    </w:lvl>
    <w:lvl w:ilvl="3">
      <w:start w:val="1"/>
      <w:numFmt w:val="decimal"/>
      <w:isLgl/>
      <w:lvlText w:val="%1.%2.%3.%4."/>
      <w:lvlJc w:val="left"/>
      <w:pPr>
        <w:ind w:left="1542" w:hanging="10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0">
    <w:nsid w:val="334E626D"/>
    <w:multiLevelType w:val="hybridMultilevel"/>
    <w:tmpl w:val="EC727EA2"/>
    <w:lvl w:ilvl="0" w:tplc="AF4459C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82809D6"/>
    <w:multiLevelType w:val="hybridMultilevel"/>
    <w:tmpl w:val="2E3866CE"/>
    <w:lvl w:ilvl="0" w:tplc="05340E5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nsid w:val="3C234EF0"/>
    <w:multiLevelType w:val="multilevel"/>
    <w:tmpl w:val="1F52D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795B06"/>
    <w:multiLevelType w:val="hybridMultilevel"/>
    <w:tmpl w:val="8D28B0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48975FD"/>
    <w:multiLevelType w:val="multilevel"/>
    <w:tmpl w:val="3BA6A3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7D0A65"/>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nsid w:val="47CD5622"/>
    <w:multiLevelType w:val="hybridMultilevel"/>
    <w:tmpl w:val="6CAEDEFC"/>
    <w:lvl w:ilvl="0" w:tplc="332C873C">
      <w:start w:val="1"/>
      <w:numFmt w:val="decimal"/>
      <w:lvlText w:val="%1."/>
      <w:lvlJc w:val="left"/>
      <w:pPr>
        <w:ind w:left="324" w:hanging="360"/>
      </w:pPr>
      <w:rPr>
        <w:rFonts w:hint="default"/>
      </w:rPr>
    </w:lvl>
    <w:lvl w:ilvl="1" w:tplc="04260019" w:tentative="1">
      <w:start w:val="1"/>
      <w:numFmt w:val="lowerLetter"/>
      <w:lvlText w:val="%2."/>
      <w:lvlJc w:val="left"/>
      <w:pPr>
        <w:ind w:left="1044" w:hanging="360"/>
      </w:pPr>
    </w:lvl>
    <w:lvl w:ilvl="2" w:tplc="0426001B" w:tentative="1">
      <w:start w:val="1"/>
      <w:numFmt w:val="lowerRoman"/>
      <w:lvlText w:val="%3."/>
      <w:lvlJc w:val="right"/>
      <w:pPr>
        <w:ind w:left="1764" w:hanging="180"/>
      </w:pPr>
    </w:lvl>
    <w:lvl w:ilvl="3" w:tplc="0426000F" w:tentative="1">
      <w:start w:val="1"/>
      <w:numFmt w:val="decimal"/>
      <w:lvlText w:val="%4."/>
      <w:lvlJc w:val="left"/>
      <w:pPr>
        <w:ind w:left="2484" w:hanging="360"/>
      </w:pPr>
    </w:lvl>
    <w:lvl w:ilvl="4" w:tplc="04260019" w:tentative="1">
      <w:start w:val="1"/>
      <w:numFmt w:val="lowerLetter"/>
      <w:lvlText w:val="%5."/>
      <w:lvlJc w:val="left"/>
      <w:pPr>
        <w:ind w:left="3204" w:hanging="360"/>
      </w:pPr>
    </w:lvl>
    <w:lvl w:ilvl="5" w:tplc="0426001B" w:tentative="1">
      <w:start w:val="1"/>
      <w:numFmt w:val="lowerRoman"/>
      <w:lvlText w:val="%6."/>
      <w:lvlJc w:val="right"/>
      <w:pPr>
        <w:ind w:left="3924" w:hanging="180"/>
      </w:pPr>
    </w:lvl>
    <w:lvl w:ilvl="6" w:tplc="0426000F" w:tentative="1">
      <w:start w:val="1"/>
      <w:numFmt w:val="decimal"/>
      <w:lvlText w:val="%7."/>
      <w:lvlJc w:val="left"/>
      <w:pPr>
        <w:ind w:left="4644" w:hanging="360"/>
      </w:pPr>
    </w:lvl>
    <w:lvl w:ilvl="7" w:tplc="04260019" w:tentative="1">
      <w:start w:val="1"/>
      <w:numFmt w:val="lowerLetter"/>
      <w:lvlText w:val="%8."/>
      <w:lvlJc w:val="left"/>
      <w:pPr>
        <w:ind w:left="5364" w:hanging="360"/>
      </w:pPr>
    </w:lvl>
    <w:lvl w:ilvl="8" w:tplc="0426001B" w:tentative="1">
      <w:start w:val="1"/>
      <w:numFmt w:val="lowerRoman"/>
      <w:lvlText w:val="%9."/>
      <w:lvlJc w:val="right"/>
      <w:pPr>
        <w:ind w:left="6084" w:hanging="180"/>
      </w:pPr>
    </w:lvl>
  </w:abstractNum>
  <w:abstractNum w:abstractNumId="17">
    <w:nsid w:val="4F610505"/>
    <w:multiLevelType w:val="hybridMultilevel"/>
    <w:tmpl w:val="27B22070"/>
    <w:lvl w:ilvl="0" w:tplc="907E97D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51A90F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B52737"/>
    <w:multiLevelType w:val="multilevel"/>
    <w:tmpl w:val="535A260A"/>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9A5178"/>
    <w:multiLevelType w:val="hybridMultilevel"/>
    <w:tmpl w:val="401A9238"/>
    <w:lvl w:ilvl="0" w:tplc="D990FF06">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CB6DF6"/>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2">
    <w:nsid w:val="65C20301"/>
    <w:multiLevelType w:val="hybridMultilevel"/>
    <w:tmpl w:val="D5CC844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3">
    <w:nsid w:val="6AFC1D27"/>
    <w:multiLevelType w:val="hybridMultilevel"/>
    <w:tmpl w:val="481CD87E"/>
    <w:lvl w:ilvl="0" w:tplc="09FEC7AE">
      <w:start w:val="1"/>
      <w:numFmt w:val="bullet"/>
      <w:lvlText w:val="-"/>
      <w:lvlJc w:val="left"/>
      <w:pPr>
        <w:tabs>
          <w:tab w:val="num" w:pos="780"/>
        </w:tabs>
        <w:ind w:left="780" w:hanging="360"/>
      </w:pPr>
      <w:rPr>
        <w:rFonts w:hAnsi="Courier New"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4">
    <w:nsid w:val="72ED353C"/>
    <w:multiLevelType w:val="hybridMultilevel"/>
    <w:tmpl w:val="164CE260"/>
    <w:lvl w:ilvl="0" w:tplc="37D8A39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7663759D"/>
    <w:multiLevelType w:val="multilevel"/>
    <w:tmpl w:val="E29E433E"/>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6">
    <w:nsid w:val="770007A7"/>
    <w:multiLevelType w:val="hybridMultilevel"/>
    <w:tmpl w:val="97E492EC"/>
    <w:lvl w:ilvl="0" w:tplc="A94A029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7D046843"/>
    <w:multiLevelType w:val="multilevel"/>
    <w:tmpl w:val="20606E9E"/>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8">
    <w:nsid w:val="7DBA1A39"/>
    <w:multiLevelType w:val="hybridMultilevel"/>
    <w:tmpl w:val="66680F6C"/>
    <w:lvl w:ilvl="0" w:tplc="0809000F">
      <w:start w:val="1"/>
      <w:numFmt w:val="decimal"/>
      <w:lvlText w:val="%1."/>
      <w:lvlJc w:val="left"/>
      <w:pPr>
        <w:tabs>
          <w:tab w:val="num" w:pos="720"/>
        </w:tabs>
        <w:ind w:left="720" w:hanging="360"/>
      </w:pPr>
    </w:lvl>
    <w:lvl w:ilvl="1" w:tplc="56522234">
      <w:start w:val="1"/>
      <w:numFmt w:val="lowerLetter"/>
      <w:lvlText w:val="(%2)"/>
      <w:lvlJc w:val="left"/>
      <w:pPr>
        <w:tabs>
          <w:tab w:val="num" w:pos="1191"/>
        </w:tabs>
        <w:ind w:left="1191" w:hanging="471"/>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FF76E43"/>
    <w:multiLevelType w:val="multilevel"/>
    <w:tmpl w:val="B76C4466"/>
    <w:lvl w:ilvl="0">
      <w:start w:val="1"/>
      <w:numFmt w:val="decimal"/>
      <w:lvlText w:val="%1."/>
      <w:lvlJc w:val="left"/>
      <w:pPr>
        <w:ind w:left="915" w:hanging="615"/>
      </w:pPr>
      <w:rPr>
        <w:rFonts w:hint="default"/>
        <w:b w:val="0"/>
      </w:rPr>
    </w:lvl>
    <w:lvl w:ilvl="1">
      <w:start w:val="1"/>
      <w:numFmt w:val="decimal"/>
      <w:isLgl/>
      <w:lvlText w:val="%1.%2."/>
      <w:lvlJc w:val="left"/>
      <w:pPr>
        <w:ind w:left="1854"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2"/>
  </w:num>
  <w:num w:numId="2">
    <w:abstractNumId w:val="10"/>
  </w:num>
  <w:num w:numId="3">
    <w:abstractNumId w:val="1"/>
  </w:num>
  <w:num w:numId="4">
    <w:abstractNumId w:val="8"/>
  </w:num>
  <w:num w:numId="5">
    <w:abstractNumId w:val="23"/>
  </w:num>
  <w:num w:numId="6">
    <w:abstractNumId w:val="24"/>
  </w:num>
  <w:num w:numId="7">
    <w:abstractNumId w:val="7"/>
  </w:num>
  <w:num w:numId="8">
    <w:abstractNumId w:val="18"/>
  </w:num>
  <w:num w:numId="9">
    <w:abstractNumId w:val="2"/>
  </w:num>
  <w:num w:numId="10">
    <w:abstractNumId w:val="11"/>
  </w:num>
  <w:num w:numId="11">
    <w:abstractNumId w:val="13"/>
  </w:num>
  <w:num w:numId="12">
    <w:abstractNumId w:val="22"/>
  </w:num>
  <w:num w:numId="13">
    <w:abstractNumId w:val="9"/>
  </w:num>
  <w:num w:numId="14">
    <w:abstractNumId w:val="25"/>
  </w:num>
  <w:num w:numId="15">
    <w:abstractNumId w:val="27"/>
  </w:num>
  <w:num w:numId="16">
    <w:abstractNumId w:val="29"/>
  </w:num>
  <w:num w:numId="17">
    <w:abstractNumId w:val="4"/>
  </w:num>
  <w:num w:numId="18">
    <w:abstractNumId w:val="21"/>
  </w:num>
  <w:num w:numId="19">
    <w:abstractNumId w:val="15"/>
  </w:num>
  <w:num w:numId="20">
    <w:abstractNumId w:val="26"/>
  </w:num>
  <w:num w:numId="21">
    <w:abstractNumId w:val="16"/>
  </w:num>
  <w:num w:numId="22">
    <w:abstractNumId w:val="3"/>
  </w:num>
  <w:num w:numId="23">
    <w:abstractNumId w:val="0"/>
  </w:num>
  <w:num w:numId="24">
    <w:abstractNumId w:val="17"/>
  </w:num>
  <w:num w:numId="25">
    <w:abstractNumId w:val="20"/>
  </w:num>
  <w:num w:numId="26">
    <w:abstractNumId w:val="6"/>
  </w:num>
  <w:num w:numId="27">
    <w:abstractNumId w:val="14"/>
  </w:num>
  <w:num w:numId="28">
    <w:abstractNumId w:val="5"/>
  </w:num>
  <w:num w:numId="29">
    <w:abstractNumId w:val="19"/>
  </w:num>
  <w:num w:numId="3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Bukovska">
    <w15:presenceInfo w15:providerId="None" w15:userId="Anita Bu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0F41F1"/>
    <w:rsid w:val="00000CB4"/>
    <w:rsid w:val="00002897"/>
    <w:rsid w:val="00005FAB"/>
    <w:rsid w:val="000107F7"/>
    <w:rsid w:val="00014EE3"/>
    <w:rsid w:val="0001720D"/>
    <w:rsid w:val="00021EE3"/>
    <w:rsid w:val="0002233E"/>
    <w:rsid w:val="00027279"/>
    <w:rsid w:val="00032F9E"/>
    <w:rsid w:val="000345A8"/>
    <w:rsid w:val="0003577D"/>
    <w:rsid w:val="00036CBB"/>
    <w:rsid w:val="0006367E"/>
    <w:rsid w:val="00065100"/>
    <w:rsid w:val="000659C0"/>
    <w:rsid w:val="00066545"/>
    <w:rsid w:val="00067ED5"/>
    <w:rsid w:val="00070F19"/>
    <w:rsid w:val="00072910"/>
    <w:rsid w:val="00080DD8"/>
    <w:rsid w:val="00081D23"/>
    <w:rsid w:val="00082F9D"/>
    <w:rsid w:val="000849E6"/>
    <w:rsid w:val="00087E32"/>
    <w:rsid w:val="000A11E4"/>
    <w:rsid w:val="000A350E"/>
    <w:rsid w:val="000A5D04"/>
    <w:rsid w:val="000A6F07"/>
    <w:rsid w:val="000B0B9D"/>
    <w:rsid w:val="000B4FEB"/>
    <w:rsid w:val="000B5327"/>
    <w:rsid w:val="000B7D60"/>
    <w:rsid w:val="000C03B9"/>
    <w:rsid w:val="000C7085"/>
    <w:rsid w:val="000D0790"/>
    <w:rsid w:val="000D7DC7"/>
    <w:rsid w:val="000E29DC"/>
    <w:rsid w:val="000E3632"/>
    <w:rsid w:val="000E618F"/>
    <w:rsid w:val="000E7315"/>
    <w:rsid w:val="000F41F1"/>
    <w:rsid w:val="000F7AB7"/>
    <w:rsid w:val="001008CA"/>
    <w:rsid w:val="00102B89"/>
    <w:rsid w:val="001032B0"/>
    <w:rsid w:val="00105B37"/>
    <w:rsid w:val="00125C74"/>
    <w:rsid w:val="00130A81"/>
    <w:rsid w:val="00142349"/>
    <w:rsid w:val="0014438A"/>
    <w:rsid w:val="001454EA"/>
    <w:rsid w:val="00146CB3"/>
    <w:rsid w:val="0015216B"/>
    <w:rsid w:val="0015231A"/>
    <w:rsid w:val="001609FF"/>
    <w:rsid w:val="0016166B"/>
    <w:rsid w:val="0016226E"/>
    <w:rsid w:val="001654D7"/>
    <w:rsid w:val="00167AA7"/>
    <w:rsid w:val="00170734"/>
    <w:rsid w:val="00181B0B"/>
    <w:rsid w:val="00182E92"/>
    <w:rsid w:val="00183FB0"/>
    <w:rsid w:val="001910F3"/>
    <w:rsid w:val="001974B4"/>
    <w:rsid w:val="001A09CF"/>
    <w:rsid w:val="001A1572"/>
    <w:rsid w:val="001A3BE7"/>
    <w:rsid w:val="001A44A1"/>
    <w:rsid w:val="001A7B4D"/>
    <w:rsid w:val="001B2882"/>
    <w:rsid w:val="001B5664"/>
    <w:rsid w:val="001D044F"/>
    <w:rsid w:val="001D2503"/>
    <w:rsid w:val="001D29DF"/>
    <w:rsid w:val="001E2463"/>
    <w:rsid w:val="001E7075"/>
    <w:rsid w:val="001F11CE"/>
    <w:rsid w:val="001F20CA"/>
    <w:rsid w:val="00200022"/>
    <w:rsid w:val="0020242D"/>
    <w:rsid w:val="00204E3B"/>
    <w:rsid w:val="002238C1"/>
    <w:rsid w:val="00224CAE"/>
    <w:rsid w:val="002260A9"/>
    <w:rsid w:val="002262E6"/>
    <w:rsid w:val="002363BE"/>
    <w:rsid w:val="00236821"/>
    <w:rsid w:val="002372C0"/>
    <w:rsid w:val="0023783C"/>
    <w:rsid w:val="002401F6"/>
    <w:rsid w:val="00241B7D"/>
    <w:rsid w:val="00251597"/>
    <w:rsid w:val="0025628E"/>
    <w:rsid w:val="00260E09"/>
    <w:rsid w:val="002615B9"/>
    <w:rsid w:val="002655FF"/>
    <w:rsid w:val="0028562E"/>
    <w:rsid w:val="0029070D"/>
    <w:rsid w:val="00291EB5"/>
    <w:rsid w:val="0029200D"/>
    <w:rsid w:val="00294883"/>
    <w:rsid w:val="0029702C"/>
    <w:rsid w:val="002A063E"/>
    <w:rsid w:val="002A3037"/>
    <w:rsid w:val="002A56A2"/>
    <w:rsid w:val="002B08D3"/>
    <w:rsid w:val="002B292D"/>
    <w:rsid w:val="002C3C1C"/>
    <w:rsid w:val="002C3DBD"/>
    <w:rsid w:val="002D038C"/>
    <w:rsid w:val="002D2AE4"/>
    <w:rsid w:val="002D5C82"/>
    <w:rsid w:val="002E15E6"/>
    <w:rsid w:val="002E7F01"/>
    <w:rsid w:val="002F4193"/>
    <w:rsid w:val="00301879"/>
    <w:rsid w:val="0030193E"/>
    <w:rsid w:val="003046B1"/>
    <w:rsid w:val="003216A5"/>
    <w:rsid w:val="00322047"/>
    <w:rsid w:val="003264CC"/>
    <w:rsid w:val="00342934"/>
    <w:rsid w:val="00351A19"/>
    <w:rsid w:val="003528A5"/>
    <w:rsid w:val="00363B84"/>
    <w:rsid w:val="003678D3"/>
    <w:rsid w:val="003775AA"/>
    <w:rsid w:val="003861A7"/>
    <w:rsid w:val="00393820"/>
    <w:rsid w:val="00397982"/>
    <w:rsid w:val="003A0DF9"/>
    <w:rsid w:val="003A1038"/>
    <w:rsid w:val="003A6EA7"/>
    <w:rsid w:val="003A77D3"/>
    <w:rsid w:val="003B17FF"/>
    <w:rsid w:val="003B1F05"/>
    <w:rsid w:val="003C467E"/>
    <w:rsid w:val="003D0C91"/>
    <w:rsid w:val="003D5F7F"/>
    <w:rsid w:val="003E12AA"/>
    <w:rsid w:val="003E2868"/>
    <w:rsid w:val="003F1668"/>
    <w:rsid w:val="003F2F32"/>
    <w:rsid w:val="003F7F27"/>
    <w:rsid w:val="00400C92"/>
    <w:rsid w:val="0040372C"/>
    <w:rsid w:val="00404EC8"/>
    <w:rsid w:val="0040769D"/>
    <w:rsid w:val="00412614"/>
    <w:rsid w:val="00427D02"/>
    <w:rsid w:val="00435F83"/>
    <w:rsid w:val="0043641D"/>
    <w:rsid w:val="00437E03"/>
    <w:rsid w:val="00445652"/>
    <w:rsid w:val="0044608F"/>
    <w:rsid w:val="004505CC"/>
    <w:rsid w:val="00460402"/>
    <w:rsid w:val="004610E4"/>
    <w:rsid w:val="0046789E"/>
    <w:rsid w:val="00470FD8"/>
    <w:rsid w:val="004715E3"/>
    <w:rsid w:val="00472BB8"/>
    <w:rsid w:val="00483A07"/>
    <w:rsid w:val="0048581B"/>
    <w:rsid w:val="00486E33"/>
    <w:rsid w:val="00490C73"/>
    <w:rsid w:val="00493DAF"/>
    <w:rsid w:val="0049512E"/>
    <w:rsid w:val="004A51B6"/>
    <w:rsid w:val="004A6300"/>
    <w:rsid w:val="004B03A6"/>
    <w:rsid w:val="004B0C4B"/>
    <w:rsid w:val="004B326F"/>
    <w:rsid w:val="004B3386"/>
    <w:rsid w:val="004B4278"/>
    <w:rsid w:val="004B7281"/>
    <w:rsid w:val="004C06AC"/>
    <w:rsid w:val="004C58E5"/>
    <w:rsid w:val="004C5F7E"/>
    <w:rsid w:val="004C7A53"/>
    <w:rsid w:val="004D62D7"/>
    <w:rsid w:val="004E3E7C"/>
    <w:rsid w:val="004E7916"/>
    <w:rsid w:val="004F3D84"/>
    <w:rsid w:val="005052D7"/>
    <w:rsid w:val="00507157"/>
    <w:rsid w:val="00507951"/>
    <w:rsid w:val="00510C9C"/>
    <w:rsid w:val="00510DCB"/>
    <w:rsid w:val="00510E72"/>
    <w:rsid w:val="005114B6"/>
    <w:rsid w:val="005142CA"/>
    <w:rsid w:val="00517225"/>
    <w:rsid w:val="005206B8"/>
    <w:rsid w:val="005272F5"/>
    <w:rsid w:val="00530F55"/>
    <w:rsid w:val="00531706"/>
    <w:rsid w:val="005327C9"/>
    <w:rsid w:val="00536B16"/>
    <w:rsid w:val="005375C1"/>
    <w:rsid w:val="005451EC"/>
    <w:rsid w:val="00547988"/>
    <w:rsid w:val="00550066"/>
    <w:rsid w:val="005504A6"/>
    <w:rsid w:val="005630B1"/>
    <w:rsid w:val="00567244"/>
    <w:rsid w:val="00572D49"/>
    <w:rsid w:val="00574FB0"/>
    <w:rsid w:val="005975A6"/>
    <w:rsid w:val="00597C7D"/>
    <w:rsid w:val="005A2AA1"/>
    <w:rsid w:val="005A37AE"/>
    <w:rsid w:val="005B3DC6"/>
    <w:rsid w:val="005B3EE5"/>
    <w:rsid w:val="005B4610"/>
    <w:rsid w:val="005C16A3"/>
    <w:rsid w:val="005C25E1"/>
    <w:rsid w:val="005D3322"/>
    <w:rsid w:val="005D39F1"/>
    <w:rsid w:val="005D3DF0"/>
    <w:rsid w:val="005F47AF"/>
    <w:rsid w:val="005F7206"/>
    <w:rsid w:val="00604B95"/>
    <w:rsid w:val="00626858"/>
    <w:rsid w:val="00632A59"/>
    <w:rsid w:val="006359F8"/>
    <w:rsid w:val="00642EC3"/>
    <w:rsid w:val="006458AF"/>
    <w:rsid w:val="006462BA"/>
    <w:rsid w:val="00647B63"/>
    <w:rsid w:val="00651E33"/>
    <w:rsid w:val="006604A2"/>
    <w:rsid w:val="00666F32"/>
    <w:rsid w:val="00673DAD"/>
    <w:rsid w:val="006759C4"/>
    <w:rsid w:val="006769C6"/>
    <w:rsid w:val="00677AFC"/>
    <w:rsid w:val="00680DC2"/>
    <w:rsid w:val="006853AF"/>
    <w:rsid w:val="006936AA"/>
    <w:rsid w:val="00693998"/>
    <w:rsid w:val="00693B5B"/>
    <w:rsid w:val="006A7487"/>
    <w:rsid w:val="006B50FC"/>
    <w:rsid w:val="006B715D"/>
    <w:rsid w:val="006B7A58"/>
    <w:rsid w:val="006B7B6A"/>
    <w:rsid w:val="006C4EB7"/>
    <w:rsid w:val="006C7277"/>
    <w:rsid w:val="006E4E4B"/>
    <w:rsid w:val="007001A8"/>
    <w:rsid w:val="00712571"/>
    <w:rsid w:val="007137D1"/>
    <w:rsid w:val="00714B7B"/>
    <w:rsid w:val="00715B9E"/>
    <w:rsid w:val="00724727"/>
    <w:rsid w:val="00725923"/>
    <w:rsid w:val="00740252"/>
    <w:rsid w:val="007409A9"/>
    <w:rsid w:val="00742C41"/>
    <w:rsid w:val="00742CAE"/>
    <w:rsid w:val="007469E9"/>
    <w:rsid w:val="00747976"/>
    <w:rsid w:val="00750CD8"/>
    <w:rsid w:val="007552E1"/>
    <w:rsid w:val="00764DBF"/>
    <w:rsid w:val="00770C93"/>
    <w:rsid w:val="007719FF"/>
    <w:rsid w:val="00772348"/>
    <w:rsid w:val="00773FCD"/>
    <w:rsid w:val="007800C5"/>
    <w:rsid w:val="0078029C"/>
    <w:rsid w:val="0078155A"/>
    <w:rsid w:val="00782263"/>
    <w:rsid w:val="00783DF2"/>
    <w:rsid w:val="00785F18"/>
    <w:rsid w:val="00792AC2"/>
    <w:rsid w:val="007937BB"/>
    <w:rsid w:val="00796C70"/>
    <w:rsid w:val="00797C5D"/>
    <w:rsid w:val="007A0BB1"/>
    <w:rsid w:val="007A1D05"/>
    <w:rsid w:val="007A793E"/>
    <w:rsid w:val="007B18F2"/>
    <w:rsid w:val="007B1B13"/>
    <w:rsid w:val="007B27DD"/>
    <w:rsid w:val="007B7093"/>
    <w:rsid w:val="007C0A0B"/>
    <w:rsid w:val="007C1BC8"/>
    <w:rsid w:val="007C2E39"/>
    <w:rsid w:val="007C604F"/>
    <w:rsid w:val="007D5F51"/>
    <w:rsid w:val="007D7CBA"/>
    <w:rsid w:val="007E0917"/>
    <w:rsid w:val="007E2279"/>
    <w:rsid w:val="007E43DA"/>
    <w:rsid w:val="007E4632"/>
    <w:rsid w:val="007E5EEE"/>
    <w:rsid w:val="007F088D"/>
    <w:rsid w:val="007F2FE1"/>
    <w:rsid w:val="007F6937"/>
    <w:rsid w:val="00801999"/>
    <w:rsid w:val="00802F19"/>
    <w:rsid w:val="008108BF"/>
    <w:rsid w:val="0081231A"/>
    <w:rsid w:val="0081558E"/>
    <w:rsid w:val="00816723"/>
    <w:rsid w:val="00821A56"/>
    <w:rsid w:val="008302F5"/>
    <w:rsid w:val="00830346"/>
    <w:rsid w:val="00830625"/>
    <w:rsid w:val="00832D84"/>
    <w:rsid w:val="008373D2"/>
    <w:rsid w:val="00840A49"/>
    <w:rsid w:val="00845533"/>
    <w:rsid w:val="0085084B"/>
    <w:rsid w:val="0085566B"/>
    <w:rsid w:val="008664BD"/>
    <w:rsid w:val="0086687F"/>
    <w:rsid w:val="00870A87"/>
    <w:rsid w:val="00874824"/>
    <w:rsid w:val="00876F3B"/>
    <w:rsid w:val="0088049F"/>
    <w:rsid w:val="00882EA4"/>
    <w:rsid w:val="00883283"/>
    <w:rsid w:val="00885901"/>
    <w:rsid w:val="00885A69"/>
    <w:rsid w:val="00890134"/>
    <w:rsid w:val="00891890"/>
    <w:rsid w:val="00892F80"/>
    <w:rsid w:val="008939FB"/>
    <w:rsid w:val="00894AA5"/>
    <w:rsid w:val="008B01D4"/>
    <w:rsid w:val="008C56D1"/>
    <w:rsid w:val="008C7E21"/>
    <w:rsid w:val="008D21F9"/>
    <w:rsid w:val="008D4BDF"/>
    <w:rsid w:val="008E0BF1"/>
    <w:rsid w:val="008E52AF"/>
    <w:rsid w:val="008E62FB"/>
    <w:rsid w:val="008F054F"/>
    <w:rsid w:val="008F23E1"/>
    <w:rsid w:val="00906FD1"/>
    <w:rsid w:val="00912DAB"/>
    <w:rsid w:val="00920006"/>
    <w:rsid w:val="00930645"/>
    <w:rsid w:val="00936117"/>
    <w:rsid w:val="009376EA"/>
    <w:rsid w:val="009453D3"/>
    <w:rsid w:val="00947179"/>
    <w:rsid w:val="00951AD3"/>
    <w:rsid w:val="009527AB"/>
    <w:rsid w:val="009534F9"/>
    <w:rsid w:val="009605AE"/>
    <w:rsid w:val="0096136B"/>
    <w:rsid w:val="0096473B"/>
    <w:rsid w:val="00964CD1"/>
    <w:rsid w:val="0097325F"/>
    <w:rsid w:val="00976627"/>
    <w:rsid w:val="00987A61"/>
    <w:rsid w:val="009917D0"/>
    <w:rsid w:val="0099512E"/>
    <w:rsid w:val="009A0134"/>
    <w:rsid w:val="009A09EB"/>
    <w:rsid w:val="009A1A8F"/>
    <w:rsid w:val="009A4362"/>
    <w:rsid w:val="009A57D4"/>
    <w:rsid w:val="009B3BAC"/>
    <w:rsid w:val="009B3FCD"/>
    <w:rsid w:val="009B44B1"/>
    <w:rsid w:val="009B7092"/>
    <w:rsid w:val="009C3E29"/>
    <w:rsid w:val="009C5883"/>
    <w:rsid w:val="009D64B9"/>
    <w:rsid w:val="009D71FA"/>
    <w:rsid w:val="009E024C"/>
    <w:rsid w:val="009E1FF0"/>
    <w:rsid w:val="009F02E0"/>
    <w:rsid w:val="009F091F"/>
    <w:rsid w:val="009F14B5"/>
    <w:rsid w:val="009F6CF0"/>
    <w:rsid w:val="009F790B"/>
    <w:rsid w:val="00A03741"/>
    <w:rsid w:val="00A06BB9"/>
    <w:rsid w:val="00A11519"/>
    <w:rsid w:val="00A154D3"/>
    <w:rsid w:val="00A20C07"/>
    <w:rsid w:val="00A30504"/>
    <w:rsid w:val="00A33259"/>
    <w:rsid w:val="00A501FF"/>
    <w:rsid w:val="00A525E5"/>
    <w:rsid w:val="00A5385E"/>
    <w:rsid w:val="00A54A5B"/>
    <w:rsid w:val="00A60BC4"/>
    <w:rsid w:val="00A61BE6"/>
    <w:rsid w:val="00A61FC9"/>
    <w:rsid w:val="00A719DD"/>
    <w:rsid w:val="00A7297A"/>
    <w:rsid w:val="00A72C5A"/>
    <w:rsid w:val="00A756FC"/>
    <w:rsid w:val="00A75F6A"/>
    <w:rsid w:val="00A83BDB"/>
    <w:rsid w:val="00A973DE"/>
    <w:rsid w:val="00AA46F7"/>
    <w:rsid w:val="00AB05B8"/>
    <w:rsid w:val="00AB0CFC"/>
    <w:rsid w:val="00AB2BC5"/>
    <w:rsid w:val="00AB4D6E"/>
    <w:rsid w:val="00AB5277"/>
    <w:rsid w:val="00AC113F"/>
    <w:rsid w:val="00AC2198"/>
    <w:rsid w:val="00AC62C6"/>
    <w:rsid w:val="00AC6FF8"/>
    <w:rsid w:val="00AC7B4E"/>
    <w:rsid w:val="00AD26B5"/>
    <w:rsid w:val="00AD334B"/>
    <w:rsid w:val="00AD385A"/>
    <w:rsid w:val="00AE375A"/>
    <w:rsid w:val="00AE638F"/>
    <w:rsid w:val="00AF363B"/>
    <w:rsid w:val="00B03C9B"/>
    <w:rsid w:val="00B05332"/>
    <w:rsid w:val="00B0703D"/>
    <w:rsid w:val="00B14C8F"/>
    <w:rsid w:val="00B25CA3"/>
    <w:rsid w:val="00B31430"/>
    <w:rsid w:val="00B31CF9"/>
    <w:rsid w:val="00B34DA3"/>
    <w:rsid w:val="00B35FBE"/>
    <w:rsid w:val="00B472E3"/>
    <w:rsid w:val="00B47991"/>
    <w:rsid w:val="00B47F5D"/>
    <w:rsid w:val="00B52870"/>
    <w:rsid w:val="00B53FB8"/>
    <w:rsid w:val="00B54F0D"/>
    <w:rsid w:val="00B55FA0"/>
    <w:rsid w:val="00B6462A"/>
    <w:rsid w:val="00B647B8"/>
    <w:rsid w:val="00B64AE6"/>
    <w:rsid w:val="00B64C8F"/>
    <w:rsid w:val="00B64E2F"/>
    <w:rsid w:val="00B65109"/>
    <w:rsid w:val="00B732EE"/>
    <w:rsid w:val="00B77FA1"/>
    <w:rsid w:val="00B80393"/>
    <w:rsid w:val="00B84421"/>
    <w:rsid w:val="00B934F4"/>
    <w:rsid w:val="00B95C9E"/>
    <w:rsid w:val="00B95FD0"/>
    <w:rsid w:val="00BA0887"/>
    <w:rsid w:val="00BA09FD"/>
    <w:rsid w:val="00BA7299"/>
    <w:rsid w:val="00BB122E"/>
    <w:rsid w:val="00BB6DD2"/>
    <w:rsid w:val="00BC1FF0"/>
    <w:rsid w:val="00BC481A"/>
    <w:rsid w:val="00BC7396"/>
    <w:rsid w:val="00BD3BBB"/>
    <w:rsid w:val="00BD54E6"/>
    <w:rsid w:val="00BD695D"/>
    <w:rsid w:val="00BE3564"/>
    <w:rsid w:val="00BE394D"/>
    <w:rsid w:val="00BE5934"/>
    <w:rsid w:val="00BF3AF7"/>
    <w:rsid w:val="00BF644F"/>
    <w:rsid w:val="00C053A6"/>
    <w:rsid w:val="00C07AF1"/>
    <w:rsid w:val="00C11354"/>
    <w:rsid w:val="00C1447D"/>
    <w:rsid w:val="00C15055"/>
    <w:rsid w:val="00C1566C"/>
    <w:rsid w:val="00C20814"/>
    <w:rsid w:val="00C232A2"/>
    <w:rsid w:val="00C25964"/>
    <w:rsid w:val="00C26AD4"/>
    <w:rsid w:val="00C3201F"/>
    <w:rsid w:val="00C46972"/>
    <w:rsid w:val="00C554CF"/>
    <w:rsid w:val="00C57654"/>
    <w:rsid w:val="00C7175F"/>
    <w:rsid w:val="00C82F86"/>
    <w:rsid w:val="00C85C47"/>
    <w:rsid w:val="00C8737E"/>
    <w:rsid w:val="00C9099C"/>
    <w:rsid w:val="00C92DBC"/>
    <w:rsid w:val="00C9406F"/>
    <w:rsid w:val="00C97068"/>
    <w:rsid w:val="00CA0B85"/>
    <w:rsid w:val="00CA17AD"/>
    <w:rsid w:val="00CA2446"/>
    <w:rsid w:val="00CA61EB"/>
    <w:rsid w:val="00CA7257"/>
    <w:rsid w:val="00CB2CFD"/>
    <w:rsid w:val="00CB64BC"/>
    <w:rsid w:val="00CC119A"/>
    <w:rsid w:val="00CC132B"/>
    <w:rsid w:val="00CC1DDB"/>
    <w:rsid w:val="00CC35A1"/>
    <w:rsid w:val="00CC63BB"/>
    <w:rsid w:val="00CC7273"/>
    <w:rsid w:val="00CC7CB9"/>
    <w:rsid w:val="00CD4B15"/>
    <w:rsid w:val="00CE04CB"/>
    <w:rsid w:val="00CE3971"/>
    <w:rsid w:val="00CE61F6"/>
    <w:rsid w:val="00D01454"/>
    <w:rsid w:val="00D02C6A"/>
    <w:rsid w:val="00D036CC"/>
    <w:rsid w:val="00D1250A"/>
    <w:rsid w:val="00D13AE5"/>
    <w:rsid w:val="00D145D1"/>
    <w:rsid w:val="00D14A4A"/>
    <w:rsid w:val="00D16713"/>
    <w:rsid w:val="00D171D2"/>
    <w:rsid w:val="00D21781"/>
    <w:rsid w:val="00D26DE3"/>
    <w:rsid w:val="00D276BD"/>
    <w:rsid w:val="00D303AF"/>
    <w:rsid w:val="00D35FB5"/>
    <w:rsid w:val="00D46EA7"/>
    <w:rsid w:val="00D522E3"/>
    <w:rsid w:val="00D56597"/>
    <w:rsid w:val="00D604A9"/>
    <w:rsid w:val="00D61B93"/>
    <w:rsid w:val="00D639E5"/>
    <w:rsid w:val="00D6469B"/>
    <w:rsid w:val="00D66D88"/>
    <w:rsid w:val="00D7098B"/>
    <w:rsid w:val="00D70B7F"/>
    <w:rsid w:val="00D77D4E"/>
    <w:rsid w:val="00D91908"/>
    <w:rsid w:val="00D92CE5"/>
    <w:rsid w:val="00D97B37"/>
    <w:rsid w:val="00DA07A4"/>
    <w:rsid w:val="00DB1158"/>
    <w:rsid w:val="00DB1D3A"/>
    <w:rsid w:val="00DC490F"/>
    <w:rsid w:val="00DC4C9B"/>
    <w:rsid w:val="00DE7C23"/>
    <w:rsid w:val="00DF204D"/>
    <w:rsid w:val="00DF523D"/>
    <w:rsid w:val="00E05912"/>
    <w:rsid w:val="00E107A6"/>
    <w:rsid w:val="00E13838"/>
    <w:rsid w:val="00E1789B"/>
    <w:rsid w:val="00E2023A"/>
    <w:rsid w:val="00E227B4"/>
    <w:rsid w:val="00E247AC"/>
    <w:rsid w:val="00E25E8F"/>
    <w:rsid w:val="00E3194F"/>
    <w:rsid w:val="00E333AB"/>
    <w:rsid w:val="00E3493D"/>
    <w:rsid w:val="00E349A2"/>
    <w:rsid w:val="00E40D86"/>
    <w:rsid w:val="00E42C64"/>
    <w:rsid w:val="00E44C52"/>
    <w:rsid w:val="00E45EFB"/>
    <w:rsid w:val="00E6248E"/>
    <w:rsid w:val="00E63895"/>
    <w:rsid w:val="00E64C93"/>
    <w:rsid w:val="00E67AE1"/>
    <w:rsid w:val="00E703A1"/>
    <w:rsid w:val="00E70800"/>
    <w:rsid w:val="00E81E66"/>
    <w:rsid w:val="00E85D02"/>
    <w:rsid w:val="00E909A9"/>
    <w:rsid w:val="00E9388D"/>
    <w:rsid w:val="00E94C97"/>
    <w:rsid w:val="00E95E0B"/>
    <w:rsid w:val="00EA0CB5"/>
    <w:rsid w:val="00EA7EC9"/>
    <w:rsid w:val="00EB0F0E"/>
    <w:rsid w:val="00EB1A3D"/>
    <w:rsid w:val="00EB54D1"/>
    <w:rsid w:val="00EB6720"/>
    <w:rsid w:val="00EB689A"/>
    <w:rsid w:val="00EB75BB"/>
    <w:rsid w:val="00EC6F49"/>
    <w:rsid w:val="00EC73EE"/>
    <w:rsid w:val="00ED0A6B"/>
    <w:rsid w:val="00ED1A0F"/>
    <w:rsid w:val="00ED456E"/>
    <w:rsid w:val="00EE0677"/>
    <w:rsid w:val="00EE54C6"/>
    <w:rsid w:val="00EE5887"/>
    <w:rsid w:val="00EF172F"/>
    <w:rsid w:val="00EF3CB7"/>
    <w:rsid w:val="00EF4286"/>
    <w:rsid w:val="00EF791C"/>
    <w:rsid w:val="00F0243C"/>
    <w:rsid w:val="00F04297"/>
    <w:rsid w:val="00F04594"/>
    <w:rsid w:val="00F06589"/>
    <w:rsid w:val="00F10DC0"/>
    <w:rsid w:val="00F14086"/>
    <w:rsid w:val="00F17E9B"/>
    <w:rsid w:val="00F214C8"/>
    <w:rsid w:val="00F36922"/>
    <w:rsid w:val="00F377A3"/>
    <w:rsid w:val="00F43492"/>
    <w:rsid w:val="00F4429D"/>
    <w:rsid w:val="00F4438F"/>
    <w:rsid w:val="00F446DE"/>
    <w:rsid w:val="00F44ABD"/>
    <w:rsid w:val="00F47706"/>
    <w:rsid w:val="00F53EA5"/>
    <w:rsid w:val="00F56213"/>
    <w:rsid w:val="00F72DC5"/>
    <w:rsid w:val="00F7412E"/>
    <w:rsid w:val="00F74FB2"/>
    <w:rsid w:val="00F778B2"/>
    <w:rsid w:val="00F80DAA"/>
    <w:rsid w:val="00F86A3C"/>
    <w:rsid w:val="00F87AFE"/>
    <w:rsid w:val="00F91DA6"/>
    <w:rsid w:val="00F96B4D"/>
    <w:rsid w:val="00FA2831"/>
    <w:rsid w:val="00FA7716"/>
    <w:rsid w:val="00FB0185"/>
    <w:rsid w:val="00FB150E"/>
    <w:rsid w:val="00FD1B17"/>
    <w:rsid w:val="00FE061B"/>
    <w:rsid w:val="00FE273D"/>
    <w:rsid w:val="00FE4F35"/>
    <w:rsid w:val="00FE5796"/>
    <w:rsid w:val="00FF1802"/>
    <w:rsid w:val="00FF332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70"/>
    <w:rPr>
      <w:sz w:val="24"/>
      <w:szCs w:val="24"/>
    </w:rPr>
  </w:style>
  <w:style w:type="paragraph" w:styleId="Heading3">
    <w:name w:val="heading 3"/>
    <w:basedOn w:val="Normal"/>
    <w:qFormat/>
    <w:rsid w:val="000F41F1"/>
    <w:pPr>
      <w:spacing w:before="100" w:beforeAutospacing="1" w:after="100" w:afterAutospacing="1"/>
      <w:outlineLvl w:val="2"/>
    </w:pPr>
    <w:rPr>
      <w:b/>
      <w:bCs/>
      <w:sz w:val="27"/>
      <w:szCs w:val="27"/>
    </w:rPr>
  </w:style>
  <w:style w:type="paragraph" w:styleId="Heading4">
    <w:name w:val="heading 4"/>
    <w:basedOn w:val="Normal"/>
    <w:link w:val="Heading4Char"/>
    <w:qFormat/>
    <w:rsid w:val="000F41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1F1"/>
    <w:rPr>
      <w:color w:val="0000FF"/>
      <w:u w:val="single"/>
    </w:rPr>
  </w:style>
  <w:style w:type="paragraph" w:styleId="NormalWeb">
    <w:name w:val="Normal (Web)"/>
    <w:basedOn w:val="Normal"/>
    <w:rsid w:val="000F41F1"/>
    <w:pPr>
      <w:spacing w:before="100" w:beforeAutospacing="1" w:after="100" w:afterAutospacing="1"/>
    </w:pPr>
  </w:style>
  <w:style w:type="table" w:styleId="TableGrid">
    <w:name w:val="Table Grid"/>
    <w:basedOn w:val="TableNormal"/>
    <w:rsid w:val="006C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5D02"/>
    <w:pPr>
      <w:ind w:firstLine="720"/>
    </w:pPr>
    <w:rPr>
      <w:sz w:val="28"/>
      <w:lang w:eastAsia="en-US"/>
    </w:rPr>
  </w:style>
  <w:style w:type="character" w:styleId="CommentReference">
    <w:name w:val="annotation reference"/>
    <w:semiHidden/>
    <w:rsid w:val="00D02C6A"/>
    <w:rPr>
      <w:sz w:val="16"/>
      <w:szCs w:val="16"/>
    </w:rPr>
  </w:style>
  <w:style w:type="paragraph" w:styleId="CommentText">
    <w:name w:val="annotation text"/>
    <w:basedOn w:val="Normal"/>
    <w:link w:val="CommentTextChar"/>
    <w:semiHidden/>
    <w:rsid w:val="00D02C6A"/>
    <w:rPr>
      <w:sz w:val="20"/>
      <w:szCs w:val="20"/>
    </w:rPr>
  </w:style>
  <w:style w:type="paragraph" w:styleId="BalloonText">
    <w:name w:val="Balloon Text"/>
    <w:basedOn w:val="Normal"/>
    <w:link w:val="BalloonTextChar"/>
    <w:uiPriority w:val="99"/>
    <w:semiHidden/>
    <w:rsid w:val="00D02C6A"/>
    <w:rPr>
      <w:rFonts w:ascii="Tahoma" w:hAnsi="Tahoma" w:cs="Tahoma"/>
      <w:sz w:val="16"/>
      <w:szCs w:val="16"/>
    </w:rPr>
  </w:style>
  <w:style w:type="paragraph" w:styleId="Header">
    <w:name w:val="header"/>
    <w:basedOn w:val="Normal"/>
    <w:link w:val="HeaderChar"/>
    <w:uiPriority w:val="99"/>
    <w:rsid w:val="00E6248E"/>
    <w:pPr>
      <w:tabs>
        <w:tab w:val="center" w:pos="4153"/>
        <w:tab w:val="right" w:pos="8306"/>
      </w:tabs>
    </w:pPr>
  </w:style>
  <w:style w:type="paragraph" w:styleId="Footer">
    <w:name w:val="footer"/>
    <w:basedOn w:val="Normal"/>
    <w:rsid w:val="00E6248E"/>
    <w:pPr>
      <w:tabs>
        <w:tab w:val="center" w:pos="4153"/>
        <w:tab w:val="right" w:pos="8306"/>
      </w:tabs>
    </w:pPr>
  </w:style>
  <w:style w:type="paragraph" w:customStyle="1" w:styleId="xl36">
    <w:name w:val="xl36"/>
    <w:basedOn w:val="Normal"/>
    <w:rsid w:val="002615B9"/>
    <w:pPr>
      <w:spacing w:before="100" w:beforeAutospacing="1" w:after="100" w:afterAutospacing="1"/>
      <w:jc w:val="both"/>
    </w:pPr>
    <w:rPr>
      <w:rFonts w:eastAsia="Arial Unicode MS"/>
      <w:lang w:val="en-GB" w:eastAsia="en-US"/>
    </w:rPr>
  </w:style>
  <w:style w:type="paragraph" w:styleId="CommentSubject">
    <w:name w:val="annotation subject"/>
    <w:basedOn w:val="CommentText"/>
    <w:next w:val="CommentText"/>
    <w:link w:val="CommentSubjectChar"/>
    <w:rsid w:val="00AA46F7"/>
    <w:rPr>
      <w:b/>
      <w:bCs/>
    </w:rPr>
  </w:style>
  <w:style w:type="character" w:customStyle="1" w:styleId="CommentTextChar">
    <w:name w:val="Comment Text Char"/>
    <w:basedOn w:val="DefaultParagraphFont"/>
    <w:link w:val="CommentText"/>
    <w:semiHidden/>
    <w:rsid w:val="00AA46F7"/>
  </w:style>
  <w:style w:type="character" w:customStyle="1" w:styleId="CommentSubjectChar">
    <w:name w:val="Comment Subject Char"/>
    <w:link w:val="CommentSubject"/>
    <w:rsid w:val="00AA46F7"/>
    <w:rPr>
      <w:b/>
      <w:bCs/>
    </w:rPr>
  </w:style>
  <w:style w:type="character" w:customStyle="1" w:styleId="HeaderChar">
    <w:name w:val="Header Char"/>
    <w:link w:val="Header"/>
    <w:uiPriority w:val="99"/>
    <w:rsid w:val="00EA0CB5"/>
    <w:rPr>
      <w:sz w:val="24"/>
      <w:szCs w:val="24"/>
    </w:rPr>
  </w:style>
  <w:style w:type="paragraph" w:styleId="BodyText">
    <w:name w:val="Body Text"/>
    <w:basedOn w:val="Normal"/>
    <w:link w:val="BodyTextChar"/>
    <w:rsid w:val="0049512E"/>
    <w:pPr>
      <w:jc w:val="both"/>
    </w:pPr>
    <w:rPr>
      <w:iCs/>
    </w:rPr>
  </w:style>
  <w:style w:type="character" w:customStyle="1" w:styleId="BodyTextChar">
    <w:name w:val="Body Text Char"/>
    <w:basedOn w:val="DefaultParagraphFont"/>
    <w:link w:val="BodyText"/>
    <w:rsid w:val="0049512E"/>
    <w:rPr>
      <w:iCs/>
      <w:sz w:val="24"/>
      <w:szCs w:val="24"/>
    </w:rPr>
  </w:style>
  <w:style w:type="character" w:customStyle="1" w:styleId="Heading4Char">
    <w:name w:val="Heading 4 Char"/>
    <w:link w:val="Heading4"/>
    <w:rsid w:val="005375C1"/>
    <w:rPr>
      <w:b/>
      <w:bCs/>
      <w:sz w:val="24"/>
      <w:szCs w:val="24"/>
    </w:rPr>
  </w:style>
  <w:style w:type="paragraph" w:customStyle="1" w:styleId="naisf">
    <w:name w:val="naisf"/>
    <w:basedOn w:val="Normal"/>
    <w:rsid w:val="00DC490F"/>
    <w:pPr>
      <w:spacing w:before="75" w:after="75"/>
      <w:ind w:firstLine="375"/>
      <w:jc w:val="both"/>
    </w:pPr>
  </w:style>
  <w:style w:type="paragraph" w:styleId="ListParagraph">
    <w:name w:val="List Paragraph"/>
    <w:basedOn w:val="Normal"/>
    <w:uiPriority w:val="34"/>
    <w:qFormat/>
    <w:rsid w:val="00EB54D1"/>
    <w:pPr>
      <w:ind w:left="720"/>
      <w:contextualSpacing/>
    </w:pPr>
    <w:rPr>
      <w:rFonts w:eastAsia="Calibri"/>
      <w:sz w:val="28"/>
      <w:szCs w:val="28"/>
      <w:lang w:val="en-GB" w:eastAsia="en-US"/>
    </w:rPr>
  </w:style>
  <w:style w:type="character" w:customStyle="1" w:styleId="BalloonTextChar">
    <w:name w:val="Balloon Text Char"/>
    <w:link w:val="BalloonText"/>
    <w:uiPriority w:val="99"/>
    <w:semiHidden/>
    <w:rsid w:val="00EB54D1"/>
    <w:rPr>
      <w:rFonts w:ascii="Tahoma" w:hAnsi="Tahoma" w:cs="Tahoma"/>
      <w:sz w:val="16"/>
      <w:szCs w:val="16"/>
    </w:rPr>
  </w:style>
  <w:style w:type="paragraph" w:customStyle="1" w:styleId="naisnod">
    <w:name w:val="naisnod"/>
    <w:basedOn w:val="Normal"/>
    <w:rsid w:val="009B7092"/>
    <w:pPr>
      <w:spacing w:before="150" w:after="150"/>
      <w:jc w:val="center"/>
    </w:pPr>
    <w:rPr>
      <w:b/>
      <w:bCs/>
    </w:rPr>
  </w:style>
  <w:style w:type="paragraph" w:customStyle="1" w:styleId="tv213">
    <w:name w:val="tv213"/>
    <w:basedOn w:val="Normal"/>
    <w:rsid w:val="00FF1802"/>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673798480">
      <w:bodyDiv w:val="1"/>
      <w:marLeft w:val="0"/>
      <w:marRight w:val="0"/>
      <w:marTop w:val="0"/>
      <w:marBottom w:val="0"/>
      <w:divBdr>
        <w:top w:val="none" w:sz="0" w:space="0" w:color="auto"/>
        <w:left w:val="none" w:sz="0" w:space="0" w:color="auto"/>
        <w:bottom w:val="none" w:sz="0" w:space="0" w:color="auto"/>
        <w:right w:val="none" w:sz="0" w:space="0" w:color="auto"/>
      </w:divBdr>
    </w:div>
    <w:div w:id="679434839">
      <w:bodyDiv w:val="1"/>
      <w:marLeft w:val="0"/>
      <w:marRight w:val="0"/>
      <w:marTop w:val="0"/>
      <w:marBottom w:val="0"/>
      <w:divBdr>
        <w:top w:val="none" w:sz="0" w:space="0" w:color="auto"/>
        <w:left w:val="none" w:sz="0" w:space="0" w:color="auto"/>
        <w:bottom w:val="none" w:sz="0" w:space="0" w:color="auto"/>
        <w:right w:val="none" w:sz="0" w:space="0" w:color="auto"/>
      </w:divBdr>
      <w:divsChild>
        <w:div w:id="7292053">
          <w:marLeft w:val="0"/>
          <w:marRight w:val="0"/>
          <w:marTop w:val="0"/>
          <w:marBottom w:val="0"/>
          <w:divBdr>
            <w:top w:val="none" w:sz="0" w:space="0" w:color="auto"/>
            <w:left w:val="none" w:sz="0" w:space="0" w:color="auto"/>
            <w:bottom w:val="none" w:sz="0" w:space="0" w:color="auto"/>
            <w:right w:val="none" w:sz="0" w:space="0" w:color="auto"/>
          </w:divBdr>
        </w:div>
        <w:div w:id="102655223">
          <w:marLeft w:val="0"/>
          <w:marRight w:val="0"/>
          <w:marTop w:val="0"/>
          <w:marBottom w:val="0"/>
          <w:divBdr>
            <w:top w:val="none" w:sz="0" w:space="0" w:color="auto"/>
            <w:left w:val="none" w:sz="0" w:space="0" w:color="auto"/>
            <w:bottom w:val="none" w:sz="0" w:space="0" w:color="auto"/>
            <w:right w:val="none" w:sz="0" w:space="0" w:color="auto"/>
          </w:divBdr>
        </w:div>
        <w:div w:id="191767022">
          <w:marLeft w:val="0"/>
          <w:marRight w:val="0"/>
          <w:marTop w:val="0"/>
          <w:marBottom w:val="0"/>
          <w:divBdr>
            <w:top w:val="none" w:sz="0" w:space="0" w:color="auto"/>
            <w:left w:val="none" w:sz="0" w:space="0" w:color="auto"/>
            <w:bottom w:val="none" w:sz="0" w:space="0" w:color="auto"/>
            <w:right w:val="none" w:sz="0" w:space="0" w:color="auto"/>
          </w:divBdr>
        </w:div>
        <w:div w:id="306202789">
          <w:marLeft w:val="0"/>
          <w:marRight w:val="0"/>
          <w:marTop w:val="0"/>
          <w:marBottom w:val="0"/>
          <w:divBdr>
            <w:top w:val="none" w:sz="0" w:space="0" w:color="auto"/>
            <w:left w:val="none" w:sz="0" w:space="0" w:color="auto"/>
            <w:bottom w:val="none" w:sz="0" w:space="0" w:color="auto"/>
            <w:right w:val="none" w:sz="0" w:space="0" w:color="auto"/>
          </w:divBdr>
        </w:div>
        <w:div w:id="388648313">
          <w:marLeft w:val="0"/>
          <w:marRight w:val="0"/>
          <w:marTop w:val="0"/>
          <w:marBottom w:val="0"/>
          <w:divBdr>
            <w:top w:val="none" w:sz="0" w:space="0" w:color="auto"/>
            <w:left w:val="none" w:sz="0" w:space="0" w:color="auto"/>
            <w:bottom w:val="none" w:sz="0" w:space="0" w:color="auto"/>
            <w:right w:val="none" w:sz="0" w:space="0" w:color="auto"/>
          </w:divBdr>
        </w:div>
        <w:div w:id="461265460">
          <w:marLeft w:val="0"/>
          <w:marRight w:val="0"/>
          <w:marTop w:val="0"/>
          <w:marBottom w:val="0"/>
          <w:divBdr>
            <w:top w:val="none" w:sz="0" w:space="0" w:color="auto"/>
            <w:left w:val="none" w:sz="0" w:space="0" w:color="auto"/>
            <w:bottom w:val="none" w:sz="0" w:space="0" w:color="auto"/>
            <w:right w:val="none" w:sz="0" w:space="0" w:color="auto"/>
          </w:divBdr>
        </w:div>
        <w:div w:id="920217380">
          <w:marLeft w:val="0"/>
          <w:marRight w:val="0"/>
          <w:marTop w:val="0"/>
          <w:marBottom w:val="0"/>
          <w:divBdr>
            <w:top w:val="none" w:sz="0" w:space="0" w:color="auto"/>
            <w:left w:val="none" w:sz="0" w:space="0" w:color="auto"/>
            <w:bottom w:val="none" w:sz="0" w:space="0" w:color="auto"/>
            <w:right w:val="none" w:sz="0" w:space="0" w:color="auto"/>
          </w:divBdr>
        </w:div>
        <w:div w:id="1225995426">
          <w:marLeft w:val="0"/>
          <w:marRight w:val="0"/>
          <w:marTop w:val="0"/>
          <w:marBottom w:val="0"/>
          <w:divBdr>
            <w:top w:val="none" w:sz="0" w:space="0" w:color="auto"/>
            <w:left w:val="none" w:sz="0" w:space="0" w:color="auto"/>
            <w:bottom w:val="none" w:sz="0" w:space="0" w:color="auto"/>
            <w:right w:val="none" w:sz="0" w:space="0" w:color="auto"/>
          </w:divBdr>
        </w:div>
        <w:div w:id="1238250724">
          <w:marLeft w:val="0"/>
          <w:marRight w:val="0"/>
          <w:marTop w:val="0"/>
          <w:marBottom w:val="0"/>
          <w:divBdr>
            <w:top w:val="none" w:sz="0" w:space="0" w:color="auto"/>
            <w:left w:val="none" w:sz="0" w:space="0" w:color="auto"/>
            <w:bottom w:val="none" w:sz="0" w:space="0" w:color="auto"/>
            <w:right w:val="none" w:sz="0" w:space="0" w:color="auto"/>
          </w:divBdr>
        </w:div>
        <w:div w:id="1256859203">
          <w:marLeft w:val="0"/>
          <w:marRight w:val="0"/>
          <w:marTop w:val="0"/>
          <w:marBottom w:val="0"/>
          <w:divBdr>
            <w:top w:val="none" w:sz="0" w:space="0" w:color="auto"/>
            <w:left w:val="none" w:sz="0" w:space="0" w:color="auto"/>
            <w:bottom w:val="none" w:sz="0" w:space="0" w:color="auto"/>
            <w:right w:val="none" w:sz="0" w:space="0" w:color="auto"/>
          </w:divBdr>
        </w:div>
        <w:div w:id="1597597003">
          <w:marLeft w:val="0"/>
          <w:marRight w:val="0"/>
          <w:marTop w:val="0"/>
          <w:marBottom w:val="0"/>
          <w:divBdr>
            <w:top w:val="none" w:sz="0" w:space="0" w:color="auto"/>
            <w:left w:val="none" w:sz="0" w:space="0" w:color="auto"/>
            <w:bottom w:val="none" w:sz="0" w:space="0" w:color="auto"/>
            <w:right w:val="none" w:sz="0" w:space="0" w:color="auto"/>
          </w:divBdr>
        </w:div>
        <w:div w:id="1740864766">
          <w:marLeft w:val="0"/>
          <w:marRight w:val="0"/>
          <w:marTop w:val="0"/>
          <w:marBottom w:val="0"/>
          <w:divBdr>
            <w:top w:val="none" w:sz="0" w:space="0" w:color="auto"/>
            <w:left w:val="none" w:sz="0" w:space="0" w:color="auto"/>
            <w:bottom w:val="none" w:sz="0" w:space="0" w:color="auto"/>
            <w:right w:val="none" w:sz="0" w:space="0" w:color="auto"/>
          </w:divBdr>
        </w:div>
        <w:div w:id="1756046883">
          <w:marLeft w:val="0"/>
          <w:marRight w:val="0"/>
          <w:marTop w:val="0"/>
          <w:marBottom w:val="0"/>
          <w:divBdr>
            <w:top w:val="none" w:sz="0" w:space="0" w:color="auto"/>
            <w:left w:val="none" w:sz="0" w:space="0" w:color="auto"/>
            <w:bottom w:val="none" w:sz="0" w:space="0" w:color="auto"/>
            <w:right w:val="none" w:sz="0" w:space="0" w:color="auto"/>
          </w:divBdr>
        </w:div>
        <w:div w:id="1912496825">
          <w:marLeft w:val="0"/>
          <w:marRight w:val="0"/>
          <w:marTop w:val="0"/>
          <w:marBottom w:val="0"/>
          <w:divBdr>
            <w:top w:val="none" w:sz="0" w:space="0" w:color="auto"/>
            <w:left w:val="none" w:sz="0" w:space="0" w:color="auto"/>
            <w:bottom w:val="none" w:sz="0" w:space="0" w:color="auto"/>
            <w:right w:val="none" w:sz="0" w:space="0" w:color="auto"/>
          </w:divBdr>
        </w:div>
        <w:div w:id="2146465532">
          <w:marLeft w:val="0"/>
          <w:marRight w:val="0"/>
          <w:marTop w:val="0"/>
          <w:marBottom w:val="0"/>
          <w:divBdr>
            <w:top w:val="none" w:sz="0" w:space="0" w:color="auto"/>
            <w:left w:val="none" w:sz="0" w:space="0" w:color="auto"/>
            <w:bottom w:val="none" w:sz="0" w:space="0" w:color="auto"/>
            <w:right w:val="none" w:sz="0" w:space="0" w:color="auto"/>
          </w:divBdr>
        </w:div>
      </w:divsChild>
    </w:div>
    <w:div w:id="1741174734">
      <w:bodyDiv w:val="1"/>
      <w:marLeft w:val="0"/>
      <w:marRight w:val="0"/>
      <w:marTop w:val="0"/>
      <w:marBottom w:val="0"/>
      <w:divBdr>
        <w:top w:val="none" w:sz="0" w:space="0" w:color="auto"/>
        <w:left w:val="none" w:sz="0" w:space="0" w:color="auto"/>
        <w:bottom w:val="none" w:sz="0" w:space="0" w:color="auto"/>
        <w:right w:val="none" w:sz="0" w:space="0" w:color="auto"/>
      </w:divBdr>
      <w:divsChild>
        <w:div w:id="132605084">
          <w:marLeft w:val="0"/>
          <w:marRight w:val="0"/>
          <w:marTop w:val="0"/>
          <w:marBottom w:val="0"/>
          <w:divBdr>
            <w:top w:val="none" w:sz="0" w:space="0" w:color="auto"/>
            <w:left w:val="none" w:sz="0" w:space="0" w:color="auto"/>
            <w:bottom w:val="none" w:sz="0" w:space="0" w:color="auto"/>
            <w:right w:val="none" w:sz="0" w:space="0" w:color="auto"/>
          </w:divBdr>
          <w:divsChild>
            <w:div w:id="390544028">
              <w:marLeft w:val="0"/>
              <w:marRight w:val="0"/>
              <w:marTop w:val="0"/>
              <w:marBottom w:val="0"/>
              <w:divBdr>
                <w:top w:val="none" w:sz="0" w:space="0" w:color="auto"/>
                <w:left w:val="none" w:sz="0" w:space="0" w:color="auto"/>
                <w:bottom w:val="none" w:sz="0" w:space="0" w:color="auto"/>
                <w:right w:val="none" w:sz="0" w:space="0" w:color="auto"/>
              </w:divBdr>
              <w:divsChild>
                <w:div w:id="1860001666">
                  <w:marLeft w:val="0"/>
                  <w:marRight w:val="0"/>
                  <w:marTop w:val="0"/>
                  <w:marBottom w:val="0"/>
                  <w:divBdr>
                    <w:top w:val="none" w:sz="0" w:space="0" w:color="auto"/>
                    <w:left w:val="none" w:sz="0" w:space="0" w:color="auto"/>
                    <w:bottom w:val="none" w:sz="0" w:space="0" w:color="auto"/>
                    <w:right w:val="none" w:sz="0" w:space="0" w:color="auto"/>
                  </w:divBdr>
                  <w:divsChild>
                    <w:div w:id="482282470">
                      <w:marLeft w:val="0"/>
                      <w:marRight w:val="0"/>
                      <w:marTop w:val="0"/>
                      <w:marBottom w:val="0"/>
                      <w:divBdr>
                        <w:top w:val="none" w:sz="0" w:space="0" w:color="auto"/>
                        <w:left w:val="none" w:sz="0" w:space="0" w:color="auto"/>
                        <w:bottom w:val="none" w:sz="0" w:space="0" w:color="auto"/>
                        <w:right w:val="none" w:sz="0" w:space="0" w:color="auto"/>
                      </w:divBdr>
                      <w:divsChild>
                        <w:div w:id="1304194395">
                          <w:marLeft w:val="0"/>
                          <w:marRight w:val="0"/>
                          <w:marTop w:val="300"/>
                          <w:marBottom w:val="0"/>
                          <w:divBdr>
                            <w:top w:val="none" w:sz="0" w:space="0" w:color="auto"/>
                            <w:left w:val="none" w:sz="0" w:space="0" w:color="auto"/>
                            <w:bottom w:val="none" w:sz="0" w:space="0" w:color="auto"/>
                            <w:right w:val="none" w:sz="0" w:space="0" w:color="auto"/>
                          </w:divBdr>
                          <w:divsChild>
                            <w:div w:id="1987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5C7B-BDED-457D-8251-1BCBFDB2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827</Words>
  <Characters>7197</Characters>
  <Application>Microsoft Office Word</Application>
  <DocSecurity>0</DocSecurity>
  <Lines>599</Lines>
  <Paragraphs>297</Paragraphs>
  <ScaleCrop>false</ScaleCrop>
  <HeadingPairs>
    <vt:vector size="2" baseType="variant">
      <vt:variant>
        <vt:lpstr>Title</vt:lpstr>
      </vt:variant>
      <vt:variant>
        <vt:i4>1</vt:i4>
      </vt:variant>
    </vt:vector>
  </HeadingPairs>
  <TitlesOfParts>
    <vt:vector size="1" baseType="lpstr">
      <vt:lpstr>Ministru kabineta noteikumu projekta „Par medicīnisko pretlīdzekļu kopīgā iepirkuma nolīgumu” sākotnējās ietekmes novērtējuma ziņojums (anotācija)</vt:lpstr>
    </vt:vector>
  </TitlesOfParts>
  <Company>Veselības ministrija</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medicīnisko pretlīdzekļu kopīgā iepirkuma nolīgumu” sākotnējās ietekmes novērtējuma ziņojums (anotācija)</dc:title>
  <dc:subject>Anotācija</dc:subject>
  <dc:creator>L.Pauliņš</dc:creator>
  <dc:description>ludis.paulins@vm.gov.lv
67876024</dc:description>
  <cp:lastModifiedBy>lpaulins</cp:lastModifiedBy>
  <cp:revision>7</cp:revision>
  <cp:lastPrinted>2014-05-30T13:56:00Z</cp:lastPrinted>
  <dcterms:created xsi:type="dcterms:W3CDTF">2014-06-05T07:48:00Z</dcterms:created>
  <dcterms:modified xsi:type="dcterms:W3CDTF">2014-06-05T11:29:00Z</dcterms:modified>
</cp:coreProperties>
</file>