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412" w:rsidRPr="0092217C" w:rsidRDefault="00C83412" w:rsidP="00C83412">
      <w:pPr>
        <w:pStyle w:val="NormalWeb"/>
        <w:spacing w:before="0" w:beforeAutospacing="0" w:after="0" w:afterAutospacing="0"/>
        <w:jc w:val="center"/>
        <w:rPr>
          <w:b/>
          <w:bCs/>
          <w:sz w:val="28"/>
          <w:szCs w:val="28"/>
        </w:rPr>
      </w:pPr>
      <w:r w:rsidRPr="0092217C">
        <w:rPr>
          <w:b/>
          <w:bCs/>
          <w:sz w:val="28"/>
          <w:szCs w:val="28"/>
        </w:rPr>
        <w:t>Ministru kabineta rīkojuma projekta „Par finanšu līdzekļu</w:t>
      </w:r>
    </w:p>
    <w:p w:rsidR="00C83412" w:rsidRPr="0092217C" w:rsidRDefault="00C83412" w:rsidP="00C83412">
      <w:pPr>
        <w:pStyle w:val="NormalWeb"/>
        <w:spacing w:before="0" w:beforeAutospacing="0" w:after="0" w:afterAutospacing="0"/>
        <w:jc w:val="center"/>
        <w:rPr>
          <w:b/>
          <w:bCs/>
          <w:sz w:val="28"/>
          <w:szCs w:val="28"/>
        </w:rPr>
      </w:pPr>
      <w:r w:rsidRPr="0092217C">
        <w:rPr>
          <w:b/>
          <w:bCs/>
          <w:sz w:val="28"/>
          <w:szCs w:val="28"/>
        </w:rPr>
        <w:t>piešķiršanu no valsts budžeta programmas „Līdzekļi neparedzētiem</w:t>
      </w:r>
    </w:p>
    <w:p w:rsidR="00C83412" w:rsidRPr="0092217C" w:rsidRDefault="00C83412" w:rsidP="00C83412">
      <w:pPr>
        <w:pStyle w:val="NormalWeb"/>
        <w:spacing w:before="0" w:beforeAutospacing="0" w:after="0" w:afterAutospacing="0"/>
        <w:jc w:val="center"/>
        <w:rPr>
          <w:b/>
          <w:bCs/>
          <w:sz w:val="28"/>
          <w:szCs w:val="28"/>
        </w:rPr>
      </w:pPr>
      <w:r w:rsidRPr="0092217C">
        <w:rPr>
          <w:b/>
          <w:bCs/>
          <w:sz w:val="28"/>
          <w:szCs w:val="28"/>
        </w:rPr>
        <w:t>gadījumiem”” sākotnējās ietekmes novērtējuma ziņojums (anotācija)</w:t>
      </w:r>
    </w:p>
    <w:p w:rsidR="008C5649" w:rsidRPr="00CB2B21" w:rsidRDefault="008C5649" w:rsidP="00C83412">
      <w:pPr>
        <w:pStyle w:val="naislab"/>
        <w:spacing w:before="0" w:after="0"/>
        <w:jc w:val="center"/>
        <w:outlineLvl w:val="0"/>
        <w:rPr>
          <w:b/>
          <w:sz w:val="20"/>
          <w:szCs w:val="20"/>
        </w:rPr>
      </w:pPr>
    </w:p>
    <w:tbl>
      <w:tblPr>
        <w:tblpPr w:leftFromText="180" w:rightFromText="180" w:vertAnchor="text" w:horzAnchor="margin" w:tblpXSpec="center" w:tblpY="149"/>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03"/>
        <w:gridCol w:w="2721"/>
        <w:gridCol w:w="6090"/>
      </w:tblGrid>
      <w:tr w:rsidR="00852042" w:rsidRPr="0092217C" w:rsidTr="006C418A">
        <w:tc>
          <w:tcPr>
            <w:tcW w:w="9214" w:type="dxa"/>
            <w:gridSpan w:val="3"/>
            <w:vAlign w:val="center"/>
          </w:tcPr>
          <w:p w:rsidR="00852042" w:rsidRPr="0092217C" w:rsidRDefault="00852042" w:rsidP="006C4607">
            <w:pPr>
              <w:pStyle w:val="naisnod"/>
              <w:spacing w:before="0" w:after="0"/>
              <w:rPr>
                <w:sz w:val="28"/>
                <w:szCs w:val="28"/>
              </w:rPr>
            </w:pPr>
            <w:r w:rsidRPr="0092217C">
              <w:rPr>
                <w:sz w:val="28"/>
                <w:szCs w:val="28"/>
              </w:rPr>
              <w:t>I</w:t>
            </w:r>
            <w:r w:rsidR="000941C5" w:rsidRPr="0092217C">
              <w:rPr>
                <w:sz w:val="28"/>
                <w:szCs w:val="28"/>
              </w:rPr>
              <w:t>.</w:t>
            </w:r>
            <w:r w:rsidRPr="0092217C">
              <w:rPr>
                <w:sz w:val="28"/>
                <w:szCs w:val="28"/>
              </w:rPr>
              <w:t xml:space="preserve"> Tiesību akta </w:t>
            </w:r>
            <w:r w:rsidR="002E3FF4" w:rsidRPr="0092217C">
              <w:rPr>
                <w:sz w:val="28"/>
                <w:szCs w:val="28"/>
              </w:rPr>
              <w:t xml:space="preserve">projekta </w:t>
            </w:r>
            <w:r w:rsidRPr="0092217C">
              <w:rPr>
                <w:sz w:val="28"/>
                <w:szCs w:val="28"/>
              </w:rPr>
              <w:t>izstrādes nepieciešamība</w:t>
            </w:r>
          </w:p>
        </w:tc>
      </w:tr>
      <w:tr w:rsidR="00262E2B" w:rsidRPr="00BF0547" w:rsidTr="00F931B1">
        <w:trPr>
          <w:trHeight w:val="630"/>
        </w:trPr>
        <w:tc>
          <w:tcPr>
            <w:tcW w:w="403" w:type="dxa"/>
          </w:tcPr>
          <w:p w:rsidR="00262E2B" w:rsidRPr="00BF0547" w:rsidRDefault="00262E2B" w:rsidP="006C4607">
            <w:pPr>
              <w:pStyle w:val="naiskr"/>
              <w:spacing w:before="0" w:after="0"/>
              <w:rPr>
                <w:sz w:val="28"/>
                <w:szCs w:val="28"/>
              </w:rPr>
            </w:pPr>
            <w:r w:rsidRPr="00BF0547">
              <w:rPr>
                <w:sz w:val="28"/>
                <w:szCs w:val="28"/>
              </w:rPr>
              <w:t>1.</w:t>
            </w:r>
          </w:p>
        </w:tc>
        <w:tc>
          <w:tcPr>
            <w:tcW w:w="2721" w:type="dxa"/>
          </w:tcPr>
          <w:p w:rsidR="00262E2B" w:rsidRPr="00BF0547" w:rsidRDefault="002D7F54" w:rsidP="006C4607">
            <w:pPr>
              <w:pStyle w:val="naiskr"/>
              <w:spacing w:before="0" w:after="0"/>
              <w:ind w:hanging="10"/>
              <w:rPr>
                <w:sz w:val="28"/>
                <w:szCs w:val="28"/>
              </w:rPr>
            </w:pPr>
            <w:r w:rsidRPr="00BF0547">
              <w:rPr>
                <w:sz w:val="28"/>
                <w:szCs w:val="28"/>
              </w:rPr>
              <w:t>Pamatojums</w:t>
            </w:r>
          </w:p>
        </w:tc>
        <w:tc>
          <w:tcPr>
            <w:tcW w:w="6090" w:type="dxa"/>
          </w:tcPr>
          <w:p w:rsidR="000F6B39" w:rsidRPr="00BF0547" w:rsidRDefault="00243069" w:rsidP="00470013">
            <w:pPr>
              <w:pStyle w:val="naiskr"/>
              <w:tabs>
                <w:tab w:val="left" w:pos="390"/>
              </w:tabs>
              <w:spacing w:before="0" w:after="0"/>
              <w:jc w:val="both"/>
              <w:rPr>
                <w:sz w:val="28"/>
                <w:szCs w:val="28"/>
              </w:rPr>
            </w:pPr>
            <w:r w:rsidRPr="00BF0547">
              <w:rPr>
                <w:sz w:val="28"/>
                <w:szCs w:val="28"/>
              </w:rPr>
              <w:t>Ministru kabineta 2009.gada 22.decembra noteikumu Nr.1644 „Kārtība, kādā pieprasa un izlieto budžeta programmas „Līdzekļi neparedzētiem gadījumiem” līdzekļus” 3.punkts, kas nosaka, ka līdzekļus piešķir valsts pamatbudžeta apropriācijās neparedzētiem izdevumiem katastrofu un dabas stihiju seku novēršanai, to radīto zaudējumu kompensēšanai, valsts pārvaldes uzdevumu nodrošināšanai gadījumos, ja netiek izpildītas līgumsaistības un no sadarbības partnera tiek iekasēts vai ieturēts līgumsods vai procentu maksājums par saistību neizpildi, citiem neparedzētiem gadījumiem un valstiski īpaši nozīmīgiem pasākumiem.</w:t>
            </w:r>
          </w:p>
          <w:p w:rsidR="00031FA2" w:rsidRPr="00BF0547" w:rsidRDefault="00031FA2" w:rsidP="00470013">
            <w:pPr>
              <w:pStyle w:val="naiskr"/>
              <w:tabs>
                <w:tab w:val="left" w:pos="390"/>
              </w:tabs>
              <w:spacing w:before="0" w:after="0"/>
              <w:jc w:val="both"/>
              <w:rPr>
                <w:sz w:val="28"/>
                <w:szCs w:val="28"/>
              </w:rPr>
            </w:pPr>
            <w:r w:rsidRPr="00BF0547">
              <w:rPr>
                <w:sz w:val="28"/>
                <w:szCs w:val="28"/>
              </w:rPr>
              <w:t>Ministru kabineta 2013.gada 22.novembra ārkārtas sēdes protokol</w:t>
            </w:r>
            <w:r w:rsidR="00FC01BC">
              <w:rPr>
                <w:sz w:val="28"/>
                <w:szCs w:val="28"/>
              </w:rPr>
              <w:t>a</w:t>
            </w:r>
            <w:r w:rsidRPr="00BF0547">
              <w:rPr>
                <w:sz w:val="28"/>
                <w:szCs w:val="28"/>
              </w:rPr>
              <w:t xml:space="preserve"> Nr.62 1</w:t>
            </w:r>
            <w:r w:rsidR="00835D6B" w:rsidRPr="00BF0547">
              <w:rPr>
                <w:sz w:val="28"/>
                <w:szCs w:val="28"/>
              </w:rPr>
              <w:t>.</w:t>
            </w:r>
            <w:r w:rsidRPr="00BF0547">
              <w:rPr>
                <w:sz w:val="28"/>
                <w:szCs w:val="28"/>
              </w:rPr>
              <w:t xml:space="preserve">§ „Par situāciju saistībā ar traģēdiju tirdzniecības centrā Priedaines ielā 20, Rīgā un veicamajiem pasākumiem traģēdijas seku novēršanai” </w:t>
            </w:r>
            <w:r w:rsidR="00FC01BC">
              <w:rPr>
                <w:sz w:val="28"/>
                <w:szCs w:val="28"/>
              </w:rPr>
              <w:t xml:space="preserve">6.4.apakšpunkts </w:t>
            </w:r>
            <w:r w:rsidRPr="00BF0547">
              <w:rPr>
                <w:sz w:val="28"/>
                <w:szCs w:val="28"/>
              </w:rPr>
              <w:t>.</w:t>
            </w:r>
          </w:p>
          <w:p w:rsidR="00BE2DCE" w:rsidRPr="00BF0547" w:rsidRDefault="0076757D" w:rsidP="00AA57DB">
            <w:pPr>
              <w:pStyle w:val="naiskr"/>
              <w:tabs>
                <w:tab w:val="left" w:pos="390"/>
              </w:tabs>
              <w:spacing w:before="0" w:after="0"/>
              <w:jc w:val="both"/>
              <w:rPr>
                <w:sz w:val="28"/>
                <w:szCs w:val="28"/>
              </w:rPr>
            </w:pPr>
            <w:r w:rsidRPr="001B7407">
              <w:rPr>
                <w:sz w:val="28"/>
                <w:szCs w:val="28"/>
              </w:rPr>
              <w:t xml:space="preserve">Ministru kabineta 2013.gada </w:t>
            </w:r>
            <w:r w:rsidR="00AA57DB" w:rsidRPr="001B7407">
              <w:rPr>
                <w:sz w:val="28"/>
                <w:szCs w:val="28"/>
              </w:rPr>
              <w:t>4</w:t>
            </w:r>
            <w:r w:rsidRPr="001B7407">
              <w:rPr>
                <w:sz w:val="28"/>
                <w:szCs w:val="28"/>
              </w:rPr>
              <w:t>.decembra rīkojum</w:t>
            </w:r>
            <w:r w:rsidR="00FC01BC">
              <w:rPr>
                <w:sz w:val="28"/>
                <w:szCs w:val="28"/>
              </w:rPr>
              <w:t>a</w:t>
            </w:r>
            <w:r w:rsidRPr="00BF0547">
              <w:rPr>
                <w:sz w:val="28"/>
                <w:szCs w:val="28"/>
              </w:rPr>
              <w:t xml:space="preserve"> Nr.590 „Par atbalsta pasākumiem traģēdijā Priedaines ielā 20, Rīgā, cietušajiem un seku novēršanā iesaistītajām personām”</w:t>
            </w:r>
            <w:r w:rsidR="00FC01BC">
              <w:rPr>
                <w:sz w:val="28"/>
                <w:szCs w:val="28"/>
              </w:rPr>
              <w:t xml:space="preserve"> 5.punkts</w:t>
            </w:r>
            <w:r w:rsidRPr="00BF0547">
              <w:rPr>
                <w:sz w:val="28"/>
                <w:szCs w:val="28"/>
              </w:rPr>
              <w:t>.</w:t>
            </w:r>
          </w:p>
        </w:tc>
      </w:tr>
      <w:tr w:rsidR="00262E2B" w:rsidRPr="00BF0547" w:rsidTr="00F931B1">
        <w:trPr>
          <w:trHeight w:val="472"/>
        </w:trPr>
        <w:tc>
          <w:tcPr>
            <w:tcW w:w="403" w:type="dxa"/>
          </w:tcPr>
          <w:p w:rsidR="00262E2B" w:rsidRPr="00BF0547" w:rsidRDefault="00262E2B" w:rsidP="006C4607">
            <w:pPr>
              <w:pStyle w:val="naiskr"/>
              <w:spacing w:before="0" w:after="0"/>
              <w:rPr>
                <w:sz w:val="28"/>
                <w:szCs w:val="28"/>
              </w:rPr>
            </w:pPr>
            <w:r w:rsidRPr="00BF0547">
              <w:rPr>
                <w:sz w:val="28"/>
                <w:szCs w:val="28"/>
              </w:rPr>
              <w:t>2.</w:t>
            </w:r>
          </w:p>
        </w:tc>
        <w:tc>
          <w:tcPr>
            <w:tcW w:w="2721" w:type="dxa"/>
          </w:tcPr>
          <w:p w:rsidR="00262E2B" w:rsidRPr="00BF0547" w:rsidRDefault="00262E2B" w:rsidP="006C4607">
            <w:pPr>
              <w:pStyle w:val="naiskr"/>
              <w:tabs>
                <w:tab w:val="left" w:pos="170"/>
              </w:tabs>
              <w:spacing w:before="0" w:after="0"/>
              <w:rPr>
                <w:sz w:val="28"/>
                <w:szCs w:val="28"/>
              </w:rPr>
            </w:pPr>
            <w:r w:rsidRPr="00BF0547">
              <w:rPr>
                <w:sz w:val="28"/>
                <w:szCs w:val="28"/>
              </w:rPr>
              <w:t>Pašreizējā situācija</w:t>
            </w:r>
            <w:r w:rsidR="001F5CD6" w:rsidRPr="00BF0547">
              <w:rPr>
                <w:sz w:val="28"/>
                <w:szCs w:val="28"/>
              </w:rPr>
              <w:t xml:space="preserve"> un problēmas</w:t>
            </w:r>
            <w:r w:rsidR="006E626B" w:rsidRPr="00BF0547">
              <w:rPr>
                <w:sz w:val="28"/>
                <w:szCs w:val="28"/>
              </w:rPr>
              <w:t>, kuru risināšanai tiesību akta projekts izstrādāts,  tiesiskā regulējuma mērķis un būtība</w:t>
            </w:r>
          </w:p>
        </w:tc>
        <w:tc>
          <w:tcPr>
            <w:tcW w:w="6090" w:type="dxa"/>
          </w:tcPr>
          <w:p w:rsidR="0048779B" w:rsidRPr="00BF0547" w:rsidRDefault="0048779B" w:rsidP="0048779B">
            <w:pPr>
              <w:pStyle w:val="tv213"/>
              <w:spacing w:before="0" w:beforeAutospacing="0" w:after="0" w:afterAutospacing="0"/>
              <w:jc w:val="both"/>
              <w:rPr>
                <w:sz w:val="28"/>
                <w:szCs w:val="28"/>
              </w:rPr>
            </w:pPr>
            <w:r w:rsidRPr="00BF0547">
              <w:rPr>
                <w:sz w:val="28"/>
                <w:szCs w:val="28"/>
              </w:rPr>
              <w:t xml:space="preserve">Saskaņā ar Ministru kabineta 2013.gada 22.novembra ārkārtas sēdes protokola Nr.62 1§ („Par situāciju saistībā ar traģēdiju tirdzniecības centrā Priedaines ielā 20, Rīgā un veicamajiem pasākumiem traģēdijas seku novēršanai” TA-3439) 6.punktā Veselības ministrijai doto uzdevumu 2013.gada 27.novembrī tika izdots Veselības ministrijas rīkojums Nr.222 „Par veicamajiem pasākumiem saistībā ar traģēdiju tirdzniecības centrā Priedaines ielā 20, Rīgā”, kur tika uzdots </w:t>
            </w:r>
            <w:r w:rsidR="009000E3">
              <w:rPr>
                <w:sz w:val="28"/>
                <w:szCs w:val="28"/>
              </w:rPr>
              <w:t xml:space="preserve">Nacionālajam veselības dienestam (turpmāk – </w:t>
            </w:r>
            <w:r w:rsidRPr="00BF0547">
              <w:rPr>
                <w:sz w:val="28"/>
                <w:szCs w:val="28"/>
              </w:rPr>
              <w:t>NVD</w:t>
            </w:r>
            <w:r w:rsidR="009000E3">
              <w:rPr>
                <w:sz w:val="28"/>
                <w:szCs w:val="28"/>
              </w:rPr>
              <w:t>)</w:t>
            </w:r>
            <w:r w:rsidRPr="00BF0547">
              <w:rPr>
                <w:sz w:val="28"/>
                <w:szCs w:val="28"/>
              </w:rPr>
              <w:t xml:space="preserve"> nodrošināt, ka ārstniecības iestādes apkopo rēķinus, bet neiekasē tiesību aktos noteiktās pacienta iemaksas un </w:t>
            </w:r>
            <w:proofErr w:type="spellStart"/>
            <w:r w:rsidRPr="00BF0547">
              <w:rPr>
                <w:sz w:val="28"/>
                <w:szCs w:val="28"/>
              </w:rPr>
              <w:t>līdzmaksājumus</w:t>
            </w:r>
            <w:proofErr w:type="spellEnd"/>
            <w:r w:rsidRPr="00BF0547">
              <w:rPr>
                <w:sz w:val="28"/>
                <w:szCs w:val="28"/>
              </w:rPr>
              <w:t xml:space="preserve"> no traģēdijā cietušajiem, apkopot informāciju par izdevumiem saistībā ar traģēdijā cietušajiem sniegto medicīnisko palīdzību no ārstniecības iestādēm  un nodrošināt, ka ārstniecības iestādes atmaksā no traģēdijā cietušajiem </w:t>
            </w:r>
            <w:r w:rsidRPr="00BF0547">
              <w:rPr>
                <w:sz w:val="28"/>
                <w:szCs w:val="28"/>
              </w:rPr>
              <w:lastRenderedPageBreak/>
              <w:t xml:space="preserve">līdz šim iekasētās pacienta iemaksas un </w:t>
            </w:r>
            <w:proofErr w:type="spellStart"/>
            <w:r w:rsidRPr="00BF0547">
              <w:rPr>
                <w:sz w:val="28"/>
                <w:szCs w:val="28"/>
              </w:rPr>
              <w:t>līdzmaksājumus</w:t>
            </w:r>
            <w:proofErr w:type="spellEnd"/>
            <w:r w:rsidRPr="00BF0547">
              <w:rPr>
                <w:sz w:val="28"/>
                <w:szCs w:val="28"/>
              </w:rPr>
              <w:t>. Kā rezultātā  ārstniecības iestādēm,  kuras sniegušas ambulatoros un stacionāros veselības aprūpes pakalpojumus tirdzniecības centra „</w:t>
            </w:r>
            <w:proofErr w:type="spellStart"/>
            <w:r w:rsidRPr="00BF0547">
              <w:rPr>
                <w:sz w:val="28"/>
                <w:szCs w:val="28"/>
              </w:rPr>
              <w:t>Maxima</w:t>
            </w:r>
            <w:proofErr w:type="spellEnd"/>
            <w:r w:rsidRPr="00BF0547">
              <w:rPr>
                <w:sz w:val="28"/>
                <w:szCs w:val="28"/>
              </w:rPr>
              <w:t>” traģēdijas cietušajiem</w:t>
            </w:r>
            <w:r w:rsidR="00F2310B">
              <w:rPr>
                <w:sz w:val="28"/>
                <w:szCs w:val="28"/>
              </w:rPr>
              <w:t>,</w:t>
            </w:r>
            <w:r w:rsidRPr="00BF0547">
              <w:rPr>
                <w:sz w:val="28"/>
                <w:szCs w:val="28"/>
              </w:rPr>
              <w:t xml:space="preserve"> radušies papildus izdevumi, kurus ir nepieciešamas kompensēt atbilstoši</w:t>
            </w:r>
            <w:r w:rsidR="00F2310B">
              <w:rPr>
                <w:sz w:val="28"/>
                <w:szCs w:val="28"/>
              </w:rPr>
              <w:t xml:space="preserve"> Ministru kabineta</w:t>
            </w:r>
            <w:r w:rsidR="00FC01BC">
              <w:rPr>
                <w:sz w:val="28"/>
                <w:szCs w:val="28"/>
              </w:rPr>
              <w:t xml:space="preserve"> </w:t>
            </w:r>
            <w:r w:rsidR="00F2310B">
              <w:rPr>
                <w:sz w:val="28"/>
                <w:szCs w:val="28"/>
              </w:rPr>
              <w:t>2013.gada 22.novembra ārkārtas sēdes protokola Nr.62 1.§ 6.4.punktam un</w:t>
            </w:r>
            <w:r w:rsidRPr="00BF0547">
              <w:rPr>
                <w:sz w:val="28"/>
                <w:szCs w:val="28"/>
              </w:rPr>
              <w:t xml:space="preserve"> Ministru kabineta 2013.gada 19.decembra rīkojuma Nr.590 „Par atbalsta pasākumiem traģēdijā Priedaines ielā 20, Rīgā, cietušajiem un seku novēršanā iesaistītajām personām”</w:t>
            </w:r>
            <w:r w:rsidR="00FC01BC">
              <w:rPr>
                <w:sz w:val="28"/>
                <w:szCs w:val="28"/>
              </w:rPr>
              <w:t xml:space="preserve"> 5.punktam</w:t>
            </w:r>
            <w:r w:rsidRPr="00BF0547">
              <w:rPr>
                <w:sz w:val="28"/>
                <w:szCs w:val="28"/>
              </w:rPr>
              <w:t xml:space="preserve">. </w:t>
            </w:r>
          </w:p>
          <w:p w:rsidR="0048779B" w:rsidRDefault="0048779B" w:rsidP="0048779B">
            <w:pPr>
              <w:pStyle w:val="tv213"/>
              <w:spacing w:before="0" w:beforeAutospacing="0" w:after="0" w:afterAutospacing="0"/>
              <w:jc w:val="both"/>
              <w:rPr>
                <w:sz w:val="28"/>
                <w:szCs w:val="28"/>
              </w:rPr>
            </w:pPr>
          </w:p>
          <w:p w:rsidR="00B6307B" w:rsidRDefault="00B6307B" w:rsidP="00B6307B">
            <w:pPr>
              <w:jc w:val="both"/>
              <w:rPr>
                <w:bCs/>
                <w:sz w:val="28"/>
                <w:szCs w:val="28"/>
              </w:rPr>
            </w:pPr>
            <w:r w:rsidRPr="004D2D4B">
              <w:rPr>
                <w:sz w:val="28"/>
                <w:szCs w:val="28"/>
              </w:rPr>
              <w:t xml:space="preserve">Ārstniecības iestādēm </w:t>
            </w:r>
            <w:r>
              <w:rPr>
                <w:sz w:val="28"/>
                <w:szCs w:val="28"/>
              </w:rPr>
              <w:t xml:space="preserve"> radušos izdevumu kompensācija </w:t>
            </w:r>
            <w:r w:rsidR="00936317" w:rsidRPr="003F35B6">
              <w:rPr>
                <w:sz w:val="28"/>
                <w:szCs w:val="28"/>
              </w:rPr>
              <w:t>46</w:t>
            </w:r>
            <w:r w:rsidR="00936317">
              <w:rPr>
                <w:sz w:val="28"/>
                <w:szCs w:val="28"/>
              </w:rPr>
              <w:t> </w:t>
            </w:r>
            <w:r w:rsidR="00936317" w:rsidRPr="003F35B6">
              <w:rPr>
                <w:sz w:val="28"/>
                <w:szCs w:val="28"/>
              </w:rPr>
              <w:t xml:space="preserve">160 </w:t>
            </w:r>
            <w:proofErr w:type="spellStart"/>
            <w:r w:rsidR="00936317" w:rsidRPr="00936317">
              <w:rPr>
                <w:bCs/>
                <w:i/>
                <w:sz w:val="28"/>
                <w:szCs w:val="28"/>
              </w:rPr>
              <w:t>euro</w:t>
            </w:r>
            <w:proofErr w:type="spellEnd"/>
            <w:r w:rsidR="00936317">
              <w:rPr>
                <w:bCs/>
                <w:sz w:val="28"/>
                <w:szCs w:val="28"/>
              </w:rPr>
              <w:t xml:space="preserve"> apmērā </w:t>
            </w:r>
            <w:r>
              <w:rPr>
                <w:bCs/>
                <w:sz w:val="28"/>
                <w:szCs w:val="28"/>
              </w:rPr>
              <w:t>par a</w:t>
            </w:r>
            <w:r w:rsidRPr="00CC3C67">
              <w:rPr>
                <w:bCs/>
                <w:sz w:val="28"/>
                <w:szCs w:val="28"/>
              </w:rPr>
              <w:t xml:space="preserve">mbulatoro un stacionāro </w:t>
            </w:r>
            <w:r w:rsidR="00FC01BC">
              <w:rPr>
                <w:bCs/>
                <w:sz w:val="28"/>
                <w:szCs w:val="28"/>
              </w:rPr>
              <w:t xml:space="preserve">veselības aprūpes </w:t>
            </w:r>
            <w:r w:rsidRPr="00CC3C67">
              <w:rPr>
                <w:bCs/>
                <w:sz w:val="28"/>
                <w:szCs w:val="28"/>
              </w:rPr>
              <w:t>pakalpojumu apjom</w:t>
            </w:r>
            <w:r>
              <w:rPr>
                <w:bCs/>
                <w:sz w:val="28"/>
                <w:szCs w:val="28"/>
              </w:rPr>
              <w:t>u</w:t>
            </w:r>
            <w:r w:rsidRPr="00CC3C67">
              <w:rPr>
                <w:bCs/>
                <w:sz w:val="28"/>
                <w:szCs w:val="28"/>
              </w:rPr>
              <w:t xml:space="preserve"> no 2013.gada 21.novembra līdz 2014.gada 31.janvārim</w:t>
            </w:r>
            <w:r>
              <w:rPr>
                <w:bCs/>
                <w:sz w:val="28"/>
                <w:szCs w:val="28"/>
              </w:rPr>
              <w:t xml:space="preserve"> tika </w:t>
            </w:r>
            <w:r w:rsidR="00FC01BC">
              <w:rPr>
                <w:bCs/>
                <w:sz w:val="28"/>
                <w:szCs w:val="28"/>
              </w:rPr>
              <w:t xml:space="preserve">nodrošināta </w:t>
            </w:r>
            <w:r>
              <w:rPr>
                <w:bCs/>
                <w:sz w:val="28"/>
                <w:szCs w:val="28"/>
              </w:rPr>
              <w:t xml:space="preserve">no </w:t>
            </w:r>
            <w:r>
              <w:rPr>
                <w:sz w:val="28"/>
                <w:szCs w:val="28"/>
              </w:rPr>
              <w:t xml:space="preserve">valsts budžeta programmas </w:t>
            </w:r>
            <w:smartTag w:uri="schemas-tilde-lv/tildestengine" w:element="date">
              <w:smartTagPr>
                <w:attr w:name="Year" w:val="2001"/>
                <w:attr w:name="Month" w:val="11"/>
                <w:attr w:name="Day" w:val="30"/>
              </w:smartTagPr>
              <w:r w:rsidRPr="00BF0547">
                <w:rPr>
                  <w:sz w:val="28"/>
                  <w:szCs w:val="28"/>
                </w:rPr>
                <w:t>02.00.00</w:t>
              </w:r>
            </w:smartTag>
            <w:r>
              <w:rPr>
                <w:sz w:val="28"/>
                <w:szCs w:val="28"/>
              </w:rPr>
              <w:t xml:space="preserve"> „Līdzekļi </w:t>
            </w:r>
            <w:r w:rsidRPr="00BF0547">
              <w:rPr>
                <w:sz w:val="28"/>
                <w:szCs w:val="28"/>
              </w:rPr>
              <w:t>neparedzētiem gadījumiem”</w:t>
            </w:r>
            <w:r>
              <w:rPr>
                <w:sz w:val="28"/>
                <w:szCs w:val="28"/>
              </w:rPr>
              <w:t xml:space="preserve"> pamatojoties uz 2014.gada 12.jūnija M</w:t>
            </w:r>
            <w:r w:rsidR="00936317">
              <w:rPr>
                <w:sz w:val="28"/>
                <w:szCs w:val="28"/>
              </w:rPr>
              <w:t xml:space="preserve">inistru kabineta rīkojumu Nr.286 un atbilstoši </w:t>
            </w:r>
            <w:r w:rsidR="00936317" w:rsidRPr="00936317">
              <w:rPr>
                <w:sz w:val="28"/>
                <w:szCs w:val="28"/>
              </w:rPr>
              <w:t xml:space="preserve"> Finanšu ministrijas 2014.gada 25.jūnija rīkojumam Nr.299</w:t>
            </w:r>
            <w:r w:rsidR="00936317">
              <w:rPr>
                <w:sz w:val="28"/>
                <w:szCs w:val="28"/>
              </w:rPr>
              <w:t>.</w:t>
            </w:r>
          </w:p>
          <w:p w:rsidR="00B6307B" w:rsidRDefault="00B6307B" w:rsidP="0048779B">
            <w:pPr>
              <w:pStyle w:val="tv213"/>
              <w:spacing w:before="0" w:beforeAutospacing="0" w:after="0" w:afterAutospacing="0"/>
              <w:jc w:val="both"/>
              <w:rPr>
                <w:sz w:val="28"/>
                <w:szCs w:val="28"/>
              </w:rPr>
            </w:pPr>
          </w:p>
          <w:p w:rsidR="00B6307B" w:rsidRDefault="00B6307B" w:rsidP="00B6307B">
            <w:pPr>
              <w:tabs>
                <w:tab w:val="left" w:pos="142"/>
              </w:tabs>
              <w:autoSpaceDE w:val="0"/>
              <w:autoSpaceDN w:val="0"/>
              <w:adjustRightInd w:val="0"/>
              <w:spacing w:after="120"/>
              <w:jc w:val="both"/>
              <w:rPr>
                <w:sz w:val="28"/>
                <w:szCs w:val="28"/>
              </w:rPr>
            </w:pPr>
            <w:r w:rsidRPr="00064747">
              <w:rPr>
                <w:sz w:val="28"/>
                <w:szCs w:val="28"/>
              </w:rPr>
              <w:t xml:space="preserve">Lai nodrošinātu </w:t>
            </w:r>
            <w:r>
              <w:rPr>
                <w:sz w:val="28"/>
                <w:szCs w:val="28"/>
              </w:rPr>
              <w:t>ā</w:t>
            </w:r>
            <w:r w:rsidRPr="004D2D4B">
              <w:rPr>
                <w:sz w:val="28"/>
                <w:szCs w:val="28"/>
              </w:rPr>
              <w:t xml:space="preserve">rstniecības iestādēm </w:t>
            </w:r>
            <w:r>
              <w:rPr>
                <w:sz w:val="28"/>
                <w:szCs w:val="28"/>
              </w:rPr>
              <w:t xml:space="preserve"> radušos izdevumu kompensāciju </w:t>
            </w:r>
            <w:r>
              <w:rPr>
                <w:bCs/>
                <w:sz w:val="28"/>
                <w:szCs w:val="28"/>
              </w:rPr>
              <w:t>par a</w:t>
            </w:r>
            <w:r w:rsidRPr="00CC3C67">
              <w:rPr>
                <w:bCs/>
                <w:sz w:val="28"/>
                <w:szCs w:val="28"/>
              </w:rPr>
              <w:t>mbulatoro un stacionāro</w:t>
            </w:r>
            <w:r w:rsidR="00FC01BC">
              <w:rPr>
                <w:bCs/>
                <w:sz w:val="28"/>
                <w:szCs w:val="28"/>
              </w:rPr>
              <w:t xml:space="preserve"> veselības aprūpes</w:t>
            </w:r>
            <w:r w:rsidRPr="00CC3C67">
              <w:rPr>
                <w:bCs/>
                <w:sz w:val="28"/>
                <w:szCs w:val="28"/>
              </w:rPr>
              <w:t xml:space="preserve"> pakalpojumu apjom</w:t>
            </w:r>
            <w:r>
              <w:rPr>
                <w:bCs/>
                <w:sz w:val="28"/>
                <w:szCs w:val="28"/>
              </w:rPr>
              <w:t>u</w:t>
            </w:r>
            <w:r w:rsidRPr="00CC3C67">
              <w:rPr>
                <w:bCs/>
                <w:sz w:val="28"/>
                <w:szCs w:val="28"/>
              </w:rPr>
              <w:t xml:space="preserve"> no </w:t>
            </w:r>
            <w:r>
              <w:rPr>
                <w:bCs/>
                <w:sz w:val="28"/>
                <w:szCs w:val="28"/>
              </w:rPr>
              <w:t>2014</w:t>
            </w:r>
            <w:r w:rsidRPr="00CC3C67">
              <w:rPr>
                <w:bCs/>
                <w:sz w:val="28"/>
                <w:szCs w:val="28"/>
              </w:rPr>
              <w:t xml:space="preserve">.gada </w:t>
            </w:r>
            <w:r>
              <w:rPr>
                <w:bCs/>
                <w:sz w:val="28"/>
                <w:szCs w:val="28"/>
              </w:rPr>
              <w:t>1.februāra</w:t>
            </w:r>
            <w:r w:rsidRPr="00CC3C67">
              <w:rPr>
                <w:bCs/>
                <w:sz w:val="28"/>
                <w:szCs w:val="28"/>
              </w:rPr>
              <w:t xml:space="preserve"> līdz 2014.gada </w:t>
            </w:r>
            <w:r>
              <w:rPr>
                <w:bCs/>
                <w:sz w:val="28"/>
                <w:szCs w:val="28"/>
              </w:rPr>
              <w:t>30.jūnijam</w:t>
            </w:r>
            <w:r w:rsidRPr="00064747">
              <w:rPr>
                <w:sz w:val="28"/>
                <w:szCs w:val="28"/>
              </w:rPr>
              <w:t xml:space="preserve">, ir nepieciešams </w:t>
            </w:r>
            <w:r w:rsidR="00FC01BC">
              <w:rPr>
                <w:sz w:val="28"/>
                <w:szCs w:val="28"/>
              </w:rPr>
              <w:t>pieņemt</w:t>
            </w:r>
            <w:r w:rsidR="00FC01BC" w:rsidRPr="00064747">
              <w:rPr>
                <w:sz w:val="28"/>
                <w:szCs w:val="28"/>
              </w:rPr>
              <w:t xml:space="preserve"> </w:t>
            </w:r>
            <w:r w:rsidRPr="00064747">
              <w:rPr>
                <w:sz w:val="28"/>
                <w:szCs w:val="28"/>
              </w:rPr>
              <w:t>Ministru kabineta rīkojuma projektu „Par finanšu līdzekļu piešķiršanu no valsts budžeta programmas „Līdzekļi neparedzētiem gadījumiem”” (turpmāk – rīkojuma projekts)</w:t>
            </w:r>
            <w:r>
              <w:rPr>
                <w:sz w:val="28"/>
                <w:szCs w:val="28"/>
              </w:rPr>
              <w:t>.</w:t>
            </w:r>
          </w:p>
          <w:p w:rsidR="00B6307B" w:rsidRDefault="00B6307B" w:rsidP="00B6307B">
            <w:pPr>
              <w:tabs>
                <w:tab w:val="left" w:pos="142"/>
              </w:tabs>
              <w:autoSpaceDE w:val="0"/>
              <w:autoSpaceDN w:val="0"/>
              <w:adjustRightInd w:val="0"/>
              <w:spacing w:after="120"/>
              <w:jc w:val="both"/>
              <w:rPr>
                <w:sz w:val="28"/>
                <w:szCs w:val="28"/>
              </w:rPr>
            </w:pPr>
            <w:r>
              <w:rPr>
                <w:sz w:val="28"/>
                <w:szCs w:val="28"/>
              </w:rPr>
              <w:t xml:space="preserve"> </w:t>
            </w:r>
          </w:p>
          <w:p w:rsidR="00072114" w:rsidRPr="005B0E68" w:rsidRDefault="00B6307B" w:rsidP="00331706">
            <w:pPr>
              <w:tabs>
                <w:tab w:val="left" w:pos="284"/>
              </w:tabs>
              <w:jc w:val="both"/>
              <w:rPr>
                <w:sz w:val="28"/>
                <w:szCs w:val="28"/>
              </w:rPr>
            </w:pPr>
            <w:r w:rsidRPr="00064747">
              <w:rPr>
                <w:sz w:val="28"/>
                <w:szCs w:val="28"/>
              </w:rPr>
              <w:t>Rīkojuma projekts „Par finanšu līdzekļu piešķiršanu no valsts budžeta programmas „Līdzekļi neparedzētiem gadījumiem”” paredz piešķirt</w:t>
            </w:r>
            <w:r w:rsidRPr="004D2D4B">
              <w:rPr>
                <w:sz w:val="28"/>
                <w:szCs w:val="28"/>
              </w:rPr>
              <w:t xml:space="preserve"> Veselības ministrijai </w:t>
            </w:r>
            <w:r w:rsidR="00FC01BC" w:rsidRPr="004D2D4B">
              <w:rPr>
                <w:sz w:val="28"/>
                <w:szCs w:val="28"/>
              </w:rPr>
              <w:t>(Nacionālajam veselības dienestam)</w:t>
            </w:r>
            <w:r w:rsidR="00AC528F">
              <w:rPr>
                <w:sz w:val="28"/>
                <w:szCs w:val="28"/>
              </w:rPr>
              <w:t xml:space="preserve"> </w:t>
            </w:r>
            <w:r w:rsidR="00C85910">
              <w:rPr>
                <w:sz w:val="28"/>
                <w:szCs w:val="28"/>
              </w:rPr>
              <w:t>39 999</w:t>
            </w:r>
            <w:r w:rsidRPr="004D2D4B">
              <w:rPr>
                <w:sz w:val="28"/>
                <w:szCs w:val="28"/>
              </w:rPr>
              <w:t xml:space="preserve"> </w:t>
            </w:r>
            <w:proofErr w:type="spellStart"/>
            <w:r w:rsidRPr="004D2D4B">
              <w:rPr>
                <w:i/>
                <w:sz w:val="28"/>
                <w:szCs w:val="28"/>
              </w:rPr>
              <w:t>euro</w:t>
            </w:r>
            <w:proofErr w:type="spellEnd"/>
            <w:r w:rsidRPr="004D2D4B">
              <w:rPr>
                <w:sz w:val="28"/>
                <w:szCs w:val="28"/>
              </w:rPr>
              <w:t xml:space="preserve">, lai pēc traģēdijas Rīgā, </w:t>
            </w:r>
            <w:r>
              <w:rPr>
                <w:sz w:val="28"/>
                <w:szCs w:val="28"/>
              </w:rPr>
              <w:t>Priedaines ielā 20, nodrošinātu ā</w:t>
            </w:r>
            <w:r w:rsidRPr="005B0E68">
              <w:rPr>
                <w:sz w:val="28"/>
                <w:szCs w:val="28"/>
              </w:rPr>
              <w:t>rstniecības iestādēm  radušos izdevumu kompensāciju</w:t>
            </w:r>
            <w:r w:rsidR="00072114">
              <w:rPr>
                <w:sz w:val="28"/>
                <w:szCs w:val="28"/>
              </w:rPr>
              <w:t xml:space="preserve">  par laika periodu </w:t>
            </w:r>
            <w:r w:rsidR="00072114">
              <w:rPr>
                <w:bCs/>
                <w:sz w:val="28"/>
                <w:szCs w:val="28"/>
              </w:rPr>
              <w:t>no 2014.gada 1.februāra līdz 2014.gada 30.jūnijam</w:t>
            </w:r>
            <w:r w:rsidR="00072114">
              <w:rPr>
                <w:sz w:val="28"/>
                <w:szCs w:val="28"/>
              </w:rPr>
              <w:t>.</w:t>
            </w:r>
          </w:p>
          <w:p w:rsidR="00B6307B" w:rsidRPr="00B6307B" w:rsidRDefault="00B6307B" w:rsidP="00C85910">
            <w:pPr>
              <w:tabs>
                <w:tab w:val="left" w:pos="284"/>
              </w:tabs>
              <w:ind w:firstLine="709"/>
              <w:jc w:val="both"/>
              <w:rPr>
                <w:sz w:val="28"/>
                <w:szCs w:val="28"/>
              </w:rPr>
            </w:pPr>
          </w:p>
        </w:tc>
      </w:tr>
      <w:tr w:rsidR="00262E2B" w:rsidRPr="00BF0547" w:rsidTr="00F931B1">
        <w:trPr>
          <w:trHeight w:val="476"/>
        </w:trPr>
        <w:tc>
          <w:tcPr>
            <w:tcW w:w="403" w:type="dxa"/>
          </w:tcPr>
          <w:p w:rsidR="00262E2B" w:rsidRPr="00BF0547" w:rsidRDefault="006E626B" w:rsidP="006C4607">
            <w:pPr>
              <w:pStyle w:val="naiskr"/>
              <w:spacing w:before="0" w:after="0"/>
              <w:rPr>
                <w:sz w:val="28"/>
                <w:szCs w:val="28"/>
              </w:rPr>
            </w:pPr>
            <w:r w:rsidRPr="00BF0547">
              <w:rPr>
                <w:sz w:val="28"/>
                <w:szCs w:val="28"/>
              </w:rPr>
              <w:lastRenderedPageBreak/>
              <w:t>3</w:t>
            </w:r>
            <w:r w:rsidR="00262E2B" w:rsidRPr="00BF0547">
              <w:rPr>
                <w:sz w:val="28"/>
                <w:szCs w:val="28"/>
              </w:rPr>
              <w:t>.</w:t>
            </w:r>
          </w:p>
        </w:tc>
        <w:tc>
          <w:tcPr>
            <w:tcW w:w="2721" w:type="dxa"/>
          </w:tcPr>
          <w:p w:rsidR="00262E2B" w:rsidRPr="00BF0547" w:rsidRDefault="001A4066" w:rsidP="006C4607">
            <w:pPr>
              <w:pStyle w:val="naiskr"/>
              <w:spacing w:before="0" w:after="0"/>
              <w:rPr>
                <w:sz w:val="28"/>
                <w:szCs w:val="28"/>
              </w:rPr>
            </w:pPr>
            <w:r w:rsidRPr="00BF0547">
              <w:rPr>
                <w:sz w:val="28"/>
                <w:szCs w:val="28"/>
              </w:rPr>
              <w:t>Projekta i</w:t>
            </w:r>
            <w:r w:rsidR="00262E2B" w:rsidRPr="00BF0547">
              <w:rPr>
                <w:sz w:val="28"/>
                <w:szCs w:val="28"/>
              </w:rPr>
              <w:t>zstrād</w:t>
            </w:r>
            <w:r w:rsidR="00420870" w:rsidRPr="00BF0547">
              <w:rPr>
                <w:sz w:val="28"/>
                <w:szCs w:val="28"/>
              </w:rPr>
              <w:t xml:space="preserve">ē </w:t>
            </w:r>
            <w:r w:rsidR="00262E2B" w:rsidRPr="00BF0547">
              <w:rPr>
                <w:sz w:val="28"/>
                <w:szCs w:val="28"/>
              </w:rPr>
              <w:t>iesaistītās institūcijas</w:t>
            </w:r>
          </w:p>
        </w:tc>
        <w:tc>
          <w:tcPr>
            <w:tcW w:w="6090" w:type="dxa"/>
          </w:tcPr>
          <w:p w:rsidR="00262E2B" w:rsidRPr="00BF0547" w:rsidRDefault="003D3158" w:rsidP="003D3158">
            <w:pPr>
              <w:pStyle w:val="naiskr"/>
              <w:spacing w:before="0" w:after="0"/>
              <w:jc w:val="both"/>
              <w:rPr>
                <w:sz w:val="28"/>
                <w:szCs w:val="28"/>
              </w:rPr>
            </w:pPr>
            <w:r w:rsidRPr="00BF0547">
              <w:rPr>
                <w:sz w:val="28"/>
                <w:szCs w:val="28"/>
              </w:rPr>
              <w:t>NVD</w:t>
            </w:r>
          </w:p>
        </w:tc>
      </w:tr>
      <w:tr w:rsidR="00262E2B" w:rsidRPr="00BF0547" w:rsidTr="00F931B1">
        <w:tc>
          <w:tcPr>
            <w:tcW w:w="403" w:type="dxa"/>
          </w:tcPr>
          <w:p w:rsidR="00262E2B" w:rsidRPr="00BF0547" w:rsidRDefault="006E626B" w:rsidP="006C4607">
            <w:pPr>
              <w:pStyle w:val="naiskr"/>
              <w:spacing w:before="0" w:after="0"/>
              <w:rPr>
                <w:sz w:val="28"/>
                <w:szCs w:val="28"/>
              </w:rPr>
            </w:pPr>
            <w:r w:rsidRPr="00BF0547">
              <w:rPr>
                <w:sz w:val="28"/>
                <w:szCs w:val="28"/>
              </w:rPr>
              <w:lastRenderedPageBreak/>
              <w:t>4</w:t>
            </w:r>
            <w:r w:rsidR="00262E2B" w:rsidRPr="00BF0547">
              <w:rPr>
                <w:sz w:val="28"/>
                <w:szCs w:val="28"/>
              </w:rPr>
              <w:t>.</w:t>
            </w:r>
          </w:p>
        </w:tc>
        <w:tc>
          <w:tcPr>
            <w:tcW w:w="2721" w:type="dxa"/>
          </w:tcPr>
          <w:p w:rsidR="00262E2B" w:rsidRPr="00BF0547" w:rsidRDefault="00262E2B" w:rsidP="006C4607">
            <w:pPr>
              <w:pStyle w:val="naiskr"/>
              <w:spacing w:before="0" w:after="0"/>
              <w:rPr>
                <w:sz w:val="28"/>
                <w:szCs w:val="28"/>
              </w:rPr>
            </w:pPr>
            <w:r w:rsidRPr="00BF0547">
              <w:rPr>
                <w:sz w:val="28"/>
                <w:szCs w:val="28"/>
              </w:rPr>
              <w:t>Cita informācija</w:t>
            </w:r>
          </w:p>
        </w:tc>
        <w:tc>
          <w:tcPr>
            <w:tcW w:w="6090" w:type="dxa"/>
          </w:tcPr>
          <w:p w:rsidR="00262E2B" w:rsidRPr="00BF0547" w:rsidRDefault="00571028" w:rsidP="006C4607">
            <w:pPr>
              <w:pStyle w:val="naiskr"/>
              <w:spacing w:before="0" w:after="0"/>
              <w:rPr>
                <w:sz w:val="28"/>
                <w:szCs w:val="28"/>
              </w:rPr>
            </w:pPr>
            <w:r w:rsidRPr="00BF0547">
              <w:rPr>
                <w:sz w:val="28"/>
                <w:szCs w:val="28"/>
              </w:rPr>
              <w:t>Nav</w:t>
            </w:r>
          </w:p>
        </w:tc>
      </w:tr>
    </w:tbl>
    <w:p w:rsidR="00852042" w:rsidRDefault="00852042" w:rsidP="006C4607">
      <w:pPr>
        <w:pStyle w:val="naisf"/>
        <w:spacing w:before="0" w:after="0"/>
        <w:rPr>
          <w:sz w:val="28"/>
          <w:szCs w:val="28"/>
        </w:rPr>
      </w:pPr>
    </w:p>
    <w:p w:rsidR="00197E0C" w:rsidRPr="00BF0547" w:rsidRDefault="00197E0C" w:rsidP="006C4607">
      <w:pPr>
        <w:pStyle w:val="naisf"/>
        <w:spacing w:before="0" w:after="0"/>
        <w:rPr>
          <w:sz w:val="28"/>
          <w:szCs w:val="28"/>
        </w:rPr>
      </w:pPr>
    </w:p>
    <w:tbl>
      <w:tblPr>
        <w:tblW w:w="9208" w:type="dxa"/>
        <w:jc w:val="center"/>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8"/>
        <w:gridCol w:w="1220"/>
        <w:gridCol w:w="1509"/>
        <w:gridCol w:w="1452"/>
        <w:gridCol w:w="1424"/>
        <w:gridCol w:w="1455"/>
      </w:tblGrid>
      <w:tr w:rsidR="006C418A" w:rsidRPr="00BF0547" w:rsidTr="006C418A">
        <w:trPr>
          <w:jc w:val="center"/>
        </w:trPr>
        <w:tc>
          <w:tcPr>
            <w:tcW w:w="9208" w:type="dxa"/>
            <w:gridSpan w:val="6"/>
            <w:vAlign w:val="center"/>
          </w:tcPr>
          <w:p w:rsidR="006C418A" w:rsidRPr="00BF0547" w:rsidRDefault="006C418A" w:rsidP="00A20419">
            <w:pPr>
              <w:pStyle w:val="naisf"/>
              <w:spacing w:before="0" w:after="0"/>
              <w:ind w:firstLine="0"/>
              <w:jc w:val="center"/>
              <w:rPr>
                <w:b/>
                <w:sz w:val="28"/>
                <w:szCs w:val="28"/>
              </w:rPr>
            </w:pPr>
            <w:r w:rsidRPr="00BF0547">
              <w:rPr>
                <w:b/>
                <w:sz w:val="28"/>
                <w:szCs w:val="28"/>
              </w:rPr>
              <w:t>III. Tiesību akta projekta ietekme uz valsts budžetu un pašvaldību budžetiem</w:t>
            </w:r>
          </w:p>
        </w:tc>
      </w:tr>
      <w:tr w:rsidR="00571028" w:rsidRPr="00BF0547" w:rsidTr="006C418A">
        <w:trPr>
          <w:jc w:val="center"/>
        </w:trPr>
        <w:tc>
          <w:tcPr>
            <w:tcW w:w="2148" w:type="dxa"/>
            <w:vMerge w:val="restart"/>
            <w:vAlign w:val="center"/>
          </w:tcPr>
          <w:p w:rsidR="00571028" w:rsidRPr="00BF0547" w:rsidRDefault="00571028" w:rsidP="00A20419">
            <w:pPr>
              <w:pStyle w:val="naisf"/>
              <w:spacing w:before="0" w:after="0"/>
              <w:ind w:left="114" w:hanging="114"/>
              <w:jc w:val="center"/>
              <w:rPr>
                <w:b/>
                <w:sz w:val="28"/>
                <w:szCs w:val="28"/>
              </w:rPr>
            </w:pPr>
            <w:r w:rsidRPr="00BF0547">
              <w:rPr>
                <w:b/>
                <w:sz w:val="28"/>
                <w:szCs w:val="28"/>
              </w:rPr>
              <w:t>Rādītāji</w:t>
            </w:r>
          </w:p>
        </w:tc>
        <w:tc>
          <w:tcPr>
            <w:tcW w:w="2729" w:type="dxa"/>
            <w:gridSpan w:val="2"/>
            <w:vMerge w:val="restart"/>
            <w:vAlign w:val="center"/>
          </w:tcPr>
          <w:p w:rsidR="00571028" w:rsidRPr="00BF0547" w:rsidRDefault="004A05EF" w:rsidP="00A20419">
            <w:pPr>
              <w:pStyle w:val="naisf"/>
              <w:spacing w:before="0" w:after="0"/>
              <w:ind w:firstLine="0"/>
              <w:jc w:val="center"/>
              <w:rPr>
                <w:b/>
                <w:sz w:val="28"/>
                <w:szCs w:val="28"/>
              </w:rPr>
            </w:pPr>
            <w:r w:rsidRPr="00BF0547">
              <w:rPr>
                <w:b/>
                <w:sz w:val="28"/>
                <w:szCs w:val="28"/>
              </w:rPr>
              <w:t>2014</w:t>
            </w:r>
            <w:r w:rsidR="00571028" w:rsidRPr="00BF0547">
              <w:rPr>
                <w:b/>
                <w:sz w:val="28"/>
                <w:szCs w:val="28"/>
              </w:rPr>
              <w:t>.</w:t>
            </w:r>
            <w:r w:rsidR="00F46414" w:rsidRPr="00BF0547">
              <w:rPr>
                <w:b/>
                <w:sz w:val="28"/>
                <w:szCs w:val="28"/>
              </w:rPr>
              <w:t>gads</w:t>
            </w:r>
          </w:p>
        </w:tc>
        <w:tc>
          <w:tcPr>
            <w:tcW w:w="4331" w:type="dxa"/>
            <w:gridSpan w:val="3"/>
            <w:vAlign w:val="center"/>
          </w:tcPr>
          <w:p w:rsidR="00571028" w:rsidRPr="00BF0547" w:rsidRDefault="00571028" w:rsidP="004A05EF">
            <w:pPr>
              <w:pStyle w:val="naisf"/>
              <w:spacing w:before="0" w:after="0"/>
              <w:ind w:firstLine="0"/>
              <w:jc w:val="center"/>
              <w:rPr>
                <w:b/>
                <w:i/>
                <w:sz w:val="28"/>
                <w:szCs w:val="28"/>
              </w:rPr>
            </w:pPr>
            <w:r w:rsidRPr="00BF0547">
              <w:rPr>
                <w:sz w:val="28"/>
                <w:szCs w:val="28"/>
              </w:rPr>
              <w:t>Turpmākie trīs gadi (</w:t>
            </w:r>
            <w:proofErr w:type="spellStart"/>
            <w:r w:rsidR="004A05EF" w:rsidRPr="00BF0547">
              <w:rPr>
                <w:i/>
                <w:sz w:val="28"/>
                <w:szCs w:val="28"/>
              </w:rPr>
              <w:t>euro</w:t>
            </w:r>
            <w:proofErr w:type="spellEnd"/>
            <w:r w:rsidRPr="00BF0547">
              <w:rPr>
                <w:sz w:val="28"/>
                <w:szCs w:val="28"/>
              </w:rPr>
              <w:t>)</w:t>
            </w:r>
          </w:p>
        </w:tc>
      </w:tr>
      <w:tr w:rsidR="00571028" w:rsidRPr="00BF0547" w:rsidTr="006C418A">
        <w:trPr>
          <w:jc w:val="center"/>
        </w:trPr>
        <w:tc>
          <w:tcPr>
            <w:tcW w:w="2148" w:type="dxa"/>
            <w:vMerge/>
            <w:vAlign w:val="center"/>
          </w:tcPr>
          <w:p w:rsidR="00571028" w:rsidRPr="00BF0547" w:rsidRDefault="00571028" w:rsidP="00A20419">
            <w:pPr>
              <w:pStyle w:val="naisf"/>
              <w:spacing w:before="0" w:after="0"/>
              <w:ind w:firstLine="0"/>
              <w:jc w:val="center"/>
              <w:rPr>
                <w:b/>
                <w:i/>
                <w:sz w:val="28"/>
                <w:szCs w:val="28"/>
              </w:rPr>
            </w:pPr>
          </w:p>
        </w:tc>
        <w:tc>
          <w:tcPr>
            <w:tcW w:w="2729" w:type="dxa"/>
            <w:gridSpan w:val="2"/>
            <w:vMerge/>
            <w:vAlign w:val="center"/>
          </w:tcPr>
          <w:p w:rsidR="00571028" w:rsidRPr="00BF0547" w:rsidRDefault="00571028" w:rsidP="00A20419">
            <w:pPr>
              <w:pStyle w:val="naisf"/>
              <w:spacing w:before="0" w:after="0"/>
              <w:ind w:firstLine="0"/>
              <w:jc w:val="center"/>
              <w:rPr>
                <w:b/>
                <w:i/>
                <w:sz w:val="28"/>
                <w:szCs w:val="28"/>
              </w:rPr>
            </w:pPr>
          </w:p>
        </w:tc>
        <w:tc>
          <w:tcPr>
            <w:tcW w:w="1452" w:type="dxa"/>
            <w:vAlign w:val="center"/>
          </w:tcPr>
          <w:p w:rsidR="00571028" w:rsidRPr="00BF0547" w:rsidRDefault="004A05EF" w:rsidP="00A20419">
            <w:pPr>
              <w:pStyle w:val="naisf"/>
              <w:spacing w:before="0" w:after="0"/>
              <w:ind w:firstLine="0"/>
              <w:jc w:val="center"/>
              <w:rPr>
                <w:b/>
                <w:i/>
                <w:sz w:val="28"/>
                <w:szCs w:val="28"/>
              </w:rPr>
            </w:pPr>
            <w:r w:rsidRPr="00BF0547">
              <w:rPr>
                <w:b/>
                <w:bCs/>
                <w:sz w:val="28"/>
                <w:szCs w:val="28"/>
              </w:rPr>
              <w:t>2015</w:t>
            </w:r>
            <w:r w:rsidR="00571028" w:rsidRPr="00BF0547">
              <w:rPr>
                <w:b/>
                <w:bCs/>
                <w:sz w:val="28"/>
                <w:szCs w:val="28"/>
              </w:rPr>
              <w:t>.</w:t>
            </w:r>
            <w:r w:rsidR="00F46414" w:rsidRPr="00BF0547">
              <w:rPr>
                <w:b/>
                <w:bCs/>
                <w:sz w:val="28"/>
                <w:szCs w:val="28"/>
              </w:rPr>
              <w:t>gads</w:t>
            </w:r>
          </w:p>
        </w:tc>
        <w:tc>
          <w:tcPr>
            <w:tcW w:w="1424" w:type="dxa"/>
            <w:vAlign w:val="center"/>
          </w:tcPr>
          <w:p w:rsidR="00571028" w:rsidRPr="00BF0547" w:rsidRDefault="004A05EF" w:rsidP="00A20419">
            <w:pPr>
              <w:pStyle w:val="naisf"/>
              <w:spacing w:before="0" w:after="0"/>
              <w:ind w:firstLine="0"/>
              <w:jc w:val="center"/>
              <w:rPr>
                <w:b/>
                <w:i/>
                <w:sz w:val="28"/>
                <w:szCs w:val="28"/>
              </w:rPr>
            </w:pPr>
            <w:r w:rsidRPr="00BF0547">
              <w:rPr>
                <w:b/>
                <w:bCs/>
                <w:sz w:val="28"/>
                <w:szCs w:val="28"/>
              </w:rPr>
              <w:t>2016</w:t>
            </w:r>
            <w:r w:rsidR="00571028" w:rsidRPr="00BF0547">
              <w:rPr>
                <w:b/>
                <w:bCs/>
                <w:sz w:val="28"/>
                <w:szCs w:val="28"/>
              </w:rPr>
              <w:t>.</w:t>
            </w:r>
            <w:r w:rsidR="00F46414" w:rsidRPr="00BF0547">
              <w:rPr>
                <w:b/>
                <w:bCs/>
                <w:sz w:val="28"/>
                <w:szCs w:val="28"/>
              </w:rPr>
              <w:t>gads</w:t>
            </w:r>
          </w:p>
        </w:tc>
        <w:tc>
          <w:tcPr>
            <w:tcW w:w="1455" w:type="dxa"/>
            <w:vAlign w:val="center"/>
          </w:tcPr>
          <w:p w:rsidR="00571028" w:rsidRPr="00BF0547" w:rsidRDefault="004A05EF" w:rsidP="00A20419">
            <w:pPr>
              <w:pStyle w:val="naisf"/>
              <w:spacing w:before="0" w:after="0"/>
              <w:ind w:firstLine="0"/>
              <w:jc w:val="center"/>
              <w:rPr>
                <w:b/>
                <w:i/>
                <w:sz w:val="28"/>
                <w:szCs w:val="28"/>
              </w:rPr>
            </w:pPr>
            <w:r w:rsidRPr="00BF0547">
              <w:rPr>
                <w:b/>
                <w:bCs/>
                <w:sz w:val="28"/>
                <w:szCs w:val="28"/>
              </w:rPr>
              <w:t>2017</w:t>
            </w:r>
            <w:r w:rsidR="00571028" w:rsidRPr="00BF0547">
              <w:rPr>
                <w:b/>
                <w:bCs/>
                <w:sz w:val="28"/>
                <w:szCs w:val="28"/>
              </w:rPr>
              <w:t>.</w:t>
            </w:r>
            <w:r w:rsidR="00F46414" w:rsidRPr="00BF0547">
              <w:rPr>
                <w:b/>
                <w:bCs/>
                <w:sz w:val="28"/>
                <w:szCs w:val="28"/>
              </w:rPr>
              <w:t>gads</w:t>
            </w:r>
          </w:p>
        </w:tc>
      </w:tr>
      <w:tr w:rsidR="00571028" w:rsidRPr="00BF0547" w:rsidTr="006C418A">
        <w:trPr>
          <w:jc w:val="center"/>
        </w:trPr>
        <w:tc>
          <w:tcPr>
            <w:tcW w:w="2148" w:type="dxa"/>
            <w:vMerge/>
            <w:vAlign w:val="center"/>
          </w:tcPr>
          <w:p w:rsidR="00571028" w:rsidRPr="00BF0547" w:rsidRDefault="00571028" w:rsidP="00A20419">
            <w:pPr>
              <w:pStyle w:val="naisf"/>
              <w:spacing w:before="0" w:after="0"/>
              <w:ind w:firstLine="0"/>
              <w:jc w:val="center"/>
              <w:rPr>
                <w:b/>
                <w:i/>
                <w:sz w:val="28"/>
                <w:szCs w:val="28"/>
              </w:rPr>
            </w:pPr>
          </w:p>
        </w:tc>
        <w:tc>
          <w:tcPr>
            <w:tcW w:w="1220" w:type="dxa"/>
            <w:vAlign w:val="center"/>
          </w:tcPr>
          <w:p w:rsidR="00571028" w:rsidRPr="00BF0547" w:rsidRDefault="00571028" w:rsidP="00A20419">
            <w:pPr>
              <w:pStyle w:val="naisf"/>
              <w:spacing w:before="0" w:after="0"/>
              <w:ind w:firstLine="0"/>
              <w:jc w:val="center"/>
              <w:rPr>
                <w:b/>
                <w:i/>
                <w:sz w:val="28"/>
                <w:szCs w:val="28"/>
              </w:rPr>
            </w:pPr>
            <w:r w:rsidRPr="00BF0547">
              <w:rPr>
                <w:sz w:val="28"/>
                <w:szCs w:val="28"/>
              </w:rPr>
              <w:t>Saskaņā ar valsts budžetu kārtējam gadam</w:t>
            </w:r>
            <w:r w:rsidR="000547E8" w:rsidRPr="000547E8">
              <w:t>*</w:t>
            </w:r>
          </w:p>
        </w:tc>
        <w:tc>
          <w:tcPr>
            <w:tcW w:w="1509" w:type="dxa"/>
            <w:vAlign w:val="center"/>
          </w:tcPr>
          <w:p w:rsidR="00571028" w:rsidRPr="00BF0547" w:rsidRDefault="00571028" w:rsidP="00A20419">
            <w:pPr>
              <w:pStyle w:val="naisf"/>
              <w:spacing w:before="0" w:after="0"/>
              <w:ind w:firstLine="0"/>
              <w:jc w:val="center"/>
              <w:rPr>
                <w:b/>
                <w:i/>
                <w:sz w:val="28"/>
                <w:szCs w:val="28"/>
              </w:rPr>
            </w:pPr>
            <w:r w:rsidRPr="00BF0547">
              <w:rPr>
                <w:sz w:val="28"/>
                <w:szCs w:val="28"/>
              </w:rPr>
              <w:t>Izmaiņas kārtējā gadā, salīdzinot ar budžetu kārtējam gadam</w:t>
            </w:r>
          </w:p>
        </w:tc>
        <w:tc>
          <w:tcPr>
            <w:tcW w:w="1452" w:type="dxa"/>
            <w:vAlign w:val="center"/>
          </w:tcPr>
          <w:p w:rsidR="00571028" w:rsidRPr="00BF0547" w:rsidRDefault="00571028" w:rsidP="00A20419">
            <w:pPr>
              <w:pStyle w:val="naisf"/>
              <w:spacing w:before="0" w:after="0"/>
              <w:ind w:firstLine="0"/>
              <w:jc w:val="center"/>
              <w:rPr>
                <w:b/>
                <w:i/>
                <w:sz w:val="28"/>
                <w:szCs w:val="28"/>
              </w:rPr>
            </w:pPr>
            <w:r w:rsidRPr="00BF0547">
              <w:rPr>
                <w:sz w:val="28"/>
                <w:szCs w:val="28"/>
              </w:rPr>
              <w:t>Izmaiņas, salīdzinot ar kārtējo (n) gadu</w:t>
            </w:r>
          </w:p>
        </w:tc>
        <w:tc>
          <w:tcPr>
            <w:tcW w:w="1424" w:type="dxa"/>
            <w:vAlign w:val="center"/>
          </w:tcPr>
          <w:p w:rsidR="00571028" w:rsidRPr="00BF0547" w:rsidRDefault="00571028" w:rsidP="00A20419">
            <w:pPr>
              <w:pStyle w:val="naisf"/>
              <w:spacing w:before="0" w:after="0"/>
              <w:ind w:firstLine="0"/>
              <w:jc w:val="center"/>
              <w:rPr>
                <w:b/>
                <w:i/>
                <w:sz w:val="28"/>
                <w:szCs w:val="28"/>
              </w:rPr>
            </w:pPr>
            <w:r w:rsidRPr="00BF0547">
              <w:rPr>
                <w:sz w:val="28"/>
                <w:szCs w:val="28"/>
              </w:rPr>
              <w:t>Izmaiņas, salīdzinot ar kārtējo (n) gadu</w:t>
            </w:r>
          </w:p>
        </w:tc>
        <w:tc>
          <w:tcPr>
            <w:tcW w:w="1455" w:type="dxa"/>
            <w:vAlign w:val="center"/>
          </w:tcPr>
          <w:p w:rsidR="00571028" w:rsidRPr="00BF0547" w:rsidRDefault="00571028" w:rsidP="00A20419">
            <w:pPr>
              <w:pStyle w:val="naisf"/>
              <w:spacing w:before="0" w:after="0"/>
              <w:ind w:firstLine="0"/>
              <w:jc w:val="center"/>
              <w:rPr>
                <w:b/>
                <w:i/>
                <w:sz w:val="28"/>
                <w:szCs w:val="28"/>
              </w:rPr>
            </w:pPr>
            <w:r w:rsidRPr="00BF0547">
              <w:rPr>
                <w:sz w:val="28"/>
                <w:szCs w:val="28"/>
              </w:rPr>
              <w:t>Izmaiņas, salīdzinot ar kārtējo (n) gadu</w:t>
            </w:r>
          </w:p>
        </w:tc>
      </w:tr>
      <w:tr w:rsidR="00571028" w:rsidRPr="00BF0547" w:rsidTr="006C418A">
        <w:trPr>
          <w:jc w:val="center"/>
        </w:trPr>
        <w:tc>
          <w:tcPr>
            <w:tcW w:w="2148" w:type="dxa"/>
            <w:vAlign w:val="center"/>
          </w:tcPr>
          <w:p w:rsidR="00571028" w:rsidRPr="00BF0547" w:rsidRDefault="00571028" w:rsidP="00A20419">
            <w:pPr>
              <w:pStyle w:val="naisf"/>
              <w:spacing w:before="0" w:after="0"/>
              <w:ind w:firstLine="0"/>
              <w:jc w:val="center"/>
              <w:rPr>
                <w:bCs/>
                <w:sz w:val="22"/>
                <w:szCs w:val="22"/>
              </w:rPr>
            </w:pPr>
            <w:r w:rsidRPr="00BF0547">
              <w:rPr>
                <w:bCs/>
                <w:sz w:val="22"/>
                <w:szCs w:val="22"/>
              </w:rPr>
              <w:t>1</w:t>
            </w:r>
          </w:p>
        </w:tc>
        <w:tc>
          <w:tcPr>
            <w:tcW w:w="1220" w:type="dxa"/>
            <w:vAlign w:val="center"/>
          </w:tcPr>
          <w:p w:rsidR="00571028" w:rsidRPr="00BF0547" w:rsidRDefault="00571028" w:rsidP="00A20419">
            <w:pPr>
              <w:pStyle w:val="naisf"/>
              <w:spacing w:before="0" w:after="0"/>
              <w:ind w:firstLine="0"/>
              <w:jc w:val="center"/>
              <w:rPr>
                <w:bCs/>
                <w:sz w:val="22"/>
                <w:szCs w:val="22"/>
              </w:rPr>
            </w:pPr>
            <w:r w:rsidRPr="00BF0547">
              <w:rPr>
                <w:bCs/>
                <w:sz w:val="22"/>
                <w:szCs w:val="22"/>
              </w:rPr>
              <w:t>2</w:t>
            </w:r>
          </w:p>
        </w:tc>
        <w:tc>
          <w:tcPr>
            <w:tcW w:w="1509" w:type="dxa"/>
            <w:vAlign w:val="center"/>
          </w:tcPr>
          <w:p w:rsidR="00571028" w:rsidRPr="00BF0547" w:rsidRDefault="00571028" w:rsidP="00A20419">
            <w:pPr>
              <w:pStyle w:val="naisf"/>
              <w:spacing w:before="0" w:after="0"/>
              <w:ind w:firstLine="0"/>
              <w:jc w:val="center"/>
              <w:rPr>
                <w:bCs/>
                <w:sz w:val="22"/>
                <w:szCs w:val="22"/>
              </w:rPr>
            </w:pPr>
            <w:r w:rsidRPr="00BF0547">
              <w:rPr>
                <w:bCs/>
                <w:sz w:val="22"/>
                <w:szCs w:val="22"/>
              </w:rPr>
              <w:t>3</w:t>
            </w:r>
          </w:p>
        </w:tc>
        <w:tc>
          <w:tcPr>
            <w:tcW w:w="1452" w:type="dxa"/>
            <w:vAlign w:val="center"/>
          </w:tcPr>
          <w:p w:rsidR="00571028" w:rsidRPr="00BF0547" w:rsidRDefault="00571028" w:rsidP="00A20419">
            <w:pPr>
              <w:pStyle w:val="naisf"/>
              <w:spacing w:before="0" w:after="0"/>
              <w:ind w:firstLine="0"/>
              <w:jc w:val="center"/>
              <w:rPr>
                <w:bCs/>
                <w:sz w:val="22"/>
                <w:szCs w:val="22"/>
              </w:rPr>
            </w:pPr>
            <w:r w:rsidRPr="00BF0547">
              <w:rPr>
                <w:bCs/>
                <w:sz w:val="22"/>
                <w:szCs w:val="22"/>
              </w:rPr>
              <w:t>4</w:t>
            </w:r>
          </w:p>
        </w:tc>
        <w:tc>
          <w:tcPr>
            <w:tcW w:w="1424" w:type="dxa"/>
            <w:vAlign w:val="center"/>
          </w:tcPr>
          <w:p w:rsidR="00571028" w:rsidRPr="00BF0547" w:rsidRDefault="00571028" w:rsidP="00A20419">
            <w:pPr>
              <w:pStyle w:val="naisf"/>
              <w:spacing w:before="0" w:after="0"/>
              <w:ind w:firstLine="0"/>
              <w:jc w:val="center"/>
              <w:rPr>
                <w:bCs/>
                <w:sz w:val="22"/>
                <w:szCs w:val="22"/>
              </w:rPr>
            </w:pPr>
            <w:r w:rsidRPr="00BF0547">
              <w:rPr>
                <w:bCs/>
                <w:sz w:val="22"/>
                <w:szCs w:val="22"/>
              </w:rPr>
              <w:t>5</w:t>
            </w:r>
          </w:p>
        </w:tc>
        <w:tc>
          <w:tcPr>
            <w:tcW w:w="1455" w:type="dxa"/>
            <w:vAlign w:val="center"/>
          </w:tcPr>
          <w:p w:rsidR="00571028" w:rsidRPr="00BF0547" w:rsidRDefault="00571028" w:rsidP="00A20419">
            <w:pPr>
              <w:pStyle w:val="naisf"/>
              <w:spacing w:before="0" w:after="0"/>
              <w:ind w:firstLine="0"/>
              <w:jc w:val="center"/>
              <w:rPr>
                <w:bCs/>
                <w:sz w:val="22"/>
                <w:szCs w:val="22"/>
              </w:rPr>
            </w:pPr>
            <w:r w:rsidRPr="00BF0547">
              <w:rPr>
                <w:bCs/>
                <w:sz w:val="22"/>
                <w:szCs w:val="22"/>
              </w:rPr>
              <w:t>6</w:t>
            </w:r>
          </w:p>
        </w:tc>
      </w:tr>
      <w:tr w:rsidR="009A2C8E" w:rsidRPr="00BF0547" w:rsidTr="006C418A">
        <w:trPr>
          <w:jc w:val="center"/>
        </w:trPr>
        <w:tc>
          <w:tcPr>
            <w:tcW w:w="2148" w:type="dxa"/>
          </w:tcPr>
          <w:p w:rsidR="009A2C8E" w:rsidRPr="00BF0547" w:rsidRDefault="009A2C8E" w:rsidP="004A05EF">
            <w:pPr>
              <w:pStyle w:val="naisf"/>
              <w:spacing w:before="0" w:after="0"/>
              <w:ind w:firstLine="0"/>
              <w:jc w:val="left"/>
              <w:rPr>
                <w:i/>
                <w:sz w:val="28"/>
                <w:szCs w:val="28"/>
              </w:rPr>
            </w:pPr>
            <w:r w:rsidRPr="00BF0547">
              <w:rPr>
                <w:sz w:val="28"/>
                <w:szCs w:val="28"/>
              </w:rPr>
              <w:t>1. Budžeta ieņēmumi:</w:t>
            </w:r>
          </w:p>
        </w:tc>
        <w:tc>
          <w:tcPr>
            <w:tcW w:w="1220" w:type="dxa"/>
          </w:tcPr>
          <w:p w:rsidR="009A2C8E" w:rsidRPr="00BF0547" w:rsidRDefault="00EF51BD" w:rsidP="00AA2965">
            <w:pPr>
              <w:pStyle w:val="naisf"/>
              <w:spacing w:before="0" w:after="0"/>
              <w:ind w:firstLine="0"/>
              <w:jc w:val="center"/>
              <w:rPr>
                <w:b/>
                <w:sz w:val="28"/>
                <w:szCs w:val="28"/>
              </w:rPr>
            </w:pPr>
            <w:r>
              <w:rPr>
                <w:b/>
                <w:sz w:val="28"/>
                <w:szCs w:val="28"/>
              </w:rPr>
              <w:t>46 160</w:t>
            </w:r>
          </w:p>
        </w:tc>
        <w:tc>
          <w:tcPr>
            <w:tcW w:w="1509" w:type="dxa"/>
          </w:tcPr>
          <w:p w:rsidR="009A2C8E" w:rsidRPr="00BF0547" w:rsidRDefault="009A2C8E" w:rsidP="009E5705">
            <w:pPr>
              <w:pStyle w:val="naisf"/>
              <w:spacing w:before="0" w:after="0"/>
              <w:ind w:firstLine="0"/>
              <w:jc w:val="center"/>
              <w:rPr>
                <w:b/>
                <w:sz w:val="28"/>
                <w:szCs w:val="28"/>
              </w:rPr>
            </w:pPr>
            <w:r w:rsidRPr="00BF0547">
              <w:rPr>
                <w:b/>
                <w:sz w:val="28"/>
                <w:szCs w:val="28"/>
              </w:rPr>
              <w:t>0</w:t>
            </w:r>
          </w:p>
        </w:tc>
        <w:tc>
          <w:tcPr>
            <w:tcW w:w="1452" w:type="dxa"/>
          </w:tcPr>
          <w:p w:rsidR="009A2C8E" w:rsidRPr="00BF0547" w:rsidRDefault="009A2C8E" w:rsidP="009E5705">
            <w:pPr>
              <w:pStyle w:val="naisf"/>
              <w:spacing w:before="0" w:after="0"/>
              <w:ind w:firstLine="0"/>
              <w:jc w:val="center"/>
              <w:rPr>
                <w:b/>
                <w:sz w:val="28"/>
                <w:szCs w:val="28"/>
              </w:rPr>
            </w:pPr>
            <w:r w:rsidRPr="00BF0547">
              <w:rPr>
                <w:b/>
                <w:sz w:val="28"/>
                <w:szCs w:val="28"/>
              </w:rPr>
              <w:t>0</w:t>
            </w:r>
          </w:p>
        </w:tc>
        <w:tc>
          <w:tcPr>
            <w:tcW w:w="1424" w:type="dxa"/>
          </w:tcPr>
          <w:p w:rsidR="009A2C8E" w:rsidRPr="00BF0547" w:rsidRDefault="009A2C8E" w:rsidP="009E5705">
            <w:pPr>
              <w:pStyle w:val="naisf"/>
              <w:spacing w:before="0" w:after="0"/>
              <w:ind w:firstLine="0"/>
              <w:jc w:val="center"/>
              <w:rPr>
                <w:b/>
                <w:sz w:val="28"/>
                <w:szCs w:val="28"/>
              </w:rPr>
            </w:pPr>
            <w:r w:rsidRPr="00BF0547">
              <w:rPr>
                <w:b/>
                <w:sz w:val="28"/>
                <w:szCs w:val="28"/>
              </w:rPr>
              <w:t>0</w:t>
            </w:r>
          </w:p>
        </w:tc>
        <w:tc>
          <w:tcPr>
            <w:tcW w:w="1455" w:type="dxa"/>
          </w:tcPr>
          <w:p w:rsidR="009A2C8E" w:rsidRPr="00BF0547" w:rsidRDefault="009A2C8E" w:rsidP="009E5705">
            <w:pPr>
              <w:pStyle w:val="naisf"/>
              <w:spacing w:before="0" w:after="0"/>
              <w:ind w:firstLine="0"/>
              <w:jc w:val="center"/>
              <w:rPr>
                <w:b/>
                <w:sz w:val="28"/>
                <w:szCs w:val="28"/>
              </w:rPr>
            </w:pPr>
            <w:r w:rsidRPr="00BF0547">
              <w:rPr>
                <w:b/>
                <w:sz w:val="28"/>
                <w:szCs w:val="28"/>
              </w:rPr>
              <w:t>0</w:t>
            </w:r>
          </w:p>
        </w:tc>
      </w:tr>
      <w:tr w:rsidR="009A2C8E" w:rsidRPr="00BF0547" w:rsidTr="006C418A">
        <w:trPr>
          <w:jc w:val="center"/>
        </w:trPr>
        <w:tc>
          <w:tcPr>
            <w:tcW w:w="2148" w:type="dxa"/>
          </w:tcPr>
          <w:p w:rsidR="009A2C8E" w:rsidRPr="00BF0547" w:rsidRDefault="009A2C8E" w:rsidP="004A05EF">
            <w:pPr>
              <w:pStyle w:val="naisf"/>
              <w:spacing w:before="0" w:after="0"/>
              <w:ind w:firstLine="0"/>
              <w:jc w:val="left"/>
              <w:rPr>
                <w:i/>
                <w:sz w:val="28"/>
                <w:szCs w:val="28"/>
              </w:rPr>
            </w:pPr>
            <w:r w:rsidRPr="00BF0547">
              <w:rPr>
                <w:sz w:val="28"/>
                <w:szCs w:val="28"/>
              </w:rPr>
              <w:t>1.1. valsts pamatbudžets, tai skaitā ieņēmumi no maksas pakalpojumiem un citi pašu ieņēmumi</w:t>
            </w:r>
          </w:p>
        </w:tc>
        <w:tc>
          <w:tcPr>
            <w:tcW w:w="1220" w:type="dxa"/>
          </w:tcPr>
          <w:p w:rsidR="009A2C8E" w:rsidRPr="00BF0547" w:rsidRDefault="00EF51BD" w:rsidP="00AA2965">
            <w:pPr>
              <w:pStyle w:val="naisf"/>
              <w:spacing w:before="0" w:after="0"/>
              <w:ind w:firstLine="0"/>
              <w:jc w:val="center"/>
              <w:rPr>
                <w:sz w:val="28"/>
                <w:szCs w:val="28"/>
              </w:rPr>
            </w:pPr>
            <w:r>
              <w:rPr>
                <w:sz w:val="28"/>
                <w:szCs w:val="28"/>
              </w:rPr>
              <w:t>46 160</w:t>
            </w:r>
          </w:p>
        </w:tc>
        <w:tc>
          <w:tcPr>
            <w:tcW w:w="1509" w:type="dxa"/>
          </w:tcPr>
          <w:p w:rsidR="009A2C8E" w:rsidRPr="00BF0547" w:rsidRDefault="009A2C8E" w:rsidP="00F46414">
            <w:pPr>
              <w:pStyle w:val="naisf"/>
              <w:spacing w:before="0" w:after="0"/>
              <w:ind w:firstLine="0"/>
              <w:jc w:val="center"/>
              <w:rPr>
                <w:sz w:val="28"/>
                <w:szCs w:val="28"/>
              </w:rPr>
            </w:pPr>
            <w:r w:rsidRPr="00BF0547">
              <w:rPr>
                <w:sz w:val="28"/>
                <w:szCs w:val="28"/>
              </w:rPr>
              <w:t>0</w:t>
            </w:r>
          </w:p>
        </w:tc>
        <w:tc>
          <w:tcPr>
            <w:tcW w:w="1452" w:type="dxa"/>
          </w:tcPr>
          <w:p w:rsidR="009A2C8E" w:rsidRPr="00BF0547" w:rsidRDefault="009A2C8E" w:rsidP="00F46414">
            <w:pPr>
              <w:pStyle w:val="naisf"/>
              <w:spacing w:before="0" w:after="0"/>
              <w:ind w:firstLine="0"/>
              <w:jc w:val="center"/>
              <w:rPr>
                <w:sz w:val="28"/>
                <w:szCs w:val="28"/>
              </w:rPr>
            </w:pPr>
            <w:r w:rsidRPr="00BF0547">
              <w:rPr>
                <w:sz w:val="28"/>
                <w:szCs w:val="28"/>
              </w:rPr>
              <w:t>0</w:t>
            </w:r>
          </w:p>
        </w:tc>
        <w:tc>
          <w:tcPr>
            <w:tcW w:w="1424" w:type="dxa"/>
          </w:tcPr>
          <w:p w:rsidR="009A2C8E" w:rsidRPr="00BF0547" w:rsidRDefault="009A2C8E" w:rsidP="00F46414">
            <w:pPr>
              <w:pStyle w:val="naisf"/>
              <w:spacing w:before="0" w:after="0"/>
              <w:ind w:firstLine="0"/>
              <w:jc w:val="center"/>
              <w:rPr>
                <w:sz w:val="28"/>
                <w:szCs w:val="28"/>
              </w:rPr>
            </w:pPr>
            <w:r w:rsidRPr="00BF0547">
              <w:rPr>
                <w:sz w:val="28"/>
                <w:szCs w:val="28"/>
              </w:rPr>
              <w:t>0</w:t>
            </w:r>
          </w:p>
        </w:tc>
        <w:tc>
          <w:tcPr>
            <w:tcW w:w="1455" w:type="dxa"/>
          </w:tcPr>
          <w:p w:rsidR="009A2C8E" w:rsidRPr="00BF0547" w:rsidRDefault="009A2C8E" w:rsidP="00F46414">
            <w:pPr>
              <w:pStyle w:val="naisf"/>
              <w:spacing w:before="0" w:after="0"/>
              <w:ind w:firstLine="0"/>
              <w:jc w:val="center"/>
              <w:rPr>
                <w:sz w:val="28"/>
                <w:szCs w:val="28"/>
              </w:rPr>
            </w:pPr>
            <w:r w:rsidRPr="00BF0547">
              <w:rPr>
                <w:sz w:val="28"/>
                <w:szCs w:val="28"/>
              </w:rPr>
              <w:t>0</w:t>
            </w:r>
          </w:p>
        </w:tc>
      </w:tr>
      <w:tr w:rsidR="009A2C8E" w:rsidRPr="00BF0547" w:rsidTr="006C418A">
        <w:trPr>
          <w:jc w:val="center"/>
        </w:trPr>
        <w:tc>
          <w:tcPr>
            <w:tcW w:w="2148" w:type="dxa"/>
          </w:tcPr>
          <w:p w:rsidR="009A2C8E" w:rsidRPr="00BF0547" w:rsidRDefault="009A2C8E" w:rsidP="004A05EF">
            <w:pPr>
              <w:pStyle w:val="naisf"/>
              <w:spacing w:before="0" w:after="0"/>
              <w:ind w:firstLine="0"/>
              <w:jc w:val="left"/>
              <w:rPr>
                <w:i/>
                <w:sz w:val="28"/>
                <w:szCs w:val="28"/>
              </w:rPr>
            </w:pPr>
            <w:r w:rsidRPr="00BF0547">
              <w:rPr>
                <w:sz w:val="28"/>
                <w:szCs w:val="28"/>
              </w:rPr>
              <w:t>1.2. valsts speciālais budžets</w:t>
            </w:r>
          </w:p>
        </w:tc>
        <w:tc>
          <w:tcPr>
            <w:tcW w:w="1220" w:type="dxa"/>
          </w:tcPr>
          <w:p w:rsidR="009A2C8E" w:rsidRPr="00BF0547" w:rsidRDefault="009A2C8E" w:rsidP="00AA2965">
            <w:pPr>
              <w:pStyle w:val="naisf"/>
              <w:spacing w:before="0" w:after="0"/>
              <w:ind w:firstLine="0"/>
              <w:jc w:val="center"/>
              <w:rPr>
                <w:sz w:val="28"/>
                <w:szCs w:val="28"/>
              </w:rPr>
            </w:pPr>
            <w:r w:rsidRPr="00BF0547">
              <w:rPr>
                <w:sz w:val="28"/>
                <w:szCs w:val="28"/>
              </w:rPr>
              <w:t>0</w:t>
            </w:r>
          </w:p>
        </w:tc>
        <w:tc>
          <w:tcPr>
            <w:tcW w:w="1509" w:type="dxa"/>
          </w:tcPr>
          <w:p w:rsidR="009A2C8E" w:rsidRPr="00BF0547" w:rsidRDefault="009A2C8E" w:rsidP="009E5705">
            <w:pPr>
              <w:pStyle w:val="naisf"/>
              <w:spacing w:before="0" w:after="0"/>
              <w:ind w:firstLine="0"/>
              <w:jc w:val="center"/>
              <w:rPr>
                <w:sz w:val="28"/>
                <w:szCs w:val="28"/>
              </w:rPr>
            </w:pPr>
            <w:r w:rsidRPr="00BF0547">
              <w:rPr>
                <w:sz w:val="28"/>
                <w:szCs w:val="28"/>
              </w:rPr>
              <w:t>0</w:t>
            </w:r>
          </w:p>
        </w:tc>
        <w:tc>
          <w:tcPr>
            <w:tcW w:w="1452" w:type="dxa"/>
          </w:tcPr>
          <w:p w:rsidR="009A2C8E" w:rsidRPr="00BF0547" w:rsidRDefault="009A2C8E" w:rsidP="009E5705">
            <w:pPr>
              <w:pStyle w:val="naisf"/>
              <w:spacing w:before="0" w:after="0"/>
              <w:ind w:firstLine="0"/>
              <w:jc w:val="center"/>
              <w:rPr>
                <w:sz w:val="28"/>
                <w:szCs w:val="28"/>
              </w:rPr>
            </w:pPr>
            <w:r w:rsidRPr="00BF0547">
              <w:rPr>
                <w:sz w:val="28"/>
                <w:szCs w:val="28"/>
              </w:rPr>
              <w:t>0</w:t>
            </w:r>
          </w:p>
        </w:tc>
        <w:tc>
          <w:tcPr>
            <w:tcW w:w="1424" w:type="dxa"/>
          </w:tcPr>
          <w:p w:rsidR="009A2C8E" w:rsidRPr="00BF0547" w:rsidRDefault="009A2C8E" w:rsidP="009E5705">
            <w:pPr>
              <w:pStyle w:val="naisf"/>
              <w:spacing w:before="0" w:after="0"/>
              <w:ind w:firstLine="0"/>
              <w:jc w:val="center"/>
              <w:rPr>
                <w:sz w:val="28"/>
                <w:szCs w:val="28"/>
              </w:rPr>
            </w:pPr>
            <w:r w:rsidRPr="00BF0547">
              <w:rPr>
                <w:sz w:val="28"/>
                <w:szCs w:val="28"/>
              </w:rPr>
              <w:t>0</w:t>
            </w:r>
          </w:p>
        </w:tc>
        <w:tc>
          <w:tcPr>
            <w:tcW w:w="1455" w:type="dxa"/>
          </w:tcPr>
          <w:p w:rsidR="009A2C8E" w:rsidRPr="00BF0547" w:rsidRDefault="009A2C8E" w:rsidP="009E5705">
            <w:pPr>
              <w:pStyle w:val="naisf"/>
              <w:spacing w:before="0" w:after="0"/>
              <w:ind w:firstLine="0"/>
              <w:jc w:val="center"/>
              <w:rPr>
                <w:sz w:val="28"/>
                <w:szCs w:val="28"/>
              </w:rPr>
            </w:pPr>
            <w:r w:rsidRPr="00BF0547">
              <w:rPr>
                <w:sz w:val="28"/>
                <w:szCs w:val="28"/>
              </w:rPr>
              <w:t>0</w:t>
            </w:r>
          </w:p>
        </w:tc>
      </w:tr>
      <w:tr w:rsidR="009A2C8E" w:rsidRPr="00BF0547" w:rsidTr="006C418A">
        <w:trPr>
          <w:jc w:val="center"/>
        </w:trPr>
        <w:tc>
          <w:tcPr>
            <w:tcW w:w="2148" w:type="dxa"/>
          </w:tcPr>
          <w:p w:rsidR="009A2C8E" w:rsidRPr="00BF0547" w:rsidRDefault="009A2C8E" w:rsidP="004A05EF">
            <w:pPr>
              <w:pStyle w:val="naisf"/>
              <w:spacing w:before="0" w:after="0"/>
              <w:ind w:firstLine="0"/>
              <w:jc w:val="left"/>
              <w:rPr>
                <w:i/>
                <w:sz w:val="28"/>
                <w:szCs w:val="28"/>
              </w:rPr>
            </w:pPr>
            <w:r w:rsidRPr="00BF0547">
              <w:rPr>
                <w:sz w:val="28"/>
                <w:szCs w:val="28"/>
              </w:rPr>
              <w:t>1.3. pašvaldību budžets</w:t>
            </w:r>
          </w:p>
        </w:tc>
        <w:tc>
          <w:tcPr>
            <w:tcW w:w="1220" w:type="dxa"/>
          </w:tcPr>
          <w:p w:rsidR="009A2C8E" w:rsidRPr="00BF0547" w:rsidRDefault="009A2C8E" w:rsidP="00AA2965">
            <w:pPr>
              <w:pStyle w:val="naisf"/>
              <w:spacing w:before="0" w:after="0"/>
              <w:ind w:firstLine="0"/>
              <w:jc w:val="center"/>
              <w:rPr>
                <w:sz w:val="28"/>
                <w:szCs w:val="28"/>
              </w:rPr>
            </w:pPr>
            <w:r w:rsidRPr="00BF0547">
              <w:rPr>
                <w:sz w:val="28"/>
                <w:szCs w:val="28"/>
              </w:rPr>
              <w:t>0</w:t>
            </w:r>
          </w:p>
        </w:tc>
        <w:tc>
          <w:tcPr>
            <w:tcW w:w="1509" w:type="dxa"/>
          </w:tcPr>
          <w:p w:rsidR="009A2C8E" w:rsidRPr="00BF0547" w:rsidRDefault="009A2C8E" w:rsidP="009E5705">
            <w:pPr>
              <w:pStyle w:val="naisf"/>
              <w:spacing w:before="0" w:after="0"/>
              <w:ind w:firstLine="0"/>
              <w:jc w:val="center"/>
              <w:rPr>
                <w:sz w:val="28"/>
                <w:szCs w:val="28"/>
              </w:rPr>
            </w:pPr>
            <w:r w:rsidRPr="00BF0547">
              <w:rPr>
                <w:sz w:val="28"/>
                <w:szCs w:val="28"/>
              </w:rPr>
              <w:t>0</w:t>
            </w:r>
          </w:p>
        </w:tc>
        <w:tc>
          <w:tcPr>
            <w:tcW w:w="1452" w:type="dxa"/>
          </w:tcPr>
          <w:p w:rsidR="009A2C8E" w:rsidRPr="00BF0547" w:rsidRDefault="009A2C8E" w:rsidP="009E5705">
            <w:pPr>
              <w:pStyle w:val="naisf"/>
              <w:spacing w:before="0" w:after="0"/>
              <w:ind w:firstLine="0"/>
              <w:jc w:val="center"/>
              <w:rPr>
                <w:sz w:val="28"/>
                <w:szCs w:val="28"/>
              </w:rPr>
            </w:pPr>
            <w:r w:rsidRPr="00BF0547">
              <w:rPr>
                <w:sz w:val="28"/>
                <w:szCs w:val="28"/>
              </w:rPr>
              <w:t>0</w:t>
            </w:r>
          </w:p>
        </w:tc>
        <w:tc>
          <w:tcPr>
            <w:tcW w:w="1424" w:type="dxa"/>
          </w:tcPr>
          <w:p w:rsidR="009A2C8E" w:rsidRPr="00BF0547" w:rsidRDefault="009A2C8E" w:rsidP="009E5705">
            <w:pPr>
              <w:pStyle w:val="naisf"/>
              <w:spacing w:before="0" w:after="0"/>
              <w:ind w:firstLine="0"/>
              <w:jc w:val="center"/>
              <w:rPr>
                <w:sz w:val="28"/>
                <w:szCs w:val="28"/>
              </w:rPr>
            </w:pPr>
            <w:r w:rsidRPr="00BF0547">
              <w:rPr>
                <w:sz w:val="28"/>
                <w:szCs w:val="28"/>
              </w:rPr>
              <w:t>0</w:t>
            </w:r>
          </w:p>
        </w:tc>
        <w:tc>
          <w:tcPr>
            <w:tcW w:w="1455" w:type="dxa"/>
          </w:tcPr>
          <w:p w:rsidR="009A2C8E" w:rsidRPr="00BF0547" w:rsidRDefault="009A2C8E" w:rsidP="009E5705">
            <w:pPr>
              <w:pStyle w:val="naisf"/>
              <w:spacing w:before="0" w:after="0"/>
              <w:ind w:firstLine="0"/>
              <w:jc w:val="center"/>
              <w:rPr>
                <w:sz w:val="28"/>
                <w:szCs w:val="28"/>
              </w:rPr>
            </w:pPr>
            <w:r w:rsidRPr="00BF0547">
              <w:rPr>
                <w:sz w:val="28"/>
                <w:szCs w:val="28"/>
              </w:rPr>
              <w:t>0</w:t>
            </w:r>
          </w:p>
        </w:tc>
      </w:tr>
      <w:tr w:rsidR="009A2C8E" w:rsidRPr="00BF0547" w:rsidTr="006C418A">
        <w:trPr>
          <w:jc w:val="center"/>
        </w:trPr>
        <w:tc>
          <w:tcPr>
            <w:tcW w:w="2148" w:type="dxa"/>
          </w:tcPr>
          <w:p w:rsidR="009A2C8E" w:rsidRPr="00BF0547" w:rsidRDefault="009A2C8E" w:rsidP="004A05EF">
            <w:pPr>
              <w:rPr>
                <w:sz w:val="28"/>
                <w:szCs w:val="28"/>
              </w:rPr>
            </w:pPr>
            <w:r w:rsidRPr="00BF0547">
              <w:rPr>
                <w:sz w:val="28"/>
                <w:szCs w:val="28"/>
              </w:rPr>
              <w:t>2. Budžeta izdevumi:</w:t>
            </w:r>
          </w:p>
        </w:tc>
        <w:tc>
          <w:tcPr>
            <w:tcW w:w="1220" w:type="dxa"/>
          </w:tcPr>
          <w:p w:rsidR="009A2C8E" w:rsidRPr="00BF0547" w:rsidRDefault="00EF51BD" w:rsidP="00AA2965">
            <w:pPr>
              <w:pStyle w:val="naisf"/>
              <w:spacing w:before="0" w:after="0"/>
              <w:ind w:firstLine="0"/>
              <w:jc w:val="center"/>
              <w:rPr>
                <w:b/>
                <w:sz w:val="28"/>
                <w:szCs w:val="28"/>
              </w:rPr>
            </w:pPr>
            <w:r>
              <w:rPr>
                <w:b/>
                <w:sz w:val="28"/>
                <w:szCs w:val="28"/>
              </w:rPr>
              <w:t>46 160</w:t>
            </w:r>
          </w:p>
        </w:tc>
        <w:tc>
          <w:tcPr>
            <w:tcW w:w="1509" w:type="dxa"/>
          </w:tcPr>
          <w:p w:rsidR="009A2C8E" w:rsidRPr="00BF0547" w:rsidRDefault="00C85910" w:rsidP="00027639">
            <w:pPr>
              <w:pStyle w:val="naisf"/>
              <w:spacing w:before="0" w:after="0"/>
              <w:ind w:firstLine="0"/>
              <w:jc w:val="center"/>
              <w:rPr>
                <w:b/>
                <w:sz w:val="28"/>
                <w:szCs w:val="28"/>
              </w:rPr>
            </w:pPr>
            <w:r>
              <w:rPr>
                <w:b/>
                <w:sz w:val="28"/>
                <w:szCs w:val="28"/>
              </w:rPr>
              <w:t>39 999</w:t>
            </w:r>
          </w:p>
        </w:tc>
        <w:tc>
          <w:tcPr>
            <w:tcW w:w="1452" w:type="dxa"/>
          </w:tcPr>
          <w:p w:rsidR="009A2C8E" w:rsidRPr="00BF0547" w:rsidRDefault="009A2C8E" w:rsidP="009E5705">
            <w:pPr>
              <w:pStyle w:val="naisf"/>
              <w:spacing w:before="0" w:after="0"/>
              <w:ind w:firstLine="0"/>
              <w:jc w:val="center"/>
              <w:rPr>
                <w:b/>
                <w:sz w:val="28"/>
                <w:szCs w:val="28"/>
              </w:rPr>
            </w:pPr>
            <w:r w:rsidRPr="00BF0547">
              <w:rPr>
                <w:b/>
                <w:sz w:val="28"/>
                <w:szCs w:val="28"/>
              </w:rPr>
              <w:t>0</w:t>
            </w:r>
          </w:p>
        </w:tc>
        <w:tc>
          <w:tcPr>
            <w:tcW w:w="1424" w:type="dxa"/>
          </w:tcPr>
          <w:p w:rsidR="009A2C8E" w:rsidRPr="00BF0547" w:rsidRDefault="009A2C8E" w:rsidP="009E5705">
            <w:pPr>
              <w:pStyle w:val="naisf"/>
              <w:spacing w:before="0" w:after="0"/>
              <w:ind w:firstLine="0"/>
              <w:jc w:val="center"/>
              <w:rPr>
                <w:b/>
                <w:sz w:val="28"/>
                <w:szCs w:val="28"/>
              </w:rPr>
            </w:pPr>
            <w:r w:rsidRPr="00BF0547">
              <w:rPr>
                <w:b/>
                <w:sz w:val="28"/>
                <w:szCs w:val="28"/>
              </w:rPr>
              <w:t>0</w:t>
            </w:r>
          </w:p>
        </w:tc>
        <w:tc>
          <w:tcPr>
            <w:tcW w:w="1455" w:type="dxa"/>
          </w:tcPr>
          <w:p w:rsidR="009A2C8E" w:rsidRPr="00BF0547" w:rsidRDefault="009A2C8E" w:rsidP="009E5705">
            <w:pPr>
              <w:pStyle w:val="naisf"/>
              <w:spacing w:before="0" w:after="0"/>
              <w:ind w:firstLine="0"/>
              <w:jc w:val="center"/>
              <w:rPr>
                <w:b/>
                <w:sz w:val="28"/>
                <w:szCs w:val="28"/>
              </w:rPr>
            </w:pPr>
            <w:r w:rsidRPr="00BF0547">
              <w:rPr>
                <w:b/>
                <w:sz w:val="28"/>
                <w:szCs w:val="28"/>
              </w:rPr>
              <w:t>0</w:t>
            </w:r>
          </w:p>
        </w:tc>
      </w:tr>
      <w:tr w:rsidR="009A2C8E" w:rsidRPr="00BF0547" w:rsidTr="006C418A">
        <w:trPr>
          <w:jc w:val="center"/>
        </w:trPr>
        <w:tc>
          <w:tcPr>
            <w:tcW w:w="2148" w:type="dxa"/>
          </w:tcPr>
          <w:p w:rsidR="009A2C8E" w:rsidRPr="00BF0547" w:rsidRDefault="009A2C8E" w:rsidP="004A05EF">
            <w:pPr>
              <w:rPr>
                <w:sz w:val="28"/>
                <w:szCs w:val="28"/>
              </w:rPr>
            </w:pPr>
            <w:r w:rsidRPr="00BF0547">
              <w:rPr>
                <w:sz w:val="28"/>
                <w:szCs w:val="28"/>
              </w:rPr>
              <w:t>2.1. valsts pamatbudžets</w:t>
            </w:r>
          </w:p>
        </w:tc>
        <w:tc>
          <w:tcPr>
            <w:tcW w:w="1220" w:type="dxa"/>
          </w:tcPr>
          <w:p w:rsidR="009A2C8E" w:rsidRPr="00BF0547" w:rsidRDefault="00EF51BD" w:rsidP="00AA2965">
            <w:pPr>
              <w:pStyle w:val="naisf"/>
              <w:spacing w:before="0" w:after="0"/>
              <w:ind w:firstLine="0"/>
              <w:jc w:val="center"/>
              <w:rPr>
                <w:sz w:val="28"/>
                <w:szCs w:val="28"/>
              </w:rPr>
            </w:pPr>
            <w:r>
              <w:rPr>
                <w:sz w:val="28"/>
                <w:szCs w:val="28"/>
              </w:rPr>
              <w:t>46 160</w:t>
            </w:r>
          </w:p>
        </w:tc>
        <w:tc>
          <w:tcPr>
            <w:tcW w:w="1509" w:type="dxa"/>
          </w:tcPr>
          <w:p w:rsidR="009A2C8E" w:rsidRPr="00BF0547" w:rsidRDefault="00C85910" w:rsidP="00CA480E">
            <w:pPr>
              <w:pStyle w:val="naisf"/>
              <w:spacing w:before="0" w:after="0"/>
              <w:ind w:firstLine="0"/>
              <w:jc w:val="center"/>
              <w:rPr>
                <w:sz w:val="28"/>
                <w:szCs w:val="28"/>
              </w:rPr>
            </w:pPr>
            <w:r>
              <w:rPr>
                <w:sz w:val="28"/>
                <w:szCs w:val="28"/>
              </w:rPr>
              <w:t>39 999</w:t>
            </w:r>
          </w:p>
        </w:tc>
        <w:tc>
          <w:tcPr>
            <w:tcW w:w="1452" w:type="dxa"/>
          </w:tcPr>
          <w:p w:rsidR="009A2C8E" w:rsidRPr="00BF0547" w:rsidRDefault="009A2C8E" w:rsidP="009E5705">
            <w:pPr>
              <w:pStyle w:val="naisf"/>
              <w:spacing w:before="0" w:after="0"/>
              <w:ind w:firstLine="0"/>
              <w:jc w:val="center"/>
              <w:rPr>
                <w:sz w:val="28"/>
                <w:szCs w:val="28"/>
              </w:rPr>
            </w:pPr>
            <w:r w:rsidRPr="00BF0547">
              <w:rPr>
                <w:sz w:val="28"/>
                <w:szCs w:val="28"/>
              </w:rPr>
              <w:t>0</w:t>
            </w:r>
          </w:p>
        </w:tc>
        <w:tc>
          <w:tcPr>
            <w:tcW w:w="1424" w:type="dxa"/>
          </w:tcPr>
          <w:p w:rsidR="009A2C8E" w:rsidRPr="00BF0547" w:rsidRDefault="009A2C8E" w:rsidP="009E5705">
            <w:pPr>
              <w:pStyle w:val="naisf"/>
              <w:spacing w:before="0" w:after="0"/>
              <w:ind w:firstLine="0"/>
              <w:jc w:val="center"/>
              <w:rPr>
                <w:sz w:val="28"/>
                <w:szCs w:val="28"/>
              </w:rPr>
            </w:pPr>
            <w:r w:rsidRPr="00BF0547">
              <w:rPr>
                <w:sz w:val="28"/>
                <w:szCs w:val="28"/>
              </w:rPr>
              <w:t>0</w:t>
            </w:r>
          </w:p>
        </w:tc>
        <w:tc>
          <w:tcPr>
            <w:tcW w:w="1455" w:type="dxa"/>
          </w:tcPr>
          <w:p w:rsidR="009A2C8E" w:rsidRPr="00BF0547" w:rsidRDefault="009A2C8E" w:rsidP="009E5705">
            <w:pPr>
              <w:pStyle w:val="naisf"/>
              <w:spacing w:before="0" w:after="0"/>
              <w:ind w:firstLine="0"/>
              <w:jc w:val="center"/>
              <w:rPr>
                <w:sz w:val="28"/>
                <w:szCs w:val="28"/>
              </w:rPr>
            </w:pPr>
            <w:r w:rsidRPr="00BF0547">
              <w:rPr>
                <w:sz w:val="28"/>
                <w:szCs w:val="28"/>
              </w:rPr>
              <w:t>0</w:t>
            </w:r>
          </w:p>
        </w:tc>
      </w:tr>
      <w:tr w:rsidR="00367C3B" w:rsidRPr="00BF0547" w:rsidTr="006C418A">
        <w:trPr>
          <w:jc w:val="center"/>
        </w:trPr>
        <w:tc>
          <w:tcPr>
            <w:tcW w:w="2148" w:type="dxa"/>
          </w:tcPr>
          <w:p w:rsidR="00367C3B" w:rsidRPr="00BF0547" w:rsidRDefault="00367C3B" w:rsidP="004A05EF">
            <w:pPr>
              <w:rPr>
                <w:sz w:val="28"/>
                <w:szCs w:val="28"/>
              </w:rPr>
            </w:pPr>
            <w:r w:rsidRPr="00BF0547">
              <w:rPr>
                <w:sz w:val="28"/>
                <w:szCs w:val="28"/>
              </w:rPr>
              <w:t>2.2. valsts speciālais budžets</w:t>
            </w:r>
          </w:p>
        </w:tc>
        <w:tc>
          <w:tcPr>
            <w:tcW w:w="1220" w:type="dxa"/>
          </w:tcPr>
          <w:p w:rsidR="00367C3B" w:rsidRPr="00BF0547" w:rsidRDefault="009E5705" w:rsidP="009E5705">
            <w:pPr>
              <w:pStyle w:val="naisf"/>
              <w:spacing w:before="0" w:after="0"/>
              <w:ind w:firstLine="0"/>
              <w:jc w:val="center"/>
              <w:rPr>
                <w:sz w:val="28"/>
                <w:szCs w:val="28"/>
              </w:rPr>
            </w:pPr>
            <w:r w:rsidRPr="00BF0547">
              <w:rPr>
                <w:sz w:val="28"/>
                <w:szCs w:val="28"/>
              </w:rPr>
              <w:t>0</w:t>
            </w:r>
          </w:p>
        </w:tc>
        <w:tc>
          <w:tcPr>
            <w:tcW w:w="1509" w:type="dxa"/>
          </w:tcPr>
          <w:p w:rsidR="00367C3B" w:rsidRPr="00BF0547" w:rsidRDefault="009E5705" w:rsidP="009E5705">
            <w:pPr>
              <w:pStyle w:val="naisf"/>
              <w:spacing w:before="0" w:after="0"/>
              <w:ind w:firstLine="0"/>
              <w:jc w:val="center"/>
              <w:rPr>
                <w:sz w:val="28"/>
                <w:szCs w:val="28"/>
              </w:rPr>
            </w:pPr>
            <w:r w:rsidRPr="00BF0547">
              <w:rPr>
                <w:sz w:val="28"/>
                <w:szCs w:val="28"/>
              </w:rPr>
              <w:t>0</w:t>
            </w:r>
          </w:p>
        </w:tc>
        <w:tc>
          <w:tcPr>
            <w:tcW w:w="1452" w:type="dxa"/>
          </w:tcPr>
          <w:p w:rsidR="00367C3B" w:rsidRPr="00BF0547" w:rsidRDefault="009E5705" w:rsidP="009E5705">
            <w:pPr>
              <w:pStyle w:val="naisf"/>
              <w:spacing w:before="0" w:after="0"/>
              <w:ind w:firstLine="0"/>
              <w:jc w:val="center"/>
              <w:rPr>
                <w:sz w:val="28"/>
                <w:szCs w:val="28"/>
              </w:rPr>
            </w:pPr>
            <w:r w:rsidRPr="00BF0547">
              <w:rPr>
                <w:sz w:val="28"/>
                <w:szCs w:val="28"/>
              </w:rPr>
              <w:t>0</w:t>
            </w:r>
          </w:p>
        </w:tc>
        <w:tc>
          <w:tcPr>
            <w:tcW w:w="1424" w:type="dxa"/>
          </w:tcPr>
          <w:p w:rsidR="00367C3B" w:rsidRPr="00BF0547" w:rsidRDefault="009E5705" w:rsidP="009E5705">
            <w:pPr>
              <w:pStyle w:val="naisf"/>
              <w:spacing w:before="0" w:after="0"/>
              <w:ind w:firstLine="0"/>
              <w:jc w:val="center"/>
              <w:rPr>
                <w:sz w:val="28"/>
                <w:szCs w:val="28"/>
              </w:rPr>
            </w:pPr>
            <w:r w:rsidRPr="00BF0547">
              <w:rPr>
                <w:sz w:val="28"/>
                <w:szCs w:val="28"/>
              </w:rPr>
              <w:t>0</w:t>
            </w:r>
          </w:p>
        </w:tc>
        <w:tc>
          <w:tcPr>
            <w:tcW w:w="1455" w:type="dxa"/>
          </w:tcPr>
          <w:p w:rsidR="00367C3B" w:rsidRPr="00BF0547" w:rsidRDefault="009E5705" w:rsidP="009E5705">
            <w:pPr>
              <w:pStyle w:val="naisf"/>
              <w:spacing w:before="0" w:after="0"/>
              <w:ind w:firstLine="0"/>
              <w:jc w:val="center"/>
              <w:rPr>
                <w:sz w:val="28"/>
                <w:szCs w:val="28"/>
              </w:rPr>
            </w:pPr>
            <w:r w:rsidRPr="00BF0547">
              <w:rPr>
                <w:sz w:val="28"/>
                <w:szCs w:val="28"/>
              </w:rPr>
              <w:t>0</w:t>
            </w:r>
          </w:p>
        </w:tc>
      </w:tr>
      <w:tr w:rsidR="00367C3B" w:rsidRPr="00BF0547" w:rsidTr="006C418A">
        <w:trPr>
          <w:jc w:val="center"/>
        </w:trPr>
        <w:tc>
          <w:tcPr>
            <w:tcW w:w="2148" w:type="dxa"/>
          </w:tcPr>
          <w:p w:rsidR="00367C3B" w:rsidRPr="00BF0547" w:rsidRDefault="00367C3B" w:rsidP="004A05EF">
            <w:pPr>
              <w:rPr>
                <w:sz w:val="28"/>
                <w:szCs w:val="28"/>
              </w:rPr>
            </w:pPr>
            <w:r w:rsidRPr="00BF0547">
              <w:rPr>
                <w:sz w:val="28"/>
                <w:szCs w:val="28"/>
              </w:rPr>
              <w:t xml:space="preserve">2.3. pašvaldību budžets </w:t>
            </w:r>
          </w:p>
        </w:tc>
        <w:tc>
          <w:tcPr>
            <w:tcW w:w="1220" w:type="dxa"/>
          </w:tcPr>
          <w:p w:rsidR="00367C3B" w:rsidRPr="00BF0547" w:rsidRDefault="009E5705" w:rsidP="009E5705">
            <w:pPr>
              <w:pStyle w:val="naisf"/>
              <w:spacing w:before="0" w:after="0"/>
              <w:ind w:firstLine="0"/>
              <w:jc w:val="center"/>
              <w:rPr>
                <w:sz w:val="28"/>
                <w:szCs w:val="28"/>
              </w:rPr>
            </w:pPr>
            <w:r w:rsidRPr="00BF0547">
              <w:rPr>
                <w:sz w:val="28"/>
                <w:szCs w:val="28"/>
              </w:rPr>
              <w:t>0</w:t>
            </w:r>
          </w:p>
        </w:tc>
        <w:tc>
          <w:tcPr>
            <w:tcW w:w="1509" w:type="dxa"/>
          </w:tcPr>
          <w:p w:rsidR="00367C3B" w:rsidRPr="00BF0547" w:rsidRDefault="009E5705" w:rsidP="009E5705">
            <w:pPr>
              <w:pStyle w:val="naisf"/>
              <w:spacing w:before="0" w:after="0"/>
              <w:ind w:firstLine="0"/>
              <w:jc w:val="center"/>
              <w:rPr>
                <w:sz w:val="28"/>
                <w:szCs w:val="28"/>
              </w:rPr>
            </w:pPr>
            <w:r w:rsidRPr="00BF0547">
              <w:rPr>
                <w:sz w:val="28"/>
                <w:szCs w:val="28"/>
              </w:rPr>
              <w:t>0</w:t>
            </w:r>
          </w:p>
        </w:tc>
        <w:tc>
          <w:tcPr>
            <w:tcW w:w="1452" w:type="dxa"/>
          </w:tcPr>
          <w:p w:rsidR="00367C3B" w:rsidRPr="00BF0547" w:rsidRDefault="009E5705" w:rsidP="009E5705">
            <w:pPr>
              <w:pStyle w:val="naisf"/>
              <w:spacing w:before="0" w:after="0"/>
              <w:ind w:firstLine="0"/>
              <w:jc w:val="center"/>
              <w:rPr>
                <w:sz w:val="28"/>
                <w:szCs w:val="28"/>
              </w:rPr>
            </w:pPr>
            <w:r w:rsidRPr="00BF0547">
              <w:rPr>
                <w:sz w:val="28"/>
                <w:szCs w:val="28"/>
              </w:rPr>
              <w:t>0</w:t>
            </w:r>
          </w:p>
        </w:tc>
        <w:tc>
          <w:tcPr>
            <w:tcW w:w="1424" w:type="dxa"/>
          </w:tcPr>
          <w:p w:rsidR="00367C3B" w:rsidRPr="00BF0547" w:rsidRDefault="009E5705" w:rsidP="009E5705">
            <w:pPr>
              <w:pStyle w:val="naisf"/>
              <w:spacing w:before="0" w:after="0"/>
              <w:ind w:firstLine="0"/>
              <w:jc w:val="center"/>
              <w:rPr>
                <w:sz w:val="28"/>
                <w:szCs w:val="28"/>
              </w:rPr>
            </w:pPr>
            <w:r w:rsidRPr="00BF0547">
              <w:rPr>
                <w:sz w:val="28"/>
                <w:szCs w:val="28"/>
              </w:rPr>
              <w:t>0</w:t>
            </w:r>
          </w:p>
        </w:tc>
        <w:tc>
          <w:tcPr>
            <w:tcW w:w="1455" w:type="dxa"/>
          </w:tcPr>
          <w:p w:rsidR="00367C3B" w:rsidRPr="00BF0547" w:rsidRDefault="009E5705" w:rsidP="009E5705">
            <w:pPr>
              <w:pStyle w:val="naisf"/>
              <w:spacing w:before="0" w:after="0"/>
              <w:ind w:firstLine="0"/>
              <w:jc w:val="center"/>
              <w:rPr>
                <w:sz w:val="28"/>
                <w:szCs w:val="28"/>
              </w:rPr>
            </w:pPr>
            <w:r w:rsidRPr="00BF0547">
              <w:rPr>
                <w:sz w:val="28"/>
                <w:szCs w:val="28"/>
              </w:rPr>
              <w:t>0</w:t>
            </w:r>
          </w:p>
        </w:tc>
      </w:tr>
      <w:tr w:rsidR="00204A43" w:rsidRPr="00BF0547" w:rsidTr="006C418A">
        <w:trPr>
          <w:jc w:val="center"/>
        </w:trPr>
        <w:tc>
          <w:tcPr>
            <w:tcW w:w="2148" w:type="dxa"/>
          </w:tcPr>
          <w:p w:rsidR="00204A43" w:rsidRPr="00BF0547" w:rsidRDefault="00204A43" w:rsidP="004A05EF">
            <w:pPr>
              <w:rPr>
                <w:sz w:val="28"/>
                <w:szCs w:val="28"/>
              </w:rPr>
            </w:pPr>
            <w:r w:rsidRPr="00BF0547">
              <w:rPr>
                <w:sz w:val="28"/>
                <w:szCs w:val="28"/>
              </w:rPr>
              <w:t>3. Finansiālā ietekme:</w:t>
            </w:r>
          </w:p>
        </w:tc>
        <w:tc>
          <w:tcPr>
            <w:tcW w:w="1220" w:type="dxa"/>
            <w:shd w:val="clear" w:color="auto" w:fill="auto"/>
          </w:tcPr>
          <w:p w:rsidR="00204A43" w:rsidRPr="00BF0547" w:rsidRDefault="00204A43" w:rsidP="009E5705">
            <w:pPr>
              <w:pStyle w:val="naisf"/>
              <w:spacing w:before="0" w:after="0"/>
              <w:ind w:firstLine="0"/>
              <w:jc w:val="center"/>
              <w:rPr>
                <w:b/>
                <w:sz w:val="28"/>
                <w:szCs w:val="28"/>
              </w:rPr>
            </w:pPr>
            <w:r w:rsidRPr="00BF0547">
              <w:rPr>
                <w:b/>
                <w:sz w:val="28"/>
                <w:szCs w:val="28"/>
              </w:rPr>
              <w:t>0</w:t>
            </w:r>
          </w:p>
        </w:tc>
        <w:tc>
          <w:tcPr>
            <w:tcW w:w="1509" w:type="dxa"/>
          </w:tcPr>
          <w:p w:rsidR="00204A43" w:rsidRPr="00BF0547" w:rsidRDefault="00204A43" w:rsidP="00C85910">
            <w:pPr>
              <w:pStyle w:val="naisf"/>
              <w:spacing w:before="0" w:after="0"/>
              <w:ind w:firstLine="0"/>
              <w:jc w:val="center"/>
              <w:rPr>
                <w:b/>
                <w:sz w:val="28"/>
                <w:szCs w:val="28"/>
              </w:rPr>
            </w:pPr>
            <w:r w:rsidRPr="00BF0547">
              <w:rPr>
                <w:b/>
                <w:sz w:val="28"/>
                <w:szCs w:val="28"/>
              </w:rPr>
              <w:t>-</w:t>
            </w:r>
            <w:r w:rsidR="00C85910">
              <w:rPr>
                <w:b/>
                <w:sz w:val="28"/>
                <w:szCs w:val="28"/>
              </w:rPr>
              <w:t>39 999</w:t>
            </w:r>
          </w:p>
        </w:tc>
        <w:tc>
          <w:tcPr>
            <w:tcW w:w="1452" w:type="dxa"/>
          </w:tcPr>
          <w:p w:rsidR="00204A43" w:rsidRPr="00BF0547" w:rsidRDefault="00204A43" w:rsidP="009E5705">
            <w:pPr>
              <w:pStyle w:val="naisf"/>
              <w:spacing w:before="0" w:after="0"/>
              <w:ind w:firstLine="0"/>
              <w:jc w:val="center"/>
              <w:rPr>
                <w:b/>
                <w:sz w:val="28"/>
                <w:szCs w:val="28"/>
              </w:rPr>
            </w:pPr>
            <w:r w:rsidRPr="00BF0547">
              <w:rPr>
                <w:b/>
                <w:sz w:val="28"/>
                <w:szCs w:val="28"/>
              </w:rPr>
              <w:t>0</w:t>
            </w:r>
          </w:p>
        </w:tc>
        <w:tc>
          <w:tcPr>
            <w:tcW w:w="1424" w:type="dxa"/>
          </w:tcPr>
          <w:p w:rsidR="00204A43" w:rsidRPr="00BF0547" w:rsidRDefault="00204A43" w:rsidP="009E5705">
            <w:pPr>
              <w:pStyle w:val="naisf"/>
              <w:spacing w:before="0" w:after="0"/>
              <w:ind w:firstLine="0"/>
              <w:jc w:val="center"/>
              <w:rPr>
                <w:b/>
                <w:sz w:val="28"/>
                <w:szCs w:val="28"/>
              </w:rPr>
            </w:pPr>
            <w:r w:rsidRPr="00BF0547">
              <w:rPr>
                <w:b/>
                <w:sz w:val="28"/>
                <w:szCs w:val="28"/>
              </w:rPr>
              <w:t>0</w:t>
            </w:r>
          </w:p>
        </w:tc>
        <w:tc>
          <w:tcPr>
            <w:tcW w:w="1455" w:type="dxa"/>
          </w:tcPr>
          <w:p w:rsidR="00204A43" w:rsidRPr="00BF0547" w:rsidRDefault="00204A43" w:rsidP="009E5705">
            <w:pPr>
              <w:pStyle w:val="naisf"/>
              <w:spacing w:before="0" w:after="0"/>
              <w:ind w:firstLine="0"/>
              <w:jc w:val="center"/>
              <w:rPr>
                <w:b/>
                <w:sz w:val="28"/>
                <w:szCs w:val="28"/>
              </w:rPr>
            </w:pPr>
            <w:r w:rsidRPr="00BF0547">
              <w:rPr>
                <w:b/>
                <w:sz w:val="28"/>
                <w:szCs w:val="28"/>
              </w:rPr>
              <w:t>0</w:t>
            </w:r>
          </w:p>
        </w:tc>
      </w:tr>
      <w:tr w:rsidR="00204A43" w:rsidRPr="00BF0547" w:rsidTr="006C418A">
        <w:trPr>
          <w:jc w:val="center"/>
        </w:trPr>
        <w:tc>
          <w:tcPr>
            <w:tcW w:w="2148" w:type="dxa"/>
          </w:tcPr>
          <w:p w:rsidR="00204A43" w:rsidRPr="00BF0547" w:rsidRDefault="00204A43" w:rsidP="004A05EF">
            <w:pPr>
              <w:rPr>
                <w:sz w:val="28"/>
                <w:szCs w:val="28"/>
              </w:rPr>
            </w:pPr>
            <w:r w:rsidRPr="00BF0547">
              <w:rPr>
                <w:sz w:val="28"/>
                <w:szCs w:val="28"/>
              </w:rPr>
              <w:t>3.1. valsts pamatbudžets</w:t>
            </w:r>
          </w:p>
        </w:tc>
        <w:tc>
          <w:tcPr>
            <w:tcW w:w="1220" w:type="dxa"/>
            <w:shd w:val="clear" w:color="auto" w:fill="auto"/>
          </w:tcPr>
          <w:p w:rsidR="00204A43" w:rsidRPr="00BF0547" w:rsidRDefault="00204A43" w:rsidP="009E5705">
            <w:pPr>
              <w:pStyle w:val="naisf"/>
              <w:spacing w:before="0" w:after="0"/>
              <w:ind w:firstLine="0"/>
              <w:jc w:val="center"/>
              <w:rPr>
                <w:sz w:val="28"/>
                <w:szCs w:val="28"/>
              </w:rPr>
            </w:pPr>
            <w:r w:rsidRPr="00BF0547">
              <w:rPr>
                <w:sz w:val="28"/>
                <w:szCs w:val="28"/>
              </w:rPr>
              <w:t>0</w:t>
            </w:r>
          </w:p>
        </w:tc>
        <w:tc>
          <w:tcPr>
            <w:tcW w:w="1509" w:type="dxa"/>
          </w:tcPr>
          <w:p w:rsidR="00204A43" w:rsidRPr="00BF0547" w:rsidRDefault="00204A43" w:rsidP="00C85910">
            <w:pPr>
              <w:pStyle w:val="naisf"/>
              <w:spacing w:before="0" w:after="0"/>
              <w:ind w:firstLine="0"/>
              <w:jc w:val="center"/>
              <w:rPr>
                <w:sz w:val="28"/>
                <w:szCs w:val="28"/>
              </w:rPr>
            </w:pPr>
            <w:r w:rsidRPr="00BF0547">
              <w:rPr>
                <w:sz w:val="28"/>
                <w:szCs w:val="28"/>
              </w:rPr>
              <w:t>-</w:t>
            </w:r>
            <w:r w:rsidR="00C85910">
              <w:rPr>
                <w:sz w:val="28"/>
                <w:szCs w:val="28"/>
              </w:rPr>
              <w:t>39 999</w:t>
            </w:r>
          </w:p>
        </w:tc>
        <w:tc>
          <w:tcPr>
            <w:tcW w:w="1452" w:type="dxa"/>
          </w:tcPr>
          <w:p w:rsidR="00204A43" w:rsidRPr="00BF0547" w:rsidRDefault="00204A43" w:rsidP="009E5705">
            <w:pPr>
              <w:pStyle w:val="naisf"/>
              <w:spacing w:before="0" w:after="0"/>
              <w:ind w:firstLine="0"/>
              <w:jc w:val="center"/>
              <w:rPr>
                <w:sz w:val="28"/>
                <w:szCs w:val="28"/>
              </w:rPr>
            </w:pPr>
            <w:r w:rsidRPr="00BF0547">
              <w:rPr>
                <w:sz w:val="28"/>
                <w:szCs w:val="28"/>
              </w:rPr>
              <w:t>0</w:t>
            </w:r>
          </w:p>
        </w:tc>
        <w:tc>
          <w:tcPr>
            <w:tcW w:w="1424" w:type="dxa"/>
          </w:tcPr>
          <w:p w:rsidR="00204A43" w:rsidRPr="00BF0547" w:rsidRDefault="00204A43" w:rsidP="009E5705">
            <w:pPr>
              <w:pStyle w:val="naisf"/>
              <w:spacing w:before="0" w:after="0"/>
              <w:ind w:firstLine="0"/>
              <w:jc w:val="center"/>
              <w:rPr>
                <w:sz w:val="28"/>
                <w:szCs w:val="28"/>
              </w:rPr>
            </w:pPr>
            <w:r w:rsidRPr="00BF0547">
              <w:rPr>
                <w:sz w:val="28"/>
                <w:szCs w:val="28"/>
              </w:rPr>
              <w:t>0</w:t>
            </w:r>
          </w:p>
        </w:tc>
        <w:tc>
          <w:tcPr>
            <w:tcW w:w="1455" w:type="dxa"/>
          </w:tcPr>
          <w:p w:rsidR="00204A43" w:rsidRPr="00BF0547" w:rsidRDefault="00204A43" w:rsidP="009E5705">
            <w:pPr>
              <w:pStyle w:val="naisf"/>
              <w:spacing w:before="0" w:after="0"/>
              <w:ind w:firstLine="0"/>
              <w:jc w:val="center"/>
              <w:rPr>
                <w:sz w:val="28"/>
                <w:szCs w:val="28"/>
              </w:rPr>
            </w:pPr>
            <w:r w:rsidRPr="00BF0547">
              <w:rPr>
                <w:sz w:val="28"/>
                <w:szCs w:val="28"/>
              </w:rPr>
              <w:t>0</w:t>
            </w:r>
          </w:p>
        </w:tc>
      </w:tr>
      <w:tr w:rsidR="00367C3B" w:rsidRPr="00BF0547" w:rsidTr="006C418A">
        <w:trPr>
          <w:jc w:val="center"/>
        </w:trPr>
        <w:tc>
          <w:tcPr>
            <w:tcW w:w="2148" w:type="dxa"/>
          </w:tcPr>
          <w:p w:rsidR="00367C3B" w:rsidRPr="00BF0547" w:rsidRDefault="00367C3B" w:rsidP="004A05EF">
            <w:pPr>
              <w:rPr>
                <w:sz w:val="28"/>
                <w:szCs w:val="28"/>
              </w:rPr>
            </w:pPr>
            <w:r w:rsidRPr="00BF0547">
              <w:rPr>
                <w:sz w:val="28"/>
                <w:szCs w:val="28"/>
              </w:rPr>
              <w:lastRenderedPageBreak/>
              <w:t>3.2. speciālais budžets</w:t>
            </w:r>
          </w:p>
        </w:tc>
        <w:tc>
          <w:tcPr>
            <w:tcW w:w="1220" w:type="dxa"/>
            <w:shd w:val="clear" w:color="auto" w:fill="auto"/>
          </w:tcPr>
          <w:p w:rsidR="00367C3B" w:rsidRPr="00BF0547" w:rsidRDefault="009E5705" w:rsidP="009E5705">
            <w:pPr>
              <w:pStyle w:val="naisf"/>
              <w:spacing w:before="0" w:after="0"/>
              <w:ind w:firstLine="0"/>
              <w:jc w:val="center"/>
              <w:rPr>
                <w:sz w:val="28"/>
                <w:szCs w:val="28"/>
              </w:rPr>
            </w:pPr>
            <w:r w:rsidRPr="00BF0547">
              <w:rPr>
                <w:sz w:val="28"/>
                <w:szCs w:val="28"/>
              </w:rPr>
              <w:t>0</w:t>
            </w:r>
          </w:p>
        </w:tc>
        <w:tc>
          <w:tcPr>
            <w:tcW w:w="1509" w:type="dxa"/>
          </w:tcPr>
          <w:p w:rsidR="00367C3B" w:rsidRPr="00BF0547" w:rsidRDefault="009E5705" w:rsidP="009E5705">
            <w:pPr>
              <w:pStyle w:val="naisf"/>
              <w:spacing w:before="0" w:after="0"/>
              <w:ind w:firstLine="0"/>
              <w:jc w:val="center"/>
              <w:rPr>
                <w:sz w:val="28"/>
                <w:szCs w:val="28"/>
              </w:rPr>
            </w:pPr>
            <w:r w:rsidRPr="00BF0547">
              <w:rPr>
                <w:sz w:val="28"/>
                <w:szCs w:val="28"/>
              </w:rPr>
              <w:t>0</w:t>
            </w:r>
          </w:p>
        </w:tc>
        <w:tc>
          <w:tcPr>
            <w:tcW w:w="1452" w:type="dxa"/>
          </w:tcPr>
          <w:p w:rsidR="00367C3B" w:rsidRPr="00BF0547" w:rsidRDefault="009E5705" w:rsidP="009E5705">
            <w:pPr>
              <w:pStyle w:val="naisf"/>
              <w:spacing w:before="0" w:after="0"/>
              <w:ind w:firstLine="0"/>
              <w:jc w:val="center"/>
              <w:rPr>
                <w:sz w:val="28"/>
                <w:szCs w:val="28"/>
              </w:rPr>
            </w:pPr>
            <w:r w:rsidRPr="00BF0547">
              <w:rPr>
                <w:sz w:val="28"/>
                <w:szCs w:val="28"/>
              </w:rPr>
              <w:t>0</w:t>
            </w:r>
          </w:p>
        </w:tc>
        <w:tc>
          <w:tcPr>
            <w:tcW w:w="1424" w:type="dxa"/>
          </w:tcPr>
          <w:p w:rsidR="00367C3B" w:rsidRPr="00BF0547" w:rsidRDefault="009E5705" w:rsidP="009E5705">
            <w:pPr>
              <w:pStyle w:val="naisf"/>
              <w:spacing w:before="0" w:after="0"/>
              <w:ind w:firstLine="0"/>
              <w:jc w:val="center"/>
              <w:rPr>
                <w:sz w:val="28"/>
                <w:szCs w:val="28"/>
              </w:rPr>
            </w:pPr>
            <w:r w:rsidRPr="00BF0547">
              <w:rPr>
                <w:sz w:val="28"/>
                <w:szCs w:val="28"/>
              </w:rPr>
              <w:t>0</w:t>
            </w:r>
          </w:p>
        </w:tc>
        <w:tc>
          <w:tcPr>
            <w:tcW w:w="1455" w:type="dxa"/>
          </w:tcPr>
          <w:p w:rsidR="00367C3B" w:rsidRPr="00BF0547" w:rsidRDefault="009E5705" w:rsidP="009E5705">
            <w:pPr>
              <w:pStyle w:val="naisf"/>
              <w:spacing w:before="0" w:after="0"/>
              <w:ind w:firstLine="0"/>
              <w:jc w:val="center"/>
              <w:rPr>
                <w:sz w:val="28"/>
                <w:szCs w:val="28"/>
              </w:rPr>
            </w:pPr>
            <w:r w:rsidRPr="00BF0547">
              <w:rPr>
                <w:sz w:val="28"/>
                <w:szCs w:val="28"/>
              </w:rPr>
              <w:t>0</w:t>
            </w:r>
          </w:p>
        </w:tc>
      </w:tr>
      <w:tr w:rsidR="00367C3B" w:rsidRPr="00BF0547" w:rsidTr="006C418A">
        <w:trPr>
          <w:jc w:val="center"/>
        </w:trPr>
        <w:tc>
          <w:tcPr>
            <w:tcW w:w="2148" w:type="dxa"/>
          </w:tcPr>
          <w:p w:rsidR="00367C3B" w:rsidRPr="00BF0547" w:rsidRDefault="00367C3B" w:rsidP="004A05EF">
            <w:pPr>
              <w:rPr>
                <w:sz w:val="28"/>
                <w:szCs w:val="28"/>
              </w:rPr>
            </w:pPr>
            <w:r w:rsidRPr="00BF0547">
              <w:rPr>
                <w:sz w:val="28"/>
                <w:szCs w:val="28"/>
              </w:rPr>
              <w:t xml:space="preserve">3.3. pašvaldību budžets </w:t>
            </w:r>
          </w:p>
        </w:tc>
        <w:tc>
          <w:tcPr>
            <w:tcW w:w="1220" w:type="dxa"/>
            <w:shd w:val="clear" w:color="auto" w:fill="auto"/>
          </w:tcPr>
          <w:p w:rsidR="00367C3B" w:rsidRPr="00BF0547" w:rsidRDefault="009E5705" w:rsidP="009E5705">
            <w:pPr>
              <w:pStyle w:val="naisf"/>
              <w:spacing w:before="0" w:after="0"/>
              <w:ind w:firstLine="0"/>
              <w:jc w:val="center"/>
              <w:rPr>
                <w:sz w:val="28"/>
                <w:szCs w:val="28"/>
              </w:rPr>
            </w:pPr>
            <w:r w:rsidRPr="00BF0547">
              <w:rPr>
                <w:sz w:val="28"/>
                <w:szCs w:val="28"/>
              </w:rPr>
              <w:t>0</w:t>
            </w:r>
          </w:p>
        </w:tc>
        <w:tc>
          <w:tcPr>
            <w:tcW w:w="1509" w:type="dxa"/>
          </w:tcPr>
          <w:p w:rsidR="00367C3B" w:rsidRPr="00BF0547" w:rsidRDefault="009E5705" w:rsidP="009E5705">
            <w:pPr>
              <w:pStyle w:val="naisf"/>
              <w:spacing w:before="0" w:after="0"/>
              <w:ind w:firstLine="0"/>
              <w:jc w:val="center"/>
              <w:rPr>
                <w:sz w:val="28"/>
                <w:szCs w:val="28"/>
              </w:rPr>
            </w:pPr>
            <w:r w:rsidRPr="00BF0547">
              <w:rPr>
                <w:sz w:val="28"/>
                <w:szCs w:val="28"/>
              </w:rPr>
              <w:t>0</w:t>
            </w:r>
          </w:p>
        </w:tc>
        <w:tc>
          <w:tcPr>
            <w:tcW w:w="1452" w:type="dxa"/>
          </w:tcPr>
          <w:p w:rsidR="00367C3B" w:rsidRPr="00BF0547" w:rsidRDefault="009E5705" w:rsidP="009E5705">
            <w:pPr>
              <w:pStyle w:val="naisf"/>
              <w:spacing w:before="0" w:after="0"/>
              <w:ind w:firstLine="0"/>
              <w:jc w:val="center"/>
              <w:rPr>
                <w:sz w:val="28"/>
                <w:szCs w:val="28"/>
              </w:rPr>
            </w:pPr>
            <w:r w:rsidRPr="00BF0547">
              <w:rPr>
                <w:sz w:val="28"/>
                <w:szCs w:val="28"/>
              </w:rPr>
              <w:t>0</w:t>
            </w:r>
          </w:p>
        </w:tc>
        <w:tc>
          <w:tcPr>
            <w:tcW w:w="1424" w:type="dxa"/>
          </w:tcPr>
          <w:p w:rsidR="00367C3B" w:rsidRPr="00BF0547" w:rsidRDefault="009E5705" w:rsidP="009E5705">
            <w:pPr>
              <w:pStyle w:val="naisf"/>
              <w:spacing w:before="0" w:after="0"/>
              <w:ind w:firstLine="0"/>
              <w:jc w:val="center"/>
              <w:rPr>
                <w:sz w:val="28"/>
                <w:szCs w:val="28"/>
              </w:rPr>
            </w:pPr>
            <w:r w:rsidRPr="00BF0547">
              <w:rPr>
                <w:sz w:val="28"/>
                <w:szCs w:val="28"/>
              </w:rPr>
              <w:t>0</w:t>
            </w:r>
          </w:p>
        </w:tc>
        <w:tc>
          <w:tcPr>
            <w:tcW w:w="1455" w:type="dxa"/>
          </w:tcPr>
          <w:p w:rsidR="00367C3B" w:rsidRPr="00BF0547" w:rsidRDefault="009E5705" w:rsidP="009E5705">
            <w:pPr>
              <w:pStyle w:val="naisf"/>
              <w:spacing w:before="0" w:after="0"/>
              <w:ind w:firstLine="0"/>
              <w:jc w:val="center"/>
              <w:rPr>
                <w:sz w:val="28"/>
                <w:szCs w:val="28"/>
              </w:rPr>
            </w:pPr>
            <w:r w:rsidRPr="00BF0547">
              <w:rPr>
                <w:sz w:val="28"/>
                <w:szCs w:val="28"/>
              </w:rPr>
              <w:t>0</w:t>
            </w:r>
          </w:p>
        </w:tc>
      </w:tr>
      <w:tr w:rsidR="00367C3B" w:rsidRPr="00BF0547" w:rsidTr="006C418A">
        <w:trPr>
          <w:jc w:val="center"/>
        </w:trPr>
        <w:tc>
          <w:tcPr>
            <w:tcW w:w="2148" w:type="dxa"/>
          </w:tcPr>
          <w:p w:rsidR="00367C3B" w:rsidRPr="00BF0547" w:rsidRDefault="00367C3B" w:rsidP="004A05EF">
            <w:pPr>
              <w:rPr>
                <w:sz w:val="28"/>
                <w:szCs w:val="28"/>
              </w:rPr>
            </w:pPr>
            <w:r w:rsidRPr="00BF0547">
              <w:rPr>
                <w:sz w:val="28"/>
                <w:szCs w:val="28"/>
              </w:rPr>
              <w:t>4. Finanšu līdzekļi papildu izde</w:t>
            </w:r>
            <w:r w:rsidRPr="00BF0547">
              <w:rPr>
                <w:sz w:val="28"/>
                <w:szCs w:val="28"/>
              </w:rPr>
              <w:softHyphen/>
              <w:t>vumu finansēšanai (kompensējošu izdevumu samazinājumu norāda ar "+" zīmi)</w:t>
            </w:r>
          </w:p>
        </w:tc>
        <w:tc>
          <w:tcPr>
            <w:tcW w:w="1220" w:type="dxa"/>
          </w:tcPr>
          <w:p w:rsidR="00367C3B" w:rsidRPr="00BF0547" w:rsidRDefault="00367C3B" w:rsidP="00A20419">
            <w:pPr>
              <w:pStyle w:val="naisf"/>
              <w:spacing w:before="0" w:after="0"/>
              <w:ind w:firstLine="0"/>
              <w:jc w:val="center"/>
              <w:rPr>
                <w:i/>
                <w:sz w:val="28"/>
                <w:szCs w:val="28"/>
              </w:rPr>
            </w:pPr>
            <w:r w:rsidRPr="00BF0547">
              <w:rPr>
                <w:sz w:val="28"/>
                <w:szCs w:val="28"/>
              </w:rPr>
              <w:t>X</w:t>
            </w:r>
          </w:p>
        </w:tc>
        <w:tc>
          <w:tcPr>
            <w:tcW w:w="1509" w:type="dxa"/>
          </w:tcPr>
          <w:p w:rsidR="00367C3B" w:rsidRPr="00BF0547" w:rsidRDefault="00C85910" w:rsidP="00C85910">
            <w:pPr>
              <w:pStyle w:val="naisf"/>
              <w:spacing w:before="0" w:after="0"/>
              <w:ind w:firstLine="0"/>
              <w:jc w:val="center"/>
              <w:rPr>
                <w:sz w:val="28"/>
                <w:szCs w:val="28"/>
              </w:rPr>
            </w:pPr>
            <w:r>
              <w:rPr>
                <w:sz w:val="28"/>
                <w:szCs w:val="28"/>
              </w:rPr>
              <w:t>39 999</w:t>
            </w:r>
          </w:p>
        </w:tc>
        <w:tc>
          <w:tcPr>
            <w:tcW w:w="1452" w:type="dxa"/>
          </w:tcPr>
          <w:p w:rsidR="00367C3B" w:rsidRPr="00BF0547" w:rsidRDefault="00367C3B" w:rsidP="009E5705">
            <w:pPr>
              <w:pStyle w:val="naisf"/>
              <w:spacing w:before="0" w:after="0"/>
              <w:ind w:firstLine="0"/>
              <w:jc w:val="center"/>
              <w:rPr>
                <w:sz w:val="28"/>
                <w:szCs w:val="28"/>
              </w:rPr>
            </w:pPr>
            <w:r w:rsidRPr="00BF0547">
              <w:rPr>
                <w:sz w:val="28"/>
                <w:szCs w:val="28"/>
              </w:rPr>
              <w:t>0</w:t>
            </w:r>
          </w:p>
        </w:tc>
        <w:tc>
          <w:tcPr>
            <w:tcW w:w="1424" w:type="dxa"/>
          </w:tcPr>
          <w:p w:rsidR="00367C3B" w:rsidRPr="00BF0547" w:rsidRDefault="00367C3B" w:rsidP="009E5705">
            <w:pPr>
              <w:pStyle w:val="naisf"/>
              <w:spacing w:before="0" w:after="0"/>
              <w:ind w:firstLine="0"/>
              <w:jc w:val="center"/>
              <w:rPr>
                <w:sz w:val="28"/>
                <w:szCs w:val="28"/>
              </w:rPr>
            </w:pPr>
            <w:r w:rsidRPr="00BF0547">
              <w:rPr>
                <w:sz w:val="28"/>
                <w:szCs w:val="28"/>
              </w:rPr>
              <w:t>0</w:t>
            </w:r>
          </w:p>
        </w:tc>
        <w:tc>
          <w:tcPr>
            <w:tcW w:w="1455" w:type="dxa"/>
          </w:tcPr>
          <w:p w:rsidR="00367C3B" w:rsidRPr="00BF0547" w:rsidRDefault="00367C3B" w:rsidP="009E5705">
            <w:pPr>
              <w:pStyle w:val="naisf"/>
              <w:spacing w:before="0" w:after="0"/>
              <w:ind w:firstLine="0"/>
              <w:jc w:val="center"/>
              <w:rPr>
                <w:sz w:val="28"/>
                <w:szCs w:val="28"/>
              </w:rPr>
            </w:pPr>
            <w:r w:rsidRPr="00BF0547">
              <w:rPr>
                <w:sz w:val="28"/>
                <w:szCs w:val="28"/>
              </w:rPr>
              <w:t>0</w:t>
            </w:r>
          </w:p>
        </w:tc>
      </w:tr>
      <w:tr w:rsidR="00367C3B" w:rsidRPr="00BF0547" w:rsidTr="006C418A">
        <w:trPr>
          <w:jc w:val="center"/>
        </w:trPr>
        <w:tc>
          <w:tcPr>
            <w:tcW w:w="2148" w:type="dxa"/>
          </w:tcPr>
          <w:p w:rsidR="00367C3B" w:rsidRPr="00BF0547" w:rsidRDefault="00367C3B" w:rsidP="004A05EF">
            <w:pPr>
              <w:rPr>
                <w:sz w:val="28"/>
                <w:szCs w:val="28"/>
              </w:rPr>
            </w:pPr>
            <w:r w:rsidRPr="00BF0547">
              <w:rPr>
                <w:sz w:val="28"/>
                <w:szCs w:val="28"/>
              </w:rPr>
              <w:t>5. Precizēta finansiālā ietekme:</w:t>
            </w:r>
          </w:p>
        </w:tc>
        <w:tc>
          <w:tcPr>
            <w:tcW w:w="1220" w:type="dxa"/>
            <w:vMerge w:val="restart"/>
          </w:tcPr>
          <w:p w:rsidR="00367C3B" w:rsidRPr="00BF0547" w:rsidRDefault="00367C3B" w:rsidP="00A20419">
            <w:pPr>
              <w:pStyle w:val="naisf"/>
              <w:spacing w:before="0" w:after="0"/>
              <w:ind w:firstLine="0"/>
              <w:jc w:val="center"/>
              <w:rPr>
                <w:i/>
                <w:sz w:val="28"/>
                <w:szCs w:val="28"/>
              </w:rPr>
            </w:pPr>
            <w:r w:rsidRPr="00BF0547">
              <w:rPr>
                <w:sz w:val="28"/>
                <w:szCs w:val="28"/>
              </w:rPr>
              <w:t>X</w:t>
            </w:r>
          </w:p>
        </w:tc>
        <w:tc>
          <w:tcPr>
            <w:tcW w:w="1509" w:type="dxa"/>
          </w:tcPr>
          <w:p w:rsidR="00367C3B" w:rsidRPr="00BF0547" w:rsidRDefault="00367C3B" w:rsidP="009E5705">
            <w:pPr>
              <w:pStyle w:val="naisf"/>
              <w:spacing w:before="0" w:after="0"/>
              <w:ind w:firstLine="0"/>
              <w:jc w:val="center"/>
              <w:rPr>
                <w:sz w:val="28"/>
                <w:szCs w:val="28"/>
              </w:rPr>
            </w:pPr>
            <w:r w:rsidRPr="00BF0547">
              <w:rPr>
                <w:sz w:val="28"/>
                <w:szCs w:val="28"/>
              </w:rPr>
              <w:t>0</w:t>
            </w:r>
          </w:p>
        </w:tc>
        <w:tc>
          <w:tcPr>
            <w:tcW w:w="1452" w:type="dxa"/>
          </w:tcPr>
          <w:p w:rsidR="00367C3B" w:rsidRPr="00BF0547" w:rsidRDefault="00367C3B" w:rsidP="009E5705">
            <w:pPr>
              <w:pStyle w:val="naisf"/>
              <w:spacing w:before="0" w:after="0"/>
              <w:ind w:firstLine="0"/>
              <w:jc w:val="center"/>
              <w:rPr>
                <w:sz w:val="28"/>
                <w:szCs w:val="28"/>
              </w:rPr>
            </w:pPr>
            <w:r w:rsidRPr="00BF0547">
              <w:rPr>
                <w:sz w:val="28"/>
                <w:szCs w:val="28"/>
              </w:rPr>
              <w:t>0</w:t>
            </w:r>
          </w:p>
        </w:tc>
        <w:tc>
          <w:tcPr>
            <w:tcW w:w="1424" w:type="dxa"/>
          </w:tcPr>
          <w:p w:rsidR="00367C3B" w:rsidRPr="00BF0547" w:rsidRDefault="00367C3B" w:rsidP="009E5705">
            <w:pPr>
              <w:pStyle w:val="naisf"/>
              <w:spacing w:before="0" w:after="0"/>
              <w:ind w:firstLine="0"/>
              <w:jc w:val="center"/>
              <w:rPr>
                <w:sz w:val="28"/>
                <w:szCs w:val="28"/>
              </w:rPr>
            </w:pPr>
            <w:r w:rsidRPr="00BF0547">
              <w:rPr>
                <w:sz w:val="28"/>
                <w:szCs w:val="28"/>
              </w:rPr>
              <w:t>0</w:t>
            </w:r>
          </w:p>
        </w:tc>
        <w:tc>
          <w:tcPr>
            <w:tcW w:w="1455" w:type="dxa"/>
          </w:tcPr>
          <w:p w:rsidR="00367C3B" w:rsidRPr="00BF0547" w:rsidRDefault="00367C3B" w:rsidP="009E5705">
            <w:pPr>
              <w:pStyle w:val="naisf"/>
              <w:spacing w:before="0" w:after="0"/>
              <w:ind w:firstLine="0"/>
              <w:jc w:val="center"/>
              <w:rPr>
                <w:sz w:val="28"/>
                <w:szCs w:val="28"/>
              </w:rPr>
            </w:pPr>
            <w:r w:rsidRPr="00BF0547">
              <w:rPr>
                <w:sz w:val="28"/>
                <w:szCs w:val="28"/>
              </w:rPr>
              <w:t>0</w:t>
            </w:r>
          </w:p>
        </w:tc>
      </w:tr>
      <w:tr w:rsidR="00367C3B" w:rsidRPr="00BF0547" w:rsidTr="006C418A">
        <w:trPr>
          <w:jc w:val="center"/>
        </w:trPr>
        <w:tc>
          <w:tcPr>
            <w:tcW w:w="2148" w:type="dxa"/>
          </w:tcPr>
          <w:p w:rsidR="00367C3B" w:rsidRPr="00BF0547" w:rsidRDefault="00367C3B" w:rsidP="004A05EF">
            <w:pPr>
              <w:rPr>
                <w:sz w:val="28"/>
                <w:szCs w:val="28"/>
              </w:rPr>
            </w:pPr>
            <w:r w:rsidRPr="00BF0547">
              <w:rPr>
                <w:sz w:val="28"/>
                <w:szCs w:val="28"/>
              </w:rPr>
              <w:t>5.1. valsts pamatbudžets</w:t>
            </w:r>
          </w:p>
        </w:tc>
        <w:tc>
          <w:tcPr>
            <w:tcW w:w="1220" w:type="dxa"/>
            <w:vMerge/>
            <w:vAlign w:val="center"/>
          </w:tcPr>
          <w:p w:rsidR="00367C3B" w:rsidRPr="00BF0547" w:rsidRDefault="00367C3B" w:rsidP="00A20419">
            <w:pPr>
              <w:pStyle w:val="naisf"/>
              <w:spacing w:before="0" w:after="0"/>
              <w:ind w:firstLine="0"/>
              <w:jc w:val="center"/>
              <w:rPr>
                <w:i/>
                <w:sz w:val="28"/>
                <w:szCs w:val="28"/>
              </w:rPr>
            </w:pPr>
          </w:p>
        </w:tc>
        <w:tc>
          <w:tcPr>
            <w:tcW w:w="1509" w:type="dxa"/>
          </w:tcPr>
          <w:p w:rsidR="00367C3B" w:rsidRPr="00BF0547" w:rsidRDefault="00367C3B" w:rsidP="009E5705">
            <w:pPr>
              <w:pStyle w:val="naisf"/>
              <w:spacing w:before="0" w:after="0"/>
              <w:ind w:firstLine="0"/>
              <w:jc w:val="center"/>
              <w:rPr>
                <w:sz w:val="28"/>
                <w:szCs w:val="28"/>
              </w:rPr>
            </w:pPr>
            <w:r w:rsidRPr="00BF0547">
              <w:rPr>
                <w:sz w:val="28"/>
                <w:szCs w:val="28"/>
              </w:rPr>
              <w:t>0</w:t>
            </w:r>
          </w:p>
        </w:tc>
        <w:tc>
          <w:tcPr>
            <w:tcW w:w="1452" w:type="dxa"/>
          </w:tcPr>
          <w:p w:rsidR="00367C3B" w:rsidRPr="00BF0547" w:rsidRDefault="00367C3B" w:rsidP="009E5705">
            <w:pPr>
              <w:pStyle w:val="naisf"/>
              <w:spacing w:before="0" w:after="0"/>
              <w:ind w:firstLine="0"/>
              <w:jc w:val="center"/>
              <w:rPr>
                <w:sz w:val="28"/>
                <w:szCs w:val="28"/>
              </w:rPr>
            </w:pPr>
            <w:r w:rsidRPr="00BF0547">
              <w:rPr>
                <w:sz w:val="28"/>
                <w:szCs w:val="28"/>
              </w:rPr>
              <w:t>0</w:t>
            </w:r>
          </w:p>
        </w:tc>
        <w:tc>
          <w:tcPr>
            <w:tcW w:w="1424" w:type="dxa"/>
          </w:tcPr>
          <w:p w:rsidR="00367C3B" w:rsidRPr="00BF0547" w:rsidRDefault="00367C3B" w:rsidP="009E5705">
            <w:pPr>
              <w:pStyle w:val="naisf"/>
              <w:spacing w:before="0" w:after="0"/>
              <w:ind w:firstLine="0"/>
              <w:jc w:val="center"/>
              <w:rPr>
                <w:sz w:val="28"/>
                <w:szCs w:val="28"/>
              </w:rPr>
            </w:pPr>
            <w:r w:rsidRPr="00BF0547">
              <w:rPr>
                <w:sz w:val="28"/>
                <w:szCs w:val="28"/>
              </w:rPr>
              <w:t>0</w:t>
            </w:r>
          </w:p>
        </w:tc>
        <w:tc>
          <w:tcPr>
            <w:tcW w:w="1455" w:type="dxa"/>
          </w:tcPr>
          <w:p w:rsidR="00367C3B" w:rsidRPr="00BF0547" w:rsidRDefault="00367C3B" w:rsidP="009E5705">
            <w:pPr>
              <w:pStyle w:val="naisf"/>
              <w:spacing w:before="0" w:after="0"/>
              <w:ind w:firstLine="0"/>
              <w:jc w:val="center"/>
              <w:rPr>
                <w:sz w:val="28"/>
                <w:szCs w:val="28"/>
              </w:rPr>
            </w:pPr>
            <w:r w:rsidRPr="00BF0547">
              <w:rPr>
                <w:sz w:val="28"/>
                <w:szCs w:val="28"/>
              </w:rPr>
              <w:t>0</w:t>
            </w:r>
          </w:p>
        </w:tc>
      </w:tr>
      <w:tr w:rsidR="00367C3B" w:rsidRPr="00BF0547" w:rsidTr="006C418A">
        <w:trPr>
          <w:jc w:val="center"/>
        </w:trPr>
        <w:tc>
          <w:tcPr>
            <w:tcW w:w="2148" w:type="dxa"/>
            <w:tcBorders>
              <w:bottom w:val="single" w:sz="4" w:space="0" w:color="auto"/>
            </w:tcBorders>
          </w:tcPr>
          <w:p w:rsidR="00367C3B" w:rsidRPr="00BF0547" w:rsidRDefault="00367C3B" w:rsidP="004A05EF">
            <w:pPr>
              <w:rPr>
                <w:sz w:val="28"/>
                <w:szCs w:val="28"/>
              </w:rPr>
            </w:pPr>
            <w:r w:rsidRPr="00BF0547">
              <w:rPr>
                <w:sz w:val="28"/>
                <w:szCs w:val="28"/>
              </w:rPr>
              <w:t>5.2. speciālais budžets</w:t>
            </w:r>
          </w:p>
        </w:tc>
        <w:tc>
          <w:tcPr>
            <w:tcW w:w="1220" w:type="dxa"/>
            <w:vMerge/>
            <w:tcBorders>
              <w:bottom w:val="single" w:sz="4" w:space="0" w:color="auto"/>
            </w:tcBorders>
            <w:vAlign w:val="center"/>
          </w:tcPr>
          <w:p w:rsidR="00367C3B" w:rsidRPr="00BF0547" w:rsidRDefault="00367C3B" w:rsidP="00A20419">
            <w:pPr>
              <w:pStyle w:val="naisf"/>
              <w:spacing w:before="0" w:after="0"/>
              <w:ind w:firstLine="0"/>
              <w:jc w:val="center"/>
              <w:rPr>
                <w:i/>
                <w:sz w:val="28"/>
                <w:szCs w:val="28"/>
              </w:rPr>
            </w:pPr>
          </w:p>
        </w:tc>
        <w:tc>
          <w:tcPr>
            <w:tcW w:w="1509" w:type="dxa"/>
            <w:tcBorders>
              <w:bottom w:val="single" w:sz="4" w:space="0" w:color="auto"/>
            </w:tcBorders>
          </w:tcPr>
          <w:p w:rsidR="00367C3B" w:rsidRPr="00BF0547" w:rsidRDefault="009E5705" w:rsidP="009E5705">
            <w:pPr>
              <w:pStyle w:val="naisf"/>
              <w:spacing w:before="0" w:after="0"/>
              <w:ind w:firstLine="0"/>
              <w:jc w:val="center"/>
              <w:rPr>
                <w:sz w:val="28"/>
                <w:szCs w:val="28"/>
              </w:rPr>
            </w:pPr>
            <w:r w:rsidRPr="00BF0547">
              <w:rPr>
                <w:sz w:val="28"/>
                <w:szCs w:val="28"/>
              </w:rPr>
              <w:t>0</w:t>
            </w:r>
          </w:p>
        </w:tc>
        <w:tc>
          <w:tcPr>
            <w:tcW w:w="1452" w:type="dxa"/>
            <w:tcBorders>
              <w:bottom w:val="single" w:sz="4" w:space="0" w:color="auto"/>
            </w:tcBorders>
          </w:tcPr>
          <w:p w:rsidR="00367C3B" w:rsidRPr="00BF0547" w:rsidRDefault="009E5705" w:rsidP="009E5705">
            <w:pPr>
              <w:pStyle w:val="naisf"/>
              <w:spacing w:before="0" w:after="0"/>
              <w:ind w:firstLine="0"/>
              <w:jc w:val="center"/>
              <w:rPr>
                <w:sz w:val="28"/>
                <w:szCs w:val="28"/>
              </w:rPr>
            </w:pPr>
            <w:r w:rsidRPr="00BF0547">
              <w:rPr>
                <w:sz w:val="28"/>
                <w:szCs w:val="28"/>
              </w:rPr>
              <w:t>0</w:t>
            </w:r>
          </w:p>
        </w:tc>
        <w:tc>
          <w:tcPr>
            <w:tcW w:w="1424" w:type="dxa"/>
            <w:tcBorders>
              <w:bottom w:val="single" w:sz="4" w:space="0" w:color="auto"/>
            </w:tcBorders>
          </w:tcPr>
          <w:p w:rsidR="00367C3B" w:rsidRPr="00BF0547" w:rsidRDefault="009E5705" w:rsidP="009E5705">
            <w:pPr>
              <w:pStyle w:val="naisf"/>
              <w:spacing w:before="0" w:after="0"/>
              <w:ind w:firstLine="0"/>
              <w:jc w:val="center"/>
              <w:rPr>
                <w:sz w:val="28"/>
                <w:szCs w:val="28"/>
              </w:rPr>
            </w:pPr>
            <w:r w:rsidRPr="00BF0547">
              <w:rPr>
                <w:sz w:val="28"/>
                <w:szCs w:val="28"/>
              </w:rPr>
              <w:t>0</w:t>
            </w:r>
          </w:p>
        </w:tc>
        <w:tc>
          <w:tcPr>
            <w:tcW w:w="1455" w:type="dxa"/>
            <w:tcBorders>
              <w:bottom w:val="single" w:sz="4" w:space="0" w:color="auto"/>
            </w:tcBorders>
          </w:tcPr>
          <w:p w:rsidR="00367C3B" w:rsidRPr="00BF0547" w:rsidRDefault="009E5705" w:rsidP="009E5705">
            <w:pPr>
              <w:pStyle w:val="naisf"/>
              <w:spacing w:before="0" w:after="0"/>
              <w:ind w:firstLine="0"/>
              <w:jc w:val="center"/>
              <w:rPr>
                <w:sz w:val="28"/>
                <w:szCs w:val="28"/>
              </w:rPr>
            </w:pPr>
            <w:r w:rsidRPr="00BF0547">
              <w:rPr>
                <w:sz w:val="28"/>
                <w:szCs w:val="28"/>
              </w:rPr>
              <w:t>0</w:t>
            </w:r>
          </w:p>
        </w:tc>
      </w:tr>
      <w:tr w:rsidR="00367C3B" w:rsidRPr="00BF0547" w:rsidTr="006C418A">
        <w:trPr>
          <w:jc w:val="center"/>
        </w:trPr>
        <w:tc>
          <w:tcPr>
            <w:tcW w:w="2148" w:type="dxa"/>
            <w:tcBorders>
              <w:top w:val="single" w:sz="4" w:space="0" w:color="auto"/>
              <w:left w:val="single" w:sz="4" w:space="0" w:color="auto"/>
              <w:bottom w:val="single" w:sz="4" w:space="0" w:color="auto"/>
              <w:right w:val="single" w:sz="4" w:space="0" w:color="auto"/>
            </w:tcBorders>
          </w:tcPr>
          <w:p w:rsidR="00367C3B" w:rsidRPr="00BF0547" w:rsidRDefault="00367C3B" w:rsidP="004A05EF">
            <w:pPr>
              <w:rPr>
                <w:sz w:val="28"/>
                <w:szCs w:val="28"/>
              </w:rPr>
            </w:pPr>
            <w:r w:rsidRPr="00BF0547">
              <w:rPr>
                <w:sz w:val="28"/>
                <w:szCs w:val="28"/>
              </w:rPr>
              <w:t xml:space="preserve">5.3. pašvaldību budžets </w:t>
            </w:r>
          </w:p>
        </w:tc>
        <w:tc>
          <w:tcPr>
            <w:tcW w:w="1220" w:type="dxa"/>
            <w:vMerge/>
            <w:tcBorders>
              <w:top w:val="single" w:sz="4" w:space="0" w:color="auto"/>
              <w:left w:val="single" w:sz="4" w:space="0" w:color="auto"/>
              <w:bottom w:val="single" w:sz="4" w:space="0" w:color="auto"/>
              <w:right w:val="single" w:sz="4" w:space="0" w:color="auto"/>
            </w:tcBorders>
            <w:vAlign w:val="center"/>
          </w:tcPr>
          <w:p w:rsidR="00367C3B" w:rsidRPr="00BF0547" w:rsidRDefault="00367C3B" w:rsidP="00A20419">
            <w:pPr>
              <w:pStyle w:val="naisf"/>
              <w:spacing w:before="0" w:after="0"/>
              <w:ind w:firstLine="0"/>
              <w:jc w:val="center"/>
              <w:rPr>
                <w:i/>
                <w:sz w:val="28"/>
                <w:szCs w:val="28"/>
              </w:rPr>
            </w:pPr>
          </w:p>
        </w:tc>
        <w:tc>
          <w:tcPr>
            <w:tcW w:w="1509" w:type="dxa"/>
            <w:tcBorders>
              <w:top w:val="single" w:sz="4" w:space="0" w:color="auto"/>
              <w:left w:val="single" w:sz="4" w:space="0" w:color="auto"/>
              <w:bottom w:val="single" w:sz="4" w:space="0" w:color="auto"/>
              <w:right w:val="single" w:sz="4" w:space="0" w:color="auto"/>
            </w:tcBorders>
          </w:tcPr>
          <w:p w:rsidR="00367C3B" w:rsidRPr="00BF0547" w:rsidRDefault="009E5705" w:rsidP="009E5705">
            <w:pPr>
              <w:pStyle w:val="naisf"/>
              <w:spacing w:before="0" w:after="0"/>
              <w:ind w:firstLine="0"/>
              <w:jc w:val="center"/>
              <w:rPr>
                <w:sz w:val="28"/>
                <w:szCs w:val="28"/>
              </w:rPr>
            </w:pPr>
            <w:r w:rsidRPr="00BF0547">
              <w:rPr>
                <w:sz w:val="28"/>
                <w:szCs w:val="28"/>
              </w:rPr>
              <w:t>0</w:t>
            </w:r>
          </w:p>
        </w:tc>
        <w:tc>
          <w:tcPr>
            <w:tcW w:w="1452" w:type="dxa"/>
            <w:tcBorders>
              <w:top w:val="single" w:sz="4" w:space="0" w:color="auto"/>
              <w:left w:val="single" w:sz="4" w:space="0" w:color="auto"/>
              <w:bottom w:val="single" w:sz="4" w:space="0" w:color="auto"/>
              <w:right w:val="single" w:sz="4" w:space="0" w:color="auto"/>
            </w:tcBorders>
          </w:tcPr>
          <w:p w:rsidR="00367C3B" w:rsidRPr="00BF0547" w:rsidRDefault="009E5705" w:rsidP="009E5705">
            <w:pPr>
              <w:pStyle w:val="naisf"/>
              <w:spacing w:before="0" w:after="0"/>
              <w:ind w:firstLine="0"/>
              <w:jc w:val="center"/>
              <w:rPr>
                <w:sz w:val="28"/>
                <w:szCs w:val="28"/>
              </w:rPr>
            </w:pPr>
            <w:r w:rsidRPr="00BF0547">
              <w:rPr>
                <w:sz w:val="28"/>
                <w:szCs w:val="28"/>
              </w:rPr>
              <w:t>0</w:t>
            </w:r>
          </w:p>
        </w:tc>
        <w:tc>
          <w:tcPr>
            <w:tcW w:w="1424" w:type="dxa"/>
            <w:tcBorders>
              <w:top w:val="single" w:sz="4" w:space="0" w:color="auto"/>
              <w:left w:val="single" w:sz="4" w:space="0" w:color="auto"/>
              <w:bottom w:val="single" w:sz="4" w:space="0" w:color="auto"/>
              <w:right w:val="single" w:sz="4" w:space="0" w:color="auto"/>
            </w:tcBorders>
          </w:tcPr>
          <w:p w:rsidR="00367C3B" w:rsidRPr="00BF0547" w:rsidRDefault="009E5705" w:rsidP="009E5705">
            <w:pPr>
              <w:pStyle w:val="naisf"/>
              <w:spacing w:before="0" w:after="0"/>
              <w:ind w:firstLine="0"/>
              <w:jc w:val="center"/>
              <w:rPr>
                <w:sz w:val="28"/>
                <w:szCs w:val="28"/>
              </w:rPr>
            </w:pPr>
            <w:r w:rsidRPr="00BF0547">
              <w:rPr>
                <w:sz w:val="28"/>
                <w:szCs w:val="28"/>
              </w:rPr>
              <w:t>0</w:t>
            </w:r>
          </w:p>
        </w:tc>
        <w:tc>
          <w:tcPr>
            <w:tcW w:w="1455" w:type="dxa"/>
            <w:tcBorders>
              <w:top w:val="single" w:sz="4" w:space="0" w:color="auto"/>
              <w:left w:val="single" w:sz="4" w:space="0" w:color="auto"/>
              <w:bottom w:val="single" w:sz="4" w:space="0" w:color="auto"/>
              <w:right w:val="single" w:sz="4" w:space="0" w:color="auto"/>
            </w:tcBorders>
          </w:tcPr>
          <w:p w:rsidR="00367C3B" w:rsidRPr="00BF0547" w:rsidRDefault="009E5705" w:rsidP="009E5705">
            <w:pPr>
              <w:pStyle w:val="naisf"/>
              <w:spacing w:before="0" w:after="0"/>
              <w:ind w:firstLine="0"/>
              <w:jc w:val="center"/>
              <w:rPr>
                <w:sz w:val="28"/>
                <w:szCs w:val="28"/>
              </w:rPr>
            </w:pPr>
            <w:r w:rsidRPr="00BF0547">
              <w:rPr>
                <w:sz w:val="28"/>
                <w:szCs w:val="28"/>
              </w:rPr>
              <w:t>0</w:t>
            </w:r>
          </w:p>
        </w:tc>
      </w:tr>
      <w:tr w:rsidR="00367C3B" w:rsidRPr="00BF0547" w:rsidTr="006C418A">
        <w:trPr>
          <w:trHeight w:val="3270"/>
          <w:jc w:val="center"/>
        </w:trPr>
        <w:tc>
          <w:tcPr>
            <w:tcW w:w="2148" w:type="dxa"/>
            <w:tcBorders>
              <w:top w:val="single" w:sz="4" w:space="0" w:color="auto"/>
              <w:left w:val="single" w:sz="4" w:space="0" w:color="auto"/>
              <w:bottom w:val="single" w:sz="4" w:space="0" w:color="auto"/>
              <w:right w:val="single" w:sz="4" w:space="0" w:color="auto"/>
            </w:tcBorders>
          </w:tcPr>
          <w:p w:rsidR="00367C3B" w:rsidRPr="00BF0547" w:rsidRDefault="00367C3B" w:rsidP="004A05EF">
            <w:pPr>
              <w:rPr>
                <w:sz w:val="28"/>
                <w:szCs w:val="28"/>
              </w:rPr>
            </w:pPr>
            <w:r w:rsidRPr="00BF0547">
              <w:rPr>
                <w:sz w:val="28"/>
                <w:szCs w:val="28"/>
              </w:rPr>
              <w:t>6. Detalizēts ieņēmumu un izdevu</w:t>
            </w:r>
            <w:r w:rsidRPr="00BF0547">
              <w:rPr>
                <w:sz w:val="28"/>
                <w:szCs w:val="28"/>
              </w:rPr>
              <w:softHyphen/>
              <w:t>mu aprēķins (ja nepieciešams, detalizētu ieņēmumu un izdevumu aprēķinu var pievienot anotācijas pielikumā):</w:t>
            </w:r>
          </w:p>
        </w:tc>
        <w:tc>
          <w:tcPr>
            <w:tcW w:w="7060" w:type="dxa"/>
            <w:gridSpan w:val="5"/>
            <w:vMerge w:val="restart"/>
            <w:tcBorders>
              <w:top w:val="single" w:sz="4" w:space="0" w:color="auto"/>
              <w:left w:val="single" w:sz="4" w:space="0" w:color="auto"/>
              <w:bottom w:val="single" w:sz="4" w:space="0" w:color="auto"/>
              <w:right w:val="single" w:sz="4" w:space="0" w:color="auto"/>
            </w:tcBorders>
          </w:tcPr>
          <w:p w:rsidR="000547E8" w:rsidRPr="000547E8" w:rsidRDefault="000547E8" w:rsidP="000547E8">
            <w:pPr>
              <w:jc w:val="both"/>
              <w:rPr>
                <w:bCs/>
              </w:rPr>
            </w:pPr>
            <w:r w:rsidRPr="000547E8">
              <w:t xml:space="preserve">* Līdzekļi ārstniecības iestādēm  radušos izdevumu kompensācijai 46 160 </w:t>
            </w:r>
            <w:proofErr w:type="spellStart"/>
            <w:r w:rsidRPr="000547E8">
              <w:rPr>
                <w:bCs/>
                <w:i/>
              </w:rPr>
              <w:t>euro</w:t>
            </w:r>
            <w:proofErr w:type="spellEnd"/>
            <w:r w:rsidRPr="000547E8">
              <w:rPr>
                <w:bCs/>
              </w:rPr>
              <w:t xml:space="preserve"> apmērā par ambulatoro un stacionāro veselības aprūpes pakalpojumu apjomu no 2013.gada 21.novembra līdz 2014.gada 31.janvārim, kas tika nodrošināti no </w:t>
            </w:r>
            <w:r w:rsidRPr="000547E8">
              <w:t xml:space="preserve">valsts budžeta programmas </w:t>
            </w:r>
            <w:smartTag w:uri="schemas-tilde-lv/tildestengine" w:element="date">
              <w:smartTagPr>
                <w:attr w:name="Year" w:val="2001"/>
                <w:attr w:name="Month" w:val="11"/>
                <w:attr w:name="Day" w:val="30"/>
              </w:smartTagPr>
              <w:r w:rsidRPr="000547E8">
                <w:t>02.00.00</w:t>
              </w:r>
            </w:smartTag>
            <w:r w:rsidRPr="000547E8">
              <w:t xml:space="preserve"> „Līdzekļi neparedzētiem gadījumiem”, pamatojoties uz 2014.gada 12.jūnija Ministru kabineta rīkojumu Nr.286 un atbilstoši  Finanšu ministrijas 2014.gada 25.jūnija rīkojumam Nr.299.</w:t>
            </w:r>
          </w:p>
          <w:p w:rsidR="000547E8" w:rsidRDefault="000547E8" w:rsidP="00792CBE">
            <w:pPr>
              <w:pStyle w:val="NoSpacing"/>
              <w:jc w:val="both"/>
              <w:rPr>
                <w:rFonts w:ascii="Times New Roman" w:hAnsi="Times New Roman"/>
                <w:sz w:val="28"/>
                <w:szCs w:val="28"/>
              </w:rPr>
            </w:pPr>
          </w:p>
          <w:p w:rsidR="00792CBE" w:rsidRPr="00064747" w:rsidRDefault="00792CBE" w:rsidP="00792CBE">
            <w:pPr>
              <w:pStyle w:val="NoSpacing"/>
              <w:jc w:val="both"/>
              <w:rPr>
                <w:rFonts w:ascii="Times New Roman" w:hAnsi="Times New Roman"/>
                <w:bCs/>
                <w:sz w:val="28"/>
                <w:szCs w:val="28"/>
                <w:lang w:eastAsia="lv-LV"/>
              </w:rPr>
            </w:pPr>
            <w:r w:rsidRPr="00064747">
              <w:rPr>
                <w:rFonts w:ascii="Times New Roman" w:hAnsi="Times New Roman"/>
                <w:sz w:val="28"/>
                <w:szCs w:val="28"/>
              </w:rPr>
              <w:t xml:space="preserve">Atbilstoši Ministru kabineta un Finanšu ministrijas rīkojumiem 2014.gadā Veselības ministrijas budžeta </w:t>
            </w:r>
            <w:r w:rsidRPr="00064747">
              <w:rPr>
                <w:rFonts w:ascii="Times New Roman" w:hAnsi="Times New Roman"/>
                <w:bCs/>
                <w:sz w:val="28"/>
                <w:szCs w:val="28"/>
                <w:lang w:eastAsia="lv-LV"/>
              </w:rPr>
              <w:t>programmā 99.00.00 „Līdzekļu neparedzētiem gadījumiem izlietojums”:</w:t>
            </w:r>
          </w:p>
          <w:p w:rsidR="00792CBE" w:rsidRPr="00064747" w:rsidRDefault="00792CBE" w:rsidP="00792CBE">
            <w:pPr>
              <w:pStyle w:val="NoSpacing"/>
              <w:ind w:left="52"/>
              <w:jc w:val="both"/>
              <w:rPr>
                <w:rFonts w:ascii="Times New Roman" w:hAnsi="Times New Roman"/>
                <w:bCs/>
                <w:sz w:val="28"/>
                <w:szCs w:val="28"/>
                <w:lang w:eastAsia="lv-LV"/>
              </w:rPr>
            </w:pPr>
            <w:r w:rsidRPr="00064747">
              <w:rPr>
                <w:rFonts w:ascii="Times New Roman" w:hAnsi="Times New Roman"/>
                <w:bCs/>
                <w:sz w:val="28"/>
                <w:szCs w:val="28"/>
                <w:lang w:eastAsia="lv-LV"/>
              </w:rPr>
              <w:t xml:space="preserve">resursi izdevumu segšanai: 5 964 618 </w:t>
            </w:r>
            <w:proofErr w:type="spellStart"/>
            <w:r w:rsidRPr="00064747">
              <w:rPr>
                <w:rFonts w:ascii="Times New Roman" w:hAnsi="Times New Roman"/>
                <w:bCs/>
                <w:i/>
                <w:sz w:val="28"/>
                <w:szCs w:val="28"/>
                <w:lang w:eastAsia="lv-LV"/>
              </w:rPr>
              <w:t>euro</w:t>
            </w:r>
            <w:proofErr w:type="spellEnd"/>
            <w:r w:rsidRPr="00064747">
              <w:rPr>
                <w:rFonts w:ascii="Times New Roman" w:hAnsi="Times New Roman"/>
                <w:bCs/>
                <w:sz w:val="28"/>
                <w:szCs w:val="28"/>
                <w:lang w:eastAsia="lv-LV"/>
              </w:rPr>
              <w:t xml:space="preserve"> (dotācija no vispārējiem ieņēmumiem).</w:t>
            </w:r>
          </w:p>
          <w:p w:rsidR="00792CBE" w:rsidRPr="00064747" w:rsidRDefault="00792CBE" w:rsidP="00792CBE">
            <w:pPr>
              <w:pStyle w:val="NoSpacing"/>
              <w:ind w:left="52"/>
              <w:jc w:val="both"/>
              <w:rPr>
                <w:rFonts w:ascii="Times New Roman" w:hAnsi="Times New Roman"/>
                <w:bCs/>
                <w:sz w:val="28"/>
                <w:szCs w:val="28"/>
                <w:lang w:eastAsia="lv-LV"/>
              </w:rPr>
            </w:pPr>
            <w:r w:rsidRPr="00064747">
              <w:rPr>
                <w:rFonts w:ascii="Times New Roman" w:hAnsi="Times New Roman"/>
                <w:bCs/>
                <w:sz w:val="28"/>
                <w:szCs w:val="28"/>
                <w:lang w:eastAsia="lv-LV"/>
              </w:rPr>
              <w:t xml:space="preserve">izdevumi: 5 964 618 </w:t>
            </w:r>
            <w:proofErr w:type="spellStart"/>
            <w:r w:rsidRPr="00064747">
              <w:rPr>
                <w:rFonts w:ascii="Times New Roman" w:hAnsi="Times New Roman"/>
                <w:bCs/>
                <w:i/>
                <w:sz w:val="28"/>
                <w:szCs w:val="28"/>
                <w:lang w:eastAsia="lv-LV"/>
              </w:rPr>
              <w:t>euro</w:t>
            </w:r>
            <w:proofErr w:type="spellEnd"/>
            <w:r w:rsidRPr="00064747">
              <w:rPr>
                <w:rFonts w:ascii="Times New Roman" w:hAnsi="Times New Roman"/>
                <w:bCs/>
                <w:sz w:val="28"/>
                <w:szCs w:val="28"/>
                <w:lang w:eastAsia="lv-LV"/>
              </w:rPr>
              <w:t xml:space="preserve"> t.sk.:</w:t>
            </w:r>
          </w:p>
          <w:p w:rsidR="00792CBE" w:rsidRPr="00064747" w:rsidRDefault="00792CBE" w:rsidP="00792CBE">
            <w:pPr>
              <w:pStyle w:val="NoSpacing"/>
              <w:ind w:left="52"/>
              <w:jc w:val="both"/>
              <w:rPr>
                <w:rFonts w:ascii="Times New Roman" w:hAnsi="Times New Roman"/>
                <w:bCs/>
                <w:sz w:val="28"/>
                <w:szCs w:val="28"/>
                <w:lang w:eastAsia="lv-LV"/>
              </w:rPr>
            </w:pPr>
            <w:r w:rsidRPr="00064747">
              <w:rPr>
                <w:rFonts w:ascii="Times New Roman" w:hAnsi="Times New Roman"/>
                <w:bCs/>
                <w:sz w:val="28"/>
                <w:szCs w:val="28"/>
                <w:lang w:eastAsia="lv-LV"/>
              </w:rPr>
              <w:t xml:space="preserve">EKK 2000 Preces un pakalpojumi </w:t>
            </w:r>
            <w:r w:rsidRPr="00064747">
              <w:rPr>
                <w:sz w:val="28"/>
                <w:szCs w:val="28"/>
              </w:rPr>
              <w:t xml:space="preserve">– </w:t>
            </w:r>
            <w:r w:rsidRPr="00064747">
              <w:rPr>
                <w:rFonts w:ascii="Times New Roman" w:hAnsi="Times New Roman"/>
                <w:bCs/>
                <w:sz w:val="28"/>
                <w:szCs w:val="28"/>
                <w:lang w:eastAsia="lv-LV"/>
              </w:rPr>
              <w:t xml:space="preserve">566 358 </w:t>
            </w:r>
            <w:proofErr w:type="spellStart"/>
            <w:r w:rsidRPr="00064747">
              <w:rPr>
                <w:rFonts w:ascii="Times New Roman" w:hAnsi="Times New Roman"/>
                <w:bCs/>
                <w:i/>
                <w:sz w:val="28"/>
                <w:szCs w:val="28"/>
                <w:lang w:eastAsia="lv-LV"/>
              </w:rPr>
              <w:t>euro</w:t>
            </w:r>
            <w:proofErr w:type="spellEnd"/>
            <w:r w:rsidRPr="00064747">
              <w:rPr>
                <w:rFonts w:ascii="Times New Roman" w:hAnsi="Times New Roman"/>
                <w:bCs/>
                <w:sz w:val="28"/>
                <w:szCs w:val="28"/>
                <w:lang w:eastAsia="lv-LV"/>
              </w:rPr>
              <w:t>;</w:t>
            </w:r>
          </w:p>
          <w:p w:rsidR="00792CBE" w:rsidRPr="00064747" w:rsidRDefault="00792CBE" w:rsidP="00792CBE">
            <w:pPr>
              <w:pStyle w:val="NoSpacing"/>
              <w:ind w:left="52"/>
              <w:jc w:val="both"/>
              <w:rPr>
                <w:rFonts w:ascii="Times New Roman" w:hAnsi="Times New Roman"/>
                <w:bCs/>
                <w:sz w:val="28"/>
                <w:szCs w:val="28"/>
                <w:lang w:eastAsia="lv-LV"/>
              </w:rPr>
            </w:pPr>
            <w:r w:rsidRPr="00064747">
              <w:rPr>
                <w:rFonts w:ascii="Times New Roman" w:hAnsi="Times New Roman"/>
                <w:bCs/>
                <w:sz w:val="28"/>
                <w:szCs w:val="28"/>
                <w:lang w:eastAsia="lv-LV"/>
              </w:rPr>
              <w:t xml:space="preserve">EKK 3000 Subsīdijas un dotācijas </w:t>
            </w:r>
            <w:r w:rsidRPr="00064747">
              <w:rPr>
                <w:sz w:val="28"/>
                <w:szCs w:val="28"/>
              </w:rPr>
              <w:t xml:space="preserve">– </w:t>
            </w:r>
            <w:r w:rsidRPr="00064747">
              <w:rPr>
                <w:rFonts w:ascii="Times New Roman" w:hAnsi="Times New Roman"/>
                <w:bCs/>
                <w:sz w:val="28"/>
                <w:szCs w:val="28"/>
                <w:lang w:eastAsia="lv-LV"/>
              </w:rPr>
              <w:t xml:space="preserve">5 398 260 </w:t>
            </w:r>
            <w:proofErr w:type="spellStart"/>
            <w:r w:rsidRPr="00064747">
              <w:rPr>
                <w:rFonts w:ascii="Times New Roman" w:hAnsi="Times New Roman"/>
                <w:bCs/>
                <w:i/>
                <w:sz w:val="28"/>
                <w:szCs w:val="28"/>
                <w:lang w:eastAsia="lv-LV"/>
              </w:rPr>
              <w:t>euro</w:t>
            </w:r>
            <w:proofErr w:type="spellEnd"/>
            <w:r w:rsidRPr="00064747">
              <w:rPr>
                <w:rFonts w:ascii="Times New Roman" w:hAnsi="Times New Roman"/>
                <w:bCs/>
                <w:sz w:val="28"/>
                <w:szCs w:val="28"/>
                <w:lang w:eastAsia="lv-LV"/>
              </w:rPr>
              <w:t>.</w:t>
            </w:r>
          </w:p>
          <w:p w:rsidR="00792CBE" w:rsidRDefault="00792CBE" w:rsidP="00AE7864">
            <w:pPr>
              <w:jc w:val="both"/>
              <w:rPr>
                <w:sz w:val="28"/>
                <w:szCs w:val="28"/>
              </w:rPr>
            </w:pPr>
          </w:p>
          <w:p w:rsidR="00792CBE" w:rsidRDefault="00792CBE" w:rsidP="00331706">
            <w:pPr>
              <w:tabs>
                <w:tab w:val="left" w:pos="284"/>
              </w:tabs>
              <w:jc w:val="both"/>
              <w:rPr>
                <w:sz w:val="28"/>
                <w:szCs w:val="28"/>
              </w:rPr>
            </w:pPr>
            <w:r w:rsidRPr="00064747">
              <w:rPr>
                <w:sz w:val="28"/>
                <w:szCs w:val="28"/>
              </w:rPr>
              <w:t>Rīkojuma projekts „Par finanšu līdzekļu piešķiršanu no valsts budžeta programmas „Līdzekļi neparedzētiem gadījumiem”” paredz piešķirt</w:t>
            </w:r>
            <w:r w:rsidRPr="004D2D4B">
              <w:rPr>
                <w:sz w:val="28"/>
                <w:szCs w:val="28"/>
              </w:rPr>
              <w:t xml:space="preserve"> Veselības ministrijai</w:t>
            </w:r>
            <w:r>
              <w:rPr>
                <w:sz w:val="28"/>
                <w:szCs w:val="28"/>
              </w:rPr>
              <w:t xml:space="preserve"> </w:t>
            </w:r>
            <w:r w:rsidRPr="004D2D4B">
              <w:rPr>
                <w:sz w:val="28"/>
                <w:szCs w:val="28"/>
              </w:rPr>
              <w:t xml:space="preserve">(Nacionālajam veselības dienestam) </w:t>
            </w:r>
            <w:r w:rsidR="00C85910">
              <w:rPr>
                <w:sz w:val="28"/>
                <w:szCs w:val="28"/>
              </w:rPr>
              <w:t>39 999</w:t>
            </w:r>
            <w:r w:rsidRPr="004D2D4B">
              <w:rPr>
                <w:sz w:val="28"/>
                <w:szCs w:val="28"/>
              </w:rPr>
              <w:t xml:space="preserve"> </w:t>
            </w:r>
            <w:proofErr w:type="spellStart"/>
            <w:r w:rsidRPr="004D2D4B">
              <w:rPr>
                <w:i/>
                <w:sz w:val="28"/>
                <w:szCs w:val="28"/>
              </w:rPr>
              <w:t>euro</w:t>
            </w:r>
            <w:proofErr w:type="spellEnd"/>
            <w:r>
              <w:rPr>
                <w:sz w:val="28"/>
                <w:szCs w:val="28"/>
              </w:rPr>
              <w:t xml:space="preserve"> (EKK 3000 </w:t>
            </w:r>
            <w:r w:rsidRPr="00792CBE">
              <w:rPr>
                <w:sz w:val="28"/>
                <w:szCs w:val="28"/>
              </w:rPr>
              <w:lastRenderedPageBreak/>
              <w:t>Subsīdijas un dotācijas), lai pēc</w:t>
            </w:r>
            <w:r w:rsidRPr="004D2D4B">
              <w:rPr>
                <w:sz w:val="28"/>
                <w:szCs w:val="28"/>
              </w:rPr>
              <w:t xml:space="preserve"> traģēdijas Rīgā, </w:t>
            </w:r>
            <w:r>
              <w:rPr>
                <w:sz w:val="28"/>
                <w:szCs w:val="28"/>
              </w:rPr>
              <w:t>Priedaines ielā 20, nodrošinātu ā</w:t>
            </w:r>
            <w:r w:rsidRPr="005B0E68">
              <w:rPr>
                <w:sz w:val="28"/>
                <w:szCs w:val="28"/>
              </w:rPr>
              <w:t>rstniecības iestādēm  radušos izdevumu kompensāciju</w:t>
            </w:r>
            <w:r w:rsidR="00072114">
              <w:rPr>
                <w:sz w:val="28"/>
                <w:szCs w:val="28"/>
              </w:rPr>
              <w:t xml:space="preserve"> par laika periodu </w:t>
            </w:r>
            <w:r w:rsidR="00072114">
              <w:rPr>
                <w:bCs/>
                <w:sz w:val="28"/>
                <w:szCs w:val="28"/>
              </w:rPr>
              <w:t>no 2014.gada 1.februāra līdz 2014.gada 30.jūnijam</w:t>
            </w:r>
            <w:r w:rsidR="00072114">
              <w:rPr>
                <w:sz w:val="28"/>
                <w:szCs w:val="28"/>
              </w:rPr>
              <w:t>.</w:t>
            </w:r>
          </w:p>
          <w:p w:rsidR="00AE7864" w:rsidRPr="00BF0547" w:rsidRDefault="00AE7864" w:rsidP="00672CC6">
            <w:pPr>
              <w:jc w:val="both"/>
              <w:rPr>
                <w:sz w:val="28"/>
                <w:szCs w:val="28"/>
              </w:rPr>
            </w:pPr>
            <w:r w:rsidRPr="00BF0547">
              <w:rPr>
                <w:sz w:val="28"/>
                <w:szCs w:val="28"/>
              </w:rPr>
              <w:t>(vienlaikus palielinot resursus izdevumu segšanai - dotāciju no vispārējiem ieņēmumiem).</w:t>
            </w:r>
          </w:p>
          <w:p w:rsidR="00AE7864" w:rsidRPr="00BF0547" w:rsidRDefault="00AE7864" w:rsidP="00D0609D">
            <w:pPr>
              <w:pStyle w:val="tv213"/>
              <w:spacing w:before="0" w:beforeAutospacing="0" w:after="0" w:afterAutospacing="0"/>
              <w:jc w:val="both"/>
              <w:rPr>
                <w:sz w:val="28"/>
                <w:szCs w:val="28"/>
                <w:u w:val="single"/>
              </w:rPr>
            </w:pPr>
          </w:p>
          <w:p w:rsidR="007526D3" w:rsidRPr="00BF0547" w:rsidRDefault="007526D3" w:rsidP="00AA2965">
            <w:pPr>
              <w:tabs>
                <w:tab w:val="left" w:pos="5940"/>
              </w:tabs>
              <w:jc w:val="both"/>
              <w:rPr>
                <w:sz w:val="28"/>
                <w:szCs w:val="28"/>
              </w:rPr>
            </w:pPr>
            <w:r w:rsidRPr="00BF0547">
              <w:rPr>
                <w:sz w:val="28"/>
                <w:szCs w:val="28"/>
              </w:rPr>
              <w:t>Detalizēt</w:t>
            </w:r>
            <w:r w:rsidR="00BA0065" w:rsidRPr="00BF0547">
              <w:rPr>
                <w:sz w:val="28"/>
                <w:szCs w:val="28"/>
              </w:rPr>
              <w:t xml:space="preserve">i aprēķini pievienoti </w:t>
            </w:r>
            <w:r w:rsidR="00FC1517" w:rsidRPr="00BF0547">
              <w:rPr>
                <w:sz w:val="28"/>
                <w:szCs w:val="28"/>
              </w:rPr>
              <w:t>pielikum</w:t>
            </w:r>
            <w:r w:rsidR="009000E3">
              <w:rPr>
                <w:sz w:val="28"/>
                <w:szCs w:val="28"/>
              </w:rPr>
              <w:t>ā</w:t>
            </w:r>
            <w:r w:rsidRPr="00BF0547">
              <w:rPr>
                <w:sz w:val="28"/>
                <w:szCs w:val="28"/>
              </w:rPr>
              <w:t>.</w:t>
            </w:r>
          </w:p>
        </w:tc>
      </w:tr>
      <w:tr w:rsidR="00367C3B" w:rsidRPr="00BF0547" w:rsidTr="006C418A">
        <w:trPr>
          <w:jc w:val="center"/>
        </w:trPr>
        <w:tc>
          <w:tcPr>
            <w:tcW w:w="2148" w:type="dxa"/>
            <w:tcBorders>
              <w:top w:val="single" w:sz="4" w:space="0" w:color="auto"/>
              <w:left w:val="single" w:sz="4" w:space="0" w:color="auto"/>
              <w:bottom w:val="single" w:sz="4" w:space="0" w:color="auto"/>
              <w:right w:val="single" w:sz="4" w:space="0" w:color="auto"/>
            </w:tcBorders>
          </w:tcPr>
          <w:p w:rsidR="00367C3B" w:rsidRPr="00BF0547" w:rsidRDefault="00367C3B" w:rsidP="004A05EF">
            <w:pPr>
              <w:rPr>
                <w:sz w:val="28"/>
                <w:szCs w:val="28"/>
              </w:rPr>
            </w:pPr>
            <w:r w:rsidRPr="00BF0547">
              <w:rPr>
                <w:sz w:val="28"/>
                <w:szCs w:val="28"/>
              </w:rPr>
              <w:t>6.1. detalizēts ieņēmumu aprēķins</w:t>
            </w:r>
          </w:p>
        </w:tc>
        <w:tc>
          <w:tcPr>
            <w:tcW w:w="7060" w:type="dxa"/>
            <w:gridSpan w:val="5"/>
            <w:vMerge/>
            <w:tcBorders>
              <w:top w:val="single" w:sz="4" w:space="0" w:color="auto"/>
              <w:left w:val="single" w:sz="4" w:space="0" w:color="auto"/>
              <w:bottom w:val="single" w:sz="4" w:space="0" w:color="auto"/>
              <w:right w:val="single" w:sz="4" w:space="0" w:color="auto"/>
            </w:tcBorders>
          </w:tcPr>
          <w:p w:rsidR="00367C3B" w:rsidRPr="00BF0547" w:rsidRDefault="00367C3B" w:rsidP="00A20419">
            <w:pPr>
              <w:pStyle w:val="naisf"/>
              <w:spacing w:before="0" w:after="0"/>
              <w:ind w:firstLine="0"/>
              <w:rPr>
                <w:b/>
                <w:i/>
                <w:sz w:val="28"/>
                <w:szCs w:val="28"/>
              </w:rPr>
            </w:pPr>
          </w:p>
        </w:tc>
      </w:tr>
      <w:tr w:rsidR="00367C3B" w:rsidRPr="00BF0547" w:rsidTr="006C418A">
        <w:trPr>
          <w:jc w:val="center"/>
        </w:trPr>
        <w:tc>
          <w:tcPr>
            <w:tcW w:w="2148" w:type="dxa"/>
            <w:tcBorders>
              <w:top w:val="single" w:sz="4" w:space="0" w:color="auto"/>
              <w:left w:val="single" w:sz="4" w:space="0" w:color="auto"/>
              <w:bottom w:val="single" w:sz="4" w:space="0" w:color="auto"/>
              <w:right w:val="single" w:sz="4" w:space="0" w:color="auto"/>
            </w:tcBorders>
          </w:tcPr>
          <w:p w:rsidR="00367C3B" w:rsidRPr="00BF0547" w:rsidRDefault="00367C3B" w:rsidP="004A05EF">
            <w:pPr>
              <w:rPr>
                <w:sz w:val="28"/>
                <w:szCs w:val="28"/>
              </w:rPr>
            </w:pPr>
            <w:r w:rsidRPr="00BF0547">
              <w:rPr>
                <w:sz w:val="28"/>
                <w:szCs w:val="28"/>
              </w:rPr>
              <w:t>6.2. detalizēts izdevumu aprēķins</w:t>
            </w:r>
          </w:p>
        </w:tc>
        <w:tc>
          <w:tcPr>
            <w:tcW w:w="7060" w:type="dxa"/>
            <w:gridSpan w:val="5"/>
            <w:vMerge/>
            <w:tcBorders>
              <w:top w:val="single" w:sz="4" w:space="0" w:color="auto"/>
              <w:left w:val="single" w:sz="4" w:space="0" w:color="auto"/>
              <w:bottom w:val="single" w:sz="4" w:space="0" w:color="auto"/>
              <w:right w:val="single" w:sz="4" w:space="0" w:color="auto"/>
            </w:tcBorders>
          </w:tcPr>
          <w:p w:rsidR="00367C3B" w:rsidRPr="00BF0547" w:rsidRDefault="00367C3B" w:rsidP="00A20419">
            <w:pPr>
              <w:pStyle w:val="naisf"/>
              <w:spacing w:before="0" w:after="0"/>
              <w:ind w:firstLine="0"/>
              <w:rPr>
                <w:b/>
                <w:i/>
                <w:sz w:val="28"/>
                <w:szCs w:val="28"/>
              </w:rPr>
            </w:pPr>
          </w:p>
        </w:tc>
      </w:tr>
      <w:tr w:rsidR="00367C3B" w:rsidRPr="00BF0547" w:rsidTr="006C418A">
        <w:trPr>
          <w:jc w:val="center"/>
        </w:trPr>
        <w:tc>
          <w:tcPr>
            <w:tcW w:w="2148" w:type="dxa"/>
            <w:tcBorders>
              <w:top w:val="single" w:sz="4" w:space="0" w:color="auto"/>
              <w:left w:val="single" w:sz="4" w:space="0" w:color="auto"/>
              <w:bottom w:val="single" w:sz="4" w:space="0" w:color="auto"/>
              <w:right w:val="single" w:sz="4" w:space="0" w:color="auto"/>
            </w:tcBorders>
          </w:tcPr>
          <w:p w:rsidR="00367C3B" w:rsidRPr="00BF0547" w:rsidRDefault="00367C3B" w:rsidP="004A05EF">
            <w:pPr>
              <w:tabs>
                <w:tab w:val="left" w:pos="5940"/>
              </w:tabs>
              <w:rPr>
                <w:sz w:val="28"/>
                <w:szCs w:val="28"/>
              </w:rPr>
            </w:pPr>
            <w:r w:rsidRPr="00BF0547">
              <w:rPr>
                <w:sz w:val="28"/>
                <w:szCs w:val="28"/>
              </w:rPr>
              <w:lastRenderedPageBreak/>
              <w:t>7. Cita informācija</w:t>
            </w:r>
          </w:p>
        </w:tc>
        <w:tc>
          <w:tcPr>
            <w:tcW w:w="7060" w:type="dxa"/>
            <w:gridSpan w:val="5"/>
            <w:tcBorders>
              <w:top w:val="single" w:sz="4" w:space="0" w:color="auto"/>
              <w:left w:val="single" w:sz="4" w:space="0" w:color="auto"/>
              <w:bottom w:val="single" w:sz="4" w:space="0" w:color="auto"/>
              <w:right w:val="single" w:sz="4" w:space="0" w:color="auto"/>
            </w:tcBorders>
          </w:tcPr>
          <w:p w:rsidR="00DD7EF3" w:rsidRPr="00BF0547" w:rsidRDefault="00DD7EF3" w:rsidP="00FC1517">
            <w:pPr>
              <w:tabs>
                <w:tab w:val="left" w:pos="5940"/>
              </w:tabs>
              <w:jc w:val="both"/>
              <w:rPr>
                <w:sz w:val="28"/>
                <w:szCs w:val="28"/>
              </w:rPr>
            </w:pPr>
            <w:r w:rsidRPr="00BF0547">
              <w:rPr>
                <w:sz w:val="28"/>
                <w:szCs w:val="28"/>
              </w:rPr>
              <w:t xml:space="preserve">Izdevumi tiks veikti </w:t>
            </w:r>
            <w:r w:rsidRPr="00BF0547">
              <w:rPr>
                <w:bCs/>
                <w:sz w:val="28"/>
                <w:szCs w:val="28"/>
              </w:rPr>
              <w:t xml:space="preserve">Veselības ministrijas budžeta </w:t>
            </w:r>
            <w:r w:rsidRPr="00BF0547">
              <w:rPr>
                <w:sz w:val="28"/>
                <w:szCs w:val="28"/>
              </w:rPr>
              <w:t>programmas 99.00.00 „Līdzekļu neparedzētiem gadījumiem izlietojums” ietvaros.</w:t>
            </w:r>
          </w:p>
        </w:tc>
      </w:tr>
    </w:tbl>
    <w:p w:rsidR="0015060C" w:rsidRDefault="0015060C" w:rsidP="004411F3">
      <w:pPr>
        <w:tabs>
          <w:tab w:val="left" w:pos="5940"/>
        </w:tabs>
        <w:jc w:val="both"/>
        <w:rPr>
          <w:sz w:val="28"/>
          <w:szCs w:val="28"/>
        </w:rPr>
      </w:pPr>
    </w:p>
    <w:p w:rsidR="00197E0C" w:rsidRPr="00BF0547" w:rsidRDefault="00197E0C" w:rsidP="004411F3">
      <w:pPr>
        <w:tabs>
          <w:tab w:val="left" w:pos="5940"/>
        </w:tabs>
        <w:jc w:val="both"/>
        <w:rPr>
          <w:sz w:val="28"/>
          <w:szCs w:val="28"/>
        </w:rPr>
      </w:pPr>
    </w:p>
    <w:tbl>
      <w:tblPr>
        <w:tblW w:w="9356"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567"/>
        <w:gridCol w:w="2694"/>
        <w:gridCol w:w="6095"/>
      </w:tblGrid>
      <w:tr w:rsidR="0023436E" w:rsidRPr="00BF0547" w:rsidTr="006C418A">
        <w:tc>
          <w:tcPr>
            <w:tcW w:w="9356" w:type="dxa"/>
            <w:gridSpan w:val="3"/>
            <w:tcBorders>
              <w:top w:val="single" w:sz="4" w:space="0" w:color="auto"/>
            </w:tcBorders>
          </w:tcPr>
          <w:p w:rsidR="0023436E" w:rsidRPr="00BF0547" w:rsidRDefault="0023436E" w:rsidP="006C418A">
            <w:pPr>
              <w:pStyle w:val="naisnod"/>
              <w:spacing w:before="0" w:after="0"/>
              <w:ind w:left="-170" w:right="57"/>
              <w:rPr>
                <w:sz w:val="28"/>
                <w:szCs w:val="28"/>
              </w:rPr>
            </w:pPr>
            <w:r w:rsidRPr="00BF0547">
              <w:rPr>
                <w:sz w:val="28"/>
                <w:szCs w:val="28"/>
              </w:rPr>
              <w:t>VII</w:t>
            </w:r>
            <w:r w:rsidR="000941C5" w:rsidRPr="00BF0547">
              <w:rPr>
                <w:sz w:val="28"/>
                <w:szCs w:val="28"/>
              </w:rPr>
              <w:t>.</w:t>
            </w:r>
            <w:r w:rsidRPr="00BF0547">
              <w:rPr>
                <w:sz w:val="28"/>
                <w:szCs w:val="28"/>
              </w:rPr>
              <w:t xml:space="preserve"> Tiesību akta projekta izpildes nodrošināšana un tās ietekme uz institūcijām</w:t>
            </w:r>
          </w:p>
        </w:tc>
      </w:tr>
      <w:tr w:rsidR="000157C7" w:rsidRPr="00BF0547" w:rsidTr="00F931B1">
        <w:trPr>
          <w:trHeight w:val="427"/>
        </w:trPr>
        <w:tc>
          <w:tcPr>
            <w:tcW w:w="567" w:type="dxa"/>
          </w:tcPr>
          <w:p w:rsidR="000157C7" w:rsidRPr="00BF0547" w:rsidRDefault="000157C7" w:rsidP="007D099D">
            <w:pPr>
              <w:pStyle w:val="naisnod"/>
              <w:spacing w:before="0" w:after="0"/>
              <w:ind w:left="57" w:right="57"/>
              <w:jc w:val="left"/>
              <w:rPr>
                <w:b w:val="0"/>
                <w:sz w:val="28"/>
                <w:szCs w:val="28"/>
              </w:rPr>
            </w:pPr>
            <w:r w:rsidRPr="00BF0547">
              <w:rPr>
                <w:b w:val="0"/>
                <w:sz w:val="28"/>
                <w:szCs w:val="28"/>
              </w:rPr>
              <w:t>1.</w:t>
            </w:r>
          </w:p>
        </w:tc>
        <w:tc>
          <w:tcPr>
            <w:tcW w:w="2694" w:type="dxa"/>
          </w:tcPr>
          <w:p w:rsidR="000157C7" w:rsidRPr="00BF0547" w:rsidRDefault="000157C7" w:rsidP="007D099D">
            <w:pPr>
              <w:pStyle w:val="naisf"/>
              <w:spacing w:before="0" w:after="0"/>
              <w:ind w:left="57" w:right="57" w:firstLine="0"/>
              <w:jc w:val="left"/>
              <w:rPr>
                <w:sz w:val="28"/>
                <w:szCs w:val="28"/>
              </w:rPr>
            </w:pPr>
            <w:r w:rsidRPr="00BF0547">
              <w:rPr>
                <w:sz w:val="28"/>
                <w:szCs w:val="28"/>
              </w:rPr>
              <w:t xml:space="preserve">Projekta izpildē iesaistītās institūcijas </w:t>
            </w:r>
          </w:p>
        </w:tc>
        <w:tc>
          <w:tcPr>
            <w:tcW w:w="6095" w:type="dxa"/>
          </w:tcPr>
          <w:p w:rsidR="000157C7" w:rsidRPr="00BF0547" w:rsidRDefault="000157C7" w:rsidP="009000E3">
            <w:pPr>
              <w:spacing w:before="75" w:after="75"/>
              <w:jc w:val="both"/>
              <w:rPr>
                <w:sz w:val="28"/>
                <w:szCs w:val="28"/>
              </w:rPr>
            </w:pPr>
            <w:r w:rsidRPr="00BF0547">
              <w:rPr>
                <w:sz w:val="28"/>
                <w:szCs w:val="28"/>
              </w:rPr>
              <w:t xml:space="preserve">Ministru kabineta rīkojuma projekta izpildi nodrošinās </w:t>
            </w:r>
            <w:r w:rsidR="003D3158" w:rsidRPr="00BF0547">
              <w:rPr>
                <w:sz w:val="28"/>
                <w:szCs w:val="28"/>
              </w:rPr>
              <w:t>NVD.</w:t>
            </w:r>
          </w:p>
        </w:tc>
      </w:tr>
      <w:tr w:rsidR="000157C7" w:rsidRPr="00BF0547" w:rsidTr="00F931B1">
        <w:trPr>
          <w:trHeight w:val="463"/>
        </w:trPr>
        <w:tc>
          <w:tcPr>
            <w:tcW w:w="567" w:type="dxa"/>
          </w:tcPr>
          <w:p w:rsidR="000157C7" w:rsidRPr="00BF0547" w:rsidRDefault="000157C7" w:rsidP="007D099D">
            <w:pPr>
              <w:pStyle w:val="naisnod"/>
              <w:spacing w:before="0" w:after="0"/>
              <w:ind w:left="57" w:right="57"/>
              <w:jc w:val="left"/>
              <w:rPr>
                <w:b w:val="0"/>
                <w:sz w:val="28"/>
                <w:szCs w:val="28"/>
              </w:rPr>
            </w:pPr>
            <w:r w:rsidRPr="00BF0547">
              <w:rPr>
                <w:b w:val="0"/>
                <w:sz w:val="28"/>
                <w:szCs w:val="28"/>
              </w:rPr>
              <w:t>2.</w:t>
            </w:r>
          </w:p>
        </w:tc>
        <w:tc>
          <w:tcPr>
            <w:tcW w:w="2694" w:type="dxa"/>
          </w:tcPr>
          <w:p w:rsidR="000157C7" w:rsidRPr="00BF0547" w:rsidRDefault="000157C7" w:rsidP="007D099D">
            <w:pPr>
              <w:pStyle w:val="naisf"/>
              <w:spacing w:before="0" w:after="0"/>
              <w:ind w:left="57" w:right="57" w:firstLine="0"/>
              <w:jc w:val="left"/>
              <w:rPr>
                <w:sz w:val="28"/>
                <w:szCs w:val="28"/>
              </w:rPr>
            </w:pPr>
            <w:r w:rsidRPr="00BF0547">
              <w:rPr>
                <w:sz w:val="28"/>
                <w:szCs w:val="28"/>
              </w:rPr>
              <w:t>Projekta izpildes</w:t>
            </w:r>
            <w:r w:rsidR="004A05EF" w:rsidRPr="00BF0547">
              <w:rPr>
                <w:sz w:val="28"/>
                <w:szCs w:val="28"/>
              </w:rPr>
              <w:t xml:space="preserve"> ietekme uz pārvaldes funkcijām un institucionālo struktūru.</w:t>
            </w:r>
          </w:p>
          <w:p w:rsidR="004A05EF" w:rsidRPr="00BF0547" w:rsidRDefault="004A05EF" w:rsidP="007D099D">
            <w:pPr>
              <w:pStyle w:val="naisf"/>
              <w:spacing w:before="0" w:after="0"/>
              <w:ind w:left="57" w:right="57" w:firstLine="0"/>
              <w:jc w:val="left"/>
              <w:rPr>
                <w:sz w:val="28"/>
                <w:szCs w:val="28"/>
              </w:rPr>
            </w:pPr>
          </w:p>
          <w:p w:rsidR="004A05EF" w:rsidRPr="00BF0547" w:rsidRDefault="004A05EF" w:rsidP="007D099D">
            <w:pPr>
              <w:pStyle w:val="naisf"/>
              <w:spacing w:before="0" w:after="0"/>
              <w:ind w:left="57" w:right="57" w:firstLine="0"/>
              <w:jc w:val="left"/>
              <w:rPr>
                <w:sz w:val="28"/>
                <w:szCs w:val="28"/>
              </w:rPr>
            </w:pPr>
            <w:r w:rsidRPr="00BF0547">
              <w:rPr>
                <w:sz w:val="28"/>
                <w:szCs w:val="28"/>
              </w:rPr>
              <w:t>Jaunu institūciju izveide, esošu institūciju likvidācija vai reorganizācija, to ietekme uz institūcijas cilvēkresursiem</w:t>
            </w:r>
          </w:p>
        </w:tc>
        <w:tc>
          <w:tcPr>
            <w:tcW w:w="6095" w:type="dxa"/>
          </w:tcPr>
          <w:p w:rsidR="000157C7" w:rsidRPr="00BF0547" w:rsidRDefault="003D3158" w:rsidP="00BE083D">
            <w:pPr>
              <w:jc w:val="both"/>
              <w:rPr>
                <w:sz w:val="28"/>
                <w:szCs w:val="28"/>
              </w:rPr>
            </w:pPr>
            <w:r w:rsidRPr="00BF0547">
              <w:rPr>
                <w:sz w:val="28"/>
                <w:szCs w:val="28"/>
              </w:rPr>
              <w:t xml:space="preserve">NVD </w:t>
            </w:r>
            <w:r w:rsidR="000157C7" w:rsidRPr="00BF0547">
              <w:rPr>
                <w:sz w:val="28"/>
                <w:szCs w:val="28"/>
              </w:rPr>
              <w:t>Ministru kabineta rīkojuma projekta izpildi nodrošinās esošo funkciju ietvaros.</w:t>
            </w:r>
          </w:p>
        </w:tc>
      </w:tr>
      <w:tr w:rsidR="000157C7" w:rsidRPr="00BF0547" w:rsidTr="00F931B1">
        <w:trPr>
          <w:trHeight w:val="476"/>
        </w:trPr>
        <w:tc>
          <w:tcPr>
            <w:tcW w:w="567" w:type="dxa"/>
          </w:tcPr>
          <w:p w:rsidR="000157C7" w:rsidRPr="00BF0547" w:rsidRDefault="004A05EF" w:rsidP="007D099D">
            <w:pPr>
              <w:pStyle w:val="naiskr"/>
              <w:spacing w:before="0" w:after="0"/>
              <w:ind w:left="57" w:right="57"/>
              <w:rPr>
                <w:sz w:val="28"/>
                <w:szCs w:val="28"/>
              </w:rPr>
            </w:pPr>
            <w:r w:rsidRPr="00BF0547">
              <w:rPr>
                <w:sz w:val="28"/>
                <w:szCs w:val="28"/>
              </w:rPr>
              <w:t>3</w:t>
            </w:r>
            <w:r w:rsidR="000157C7" w:rsidRPr="00BF0547">
              <w:rPr>
                <w:sz w:val="28"/>
                <w:szCs w:val="28"/>
              </w:rPr>
              <w:t>.</w:t>
            </w:r>
          </w:p>
        </w:tc>
        <w:tc>
          <w:tcPr>
            <w:tcW w:w="2694" w:type="dxa"/>
          </w:tcPr>
          <w:p w:rsidR="000157C7" w:rsidRPr="00BF0547" w:rsidRDefault="000157C7" w:rsidP="007D099D">
            <w:pPr>
              <w:pStyle w:val="naiskr"/>
              <w:spacing w:before="0" w:after="0"/>
              <w:ind w:left="57" w:right="57"/>
              <w:rPr>
                <w:sz w:val="28"/>
                <w:szCs w:val="28"/>
              </w:rPr>
            </w:pPr>
            <w:r w:rsidRPr="00BF0547">
              <w:rPr>
                <w:sz w:val="28"/>
                <w:szCs w:val="28"/>
              </w:rPr>
              <w:t>Cita informācija</w:t>
            </w:r>
          </w:p>
        </w:tc>
        <w:tc>
          <w:tcPr>
            <w:tcW w:w="6095" w:type="dxa"/>
          </w:tcPr>
          <w:p w:rsidR="000157C7" w:rsidRPr="00BF0547" w:rsidRDefault="000157C7" w:rsidP="00BE083D">
            <w:pPr>
              <w:spacing w:before="75" w:after="75"/>
              <w:rPr>
                <w:sz w:val="28"/>
                <w:szCs w:val="28"/>
              </w:rPr>
            </w:pPr>
            <w:r w:rsidRPr="00BF0547">
              <w:rPr>
                <w:sz w:val="28"/>
                <w:szCs w:val="28"/>
              </w:rPr>
              <w:t> Nav</w:t>
            </w:r>
          </w:p>
        </w:tc>
      </w:tr>
    </w:tbl>
    <w:p w:rsidR="00214094" w:rsidRPr="00BF0547" w:rsidRDefault="00214094" w:rsidP="006C4607">
      <w:pPr>
        <w:pStyle w:val="naisf"/>
        <w:tabs>
          <w:tab w:val="left" w:pos="5760"/>
        </w:tabs>
        <w:spacing w:before="0" w:after="0"/>
        <w:ind w:firstLine="720"/>
        <w:rPr>
          <w:sz w:val="28"/>
          <w:szCs w:val="28"/>
        </w:rPr>
      </w:pPr>
    </w:p>
    <w:p w:rsidR="00214094" w:rsidRPr="00BF0547" w:rsidRDefault="006C418A" w:rsidP="006C4607">
      <w:pPr>
        <w:pStyle w:val="naisf"/>
        <w:tabs>
          <w:tab w:val="left" w:pos="5760"/>
        </w:tabs>
        <w:spacing w:before="0" w:after="0"/>
        <w:ind w:firstLine="720"/>
        <w:rPr>
          <w:sz w:val="28"/>
          <w:szCs w:val="28"/>
        </w:rPr>
      </w:pPr>
      <w:r w:rsidRPr="00BF0547">
        <w:rPr>
          <w:sz w:val="28"/>
          <w:szCs w:val="28"/>
        </w:rPr>
        <w:t>Anotācijas II,</w:t>
      </w:r>
      <w:r w:rsidR="00FB1BE1" w:rsidRPr="00BF0547">
        <w:rPr>
          <w:sz w:val="28"/>
          <w:szCs w:val="28"/>
        </w:rPr>
        <w:t xml:space="preserve"> IV,</w:t>
      </w:r>
      <w:r w:rsidR="008D396D" w:rsidRPr="00BF0547">
        <w:rPr>
          <w:sz w:val="28"/>
          <w:szCs w:val="28"/>
        </w:rPr>
        <w:t xml:space="preserve"> V,</w:t>
      </w:r>
      <w:r w:rsidR="00FB1BE1" w:rsidRPr="00BF0547">
        <w:rPr>
          <w:sz w:val="28"/>
          <w:szCs w:val="28"/>
        </w:rPr>
        <w:t xml:space="preserve"> VI sadaļa – projekts šīs jomas neskar.</w:t>
      </w:r>
    </w:p>
    <w:p w:rsidR="00251B87" w:rsidRPr="00BF0547" w:rsidRDefault="00251B87" w:rsidP="00CB2B21">
      <w:pPr>
        <w:pStyle w:val="naisf"/>
        <w:tabs>
          <w:tab w:val="left" w:pos="6804"/>
        </w:tabs>
        <w:spacing w:before="0" w:after="0"/>
        <w:ind w:firstLine="0"/>
        <w:rPr>
          <w:sz w:val="28"/>
          <w:szCs w:val="28"/>
        </w:rPr>
      </w:pPr>
    </w:p>
    <w:p w:rsidR="00251B87" w:rsidRPr="001B4C78" w:rsidRDefault="00251B87" w:rsidP="00251B87">
      <w:pPr>
        <w:autoSpaceDE w:val="0"/>
        <w:autoSpaceDN w:val="0"/>
        <w:adjustRightInd w:val="0"/>
        <w:rPr>
          <w:sz w:val="28"/>
          <w:szCs w:val="28"/>
        </w:rPr>
      </w:pPr>
      <w:r w:rsidRPr="001B4C78">
        <w:rPr>
          <w:sz w:val="28"/>
          <w:szCs w:val="28"/>
        </w:rPr>
        <w:t>Veselības ministra vietā</w:t>
      </w:r>
    </w:p>
    <w:p w:rsidR="00251B87" w:rsidRDefault="00251B87" w:rsidP="00251B87">
      <w:pPr>
        <w:rPr>
          <w:sz w:val="28"/>
          <w:szCs w:val="28"/>
        </w:rPr>
      </w:pPr>
      <w:r>
        <w:rPr>
          <w:sz w:val="28"/>
          <w:szCs w:val="28"/>
        </w:rPr>
        <w:t xml:space="preserve">Ministru prezidente                                            </w:t>
      </w:r>
      <w:r w:rsidRPr="00126467">
        <w:rPr>
          <w:sz w:val="28"/>
          <w:szCs w:val="28"/>
        </w:rPr>
        <w:t xml:space="preserve">  </w:t>
      </w:r>
      <w:r>
        <w:rPr>
          <w:sz w:val="28"/>
          <w:szCs w:val="28"/>
        </w:rPr>
        <w:t xml:space="preserve">      </w:t>
      </w:r>
      <w:r w:rsidRPr="00126467">
        <w:rPr>
          <w:sz w:val="28"/>
          <w:szCs w:val="28"/>
        </w:rPr>
        <w:t xml:space="preserve"> </w:t>
      </w:r>
      <w:r>
        <w:rPr>
          <w:sz w:val="28"/>
          <w:szCs w:val="28"/>
        </w:rPr>
        <w:t xml:space="preserve">              </w:t>
      </w:r>
      <w:r w:rsidRPr="00126467">
        <w:rPr>
          <w:sz w:val="28"/>
          <w:szCs w:val="28"/>
        </w:rPr>
        <w:t xml:space="preserve"> </w:t>
      </w:r>
      <w:r>
        <w:rPr>
          <w:sz w:val="28"/>
          <w:szCs w:val="28"/>
        </w:rPr>
        <w:t xml:space="preserve">      L.Straujuma</w:t>
      </w:r>
    </w:p>
    <w:p w:rsidR="00A81033" w:rsidRPr="00BF0547" w:rsidRDefault="00A81033" w:rsidP="00B32F76">
      <w:pPr>
        <w:rPr>
          <w:sz w:val="28"/>
          <w:szCs w:val="28"/>
        </w:rPr>
      </w:pPr>
    </w:p>
    <w:p w:rsidR="00197A6F" w:rsidRDefault="00AD7BC9" w:rsidP="00197A6F">
      <w:pPr>
        <w:pStyle w:val="NormalWeb"/>
        <w:spacing w:before="0" w:beforeAutospacing="0" w:after="0" w:afterAutospacing="0"/>
        <w:rPr>
          <w:sz w:val="22"/>
          <w:szCs w:val="22"/>
        </w:rPr>
      </w:pPr>
      <w:r>
        <w:rPr>
          <w:sz w:val="22"/>
          <w:szCs w:val="22"/>
        </w:rPr>
        <w:t>05</w:t>
      </w:r>
      <w:r w:rsidR="00197A6F" w:rsidRPr="00274CE0">
        <w:rPr>
          <w:sz w:val="22"/>
          <w:szCs w:val="22"/>
        </w:rPr>
        <w:t>.</w:t>
      </w:r>
      <w:r>
        <w:rPr>
          <w:sz w:val="22"/>
          <w:szCs w:val="22"/>
        </w:rPr>
        <w:t>09</w:t>
      </w:r>
      <w:r w:rsidR="00197A6F" w:rsidRPr="00274CE0">
        <w:rPr>
          <w:sz w:val="22"/>
          <w:szCs w:val="22"/>
        </w:rPr>
        <w:t>.2014</w:t>
      </w:r>
      <w:r w:rsidR="005B2A12">
        <w:rPr>
          <w:sz w:val="22"/>
          <w:szCs w:val="22"/>
        </w:rPr>
        <w:t xml:space="preserve">   16:03</w:t>
      </w:r>
    </w:p>
    <w:p w:rsidR="00197A6F" w:rsidRPr="000B284C" w:rsidRDefault="005B2A12" w:rsidP="00197A6F">
      <w:pPr>
        <w:pStyle w:val="NormalWeb"/>
        <w:spacing w:before="0" w:beforeAutospacing="0" w:after="0" w:afterAutospacing="0"/>
        <w:rPr>
          <w:sz w:val="22"/>
          <w:szCs w:val="22"/>
        </w:rPr>
      </w:pPr>
      <w:r>
        <w:rPr>
          <w:sz w:val="22"/>
          <w:szCs w:val="22"/>
        </w:rPr>
        <w:t>989</w:t>
      </w:r>
    </w:p>
    <w:p w:rsidR="00197A6F" w:rsidRPr="000B284C" w:rsidRDefault="00197A6F" w:rsidP="00197A6F">
      <w:pPr>
        <w:pStyle w:val="NormalWeb"/>
        <w:spacing w:before="0" w:beforeAutospacing="0" w:after="0" w:afterAutospacing="0"/>
        <w:rPr>
          <w:sz w:val="22"/>
          <w:szCs w:val="22"/>
        </w:rPr>
      </w:pPr>
      <w:proofErr w:type="spellStart"/>
      <w:r>
        <w:rPr>
          <w:sz w:val="22"/>
          <w:szCs w:val="22"/>
        </w:rPr>
        <w:t>S.Kasparenko</w:t>
      </w:r>
      <w:proofErr w:type="spellEnd"/>
    </w:p>
    <w:p w:rsidR="0015060C" w:rsidRPr="00BF0547" w:rsidRDefault="00197A6F" w:rsidP="00E30C6C">
      <w:pPr>
        <w:pStyle w:val="NormalWeb"/>
        <w:spacing w:before="0" w:beforeAutospacing="0" w:after="0" w:afterAutospacing="0"/>
        <w:rPr>
          <w:sz w:val="22"/>
          <w:szCs w:val="22"/>
        </w:rPr>
      </w:pPr>
      <w:r>
        <w:rPr>
          <w:sz w:val="22"/>
          <w:szCs w:val="22"/>
        </w:rPr>
        <w:t>67876147</w:t>
      </w:r>
      <w:r w:rsidRPr="000B284C">
        <w:rPr>
          <w:sz w:val="22"/>
          <w:szCs w:val="22"/>
        </w:rPr>
        <w:t xml:space="preserve">, </w:t>
      </w:r>
      <w:hyperlink r:id="rId8" w:history="1">
        <w:r w:rsidRPr="004016D4">
          <w:rPr>
            <w:sz w:val="22"/>
            <w:szCs w:val="22"/>
          </w:rPr>
          <w:t>Sandra.Kasparenko@vm.gov.lv</w:t>
        </w:r>
      </w:hyperlink>
    </w:p>
    <w:sectPr w:rsidR="0015060C" w:rsidRPr="00BF0547" w:rsidSect="006C418A">
      <w:headerReference w:type="even" r:id="rId9"/>
      <w:headerReference w:type="default" r:id="rId10"/>
      <w:footerReference w:type="default" r:id="rId11"/>
      <w:footerReference w:type="first" r:id="rId12"/>
      <w:pgSz w:w="11906" w:h="16838" w:code="9"/>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40BD" w:rsidRDefault="009D40BD">
      <w:r>
        <w:separator/>
      </w:r>
    </w:p>
  </w:endnote>
  <w:endnote w:type="continuationSeparator" w:id="0">
    <w:p w:rsidR="009D40BD" w:rsidRDefault="009D40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864" w:rsidRPr="00F510B4" w:rsidRDefault="008554D1" w:rsidP="00984A4D">
    <w:pPr>
      <w:pStyle w:val="NormalWeb"/>
      <w:spacing w:before="0" w:beforeAutospacing="0" w:after="0" w:afterAutospacing="0"/>
      <w:jc w:val="both"/>
      <w:rPr>
        <w:bCs/>
        <w:sz w:val="20"/>
        <w:szCs w:val="20"/>
      </w:rPr>
    </w:pPr>
    <w:fldSimple w:instr=" FILENAME   \* MERGEFORMAT ">
      <w:r w:rsidR="00AE7864">
        <w:rPr>
          <w:noProof/>
          <w:sz w:val="20"/>
          <w:szCs w:val="20"/>
        </w:rPr>
        <w:t>VMAnot_</w:t>
      </w:r>
      <w:r w:rsidR="00AD7BC9">
        <w:rPr>
          <w:noProof/>
          <w:sz w:val="20"/>
          <w:szCs w:val="20"/>
        </w:rPr>
        <w:t>0509</w:t>
      </w:r>
      <w:r w:rsidR="00AE7864">
        <w:rPr>
          <w:noProof/>
          <w:sz w:val="20"/>
          <w:szCs w:val="20"/>
        </w:rPr>
        <w:t>14_LNG</w:t>
      </w:r>
    </w:fldSimple>
    <w:r w:rsidR="00AE7864" w:rsidRPr="00F510B4">
      <w:rPr>
        <w:sz w:val="20"/>
        <w:szCs w:val="20"/>
      </w:rPr>
      <w:t>; Ministru kabineta rīkojuma projekta „Par finanšu līdzekļu piešķiršanu no valsts budžeta programmas „Līdzekļi neparedzētiem gadījumiem”” sākotnējās ietekmes novērtējuma ziņojum</w:t>
    </w:r>
    <w:r w:rsidR="00AE7864">
      <w:rPr>
        <w:sz w:val="20"/>
        <w:szCs w:val="20"/>
      </w:rPr>
      <w:t>s</w:t>
    </w:r>
    <w:r w:rsidR="00AE7864" w:rsidRPr="00F510B4">
      <w:rPr>
        <w:sz w:val="20"/>
        <w:szCs w:val="20"/>
      </w:rPr>
      <w:t xml:space="preserve"> (anotācija)</w:t>
    </w:r>
    <w:r w:rsidR="00AE7864">
      <w:rPr>
        <w:sz w:val="20"/>
        <w:szCs w:val="20"/>
      </w:rPr>
      <w:t xml:space="preserve"> </w:t>
    </w:r>
  </w:p>
  <w:p w:rsidR="00AE7864" w:rsidRPr="00B32F76" w:rsidRDefault="00AE7864" w:rsidP="00B32F76">
    <w:pPr>
      <w:pStyle w:val="Footer"/>
      <w:rPr>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864" w:rsidRPr="00F510B4" w:rsidRDefault="008554D1" w:rsidP="00B32F76">
    <w:pPr>
      <w:pStyle w:val="NormalWeb"/>
      <w:spacing w:before="0" w:beforeAutospacing="0" w:after="0" w:afterAutospacing="0"/>
      <w:jc w:val="both"/>
      <w:rPr>
        <w:bCs/>
        <w:sz w:val="20"/>
        <w:szCs w:val="20"/>
      </w:rPr>
    </w:pPr>
    <w:fldSimple w:instr=" FILENAME   \* MERGEFORMAT ">
      <w:r w:rsidR="00AE7864">
        <w:rPr>
          <w:noProof/>
          <w:sz w:val="20"/>
          <w:szCs w:val="20"/>
        </w:rPr>
        <w:t>VMAnot_</w:t>
      </w:r>
      <w:r w:rsidR="00AD7BC9">
        <w:rPr>
          <w:noProof/>
          <w:sz w:val="20"/>
          <w:szCs w:val="20"/>
        </w:rPr>
        <w:t>0509</w:t>
      </w:r>
      <w:r w:rsidR="00AE7864">
        <w:rPr>
          <w:noProof/>
          <w:sz w:val="20"/>
          <w:szCs w:val="20"/>
        </w:rPr>
        <w:t>14_LNG</w:t>
      </w:r>
    </w:fldSimple>
    <w:r w:rsidR="00AE7864" w:rsidRPr="00F510B4">
      <w:rPr>
        <w:sz w:val="20"/>
        <w:szCs w:val="20"/>
      </w:rPr>
      <w:t xml:space="preserve">; </w:t>
    </w:r>
    <w:bookmarkStart w:id="0" w:name="OLE_LINK7"/>
    <w:bookmarkStart w:id="1" w:name="OLE_LINK8"/>
    <w:bookmarkStart w:id="2" w:name="_Hlk373840471"/>
    <w:r w:rsidR="00AE7864" w:rsidRPr="00F510B4">
      <w:rPr>
        <w:sz w:val="20"/>
        <w:szCs w:val="20"/>
      </w:rPr>
      <w:t>Ministru kabineta rīkojuma projekta „Par finanšu līdzekļu piešķiršanu no valsts budžeta programmas „Līdzekļi neparedzētiem gadījumiem”” sākotnējās ietekmes novērtējuma ziņojum</w:t>
    </w:r>
    <w:r w:rsidR="00AE7864">
      <w:rPr>
        <w:sz w:val="20"/>
        <w:szCs w:val="20"/>
      </w:rPr>
      <w:t>s</w:t>
    </w:r>
    <w:r w:rsidR="00AE7864" w:rsidRPr="00F510B4">
      <w:rPr>
        <w:sz w:val="20"/>
        <w:szCs w:val="20"/>
      </w:rPr>
      <w:t xml:space="preserve"> (anotācija)</w:t>
    </w:r>
    <w:r w:rsidR="00AE7864">
      <w:rPr>
        <w:sz w:val="20"/>
        <w:szCs w:val="20"/>
      </w:rPr>
      <w:t xml:space="preserve"> </w:t>
    </w:r>
    <w:bookmarkEnd w:id="0"/>
    <w:bookmarkEnd w:id="1"/>
    <w:bookmarkEnd w:id="2"/>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40BD" w:rsidRDefault="009D40BD">
      <w:r>
        <w:separator/>
      </w:r>
    </w:p>
  </w:footnote>
  <w:footnote w:type="continuationSeparator" w:id="0">
    <w:p w:rsidR="009D40BD" w:rsidRDefault="009D40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864" w:rsidRDefault="008554D1" w:rsidP="003C449B">
    <w:pPr>
      <w:pStyle w:val="Header"/>
      <w:framePr w:wrap="around" w:vAnchor="text" w:hAnchor="margin" w:xAlign="center" w:y="1"/>
      <w:rPr>
        <w:rStyle w:val="PageNumber"/>
      </w:rPr>
    </w:pPr>
    <w:r>
      <w:rPr>
        <w:rStyle w:val="PageNumber"/>
      </w:rPr>
      <w:fldChar w:fldCharType="begin"/>
    </w:r>
    <w:r w:rsidR="00AE7864">
      <w:rPr>
        <w:rStyle w:val="PageNumber"/>
      </w:rPr>
      <w:instrText xml:space="preserve">PAGE  </w:instrText>
    </w:r>
    <w:r>
      <w:rPr>
        <w:rStyle w:val="PageNumber"/>
      </w:rPr>
      <w:fldChar w:fldCharType="end"/>
    </w:r>
  </w:p>
  <w:p w:rsidR="00AE7864" w:rsidRDefault="00AE786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864" w:rsidRDefault="008554D1" w:rsidP="003C449B">
    <w:pPr>
      <w:pStyle w:val="Header"/>
      <w:framePr w:wrap="around" w:vAnchor="text" w:hAnchor="margin" w:xAlign="center" w:y="1"/>
      <w:rPr>
        <w:rStyle w:val="PageNumber"/>
      </w:rPr>
    </w:pPr>
    <w:r>
      <w:rPr>
        <w:rStyle w:val="PageNumber"/>
      </w:rPr>
      <w:fldChar w:fldCharType="begin"/>
    </w:r>
    <w:r w:rsidR="00AE7864">
      <w:rPr>
        <w:rStyle w:val="PageNumber"/>
      </w:rPr>
      <w:instrText xml:space="preserve">PAGE  </w:instrText>
    </w:r>
    <w:r>
      <w:rPr>
        <w:rStyle w:val="PageNumber"/>
      </w:rPr>
      <w:fldChar w:fldCharType="separate"/>
    </w:r>
    <w:r w:rsidR="005B2A12">
      <w:rPr>
        <w:rStyle w:val="PageNumber"/>
        <w:noProof/>
      </w:rPr>
      <w:t>5</w:t>
    </w:r>
    <w:r>
      <w:rPr>
        <w:rStyle w:val="PageNumber"/>
      </w:rPr>
      <w:fldChar w:fldCharType="end"/>
    </w:r>
  </w:p>
  <w:p w:rsidR="00AE7864" w:rsidRDefault="00AE786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141C"/>
    <w:multiLevelType w:val="hybridMultilevel"/>
    <w:tmpl w:val="A2B4544C"/>
    <w:lvl w:ilvl="0" w:tplc="D5DE5EC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2">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3">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5">
    <w:nsid w:val="24EE7FBC"/>
    <w:multiLevelType w:val="hybridMultilevel"/>
    <w:tmpl w:val="94842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7">
    <w:nsid w:val="35343EA6"/>
    <w:multiLevelType w:val="hybridMultilevel"/>
    <w:tmpl w:val="94842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nsid w:val="4D38239F"/>
    <w:multiLevelType w:val="hybridMultilevel"/>
    <w:tmpl w:val="B38807FC"/>
    <w:lvl w:ilvl="0" w:tplc="E2F2ED0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13">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4">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5">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num w:numId="1">
    <w:abstractNumId w:val="6"/>
  </w:num>
  <w:num w:numId="2">
    <w:abstractNumId w:val="15"/>
  </w:num>
  <w:num w:numId="3">
    <w:abstractNumId w:val="4"/>
  </w:num>
  <w:num w:numId="4">
    <w:abstractNumId w:val="2"/>
  </w:num>
  <w:num w:numId="5">
    <w:abstractNumId w:val="1"/>
  </w:num>
  <w:num w:numId="6">
    <w:abstractNumId w:val="12"/>
  </w:num>
  <w:num w:numId="7">
    <w:abstractNumId w:val="16"/>
  </w:num>
  <w:num w:numId="8">
    <w:abstractNumId w:val="8"/>
  </w:num>
  <w:num w:numId="9">
    <w:abstractNumId w:val="3"/>
  </w:num>
  <w:num w:numId="10">
    <w:abstractNumId w:val="9"/>
  </w:num>
  <w:num w:numId="11">
    <w:abstractNumId w:val="10"/>
  </w:num>
  <w:num w:numId="12">
    <w:abstractNumId w:val="13"/>
  </w:num>
  <w:num w:numId="13">
    <w:abstractNumId w:val="14"/>
  </w:num>
  <w:num w:numId="14">
    <w:abstractNumId w:val="11"/>
  </w:num>
  <w:num w:numId="15">
    <w:abstractNumId w:val="0"/>
  </w:num>
  <w:num w:numId="16">
    <w:abstractNumId w:val="7"/>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8C5649"/>
    <w:rsid w:val="00011D24"/>
    <w:rsid w:val="00013FF4"/>
    <w:rsid w:val="000147A7"/>
    <w:rsid w:val="000157C7"/>
    <w:rsid w:val="00020FE1"/>
    <w:rsid w:val="00022E13"/>
    <w:rsid w:val="00025552"/>
    <w:rsid w:val="00027639"/>
    <w:rsid w:val="00030FC0"/>
    <w:rsid w:val="00031FA2"/>
    <w:rsid w:val="00032388"/>
    <w:rsid w:val="00035CE2"/>
    <w:rsid w:val="00041DB8"/>
    <w:rsid w:val="00046577"/>
    <w:rsid w:val="00046863"/>
    <w:rsid w:val="00050254"/>
    <w:rsid w:val="00052E94"/>
    <w:rsid w:val="000547E8"/>
    <w:rsid w:val="0005553B"/>
    <w:rsid w:val="000604D2"/>
    <w:rsid w:val="00060B7A"/>
    <w:rsid w:val="0006162D"/>
    <w:rsid w:val="00065067"/>
    <w:rsid w:val="00072114"/>
    <w:rsid w:val="0009005E"/>
    <w:rsid w:val="000901B8"/>
    <w:rsid w:val="00092FA1"/>
    <w:rsid w:val="000941C5"/>
    <w:rsid w:val="00094CE7"/>
    <w:rsid w:val="000A380C"/>
    <w:rsid w:val="000A5827"/>
    <w:rsid w:val="000A631B"/>
    <w:rsid w:val="000A6451"/>
    <w:rsid w:val="000B064E"/>
    <w:rsid w:val="000B2AA5"/>
    <w:rsid w:val="000B69CF"/>
    <w:rsid w:val="000C32E0"/>
    <w:rsid w:val="000C66DE"/>
    <w:rsid w:val="000C6994"/>
    <w:rsid w:val="000C790C"/>
    <w:rsid w:val="000E193B"/>
    <w:rsid w:val="000E535E"/>
    <w:rsid w:val="000F061D"/>
    <w:rsid w:val="000F4794"/>
    <w:rsid w:val="000F6B39"/>
    <w:rsid w:val="001039B1"/>
    <w:rsid w:val="00103FFB"/>
    <w:rsid w:val="001062C4"/>
    <w:rsid w:val="00112602"/>
    <w:rsid w:val="00113127"/>
    <w:rsid w:val="00124F12"/>
    <w:rsid w:val="00131CF5"/>
    <w:rsid w:val="00144E3A"/>
    <w:rsid w:val="0015060C"/>
    <w:rsid w:val="00153CF8"/>
    <w:rsid w:val="00156D77"/>
    <w:rsid w:val="0016018A"/>
    <w:rsid w:val="00161F0E"/>
    <w:rsid w:val="001627E6"/>
    <w:rsid w:val="00170E2A"/>
    <w:rsid w:val="00177394"/>
    <w:rsid w:val="00182C18"/>
    <w:rsid w:val="00183CC2"/>
    <w:rsid w:val="001900E4"/>
    <w:rsid w:val="00190F88"/>
    <w:rsid w:val="0019161F"/>
    <w:rsid w:val="00197A6F"/>
    <w:rsid w:val="00197E0C"/>
    <w:rsid w:val="001A33E1"/>
    <w:rsid w:val="001A35F2"/>
    <w:rsid w:val="001A4066"/>
    <w:rsid w:val="001A6AE4"/>
    <w:rsid w:val="001B01FD"/>
    <w:rsid w:val="001B14D1"/>
    <w:rsid w:val="001B2720"/>
    <w:rsid w:val="001B4A71"/>
    <w:rsid w:val="001B646C"/>
    <w:rsid w:val="001B7407"/>
    <w:rsid w:val="001C0207"/>
    <w:rsid w:val="001C40D6"/>
    <w:rsid w:val="001D5B54"/>
    <w:rsid w:val="001E1DBF"/>
    <w:rsid w:val="001E4639"/>
    <w:rsid w:val="001E4857"/>
    <w:rsid w:val="001E4A7D"/>
    <w:rsid w:val="001F19F1"/>
    <w:rsid w:val="001F4209"/>
    <w:rsid w:val="001F43A8"/>
    <w:rsid w:val="001F5CD6"/>
    <w:rsid w:val="00204A43"/>
    <w:rsid w:val="002059C2"/>
    <w:rsid w:val="00206529"/>
    <w:rsid w:val="0021263D"/>
    <w:rsid w:val="00213F0C"/>
    <w:rsid w:val="00214094"/>
    <w:rsid w:val="0021592D"/>
    <w:rsid w:val="00215B07"/>
    <w:rsid w:val="002204F5"/>
    <w:rsid w:val="002223D3"/>
    <w:rsid w:val="00222BA2"/>
    <w:rsid w:val="00222D76"/>
    <w:rsid w:val="00223EB1"/>
    <w:rsid w:val="00224B65"/>
    <w:rsid w:val="00231344"/>
    <w:rsid w:val="0023436E"/>
    <w:rsid w:val="002347C0"/>
    <w:rsid w:val="00235ED6"/>
    <w:rsid w:val="00241A6C"/>
    <w:rsid w:val="00241BF4"/>
    <w:rsid w:val="00242D2B"/>
    <w:rsid w:val="00243069"/>
    <w:rsid w:val="00245503"/>
    <w:rsid w:val="002504E9"/>
    <w:rsid w:val="002518FC"/>
    <w:rsid w:val="00251B87"/>
    <w:rsid w:val="00262E2B"/>
    <w:rsid w:val="00265832"/>
    <w:rsid w:val="00270429"/>
    <w:rsid w:val="00271D99"/>
    <w:rsid w:val="002723E9"/>
    <w:rsid w:val="00276278"/>
    <w:rsid w:val="00277929"/>
    <w:rsid w:val="002825FA"/>
    <w:rsid w:val="00283B82"/>
    <w:rsid w:val="002846E9"/>
    <w:rsid w:val="00284C34"/>
    <w:rsid w:val="00286884"/>
    <w:rsid w:val="0029066C"/>
    <w:rsid w:val="002A019C"/>
    <w:rsid w:val="002B50DB"/>
    <w:rsid w:val="002C0674"/>
    <w:rsid w:val="002C12AB"/>
    <w:rsid w:val="002C15EC"/>
    <w:rsid w:val="002C2123"/>
    <w:rsid w:val="002C229B"/>
    <w:rsid w:val="002C34F5"/>
    <w:rsid w:val="002C7CAC"/>
    <w:rsid w:val="002D3306"/>
    <w:rsid w:val="002D48AA"/>
    <w:rsid w:val="002D7BAA"/>
    <w:rsid w:val="002D7F54"/>
    <w:rsid w:val="002E2FA1"/>
    <w:rsid w:val="002E3A53"/>
    <w:rsid w:val="002E3FF4"/>
    <w:rsid w:val="002E6264"/>
    <w:rsid w:val="002F78C8"/>
    <w:rsid w:val="00301CF3"/>
    <w:rsid w:val="003022A2"/>
    <w:rsid w:val="003055E7"/>
    <w:rsid w:val="00306852"/>
    <w:rsid w:val="00307A97"/>
    <w:rsid w:val="00316D16"/>
    <w:rsid w:val="003206F7"/>
    <w:rsid w:val="003261B7"/>
    <w:rsid w:val="0032715C"/>
    <w:rsid w:val="00331706"/>
    <w:rsid w:val="00332EC6"/>
    <w:rsid w:val="00337CA5"/>
    <w:rsid w:val="003516E3"/>
    <w:rsid w:val="00362478"/>
    <w:rsid w:val="00367C3B"/>
    <w:rsid w:val="00375B25"/>
    <w:rsid w:val="00376E27"/>
    <w:rsid w:val="0038132C"/>
    <w:rsid w:val="00383B2E"/>
    <w:rsid w:val="00396542"/>
    <w:rsid w:val="0039685B"/>
    <w:rsid w:val="003A31A6"/>
    <w:rsid w:val="003A55C5"/>
    <w:rsid w:val="003A7F0C"/>
    <w:rsid w:val="003A7F79"/>
    <w:rsid w:val="003B195B"/>
    <w:rsid w:val="003B6404"/>
    <w:rsid w:val="003B6D22"/>
    <w:rsid w:val="003C449B"/>
    <w:rsid w:val="003C7145"/>
    <w:rsid w:val="003D15C6"/>
    <w:rsid w:val="003D21FF"/>
    <w:rsid w:val="003D3158"/>
    <w:rsid w:val="003D3FA3"/>
    <w:rsid w:val="003E0CFF"/>
    <w:rsid w:val="003E1B4D"/>
    <w:rsid w:val="003F0112"/>
    <w:rsid w:val="003F071A"/>
    <w:rsid w:val="003F160B"/>
    <w:rsid w:val="003F796A"/>
    <w:rsid w:val="00400032"/>
    <w:rsid w:val="00400B5B"/>
    <w:rsid w:val="00403DC0"/>
    <w:rsid w:val="00405A00"/>
    <w:rsid w:val="004076DB"/>
    <w:rsid w:val="004108F7"/>
    <w:rsid w:val="00413E2D"/>
    <w:rsid w:val="00414291"/>
    <w:rsid w:val="00420870"/>
    <w:rsid w:val="00425E14"/>
    <w:rsid w:val="00430B04"/>
    <w:rsid w:val="00432D0C"/>
    <w:rsid w:val="0043791B"/>
    <w:rsid w:val="00440AED"/>
    <w:rsid w:val="004411F3"/>
    <w:rsid w:val="00441483"/>
    <w:rsid w:val="00441BCB"/>
    <w:rsid w:val="0045176A"/>
    <w:rsid w:val="00452BA5"/>
    <w:rsid w:val="00455179"/>
    <w:rsid w:val="00456332"/>
    <w:rsid w:val="00461826"/>
    <w:rsid w:val="004620BF"/>
    <w:rsid w:val="00470013"/>
    <w:rsid w:val="00471F21"/>
    <w:rsid w:val="00473C70"/>
    <w:rsid w:val="004800F9"/>
    <w:rsid w:val="004840B2"/>
    <w:rsid w:val="004847E2"/>
    <w:rsid w:val="0048779B"/>
    <w:rsid w:val="0049134A"/>
    <w:rsid w:val="00496A89"/>
    <w:rsid w:val="004A05EF"/>
    <w:rsid w:val="004A2C82"/>
    <w:rsid w:val="004A53FF"/>
    <w:rsid w:val="004A58CB"/>
    <w:rsid w:val="004B1795"/>
    <w:rsid w:val="004B56DD"/>
    <w:rsid w:val="004C020F"/>
    <w:rsid w:val="004C1AFD"/>
    <w:rsid w:val="004C558B"/>
    <w:rsid w:val="004D0B68"/>
    <w:rsid w:val="004E0BC4"/>
    <w:rsid w:val="004E53EB"/>
    <w:rsid w:val="004F1F88"/>
    <w:rsid w:val="004F443F"/>
    <w:rsid w:val="004F5F1B"/>
    <w:rsid w:val="004F67DF"/>
    <w:rsid w:val="00502374"/>
    <w:rsid w:val="005060A1"/>
    <w:rsid w:val="00514B97"/>
    <w:rsid w:val="00514E83"/>
    <w:rsid w:val="00514FCE"/>
    <w:rsid w:val="005155BC"/>
    <w:rsid w:val="0051565F"/>
    <w:rsid w:val="00516072"/>
    <w:rsid w:val="00531063"/>
    <w:rsid w:val="005332EC"/>
    <w:rsid w:val="00534418"/>
    <w:rsid w:val="005353AB"/>
    <w:rsid w:val="005363EB"/>
    <w:rsid w:val="00555101"/>
    <w:rsid w:val="005560BC"/>
    <w:rsid w:val="005573BE"/>
    <w:rsid w:val="00557B4A"/>
    <w:rsid w:val="00565694"/>
    <w:rsid w:val="00571028"/>
    <w:rsid w:val="00571416"/>
    <w:rsid w:val="00572700"/>
    <w:rsid w:val="0057520A"/>
    <w:rsid w:val="00580468"/>
    <w:rsid w:val="00582231"/>
    <w:rsid w:val="00582A10"/>
    <w:rsid w:val="00584C46"/>
    <w:rsid w:val="00585377"/>
    <w:rsid w:val="0058603B"/>
    <w:rsid w:val="0059431B"/>
    <w:rsid w:val="005A39CC"/>
    <w:rsid w:val="005A3C46"/>
    <w:rsid w:val="005B2A12"/>
    <w:rsid w:val="005B3897"/>
    <w:rsid w:val="005B4730"/>
    <w:rsid w:val="005B5A24"/>
    <w:rsid w:val="005C5A13"/>
    <w:rsid w:val="005C70FA"/>
    <w:rsid w:val="005D00CD"/>
    <w:rsid w:val="005D351E"/>
    <w:rsid w:val="005E05D7"/>
    <w:rsid w:val="005E41E7"/>
    <w:rsid w:val="005E450F"/>
    <w:rsid w:val="005F4175"/>
    <w:rsid w:val="00602933"/>
    <w:rsid w:val="00612BF8"/>
    <w:rsid w:val="00616D20"/>
    <w:rsid w:val="0062298A"/>
    <w:rsid w:val="00626514"/>
    <w:rsid w:val="00626589"/>
    <w:rsid w:val="00626E62"/>
    <w:rsid w:val="006339A0"/>
    <w:rsid w:val="00634D07"/>
    <w:rsid w:val="0063634A"/>
    <w:rsid w:val="006413A8"/>
    <w:rsid w:val="00641F82"/>
    <w:rsid w:val="00641FAD"/>
    <w:rsid w:val="00642E56"/>
    <w:rsid w:val="00647339"/>
    <w:rsid w:val="00651E00"/>
    <w:rsid w:val="00663BD4"/>
    <w:rsid w:val="00670983"/>
    <w:rsid w:val="00672CC6"/>
    <w:rsid w:val="00674572"/>
    <w:rsid w:val="00687763"/>
    <w:rsid w:val="006929AC"/>
    <w:rsid w:val="00692B0D"/>
    <w:rsid w:val="00693E0E"/>
    <w:rsid w:val="006A1AE3"/>
    <w:rsid w:val="006A29B7"/>
    <w:rsid w:val="006A4AA0"/>
    <w:rsid w:val="006B3470"/>
    <w:rsid w:val="006B67B8"/>
    <w:rsid w:val="006C30E1"/>
    <w:rsid w:val="006C418A"/>
    <w:rsid w:val="006C4607"/>
    <w:rsid w:val="006D48F1"/>
    <w:rsid w:val="006E044E"/>
    <w:rsid w:val="006E1A03"/>
    <w:rsid w:val="006E626B"/>
    <w:rsid w:val="006F45BE"/>
    <w:rsid w:val="006F61DA"/>
    <w:rsid w:val="007004FC"/>
    <w:rsid w:val="00705CA0"/>
    <w:rsid w:val="00706548"/>
    <w:rsid w:val="00706670"/>
    <w:rsid w:val="00706B52"/>
    <w:rsid w:val="00710F56"/>
    <w:rsid w:val="00711F59"/>
    <w:rsid w:val="00716B15"/>
    <w:rsid w:val="00720B2E"/>
    <w:rsid w:val="0072165A"/>
    <w:rsid w:val="0072402B"/>
    <w:rsid w:val="0072417C"/>
    <w:rsid w:val="00734450"/>
    <w:rsid w:val="00740BC1"/>
    <w:rsid w:val="0074392E"/>
    <w:rsid w:val="007444A8"/>
    <w:rsid w:val="00745F67"/>
    <w:rsid w:val="0075039E"/>
    <w:rsid w:val="007526D3"/>
    <w:rsid w:val="00752D9D"/>
    <w:rsid w:val="00754784"/>
    <w:rsid w:val="00757C6E"/>
    <w:rsid w:val="00762BDA"/>
    <w:rsid w:val="0076757D"/>
    <w:rsid w:val="007770F4"/>
    <w:rsid w:val="007805FD"/>
    <w:rsid w:val="00780D84"/>
    <w:rsid w:val="00782C97"/>
    <w:rsid w:val="00784422"/>
    <w:rsid w:val="007846C3"/>
    <w:rsid w:val="00785198"/>
    <w:rsid w:val="00785786"/>
    <w:rsid w:val="00792CBE"/>
    <w:rsid w:val="007A48EF"/>
    <w:rsid w:val="007B102B"/>
    <w:rsid w:val="007B3B54"/>
    <w:rsid w:val="007B3FA0"/>
    <w:rsid w:val="007B43BB"/>
    <w:rsid w:val="007B5343"/>
    <w:rsid w:val="007C0F2C"/>
    <w:rsid w:val="007C24AD"/>
    <w:rsid w:val="007C2BCC"/>
    <w:rsid w:val="007C4EF0"/>
    <w:rsid w:val="007C5993"/>
    <w:rsid w:val="007D099D"/>
    <w:rsid w:val="007E19B2"/>
    <w:rsid w:val="007E2664"/>
    <w:rsid w:val="007E28B0"/>
    <w:rsid w:val="007E3ABF"/>
    <w:rsid w:val="007E5BFA"/>
    <w:rsid w:val="007E6689"/>
    <w:rsid w:val="007E731C"/>
    <w:rsid w:val="007F0A03"/>
    <w:rsid w:val="00806D9C"/>
    <w:rsid w:val="00810040"/>
    <w:rsid w:val="008112C5"/>
    <w:rsid w:val="0082023A"/>
    <w:rsid w:val="00821A7A"/>
    <w:rsid w:val="008253F8"/>
    <w:rsid w:val="00826F2D"/>
    <w:rsid w:val="00827409"/>
    <w:rsid w:val="00827E29"/>
    <w:rsid w:val="008325E4"/>
    <w:rsid w:val="00832A2B"/>
    <w:rsid w:val="00835D6B"/>
    <w:rsid w:val="00845811"/>
    <w:rsid w:val="00846994"/>
    <w:rsid w:val="00850451"/>
    <w:rsid w:val="00852042"/>
    <w:rsid w:val="008534C9"/>
    <w:rsid w:val="008554D1"/>
    <w:rsid w:val="008556E5"/>
    <w:rsid w:val="0085599D"/>
    <w:rsid w:val="00867017"/>
    <w:rsid w:val="0087510C"/>
    <w:rsid w:val="00882A69"/>
    <w:rsid w:val="00885E62"/>
    <w:rsid w:val="00894516"/>
    <w:rsid w:val="008968D2"/>
    <w:rsid w:val="0089738E"/>
    <w:rsid w:val="008977B0"/>
    <w:rsid w:val="008A419E"/>
    <w:rsid w:val="008B5FDB"/>
    <w:rsid w:val="008C50F4"/>
    <w:rsid w:val="008C5649"/>
    <w:rsid w:val="008D01E9"/>
    <w:rsid w:val="008D280F"/>
    <w:rsid w:val="008D396D"/>
    <w:rsid w:val="008E44A2"/>
    <w:rsid w:val="008E697D"/>
    <w:rsid w:val="008E6A76"/>
    <w:rsid w:val="008E77E9"/>
    <w:rsid w:val="008F0666"/>
    <w:rsid w:val="008F36E3"/>
    <w:rsid w:val="008F61AB"/>
    <w:rsid w:val="009000E3"/>
    <w:rsid w:val="00903263"/>
    <w:rsid w:val="00906A21"/>
    <w:rsid w:val="009079C3"/>
    <w:rsid w:val="00910324"/>
    <w:rsid w:val="00910462"/>
    <w:rsid w:val="009109F6"/>
    <w:rsid w:val="00915AB1"/>
    <w:rsid w:val="00917532"/>
    <w:rsid w:val="00920796"/>
    <w:rsid w:val="0092217C"/>
    <w:rsid w:val="009235BA"/>
    <w:rsid w:val="00924023"/>
    <w:rsid w:val="00924CE2"/>
    <w:rsid w:val="00925B9F"/>
    <w:rsid w:val="00931AED"/>
    <w:rsid w:val="009327E8"/>
    <w:rsid w:val="00933D5E"/>
    <w:rsid w:val="00936317"/>
    <w:rsid w:val="0093661A"/>
    <w:rsid w:val="00944A67"/>
    <w:rsid w:val="00944CC6"/>
    <w:rsid w:val="009450F1"/>
    <w:rsid w:val="0094533A"/>
    <w:rsid w:val="009476A3"/>
    <w:rsid w:val="009524D3"/>
    <w:rsid w:val="0095334F"/>
    <w:rsid w:val="00961148"/>
    <w:rsid w:val="00965897"/>
    <w:rsid w:val="0096630A"/>
    <w:rsid w:val="0096765C"/>
    <w:rsid w:val="009727E4"/>
    <w:rsid w:val="00975873"/>
    <w:rsid w:val="00975D4D"/>
    <w:rsid w:val="00982908"/>
    <w:rsid w:val="00984A4D"/>
    <w:rsid w:val="00984F92"/>
    <w:rsid w:val="009934C5"/>
    <w:rsid w:val="009944A9"/>
    <w:rsid w:val="00994C0F"/>
    <w:rsid w:val="009A2C8E"/>
    <w:rsid w:val="009A2E58"/>
    <w:rsid w:val="009B22D7"/>
    <w:rsid w:val="009B4BB1"/>
    <w:rsid w:val="009B72ED"/>
    <w:rsid w:val="009C6DEB"/>
    <w:rsid w:val="009C7032"/>
    <w:rsid w:val="009D0017"/>
    <w:rsid w:val="009D40BD"/>
    <w:rsid w:val="009D6504"/>
    <w:rsid w:val="009E12D7"/>
    <w:rsid w:val="009E2CB0"/>
    <w:rsid w:val="009E40C5"/>
    <w:rsid w:val="009E5705"/>
    <w:rsid w:val="009E661A"/>
    <w:rsid w:val="009E770F"/>
    <w:rsid w:val="009F3834"/>
    <w:rsid w:val="009F7BC9"/>
    <w:rsid w:val="00A00AA4"/>
    <w:rsid w:val="00A06781"/>
    <w:rsid w:val="00A074C3"/>
    <w:rsid w:val="00A106E0"/>
    <w:rsid w:val="00A1509C"/>
    <w:rsid w:val="00A20419"/>
    <w:rsid w:val="00A21E38"/>
    <w:rsid w:val="00A23E46"/>
    <w:rsid w:val="00A249B9"/>
    <w:rsid w:val="00A34260"/>
    <w:rsid w:val="00A35B35"/>
    <w:rsid w:val="00A36AEF"/>
    <w:rsid w:val="00A56775"/>
    <w:rsid w:val="00A60E6D"/>
    <w:rsid w:val="00A70CFD"/>
    <w:rsid w:val="00A721FB"/>
    <w:rsid w:val="00A72A0B"/>
    <w:rsid w:val="00A81033"/>
    <w:rsid w:val="00A81E42"/>
    <w:rsid w:val="00A864FE"/>
    <w:rsid w:val="00A86F41"/>
    <w:rsid w:val="00A87D04"/>
    <w:rsid w:val="00A93861"/>
    <w:rsid w:val="00A950C5"/>
    <w:rsid w:val="00AA1D25"/>
    <w:rsid w:val="00AA2965"/>
    <w:rsid w:val="00AA57DB"/>
    <w:rsid w:val="00AB1B5E"/>
    <w:rsid w:val="00AB2B1A"/>
    <w:rsid w:val="00AB397F"/>
    <w:rsid w:val="00AB5832"/>
    <w:rsid w:val="00AC51F2"/>
    <w:rsid w:val="00AC528F"/>
    <w:rsid w:val="00AD3269"/>
    <w:rsid w:val="00AD508C"/>
    <w:rsid w:val="00AD7BC9"/>
    <w:rsid w:val="00AE5066"/>
    <w:rsid w:val="00AE5E24"/>
    <w:rsid w:val="00AE61B7"/>
    <w:rsid w:val="00AE6CBA"/>
    <w:rsid w:val="00AE6FEF"/>
    <w:rsid w:val="00AE7864"/>
    <w:rsid w:val="00AE79AD"/>
    <w:rsid w:val="00AF35E4"/>
    <w:rsid w:val="00AF5CDE"/>
    <w:rsid w:val="00B02A19"/>
    <w:rsid w:val="00B07A6C"/>
    <w:rsid w:val="00B11A57"/>
    <w:rsid w:val="00B13844"/>
    <w:rsid w:val="00B172CA"/>
    <w:rsid w:val="00B211C3"/>
    <w:rsid w:val="00B25597"/>
    <w:rsid w:val="00B267B9"/>
    <w:rsid w:val="00B32F76"/>
    <w:rsid w:val="00B33E09"/>
    <w:rsid w:val="00B42E11"/>
    <w:rsid w:val="00B43EE5"/>
    <w:rsid w:val="00B50708"/>
    <w:rsid w:val="00B50C68"/>
    <w:rsid w:val="00B51293"/>
    <w:rsid w:val="00B52B1E"/>
    <w:rsid w:val="00B52CF4"/>
    <w:rsid w:val="00B55481"/>
    <w:rsid w:val="00B55540"/>
    <w:rsid w:val="00B56C32"/>
    <w:rsid w:val="00B57ACF"/>
    <w:rsid w:val="00B614F7"/>
    <w:rsid w:val="00B61FA7"/>
    <w:rsid w:val="00B6307B"/>
    <w:rsid w:val="00B63AC8"/>
    <w:rsid w:val="00B64BB1"/>
    <w:rsid w:val="00B73166"/>
    <w:rsid w:val="00B77F43"/>
    <w:rsid w:val="00B83896"/>
    <w:rsid w:val="00B8426C"/>
    <w:rsid w:val="00B90203"/>
    <w:rsid w:val="00B91B8D"/>
    <w:rsid w:val="00B9285F"/>
    <w:rsid w:val="00B92A34"/>
    <w:rsid w:val="00B94930"/>
    <w:rsid w:val="00B94E90"/>
    <w:rsid w:val="00B95618"/>
    <w:rsid w:val="00BA0065"/>
    <w:rsid w:val="00BA372E"/>
    <w:rsid w:val="00BA5C6A"/>
    <w:rsid w:val="00BA75D7"/>
    <w:rsid w:val="00BB0A82"/>
    <w:rsid w:val="00BB7C94"/>
    <w:rsid w:val="00BC0A9D"/>
    <w:rsid w:val="00BC4AE1"/>
    <w:rsid w:val="00BC50D4"/>
    <w:rsid w:val="00BD0646"/>
    <w:rsid w:val="00BE083D"/>
    <w:rsid w:val="00BE2DCE"/>
    <w:rsid w:val="00BF0547"/>
    <w:rsid w:val="00BF059E"/>
    <w:rsid w:val="00BF17C9"/>
    <w:rsid w:val="00BF40ED"/>
    <w:rsid w:val="00BF5BC2"/>
    <w:rsid w:val="00BF7FD2"/>
    <w:rsid w:val="00C01956"/>
    <w:rsid w:val="00C03C24"/>
    <w:rsid w:val="00C1133D"/>
    <w:rsid w:val="00C15800"/>
    <w:rsid w:val="00C238DD"/>
    <w:rsid w:val="00C24270"/>
    <w:rsid w:val="00C27A08"/>
    <w:rsid w:val="00C31312"/>
    <w:rsid w:val="00C31E36"/>
    <w:rsid w:val="00C326C6"/>
    <w:rsid w:val="00C32876"/>
    <w:rsid w:val="00C35295"/>
    <w:rsid w:val="00C354C3"/>
    <w:rsid w:val="00C36ADD"/>
    <w:rsid w:val="00C36E74"/>
    <w:rsid w:val="00C40595"/>
    <w:rsid w:val="00C41621"/>
    <w:rsid w:val="00C449FA"/>
    <w:rsid w:val="00C50808"/>
    <w:rsid w:val="00C5384F"/>
    <w:rsid w:val="00C5405A"/>
    <w:rsid w:val="00C5501B"/>
    <w:rsid w:val="00C56964"/>
    <w:rsid w:val="00C64B27"/>
    <w:rsid w:val="00C656D5"/>
    <w:rsid w:val="00C67103"/>
    <w:rsid w:val="00C673B2"/>
    <w:rsid w:val="00C71BB9"/>
    <w:rsid w:val="00C75401"/>
    <w:rsid w:val="00C83412"/>
    <w:rsid w:val="00C840BE"/>
    <w:rsid w:val="00C85910"/>
    <w:rsid w:val="00C91FD0"/>
    <w:rsid w:val="00C94C28"/>
    <w:rsid w:val="00CA2A49"/>
    <w:rsid w:val="00CA480E"/>
    <w:rsid w:val="00CA5BEC"/>
    <w:rsid w:val="00CB0247"/>
    <w:rsid w:val="00CB1709"/>
    <w:rsid w:val="00CB2B21"/>
    <w:rsid w:val="00CB3440"/>
    <w:rsid w:val="00CC1692"/>
    <w:rsid w:val="00CC3A7E"/>
    <w:rsid w:val="00CD138B"/>
    <w:rsid w:val="00CD1CAE"/>
    <w:rsid w:val="00CD33A6"/>
    <w:rsid w:val="00CD3E31"/>
    <w:rsid w:val="00CD74A3"/>
    <w:rsid w:val="00CE0527"/>
    <w:rsid w:val="00CE0E4E"/>
    <w:rsid w:val="00CE5B23"/>
    <w:rsid w:val="00CF70AD"/>
    <w:rsid w:val="00CF7729"/>
    <w:rsid w:val="00D00059"/>
    <w:rsid w:val="00D0609D"/>
    <w:rsid w:val="00D07F40"/>
    <w:rsid w:val="00D107FA"/>
    <w:rsid w:val="00D12275"/>
    <w:rsid w:val="00D12766"/>
    <w:rsid w:val="00D12770"/>
    <w:rsid w:val="00D20FF4"/>
    <w:rsid w:val="00D24D2C"/>
    <w:rsid w:val="00D26AB1"/>
    <w:rsid w:val="00D35881"/>
    <w:rsid w:val="00D37F87"/>
    <w:rsid w:val="00D437AC"/>
    <w:rsid w:val="00D44ADF"/>
    <w:rsid w:val="00D606F7"/>
    <w:rsid w:val="00D635B6"/>
    <w:rsid w:val="00D65A91"/>
    <w:rsid w:val="00D71DF2"/>
    <w:rsid w:val="00D8340A"/>
    <w:rsid w:val="00D8634A"/>
    <w:rsid w:val="00D901F2"/>
    <w:rsid w:val="00D90C2D"/>
    <w:rsid w:val="00D920EC"/>
    <w:rsid w:val="00D93C61"/>
    <w:rsid w:val="00DA0685"/>
    <w:rsid w:val="00DA0BEF"/>
    <w:rsid w:val="00DA50E3"/>
    <w:rsid w:val="00DA59AC"/>
    <w:rsid w:val="00DA7DA5"/>
    <w:rsid w:val="00DB073B"/>
    <w:rsid w:val="00DB78F0"/>
    <w:rsid w:val="00DB7C38"/>
    <w:rsid w:val="00DC0CEA"/>
    <w:rsid w:val="00DC2E43"/>
    <w:rsid w:val="00DC3A38"/>
    <w:rsid w:val="00DC6023"/>
    <w:rsid w:val="00DD095C"/>
    <w:rsid w:val="00DD1020"/>
    <w:rsid w:val="00DD1330"/>
    <w:rsid w:val="00DD5C95"/>
    <w:rsid w:val="00DD7EF3"/>
    <w:rsid w:val="00DE0B83"/>
    <w:rsid w:val="00DE1A81"/>
    <w:rsid w:val="00DE1C13"/>
    <w:rsid w:val="00DE4E10"/>
    <w:rsid w:val="00E02ABF"/>
    <w:rsid w:val="00E12CB1"/>
    <w:rsid w:val="00E14995"/>
    <w:rsid w:val="00E162DD"/>
    <w:rsid w:val="00E179CD"/>
    <w:rsid w:val="00E23E8D"/>
    <w:rsid w:val="00E30C6C"/>
    <w:rsid w:val="00E37F98"/>
    <w:rsid w:val="00E416EB"/>
    <w:rsid w:val="00E459B7"/>
    <w:rsid w:val="00E46559"/>
    <w:rsid w:val="00E52D07"/>
    <w:rsid w:val="00E6670C"/>
    <w:rsid w:val="00E667C0"/>
    <w:rsid w:val="00E776E8"/>
    <w:rsid w:val="00E833B4"/>
    <w:rsid w:val="00E86400"/>
    <w:rsid w:val="00E9299A"/>
    <w:rsid w:val="00E92C1F"/>
    <w:rsid w:val="00E9328B"/>
    <w:rsid w:val="00E95D4B"/>
    <w:rsid w:val="00EA03D8"/>
    <w:rsid w:val="00EB199F"/>
    <w:rsid w:val="00EB3476"/>
    <w:rsid w:val="00EB4A06"/>
    <w:rsid w:val="00EB5E71"/>
    <w:rsid w:val="00EC23F7"/>
    <w:rsid w:val="00EC4BD8"/>
    <w:rsid w:val="00EC63EB"/>
    <w:rsid w:val="00ED074C"/>
    <w:rsid w:val="00ED412F"/>
    <w:rsid w:val="00EF36B2"/>
    <w:rsid w:val="00EF51BD"/>
    <w:rsid w:val="00F11126"/>
    <w:rsid w:val="00F1246B"/>
    <w:rsid w:val="00F12E71"/>
    <w:rsid w:val="00F201EC"/>
    <w:rsid w:val="00F208A9"/>
    <w:rsid w:val="00F2310B"/>
    <w:rsid w:val="00F30A15"/>
    <w:rsid w:val="00F41D75"/>
    <w:rsid w:val="00F46414"/>
    <w:rsid w:val="00F510B4"/>
    <w:rsid w:val="00F5139D"/>
    <w:rsid w:val="00F63DAC"/>
    <w:rsid w:val="00F7454F"/>
    <w:rsid w:val="00F77988"/>
    <w:rsid w:val="00F77F48"/>
    <w:rsid w:val="00F803A9"/>
    <w:rsid w:val="00F8573F"/>
    <w:rsid w:val="00F90628"/>
    <w:rsid w:val="00F931B1"/>
    <w:rsid w:val="00F93D4D"/>
    <w:rsid w:val="00F9646E"/>
    <w:rsid w:val="00FA7BF0"/>
    <w:rsid w:val="00FB1BE1"/>
    <w:rsid w:val="00FB30F1"/>
    <w:rsid w:val="00FB53E7"/>
    <w:rsid w:val="00FC01BC"/>
    <w:rsid w:val="00FC1517"/>
    <w:rsid w:val="00FD2A8A"/>
    <w:rsid w:val="00FE1DE5"/>
    <w:rsid w:val="00FE5A02"/>
    <w:rsid w:val="00FE6B8C"/>
    <w:rsid w:val="00FF62AB"/>
    <w:rsid w:val="00FF6AEE"/>
    <w:rsid w:val="00FF7F70"/>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2F76"/>
    <w:rPr>
      <w:sz w:val="24"/>
      <w:szCs w:val="24"/>
    </w:rPr>
  </w:style>
  <w:style w:type="paragraph" w:styleId="Heading3">
    <w:name w:val="heading 3"/>
    <w:basedOn w:val="Normal"/>
    <w:next w:val="Normal"/>
    <w:link w:val="Heading3Char"/>
    <w:uiPriority w:val="9"/>
    <w:semiHidden/>
    <w:unhideWhenUsed/>
    <w:qFormat/>
    <w:rsid w:val="00706548"/>
    <w:pPr>
      <w:pBdr>
        <w:top w:val="dotted" w:sz="4" w:space="1" w:color="622423"/>
        <w:bottom w:val="dotted" w:sz="4" w:space="1" w:color="622423"/>
      </w:pBdr>
      <w:spacing w:before="300" w:after="200" w:line="252" w:lineRule="auto"/>
      <w:jc w:val="center"/>
      <w:outlineLvl w:val="2"/>
    </w:pPr>
    <w:rPr>
      <w:rFonts w:ascii="Cambria" w:eastAsia="Calibri" w:hAnsi="Cambria"/>
      <w:caps/>
      <w:color w:val="622423"/>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semiHidden/>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8C5649"/>
    <w:rPr>
      <w:sz w:val="20"/>
      <w:szCs w:val="20"/>
    </w:rPr>
  </w:style>
  <w:style w:type="character" w:styleId="FootnoteReference">
    <w:name w:val="footnote reference"/>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link w:val="Footer"/>
    <w:semiHidden/>
    <w:rsid w:val="00231344"/>
    <w:rPr>
      <w:sz w:val="24"/>
      <w:szCs w:val="24"/>
      <w:lang w:val="lv-LV" w:eastAsia="lv-LV" w:bidi="ar-SA"/>
    </w:rPr>
  </w:style>
  <w:style w:type="character" w:styleId="Hyperlink">
    <w:name w:val="Hyperlink"/>
    <w:uiPriority w:val="99"/>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styleId="NormalWeb">
    <w:name w:val="Normal (Web)"/>
    <w:basedOn w:val="Normal"/>
    <w:rsid w:val="00C83412"/>
    <w:pPr>
      <w:spacing w:before="100" w:beforeAutospacing="1" w:after="100" w:afterAutospacing="1"/>
    </w:pPr>
  </w:style>
  <w:style w:type="paragraph" w:styleId="NoSpacing">
    <w:name w:val="No Spacing"/>
    <w:link w:val="NoSpacingChar"/>
    <w:uiPriority w:val="1"/>
    <w:qFormat/>
    <w:rsid w:val="00720B2E"/>
    <w:rPr>
      <w:rFonts w:ascii="Calibri" w:eastAsia="Calibri" w:hAnsi="Calibri"/>
      <w:sz w:val="22"/>
      <w:szCs w:val="22"/>
      <w:lang w:eastAsia="en-US"/>
    </w:rPr>
  </w:style>
  <w:style w:type="paragraph" w:customStyle="1" w:styleId="tv213">
    <w:name w:val="tv213"/>
    <w:basedOn w:val="Normal"/>
    <w:rsid w:val="00065067"/>
    <w:pPr>
      <w:spacing w:before="100" w:beforeAutospacing="1" w:after="100" w:afterAutospacing="1"/>
    </w:pPr>
  </w:style>
  <w:style w:type="paragraph" w:customStyle="1" w:styleId="labojumupamats">
    <w:name w:val="labojumu_pamats"/>
    <w:basedOn w:val="Normal"/>
    <w:rsid w:val="00065067"/>
    <w:pPr>
      <w:spacing w:before="100" w:beforeAutospacing="1" w:after="100" w:afterAutospacing="1"/>
    </w:pPr>
  </w:style>
  <w:style w:type="character" w:customStyle="1" w:styleId="spelle">
    <w:name w:val="spelle"/>
    <w:basedOn w:val="DefaultParagraphFont"/>
    <w:rsid w:val="003D3FA3"/>
  </w:style>
  <w:style w:type="character" w:customStyle="1" w:styleId="Heading3Char">
    <w:name w:val="Heading 3 Char"/>
    <w:basedOn w:val="DefaultParagraphFont"/>
    <w:link w:val="Heading3"/>
    <w:uiPriority w:val="9"/>
    <w:semiHidden/>
    <w:rsid w:val="00706548"/>
    <w:rPr>
      <w:rFonts w:ascii="Cambria" w:eastAsia="Calibri" w:hAnsi="Cambria" w:cs="Times New Roman"/>
      <w:caps/>
      <w:color w:val="622423"/>
      <w:sz w:val="24"/>
      <w:szCs w:val="24"/>
      <w:lang w:val="lv-LV"/>
    </w:rPr>
  </w:style>
  <w:style w:type="paragraph" w:styleId="ListParagraph">
    <w:name w:val="List Paragraph"/>
    <w:basedOn w:val="Normal"/>
    <w:uiPriority w:val="34"/>
    <w:qFormat/>
    <w:rsid w:val="00AE7864"/>
    <w:pPr>
      <w:ind w:left="720"/>
      <w:contextualSpacing/>
    </w:pPr>
    <w:rPr>
      <w:sz w:val="20"/>
      <w:szCs w:val="20"/>
      <w:lang w:eastAsia="en-US"/>
    </w:rPr>
  </w:style>
  <w:style w:type="character" w:customStyle="1" w:styleId="NoSpacingChar">
    <w:name w:val="No Spacing Char"/>
    <w:basedOn w:val="DefaultParagraphFont"/>
    <w:link w:val="NoSpacing"/>
    <w:uiPriority w:val="1"/>
    <w:rsid w:val="00792CBE"/>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255753338">
      <w:bodyDiv w:val="1"/>
      <w:marLeft w:val="0"/>
      <w:marRight w:val="0"/>
      <w:marTop w:val="0"/>
      <w:marBottom w:val="0"/>
      <w:divBdr>
        <w:top w:val="none" w:sz="0" w:space="0" w:color="auto"/>
        <w:left w:val="none" w:sz="0" w:space="0" w:color="auto"/>
        <w:bottom w:val="none" w:sz="0" w:space="0" w:color="auto"/>
        <w:right w:val="none" w:sz="0" w:space="0" w:color="auto"/>
      </w:divBdr>
      <w:divsChild>
        <w:div w:id="517547691">
          <w:marLeft w:val="0"/>
          <w:marRight w:val="0"/>
          <w:marTop w:val="0"/>
          <w:marBottom w:val="0"/>
          <w:divBdr>
            <w:top w:val="none" w:sz="0" w:space="0" w:color="auto"/>
            <w:left w:val="none" w:sz="0" w:space="0" w:color="auto"/>
            <w:bottom w:val="none" w:sz="0" w:space="0" w:color="auto"/>
            <w:right w:val="none" w:sz="0" w:space="0" w:color="auto"/>
          </w:divBdr>
        </w:div>
        <w:div w:id="1076170045">
          <w:marLeft w:val="0"/>
          <w:marRight w:val="0"/>
          <w:marTop w:val="0"/>
          <w:marBottom w:val="0"/>
          <w:divBdr>
            <w:top w:val="none" w:sz="0" w:space="0" w:color="auto"/>
            <w:left w:val="none" w:sz="0" w:space="0" w:color="auto"/>
            <w:bottom w:val="none" w:sz="0" w:space="0" w:color="auto"/>
            <w:right w:val="none" w:sz="0" w:space="0" w:color="auto"/>
          </w:divBdr>
        </w:div>
        <w:div w:id="1077288572">
          <w:marLeft w:val="0"/>
          <w:marRight w:val="0"/>
          <w:marTop w:val="0"/>
          <w:marBottom w:val="0"/>
          <w:divBdr>
            <w:top w:val="none" w:sz="0" w:space="0" w:color="auto"/>
            <w:left w:val="none" w:sz="0" w:space="0" w:color="auto"/>
            <w:bottom w:val="none" w:sz="0" w:space="0" w:color="auto"/>
            <w:right w:val="none" w:sz="0" w:space="0" w:color="auto"/>
          </w:divBdr>
        </w:div>
        <w:div w:id="1754662288">
          <w:marLeft w:val="0"/>
          <w:marRight w:val="0"/>
          <w:marTop w:val="0"/>
          <w:marBottom w:val="0"/>
          <w:divBdr>
            <w:top w:val="none" w:sz="0" w:space="0" w:color="auto"/>
            <w:left w:val="none" w:sz="0" w:space="0" w:color="auto"/>
            <w:bottom w:val="none" w:sz="0" w:space="0" w:color="auto"/>
            <w:right w:val="none" w:sz="0" w:space="0" w:color="auto"/>
          </w:divBdr>
        </w:div>
        <w:div w:id="2020697620">
          <w:marLeft w:val="0"/>
          <w:marRight w:val="0"/>
          <w:marTop w:val="0"/>
          <w:marBottom w:val="0"/>
          <w:divBdr>
            <w:top w:val="none" w:sz="0" w:space="0" w:color="auto"/>
            <w:left w:val="none" w:sz="0" w:space="0" w:color="auto"/>
            <w:bottom w:val="none" w:sz="0" w:space="0" w:color="auto"/>
            <w:right w:val="none" w:sz="0" w:space="0" w:color="auto"/>
          </w:divBdr>
        </w:div>
      </w:divsChild>
    </w:div>
    <w:div w:id="1421561465">
      <w:bodyDiv w:val="1"/>
      <w:marLeft w:val="0"/>
      <w:marRight w:val="0"/>
      <w:marTop w:val="0"/>
      <w:marBottom w:val="0"/>
      <w:divBdr>
        <w:top w:val="none" w:sz="0" w:space="0" w:color="auto"/>
        <w:left w:val="none" w:sz="0" w:space="0" w:color="auto"/>
        <w:bottom w:val="none" w:sz="0" w:space="0" w:color="auto"/>
        <w:right w:val="none" w:sz="0" w:space="0" w:color="auto"/>
      </w:divBdr>
      <w:divsChild>
        <w:div w:id="2125343662">
          <w:marLeft w:val="0"/>
          <w:marRight w:val="0"/>
          <w:marTop w:val="0"/>
          <w:marBottom w:val="0"/>
          <w:divBdr>
            <w:top w:val="none" w:sz="0" w:space="0" w:color="auto"/>
            <w:left w:val="none" w:sz="0" w:space="0" w:color="auto"/>
            <w:bottom w:val="none" w:sz="0" w:space="0" w:color="auto"/>
            <w:right w:val="none" w:sz="0" w:space="0" w:color="auto"/>
          </w:divBdr>
        </w:div>
      </w:divsChild>
    </w:div>
    <w:div w:id="148932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ndra.Kasparenko@v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CA1C0-93FB-4BC7-98FC-34A322192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989</Words>
  <Characters>6885</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Ministru kabineta rīkojuma projekta „Par finanšu līdzekļu piešķiršanu no valsts budžeta programmas „Līdzekļi neparedzētiem gadījumiem”” sākotnējās ietekmes novērtējuma ziņojums (anotācija) </vt:lpstr>
    </vt:vector>
  </TitlesOfParts>
  <Company>Veselības ministrija</Company>
  <LinksUpToDate>false</LinksUpToDate>
  <CharactersWithSpaces>7859</CharactersWithSpaces>
  <SharedDoc>false</SharedDoc>
  <HLinks>
    <vt:vector size="6" baseType="variant">
      <vt:variant>
        <vt:i4>5439612</vt:i4>
      </vt:variant>
      <vt:variant>
        <vt:i4>0</vt:i4>
      </vt:variant>
      <vt:variant>
        <vt:i4>0</vt:i4>
      </vt:variant>
      <vt:variant>
        <vt:i4>5</vt:i4>
      </vt:variant>
      <vt:variant>
        <vt:lpwstr>mailto:Sandra.Dreimane@vm.gov.lv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finanšu līdzekļu piešķiršanu no valsts budžeta programmas „Līdzekļi neparedzētiem gadījumiem”” sākotnējās ietekmes novērtējuma ziņojums (anotācija)</dc:title>
  <dc:subject>Anotācijas projekts</dc:subject>
  <dc:creator>Sandra Kasparenko</dc:creator>
  <dc:description>67876147, Sandra.Kasparenko@vm.gov.lv, Budžeta un investīciju departamenta Budžeta plānošanas nodaļa</dc:description>
  <cp:lastModifiedBy>sdreimane</cp:lastModifiedBy>
  <cp:revision>27</cp:revision>
  <cp:lastPrinted>2013-12-02T09:11:00Z</cp:lastPrinted>
  <dcterms:created xsi:type="dcterms:W3CDTF">2014-08-27T07:35:00Z</dcterms:created>
  <dcterms:modified xsi:type="dcterms:W3CDTF">2014-09-05T13:03:00Z</dcterms:modified>
</cp:coreProperties>
</file>