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A3" w:rsidRPr="003B0BBE" w:rsidRDefault="00B92EA3" w:rsidP="00B92EA3">
      <w:pPr>
        <w:pStyle w:val="naisc"/>
        <w:spacing w:before="0" w:after="0"/>
        <w:rPr>
          <w:b/>
          <w:bCs/>
        </w:rPr>
      </w:pPr>
      <w:bookmarkStart w:id="0" w:name="OLE_LINK3"/>
      <w:bookmarkStart w:id="1" w:name="OLE_LINK4"/>
      <w:bookmarkStart w:id="2" w:name="OLE_LINK1"/>
      <w:r w:rsidRPr="003B0BBE">
        <w:rPr>
          <w:b/>
          <w:bCs/>
        </w:rPr>
        <w:t>Ministru kabineta noteikumu projekta </w:t>
      </w:r>
    </w:p>
    <w:p w:rsidR="00B92EA3" w:rsidRDefault="005C248E" w:rsidP="00654375">
      <w:pPr>
        <w:ind w:left="360"/>
        <w:jc w:val="center"/>
        <w:rPr>
          <w:b/>
          <w:bCs/>
          <w:sz w:val="26"/>
          <w:szCs w:val="26"/>
        </w:rPr>
      </w:pPr>
      <w:r w:rsidRPr="003B0BBE">
        <w:rPr>
          <w:b/>
          <w:bCs/>
          <w:sz w:val="26"/>
          <w:szCs w:val="26"/>
        </w:rPr>
        <w:t>„</w:t>
      </w:r>
      <w:r w:rsidR="009817ED" w:rsidRPr="003B0BBE">
        <w:rPr>
          <w:b/>
          <w:bCs/>
          <w:sz w:val="26"/>
          <w:szCs w:val="26"/>
        </w:rPr>
        <w:t xml:space="preserve">Grozījumi Ministru kabineta 2013.gada 22.oktobra noteikumos Nr.1176 </w:t>
      </w:r>
      <w:r w:rsidR="005517B7" w:rsidRPr="003B0BBE">
        <w:rPr>
          <w:b/>
          <w:bCs/>
          <w:sz w:val="26"/>
          <w:szCs w:val="26"/>
        </w:rPr>
        <w:t>„</w:t>
      </w:r>
      <w:r w:rsidR="00DB4F64" w:rsidRPr="003B0BBE">
        <w:rPr>
          <w:b/>
          <w:bCs/>
          <w:sz w:val="26"/>
          <w:szCs w:val="26"/>
        </w:rPr>
        <w:t>Cilvēka audu un šūnu izmantošanas kārtība</w:t>
      </w:r>
      <w:r w:rsidR="005517B7" w:rsidRPr="003B0BBE">
        <w:rPr>
          <w:b/>
          <w:sz w:val="26"/>
          <w:szCs w:val="26"/>
        </w:rPr>
        <w:t>”</w:t>
      </w:r>
      <w:r w:rsidRPr="003B0BBE">
        <w:rPr>
          <w:b/>
          <w:sz w:val="26"/>
          <w:szCs w:val="26"/>
        </w:rPr>
        <w:t>”</w:t>
      </w:r>
      <w:r w:rsidR="005517B7" w:rsidRPr="003B0BBE">
        <w:rPr>
          <w:b/>
          <w:sz w:val="26"/>
          <w:szCs w:val="26"/>
        </w:rPr>
        <w:t xml:space="preserve"> </w:t>
      </w:r>
      <w:r w:rsidR="00D570CF" w:rsidRPr="003B0BBE">
        <w:rPr>
          <w:b/>
          <w:sz w:val="26"/>
          <w:szCs w:val="26"/>
        </w:rPr>
        <w:t>sākotnējās ietekmes</w:t>
      </w:r>
      <w:r w:rsidR="00D570CF" w:rsidRPr="003B0BBE">
        <w:rPr>
          <w:b/>
          <w:color w:val="000000"/>
          <w:sz w:val="26"/>
          <w:szCs w:val="26"/>
        </w:rPr>
        <w:t xml:space="preserve"> novērtējuma ziņojums (</w:t>
      </w:r>
      <w:r w:rsidR="00B92EA3" w:rsidRPr="003B0BBE">
        <w:rPr>
          <w:b/>
          <w:bCs/>
          <w:sz w:val="26"/>
          <w:szCs w:val="26"/>
        </w:rPr>
        <w:t>anotācija</w:t>
      </w:r>
      <w:r w:rsidR="00D570CF" w:rsidRPr="003B0BBE">
        <w:rPr>
          <w:b/>
          <w:bCs/>
          <w:sz w:val="26"/>
          <w:szCs w:val="26"/>
        </w:rPr>
        <w:t>)</w:t>
      </w:r>
    </w:p>
    <w:p w:rsidR="00F12091" w:rsidRPr="003B0BBE" w:rsidRDefault="00F12091" w:rsidP="00654375">
      <w:pPr>
        <w:ind w:left="360"/>
        <w:jc w:val="center"/>
        <w:rPr>
          <w:b/>
          <w:bCs/>
          <w:sz w:val="26"/>
          <w:szCs w:val="26"/>
        </w:rPr>
      </w:pPr>
    </w:p>
    <w:tbl>
      <w:tblPr>
        <w:tblW w:w="502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451"/>
        <w:gridCol w:w="1397"/>
        <w:gridCol w:w="7478"/>
      </w:tblGrid>
      <w:tr w:rsidR="00F12091" w:rsidRPr="00FD4C7E" w:rsidTr="00454935">
        <w:tc>
          <w:tcPr>
            <w:tcW w:w="4998"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749" w:type="pct"/>
            <w:tcBorders>
              <w:top w:val="outset" w:sz="6" w:space="0" w:color="auto"/>
              <w:left w:val="outset" w:sz="6" w:space="0" w:color="auto"/>
              <w:bottom w:val="outset" w:sz="6" w:space="0" w:color="auto"/>
              <w:right w:val="outset" w:sz="6" w:space="0" w:color="auto"/>
            </w:tcBorders>
          </w:tcPr>
          <w:p w:rsidR="00F12091" w:rsidRPr="003B0BBE" w:rsidRDefault="00F12091" w:rsidP="003B0BBE">
            <w:pPr>
              <w:pStyle w:val="NoSpacing"/>
              <w:rPr>
                <w:rFonts w:ascii="Times New Roman" w:hAnsi="Times New Roman"/>
                <w:sz w:val="24"/>
                <w:szCs w:val="24"/>
              </w:rPr>
            </w:pPr>
            <w:r w:rsidRPr="003B0BBE">
              <w:rPr>
                <w:rFonts w:ascii="Times New Roman" w:hAnsi="Times New Roman"/>
                <w:sz w:val="24"/>
                <w:szCs w:val="24"/>
              </w:rPr>
              <w:t>Pamatojums</w:t>
            </w:r>
          </w:p>
        </w:tc>
        <w:tc>
          <w:tcPr>
            <w:tcW w:w="4008" w:type="pct"/>
            <w:tcBorders>
              <w:top w:val="outset" w:sz="6" w:space="0" w:color="auto"/>
              <w:left w:val="outset" w:sz="6" w:space="0" w:color="auto"/>
              <w:bottom w:val="outset" w:sz="6" w:space="0" w:color="auto"/>
              <w:right w:val="outset" w:sz="6" w:space="0" w:color="auto"/>
            </w:tcBorders>
          </w:tcPr>
          <w:p w:rsidR="001A4CCD" w:rsidRPr="001A4CCD" w:rsidRDefault="00F12091" w:rsidP="003B0BBE">
            <w:pPr>
              <w:pStyle w:val="NoSpacing"/>
              <w:rPr>
                <w:rFonts w:ascii="Times New Roman" w:hAnsi="Times New Roman"/>
                <w:sz w:val="24"/>
                <w:szCs w:val="24"/>
              </w:rPr>
            </w:pPr>
            <w:r w:rsidRPr="001A4CCD">
              <w:rPr>
                <w:rFonts w:ascii="Times New Roman" w:hAnsi="Times New Roman"/>
                <w:sz w:val="24"/>
                <w:szCs w:val="24"/>
              </w:rPr>
              <w:t>Eiropas Komisijas 2012.gada 26.novembra Direktīva 2012/39/ES, ar ko groza Direktīvu 2006/17/EK par noteiktām tehniskajām prasībām cilvēka audu un šūnu testēšanai</w:t>
            </w:r>
            <w:r w:rsidR="001A4CCD" w:rsidRPr="001A4CCD">
              <w:rPr>
                <w:rFonts w:ascii="Times New Roman" w:hAnsi="Times New Roman"/>
                <w:sz w:val="24"/>
                <w:szCs w:val="24"/>
              </w:rPr>
              <w:t xml:space="preserve"> </w:t>
            </w:r>
            <w:r w:rsidR="001A4CCD" w:rsidRPr="001A4CCD">
              <w:rPr>
                <w:rFonts w:ascii="Times New Roman" w:hAnsi="Times New Roman"/>
                <w:color w:val="000000" w:themeColor="text1"/>
                <w:sz w:val="24"/>
                <w:szCs w:val="24"/>
              </w:rPr>
              <w:t>(turpmāk – Direktīva 2012/39/ES).</w:t>
            </w:r>
          </w:p>
          <w:p w:rsidR="00F12091" w:rsidRPr="003B0BBE" w:rsidRDefault="001A4CCD" w:rsidP="00C0154E">
            <w:pPr>
              <w:pStyle w:val="NoSpacing"/>
              <w:rPr>
                <w:rFonts w:ascii="Times New Roman" w:hAnsi="Times New Roman"/>
                <w:sz w:val="24"/>
                <w:szCs w:val="24"/>
              </w:rPr>
            </w:pPr>
            <w:r w:rsidRPr="001A4CCD">
              <w:rPr>
                <w:rFonts w:ascii="Times New Roman" w:hAnsi="Times New Roman"/>
                <w:sz w:val="24"/>
                <w:szCs w:val="24"/>
              </w:rPr>
              <w:t>Ministru kabineta 2014.gada 4.marta sēdes</w:t>
            </w:r>
            <w:r w:rsidR="00C0154E">
              <w:rPr>
                <w:rFonts w:ascii="Times New Roman" w:hAnsi="Times New Roman"/>
                <w:sz w:val="24"/>
                <w:szCs w:val="24"/>
              </w:rPr>
              <w:t xml:space="preserve"> </w:t>
            </w:r>
            <w:r w:rsidRPr="001A4CCD">
              <w:rPr>
                <w:rFonts w:ascii="Times New Roman" w:hAnsi="Times New Roman"/>
                <w:sz w:val="24"/>
                <w:szCs w:val="24"/>
              </w:rPr>
              <w:t>(prot.Nr.14, 34</w:t>
            </w:r>
            <w:proofErr w:type="gramStart"/>
            <w:r w:rsidRPr="001A4CCD">
              <w:rPr>
                <w:rFonts w:ascii="Times New Roman" w:hAnsi="Times New Roman"/>
                <w:sz w:val="24"/>
                <w:szCs w:val="24"/>
              </w:rPr>
              <w:t>.</w:t>
            </w:r>
            <w:r w:rsidRPr="001A4CCD">
              <w:rPr>
                <w:rFonts w:ascii="Times New Roman" w:hAnsi="Times New Roman"/>
                <w:bCs/>
                <w:sz w:val="24"/>
                <w:szCs w:val="24"/>
              </w:rPr>
              <w:t>§</w:t>
            </w:r>
            <w:proofErr w:type="gramEnd"/>
            <w:r w:rsidRPr="001A4CCD">
              <w:rPr>
                <w:rFonts w:ascii="Times New Roman" w:hAnsi="Times New Roman"/>
                <w:bCs/>
                <w:sz w:val="24"/>
                <w:szCs w:val="24"/>
              </w:rPr>
              <w:t>)</w:t>
            </w:r>
            <w:r w:rsidRPr="001A4CCD">
              <w:rPr>
                <w:rFonts w:ascii="Times New Roman" w:hAnsi="Times New Roman"/>
                <w:sz w:val="24"/>
                <w:szCs w:val="24"/>
              </w:rPr>
              <w:t xml:space="preserve"> protokollēmuma 5.2.apakšpunktā dot</w:t>
            </w:r>
            <w:r w:rsidR="005569A4">
              <w:rPr>
                <w:rFonts w:ascii="Times New Roman" w:hAnsi="Times New Roman"/>
                <w:sz w:val="24"/>
                <w:szCs w:val="24"/>
              </w:rPr>
              <w:t>ai</w:t>
            </w:r>
            <w:r w:rsidRPr="001A4CCD">
              <w:rPr>
                <w:rFonts w:ascii="Times New Roman" w:hAnsi="Times New Roman"/>
                <w:sz w:val="24"/>
                <w:szCs w:val="24"/>
              </w:rPr>
              <w:t>s uzdevums</w:t>
            </w:r>
            <w:r w:rsidR="005569A4">
              <w:rPr>
                <w:rFonts w:ascii="Times New Roman" w:hAnsi="Times New Roman"/>
                <w:sz w:val="24"/>
                <w:szCs w:val="24"/>
              </w:rPr>
              <w:t>.</w:t>
            </w:r>
            <w:r w:rsidRPr="001A4CCD">
              <w:rPr>
                <w:rFonts w:ascii="Times New Roman" w:hAnsi="Times New Roman"/>
                <w:sz w:val="24"/>
                <w:szCs w:val="24"/>
              </w:rPr>
              <w:t xml:space="preserve"> </w:t>
            </w:r>
          </w:p>
        </w:tc>
      </w:tr>
      <w:tr w:rsidR="00F12091" w:rsidRPr="00454935"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3B0BBE">
            <w:pPr>
              <w:pStyle w:val="naisf"/>
              <w:spacing w:before="0" w:after="0"/>
              <w:ind w:firstLine="0"/>
              <w:jc w:val="left"/>
            </w:pPr>
            <w:r w:rsidRPr="00FD4C7E">
              <w:t>2. </w:t>
            </w:r>
          </w:p>
          <w:p w:rsidR="00F12091" w:rsidRPr="00FD4C7E" w:rsidRDefault="00F12091" w:rsidP="003B0BBE">
            <w:pPr>
              <w:pStyle w:val="NoSpacing"/>
            </w:pPr>
          </w:p>
        </w:tc>
        <w:tc>
          <w:tcPr>
            <w:tcW w:w="749" w:type="pct"/>
            <w:tcBorders>
              <w:top w:val="outset" w:sz="6" w:space="0" w:color="auto"/>
              <w:left w:val="outset" w:sz="6" w:space="0" w:color="auto"/>
              <w:bottom w:val="outset" w:sz="6" w:space="0" w:color="auto"/>
              <w:right w:val="outset" w:sz="6" w:space="0" w:color="auto"/>
            </w:tcBorders>
          </w:tcPr>
          <w:p w:rsidR="00F12091" w:rsidRPr="003B0BBE" w:rsidRDefault="00F12091" w:rsidP="003B0BBE">
            <w:pPr>
              <w:shd w:val="clear" w:color="auto" w:fill="FFFFFF"/>
              <w:spacing w:before="19"/>
              <w:jc w:val="both"/>
            </w:pPr>
            <w:r w:rsidRPr="00FD4C7E">
              <w:t>Pašreizējā situācija un problēmas</w:t>
            </w:r>
            <w:r>
              <w:t>, kuru risināšanai tiesību akta projekts iztrādāts, tiesiskā regulējuma mērķis un būtība</w:t>
            </w:r>
          </w:p>
        </w:tc>
        <w:tc>
          <w:tcPr>
            <w:tcW w:w="4008" w:type="pct"/>
            <w:tcBorders>
              <w:top w:val="outset" w:sz="6" w:space="0" w:color="auto"/>
              <w:left w:val="outset" w:sz="6" w:space="0" w:color="auto"/>
              <w:bottom w:val="outset" w:sz="6" w:space="0" w:color="auto"/>
              <w:right w:val="outset" w:sz="6" w:space="0" w:color="auto"/>
            </w:tcBorders>
          </w:tcPr>
          <w:p w:rsidR="00F12091" w:rsidRPr="00454935" w:rsidRDefault="00F12091" w:rsidP="003B0BBE">
            <w:pPr>
              <w:shd w:val="clear" w:color="auto" w:fill="FFFFFF"/>
              <w:spacing w:before="19"/>
              <w:jc w:val="both"/>
              <w:rPr>
                <w:color w:val="000000" w:themeColor="text1"/>
              </w:rPr>
            </w:pPr>
            <w:r w:rsidRPr="00454935">
              <w:rPr>
                <w:color w:val="000000" w:themeColor="text1"/>
              </w:rPr>
              <w:t xml:space="preserve">1. </w:t>
            </w:r>
            <w:r w:rsidR="001856E4" w:rsidRPr="00454935">
              <w:rPr>
                <w:color w:val="000000" w:themeColor="text1"/>
              </w:rPr>
              <w:t>2013.</w:t>
            </w:r>
            <w:r w:rsidRPr="00454935">
              <w:rPr>
                <w:color w:val="000000" w:themeColor="text1"/>
              </w:rPr>
              <w:t xml:space="preserve">gada 12.novembrī spēkā stājās Ministru kabineta noteikumi Nr.1176 „Cilvēka audu un šūnu izmantošanas kārtība" (turpmāk - Noteikumi), kuros tika noteikta kārtība cilvēka audu un šūnu izmantošanai, tajā skaitā laboratoriskie izmeklējumi donoriem un ziedotajam materiālam. Ar Noteikumiem tika pārņemtas </w:t>
            </w:r>
            <w:r w:rsidRPr="00454935">
              <w:rPr>
                <w:bCs/>
                <w:color w:val="000000" w:themeColor="text1"/>
              </w:rPr>
              <w:t xml:space="preserve">arī </w:t>
            </w:r>
            <w:r w:rsidRPr="00454935">
              <w:rPr>
                <w:color w:val="000000" w:themeColor="text1"/>
              </w:rPr>
              <w:t>Komisijas 2006.gada 8.februāra Direktīvas 2006/17/EK, ar ko īsteno Eiropas Parlamenta un Padomes Direktīvu 2004/23/EK par noteiktām tehniskajām prasībām cilvēka audu un šūnu ziedošanai, ieguvei un testēšanai, prasības.</w:t>
            </w:r>
          </w:p>
          <w:p w:rsidR="00F12091" w:rsidRPr="00454935" w:rsidRDefault="00F12091" w:rsidP="003B0BBE">
            <w:pPr>
              <w:shd w:val="clear" w:color="auto" w:fill="FFFFFF"/>
              <w:spacing w:before="19"/>
              <w:jc w:val="both"/>
              <w:rPr>
                <w:color w:val="000000" w:themeColor="text1"/>
              </w:rPr>
            </w:pPr>
            <w:r w:rsidRPr="00454935">
              <w:rPr>
                <w:color w:val="000000" w:themeColor="text1"/>
              </w:rPr>
              <w:t>Atbilstoši Noteikumu 3.pielikuma „Audu un šūnu donoru (izņemot dzimumšūnu donorus) laboratoriskā izmeklēšana” 1.2.apakšpunktā un 4.pielikuma „Atlases kritēriji un laboratoriskie izmeklējumi, kurus veic dzimumšūnu donoriem” 2.4. un 3.3.apakšpunktā noteiktajam HTLV-I antivielu testēšana ir jāveic audu un šūnu, tajā skaitā dzimumšūnu, donoriem, kas dzīvo vai ir dzīvojuši vietās, kur ir liela saslimstība, kuru seksuālie partneri ir dzīvojuši šādās vietās vai kuru vecāki ir dzīvojuši šādās vietās. Noteikumu 4.pielikuma „Atlases kritēriji un laboratoriskie izmeklējumi, kurus veic dzimumšūnu donoriem” 4.2.apakšpunkts paredz, ka dzimumšūnu donoriem, lai noteiktu infekcijas (bioloģisko) marķieru skrīningu, asins paraugus ņem ziedošanas laikā.</w:t>
            </w:r>
          </w:p>
          <w:p w:rsidR="00465D62" w:rsidRPr="00454935" w:rsidRDefault="00F12091" w:rsidP="003B0BBE">
            <w:pPr>
              <w:shd w:val="clear" w:color="auto" w:fill="FFFFFF"/>
              <w:spacing w:before="120"/>
              <w:jc w:val="both"/>
              <w:rPr>
                <w:color w:val="000000" w:themeColor="text1"/>
              </w:rPr>
            </w:pPr>
            <w:r w:rsidRPr="00454935">
              <w:rPr>
                <w:color w:val="000000" w:themeColor="text1"/>
              </w:rPr>
              <w:t>2. Ņemot vērā jaunākos zinātniskos datus attiecībā uz partnera dzimumšūnu ziedošanu un partnera ziedoto dzimumšūnu drošības un kvalitātes nodrošināšanu, kā arī Eiropas Slimību profilakses un kontroles centra sniegto informāciju par grūtībām noteikt vietu, kur ir liela saslimstīb</w:t>
            </w:r>
            <w:r w:rsidR="0006133B" w:rsidRPr="00454935">
              <w:rPr>
                <w:color w:val="000000" w:themeColor="text1"/>
              </w:rPr>
              <w:t>a</w:t>
            </w:r>
            <w:r w:rsidRPr="00454935">
              <w:rPr>
                <w:color w:val="000000" w:themeColor="text1"/>
              </w:rPr>
              <w:t xml:space="preserve"> </w:t>
            </w:r>
            <w:r w:rsidRPr="00225063">
              <w:rPr>
                <w:color w:val="000000" w:themeColor="text1"/>
              </w:rPr>
              <w:t xml:space="preserve">ar </w:t>
            </w:r>
            <w:r w:rsidR="005E3003" w:rsidRPr="00225063">
              <w:rPr>
                <w:color w:val="000000" w:themeColor="text1"/>
              </w:rPr>
              <w:t xml:space="preserve">cilvēka T limfotropo vīrusu (turpmāk - </w:t>
            </w:r>
            <w:r w:rsidRPr="00225063">
              <w:rPr>
                <w:color w:val="000000" w:themeColor="text1"/>
              </w:rPr>
              <w:t>HTLV-I</w:t>
            </w:r>
            <w:r w:rsidR="005E3003" w:rsidRPr="00225063">
              <w:rPr>
                <w:color w:val="000000" w:themeColor="text1"/>
              </w:rPr>
              <w:t>)</w:t>
            </w:r>
            <w:r w:rsidRPr="00225063">
              <w:rPr>
                <w:color w:val="000000" w:themeColor="text1"/>
              </w:rPr>
              <w:t xml:space="preserve"> </w:t>
            </w:r>
            <w:r w:rsidR="00924365" w:rsidRPr="00225063">
              <w:rPr>
                <w:i/>
                <w:color w:val="000000" w:themeColor="text1"/>
              </w:rPr>
              <w:t>(Human T cell lymphotropic virus)</w:t>
            </w:r>
            <w:r w:rsidR="0006133B" w:rsidRPr="00225063">
              <w:rPr>
                <w:i/>
                <w:color w:val="000000" w:themeColor="text1"/>
              </w:rPr>
              <w:t>,</w:t>
            </w:r>
            <w:r w:rsidRPr="00454935">
              <w:rPr>
                <w:color w:val="000000" w:themeColor="text1"/>
              </w:rPr>
              <w:t xml:space="preserve"> Eiropas Komisija 2012.gada 26.novembrī pieņēma Direktīv</w:t>
            </w:r>
            <w:r w:rsidR="005569A4">
              <w:rPr>
                <w:color w:val="000000" w:themeColor="text1"/>
              </w:rPr>
              <w:t>u</w:t>
            </w:r>
            <w:r w:rsidRPr="00454935">
              <w:rPr>
                <w:color w:val="000000" w:themeColor="text1"/>
              </w:rPr>
              <w:t xml:space="preserve"> 2012/39/ES. </w:t>
            </w:r>
          </w:p>
          <w:p w:rsidR="0006133B" w:rsidRPr="00225063" w:rsidRDefault="006B764E" w:rsidP="003B0BBE">
            <w:pPr>
              <w:shd w:val="clear" w:color="auto" w:fill="FFFFFF"/>
              <w:spacing w:before="120"/>
              <w:jc w:val="both"/>
              <w:rPr>
                <w:color w:val="000000" w:themeColor="text1"/>
              </w:rPr>
            </w:pPr>
            <w:r w:rsidRPr="00225063">
              <w:rPr>
                <w:color w:val="000000" w:themeColor="text1"/>
              </w:rPr>
              <w:t>Direktīva</w:t>
            </w:r>
            <w:r w:rsidR="00BD7DB8" w:rsidRPr="00225063">
              <w:rPr>
                <w:color w:val="000000" w:themeColor="text1"/>
              </w:rPr>
              <w:t xml:space="preserve"> 2012/39/ES</w:t>
            </w:r>
            <w:r w:rsidRPr="00225063">
              <w:rPr>
                <w:color w:val="000000" w:themeColor="text1"/>
              </w:rPr>
              <w:t xml:space="preserve"> paredz atsauces uz saslimstību (jaunu slimības gadījumu v</w:t>
            </w:r>
            <w:r w:rsidR="005569A4">
              <w:rPr>
                <w:color w:val="000000" w:themeColor="text1"/>
              </w:rPr>
              <w:t xml:space="preserve">ai veselības stāvokļu daudzumu) </w:t>
            </w:r>
            <w:r w:rsidRPr="00225063">
              <w:rPr>
                <w:color w:val="000000" w:themeColor="text1"/>
              </w:rPr>
              <w:t xml:space="preserve">aizstāt ar atsaucēm uz izplatību (attiecīgajā laikā ar minēto slimību inficējušos iedzīvotāju īpatsvaru), ņemot vērā datu par izplatību </w:t>
            </w:r>
            <w:r w:rsidR="00BD7DB8" w:rsidRPr="00225063">
              <w:rPr>
                <w:color w:val="000000" w:themeColor="text1"/>
              </w:rPr>
              <w:t xml:space="preserve">lielāku precizitāti un pieejamību, </w:t>
            </w:r>
            <w:r w:rsidRPr="00225063">
              <w:rPr>
                <w:color w:val="000000" w:themeColor="text1"/>
              </w:rPr>
              <w:t>tādējādi nodrošinot vienotāku HTLV-I testēšanas prasību ī</w:t>
            </w:r>
            <w:r w:rsidR="005E3003" w:rsidRPr="00225063">
              <w:rPr>
                <w:color w:val="000000" w:themeColor="text1"/>
              </w:rPr>
              <w:t>s</w:t>
            </w:r>
            <w:r w:rsidRPr="00225063">
              <w:rPr>
                <w:color w:val="000000" w:themeColor="text1"/>
              </w:rPr>
              <w:t>tenošanu Eiropas Savienības dalībvalstīs.</w:t>
            </w:r>
          </w:p>
          <w:p w:rsidR="00924365" w:rsidRPr="00225063" w:rsidRDefault="00924365" w:rsidP="003B0BBE">
            <w:pPr>
              <w:shd w:val="clear" w:color="auto" w:fill="FFFFFF"/>
              <w:spacing w:before="120"/>
              <w:jc w:val="both"/>
              <w:rPr>
                <w:color w:val="000000" w:themeColor="text1"/>
              </w:rPr>
            </w:pPr>
            <w:r w:rsidRPr="00225063">
              <w:rPr>
                <w:color w:val="000000" w:themeColor="text1"/>
              </w:rPr>
              <w:t xml:space="preserve">Informācija par HTLV-I vīrusa </w:t>
            </w:r>
            <w:r w:rsidR="00454935" w:rsidRPr="00225063">
              <w:rPr>
                <w:color w:val="000000" w:themeColor="text1"/>
              </w:rPr>
              <w:t>izplatību</w:t>
            </w:r>
            <w:r w:rsidRPr="00225063">
              <w:rPr>
                <w:color w:val="000000" w:themeColor="text1"/>
              </w:rPr>
              <w:t xml:space="preserve"> ir </w:t>
            </w:r>
            <w:r w:rsidR="00454935" w:rsidRPr="00225063">
              <w:rPr>
                <w:color w:val="000000" w:themeColor="text1"/>
              </w:rPr>
              <w:t xml:space="preserve">publiski piejamas </w:t>
            </w:r>
            <w:r w:rsidR="006A351C" w:rsidRPr="00225063">
              <w:rPr>
                <w:color w:val="000000" w:themeColor="text1"/>
              </w:rPr>
              <w:t xml:space="preserve">Eiropas Slimību profilakses </w:t>
            </w:r>
            <w:r w:rsidR="006A351C" w:rsidRPr="00225063">
              <w:t xml:space="preserve">un kontroles centra </w:t>
            </w:r>
            <w:hyperlink r:id="rId8" w:history="1">
              <w:r w:rsidR="00454935" w:rsidRPr="00225063">
                <w:rPr>
                  <w:rStyle w:val="Hyperlink"/>
                  <w:color w:val="auto"/>
                  <w:u w:val="none"/>
                </w:rPr>
                <w:t>publikācijās</w:t>
              </w:r>
            </w:hyperlink>
            <w:r w:rsidR="00454935" w:rsidRPr="00225063">
              <w:t xml:space="preserve"> </w:t>
            </w:r>
            <w:hyperlink r:id="rId9" w:history="1">
              <w:r w:rsidR="00454935" w:rsidRPr="00225063">
                <w:rPr>
                  <w:rStyle w:val="Hyperlink"/>
                  <w:color w:val="auto"/>
                  <w:u w:val="none"/>
                </w:rPr>
                <w:t>http://www.ecdc.europa.eu/en/publications/publications/120403-ra-human-</w:t>
              </w:r>
              <w:r w:rsidR="00454935" w:rsidRPr="00225063">
                <w:rPr>
                  <w:rStyle w:val="Hyperlink"/>
                  <w:color w:val="auto"/>
                  <w:u w:val="none"/>
                </w:rPr>
                <w:lastRenderedPageBreak/>
                <w:t>t-lymphotropic-virus-transmission.pdf</w:t>
              </w:r>
            </w:hyperlink>
            <w:r w:rsidR="00454935" w:rsidRPr="00225063">
              <w:rPr>
                <w:color w:val="000000" w:themeColor="text1"/>
              </w:rPr>
              <w:t xml:space="preserve"> un http://www.ecdc.europa.eu/en/publications/Publications/20120620_RA_HTLV_Part2.pdf</w:t>
            </w:r>
          </w:p>
          <w:p w:rsidR="00F12091" w:rsidRPr="00225063" w:rsidRDefault="00465D62" w:rsidP="003B0BBE">
            <w:pPr>
              <w:shd w:val="clear" w:color="auto" w:fill="FFFFFF"/>
              <w:spacing w:before="120"/>
              <w:jc w:val="both"/>
              <w:rPr>
                <w:bCs/>
                <w:color w:val="000000" w:themeColor="text1"/>
              </w:rPr>
            </w:pPr>
            <w:r w:rsidRPr="00225063">
              <w:rPr>
                <w:color w:val="000000" w:themeColor="text1"/>
              </w:rPr>
              <w:t xml:space="preserve">Ņemot vērā jaunākos zinātniskos datus, kas liecina, ka katras ziedošanas laikā veiktā testēšana nevairo partneru ziedoto dzimumšūnu drošību un šī prasība saistīta ar augstām izmaksām un ir apgrūtinoša gan pacientiem, gan veselības aprūpes sistēmām </w:t>
            </w:r>
            <w:r w:rsidR="00BD7DB8" w:rsidRPr="00225063">
              <w:rPr>
                <w:color w:val="000000" w:themeColor="text1"/>
              </w:rPr>
              <w:t>Direktīva 2012/39/ES</w:t>
            </w:r>
            <w:r w:rsidR="0010186F" w:rsidRPr="00225063">
              <w:rPr>
                <w:color w:val="000000" w:themeColor="text1"/>
              </w:rPr>
              <w:t xml:space="preserve"> paredz</w:t>
            </w:r>
            <w:r w:rsidR="00E635D6" w:rsidRPr="00225063">
              <w:rPr>
                <w:color w:val="000000" w:themeColor="text1"/>
              </w:rPr>
              <w:t xml:space="preserve"> minētajiem donoriem asins paraugu </w:t>
            </w:r>
            <w:r w:rsidR="001A4450" w:rsidRPr="00225063">
              <w:rPr>
                <w:color w:val="000000" w:themeColor="text1"/>
              </w:rPr>
              <w:t>testēšanu veikt noteiktos laika intervālos (ne vēlāk par 2</w:t>
            </w:r>
            <w:r w:rsidR="00EC37B3" w:rsidRPr="00225063">
              <w:rPr>
                <w:color w:val="000000" w:themeColor="text1"/>
              </w:rPr>
              <w:t>4 mēnešiem), nevis katrā ziedoša</w:t>
            </w:r>
            <w:r w:rsidR="001A4450" w:rsidRPr="00225063">
              <w:rPr>
                <w:color w:val="000000" w:themeColor="text1"/>
              </w:rPr>
              <w:t>nas reizē.</w:t>
            </w:r>
            <w:r w:rsidR="0010186F" w:rsidRPr="00225063">
              <w:rPr>
                <w:color w:val="000000" w:themeColor="text1"/>
              </w:rPr>
              <w:t xml:space="preserve"> </w:t>
            </w:r>
          </w:p>
          <w:p w:rsidR="00F12091" w:rsidRPr="00454935" w:rsidRDefault="00F12091" w:rsidP="003B0BBE">
            <w:pPr>
              <w:pStyle w:val="NoSpacing"/>
              <w:spacing w:before="120"/>
              <w:rPr>
                <w:rFonts w:ascii="Times New Roman" w:hAnsi="Times New Roman"/>
                <w:color w:val="000000" w:themeColor="text1"/>
                <w:sz w:val="24"/>
                <w:szCs w:val="24"/>
              </w:rPr>
            </w:pPr>
            <w:r w:rsidRPr="00454935">
              <w:rPr>
                <w:rFonts w:ascii="Times New Roman" w:hAnsi="Times New Roman"/>
                <w:color w:val="000000" w:themeColor="text1"/>
                <w:sz w:val="24"/>
                <w:szCs w:val="24"/>
              </w:rPr>
              <w:t xml:space="preserve"> </w:t>
            </w:r>
            <w:r w:rsidR="00EC37B3">
              <w:rPr>
                <w:rFonts w:ascii="Times New Roman" w:hAnsi="Times New Roman"/>
                <w:color w:val="000000" w:themeColor="text1"/>
                <w:sz w:val="24"/>
                <w:szCs w:val="24"/>
              </w:rPr>
              <w:t>3</w:t>
            </w:r>
            <w:r w:rsidRPr="00454935">
              <w:rPr>
                <w:rFonts w:ascii="Times New Roman" w:hAnsi="Times New Roman"/>
                <w:color w:val="000000" w:themeColor="text1"/>
                <w:sz w:val="24"/>
                <w:szCs w:val="24"/>
              </w:rPr>
              <w:t xml:space="preserve">. Ministru kabineta noteikumu projekta </w:t>
            </w:r>
            <w:r w:rsidRPr="00454935">
              <w:rPr>
                <w:rFonts w:ascii="Times New Roman" w:hAnsi="Times New Roman"/>
                <w:bCs/>
                <w:color w:val="000000" w:themeColor="text1"/>
                <w:sz w:val="24"/>
                <w:szCs w:val="24"/>
              </w:rPr>
              <w:t>„</w:t>
            </w:r>
            <w:r w:rsidRPr="00454935">
              <w:rPr>
                <w:rStyle w:val="Strong"/>
                <w:rFonts w:ascii="Times New Roman" w:hAnsi="Times New Roman"/>
                <w:b w:val="0"/>
                <w:color w:val="000000" w:themeColor="text1"/>
                <w:sz w:val="24"/>
                <w:szCs w:val="24"/>
              </w:rPr>
              <w:t xml:space="preserve">Grozījumi   </w:t>
            </w:r>
            <w:r w:rsidRPr="00454935">
              <w:rPr>
                <w:rFonts w:ascii="Times New Roman" w:hAnsi="Times New Roman"/>
                <w:color w:val="000000" w:themeColor="text1"/>
                <w:sz w:val="24"/>
                <w:szCs w:val="24"/>
              </w:rPr>
              <w:t xml:space="preserve">Ministru kabineta 2013.gada 22.oktobra noteikumos Nr.1176 „Cilvēka audu un šūnu izmantošanas kārtība” (turpmāk – Noteikumu projekts) mērķis ir </w:t>
            </w:r>
            <w:r w:rsidR="00EC37B3">
              <w:rPr>
                <w:rFonts w:ascii="Times New Roman" w:hAnsi="Times New Roman"/>
                <w:color w:val="000000" w:themeColor="text1"/>
                <w:sz w:val="24"/>
                <w:szCs w:val="24"/>
              </w:rPr>
              <w:t>noteikt prasības donoru izmeklējumiem atbilstoši Direktīvas 2012/39/ES prasībām</w:t>
            </w:r>
            <w:r w:rsidRPr="00454935">
              <w:rPr>
                <w:rFonts w:ascii="Times New Roman" w:hAnsi="Times New Roman"/>
                <w:color w:val="000000" w:themeColor="text1"/>
                <w:sz w:val="24"/>
                <w:szCs w:val="24"/>
              </w:rPr>
              <w:t>.</w:t>
            </w:r>
          </w:p>
          <w:p w:rsidR="00F12091" w:rsidRPr="00454935" w:rsidRDefault="00F12091" w:rsidP="003B0BBE">
            <w:pPr>
              <w:pStyle w:val="NoSpacing"/>
              <w:rPr>
                <w:rFonts w:ascii="Times New Roman" w:hAnsi="Times New Roman"/>
                <w:color w:val="000000" w:themeColor="text1"/>
                <w:sz w:val="24"/>
                <w:szCs w:val="24"/>
              </w:rPr>
            </w:pPr>
            <w:r w:rsidRPr="00454935">
              <w:rPr>
                <w:rStyle w:val="Emphasis"/>
                <w:rFonts w:ascii="Times New Roman" w:hAnsi="Times New Roman"/>
                <w:i w:val="0"/>
                <w:color w:val="000000" w:themeColor="text1"/>
                <w:sz w:val="24"/>
                <w:szCs w:val="24"/>
              </w:rPr>
              <w:t xml:space="preserve">Vienlaikus Noteikumu projekts paredz papildināt Noteikumu </w:t>
            </w:r>
            <w:r w:rsidRPr="00454935">
              <w:rPr>
                <w:rFonts w:ascii="Times New Roman" w:hAnsi="Times New Roman"/>
                <w:color w:val="000000" w:themeColor="text1"/>
                <w:sz w:val="24"/>
                <w:szCs w:val="24"/>
              </w:rPr>
              <w:t>informatīv</w:t>
            </w:r>
            <w:r w:rsidR="00380765" w:rsidRPr="00454935">
              <w:rPr>
                <w:rFonts w:ascii="Times New Roman" w:hAnsi="Times New Roman"/>
                <w:color w:val="000000" w:themeColor="text1"/>
                <w:sz w:val="24"/>
                <w:szCs w:val="24"/>
              </w:rPr>
              <w:t>o</w:t>
            </w:r>
            <w:r w:rsidRPr="00454935">
              <w:rPr>
                <w:rFonts w:ascii="Times New Roman" w:hAnsi="Times New Roman"/>
                <w:color w:val="000000" w:themeColor="text1"/>
                <w:sz w:val="24"/>
                <w:szCs w:val="24"/>
              </w:rPr>
              <w:t xml:space="preserve"> atsauci uz Eiropas Savienības direktīvām ar atsauci uz Direktīvu 2012/39/ES.</w:t>
            </w:r>
          </w:p>
        </w:tc>
      </w:tr>
      <w:tr w:rsidR="00F12091" w:rsidRPr="00FD4C7E"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F12091">
            <w:pPr>
              <w:pStyle w:val="NormalWeb"/>
              <w:spacing w:before="0" w:beforeAutospacing="0" w:after="0" w:afterAutospacing="0"/>
            </w:pPr>
            <w:r>
              <w:lastRenderedPageBreak/>
              <w:t>3</w:t>
            </w:r>
            <w:r w:rsidRPr="00FD4C7E">
              <w:t xml:space="preserve">. </w:t>
            </w:r>
          </w:p>
        </w:tc>
        <w:tc>
          <w:tcPr>
            <w:tcW w:w="749" w:type="pct"/>
            <w:tcBorders>
              <w:top w:val="outset" w:sz="6" w:space="0" w:color="auto"/>
              <w:left w:val="outset" w:sz="6" w:space="0" w:color="auto"/>
              <w:bottom w:val="outset" w:sz="6" w:space="0" w:color="auto"/>
              <w:right w:val="outset" w:sz="6" w:space="0" w:color="auto"/>
            </w:tcBorders>
          </w:tcPr>
          <w:p w:rsidR="00F12091" w:rsidRPr="00F12091" w:rsidRDefault="00F12091" w:rsidP="003B0BBE">
            <w:pPr>
              <w:pStyle w:val="BodyText2"/>
              <w:jc w:val="both"/>
              <w:rPr>
                <w:b w:val="0"/>
                <w:sz w:val="24"/>
              </w:rPr>
            </w:pPr>
            <w:r w:rsidRPr="00F12091">
              <w:rPr>
                <w:b w:val="0"/>
                <w:sz w:val="24"/>
              </w:rPr>
              <w:t>Projekta izstrādē iesaistītās institūcijas</w:t>
            </w:r>
          </w:p>
        </w:tc>
        <w:tc>
          <w:tcPr>
            <w:tcW w:w="4009" w:type="pct"/>
            <w:tcBorders>
              <w:top w:val="outset" w:sz="6" w:space="0" w:color="auto"/>
              <w:left w:val="outset" w:sz="6" w:space="0" w:color="auto"/>
              <w:bottom w:val="outset" w:sz="6" w:space="0" w:color="auto"/>
              <w:right w:val="outset" w:sz="6" w:space="0" w:color="auto"/>
            </w:tcBorders>
          </w:tcPr>
          <w:p w:rsidR="00F12091" w:rsidRPr="00FD4C7E" w:rsidRDefault="00F12091" w:rsidP="003B0BBE">
            <w:pPr>
              <w:pStyle w:val="BodyText2"/>
              <w:jc w:val="both"/>
              <w:rPr>
                <w:b w:val="0"/>
                <w:sz w:val="24"/>
              </w:rPr>
            </w:pPr>
            <w:r>
              <w:rPr>
                <w:b w:val="0"/>
                <w:sz w:val="24"/>
              </w:rPr>
              <w:t>Zāļu valsts a</w:t>
            </w:r>
            <w:r w:rsidRPr="00FD4C7E">
              <w:rPr>
                <w:b w:val="0"/>
                <w:sz w:val="24"/>
              </w:rPr>
              <w:t>ģentūra</w:t>
            </w:r>
          </w:p>
        </w:tc>
      </w:tr>
      <w:tr w:rsidR="00F12091" w:rsidRPr="00FD4C7E" w:rsidTr="00454935">
        <w:tc>
          <w:tcPr>
            <w:tcW w:w="242" w:type="pct"/>
            <w:tcBorders>
              <w:top w:val="outset" w:sz="6" w:space="0" w:color="auto"/>
              <w:left w:val="outset" w:sz="6" w:space="0" w:color="auto"/>
              <w:bottom w:val="outset" w:sz="6" w:space="0" w:color="auto"/>
              <w:right w:val="outset" w:sz="6" w:space="0" w:color="auto"/>
            </w:tcBorders>
          </w:tcPr>
          <w:p w:rsidR="00F12091" w:rsidRDefault="00F12091" w:rsidP="00611957">
            <w:pPr>
              <w:pStyle w:val="NormalWeb"/>
              <w:spacing w:before="0" w:beforeAutospacing="0" w:after="0" w:afterAutospacing="0"/>
            </w:pPr>
            <w:r>
              <w:t>4</w:t>
            </w:r>
            <w:r w:rsidRPr="00FD4C7E">
              <w:t xml:space="preserve">. </w:t>
            </w:r>
          </w:p>
          <w:p w:rsidR="00F12091" w:rsidRDefault="00F12091" w:rsidP="00611957">
            <w:pPr>
              <w:pStyle w:val="NormalWeb"/>
              <w:spacing w:before="0" w:beforeAutospacing="0" w:after="0" w:afterAutospacing="0"/>
            </w:pPr>
          </w:p>
          <w:p w:rsidR="00F12091" w:rsidRDefault="00F12091" w:rsidP="00611957">
            <w:pPr>
              <w:pStyle w:val="NormalWeb"/>
              <w:spacing w:before="0" w:beforeAutospacing="0" w:after="0" w:afterAutospacing="0"/>
            </w:pPr>
          </w:p>
          <w:p w:rsidR="00F12091" w:rsidRPr="00FD4C7E" w:rsidRDefault="00F12091" w:rsidP="00611957">
            <w:pPr>
              <w:pStyle w:val="NormalWeb"/>
              <w:spacing w:before="0" w:beforeAutospacing="0" w:after="0" w:afterAutospacing="0"/>
            </w:pPr>
          </w:p>
        </w:tc>
        <w:tc>
          <w:tcPr>
            <w:tcW w:w="749" w:type="pct"/>
            <w:tcBorders>
              <w:top w:val="outset" w:sz="6" w:space="0" w:color="auto"/>
              <w:left w:val="outset" w:sz="6" w:space="0" w:color="auto"/>
              <w:bottom w:val="outset" w:sz="6" w:space="0" w:color="auto"/>
              <w:right w:val="outset" w:sz="6" w:space="0" w:color="auto"/>
            </w:tcBorders>
          </w:tcPr>
          <w:p w:rsidR="00F12091" w:rsidRPr="00F12091" w:rsidRDefault="00F12091" w:rsidP="003872B1">
            <w:pPr>
              <w:pStyle w:val="NoSpacing"/>
              <w:rPr>
                <w:rFonts w:ascii="Times New Roman" w:hAnsi="Times New Roman"/>
                <w:sz w:val="24"/>
                <w:szCs w:val="24"/>
              </w:rPr>
            </w:pPr>
            <w:r w:rsidRPr="00F12091">
              <w:rPr>
                <w:rFonts w:ascii="Times New Roman" w:hAnsi="Times New Roman"/>
                <w:sz w:val="24"/>
                <w:szCs w:val="24"/>
              </w:rPr>
              <w:t>Cita informācija</w:t>
            </w:r>
          </w:p>
        </w:tc>
        <w:tc>
          <w:tcPr>
            <w:tcW w:w="4009" w:type="pct"/>
            <w:tcBorders>
              <w:top w:val="outset" w:sz="6" w:space="0" w:color="auto"/>
              <w:left w:val="outset" w:sz="6" w:space="0" w:color="auto"/>
              <w:bottom w:val="outset" w:sz="6" w:space="0" w:color="auto"/>
              <w:right w:val="outset" w:sz="6" w:space="0" w:color="auto"/>
            </w:tcBorders>
          </w:tcPr>
          <w:p w:rsidR="00F12091" w:rsidRPr="001D63F6" w:rsidRDefault="00F12091" w:rsidP="003872B1">
            <w:pPr>
              <w:pStyle w:val="NoSpacing"/>
              <w:rPr>
                <w:b/>
                <w:bCs/>
              </w:rPr>
            </w:pPr>
            <w:r w:rsidRPr="00290BBC">
              <w:rPr>
                <w:rFonts w:ascii="Times New Roman" w:hAnsi="Times New Roman"/>
                <w:sz w:val="24"/>
                <w:szCs w:val="24"/>
              </w:rPr>
              <w:t>Direktīvas 2012/39/ES 2.panta 1.punkts nosaka, ka dalībvastīs vēlākais līdz 2014.gada 17.jūnijam stāj</w:t>
            </w:r>
            <w:r>
              <w:rPr>
                <w:rFonts w:ascii="Times New Roman" w:hAnsi="Times New Roman"/>
                <w:sz w:val="24"/>
                <w:szCs w:val="24"/>
              </w:rPr>
              <w:t>a</w:t>
            </w:r>
            <w:r w:rsidRPr="00290BBC">
              <w:rPr>
                <w:rFonts w:ascii="Times New Roman" w:hAnsi="Times New Roman"/>
                <w:sz w:val="24"/>
                <w:szCs w:val="24"/>
              </w:rPr>
              <w:t>s sp</w:t>
            </w:r>
            <w:r>
              <w:rPr>
                <w:rFonts w:ascii="Times New Roman" w:hAnsi="Times New Roman"/>
                <w:sz w:val="24"/>
                <w:szCs w:val="24"/>
              </w:rPr>
              <w:t>ēkā</w:t>
            </w:r>
            <w:r w:rsidRPr="00290BBC">
              <w:rPr>
                <w:rFonts w:ascii="Times New Roman" w:hAnsi="Times New Roman"/>
                <w:sz w:val="24"/>
                <w:szCs w:val="24"/>
              </w:rPr>
              <w:t xml:space="preserve"> normatīvie akti, kas vajadzīgi, lai izpildītu Direktīvas 2012/39/ES prasības</w:t>
            </w:r>
            <w:r>
              <w:rPr>
                <w:rFonts w:ascii="Times New Roman" w:hAnsi="Times New Roman"/>
                <w:sz w:val="24"/>
                <w:szCs w:val="24"/>
              </w:rPr>
              <w:t xml:space="preserve">. </w:t>
            </w:r>
          </w:p>
        </w:tc>
      </w:tr>
    </w:tbl>
    <w:p w:rsidR="0011031E" w:rsidRDefault="0011031E" w:rsidP="00915F79">
      <w:pPr>
        <w:rPr>
          <w:sz w:val="28"/>
          <w:szCs w:val="28"/>
        </w:rPr>
      </w:pPr>
    </w:p>
    <w:p w:rsidR="00B12BF9" w:rsidRDefault="00B12BF9" w:rsidP="00915F79">
      <w:pPr>
        <w:rPr>
          <w:sz w:val="28"/>
          <w:szCs w:val="28"/>
        </w:rPr>
      </w:pPr>
    </w:p>
    <w:tbl>
      <w:tblPr>
        <w:tblW w:w="5000"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7"/>
        <w:gridCol w:w="3700"/>
        <w:gridCol w:w="5050"/>
      </w:tblGrid>
      <w:tr w:rsidR="00F12091" w:rsidRPr="00BF1423" w:rsidTr="00F12091">
        <w:tc>
          <w:tcPr>
            <w:tcW w:w="5000" w:type="pct"/>
            <w:gridSpan w:val="3"/>
          </w:tcPr>
          <w:p w:rsidR="00F12091" w:rsidRPr="00BF1423" w:rsidRDefault="00F12091" w:rsidP="00F12091">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rsidR="00F12091" w:rsidRPr="001D63F6" w:rsidTr="00F12091">
        <w:tc>
          <w:tcPr>
            <w:tcW w:w="289" w:type="pct"/>
          </w:tcPr>
          <w:p w:rsidR="00F12091" w:rsidRPr="00FA0B42" w:rsidRDefault="00F12091" w:rsidP="00F12091">
            <w:pPr>
              <w:spacing w:after="120"/>
            </w:pPr>
            <w:r>
              <w:t>1.</w:t>
            </w:r>
          </w:p>
        </w:tc>
        <w:tc>
          <w:tcPr>
            <w:tcW w:w="1992" w:type="pct"/>
          </w:tcPr>
          <w:p w:rsidR="00F12091" w:rsidRPr="00FA0B42" w:rsidRDefault="00F12091" w:rsidP="00F12091">
            <w:pPr>
              <w:spacing w:after="120"/>
            </w:pPr>
            <w:r w:rsidRPr="00FA0B42">
              <w:t>Sabiedrības mērķgrupa</w:t>
            </w:r>
            <w:r>
              <w:t>s, kuras tiesiskais regulējums ietekmē vai varētu ietekmēt</w:t>
            </w:r>
          </w:p>
        </w:tc>
        <w:tc>
          <w:tcPr>
            <w:tcW w:w="2719" w:type="pct"/>
          </w:tcPr>
          <w:p w:rsidR="00F12091" w:rsidRPr="001D63F6" w:rsidRDefault="009331AD" w:rsidP="009331AD">
            <w:pPr>
              <w:jc w:val="both"/>
            </w:pPr>
            <w:r>
              <w:t>N</w:t>
            </w:r>
            <w:r w:rsidRPr="00426F8E">
              <w:t>oteikumu projektā ietvert</w:t>
            </w:r>
            <w:r>
              <w:t>o</w:t>
            </w:r>
            <w:r w:rsidRPr="00426F8E">
              <w:t xml:space="preserve"> prasīb</w:t>
            </w:r>
            <w:r>
              <w:t>u</w:t>
            </w:r>
            <w:r w:rsidRPr="00426F8E">
              <w:t xml:space="preserve"> īst</w:t>
            </w:r>
            <w:r>
              <w:t>enošanā ir iesaistīta Zāļu valsts aģentūra,</w:t>
            </w:r>
            <w:r w:rsidR="007F2E82">
              <w:t xml:space="preserve"> </w:t>
            </w:r>
            <w:r>
              <w:t xml:space="preserve">kas veic audu centru uzraudzību atbilstoši Noteikumos noteiktajām prasībām, kā arī </w:t>
            </w:r>
            <w:r w:rsidRPr="00426F8E">
              <w:t>au</w:t>
            </w:r>
            <w:r>
              <w:t xml:space="preserve">du </w:t>
            </w:r>
            <w:r w:rsidRPr="00426F8E">
              <w:t>centri</w:t>
            </w:r>
            <w:r>
              <w:t xml:space="preserve"> un audu un šūnu ieguves </w:t>
            </w:r>
            <w:r w:rsidRPr="00426F8E">
              <w:t>organizācijas,</w:t>
            </w:r>
            <w:r>
              <w:t xml:space="preserve"> kas nodarbojas ar audu un šūnu ieguvi.</w:t>
            </w:r>
          </w:p>
        </w:tc>
      </w:tr>
      <w:tr w:rsidR="00F12091" w:rsidRPr="001D63F6" w:rsidTr="00F12091">
        <w:tc>
          <w:tcPr>
            <w:tcW w:w="289" w:type="pct"/>
          </w:tcPr>
          <w:p w:rsidR="00F12091" w:rsidRPr="00FA0B42" w:rsidRDefault="00F12091" w:rsidP="00F12091">
            <w:pPr>
              <w:spacing w:after="120"/>
              <w:jc w:val="both"/>
            </w:pPr>
            <w:r>
              <w:t>2.</w:t>
            </w:r>
          </w:p>
        </w:tc>
        <w:tc>
          <w:tcPr>
            <w:tcW w:w="1992" w:type="pct"/>
          </w:tcPr>
          <w:p w:rsidR="00F12091" w:rsidRPr="00FA0B42" w:rsidRDefault="009331AD" w:rsidP="009331AD">
            <w:pPr>
              <w:spacing w:after="120"/>
              <w:jc w:val="both"/>
            </w:pPr>
            <w:r w:rsidRPr="00FA0B42">
              <w:t xml:space="preserve">Tiesiskā regulējuma ietekme </w:t>
            </w:r>
            <w:r>
              <w:t>uz tautsaimniecību un administratīvo slogu</w:t>
            </w:r>
          </w:p>
        </w:tc>
        <w:tc>
          <w:tcPr>
            <w:tcW w:w="2719" w:type="pct"/>
          </w:tcPr>
          <w:p w:rsidR="00E60ECF" w:rsidRPr="00225063" w:rsidRDefault="001A558E" w:rsidP="00254C95">
            <w:pPr>
              <w:shd w:val="clear" w:color="auto" w:fill="FFFFFF"/>
              <w:spacing w:before="19"/>
              <w:jc w:val="both"/>
              <w:rPr>
                <w:color w:val="000000" w:themeColor="text1"/>
              </w:rPr>
            </w:pPr>
            <w:r w:rsidRPr="00225063">
              <w:t xml:space="preserve">Noteikumu projektā iekļautās tiesību normas </w:t>
            </w:r>
            <w:r w:rsidR="00E60ECF" w:rsidRPr="00225063">
              <w:t>preci</w:t>
            </w:r>
            <w:r w:rsidR="00E635D6" w:rsidRPr="00225063">
              <w:t>zēs cilvēka audu un šūnu donoru grupu</w:t>
            </w:r>
            <w:r w:rsidR="00E60ECF" w:rsidRPr="00225063">
              <w:t xml:space="preserve">, kam nepieciešams veikt </w:t>
            </w:r>
            <w:r w:rsidR="00E60ECF" w:rsidRPr="00454935">
              <w:rPr>
                <w:color w:val="000000" w:themeColor="text1"/>
              </w:rPr>
              <w:t>HTLV-I antivielu testēšan</w:t>
            </w:r>
            <w:r w:rsidR="00E60ECF">
              <w:rPr>
                <w:color w:val="000000" w:themeColor="text1"/>
              </w:rPr>
              <w:t xml:space="preserve">u, kā arī paredzēs, ka </w:t>
            </w:r>
            <w:r w:rsidR="001A4450">
              <w:rPr>
                <w:color w:val="000000" w:themeColor="text1"/>
              </w:rPr>
              <w:t xml:space="preserve">partnera ziedojumam asins paraugus ņem trīs mēnešu laikā pirms pirmā ziedojuma; savukārt </w:t>
            </w:r>
            <w:r w:rsidR="00E60ECF" w:rsidRPr="00225063">
              <w:rPr>
                <w:color w:val="000000" w:themeColor="text1"/>
              </w:rPr>
              <w:t>atkārtotu partnera  dzimumšūnu ziedošanas gadījumā laboratoriskos izmeklējumus tam pašam donoram nepieciešams veikt ne vēlāk kā 24 mēnešus pēc pēdējā asins parauga paņemšanas.</w:t>
            </w:r>
          </w:p>
          <w:p w:rsidR="00E60ECF" w:rsidRPr="00225063" w:rsidRDefault="00E60ECF" w:rsidP="00254C95">
            <w:pPr>
              <w:shd w:val="clear" w:color="auto" w:fill="FFFFFF"/>
              <w:spacing w:before="19"/>
              <w:jc w:val="both"/>
              <w:rPr>
                <w:color w:val="000000" w:themeColor="text1"/>
              </w:rPr>
            </w:pPr>
            <w:r w:rsidRPr="00225063">
              <w:rPr>
                <w:color w:val="000000" w:themeColor="text1"/>
              </w:rPr>
              <w:t xml:space="preserve">Noteikumu projektā iekļautās tiesību normas </w:t>
            </w:r>
            <w:r w:rsidRPr="00225063">
              <w:rPr>
                <w:color w:val="000000" w:themeColor="text1"/>
              </w:rPr>
              <w:lastRenderedPageBreak/>
              <w:t>neradīs jaunas tiesības un neu</w:t>
            </w:r>
            <w:r w:rsidR="00274440" w:rsidRPr="00225063">
              <w:rPr>
                <w:color w:val="000000" w:themeColor="text1"/>
              </w:rPr>
              <w:t>z</w:t>
            </w:r>
            <w:r w:rsidRPr="00225063">
              <w:rPr>
                <w:color w:val="000000" w:themeColor="text1"/>
              </w:rPr>
              <w:t>liks jaunus pienākumus donoriem vai audu centriem un ieguves organizācijām</w:t>
            </w:r>
            <w:r w:rsidR="00274440" w:rsidRPr="00225063">
              <w:rPr>
                <w:color w:val="000000" w:themeColor="text1"/>
              </w:rPr>
              <w:t>, jo Noteikumi jau šobrīd paredz HTLV-I antivielu testēšanu noteiktai kategorijai donoru un asins paraugu ņemšanu laboratorisko izmeklējumu veikšanai dzimumšūnu donoriem.</w:t>
            </w:r>
          </w:p>
          <w:p w:rsidR="00274440" w:rsidRPr="00225063" w:rsidRDefault="00274440" w:rsidP="003A59CE">
            <w:pPr>
              <w:shd w:val="clear" w:color="auto" w:fill="FFFFFF"/>
              <w:spacing w:before="120"/>
              <w:jc w:val="both"/>
            </w:pPr>
            <w:r w:rsidRPr="00225063">
              <w:rPr>
                <w:color w:val="000000" w:themeColor="text1"/>
              </w:rPr>
              <w:t>Ņemot vērā jaunākos zinātniskos datus, kas liecina, ka katras ziedošanas laikā veiktā testēšana nevairo partneru ziedoto dzimumšūnu drošību, Noteikumu projektā iekļautās tiesību normas attiecībā uz donora asins paraugu laboratorisko izmeklēšanu atkārtotas partnera  dzimumšūnu ziedošanas gadījumā</w:t>
            </w:r>
            <w:r w:rsidR="001A4450" w:rsidRPr="00225063">
              <w:rPr>
                <w:color w:val="000000" w:themeColor="text1"/>
              </w:rPr>
              <w:t xml:space="preserve"> ne vēlāk kā 24 mēnešus pēc pēdējā asins parauga paņemšanas, nevis katrā ziedošanas reizē</w:t>
            </w:r>
            <w:r w:rsidRPr="00225063">
              <w:rPr>
                <w:color w:val="000000" w:themeColor="text1"/>
              </w:rPr>
              <w:t xml:space="preserve"> samazinās administratīvo slogu un izmaksas minētajiem donoriem, kā arī veselības aprūpes sistēmām.</w:t>
            </w:r>
          </w:p>
        </w:tc>
      </w:tr>
      <w:tr w:rsidR="00F12091" w:rsidRPr="001D63F6" w:rsidTr="00F12091">
        <w:tc>
          <w:tcPr>
            <w:tcW w:w="289" w:type="pct"/>
          </w:tcPr>
          <w:p w:rsidR="00F12091" w:rsidRPr="00FA0B42" w:rsidRDefault="00F12091" w:rsidP="00F12091">
            <w:pPr>
              <w:spacing w:after="120"/>
            </w:pPr>
            <w:r>
              <w:lastRenderedPageBreak/>
              <w:t>3.</w:t>
            </w:r>
          </w:p>
        </w:tc>
        <w:tc>
          <w:tcPr>
            <w:tcW w:w="1992" w:type="pct"/>
          </w:tcPr>
          <w:p w:rsidR="00F12091" w:rsidRPr="00FA0B42" w:rsidRDefault="009331AD" w:rsidP="00F12091">
            <w:pPr>
              <w:spacing w:after="120"/>
            </w:pPr>
            <w:r>
              <w:t>Administratīvo izmaksu monetārs novērtējums</w:t>
            </w:r>
          </w:p>
        </w:tc>
        <w:tc>
          <w:tcPr>
            <w:tcW w:w="2719" w:type="pct"/>
          </w:tcPr>
          <w:p w:rsidR="00F12091" w:rsidRPr="001D63F6" w:rsidRDefault="009331AD" w:rsidP="00F12091">
            <w:pPr>
              <w:spacing w:after="120"/>
              <w:jc w:val="both"/>
            </w:pPr>
            <w:r w:rsidRPr="001D63F6">
              <w:t>Projekts šo jomu neskar</w:t>
            </w:r>
          </w:p>
        </w:tc>
      </w:tr>
      <w:tr w:rsidR="00F12091" w:rsidRPr="00A6720D" w:rsidTr="009331AD">
        <w:tc>
          <w:tcPr>
            <w:tcW w:w="289" w:type="pct"/>
          </w:tcPr>
          <w:p w:rsidR="00F12091" w:rsidRPr="00FA0B42" w:rsidRDefault="00F12091" w:rsidP="00F12091">
            <w:pPr>
              <w:spacing w:after="120"/>
            </w:pPr>
            <w:r>
              <w:t>4.</w:t>
            </w:r>
          </w:p>
        </w:tc>
        <w:tc>
          <w:tcPr>
            <w:tcW w:w="1992" w:type="pct"/>
          </w:tcPr>
          <w:p w:rsidR="00F12091" w:rsidRPr="00FA0B42" w:rsidRDefault="009331AD" w:rsidP="00F12091">
            <w:pPr>
              <w:spacing w:after="120"/>
            </w:pPr>
            <w:r>
              <w:t>Cita informācija</w:t>
            </w:r>
            <w:r w:rsidR="00F12091" w:rsidRPr="00FA0B42">
              <w:t xml:space="preserve"> </w:t>
            </w:r>
          </w:p>
        </w:tc>
        <w:tc>
          <w:tcPr>
            <w:tcW w:w="2719" w:type="pct"/>
          </w:tcPr>
          <w:p w:rsidR="00F12091" w:rsidRPr="00A6720D" w:rsidRDefault="009331AD" w:rsidP="00F12091">
            <w:pPr>
              <w:jc w:val="both"/>
            </w:pPr>
            <w:r>
              <w:t>Nav</w:t>
            </w:r>
          </w:p>
        </w:tc>
      </w:tr>
    </w:tbl>
    <w:p w:rsidR="00B12BF9" w:rsidRDefault="00B12BF9" w:rsidP="00915F79">
      <w:pPr>
        <w:rPr>
          <w:sz w:val="28"/>
          <w:szCs w:val="28"/>
        </w:rPr>
      </w:pPr>
    </w:p>
    <w:p w:rsidR="00B12BF9" w:rsidRDefault="00B12BF9" w:rsidP="00915F79">
      <w:pPr>
        <w:rPr>
          <w:sz w:val="28"/>
          <w:szCs w:val="28"/>
        </w:rPr>
      </w:pPr>
    </w:p>
    <w:p w:rsidR="001A4450" w:rsidRDefault="001A4450" w:rsidP="00915F79">
      <w:pPr>
        <w:rPr>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43"/>
        <w:gridCol w:w="5245"/>
      </w:tblGrid>
      <w:tr w:rsidR="00B47BD8" w:rsidRPr="00B47BD8" w:rsidTr="00C4023F">
        <w:tc>
          <w:tcPr>
            <w:tcW w:w="9356" w:type="dxa"/>
            <w:gridSpan w:val="3"/>
          </w:tcPr>
          <w:p w:rsidR="00B47BD8" w:rsidRPr="00B47BD8" w:rsidRDefault="00B47BD8" w:rsidP="00C4023F">
            <w:pPr>
              <w:jc w:val="center"/>
              <w:rPr>
                <w:b/>
              </w:rPr>
            </w:pPr>
            <w:r w:rsidRPr="00B47BD8">
              <w:rPr>
                <w:b/>
              </w:rPr>
              <w:t xml:space="preserve">V. Tiesību </w:t>
            </w:r>
            <w:smartTag w:uri="schemas-tilde-lv/tildestengine" w:element="veidnes">
              <w:smartTagPr>
                <w:attr w:name="baseform" w:val="akt|s"/>
                <w:attr w:name="id" w:val="-1"/>
                <w:attr w:name="text" w:val="akta"/>
              </w:smartTagPr>
              <w:r w:rsidRPr="00B47BD8">
                <w:rPr>
                  <w:b/>
                </w:rPr>
                <w:t>akta</w:t>
              </w:r>
            </w:smartTag>
            <w:r w:rsidRPr="00B47BD8">
              <w:rPr>
                <w:b/>
              </w:rPr>
              <w:t xml:space="preserve"> projekta atbilstība Latvijas Republikas starptautiskajām saistībām </w:t>
            </w:r>
          </w:p>
        </w:tc>
      </w:tr>
      <w:tr w:rsidR="00B47BD8" w:rsidRPr="00B47BD8" w:rsidTr="00C4023F">
        <w:tc>
          <w:tcPr>
            <w:tcW w:w="568" w:type="dxa"/>
          </w:tcPr>
          <w:p w:rsidR="00B47BD8" w:rsidRPr="00B47BD8" w:rsidRDefault="00B47BD8" w:rsidP="00C4023F">
            <w:r w:rsidRPr="00B47BD8">
              <w:t xml:space="preserve">1. </w:t>
            </w:r>
          </w:p>
        </w:tc>
        <w:tc>
          <w:tcPr>
            <w:tcW w:w="3543" w:type="dxa"/>
          </w:tcPr>
          <w:p w:rsidR="00B47BD8" w:rsidRPr="00B47BD8" w:rsidRDefault="00B47BD8" w:rsidP="00C4023F">
            <w:pPr>
              <w:jc w:val="both"/>
            </w:pPr>
            <w:r w:rsidRPr="00B47BD8">
              <w:t xml:space="preserve">Saistības pret Eiropas Savienību </w:t>
            </w:r>
          </w:p>
        </w:tc>
        <w:tc>
          <w:tcPr>
            <w:tcW w:w="5245" w:type="dxa"/>
          </w:tcPr>
          <w:p w:rsidR="00C4023F" w:rsidRPr="00B47BD8" w:rsidRDefault="003872B1" w:rsidP="003872B1">
            <w:pPr>
              <w:jc w:val="both"/>
            </w:pPr>
            <w:r>
              <w:t xml:space="preserve">Eiropas </w:t>
            </w:r>
            <w:r w:rsidRPr="009817ED">
              <w:t>Komisi</w:t>
            </w:r>
            <w:r>
              <w:t>jas 2012</w:t>
            </w:r>
            <w:r w:rsidRPr="009817ED">
              <w:t xml:space="preserve">.gada </w:t>
            </w:r>
            <w:r>
              <w:t>26</w:t>
            </w:r>
            <w:r w:rsidRPr="009817ED">
              <w:t>.</w:t>
            </w:r>
            <w:r>
              <w:t>novembr</w:t>
            </w:r>
            <w:r w:rsidRPr="009817ED">
              <w:t>a Direktīva 20</w:t>
            </w:r>
            <w:r>
              <w:t>12/39</w:t>
            </w:r>
            <w:r w:rsidRPr="009817ED">
              <w:t>/E</w:t>
            </w:r>
            <w:r>
              <w:t>S</w:t>
            </w:r>
            <w:r w:rsidRPr="009817ED">
              <w:t xml:space="preserve">, ar ko </w:t>
            </w:r>
            <w:r>
              <w:t>groza</w:t>
            </w:r>
            <w:r w:rsidRPr="009817ED">
              <w:t xml:space="preserve"> Direktīvu 200</w:t>
            </w:r>
            <w:r>
              <w:t>6/17</w:t>
            </w:r>
            <w:r w:rsidRPr="009817ED">
              <w:t>/EK par noteiktām tehniskajām prasībām cilvēka audu un šūnu testēšanai</w:t>
            </w:r>
          </w:p>
        </w:tc>
      </w:tr>
      <w:tr w:rsidR="00B47BD8" w:rsidRPr="00B47BD8" w:rsidTr="00C4023F">
        <w:tc>
          <w:tcPr>
            <w:tcW w:w="568" w:type="dxa"/>
          </w:tcPr>
          <w:p w:rsidR="00B47BD8" w:rsidRPr="00B47BD8" w:rsidRDefault="00B47BD8" w:rsidP="00C4023F">
            <w:r w:rsidRPr="00B47BD8">
              <w:t xml:space="preserve">2. </w:t>
            </w:r>
          </w:p>
        </w:tc>
        <w:tc>
          <w:tcPr>
            <w:tcW w:w="3543" w:type="dxa"/>
          </w:tcPr>
          <w:p w:rsidR="00B47BD8" w:rsidRPr="00B47BD8" w:rsidRDefault="00B47BD8" w:rsidP="00C4023F">
            <w:pPr>
              <w:jc w:val="both"/>
            </w:pPr>
            <w:r w:rsidRPr="00B47BD8">
              <w:t>Citas starptautiskās saistības</w:t>
            </w:r>
          </w:p>
        </w:tc>
        <w:tc>
          <w:tcPr>
            <w:tcW w:w="5245" w:type="dxa"/>
          </w:tcPr>
          <w:p w:rsidR="00B47BD8" w:rsidRPr="00B47BD8" w:rsidRDefault="00B47BD8" w:rsidP="00C4023F">
            <w:pPr>
              <w:ind w:firstLine="176"/>
              <w:jc w:val="both"/>
            </w:pPr>
            <w:r w:rsidRPr="00B47BD8">
              <w:t>Projekts šo jomu neskar</w:t>
            </w:r>
            <w:r w:rsidR="00FD4C7E">
              <w:t>.</w:t>
            </w:r>
            <w:r w:rsidRPr="00B47BD8">
              <w:t xml:space="preserve"> </w:t>
            </w:r>
          </w:p>
        </w:tc>
      </w:tr>
      <w:tr w:rsidR="00B47BD8" w:rsidRPr="00B47BD8" w:rsidTr="00C4023F">
        <w:tc>
          <w:tcPr>
            <w:tcW w:w="568" w:type="dxa"/>
          </w:tcPr>
          <w:p w:rsidR="00B47BD8" w:rsidRPr="00B47BD8" w:rsidRDefault="00B47BD8" w:rsidP="00C4023F">
            <w:r w:rsidRPr="00B47BD8">
              <w:t>3.</w:t>
            </w:r>
          </w:p>
        </w:tc>
        <w:tc>
          <w:tcPr>
            <w:tcW w:w="3543" w:type="dxa"/>
          </w:tcPr>
          <w:p w:rsidR="00B47BD8" w:rsidRPr="00B47BD8" w:rsidRDefault="00B47BD8" w:rsidP="00C4023F">
            <w:pPr>
              <w:jc w:val="both"/>
            </w:pPr>
            <w:r w:rsidRPr="00B47BD8">
              <w:t xml:space="preserve">Cita informācija </w:t>
            </w:r>
          </w:p>
        </w:tc>
        <w:tc>
          <w:tcPr>
            <w:tcW w:w="5245" w:type="dxa"/>
          </w:tcPr>
          <w:p w:rsidR="00B47BD8" w:rsidRPr="00B47BD8" w:rsidRDefault="00B47BD8" w:rsidP="00C4023F">
            <w:pPr>
              <w:ind w:firstLine="176"/>
            </w:pPr>
            <w:r w:rsidRPr="00B47BD8">
              <w:t>Nav</w:t>
            </w:r>
          </w:p>
        </w:tc>
      </w:tr>
    </w:tbl>
    <w:p w:rsidR="00B47BD8" w:rsidRDefault="00B47BD8" w:rsidP="00B47BD8">
      <w:pPr>
        <w:rPr>
          <w:i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993"/>
        <w:gridCol w:w="572"/>
        <w:gridCol w:w="2333"/>
        <w:gridCol w:w="2333"/>
      </w:tblGrid>
      <w:tr w:rsidR="00B47BD8" w:rsidRPr="00B47BD8" w:rsidTr="00431B9F">
        <w:tc>
          <w:tcPr>
            <w:tcW w:w="9356" w:type="dxa"/>
            <w:gridSpan w:val="5"/>
          </w:tcPr>
          <w:p w:rsidR="00B47BD8" w:rsidRPr="00B47BD8" w:rsidRDefault="00B47BD8" w:rsidP="00C4023F">
            <w:pPr>
              <w:jc w:val="center"/>
              <w:rPr>
                <w:b/>
                <w:color w:val="000000"/>
              </w:rPr>
            </w:pPr>
            <w:r w:rsidRPr="00B47BD8">
              <w:rPr>
                <w:b/>
                <w:color w:val="000000"/>
              </w:rPr>
              <w:t>1.tabula</w:t>
            </w:r>
          </w:p>
          <w:p w:rsidR="00B47BD8" w:rsidRPr="00B47BD8" w:rsidRDefault="00B47BD8" w:rsidP="00C4023F">
            <w:pPr>
              <w:jc w:val="center"/>
              <w:rPr>
                <w:b/>
                <w:color w:val="000000"/>
              </w:rPr>
            </w:pPr>
            <w:r w:rsidRPr="00B47BD8">
              <w:rPr>
                <w:b/>
                <w:color w:val="000000"/>
              </w:rPr>
              <w:t xml:space="preserve">Tiesību akta projekta atbilstība ES tiesību aktiem </w:t>
            </w:r>
          </w:p>
        </w:tc>
      </w:tr>
      <w:tr w:rsidR="00B47BD8" w:rsidRPr="00B47BD8" w:rsidTr="008813A6">
        <w:tc>
          <w:tcPr>
            <w:tcW w:w="2125" w:type="dxa"/>
          </w:tcPr>
          <w:p w:rsidR="00B47BD8" w:rsidRPr="00B47BD8" w:rsidRDefault="00B47BD8" w:rsidP="00C4023F">
            <w:pPr>
              <w:jc w:val="both"/>
              <w:rPr>
                <w:color w:val="000000"/>
              </w:rPr>
            </w:pPr>
            <w:r w:rsidRPr="00B47BD8">
              <w:rPr>
                <w:color w:val="000000"/>
              </w:rPr>
              <w:t>Attiecīgā ES tiesību akta datums, numurs un nosaukums</w:t>
            </w:r>
          </w:p>
        </w:tc>
        <w:tc>
          <w:tcPr>
            <w:tcW w:w="7231" w:type="dxa"/>
            <w:gridSpan w:val="4"/>
          </w:tcPr>
          <w:p w:rsidR="00B47BD8" w:rsidRPr="00B47BD8" w:rsidRDefault="003872B1" w:rsidP="00C4023F">
            <w:pPr>
              <w:ind w:firstLine="176"/>
              <w:jc w:val="both"/>
              <w:rPr>
                <w:color w:val="000000"/>
              </w:rPr>
            </w:pPr>
            <w:r>
              <w:t xml:space="preserve">Eiropas </w:t>
            </w:r>
            <w:r w:rsidRPr="009817ED">
              <w:t>Komisi</w:t>
            </w:r>
            <w:r>
              <w:t>jas 2012</w:t>
            </w:r>
            <w:r w:rsidRPr="009817ED">
              <w:t xml:space="preserve">.gada </w:t>
            </w:r>
            <w:r>
              <w:t>26</w:t>
            </w:r>
            <w:r w:rsidRPr="009817ED">
              <w:t>.</w:t>
            </w:r>
            <w:r>
              <w:t>novembr</w:t>
            </w:r>
            <w:r w:rsidRPr="009817ED">
              <w:t>a Direktīva 20</w:t>
            </w:r>
            <w:r>
              <w:t>12/39</w:t>
            </w:r>
            <w:r w:rsidRPr="009817ED">
              <w:t>/E</w:t>
            </w:r>
            <w:r>
              <w:t>S</w:t>
            </w:r>
            <w:r w:rsidRPr="009817ED">
              <w:t xml:space="preserve">, ar ko </w:t>
            </w:r>
            <w:r>
              <w:t>groza</w:t>
            </w:r>
            <w:r w:rsidRPr="009817ED">
              <w:t xml:space="preserve"> Direktīvu 200</w:t>
            </w:r>
            <w:r>
              <w:t>6/17</w:t>
            </w:r>
            <w:r w:rsidRPr="009817ED">
              <w:t>/EK par noteiktām tehniskajām prasībām cilvēka audu un šūnu testēšanai</w:t>
            </w:r>
          </w:p>
        </w:tc>
      </w:tr>
      <w:tr w:rsidR="00B47BD8" w:rsidRPr="00B47BD8" w:rsidTr="008813A6">
        <w:tc>
          <w:tcPr>
            <w:tcW w:w="2125" w:type="dxa"/>
            <w:vAlign w:val="center"/>
          </w:tcPr>
          <w:p w:rsidR="00B47BD8" w:rsidRPr="00B47BD8" w:rsidRDefault="00B47BD8" w:rsidP="00C4023F">
            <w:pPr>
              <w:ind w:firstLine="176"/>
              <w:jc w:val="center"/>
              <w:rPr>
                <w:color w:val="000000"/>
              </w:rPr>
            </w:pPr>
            <w:r w:rsidRPr="00B47BD8">
              <w:rPr>
                <w:color w:val="000000"/>
              </w:rPr>
              <w:t>A</w:t>
            </w:r>
          </w:p>
        </w:tc>
        <w:tc>
          <w:tcPr>
            <w:tcW w:w="2565" w:type="dxa"/>
            <w:gridSpan w:val="2"/>
            <w:vAlign w:val="center"/>
          </w:tcPr>
          <w:p w:rsidR="00B47BD8" w:rsidRPr="00B47BD8" w:rsidRDefault="00B47BD8" w:rsidP="00C4023F">
            <w:pPr>
              <w:ind w:firstLine="176"/>
              <w:jc w:val="center"/>
              <w:rPr>
                <w:color w:val="000000"/>
              </w:rPr>
            </w:pPr>
            <w:r w:rsidRPr="00B47BD8">
              <w:rPr>
                <w:color w:val="000000"/>
              </w:rPr>
              <w:t>B</w:t>
            </w:r>
          </w:p>
        </w:tc>
        <w:tc>
          <w:tcPr>
            <w:tcW w:w="2333" w:type="dxa"/>
            <w:vAlign w:val="center"/>
          </w:tcPr>
          <w:p w:rsidR="00B47BD8" w:rsidRPr="00B47BD8" w:rsidRDefault="00B47BD8" w:rsidP="00C4023F">
            <w:pPr>
              <w:ind w:firstLine="176"/>
              <w:jc w:val="center"/>
              <w:rPr>
                <w:color w:val="000000"/>
              </w:rPr>
            </w:pPr>
            <w:r w:rsidRPr="00B47BD8">
              <w:rPr>
                <w:color w:val="000000"/>
              </w:rPr>
              <w:t>C</w:t>
            </w:r>
          </w:p>
        </w:tc>
        <w:tc>
          <w:tcPr>
            <w:tcW w:w="2333" w:type="dxa"/>
            <w:vAlign w:val="center"/>
          </w:tcPr>
          <w:p w:rsidR="00B47BD8" w:rsidRPr="00B47BD8" w:rsidRDefault="00B47BD8" w:rsidP="00C4023F">
            <w:pPr>
              <w:ind w:firstLine="176"/>
              <w:jc w:val="center"/>
              <w:rPr>
                <w:color w:val="000000"/>
              </w:rPr>
            </w:pPr>
            <w:r w:rsidRPr="00B47BD8">
              <w:rPr>
                <w:color w:val="000000"/>
              </w:rPr>
              <w:t>D</w:t>
            </w:r>
          </w:p>
        </w:tc>
      </w:tr>
      <w:tr w:rsidR="008843D2" w:rsidRPr="00B47BD8" w:rsidTr="008813A6">
        <w:tc>
          <w:tcPr>
            <w:tcW w:w="2125" w:type="dxa"/>
          </w:tcPr>
          <w:p w:rsidR="008843D2" w:rsidRPr="00C95CF0" w:rsidRDefault="008843D2" w:rsidP="00F3330B">
            <w:pPr>
              <w:rPr>
                <w:lang w:eastAsia="en-US" w:bidi="lo-LA"/>
              </w:rPr>
            </w:pPr>
            <w:r w:rsidRPr="00C95CF0">
              <w:rPr>
                <w:lang w:eastAsia="en-US" w:bidi="lo-LA"/>
              </w:rPr>
              <w:t>Attiecīgā ES tiesību akta panta numurs (uzskaitot katru tiesību akta vienību – pantu, daļu, punktu, apakšpunktu)</w:t>
            </w:r>
          </w:p>
        </w:tc>
        <w:tc>
          <w:tcPr>
            <w:tcW w:w="2565" w:type="dxa"/>
            <w:gridSpan w:val="2"/>
          </w:tcPr>
          <w:p w:rsidR="008843D2" w:rsidRPr="00C95CF0" w:rsidRDefault="008843D2" w:rsidP="00F3330B">
            <w:pPr>
              <w:rPr>
                <w:lang w:eastAsia="en-US" w:bidi="lo-LA"/>
              </w:rPr>
            </w:pPr>
            <w:r w:rsidRPr="00C95CF0">
              <w:rPr>
                <w:lang w:eastAsia="en-US" w:bidi="lo-LA"/>
              </w:rPr>
              <w:t>Projekta vienība, kas pārņem vai ievieš katru šīs tabulas A ailē minēto ES tiesību akta vienību, vai tiesību akts, kur attiecīgā ES tiesību akta vienība pārņemta vai ieviesta</w:t>
            </w:r>
          </w:p>
        </w:tc>
        <w:tc>
          <w:tcPr>
            <w:tcW w:w="2333" w:type="dxa"/>
          </w:tcPr>
          <w:p w:rsidR="008843D2" w:rsidRPr="00C95CF0" w:rsidRDefault="008843D2" w:rsidP="00F3330B">
            <w:pPr>
              <w:rPr>
                <w:lang w:eastAsia="en-US" w:bidi="lo-LA"/>
              </w:rPr>
            </w:pPr>
            <w:r w:rsidRPr="00C95CF0">
              <w:rPr>
                <w:lang w:eastAsia="en-US" w:bidi="lo-LA"/>
              </w:rPr>
              <w:t xml:space="preserve">Informācija par to, vai šīs tabulas A ailē minētās ES tiesību akta vienības tiek pārņemtas vai ieviestas pilnībā vai daļēji. </w:t>
            </w:r>
          </w:p>
          <w:p w:rsidR="008843D2" w:rsidRPr="00C95CF0" w:rsidRDefault="008843D2" w:rsidP="00F3330B">
            <w:pPr>
              <w:rPr>
                <w:lang w:eastAsia="en-US" w:bidi="lo-LA"/>
              </w:rPr>
            </w:pPr>
            <w:r w:rsidRPr="00C95CF0">
              <w:rPr>
                <w:lang w:eastAsia="en-US" w:bidi="lo-LA"/>
              </w:rPr>
              <w:t xml:space="preserve">Ja attiecīgā ES tiesību akta vienība tiek </w:t>
            </w:r>
            <w:r w:rsidRPr="00C95CF0">
              <w:rPr>
                <w:lang w:eastAsia="en-US" w:bidi="lo-LA"/>
              </w:rPr>
              <w:lastRenderedPageBreak/>
              <w:t>pārņemta vai ieviesta daļēji, sniedz attiecīgu skaidrojumu, kā arī precīzi norāda, kad un kādā veidā ES tiesību akta vienība tiks pārņemta vai ieviesta pilnībā.</w:t>
            </w:r>
          </w:p>
          <w:p w:rsidR="008843D2" w:rsidRPr="00C95CF0" w:rsidRDefault="008843D2" w:rsidP="00F3330B">
            <w:pPr>
              <w:rPr>
                <w:lang w:eastAsia="en-US" w:bidi="lo-LA"/>
              </w:rPr>
            </w:pPr>
            <w:r w:rsidRPr="00C95CF0">
              <w:rPr>
                <w:lang w:eastAsia="en-US" w:bidi="lo-LA"/>
              </w:rPr>
              <w:t>Norāda institūciju, kas ir atbildīga par šo saistību izpildi pilnībā</w:t>
            </w:r>
            <w:r w:rsidR="00FD4C7E">
              <w:rPr>
                <w:lang w:eastAsia="en-US" w:bidi="lo-LA"/>
              </w:rPr>
              <w:t>.</w:t>
            </w:r>
          </w:p>
        </w:tc>
        <w:tc>
          <w:tcPr>
            <w:tcW w:w="2333" w:type="dxa"/>
          </w:tcPr>
          <w:p w:rsidR="008843D2" w:rsidRPr="00C95CF0" w:rsidRDefault="008843D2" w:rsidP="00F3330B">
            <w:pPr>
              <w:rPr>
                <w:lang w:eastAsia="en-US" w:bidi="lo-LA"/>
              </w:rPr>
            </w:pPr>
            <w:r w:rsidRPr="00C95CF0">
              <w:rPr>
                <w:lang w:eastAsia="en-US" w:bidi="lo-LA"/>
              </w:rPr>
              <w:lastRenderedPageBreak/>
              <w:t xml:space="preserve">Informācija par to, vai šīs tabulas B ailē minētās projekta vienības paredz stingrākas prasības nekā šīs tabulas A ailē minētās ES tiesību akta vienības. </w:t>
            </w:r>
          </w:p>
          <w:p w:rsidR="008843D2" w:rsidRPr="00C95CF0" w:rsidRDefault="008843D2" w:rsidP="00F3330B">
            <w:pPr>
              <w:rPr>
                <w:lang w:eastAsia="en-US" w:bidi="lo-LA"/>
              </w:rPr>
            </w:pPr>
            <w:r w:rsidRPr="00C95CF0">
              <w:rPr>
                <w:lang w:eastAsia="en-US" w:bidi="lo-LA"/>
              </w:rPr>
              <w:lastRenderedPageBreak/>
              <w:t>Ja projekts satur stingrākas prasības nekā attiecīgais ES tiesību akts, norāda pamatojumu un samērīgumu.</w:t>
            </w:r>
          </w:p>
          <w:p w:rsidR="008843D2" w:rsidRPr="00C95CF0" w:rsidRDefault="008843D2" w:rsidP="00F3330B">
            <w:pPr>
              <w:rPr>
                <w:lang w:eastAsia="en-US" w:bidi="lo-LA"/>
              </w:rPr>
            </w:pPr>
            <w:r w:rsidRPr="00C95CF0">
              <w:rPr>
                <w:lang w:eastAsia="en-US" w:bidi="lo-LA"/>
              </w:rPr>
              <w:t>Norāda iespējamās alternatīvas (t.sk. alternatīvas, kas neparedz tiesiskā regulējuma izstrādi) – kādos gadījumos būtu iespējams izvairīties no stingrāku prasību noteikšanas, nekā paredzēts attiecīgajos ES tiesību aktos</w:t>
            </w:r>
            <w:r w:rsidR="00FD4C7E">
              <w:rPr>
                <w:lang w:eastAsia="en-US" w:bidi="lo-LA"/>
              </w:rPr>
              <w:t>.</w:t>
            </w:r>
          </w:p>
        </w:tc>
      </w:tr>
      <w:tr w:rsidR="003942C4" w:rsidRPr="00B47BD8" w:rsidTr="008813A6">
        <w:tc>
          <w:tcPr>
            <w:tcW w:w="2125" w:type="dxa"/>
          </w:tcPr>
          <w:p w:rsidR="003942C4" w:rsidRPr="00C826AB" w:rsidRDefault="003942C4" w:rsidP="005A278E">
            <w:pPr>
              <w:jc w:val="both"/>
            </w:pPr>
            <w:r w:rsidRPr="00C826AB">
              <w:lastRenderedPageBreak/>
              <w:t xml:space="preserve">1.pants  </w:t>
            </w:r>
          </w:p>
        </w:tc>
        <w:tc>
          <w:tcPr>
            <w:tcW w:w="2565" w:type="dxa"/>
            <w:gridSpan w:val="2"/>
          </w:tcPr>
          <w:p w:rsidR="003942C4" w:rsidRPr="0076042F" w:rsidRDefault="003942C4" w:rsidP="003942C4">
            <w:pPr>
              <w:jc w:val="both"/>
            </w:pPr>
            <w:r w:rsidRPr="0076042F">
              <w:t>Nav jāpārņem, jo nosaka direktīvas mērķi</w:t>
            </w:r>
          </w:p>
        </w:tc>
        <w:tc>
          <w:tcPr>
            <w:tcW w:w="2333" w:type="dxa"/>
          </w:tcPr>
          <w:p w:rsidR="003942C4" w:rsidRPr="0076042F" w:rsidRDefault="003942C4" w:rsidP="003942C4">
            <w:pPr>
              <w:spacing w:before="100" w:beforeAutospacing="1" w:after="100" w:afterAutospacing="1"/>
              <w:jc w:val="both"/>
              <w:rPr>
                <w:color w:val="000000"/>
              </w:rPr>
            </w:pPr>
            <w:r>
              <w:t>Noteikumu projekts</w:t>
            </w:r>
            <w:r w:rsidRPr="0076042F">
              <w:t xml:space="preserve"> šo jomu neskar </w:t>
            </w:r>
          </w:p>
        </w:tc>
        <w:tc>
          <w:tcPr>
            <w:tcW w:w="2333" w:type="dxa"/>
          </w:tcPr>
          <w:p w:rsidR="003942C4" w:rsidRPr="0076042F" w:rsidRDefault="003942C4" w:rsidP="003942C4">
            <w:pPr>
              <w:spacing w:before="100" w:beforeAutospacing="1" w:after="100" w:afterAutospacing="1"/>
              <w:jc w:val="both"/>
              <w:rPr>
                <w:color w:val="000000"/>
              </w:rPr>
            </w:pPr>
            <w:r>
              <w:t>Noteikumu projekts</w:t>
            </w:r>
            <w:r w:rsidRPr="0076042F">
              <w:t xml:space="preserve"> šo jomu neskar</w:t>
            </w:r>
          </w:p>
        </w:tc>
      </w:tr>
      <w:tr w:rsidR="003942C4" w:rsidRPr="00B47BD8" w:rsidTr="008813A6">
        <w:tc>
          <w:tcPr>
            <w:tcW w:w="2125" w:type="dxa"/>
          </w:tcPr>
          <w:p w:rsidR="003942C4" w:rsidRPr="00C826AB" w:rsidRDefault="003942C4" w:rsidP="003872B1">
            <w:pPr>
              <w:jc w:val="both"/>
            </w:pPr>
            <w:r>
              <w:t>2.pants</w:t>
            </w:r>
          </w:p>
        </w:tc>
        <w:tc>
          <w:tcPr>
            <w:tcW w:w="2565" w:type="dxa"/>
            <w:gridSpan w:val="2"/>
          </w:tcPr>
          <w:p w:rsidR="003942C4" w:rsidRPr="00E31D0D" w:rsidRDefault="003942C4" w:rsidP="003942C4">
            <w:pPr>
              <w:jc w:val="both"/>
            </w:pPr>
            <w:r w:rsidRPr="00B9331A">
              <w:t xml:space="preserve">Noteikumu projekta </w:t>
            </w:r>
            <w:r w:rsidR="00930DB7">
              <w:t>1</w:t>
            </w:r>
            <w:r w:rsidRPr="00B9331A">
              <w:t>.punkts</w:t>
            </w:r>
          </w:p>
        </w:tc>
        <w:tc>
          <w:tcPr>
            <w:tcW w:w="2333" w:type="dxa"/>
          </w:tcPr>
          <w:p w:rsidR="003942C4" w:rsidRPr="003942C4" w:rsidRDefault="003942C4" w:rsidP="003942C4">
            <w:pPr>
              <w:jc w:val="both"/>
              <w:rPr>
                <w:color w:val="000000"/>
              </w:rPr>
            </w:pPr>
            <w:r w:rsidRPr="003942C4">
              <w:rPr>
                <w:color w:val="000000"/>
              </w:rPr>
              <w:t xml:space="preserve">Prasības ir pārņemtas pilnībā </w:t>
            </w:r>
          </w:p>
        </w:tc>
        <w:tc>
          <w:tcPr>
            <w:tcW w:w="2333" w:type="dxa"/>
          </w:tcPr>
          <w:p w:rsidR="003942C4" w:rsidRPr="003942C4" w:rsidRDefault="003942C4" w:rsidP="003942C4">
            <w:pPr>
              <w:jc w:val="both"/>
              <w:rPr>
                <w:color w:val="000000"/>
              </w:rPr>
            </w:pPr>
            <w:r w:rsidRPr="003942C4">
              <w:rPr>
                <w:color w:val="000000"/>
              </w:rPr>
              <w:t>Attiecīgais regulējums stingrākas prasības neparedz</w:t>
            </w:r>
          </w:p>
        </w:tc>
      </w:tr>
      <w:tr w:rsidR="007763E1" w:rsidRPr="00B47BD8" w:rsidTr="008813A6">
        <w:tc>
          <w:tcPr>
            <w:tcW w:w="2125" w:type="dxa"/>
          </w:tcPr>
          <w:p w:rsidR="007763E1" w:rsidRPr="00C826AB" w:rsidRDefault="007763E1" w:rsidP="003872B1">
            <w:pPr>
              <w:jc w:val="both"/>
            </w:pPr>
            <w:r>
              <w:t>3.pants</w:t>
            </w:r>
          </w:p>
        </w:tc>
        <w:tc>
          <w:tcPr>
            <w:tcW w:w="2565" w:type="dxa"/>
            <w:gridSpan w:val="2"/>
          </w:tcPr>
          <w:p w:rsidR="007763E1" w:rsidRPr="0076042F" w:rsidRDefault="007763E1" w:rsidP="007763E1">
            <w:pPr>
              <w:jc w:val="both"/>
            </w:pPr>
            <w:r w:rsidRPr="0076042F">
              <w:t xml:space="preserve">Nav jāpārņem, jo nosaka direktīvas </w:t>
            </w:r>
            <w:r>
              <w:t>spēkā stāšanos</w:t>
            </w:r>
          </w:p>
        </w:tc>
        <w:tc>
          <w:tcPr>
            <w:tcW w:w="2333" w:type="dxa"/>
          </w:tcPr>
          <w:p w:rsidR="007763E1" w:rsidRPr="0076042F" w:rsidRDefault="007763E1" w:rsidP="00A23F1B">
            <w:pPr>
              <w:spacing w:before="100" w:beforeAutospacing="1" w:after="100" w:afterAutospacing="1"/>
              <w:jc w:val="both"/>
              <w:rPr>
                <w:color w:val="000000"/>
              </w:rPr>
            </w:pPr>
            <w:r>
              <w:t>Noteikumu projekts</w:t>
            </w:r>
            <w:r w:rsidRPr="0076042F">
              <w:t xml:space="preserve"> šo jomu neskar </w:t>
            </w:r>
          </w:p>
        </w:tc>
        <w:tc>
          <w:tcPr>
            <w:tcW w:w="2333" w:type="dxa"/>
          </w:tcPr>
          <w:p w:rsidR="007763E1" w:rsidRPr="0076042F" w:rsidRDefault="007763E1" w:rsidP="00A23F1B">
            <w:pPr>
              <w:spacing w:before="100" w:beforeAutospacing="1" w:after="100" w:afterAutospacing="1"/>
              <w:jc w:val="both"/>
              <w:rPr>
                <w:color w:val="000000"/>
              </w:rPr>
            </w:pPr>
            <w:r>
              <w:t>Noteikumu projekts</w:t>
            </w:r>
            <w:r w:rsidRPr="0076042F">
              <w:t xml:space="preserve"> šo jomu neskar</w:t>
            </w:r>
          </w:p>
        </w:tc>
      </w:tr>
      <w:tr w:rsidR="007763E1" w:rsidRPr="00B47BD8" w:rsidTr="008813A6">
        <w:tc>
          <w:tcPr>
            <w:tcW w:w="2125" w:type="dxa"/>
          </w:tcPr>
          <w:p w:rsidR="007763E1" w:rsidRPr="00C826AB" w:rsidRDefault="007763E1" w:rsidP="003872B1">
            <w:pPr>
              <w:jc w:val="both"/>
            </w:pPr>
            <w:r>
              <w:t>4.pants</w:t>
            </w:r>
          </w:p>
        </w:tc>
        <w:tc>
          <w:tcPr>
            <w:tcW w:w="2565" w:type="dxa"/>
            <w:gridSpan w:val="2"/>
          </w:tcPr>
          <w:p w:rsidR="007763E1" w:rsidRPr="0076042F" w:rsidRDefault="007763E1" w:rsidP="007763E1">
            <w:pPr>
              <w:jc w:val="both"/>
            </w:pPr>
            <w:r w:rsidRPr="0076042F">
              <w:t xml:space="preserve">Nav jāpārņem, jo nosaka direktīvas </w:t>
            </w:r>
            <w:r>
              <w:t>adresātus</w:t>
            </w:r>
          </w:p>
        </w:tc>
        <w:tc>
          <w:tcPr>
            <w:tcW w:w="2333" w:type="dxa"/>
          </w:tcPr>
          <w:p w:rsidR="007763E1" w:rsidRPr="0076042F" w:rsidRDefault="007763E1" w:rsidP="00A23F1B">
            <w:pPr>
              <w:spacing w:before="100" w:beforeAutospacing="1" w:after="100" w:afterAutospacing="1"/>
              <w:jc w:val="both"/>
              <w:rPr>
                <w:color w:val="000000"/>
              </w:rPr>
            </w:pPr>
            <w:r>
              <w:t>Noteikumu projekts</w:t>
            </w:r>
            <w:r w:rsidRPr="0076042F">
              <w:t xml:space="preserve"> šo jomu neskar </w:t>
            </w:r>
          </w:p>
        </w:tc>
        <w:tc>
          <w:tcPr>
            <w:tcW w:w="2333" w:type="dxa"/>
          </w:tcPr>
          <w:p w:rsidR="007763E1" w:rsidRPr="0076042F" w:rsidRDefault="007763E1" w:rsidP="00A23F1B">
            <w:pPr>
              <w:spacing w:before="100" w:beforeAutospacing="1" w:after="100" w:afterAutospacing="1"/>
              <w:jc w:val="both"/>
              <w:rPr>
                <w:color w:val="000000"/>
              </w:rPr>
            </w:pPr>
            <w:r>
              <w:t>Noteikumu projekts</w:t>
            </w:r>
            <w:r w:rsidRPr="0076042F">
              <w:t xml:space="preserve"> šo jomu neskar</w:t>
            </w:r>
          </w:p>
        </w:tc>
      </w:tr>
      <w:tr w:rsidR="007763E1" w:rsidRPr="00B47BD8" w:rsidTr="008813A6">
        <w:tc>
          <w:tcPr>
            <w:tcW w:w="2125" w:type="dxa"/>
          </w:tcPr>
          <w:p w:rsidR="007763E1" w:rsidRPr="00C826AB" w:rsidRDefault="007763E1" w:rsidP="003872B1">
            <w:pPr>
              <w:jc w:val="both"/>
            </w:pPr>
            <w:r>
              <w:t>Pielikuma 1.punkts</w:t>
            </w:r>
          </w:p>
        </w:tc>
        <w:tc>
          <w:tcPr>
            <w:tcW w:w="2565" w:type="dxa"/>
            <w:gridSpan w:val="2"/>
          </w:tcPr>
          <w:p w:rsidR="007763E1" w:rsidRPr="00E31D0D" w:rsidRDefault="007763E1" w:rsidP="007763E1">
            <w:pPr>
              <w:jc w:val="both"/>
            </w:pPr>
            <w:r w:rsidRPr="00B9331A">
              <w:t xml:space="preserve">Noteikumu projekta </w:t>
            </w:r>
            <w:r w:rsidR="00930DB7">
              <w:t>2</w:t>
            </w:r>
            <w:r w:rsidRPr="00B9331A">
              <w:t>.punkts</w:t>
            </w:r>
            <w:r w:rsidR="00930DB7">
              <w:t xml:space="preserve"> (attiecībā uz noteikumu 3.pielikuma 1.2.punktu)</w:t>
            </w:r>
          </w:p>
        </w:tc>
        <w:tc>
          <w:tcPr>
            <w:tcW w:w="2333" w:type="dxa"/>
          </w:tcPr>
          <w:p w:rsidR="007763E1" w:rsidRPr="003942C4" w:rsidRDefault="007763E1" w:rsidP="00A23F1B">
            <w:pPr>
              <w:jc w:val="both"/>
              <w:rPr>
                <w:color w:val="000000"/>
              </w:rPr>
            </w:pPr>
            <w:r w:rsidRPr="003942C4">
              <w:rPr>
                <w:color w:val="000000"/>
              </w:rPr>
              <w:t xml:space="preserve">Prasības ir pārņemtas pilnībā </w:t>
            </w:r>
          </w:p>
        </w:tc>
        <w:tc>
          <w:tcPr>
            <w:tcW w:w="2333" w:type="dxa"/>
          </w:tcPr>
          <w:p w:rsidR="007763E1" w:rsidRPr="003942C4" w:rsidRDefault="007763E1" w:rsidP="00A23F1B">
            <w:pPr>
              <w:jc w:val="both"/>
              <w:rPr>
                <w:color w:val="000000"/>
              </w:rPr>
            </w:pPr>
            <w:r w:rsidRPr="003942C4">
              <w:rPr>
                <w:color w:val="000000"/>
              </w:rPr>
              <w:t>Attiecīgais regulējums stingrākas prasības neparedz</w:t>
            </w:r>
          </w:p>
        </w:tc>
      </w:tr>
      <w:tr w:rsidR="007763E1" w:rsidRPr="00B47BD8" w:rsidTr="008813A6">
        <w:tc>
          <w:tcPr>
            <w:tcW w:w="2125" w:type="dxa"/>
          </w:tcPr>
          <w:p w:rsidR="007763E1" w:rsidRPr="00C826AB" w:rsidRDefault="007763E1" w:rsidP="003872B1">
            <w:pPr>
              <w:jc w:val="both"/>
            </w:pPr>
            <w:r>
              <w:t>Pielikuma 2.punkta a apakšpunkts</w:t>
            </w:r>
          </w:p>
        </w:tc>
        <w:tc>
          <w:tcPr>
            <w:tcW w:w="2565" w:type="dxa"/>
            <w:gridSpan w:val="2"/>
          </w:tcPr>
          <w:p w:rsidR="007763E1" w:rsidRPr="00E31D0D" w:rsidRDefault="007763E1" w:rsidP="00A23F1B">
            <w:pPr>
              <w:jc w:val="both"/>
            </w:pPr>
            <w:r w:rsidRPr="00B9331A">
              <w:t xml:space="preserve">Noteikumu projekta </w:t>
            </w:r>
            <w:r w:rsidR="00930DB7">
              <w:t>2</w:t>
            </w:r>
            <w:r w:rsidRPr="00B9331A">
              <w:t>.punkts</w:t>
            </w:r>
            <w:r w:rsidR="00930DB7">
              <w:t xml:space="preserve"> (attiecībā uz noteikumu 4.pielikuma 2.4.punktu)</w:t>
            </w:r>
          </w:p>
        </w:tc>
        <w:tc>
          <w:tcPr>
            <w:tcW w:w="2333" w:type="dxa"/>
          </w:tcPr>
          <w:p w:rsidR="007763E1" w:rsidRPr="003942C4" w:rsidRDefault="007763E1" w:rsidP="00A23F1B">
            <w:pPr>
              <w:jc w:val="both"/>
              <w:rPr>
                <w:color w:val="000000"/>
              </w:rPr>
            </w:pPr>
            <w:r w:rsidRPr="003942C4">
              <w:rPr>
                <w:color w:val="000000"/>
              </w:rPr>
              <w:t xml:space="preserve">Prasības ir pārņemtas pilnībā </w:t>
            </w:r>
          </w:p>
        </w:tc>
        <w:tc>
          <w:tcPr>
            <w:tcW w:w="2333" w:type="dxa"/>
          </w:tcPr>
          <w:p w:rsidR="007763E1" w:rsidRPr="003942C4" w:rsidRDefault="007763E1" w:rsidP="00A23F1B">
            <w:pPr>
              <w:jc w:val="both"/>
              <w:rPr>
                <w:color w:val="000000"/>
              </w:rPr>
            </w:pPr>
            <w:r w:rsidRPr="003942C4">
              <w:rPr>
                <w:color w:val="000000"/>
              </w:rPr>
              <w:t>Attiecīgais regulējums stingrākas prasības neparedz</w:t>
            </w:r>
          </w:p>
        </w:tc>
      </w:tr>
      <w:tr w:rsidR="007763E1" w:rsidRPr="00B47BD8" w:rsidTr="008813A6">
        <w:tc>
          <w:tcPr>
            <w:tcW w:w="2125" w:type="dxa"/>
          </w:tcPr>
          <w:p w:rsidR="007763E1" w:rsidRPr="00C826AB" w:rsidRDefault="007763E1" w:rsidP="005A278E">
            <w:pPr>
              <w:jc w:val="both"/>
            </w:pPr>
            <w:r>
              <w:t>Pielikuma 2.punkta b apakšpunkts</w:t>
            </w:r>
          </w:p>
        </w:tc>
        <w:tc>
          <w:tcPr>
            <w:tcW w:w="2565" w:type="dxa"/>
            <w:gridSpan w:val="2"/>
          </w:tcPr>
          <w:p w:rsidR="007763E1" w:rsidRPr="00E31D0D" w:rsidRDefault="007763E1" w:rsidP="007763E1">
            <w:pPr>
              <w:jc w:val="both"/>
            </w:pPr>
            <w:r w:rsidRPr="00B9331A">
              <w:t xml:space="preserve">Noteikumu projekta </w:t>
            </w:r>
            <w:r w:rsidR="00930DB7">
              <w:t>2</w:t>
            </w:r>
            <w:r w:rsidRPr="00B9331A">
              <w:t>.punkts</w:t>
            </w:r>
            <w:r w:rsidR="00930DB7">
              <w:t xml:space="preserve"> (attiecībā uz noteikumu 4.pielikuma 3.3.punktu)</w:t>
            </w:r>
          </w:p>
        </w:tc>
        <w:tc>
          <w:tcPr>
            <w:tcW w:w="2333" w:type="dxa"/>
          </w:tcPr>
          <w:p w:rsidR="007763E1" w:rsidRPr="003942C4" w:rsidRDefault="007763E1" w:rsidP="00A23F1B">
            <w:pPr>
              <w:jc w:val="both"/>
              <w:rPr>
                <w:color w:val="000000"/>
              </w:rPr>
            </w:pPr>
            <w:r w:rsidRPr="003942C4">
              <w:rPr>
                <w:color w:val="000000"/>
              </w:rPr>
              <w:t xml:space="preserve">Prasības ir pārņemtas pilnībā </w:t>
            </w:r>
          </w:p>
        </w:tc>
        <w:tc>
          <w:tcPr>
            <w:tcW w:w="2333" w:type="dxa"/>
          </w:tcPr>
          <w:p w:rsidR="007763E1" w:rsidRPr="003942C4" w:rsidRDefault="007763E1" w:rsidP="00A23F1B">
            <w:pPr>
              <w:jc w:val="both"/>
              <w:rPr>
                <w:color w:val="000000"/>
              </w:rPr>
            </w:pPr>
            <w:r w:rsidRPr="003942C4">
              <w:rPr>
                <w:color w:val="000000"/>
              </w:rPr>
              <w:t>Attiecīgais regulējums stingrākas prasības neparedz</w:t>
            </w:r>
          </w:p>
        </w:tc>
      </w:tr>
      <w:tr w:rsidR="007763E1" w:rsidRPr="00B47BD8" w:rsidTr="008813A6">
        <w:tc>
          <w:tcPr>
            <w:tcW w:w="2125" w:type="dxa"/>
          </w:tcPr>
          <w:p w:rsidR="007763E1" w:rsidRPr="00C826AB" w:rsidRDefault="007763E1" w:rsidP="003872B1">
            <w:pPr>
              <w:jc w:val="both"/>
            </w:pPr>
            <w:r>
              <w:t>Pielikuma 2.punkta c apakšpunkts</w:t>
            </w:r>
          </w:p>
        </w:tc>
        <w:tc>
          <w:tcPr>
            <w:tcW w:w="2565" w:type="dxa"/>
            <w:gridSpan w:val="2"/>
          </w:tcPr>
          <w:p w:rsidR="007763E1" w:rsidRPr="00E31D0D" w:rsidRDefault="007763E1" w:rsidP="007763E1">
            <w:pPr>
              <w:jc w:val="both"/>
            </w:pPr>
            <w:r w:rsidRPr="00B9331A">
              <w:t xml:space="preserve">Noteikumu projekta </w:t>
            </w:r>
            <w:r w:rsidR="00930DB7">
              <w:t>3</w:t>
            </w:r>
            <w:r w:rsidRPr="00B9331A">
              <w:t>.punkts</w:t>
            </w:r>
          </w:p>
        </w:tc>
        <w:tc>
          <w:tcPr>
            <w:tcW w:w="2333" w:type="dxa"/>
          </w:tcPr>
          <w:p w:rsidR="007763E1" w:rsidRPr="003942C4" w:rsidRDefault="007763E1" w:rsidP="00A23F1B">
            <w:pPr>
              <w:jc w:val="both"/>
              <w:rPr>
                <w:color w:val="000000"/>
              </w:rPr>
            </w:pPr>
            <w:r w:rsidRPr="003942C4">
              <w:rPr>
                <w:color w:val="000000"/>
              </w:rPr>
              <w:t xml:space="preserve">Prasības ir pārņemtas pilnībā </w:t>
            </w:r>
          </w:p>
        </w:tc>
        <w:tc>
          <w:tcPr>
            <w:tcW w:w="2333" w:type="dxa"/>
          </w:tcPr>
          <w:p w:rsidR="007763E1" w:rsidRPr="003942C4" w:rsidRDefault="007763E1" w:rsidP="00A23F1B">
            <w:pPr>
              <w:jc w:val="both"/>
              <w:rPr>
                <w:color w:val="000000"/>
              </w:rPr>
            </w:pPr>
            <w:r w:rsidRPr="003942C4">
              <w:rPr>
                <w:color w:val="000000"/>
              </w:rPr>
              <w:t>Attiecīgais regulējums stingrākas prasības neparedz</w:t>
            </w:r>
          </w:p>
        </w:tc>
      </w:tr>
      <w:tr w:rsidR="007763E1" w:rsidRPr="00B47BD8" w:rsidTr="008813A6">
        <w:tc>
          <w:tcPr>
            <w:tcW w:w="4118" w:type="dxa"/>
            <w:gridSpan w:val="2"/>
          </w:tcPr>
          <w:p w:rsidR="007763E1" w:rsidRPr="00B47BD8" w:rsidRDefault="007763E1" w:rsidP="006B7A7D">
            <w:pPr>
              <w:spacing w:before="75" w:after="75"/>
              <w:jc w:val="both"/>
              <w:rPr>
                <w:color w:val="000000"/>
              </w:rPr>
            </w:pPr>
            <w:r w:rsidRPr="00B47BD8">
              <w:rPr>
                <w:color w:val="000000"/>
              </w:rPr>
              <w:t>Kā ir izmantota ES tiesību aktā paredzētā rīcības brīvība dalībvalstij pārņemt vai ieviest noteiktas ES tiesību akta normas.</w:t>
            </w:r>
          </w:p>
          <w:p w:rsidR="007763E1" w:rsidRPr="00B47BD8" w:rsidRDefault="007763E1" w:rsidP="006B7A7D">
            <w:pPr>
              <w:jc w:val="both"/>
              <w:rPr>
                <w:color w:val="000000"/>
              </w:rPr>
            </w:pPr>
            <w:r w:rsidRPr="00B47BD8">
              <w:rPr>
                <w:color w:val="000000"/>
              </w:rPr>
              <w:t>Kādēļ?</w:t>
            </w:r>
          </w:p>
        </w:tc>
        <w:tc>
          <w:tcPr>
            <w:tcW w:w="5238" w:type="dxa"/>
            <w:gridSpan w:val="3"/>
          </w:tcPr>
          <w:p w:rsidR="007763E1" w:rsidRPr="00A073FC" w:rsidRDefault="007763E1" w:rsidP="007911E5">
            <w:pPr>
              <w:jc w:val="both"/>
            </w:pPr>
            <w:r w:rsidRPr="00E31D0D">
              <w:t xml:space="preserve"> </w:t>
            </w:r>
            <w:r w:rsidRPr="00B47BD8">
              <w:rPr>
                <w:color w:val="000000"/>
              </w:rPr>
              <w:t>Projekts šo jomu neskar</w:t>
            </w:r>
            <w:r>
              <w:rPr>
                <w:color w:val="000000"/>
              </w:rPr>
              <w:t>.</w:t>
            </w:r>
          </w:p>
        </w:tc>
      </w:tr>
      <w:tr w:rsidR="007763E1" w:rsidRPr="00B47BD8" w:rsidTr="008813A6">
        <w:tc>
          <w:tcPr>
            <w:tcW w:w="4118" w:type="dxa"/>
            <w:gridSpan w:val="2"/>
          </w:tcPr>
          <w:p w:rsidR="007763E1" w:rsidRPr="00B47BD8" w:rsidRDefault="007763E1" w:rsidP="006B7A7D">
            <w:pPr>
              <w:jc w:val="both"/>
              <w:rPr>
                <w:color w:val="000000"/>
              </w:rPr>
            </w:pPr>
            <w:r w:rsidRPr="00B47BD8">
              <w:rPr>
                <w:color w:val="000000"/>
              </w:rPr>
              <w:t xml:space="preserve">Saistības sniegt paziņojumu ES </w:t>
            </w:r>
            <w:r w:rsidRPr="00B47BD8">
              <w:rPr>
                <w:color w:val="000000"/>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5238" w:type="dxa"/>
            <w:gridSpan w:val="3"/>
          </w:tcPr>
          <w:p w:rsidR="007763E1" w:rsidRPr="00B47BD8" w:rsidRDefault="007763E1" w:rsidP="006B7A7D">
            <w:pPr>
              <w:jc w:val="both"/>
              <w:rPr>
                <w:color w:val="000000"/>
              </w:rPr>
            </w:pPr>
            <w:r w:rsidRPr="00B47BD8">
              <w:rPr>
                <w:color w:val="000000"/>
              </w:rPr>
              <w:lastRenderedPageBreak/>
              <w:t>Projekts šo jomu neskar</w:t>
            </w:r>
            <w:r>
              <w:rPr>
                <w:color w:val="000000"/>
              </w:rPr>
              <w:t>.</w:t>
            </w:r>
          </w:p>
        </w:tc>
      </w:tr>
      <w:tr w:rsidR="007763E1" w:rsidRPr="00B47BD8" w:rsidTr="008813A6">
        <w:tc>
          <w:tcPr>
            <w:tcW w:w="4118" w:type="dxa"/>
            <w:gridSpan w:val="2"/>
          </w:tcPr>
          <w:p w:rsidR="007763E1" w:rsidRPr="00B47BD8" w:rsidRDefault="007763E1" w:rsidP="006B7A7D">
            <w:pPr>
              <w:jc w:val="both"/>
              <w:rPr>
                <w:color w:val="000000"/>
              </w:rPr>
            </w:pPr>
            <w:r w:rsidRPr="00B47BD8">
              <w:rPr>
                <w:color w:val="000000"/>
              </w:rPr>
              <w:lastRenderedPageBreak/>
              <w:t>Cita informācija</w:t>
            </w:r>
          </w:p>
        </w:tc>
        <w:tc>
          <w:tcPr>
            <w:tcW w:w="5238" w:type="dxa"/>
            <w:gridSpan w:val="3"/>
          </w:tcPr>
          <w:p w:rsidR="007763E1" w:rsidRPr="00B47BD8" w:rsidRDefault="007763E1" w:rsidP="00814E0B">
            <w:pPr>
              <w:jc w:val="both"/>
              <w:rPr>
                <w:color w:val="000000"/>
                <w:highlight w:val="yellow"/>
              </w:rPr>
            </w:pPr>
            <w:r>
              <w:rPr>
                <w:color w:val="000000"/>
              </w:rPr>
              <w:t>Nav</w:t>
            </w:r>
          </w:p>
        </w:tc>
      </w:tr>
    </w:tbl>
    <w:p w:rsidR="009753A6" w:rsidRDefault="009753A6" w:rsidP="00915F79">
      <w:pPr>
        <w:rPr>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110"/>
        <w:gridCol w:w="4678"/>
      </w:tblGrid>
      <w:tr w:rsidR="009331AD" w:rsidRPr="002C7FCC" w:rsidTr="007F2E82">
        <w:tc>
          <w:tcPr>
            <w:tcW w:w="9356" w:type="dxa"/>
            <w:gridSpan w:val="3"/>
          </w:tcPr>
          <w:p w:rsidR="009331AD" w:rsidRPr="002C7FCC" w:rsidRDefault="009331AD" w:rsidP="007F2E82">
            <w:pPr>
              <w:jc w:val="center"/>
              <w:rPr>
                <w:b/>
              </w:rPr>
            </w:pPr>
            <w:r w:rsidRPr="002C7FCC">
              <w:rPr>
                <w:b/>
              </w:rPr>
              <w:t xml:space="preserve">VI. </w:t>
            </w:r>
            <w:r>
              <w:rPr>
                <w:b/>
              </w:rPr>
              <w:t>Sabiedrības līdzdalība un komunikācijas aktivitātes</w:t>
            </w:r>
          </w:p>
        </w:tc>
      </w:tr>
      <w:tr w:rsidR="009331AD" w:rsidRPr="00426F8E" w:rsidTr="007F2E82">
        <w:tc>
          <w:tcPr>
            <w:tcW w:w="568" w:type="dxa"/>
          </w:tcPr>
          <w:p w:rsidR="009331AD" w:rsidRPr="002C7FCC" w:rsidRDefault="007F2E82" w:rsidP="009331AD">
            <w:r>
              <w:t>1.</w:t>
            </w:r>
          </w:p>
        </w:tc>
        <w:tc>
          <w:tcPr>
            <w:tcW w:w="4110" w:type="dxa"/>
          </w:tcPr>
          <w:p w:rsidR="009331AD" w:rsidRPr="002C7FCC" w:rsidRDefault="007F2E82" w:rsidP="009331AD">
            <w:r>
              <w:t>Plānotās sabiedrības līdzdalības un komunikācijas aktiv</w:t>
            </w:r>
            <w:r w:rsidR="009719CB">
              <w:t>i</w:t>
            </w:r>
            <w:r>
              <w:t>tātes saistībā ar projektu</w:t>
            </w:r>
          </w:p>
        </w:tc>
        <w:tc>
          <w:tcPr>
            <w:tcW w:w="4678" w:type="dxa"/>
          </w:tcPr>
          <w:p w:rsidR="00963405" w:rsidRPr="00225063" w:rsidRDefault="00963405" w:rsidP="009331AD">
            <w:pPr>
              <w:jc w:val="both"/>
            </w:pPr>
            <w:r w:rsidRPr="00225063">
              <w:t>Informācija ir ievietota Veselības ministrijas mājas lapā</w:t>
            </w:r>
            <w:r w:rsidR="00442419" w:rsidRPr="00225063">
              <w:t>.</w:t>
            </w:r>
            <w:r w:rsidR="009719CB">
              <w:t xml:space="preserve"> Noteikumu projekts izvērtēšanai tika nosūtīts audu centriem</w:t>
            </w:r>
          </w:p>
        </w:tc>
      </w:tr>
      <w:tr w:rsidR="009331AD" w:rsidRPr="00426F8E" w:rsidTr="007F2E82">
        <w:tc>
          <w:tcPr>
            <w:tcW w:w="568" w:type="dxa"/>
          </w:tcPr>
          <w:p w:rsidR="009331AD" w:rsidRPr="002C7FCC" w:rsidRDefault="007F2E82" w:rsidP="009331AD">
            <w:r>
              <w:t>2.</w:t>
            </w:r>
          </w:p>
        </w:tc>
        <w:tc>
          <w:tcPr>
            <w:tcW w:w="4110" w:type="dxa"/>
          </w:tcPr>
          <w:p w:rsidR="009331AD" w:rsidRPr="002C7FCC" w:rsidRDefault="007F2E82" w:rsidP="009331AD">
            <w:r>
              <w:t>Sabiedrības līdzdalība projekta izstrādē</w:t>
            </w:r>
          </w:p>
        </w:tc>
        <w:tc>
          <w:tcPr>
            <w:tcW w:w="4678" w:type="dxa"/>
          </w:tcPr>
          <w:p w:rsidR="009331AD" w:rsidRPr="00426F8E" w:rsidRDefault="009719CB" w:rsidP="0096736C">
            <w:pPr>
              <w:jc w:val="both"/>
            </w:pPr>
            <w:r w:rsidRPr="00225063">
              <w:t>Informācija ir ievietota Veselības ministrijas mājas lapā.</w:t>
            </w:r>
            <w:r>
              <w:t xml:space="preserve"> Noteikumu projekts izvērtēšanai tika nosūtīts audu centriem</w:t>
            </w:r>
          </w:p>
        </w:tc>
      </w:tr>
      <w:tr w:rsidR="009719CB" w:rsidRPr="00426F8E" w:rsidTr="007F2E82">
        <w:tc>
          <w:tcPr>
            <w:tcW w:w="568" w:type="dxa"/>
          </w:tcPr>
          <w:p w:rsidR="009719CB" w:rsidRPr="002C7FCC" w:rsidRDefault="009719CB" w:rsidP="009331AD">
            <w:r>
              <w:t>3.</w:t>
            </w:r>
          </w:p>
        </w:tc>
        <w:tc>
          <w:tcPr>
            <w:tcW w:w="4110" w:type="dxa"/>
          </w:tcPr>
          <w:p w:rsidR="009719CB" w:rsidRPr="002C7FCC" w:rsidRDefault="009719CB" w:rsidP="009331AD">
            <w:r>
              <w:t>Sabiedrības līdzdalības rezultāti</w:t>
            </w:r>
          </w:p>
          <w:p w:rsidR="009719CB" w:rsidRPr="002C7FCC" w:rsidRDefault="009719CB" w:rsidP="009331AD"/>
        </w:tc>
        <w:tc>
          <w:tcPr>
            <w:tcW w:w="4678" w:type="dxa"/>
          </w:tcPr>
          <w:p w:rsidR="009719CB" w:rsidRPr="00426F8E" w:rsidRDefault="00CC1B90" w:rsidP="009719CB">
            <w:pPr>
              <w:jc w:val="both"/>
            </w:pPr>
            <w:r>
              <w:t>P</w:t>
            </w:r>
            <w:r w:rsidR="009719CB">
              <w:t>ar Noteikumu projekta redakciju nav saņemti priekšlikumi vai iebildumi</w:t>
            </w:r>
          </w:p>
        </w:tc>
      </w:tr>
      <w:tr w:rsidR="009719CB" w:rsidRPr="00426F8E" w:rsidTr="007F2E82">
        <w:tc>
          <w:tcPr>
            <w:tcW w:w="568" w:type="dxa"/>
          </w:tcPr>
          <w:p w:rsidR="009719CB" w:rsidRPr="002C7FCC" w:rsidRDefault="009719CB" w:rsidP="009331AD">
            <w:r>
              <w:t>4.</w:t>
            </w:r>
          </w:p>
        </w:tc>
        <w:tc>
          <w:tcPr>
            <w:tcW w:w="4110" w:type="dxa"/>
          </w:tcPr>
          <w:p w:rsidR="009719CB" w:rsidRPr="002C7FCC" w:rsidRDefault="009719CB" w:rsidP="009331AD">
            <w:r w:rsidRPr="002C7FCC">
              <w:t>Cita informācija</w:t>
            </w:r>
          </w:p>
        </w:tc>
        <w:tc>
          <w:tcPr>
            <w:tcW w:w="4678" w:type="dxa"/>
          </w:tcPr>
          <w:p w:rsidR="009719CB" w:rsidRPr="00426F8E" w:rsidRDefault="009719CB" w:rsidP="009331AD">
            <w:r w:rsidRPr="00426F8E">
              <w:t>Nav</w:t>
            </w:r>
          </w:p>
        </w:tc>
      </w:tr>
    </w:tbl>
    <w:p w:rsidR="009331AD" w:rsidRDefault="009331AD" w:rsidP="00915F79">
      <w:pPr>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4678"/>
      </w:tblGrid>
      <w:tr w:rsidR="002C2B9A" w:rsidRPr="003A0775" w:rsidTr="002E245C">
        <w:tc>
          <w:tcPr>
            <w:tcW w:w="9322" w:type="dxa"/>
            <w:gridSpan w:val="3"/>
          </w:tcPr>
          <w:p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rsidTr="002E245C">
        <w:tc>
          <w:tcPr>
            <w:tcW w:w="534" w:type="dxa"/>
          </w:tcPr>
          <w:p w:rsidR="002C2B9A" w:rsidRPr="002C7FCC" w:rsidRDefault="002C2B9A" w:rsidP="002C2B9A">
            <w:r w:rsidRPr="002C7FCC">
              <w:t>1.</w:t>
            </w:r>
          </w:p>
        </w:tc>
        <w:tc>
          <w:tcPr>
            <w:tcW w:w="4110" w:type="dxa"/>
          </w:tcPr>
          <w:p w:rsidR="002C2B9A" w:rsidRPr="002C7FCC" w:rsidRDefault="002C2B9A" w:rsidP="002C2B9A">
            <w:r w:rsidRPr="002C7FCC">
              <w:t>Projekta izpildē iesaistītās institūcijas</w:t>
            </w:r>
          </w:p>
        </w:tc>
        <w:tc>
          <w:tcPr>
            <w:tcW w:w="4678" w:type="dxa"/>
          </w:tcPr>
          <w:p w:rsidR="002C2B9A" w:rsidRPr="00426F8E" w:rsidRDefault="007F2E82" w:rsidP="003A59CE">
            <w:pPr>
              <w:jc w:val="both"/>
            </w:pPr>
            <w:r>
              <w:t>N</w:t>
            </w:r>
            <w:r w:rsidR="00DB4F64" w:rsidRPr="00426F8E">
              <w:t>oteikumu projektā ietvert</w:t>
            </w:r>
            <w:r w:rsidR="00E56AB7">
              <w:t>o</w:t>
            </w:r>
            <w:r w:rsidR="00DB4F64" w:rsidRPr="00426F8E">
              <w:t xml:space="preserve"> prasīb</w:t>
            </w:r>
            <w:r w:rsidR="00E56AB7">
              <w:t>u</w:t>
            </w:r>
            <w:r w:rsidR="00DB4F64" w:rsidRPr="00426F8E">
              <w:t xml:space="preserve"> </w:t>
            </w:r>
            <w:r>
              <w:t>izpildi nodrošinās</w:t>
            </w:r>
            <w:r w:rsidR="00E56AB7">
              <w:t xml:space="preserve"> </w:t>
            </w:r>
            <w:r w:rsidR="007763E1">
              <w:t>Zāļu valsts a</w:t>
            </w:r>
            <w:r w:rsidR="00E56AB7">
              <w:t>ģentūra</w:t>
            </w:r>
            <w:r w:rsidR="0072275C" w:rsidRPr="00426F8E">
              <w:t xml:space="preserve">. </w:t>
            </w:r>
          </w:p>
        </w:tc>
      </w:tr>
      <w:tr w:rsidR="002C2B9A" w:rsidRPr="00587BAD" w:rsidTr="002E245C">
        <w:tc>
          <w:tcPr>
            <w:tcW w:w="534" w:type="dxa"/>
          </w:tcPr>
          <w:p w:rsidR="002C2B9A" w:rsidRPr="002C7FCC" w:rsidRDefault="007F2E82" w:rsidP="002C2B9A">
            <w:r>
              <w:t>2</w:t>
            </w:r>
            <w:r w:rsidR="002C2B9A" w:rsidRPr="002C7FCC">
              <w:t>.</w:t>
            </w:r>
          </w:p>
        </w:tc>
        <w:tc>
          <w:tcPr>
            <w:tcW w:w="4110" w:type="dxa"/>
          </w:tcPr>
          <w:p w:rsidR="002C2B9A" w:rsidRPr="002C7FCC" w:rsidRDefault="002C2B9A" w:rsidP="002C2B9A">
            <w:r w:rsidRPr="002C7FCC">
              <w:t>Projekta izpildes ietekme uz pārvaldes institucionālo struktūru.</w:t>
            </w:r>
          </w:p>
          <w:p w:rsidR="002C2B9A" w:rsidRPr="002C7FCC" w:rsidRDefault="002C2B9A" w:rsidP="002C2B9A">
            <w:r w:rsidRPr="002C7FCC">
              <w:t>Jaunu institūciju izveide</w:t>
            </w:r>
            <w:r w:rsidR="007F2E82">
              <w:t>, e</w:t>
            </w:r>
            <w:r w:rsidR="007F2E82" w:rsidRPr="002C7FCC">
              <w:t>sošo institūciju likvidācija</w:t>
            </w:r>
            <w:r w:rsidR="007F2E82">
              <w:t xml:space="preserve"> vai reorganizācija, to ietekme uz institūcijas cilvēkresursiem</w:t>
            </w:r>
          </w:p>
          <w:p w:rsidR="002C2B9A" w:rsidRPr="002C7FCC" w:rsidRDefault="002C2B9A" w:rsidP="002C2B9A"/>
        </w:tc>
        <w:tc>
          <w:tcPr>
            <w:tcW w:w="4678" w:type="dxa"/>
          </w:tcPr>
          <w:p w:rsidR="002C2B9A" w:rsidRPr="00426F8E" w:rsidRDefault="002C2B9A" w:rsidP="002C2B9A">
            <w:pPr>
              <w:jc w:val="both"/>
            </w:pPr>
            <w:r w:rsidRPr="00426F8E">
              <w:t>Projekts šo jomu neskar</w:t>
            </w:r>
            <w:r w:rsidR="00913BF9">
              <w:t>.</w:t>
            </w:r>
          </w:p>
        </w:tc>
      </w:tr>
      <w:tr w:rsidR="002C2B9A" w:rsidRPr="003A0775" w:rsidTr="002E245C">
        <w:tc>
          <w:tcPr>
            <w:tcW w:w="534" w:type="dxa"/>
          </w:tcPr>
          <w:p w:rsidR="002C2B9A" w:rsidRPr="002C7FCC" w:rsidRDefault="007F2E82" w:rsidP="002C2B9A">
            <w:r>
              <w:t>3</w:t>
            </w:r>
            <w:r w:rsidR="002C2B9A" w:rsidRPr="002C7FCC">
              <w:t>.</w:t>
            </w:r>
          </w:p>
        </w:tc>
        <w:tc>
          <w:tcPr>
            <w:tcW w:w="4110" w:type="dxa"/>
          </w:tcPr>
          <w:p w:rsidR="002C2B9A" w:rsidRPr="002C7FCC" w:rsidRDefault="002C2B9A" w:rsidP="002C2B9A">
            <w:r w:rsidRPr="002C7FCC">
              <w:t>Cita informācija</w:t>
            </w:r>
          </w:p>
        </w:tc>
        <w:tc>
          <w:tcPr>
            <w:tcW w:w="4678" w:type="dxa"/>
          </w:tcPr>
          <w:p w:rsidR="002C2B9A" w:rsidRPr="00426F8E" w:rsidRDefault="002C2B9A" w:rsidP="002C2B9A">
            <w:r w:rsidRPr="00426F8E">
              <w:t>Nav</w:t>
            </w:r>
          </w:p>
        </w:tc>
      </w:tr>
    </w:tbl>
    <w:p w:rsidR="007763E1" w:rsidRDefault="007763E1" w:rsidP="007763E1">
      <w:pPr>
        <w:jc w:val="both"/>
        <w:rPr>
          <w:i/>
        </w:rPr>
      </w:pPr>
      <w:r w:rsidRPr="003312F5">
        <w:rPr>
          <w:i/>
        </w:rPr>
        <w:t xml:space="preserve">Anotācijas </w:t>
      </w:r>
      <w:r>
        <w:rPr>
          <w:i/>
        </w:rPr>
        <w:t xml:space="preserve"> </w:t>
      </w:r>
      <w:r w:rsidRPr="003312F5">
        <w:rPr>
          <w:i/>
        </w:rPr>
        <w:t>III,</w:t>
      </w:r>
      <w:r>
        <w:rPr>
          <w:i/>
        </w:rPr>
        <w:t xml:space="preserve"> IV</w:t>
      </w:r>
      <w:r w:rsidRPr="003312F5">
        <w:rPr>
          <w:i/>
        </w:rPr>
        <w:t xml:space="preserve"> </w:t>
      </w:r>
      <w:r w:rsidR="00D81743">
        <w:rPr>
          <w:i/>
        </w:rPr>
        <w:t>sadaļa</w:t>
      </w:r>
      <w:r w:rsidRPr="003312F5">
        <w:rPr>
          <w:i/>
        </w:rPr>
        <w:t xml:space="preserve"> un V sadaļa</w:t>
      </w:r>
      <w:r w:rsidR="00D81743">
        <w:rPr>
          <w:i/>
        </w:rPr>
        <w:t>s 2.tabula</w:t>
      </w:r>
      <w:r w:rsidRPr="003312F5">
        <w:rPr>
          <w:i/>
        </w:rPr>
        <w:t xml:space="preserve"> – </w:t>
      </w:r>
      <w:r>
        <w:rPr>
          <w:i/>
        </w:rPr>
        <w:t>projekts šīs jomas neskar.</w:t>
      </w:r>
    </w:p>
    <w:p w:rsidR="00E5576E" w:rsidRDefault="00E5576E" w:rsidP="00E5576E">
      <w:pPr>
        <w:rPr>
          <w:sz w:val="28"/>
          <w:szCs w:val="28"/>
        </w:rPr>
      </w:pPr>
    </w:p>
    <w:p w:rsidR="0038783E" w:rsidRDefault="0038783E" w:rsidP="00E5576E">
      <w:pPr>
        <w:rPr>
          <w:sz w:val="28"/>
          <w:szCs w:val="28"/>
        </w:rPr>
      </w:pPr>
    </w:p>
    <w:p w:rsidR="006E2188" w:rsidRDefault="006E2188" w:rsidP="00E5576E">
      <w:pPr>
        <w:rPr>
          <w:sz w:val="28"/>
          <w:szCs w:val="28"/>
        </w:rPr>
      </w:pPr>
    </w:p>
    <w:p w:rsidR="00CC1B90" w:rsidRDefault="00CC1B90" w:rsidP="00CC1B90">
      <w:pPr>
        <w:autoSpaceDE w:val="0"/>
        <w:autoSpaceDN w:val="0"/>
        <w:adjustRightInd w:val="0"/>
        <w:rPr>
          <w:rFonts w:eastAsiaTheme="minorHAnsi"/>
          <w:color w:val="000000"/>
          <w:sz w:val="28"/>
          <w:szCs w:val="28"/>
          <w:lang w:val="en-US"/>
        </w:rPr>
      </w:pPr>
      <w:r>
        <w:rPr>
          <w:rFonts w:eastAsiaTheme="minorHAnsi"/>
          <w:color w:val="000000"/>
          <w:sz w:val="28"/>
          <w:szCs w:val="28"/>
          <w:lang w:val="en-US"/>
        </w:rPr>
        <w:t>Veselības ministra vietā</w:t>
      </w:r>
    </w:p>
    <w:p w:rsidR="00CC1B90" w:rsidRDefault="00CC1B90" w:rsidP="00CC1B90">
      <w:pPr>
        <w:pStyle w:val="PlainText"/>
        <w:jc w:val="both"/>
        <w:rPr>
          <w:rFonts w:ascii="Times New Roman" w:hAnsi="Times New Roman"/>
          <w:szCs w:val="28"/>
        </w:rPr>
      </w:pPr>
      <w:r>
        <w:rPr>
          <w:rFonts w:ascii="Times New Roman" w:eastAsiaTheme="minorHAnsi" w:hAnsi="Times New Roman"/>
          <w:color w:val="000000"/>
          <w:szCs w:val="28"/>
          <w:lang w:val="en-US"/>
        </w:rPr>
        <w:t>kultūras ministre</w:t>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r>
      <w:r>
        <w:rPr>
          <w:rFonts w:ascii="Times New Roman" w:eastAsiaTheme="minorHAnsi" w:hAnsi="Times New Roman"/>
          <w:color w:val="000000"/>
          <w:szCs w:val="28"/>
          <w:lang w:val="en-US"/>
        </w:rPr>
        <w:tab/>
        <w:t xml:space="preserve">       D.Melbārde</w:t>
      </w:r>
    </w:p>
    <w:p w:rsidR="002E245C" w:rsidRDefault="002E245C" w:rsidP="001E3098">
      <w:pPr>
        <w:pStyle w:val="naisf"/>
        <w:spacing w:before="0" w:after="0"/>
        <w:ind w:firstLine="0"/>
        <w:rPr>
          <w:noProof/>
        </w:rPr>
      </w:pPr>
    </w:p>
    <w:p w:rsidR="007763E1" w:rsidRDefault="007763E1" w:rsidP="001E3098">
      <w:pPr>
        <w:pStyle w:val="naisf"/>
        <w:spacing w:before="0" w:after="0"/>
        <w:ind w:firstLine="0"/>
        <w:rPr>
          <w:noProof/>
        </w:rPr>
      </w:pPr>
    </w:p>
    <w:p w:rsidR="00F34686" w:rsidRDefault="00F34686" w:rsidP="001E3098">
      <w:pPr>
        <w:pStyle w:val="naisf"/>
        <w:spacing w:before="0" w:after="0"/>
        <w:ind w:firstLine="0"/>
        <w:rPr>
          <w:noProof/>
        </w:rPr>
      </w:pPr>
    </w:p>
    <w:p w:rsidR="007763E1" w:rsidRDefault="007763E1" w:rsidP="001E3098">
      <w:pPr>
        <w:pStyle w:val="naisf"/>
        <w:spacing w:before="0" w:after="0"/>
        <w:ind w:firstLine="0"/>
        <w:rPr>
          <w:noProof/>
        </w:rPr>
      </w:pPr>
    </w:p>
    <w:p w:rsidR="0093313C" w:rsidRPr="009F3350" w:rsidRDefault="005569A4" w:rsidP="00CC1B90">
      <w:pPr>
        <w:tabs>
          <w:tab w:val="left" w:pos="720"/>
          <w:tab w:val="left" w:pos="1440"/>
          <w:tab w:val="center" w:pos="4535"/>
        </w:tabs>
        <w:jc w:val="both"/>
        <w:rPr>
          <w:sz w:val="22"/>
          <w:szCs w:val="22"/>
        </w:rPr>
      </w:pPr>
      <w:r>
        <w:rPr>
          <w:sz w:val="22"/>
          <w:szCs w:val="22"/>
        </w:rPr>
        <w:t>0</w:t>
      </w:r>
      <w:r w:rsidR="00CC1B90">
        <w:rPr>
          <w:sz w:val="22"/>
          <w:szCs w:val="22"/>
        </w:rPr>
        <w:t>7</w:t>
      </w:r>
      <w:r w:rsidR="0018417E">
        <w:rPr>
          <w:sz w:val="22"/>
          <w:szCs w:val="22"/>
        </w:rPr>
        <w:t>.</w:t>
      </w:r>
      <w:r w:rsidR="00B14194">
        <w:rPr>
          <w:sz w:val="22"/>
          <w:szCs w:val="22"/>
        </w:rPr>
        <w:t>0</w:t>
      </w:r>
      <w:r w:rsidR="00CC1B90">
        <w:rPr>
          <w:sz w:val="22"/>
          <w:szCs w:val="22"/>
        </w:rPr>
        <w:t>5</w:t>
      </w:r>
      <w:r w:rsidR="0093313C">
        <w:rPr>
          <w:sz w:val="22"/>
          <w:szCs w:val="22"/>
        </w:rPr>
        <w:t>.201</w:t>
      </w:r>
      <w:r w:rsidR="00CD0BBE">
        <w:rPr>
          <w:sz w:val="22"/>
          <w:szCs w:val="22"/>
        </w:rPr>
        <w:t>4</w:t>
      </w:r>
      <w:r w:rsidR="002C0ACD">
        <w:rPr>
          <w:sz w:val="22"/>
          <w:szCs w:val="22"/>
        </w:rPr>
        <w:t>.</w:t>
      </w:r>
      <w:r w:rsidR="002C0ACD">
        <w:rPr>
          <w:sz w:val="22"/>
          <w:szCs w:val="22"/>
        </w:rPr>
        <w:tab/>
      </w:r>
      <w:r w:rsidR="0096736C">
        <w:rPr>
          <w:sz w:val="22"/>
          <w:szCs w:val="22"/>
        </w:rPr>
        <w:t>1</w:t>
      </w:r>
      <w:r w:rsidR="00CC1B90">
        <w:rPr>
          <w:sz w:val="22"/>
          <w:szCs w:val="22"/>
        </w:rPr>
        <w:t>3</w:t>
      </w:r>
      <w:r w:rsidR="0093313C">
        <w:rPr>
          <w:sz w:val="22"/>
          <w:szCs w:val="22"/>
        </w:rPr>
        <w:t>:</w:t>
      </w:r>
      <w:r w:rsidR="00CC1B90">
        <w:rPr>
          <w:sz w:val="22"/>
          <w:szCs w:val="22"/>
        </w:rPr>
        <w:t>44</w:t>
      </w:r>
      <w:r w:rsidR="00CC1B90">
        <w:rPr>
          <w:sz w:val="22"/>
          <w:szCs w:val="22"/>
        </w:rPr>
        <w:tab/>
      </w:r>
    </w:p>
    <w:p w:rsidR="0093313C" w:rsidRPr="009F3350" w:rsidRDefault="009A3E79" w:rsidP="0093313C">
      <w:pPr>
        <w:jc w:val="both"/>
        <w:rPr>
          <w:sz w:val="22"/>
          <w:szCs w:val="22"/>
        </w:rPr>
      </w:pPr>
      <w:r>
        <w:rPr>
          <w:sz w:val="22"/>
          <w:szCs w:val="22"/>
        </w:rPr>
        <w:t>1</w:t>
      </w:r>
      <w:r w:rsidR="003A59CE">
        <w:rPr>
          <w:sz w:val="22"/>
          <w:szCs w:val="22"/>
        </w:rPr>
        <w:t>3</w:t>
      </w:r>
      <w:r w:rsidR="00CC1B90">
        <w:rPr>
          <w:sz w:val="22"/>
          <w:szCs w:val="22"/>
        </w:rPr>
        <w:t>31</w:t>
      </w:r>
    </w:p>
    <w:p w:rsidR="0093313C" w:rsidRPr="009F3350" w:rsidRDefault="0093313C" w:rsidP="0093313C">
      <w:pPr>
        <w:jc w:val="both"/>
        <w:rPr>
          <w:sz w:val="22"/>
          <w:szCs w:val="22"/>
        </w:rPr>
      </w:pPr>
      <w:r w:rsidRPr="009F3350">
        <w:rPr>
          <w:sz w:val="22"/>
          <w:szCs w:val="22"/>
        </w:rPr>
        <w:t>A.</w:t>
      </w:r>
      <w:r w:rsidR="000A60C4">
        <w:rPr>
          <w:sz w:val="22"/>
          <w:szCs w:val="22"/>
        </w:rPr>
        <w:t>Valdmane</w:t>
      </w:r>
    </w:p>
    <w:p w:rsidR="0093313C" w:rsidRDefault="0093313C" w:rsidP="0093313C">
      <w:pPr>
        <w:jc w:val="both"/>
      </w:pPr>
      <w:r w:rsidRPr="009F3350">
        <w:rPr>
          <w:sz w:val="22"/>
          <w:szCs w:val="22"/>
        </w:rPr>
        <w:t>6787</w:t>
      </w:r>
      <w:r w:rsidR="000A60C4">
        <w:rPr>
          <w:sz w:val="22"/>
          <w:szCs w:val="22"/>
        </w:rPr>
        <w:t>6097</w:t>
      </w:r>
      <w:r w:rsidRPr="009F3350">
        <w:rPr>
          <w:sz w:val="22"/>
          <w:szCs w:val="22"/>
        </w:rPr>
        <w:t xml:space="preserve">, </w:t>
      </w:r>
      <w:hyperlink r:id="rId10" w:history="1">
        <w:r w:rsidR="000A60C4" w:rsidRPr="001509DC">
          <w:rPr>
            <w:rStyle w:val="Hyperlink"/>
            <w:sz w:val="22"/>
            <w:szCs w:val="22"/>
          </w:rPr>
          <w:t>antra.valdmane@vm.gov.lv</w:t>
        </w:r>
      </w:hyperlink>
    </w:p>
    <w:p w:rsidR="00DA0883" w:rsidRDefault="00DA0883" w:rsidP="00DA0883">
      <w:pPr>
        <w:jc w:val="both"/>
        <w:rPr>
          <w:sz w:val="22"/>
          <w:szCs w:val="22"/>
        </w:rPr>
      </w:pPr>
      <w:r>
        <w:rPr>
          <w:sz w:val="22"/>
          <w:szCs w:val="22"/>
        </w:rPr>
        <w:t>G.Jermacāne</w:t>
      </w:r>
    </w:p>
    <w:p w:rsidR="00DA0883" w:rsidRDefault="00DA0883" w:rsidP="00DA0883">
      <w:pPr>
        <w:jc w:val="both"/>
        <w:rPr>
          <w:sz w:val="22"/>
          <w:szCs w:val="22"/>
        </w:rPr>
      </w:pPr>
      <w:r>
        <w:rPr>
          <w:sz w:val="22"/>
          <w:szCs w:val="22"/>
        </w:rPr>
        <w:t xml:space="preserve">67876167, </w:t>
      </w:r>
      <w:hyperlink r:id="rId11" w:history="1">
        <w:r>
          <w:rPr>
            <w:rStyle w:val="Hyperlink"/>
            <w:sz w:val="22"/>
            <w:szCs w:val="22"/>
          </w:rPr>
          <w:t>guna.jermacane@vm.gov.lv</w:t>
        </w:r>
      </w:hyperlink>
    </w:p>
    <w:sectPr w:rsidR="00DA0883" w:rsidSect="00EB7BD5">
      <w:headerReference w:type="even" r:id="rId12"/>
      <w:headerReference w:type="default" r:id="rId13"/>
      <w:footerReference w:type="even"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CD" w:rsidRDefault="001A4CCD">
      <w:r>
        <w:separator/>
      </w:r>
    </w:p>
  </w:endnote>
  <w:endnote w:type="continuationSeparator" w:id="0">
    <w:p w:rsidR="001A4CCD" w:rsidRDefault="001A4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Default="0019761A" w:rsidP="00611957">
    <w:pPr>
      <w:pStyle w:val="Footer"/>
      <w:framePr w:wrap="around" w:vAnchor="text" w:hAnchor="margin" w:xAlign="right" w:y="1"/>
      <w:rPr>
        <w:rStyle w:val="PageNumber"/>
      </w:rPr>
    </w:pPr>
    <w:r>
      <w:rPr>
        <w:rStyle w:val="PageNumber"/>
      </w:rPr>
      <w:fldChar w:fldCharType="begin"/>
    </w:r>
    <w:r w:rsidR="001A4CCD">
      <w:rPr>
        <w:rStyle w:val="PageNumber"/>
      </w:rPr>
      <w:instrText xml:space="preserve">PAGE  </w:instrText>
    </w:r>
    <w:r>
      <w:rPr>
        <w:rStyle w:val="PageNumber"/>
      </w:rPr>
      <w:fldChar w:fldCharType="end"/>
    </w:r>
  </w:p>
  <w:p w:rsidR="001A4CCD" w:rsidRDefault="001A4CCD" w:rsidP="006119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Pr="00ED1BCA" w:rsidRDefault="001A4CCD" w:rsidP="0093313C">
    <w:pPr>
      <w:ind w:left="360"/>
      <w:jc w:val="both"/>
      <w:rPr>
        <w:sz w:val="22"/>
        <w:szCs w:val="22"/>
      </w:rPr>
    </w:pPr>
    <w:r w:rsidRPr="00ED1BCA">
      <w:rPr>
        <w:sz w:val="22"/>
        <w:szCs w:val="22"/>
      </w:rPr>
      <w:t>VMAnot_</w:t>
    </w:r>
    <w:r w:rsidR="005569A4">
      <w:rPr>
        <w:sz w:val="22"/>
        <w:szCs w:val="22"/>
      </w:rPr>
      <w:t>0</w:t>
    </w:r>
    <w:r w:rsidR="00CC1B90">
      <w:rPr>
        <w:sz w:val="22"/>
        <w:szCs w:val="22"/>
      </w:rPr>
      <w:t>705</w:t>
    </w:r>
    <w:r>
      <w:rPr>
        <w:sz w:val="22"/>
        <w:szCs w:val="22"/>
      </w:rPr>
      <w:t>14_audi</w:t>
    </w:r>
    <w:r w:rsidRPr="00ED1BCA">
      <w:rPr>
        <w:sz w:val="22"/>
        <w:szCs w:val="22"/>
      </w:rPr>
      <w:t xml:space="preserve">; Ministru kabineta noteikumu projekta </w:t>
    </w:r>
    <w:r>
      <w:rPr>
        <w:sz w:val="22"/>
        <w:szCs w:val="22"/>
      </w:rPr>
      <w:t xml:space="preserve">„Grozījumi Ministru kabineta 2013.gada 22.oktobra noteikumos Nr.1176 </w:t>
    </w:r>
    <w:r w:rsidRPr="00ED1BCA">
      <w:rPr>
        <w:bCs/>
        <w:sz w:val="22"/>
        <w:szCs w:val="22"/>
      </w:rPr>
      <w:t>„Cilvēka audu un šūnu izmantošanas kārtība</w:t>
    </w:r>
    <w:r w:rsidRPr="00ED1BCA">
      <w:rPr>
        <w:sz w:val="22"/>
        <w:szCs w:val="22"/>
      </w:rPr>
      <w:t>”</w:t>
    </w:r>
    <w:r>
      <w:rPr>
        <w:sz w:val="22"/>
        <w:szCs w:val="22"/>
      </w:rPr>
      <w:t>”</w:t>
    </w:r>
    <w:r w:rsidRPr="00ED1BCA">
      <w:rPr>
        <w:sz w:val="22"/>
        <w:szCs w:val="22"/>
      </w:rPr>
      <w:t xml:space="preserve"> sākotnējās ietekmes novērtējuma ziņojums (</w:t>
    </w:r>
    <w:r w:rsidRPr="00ED1BCA">
      <w:rPr>
        <w:bCs/>
        <w:sz w:val="22"/>
        <w:szCs w:val="22"/>
      </w:rPr>
      <w:t>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Pr="00ED1BCA" w:rsidRDefault="001A4CCD" w:rsidP="00CD0BBE">
    <w:pPr>
      <w:ind w:left="360"/>
      <w:jc w:val="both"/>
      <w:rPr>
        <w:sz w:val="22"/>
        <w:szCs w:val="22"/>
      </w:rPr>
    </w:pPr>
    <w:r w:rsidRPr="00ED1BCA">
      <w:rPr>
        <w:sz w:val="22"/>
        <w:szCs w:val="22"/>
      </w:rPr>
      <w:t>VMAnot_</w:t>
    </w:r>
    <w:r w:rsidR="005569A4">
      <w:rPr>
        <w:sz w:val="22"/>
        <w:szCs w:val="22"/>
      </w:rPr>
      <w:t>0</w:t>
    </w:r>
    <w:r w:rsidR="00CC1B90">
      <w:rPr>
        <w:sz w:val="22"/>
        <w:szCs w:val="22"/>
      </w:rPr>
      <w:t>705</w:t>
    </w:r>
    <w:r>
      <w:rPr>
        <w:sz w:val="22"/>
        <w:szCs w:val="22"/>
      </w:rPr>
      <w:t>14_audi</w:t>
    </w:r>
    <w:r w:rsidRPr="00ED1BCA">
      <w:rPr>
        <w:sz w:val="22"/>
        <w:szCs w:val="22"/>
      </w:rPr>
      <w:t xml:space="preserve">; Ministru kabineta noteikumu projekta </w:t>
    </w:r>
    <w:r>
      <w:rPr>
        <w:sz w:val="22"/>
        <w:szCs w:val="22"/>
      </w:rPr>
      <w:t xml:space="preserve">„Grozījumi Ministru kabineta 2013.gada 22.oktobra noteikumos Nr.1176 </w:t>
    </w:r>
    <w:r w:rsidRPr="00ED1BCA">
      <w:rPr>
        <w:bCs/>
        <w:sz w:val="22"/>
        <w:szCs w:val="22"/>
      </w:rPr>
      <w:t>„Cilvēka audu un šūnu izmantošanas kārtība</w:t>
    </w:r>
    <w:r w:rsidRPr="00ED1BCA">
      <w:rPr>
        <w:sz w:val="22"/>
        <w:szCs w:val="22"/>
      </w:rPr>
      <w:t>”</w:t>
    </w:r>
    <w:r>
      <w:rPr>
        <w:sz w:val="22"/>
        <w:szCs w:val="22"/>
      </w:rPr>
      <w:t>”</w:t>
    </w:r>
    <w:r w:rsidRPr="00ED1BCA">
      <w:rPr>
        <w:sz w:val="22"/>
        <w:szCs w:val="22"/>
      </w:rPr>
      <w:t xml:space="preserve"> sākotnējās ietekmes novērtējuma ziņojums (</w:t>
    </w:r>
    <w:r w:rsidRPr="00ED1BCA">
      <w:rPr>
        <w:bCs/>
        <w:sz w:val="22"/>
        <w:szCs w:val="22"/>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CD" w:rsidRDefault="001A4CCD">
      <w:r>
        <w:separator/>
      </w:r>
    </w:p>
  </w:footnote>
  <w:footnote w:type="continuationSeparator" w:id="0">
    <w:p w:rsidR="001A4CCD" w:rsidRDefault="001A4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Default="0019761A" w:rsidP="00611957">
    <w:pPr>
      <w:pStyle w:val="Header"/>
      <w:framePr w:wrap="around" w:vAnchor="text" w:hAnchor="margin" w:xAlign="center" w:y="1"/>
      <w:rPr>
        <w:rStyle w:val="PageNumber"/>
      </w:rPr>
    </w:pPr>
    <w:r>
      <w:rPr>
        <w:rStyle w:val="PageNumber"/>
      </w:rPr>
      <w:fldChar w:fldCharType="begin"/>
    </w:r>
    <w:r w:rsidR="001A4CCD">
      <w:rPr>
        <w:rStyle w:val="PageNumber"/>
      </w:rPr>
      <w:instrText xml:space="preserve">PAGE  </w:instrText>
    </w:r>
    <w:r>
      <w:rPr>
        <w:rStyle w:val="PageNumber"/>
      </w:rPr>
      <w:fldChar w:fldCharType="separate"/>
    </w:r>
    <w:r w:rsidR="001A4CCD">
      <w:rPr>
        <w:rStyle w:val="PageNumber"/>
        <w:noProof/>
      </w:rPr>
      <w:t>1</w:t>
    </w:r>
    <w:r>
      <w:rPr>
        <w:rStyle w:val="PageNumber"/>
      </w:rPr>
      <w:fldChar w:fldCharType="end"/>
    </w:r>
  </w:p>
  <w:p w:rsidR="001A4CCD" w:rsidRDefault="001A4C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D" w:rsidRDefault="0019761A" w:rsidP="00611957">
    <w:pPr>
      <w:pStyle w:val="Header"/>
      <w:framePr w:wrap="around" w:vAnchor="text" w:hAnchor="margin" w:xAlign="center" w:y="1"/>
      <w:rPr>
        <w:rStyle w:val="PageNumber"/>
      </w:rPr>
    </w:pPr>
    <w:r>
      <w:rPr>
        <w:rStyle w:val="PageNumber"/>
      </w:rPr>
      <w:fldChar w:fldCharType="begin"/>
    </w:r>
    <w:r w:rsidR="001A4CCD">
      <w:rPr>
        <w:rStyle w:val="PageNumber"/>
      </w:rPr>
      <w:instrText xml:space="preserve">PAGE  </w:instrText>
    </w:r>
    <w:r>
      <w:rPr>
        <w:rStyle w:val="PageNumber"/>
      </w:rPr>
      <w:fldChar w:fldCharType="separate"/>
    </w:r>
    <w:r w:rsidR="00CC1B90">
      <w:rPr>
        <w:rStyle w:val="PageNumber"/>
        <w:noProof/>
      </w:rPr>
      <w:t>5</w:t>
    </w:r>
    <w:r>
      <w:rPr>
        <w:rStyle w:val="PageNumber"/>
      </w:rPr>
      <w:fldChar w:fldCharType="end"/>
    </w:r>
  </w:p>
  <w:p w:rsidR="001A4CCD" w:rsidRPr="004F7101" w:rsidRDefault="001A4CCD" w:rsidP="00611957">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4019E"/>
    <w:rsid w:val="00040F31"/>
    <w:rsid w:val="0004378D"/>
    <w:rsid w:val="00047B9A"/>
    <w:rsid w:val="000509E4"/>
    <w:rsid w:val="0005292F"/>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10088F"/>
    <w:rsid w:val="0010178C"/>
    <w:rsid w:val="0010186F"/>
    <w:rsid w:val="00101C50"/>
    <w:rsid w:val="001038AD"/>
    <w:rsid w:val="00103AFA"/>
    <w:rsid w:val="00106021"/>
    <w:rsid w:val="0011031E"/>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F88"/>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5063"/>
    <w:rsid w:val="002259FC"/>
    <w:rsid w:val="0022655E"/>
    <w:rsid w:val="00230A69"/>
    <w:rsid w:val="00230D25"/>
    <w:rsid w:val="002333F3"/>
    <w:rsid w:val="002343CB"/>
    <w:rsid w:val="00234EB8"/>
    <w:rsid w:val="002357A7"/>
    <w:rsid w:val="00235C3D"/>
    <w:rsid w:val="00237EFC"/>
    <w:rsid w:val="00240BA4"/>
    <w:rsid w:val="00240BE0"/>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7D25"/>
    <w:rsid w:val="00290BBC"/>
    <w:rsid w:val="002914CD"/>
    <w:rsid w:val="00291A90"/>
    <w:rsid w:val="00292822"/>
    <w:rsid w:val="002931F6"/>
    <w:rsid w:val="002A3358"/>
    <w:rsid w:val="002A4A8D"/>
    <w:rsid w:val="002A5365"/>
    <w:rsid w:val="002A730D"/>
    <w:rsid w:val="002A75A2"/>
    <w:rsid w:val="002B1B57"/>
    <w:rsid w:val="002B2222"/>
    <w:rsid w:val="002B240F"/>
    <w:rsid w:val="002B2B2A"/>
    <w:rsid w:val="002B4E43"/>
    <w:rsid w:val="002B5436"/>
    <w:rsid w:val="002C02E9"/>
    <w:rsid w:val="002C0ACD"/>
    <w:rsid w:val="002C2B9A"/>
    <w:rsid w:val="002C3B1E"/>
    <w:rsid w:val="002C46D6"/>
    <w:rsid w:val="002C7FCC"/>
    <w:rsid w:val="002D1113"/>
    <w:rsid w:val="002D1624"/>
    <w:rsid w:val="002D1A2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4859"/>
    <w:rsid w:val="00375026"/>
    <w:rsid w:val="003758CA"/>
    <w:rsid w:val="00376CB2"/>
    <w:rsid w:val="00377D3A"/>
    <w:rsid w:val="00380765"/>
    <w:rsid w:val="00381CF6"/>
    <w:rsid w:val="00386F1E"/>
    <w:rsid w:val="003872B1"/>
    <w:rsid w:val="0038783E"/>
    <w:rsid w:val="00387F9F"/>
    <w:rsid w:val="003942C4"/>
    <w:rsid w:val="003978D9"/>
    <w:rsid w:val="003A10C3"/>
    <w:rsid w:val="003A3C86"/>
    <w:rsid w:val="003A4C87"/>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D41"/>
    <w:rsid w:val="00424718"/>
    <w:rsid w:val="00426F8E"/>
    <w:rsid w:val="00426F9A"/>
    <w:rsid w:val="00427281"/>
    <w:rsid w:val="00427578"/>
    <w:rsid w:val="00431B9F"/>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26D4"/>
    <w:rsid w:val="00473DB7"/>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3E3D"/>
    <w:rsid w:val="004C4B39"/>
    <w:rsid w:val="004D10D2"/>
    <w:rsid w:val="004D2216"/>
    <w:rsid w:val="004D329B"/>
    <w:rsid w:val="004D3D57"/>
    <w:rsid w:val="004E0392"/>
    <w:rsid w:val="004E2178"/>
    <w:rsid w:val="004E35A5"/>
    <w:rsid w:val="004E6144"/>
    <w:rsid w:val="004E7EC5"/>
    <w:rsid w:val="004F61F6"/>
    <w:rsid w:val="004F6708"/>
    <w:rsid w:val="0050069D"/>
    <w:rsid w:val="0050270F"/>
    <w:rsid w:val="005040D2"/>
    <w:rsid w:val="005051AE"/>
    <w:rsid w:val="00506CE0"/>
    <w:rsid w:val="00510669"/>
    <w:rsid w:val="00510CF6"/>
    <w:rsid w:val="005113F3"/>
    <w:rsid w:val="00511ECE"/>
    <w:rsid w:val="00512E10"/>
    <w:rsid w:val="00524239"/>
    <w:rsid w:val="00525FF7"/>
    <w:rsid w:val="00527A0B"/>
    <w:rsid w:val="0053083B"/>
    <w:rsid w:val="00530AE3"/>
    <w:rsid w:val="00533A92"/>
    <w:rsid w:val="005348AB"/>
    <w:rsid w:val="00535695"/>
    <w:rsid w:val="00535FAA"/>
    <w:rsid w:val="00541DCF"/>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4A12"/>
    <w:rsid w:val="005B50E2"/>
    <w:rsid w:val="005B6291"/>
    <w:rsid w:val="005C16FF"/>
    <w:rsid w:val="005C1EFE"/>
    <w:rsid w:val="005C2005"/>
    <w:rsid w:val="005C200E"/>
    <w:rsid w:val="005C248E"/>
    <w:rsid w:val="005C2883"/>
    <w:rsid w:val="005C4797"/>
    <w:rsid w:val="005C4824"/>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40A74"/>
    <w:rsid w:val="006459AA"/>
    <w:rsid w:val="006500C5"/>
    <w:rsid w:val="006541C6"/>
    <w:rsid w:val="00654375"/>
    <w:rsid w:val="0065692D"/>
    <w:rsid w:val="006603F0"/>
    <w:rsid w:val="00660C34"/>
    <w:rsid w:val="00663759"/>
    <w:rsid w:val="00663A68"/>
    <w:rsid w:val="00665293"/>
    <w:rsid w:val="0067122B"/>
    <w:rsid w:val="006736C2"/>
    <w:rsid w:val="00680E98"/>
    <w:rsid w:val="00682048"/>
    <w:rsid w:val="006835A9"/>
    <w:rsid w:val="00684761"/>
    <w:rsid w:val="00690AFE"/>
    <w:rsid w:val="00690F8D"/>
    <w:rsid w:val="00691D4E"/>
    <w:rsid w:val="0069228A"/>
    <w:rsid w:val="006928C3"/>
    <w:rsid w:val="006936A0"/>
    <w:rsid w:val="00693F11"/>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D8E"/>
    <w:rsid w:val="00766343"/>
    <w:rsid w:val="00766BBB"/>
    <w:rsid w:val="0077027F"/>
    <w:rsid w:val="0077137E"/>
    <w:rsid w:val="00772083"/>
    <w:rsid w:val="00773CBB"/>
    <w:rsid w:val="00774B47"/>
    <w:rsid w:val="007752EF"/>
    <w:rsid w:val="007763E1"/>
    <w:rsid w:val="007819AB"/>
    <w:rsid w:val="00783A23"/>
    <w:rsid w:val="007845E9"/>
    <w:rsid w:val="0078585C"/>
    <w:rsid w:val="007868B1"/>
    <w:rsid w:val="007911E5"/>
    <w:rsid w:val="00794342"/>
    <w:rsid w:val="00796B3F"/>
    <w:rsid w:val="0079763D"/>
    <w:rsid w:val="007A0E33"/>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2F46"/>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4818"/>
    <w:rsid w:val="009453C1"/>
    <w:rsid w:val="00946992"/>
    <w:rsid w:val="00950A45"/>
    <w:rsid w:val="00956686"/>
    <w:rsid w:val="00961717"/>
    <w:rsid w:val="0096235D"/>
    <w:rsid w:val="00963405"/>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40C"/>
    <w:rsid w:val="00D01803"/>
    <w:rsid w:val="00D02ADC"/>
    <w:rsid w:val="00D045E9"/>
    <w:rsid w:val="00D045F6"/>
    <w:rsid w:val="00D05651"/>
    <w:rsid w:val="00D06539"/>
    <w:rsid w:val="00D06AFA"/>
    <w:rsid w:val="00D06F88"/>
    <w:rsid w:val="00D12386"/>
    <w:rsid w:val="00D129CC"/>
    <w:rsid w:val="00D13215"/>
    <w:rsid w:val="00D15421"/>
    <w:rsid w:val="00D1591E"/>
    <w:rsid w:val="00D170D4"/>
    <w:rsid w:val="00D17588"/>
    <w:rsid w:val="00D17C22"/>
    <w:rsid w:val="00D20E02"/>
    <w:rsid w:val="00D2552B"/>
    <w:rsid w:val="00D27719"/>
    <w:rsid w:val="00D30948"/>
    <w:rsid w:val="00D312C5"/>
    <w:rsid w:val="00D32C1F"/>
    <w:rsid w:val="00D32DDC"/>
    <w:rsid w:val="00D33E09"/>
    <w:rsid w:val="00D40F96"/>
    <w:rsid w:val="00D410B6"/>
    <w:rsid w:val="00D414E6"/>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33ED"/>
    <w:rsid w:val="00D87263"/>
    <w:rsid w:val="00D900C5"/>
    <w:rsid w:val="00D92345"/>
    <w:rsid w:val="00D93867"/>
    <w:rsid w:val="00D94F10"/>
    <w:rsid w:val="00DA0883"/>
    <w:rsid w:val="00DA15D8"/>
    <w:rsid w:val="00DA2EE8"/>
    <w:rsid w:val="00DA3C5C"/>
    <w:rsid w:val="00DB2233"/>
    <w:rsid w:val="00DB275A"/>
    <w:rsid w:val="00DB4F64"/>
    <w:rsid w:val="00DB5599"/>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E00E40"/>
    <w:rsid w:val="00E04A59"/>
    <w:rsid w:val="00E061E3"/>
    <w:rsid w:val="00E1131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9C3"/>
    <w:rsid w:val="00EF7312"/>
    <w:rsid w:val="00F019BF"/>
    <w:rsid w:val="00F038AC"/>
    <w:rsid w:val="00F067A7"/>
    <w:rsid w:val="00F10B6A"/>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b/>
      <w:bCs/>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k&#257;cij&#257;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a.jermacane@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ra.valdmane@vm.gov.lv" TargetMode="External"/><Relationship Id="rId4" Type="http://schemas.openxmlformats.org/officeDocument/2006/relationships/settings" Target="settings.xml"/><Relationship Id="rId9" Type="http://schemas.openxmlformats.org/officeDocument/2006/relationships/hyperlink" Target="http://www.ecdc.europa.eu/en/publications/publications/120403-ra-human-t-lymphotropic-virus-transmiss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0A5A5-F923-4191-BC39-B403C620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Nr.1176 "Cilvēka audu un šūnu izmantošanas kārtība"" sākotnējās ietekmes novērtējuma ziņojums (anotācija)</vt:lpstr>
    </vt:vector>
  </TitlesOfParts>
  <Company>Veselības ministrija</Company>
  <LinksUpToDate>false</LinksUpToDate>
  <CharactersWithSpaces>11080</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guna.jermacane@vm.gov.lv,
67876167</dc:description>
  <cp:lastModifiedBy>gjermacane</cp:lastModifiedBy>
  <cp:revision>29</cp:revision>
  <cp:lastPrinted>2014-04-02T06:42:00Z</cp:lastPrinted>
  <dcterms:created xsi:type="dcterms:W3CDTF">2014-03-10T11:16:00Z</dcterms:created>
  <dcterms:modified xsi:type="dcterms:W3CDTF">2014-05-07T10:44:00Z</dcterms:modified>
</cp:coreProperties>
</file>