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E6" w:rsidRPr="005556C7" w:rsidRDefault="00491F2D" w:rsidP="00491F2D">
      <w:pPr>
        <w:spacing w:after="0" w:line="240" w:lineRule="auto"/>
        <w:jc w:val="center"/>
        <w:rPr>
          <w:rFonts w:ascii="Times New Roman" w:eastAsia="Times New Roman" w:hAnsi="Times New Roman"/>
          <w:b/>
          <w:bCs/>
          <w:sz w:val="28"/>
          <w:szCs w:val="28"/>
        </w:rPr>
      </w:pPr>
      <w:bookmarkStart w:id="0" w:name="OLE_LINK1"/>
      <w:bookmarkStart w:id="1" w:name="OLE_LINK2"/>
      <w:bookmarkStart w:id="2" w:name="OLE_LINK5"/>
      <w:bookmarkStart w:id="3" w:name="OLE_LINK6"/>
      <w:r w:rsidRPr="005556C7">
        <w:rPr>
          <w:rFonts w:ascii="Times New Roman" w:hAnsi="Times New Roman"/>
          <w:b/>
          <w:sz w:val="28"/>
          <w:szCs w:val="28"/>
        </w:rPr>
        <w:t>Ministru kabineta noteikumu projekta</w:t>
      </w:r>
      <w:bookmarkEnd w:id="0"/>
      <w:bookmarkEnd w:id="1"/>
      <w:r w:rsidRPr="005556C7">
        <w:rPr>
          <w:b/>
          <w:sz w:val="28"/>
          <w:szCs w:val="28"/>
        </w:rPr>
        <w:t xml:space="preserve"> „</w:t>
      </w:r>
      <w:r w:rsidRPr="005556C7">
        <w:rPr>
          <w:rFonts w:ascii="Times New Roman" w:hAnsi="Times New Roman"/>
          <w:b/>
          <w:bCs/>
          <w:sz w:val="28"/>
          <w:szCs w:val="28"/>
        </w:rPr>
        <w:t xml:space="preserve">Grozījumi Ministru kabineta 2013.gada 17.septembra noteikumos Nr.873 „Zāļu valsts aģentūras maksas pakalpojumu cenrādis” </w:t>
      </w:r>
      <w:r w:rsidR="00AE72E6" w:rsidRPr="005556C7">
        <w:rPr>
          <w:rFonts w:ascii="Times New Roman" w:eastAsia="Times New Roman" w:hAnsi="Times New Roman"/>
          <w:b/>
          <w:bCs/>
          <w:sz w:val="28"/>
          <w:szCs w:val="28"/>
        </w:rPr>
        <w:t>sākotnējās ietekmes novērtējuma ziņojums (anotācija)</w:t>
      </w:r>
      <w:bookmarkEnd w:id="2"/>
      <w:bookmarkEnd w:id="3"/>
    </w:p>
    <w:p w:rsidR="00491F2D" w:rsidRPr="005556C7" w:rsidRDefault="00491F2D" w:rsidP="00491F2D">
      <w:pPr>
        <w:spacing w:after="0" w:line="240" w:lineRule="auto"/>
        <w:jc w:val="center"/>
        <w:rPr>
          <w:rFonts w:ascii="Times New Roman" w:eastAsia="Times New Roman" w:hAnsi="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920"/>
        <w:gridCol w:w="6029"/>
      </w:tblGrid>
      <w:tr w:rsidR="00AE72E6" w:rsidRPr="0033110D" w:rsidTr="00AE72E6">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I. Tiesību akta projekta izstrādes nepieciešamība</w:t>
            </w:r>
          </w:p>
        </w:tc>
      </w:tr>
      <w:tr w:rsidR="00AE72E6" w:rsidRPr="0033110D" w:rsidTr="00AE72E6">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F3740C" w:rsidRDefault="00965534" w:rsidP="00961635">
            <w:pPr>
              <w:spacing w:after="0" w:line="240" w:lineRule="auto"/>
              <w:jc w:val="both"/>
              <w:rPr>
                <w:rFonts w:ascii="Times New Roman" w:hAnsi="Times New Roman"/>
                <w:sz w:val="24"/>
                <w:szCs w:val="24"/>
                <w:lang w:eastAsia="lv-LV"/>
              </w:rPr>
            </w:pPr>
            <w:r w:rsidRPr="00965534">
              <w:rPr>
                <w:rFonts w:ascii="Times New Roman" w:hAnsi="Times New Roman"/>
                <w:sz w:val="24"/>
                <w:szCs w:val="24"/>
                <w:lang w:eastAsia="lv-LV"/>
              </w:rPr>
              <w:t>Publisk</w:t>
            </w:r>
            <w:r w:rsidR="007A34B4">
              <w:rPr>
                <w:rFonts w:ascii="Times New Roman" w:hAnsi="Times New Roman"/>
                <w:sz w:val="24"/>
                <w:szCs w:val="24"/>
                <w:lang w:eastAsia="lv-LV"/>
              </w:rPr>
              <w:t>o aģentūru likuma 5. panta pirmā</w:t>
            </w:r>
            <w:r w:rsidRPr="00965534">
              <w:rPr>
                <w:rFonts w:ascii="Times New Roman" w:hAnsi="Times New Roman"/>
                <w:sz w:val="24"/>
                <w:szCs w:val="24"/>
                <w:lang w:eastAsia="lv-LV"/>
              </w:rPr>
              <w:t xml:space="preserve"> daļ</w:t>
            </w:r>
            <w:r w:rsidR="007A34B4">
              <w:rPr>
                <w:rFonts w:ascii="Times New Roman" w:hAnsi="Times New Roman"/>
                <w:sz w:val="24"/>
                <w:szCs w:val="24"/>
                <w:lang w:eastAsia="lv-LV"/>
              </w:rPr>
              <w:t>a</w:t>
            </w:r>
          </w:p>
          <w:p w:rsidR="00AE72E6" w:rsidRPr="005556C7" w:rsidRDefault="00AB4D9E" w:rsidP="00F62C41">
            <w:pPr>
              <w:spacing w:after="0" w:line="240" w:lineRule="auto"/>
              <w:jc w:val="both"/>
              <w:rPr>
                <w:rFonts w:ascii="Times New Roman" w:eastAsia="Times New Roman" w:hAnsi="Times New Roman"/>
                <w:sz w:val="24"/>
                <w:szCs w:val="24"/>
              </w:rPr>
            </w:pPr>
            <w:r>
              <w:rPr>
                <w:rFonts w:ascii="Times New Roman" w:hAnsi="Times New Roman"/>
                <w:sz w:val="24"/>
                <w:szCs w:val="24"/>
                <w:lang w:eastAsia="lv-LV"/>
              </w:rPr>
              <w:t xml:space="preserve">Ministru kabineta </w:t>
            </w:r>
            <w:r w:rsidR="00F62C41">
              <w:rPr>
                <w:rFonts w:ascii="Times New Roman" w:hAnsi="Times New Roman"/>
                <w:sz w:val="24"/>
                <w:szCs w:val="24"/>
                <w:lang w:eastAsia="lv-LV"/>
              </w:rPr>
              <w:t xml:space="preserve">2013.gada 29.janvāra sēdes protokola Nr.6 </w:t>
            </w:r>
            <w:r w:rsidR="00F62C41" w:rsidRPr="00F62C41">
              <w:rPr>
                <w:rFonts w:ascii="Times New Roman" w:hAnsi="Times New Roman"/>
                <w:sz w:val="24"/>
                <w:szCs w:val="24"/>
                <w:lang w:eastAsia="lv-LV"/>
              </w:rPr>
              <w:t>26.§ 3.punkts</w:t>
            </w:r>
            <w:r w:rsidR="00F62C41">
              <w:rPr>
                <w:rFonts w:ascii="Times New Roman" w:hAnsi="Times New Roman"/>
                <w:sz w:val="24"/>
                <w:szCs w:val="24"/>
                <w:lang w:eastAsia="lv-LV"/>
              </w:rPr>
              <w:t>.</w:t>
            </w:r>
          </w:p>
        </w:tc>
      </w:tr>
      <w:tr w:rsidR="00AE72E6" w:rsidRPr="0033110D"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bCs/>
                <w:sz w:val="24"/>
                <w:szCs w:val="24"/>
              </w:rPr>
              <w:t xml:space="preserve">Saskaņā ar Ministru kabineta 2012. gada </w:t>
            </w:r>
            <w:r w:rsidR="00D75146">
              <w:rPr>
                <w:rFonts w:ascii="Times New Roman" w:hAnsi="Times New Roman"/>
                <w:bCs/>
                <w:sz w:val="24"/>
                <w:szCs w:val="24"/>
              </w:rPr>
              <w:t>31.jūlija</w:t>
            </w:r>
            <w:r w:rsidRPr="0033110D">
              <w:rPr>
                <w:rFonts w:ascii="Times New Roman" w:hAnsi="Times New Roman"/>
                <w:bCs/>
                <w:sz w:val="24"/>
                <w:szCs w:val="24"/>
              </w:rPr>
              <w:t xml:space="preserve"> noteikumiem Nr.537</w:t>
            </w:r>
            <w:r w:rsidRPr="005556C7">
              <w:rPr>
                <w:rFonts w:ascii="Times New Roman" w:eastAsia="Times New Roman" w:hAnsi="Times New Roman"/>
                <w:b/>
                <w:bCs/>
                <w:sz w:val="24"/>
                <w:szCs w:val="24"/>
                <w:lang w:eastAsia="lv-LV"/>
              </w:rPr>
              <w:t xml:space="preserve"> </w:t>
            </w:r>
            <w:r w:rsidRPr="005556C7">
              <w:rPr>
                <w:rFonts w:ascii="Times New Roman" w:eastAsia="Times New Roman" w:hAnsi="Times New Roman"/>
                <w:bCs/>
                <w:sz w:val="24"/>
                <w:szCs w:val="24"/>
                <w:lang w:eastAsia="lv-LV"/>
              </w:rPr>
              <w:t>„Zāļu valsts aģentūras nolikums” (turpmāk – Noteikumi Nr. 537)</w:t>
            </w:r>
            <w:r w:rsidRPr="0033110D">
              <w:rPr>
                <w:rFonts w:ascii="Times New Roman" w:hAnsi="Times New Roman"/>
                <w:bCs/>
                <w:sz w:val="24"/>
                <w:szCs w:val="24"/>
              </w:rPr>
              <w:t xml:space="preserve"> </w:t>
            </w:r>
            <w:r w:rsidRPr="0033110D">
              <w:rPr>
                <w:rFonts w:ascii="Times New Roman" w:hAnsi="Times New Roman"/>
                <w:sz w:val="24"/>
                <w:szCs w:val="24"/>
              </w:rPr>
              <w:t xml:space="preserve">Veselības ministrijas padotībā esošā </w:t>
            </w:r>
            <w:r w:rsidR="002104D4" w:rsidRPr="0033110D">
              <w:rPr>
                <w:rFonts w:ascii="Times New Roman" w:hAnsi="Times New Roman"/>
                <w:sz w:val="24"/>
                <w:szCs w:val="24"/>
              </w:rPr>
              <w:t xml:space="preserve">Zāļu valsts </w:t>
            </w:r>
            <w:r w:rsidRPr="0033110D">
              <w:rPr>
                <w:rFonts w:ascii="Times New Roman" w:hAnsi="Times New Roman"/>
                <w:sz w:val="24"/>
                <w:szCs w:val="24"/>
              </w:rPr>
              <w:t xml:space="preserve">aģentūra </w:t>
            </w:r>
            <w:r w:rsidR="002104D4" w:rsidRPr="0033110D">
              <w:rPr>
                <w:rFonts w:ascii="Times New Roman" w:hAnsi="Times New Roman"/>
                <w:sz w:val="24"/>
                <w:szCs w:val="24"/>
              </w:rPr>
              <w:t xml:space="preserve">(turpmāk – Aģentūra) </w:t>
            </w:r>
            <w:r w:rsidRPr="0033110D">
              <w:rPr>
                <w:rFonts w:ascii="Times New Roman" w:hAnsi="Times New Roman"/>
                <w:sz w:val="24"/>
                <w:szCs w:val="24"/>
              </w:rPr>
              <w:t>no 2013.gada 1.janvāra darbojas saskaņā ar Publisko aģentūru likuma prasībām</w:t>
            </w:r>
            <w:r w:rsidRPr="0033110D">
              <w:rPr>
                <w:rFonts w:ascii="Times New Roman" w:hAnsi="Times New Roman"/>
                <w:bCs/>
                <w:sz w:val="24"/>
                <w:szCs w:val="24"/>
              </w:rPr>
              <w:t xml:space="preserve"> </w:t>
            </w:r>
            <w:r w:rsidRPr="0033110D">
              <w:rPr>
                <w:rFonts w:ascii="Times New Roman" w:hAnsi="Times New Roman"/>
                <w:sz w:val="24"/>
                <w:szCs w:val="24"/>
              </w:rPr>
              <w:t xml:space="preserve">kā budžeta nefinansēta iestāde pakalpojumu sniegšanas jomā un valsts pārvaldes uzdevumu nodrošināšanai saistītos izdevumus sedz no ieņēmumiem no maksas pakalpojumu sniegšanas. Pamatojoties uz Noteikumu Nr. 537 </w:t>
            </w:r>
            <w:r w:rsidR="002104D4" w:rsidRPr="0033110D">
              <w:rPr>
                <w:rFonts w:ascii="Times New Roman" w:hAnsi="Times New Roman"/>
                <w:sz w:val="24"/>
                <w:szCs w:val="24"/>
              </w:rPr>
              <w:t>2.punktu, Aģentūras</w:t>
            </w:r>
            <w:r w:rsidRPr="0033110D">
              <w:rPr>
                <w:rFonts w:ascii="Times New Roman" w:hAnsi="Times New Roman"/>
                <w:sz w:val="24"/>
                <w:szCs w:val="24"/>
              </w:rPr>
              <w:t xml:space="preserve">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C93FEF" w:rsidRDefault="00491F2D">
            <w:pPr>
              <w:spacing w:after="0" w:line="240" w:lineRule="auto"/>
              <w:ind w:firstLine="295"/>
              <w:jc w:val="both"/>
              <w:rPr>
                <w:rFonts w:ascii="Times New Roman" w:hAnsi="Times New Roman"/>
                <w:sz w:val="24"/>
                <w:szCs w:val="24"/>
                <w:lang w:val="en-US"/>
              </w:rPr>
            </w:pPr>
            <w:r w:rsidRPr="0033110D">
              <w:rPr>
                <w:rFonts w:ascii="Times New Roman" w:hAnsi="Times New Roman"/>
                <w:sz w:val="24"/>
                <w:szCs w:val="24"/>
              </w:rPr>
              <w:t>Lai sabiedrība iegūtu lielāku pārliecību par zāļu drošumu, bet komersanti - iespēju iziet starptautiskajā tirgū, Aģentūrai pakalpojumu sniegšanā ir jāspēj nodrošināt pakalpojumu kvalitāti, kas ir līdzvērtīga citām nozares kompetentajām institūcijām Eiropas Savienībā. Šā mērķa īstenošanai Aģentūra nepārtraukti pilnveido profesionālo kompetenci, lai spētu līdzdarboties un pārstāvētu valsts intereses Eiropas Savienības komitejās, piedalīties Eiropas Savienības starptautisko tiesību aktu sagatavošanā un tirgus risku minimizēšanā, kā arī nodrošinātu zinātnisku konsultāciju sniegšanu iesaistītajām pusēm un pilnīgi nodrošinātu atbilstību labās prakses principiem.</w:t>
            </w:r>
          </w:p>
          <w:p w:rsidR="00C93FEF" w:rsidRDefault="00491F2D">
            <w:pPr>
              <w:spacing w:after="0" w:line="240" w:lineRule="auto"/>
              <w:ind w:firstLine="295"/>
              <w:jc w:val="both"/>
              <w:rPr>
                <w:rFonts w:ascii="Times New Roman" w:hAnsi="Times New Roman"/>
                <w:sz w:val="24"/>
                <w:szCs w:val="24"/>
              </w:rPr>
            </w:pPr>
            <w:r w:rsidRPr="005556C7">
              <w:rPr>
                <w:rFonts w:ascii="Times New Roman" w:eastAsia="Times New Roman" w:hAnsi="Times New Roman"/>
                <w:sz w:val="24"/>
                <w:szCs w:val="24"/>
                <w:lang w:eastAsia="lv-LV"/>
              </w:rPr>
              <w:t>Aģentūras sniegtie maksas pakalpojumi un maksāšanas kārtība notiek</w:t>
            </w:r>
            <w:r w:rsidRPr="005556C7">
              <w:rPr>
                <w:rFonts w:ascii="Times New Roman" w:eastAsia="Batang" w:hAnsi="Times New Roman"/>
                <w:sz w:val="24"/>
                <w:szCs w:val="24"/>
              </w:rPr>
              <w:t xml:space="preserve"> saskaņā ar </w:t>
            </w:r>
            <w:r w:rsidRPr="0033110D">
              <w:rPr>
                <w:rFonts w:ascii="Times New Roman" w:hAnsi="Times New Roman"/>
                <w:sz w:val="24"/>
                <w:szCs w:val="24"/>
              </w:rPr>
              <w:t xml:space="preserve">Ministru kabineta 2013.gada </w:t>
            </w:r>
            <w:r w:rsidR="006D01A1" w:rsidRPr="0033110D">
              <w:rPr>
                <w:rFonts w:ascii="Times New Roman" w:hAnsi="Times New Roman"/>
                <w:sz w:val="24"/>
                <w:szCs w:val="24"/>
              </w:rPr>
              <w:t>17.septembra</w:t>
            </w:r>
            <w:r w:rsidRPr="0033110D">
              <w:rPr>
                <w:rFonts w:ascii="Times New Roman" w:hAnsi="Times New Roman"/>
                <w:sz w:val="24"/>
                <w:szCs w:val="24"/>
              </w:rPr>
              <w:t xml:space="preserve"> noteikumiem Nr. </w:t>
            </w:r>
            <w:r w:rsidR="006D01A1" w:rsidRPr="0033110D">
              <w:rPr>
                <w:rFonts w:ascii="Times New Roman" w:hAnsi="Times New Roman"/>
                <w:sz w:val="24"/>
                <w:szCs w:val="24"/>
              </w:rPr>
              <w:t>873</w:t>
            </w:r>
            <w:r w:rsidRPr="0033110D">
              <w:rPr>
                <w:rFonts w:ascii="Times New Roman" w:hAnsi="Times New Roman"/>
                <w:sz w:val="24"/>
                <w:szCs w:val="24"/>
              </w:rPr>
              <w:t xml:space="preserve"> „Zāļu valsts aģentūras maksas pakalpojumu cenrādis”</w:t>
            </w:r>
            <w:r w:rsidR="006D01A1" w:rsidRPr="0033110D">
              <w:rPr>
                <w:rFonts w:ascii="Times New Roman" w:hAnsi="Times New Roman"/>
                <w:sz w:val="24"/>
                <w:szCs w:val="24"/>
              </w:rPr>
              <w:t xml:space="preserve"> (turpmāk - Noteikumi Nr.873</w:t>
            </w:r>
            <w:r w:rsidRPr="0033110D">
              <w:rPr>
                <w:rFonts w:ascii="Times New Roman" w:hAnsi="Times New Roman"/>
                <w:sz w:val="24"/>
                <w:szCs w:val="24"/>
              </w:rPr>
              <w:t>)</w:t>
            </w:r>
            <w:r w:rsidRPr="005556C7">
              <w:rPr>
                <w:rFonts w:ascii="Times New Roman" w:eastAsia="Times New Roman" w:hAnsi="Times New Roman"/>
                <w:sz w:val="24"/>
                <w:szCs w:val="24"/>
                <w:lang w:eastAsia="lv-LV"/>
              </w:rPr>
              <w:t xml:space="preserve">. </w:t>
            </w:r>
            <w:r w:rsidRPr="0033110D">
              <w:rPr>
                <w:rFonts w:ascii="Times New Roman" w:hAnsi="Times New Roman"/>
                <w:sz w:val="24"/>
                <w:szCs w:val="24"/>
              </w:rPr>
              <w:t xml:space="preserve">Aģentūras pakalpojumu izcenojumi ir sagatavoti atbilstoši Ministru kabineta 2011.gada 3.maija noteikumu Nr.333 „Kārtība, kādā plānojami un uzskaitāmi ieņēmumi no maksas pakalpojumiem un ar šo pakalpojumu sniegšanu </w:t>
            </w:r>
            <w:r w:rsidRPr="0033110D">
              <w:rPr>
                <w:rFonts w:ascii="Times New Roman" w:hAnsi="Times New Roman"/>
                <w:sz w:val="24"/>
                <w:szCs w:val="24"/>
              </w:rPr>
              <w:lastRenderedPageBreak/>
              <w:t>saistītie izdevumi, kā arī maksas pakalpojumu izcenojumu noteikšanas metodika un izcenojumu apstiprināšanas kārtība” noteiktajām prasībām.</w:t>
            </w:r>
          </w:p>
          <w:p w:rsidR="00C93FEF" w:rsidRDefault="005E7E70">
            <w:pPr>
              <w:spacing w:after="0" w:line="240" w:lineRule="auto"/>
              <w:ind w:firstLine="295"/>
              <w:jc w:val="both"/>
              <w:rPr>
                <w:rFonts w:ascii="Times New Roman" w:hAnsi="Times New Roman"/>
                <w:sz w:val="24"/>
                <w:szCs w:val="24"/>
                <w:lang w:val="en-US"/>
              </w:rPr>
            </w:pPr>
            <w:r>
              <w:rPr>
                <w:rFonts w:ascii="Times New Roman" w:hAnsi="Times New Roman"/>
                <w:sz w:val="24"/>
                <w:szCs w:val="24"/>
              </w:rPr>
              <w:t xml:space="preserve">Šobrīd spēkā esošajos Noteikumos Nr.873 nepieciešami grozījumi, jo spēkā stājušies grozījumi </w:t>
            </w:r>
            <w:r w:rsidRPr="005E7E70">
              <w:rPr>
                <w:rFonts w:ascii="Times New Roman" w:hAnsi="Times New Roman"/>
                <w:sz w:val="24"/>
                <w:szCs w:val="24"/>
              </w:rPr>
              <w:t xml:space="preserve">normatīvajos aktos, kas regulē </w:t>
            </w:r>
            <w:r>
              <w:rPr>
                <w:rFonts w:ascii="Times New Roman" w:hAnsi="Times New Roman"/>
                <w:sz w:val="24"/>
                <w:szCs w:val="24"/>
              </w:rPr>
              <w:t>farmācijas</w:t>
            </w:r>
            <w:r w:rsidRPr="005E7E70">
              <w:rPr>
                <w:rFonts w:ascii="Times New Roman" w:hAnsi="Times New Roman"/>
                <w:sz w:val="24"/>
                <w:szCs w:val="24"/>
              </w:rPr>
              <w:t xml:space="preserve"> jomu</w:t>
            </w:r>
            <w:r>
              <w:rPr>
                <w:rFonts w:ascii="Times New Roman" w:hAnsi="Times New Roman"/>
                <w:sz w:val="24"/>
                <w:szCs w:val="24"/>
              </w:rPr>
              <w:t xml:space="preserve"> un paredz Aģentūrai papildus pienākumus vai maina atsevišķu Noteikumos Nr.873 minēto pakalpojumu būtību. Līdz ar to neveicot atbilstošas izmaiņas Noteikumos Nr.873, Aģentūras sniegto pakalpojumu saņēmējiem netiks pieprasīta korekta samaksa. Nepieciešamie grozījumi Noteikumos Nr.873, atbilstoši veiktajām izmaiņām farmācijas jomu regulējošajos normatīvajos aktos uzskaitīt turpmāk tekstā.</w:t>
            </w:r>
          </w:p>
          <w:p w:rsidR="00C93FEF" w:rsidRDefault="00C93FEF">
            <w:pPr>
              <w:spacing w:after="0" w:line="240" w:lineRule="auto"/>
              <w:ind w:firstLine="295"/>
              <w:jc w:val="both"/>
              <w:rPr>
                <w:rFonts w:ascii="Times New Roman" w:hAnsi="Times New Roman"/>
                <w:sz w:val="24"/>
                <w:szCs w:val="24"/>
              </w:rPr>
            </w:pP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Saskaņā ar </w:t>
            </w:r>
            <w:r w:rsidRPr="005556C7">
              <w:rPr>
                <w:rFonts w:ascii="Times New Roman" w:eastAsia="Times New Roman" w:hAnsi="Times New Roman"/>
                <w:sz w:val="24"/>
                <w:szCs w:val="24"/>
                <w:lang w:eastAsia="lv-LV"/>
              </w:rPr>
              <w:t xml:space="preserve">Ministru kabineta 2007.gada 26.jūnija noteikumu Nr. 436 „Zāļu ievešanas un izvešanas kārtība”  </w:t>
            </w:r>
            <w:r w:rsidR="001231AE" w:rsidRPr="005556C7">
              <w:rPr>
                <w:rFonts w:ascii="Times New Roman" w:eastAsia="Times New Roman" w:hAnsi="Times New Roman"/>
                <w:sz w:val="24"/>
                <w:szCs w:val="24"/>
                <w:lang w:eastAsia="lv-LV"/>
              </w:rPr>
              <w:t xml:space="preserve">(turpmāk – Noteikumi Nr.436) </w:t>
            </w:r>
            <w:r w:rsidRPr="005556C7">
              <w:rPr>
                <w:rFonts w:ascii="Times New Roman" w:eastAsia="Times New Roman" w:hAnsi="Times New Roman"/>
                <w:sz w:val="24"/>
                <w:szCs w:val="24"/>
                <w:lang w:eastAsia="lv-LV"/>
              </w:rPr>
              <w:t xml:space="preserve">56. </w:t>
            </w:r>
            <w:r w:rsidRPr="005556C7">
              <w:rPr>
                <w:rFonts w:ascii="Times New Roman" w:eastAsia="Times New Roman" w:hAnsi="Times New Roman"/>
                <w:sz w:val="24"/>
                <w:szCs w:val="24"/>
                <w:vertAlign w:val="superscript"/>
                <w:lang w:eastAsia="lv-LV"/>
              </w:rPr>
              <w:t xml:space="preserve">1 </w:t>
            </w:r>
            <w:r w:rsidRPr="005556C7">
              <w:rPr>
                <w:rFonts w:ascii="Times New Roman" w:eastAsia="Times New Roman" w:hAnsi="Times New Roman"/>
                <w:sz w:val="24"/>
                <w:szCs w:val="24"/>
                <w:lang w:eastAsia="lv-LV"/>
              </w:rPr>
              <w:t>punktu noteikts, ka „</w:t>
            </w:r>
            <w:r w:rsidRPr="0033110D">
              <w:rPr>
                <w:rFonts w:ascii="Times New Roman" w:hAnsi="Times New Roman"/>
                <w:sz w:val="24"/>
                <w:szCs w:val="24"/>
              </w:rPr>
              <w:t xml:space="preserve">Prasība, kas attiecas uz šo noteikumu </w:t>
            </w:r>
            <w:hyperlink r:id="rId8" w:anchor="IntPNpunkt32.1" w:tooltip="Vietēja saite" w:history="1">
              <w:r w:rsidRPr="0033110D">
                <w:rPr>
                  <w:rFonts w:ascii="Times New Roman" w:hAnsi="Times New Roman"/>
                  <w:sz w:val="24"/>
                  <w:szCs w:val="24"/>
                  <w:u w:val="single"/>
                </w:rPr>
                <w:t>32.</w:t>
              </w:r>
              <w:r w:rsidRPr="0033110D">
                <w:rPr>
                  <w:rFonts w:ascii="Times New Roman" w:hAnsi="Times New Roman"/>
                  <w:sz w:val="24"/>
                  <w:szCs w:val="24"/>
                  <w:u w:val="single"/>
                  <w:vertAlign w:val="superscript"/>
                </w:rPr>
                <w:t>1</w:t>
              </w:r>
            </w:hyperlink>
            <w:r w:rsidRPr="0033110D">
              <w:rPr>
                <w:rFonts w:ascii="Times New Roman" w:hAnsi="Times New Roman"/>
                <w:sz w:val="24"/>
                <w:szCs w:val="24"/>
              </w:rPr>
              <w:t xml:space="preserve"> (atļauja zāļu paraugu importam vai tās dublikāts), </w:t>
            </w:r>
            <w:hyperlink r:id="rId9" w:anchor="IntPNpunkt38." w:tooltip="Vietēja saite" w:history="1">
              <w:r w:rsidRPr="0033110D">
                <w:rPr>
                  <w:rFonts w:ascii="Times New Roman" w:hAnsi="Times New Roman"/>
                  <w:sz w:val="24"/>
                  <w:szCs w:val="24"/>
                  <w:u w:val="single"/>
                </w:rPr>
                <w:t>38.</w:t>
              </w:r>
            </w:hyperlink>
            <w:r w:rsidRPr="0033110D">
              <w:rPr>
                <w:rFonts w:ascii="Times New Roman" w:hAnsi="Times New Roman"/>
                <w:sz w:val="24"/>
                <w:szCs w:val="24"/>
              </w:rPr>
              <w:t xml:space="preserve"> (</w:t>
            </w:r>
            <w:r w:rsidR="00D75146" w:rsidRPr="00D75146">
              <w:rPr>
                <w:rFonts w:ascii="Times New Roman" w:hAnsi="Times New Roman"/>
                <w:sz w:val="24"/>
                <w:szCs w:val="24"/>
              </w:rPr>
              <w:t>sertifikāt</w:t>
            </w:r>
            <w:r w:rsidR="00D75146">
              <w:rPr>
                <w:rFonts w:ascii="Times New Roman" w:hAnsi="Times New Roman"/>
                <w:sz w:val="24"/>
                <w:szCs w:val="24"/>
              </w:rPr>
              <w:t>s</w:t>
            </w:r>
            <w:r w:rsidR="00D75146" w:rsidRPr="00D75146">
              <w:rPr>
                <w:rFonts w:ascii="Times New Roman" w:hAnsi="Times New Roman"/>
                <w:sz w:val="24"/>
                <w:szCs w:val="24"/>
              </w:rPr>
              <w:t xml:space="preserve"> un paziņojum</w:t>
            </w:r>
            <w:r w:rsidR="00D75146">
              <w:rPr>
                <w:rFonts w:ascii="Times New Roman" w:hAnsi="Times New Roman"/>
                <w:sz w:val="24"/>
                <w:szCs w:val="24"/>
              </w:rPr>
              <w:t>s</w:t>
            </w:r>
            <w:r w:rsidR="00D75146" w:rsidRPr="00D75146">
              <w:rPr>
                <w:rFonts w:ascii="Times New Roman" w:hAnsi="Times New Roman"/>
                <w:sz w:val="24"/>
                <w:szCs w:val="24"/>
              </w:rPr>
              <w:t xml:space="preserve"> vai tā dublikāt</w:t>
            </w:r>
            <w:r w:rsidR="00D75146">
              <w:rPr>
                <w:rFonts w:ascii="Times New Roman" w:hAnsi="Times New Roman"/>
                <w:sz w:val="24"/>
                <w:szCs w:val="24"/>
              </w:rPr>
              <w:t>s</w:t>
            </w:r>
            <w:r w:rsidRPr="0033110D">
              <w:rPr>
                <w:rFonts w:ascii="Times New Roman" w:hAnsi="Times New Roman"/>
                <w:sz w:val="24"/>
                <w:szCs w:val="24"/>
              </w:rPr>
              <w:t xml:space="preserve">), </w:t>
            </w:r>
            <w:hyperlink r:id="rId10" w:anchor="IntPNpunkt38.2" w:tooltip="Vietēja saite" w:history="1">
              <w:r w:rsidRPr="0033110D">
                <w:rPr>
                  <w:rFonts w:ascii="Times New Roman" w:hAnsi="Times New Roman"/>
                  <w:sz w:val="24"/>
                  <w:szCs w:val="24"/>
                  <w:u w:val="single"/>
                </w:rPr>
                <w:t>38.</w:t>
              </w:r>
              <w:r w:rsidRPr="0033110D">
                <w:rPr>
                  <w:rFonts w:ascii="Times New Roman" w:hAnsi="Times New Roman"/>
                  <w:sz w:val="24"/>
                  <w:szCs w:val="24"/>
                  <w:u w:val="single"/>
                  <w:vertAlign w:val="superscript"/>
                </w:rPr>
                <w:t>2</w:t>
              </w:r>
            </w:hyperlink>
            <w:r w:rsidRPr="0033110D">
              <w:rPr>
                <w:rFonts w:ascii="Times New Roman" w:hAnsi="Times New Roman"/>
                <w:sz w:val="24"/>
                <w:szCs w:val="24"/>
              </w:rPr>
              <w:t xml:space="preserve"> </w:t>
            </w:r>
            <w:r w:rsidR="00D75146">
              <w:rPr>
                <w:rFonts w:ascii="Times New Roman" w:hAnsi="Times New Roman"/>
                <w:sz w:val="24"/>
                <w:szCs w:val="24"/>
              </w:rPr>
              <w:t>(</w:t>
            </w:r>
            <w:r w:rsidR="00D75146" w:rsidRPr="00D75146">
              <w:rPr>
                <w:rFonts w:ascii="Times New Roman" w:hAnsi="Times New Roman"/>
                <w:sz w:val="24"/>
                <w:szCs w:val="24"/>
              </w:rPr>
              <w:t>sertifikāt</w:t>
            </w:r>
            <w:r w:rsidR="00D75146">
              <w:rPr>
                <w:rFonts w:ascii="Times New Roman" w:hAnsi="Times New Roman"/>
                <w:sz w:val="24"/>
                <w:szCs w:val="24"/>
              </w:rPr>
              <w:t>s</w:t>
            </w:r>
            <w:r w:rsidR="00D75146" w:rsidRPr="00D75146">
              <w:rPr>
                <w:rFonts w:ascii="Times New Roman" w:hAnsi="Times New Roman"/>
                <w:sz w:val="24"/>
                <w:szCs w:val="24"/>
              </w:rPr>
              <w:t xml:space="preserve"> un paziņojum</w:t>
            </w:r>
            <w:r w:rsidR="00D75146">
              <w:rPr>
                <w:rFonts w:ascii="Times New Roman" w:hAnsi="Times New Roman"/>
                <w:sz w:val="24"/>
                <w:szCs w:val="24"/>
              </w:rPr>
              <w:t>s</w:t>
            </w:r>
            <w:r w:rsidR="00D75146" w:rsidRPr="00D75146">
              <w:rPr>
                <w:rFonts w:ascii="Times New Roman" w:hAnsi="Times New Roman"/>
                <w:sz w:val="24"/>
                <w:szCs w:val="24"/>
              </w:rPr>
              <w:t xml:space="preserve"> vai tā dublikāt</w:t>
            </w:r>
            <w:r w:rsidR="00D75146">
              <w:rPr>
                <w:rFonts w:ascii="Times New Roman" w:hAnsi="Times New Roman"/>
                <w:sz w:val="24"/>
                <w:szCs w:val="24"/>
              </w:rPr>
              <w:t>s</w:t>
            </w:r>
            <w:r w:rsidRPr="0033110D">
              <w:rPr>
                <w:rFonts w:ascii="Times New Roman" w:hAnsi="Times New Roman"/>
                <w:sz w:val="24"/>
                <w:szCs w:val="24"/>
              </w:rPr>
              <w:t xml:space="preserve">) </w:t>
            </w:r>
            <w:hyperlink r:id="rId11" w:anchor="IntPNpunkt38.3" w:tooltip="Vietēja saite" w:history="1">
              <w:r w:rsidRPr="0033110D">
                <w:rPr>
                  <w:rFonts w:ascii="Times New Roman" w:hAnsi="Times New Roman"/>
                  <w:sz w:val="24"/>
                  <w:szCs w:val="24"/>
                  <w:u w:val="single"/>
                </w:rPr>
                <w:t>38.</w:t>
              </w:r>
              <w:r w:rsidRPr="0033110D">
                <w:rPr>
                  <w:rFonts w:ascii="Times New Roman" w:hAnsi="Times New Roman"/>
                  <w:sz w:val="24"/>
                  <w:szCs w:val="24"/>
                  <w:u w:val="single"/>
                  <w:vertAlign w:val="superscript"/>
                </w:rPr>
                <w:t>3</w:t>
              </w:r>
            </w:hyperlink>
            <w:r w:rsidRPr="0033110D">
              <w:rPr>
                <w:rFonts w:ascii="Times New Roman" w:hAnsi="Times New Roman"/>
                <w:sz w:val="24"/>
                <w:szCs w:val="24"/>
              </w:rPr>
              <w:t xml:space="preserve"> (produkta sertifikāts,</w:t>
            </w:r>
            <w:r w:rsidR="00D75146">
              <w:rPr>
                <w:rFonts w:ascii="Times New Roman" w:hAnsi="Times New Roman"/>
                <w:sz w:val="24"/>
                <w:szCs w:val="24"/>
                <w:u w:val="single"/>
              </w:rPr>
              <w:t xml:space="preserve"> </w:t>
            </w:r>
            <w:r w:rsidRPr="0033110D">
              <w:rPr>
                <w:rFonts w:ascii="Times New Roman" w:hAnsi="Times New Roman"/>
                <w:sz w:val="24"/>
                <w:szCs w:val="24"/>
              </w:rPr>
              <w:t>paziņojums par produkta reģistrācijas statusu, saīsinātais sertifikāts) punktā minēto dokumentu izsniegšanu papīra dokumenta formā par papildu maksu, piemērojama ar 2014.gada 1.jūliju”.</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Saskaņā ar Ministru kabineta 2007.gada 26.jūnija noteikumu Nr. 416 „</w:t>
            </w:r>
            <w:r w:rsidRPr="0033110D">
              <w:rPr>
                <w:rFonts w:ascii="Times New Roman" w:hAnsi="Times New Roman"/>
                <w:bCs/>
                <w:sz w:val="24"/>
                <w:szCs w:val="24"/>
              </w:rPr>
              <w:t>Zāļu izplatīšanas un kvalitātes kontroles kārtība</w:t>
            </w:r>
            <w:r w:rsidRPr="0033110D">
              <w:rPr>
                <w:rFonts w:ascii="Times New Roman" w:hAnsi="Times New Roman"/>
                <w:sz w:val="24"/>
                <w:szCs w:val="24"/>
              </w:rPr>
              <w:t>”</w:t>
            </w:r>
            <w:r w:rsidR="0043560E" w:rsidRPr="0033110D">
              <w:rPr>
                <w:rFonts w:ascii="Times New Roman" w:hAnsi="Times New Roman"/>
                <w:sz w:val="24"/>
                <w:szCs w:val="24"/>
              </w:rPr>
              <w:t xml:space="preserve"> (turpmāk – Noteikumi Nr.416)</w:t>
            </w:r>
            <w:r w:rsidRPr="0033110D">
              <w:rPr>
                <w:rFonts w:ascii="Times New Roman" w:hAnsi="Times New Roman"/>
                <w:sz w:val="24"/>
                <w:szCs w:val="24"/>
              </w:rPr>
              <w:t xml:space="preserve"> 171.</w:t>
            </w:r>
            <w:r w:rsidRPr="0033110D">
              <w:rPr>
                <w:rFonts w:ascii="Times New Roman" w:hAnsi="Times New Roman"/>
                <w:sz w:val="24"/>
                <w:szCs w:val="24"/>
                <w:vertAlign w:val="superscript"/>
              </w:rPr>
              <w:t xml:space="preserve">7 </w:t>
            </w:r>
            <w:r w:rsidRPr="0033110D">
              <w:rPr>
                <w:rFonts w:ascii="Times New Roman" w:hAnsi="Times New Roman"/>
                <w:sz w:val="24"/>
                <w:szCs w:val="24"/>
              </w:rPr>
              <w:t>punktu</w:t>
            </w:r>
            <w:r w:rsidR="00F478D0" w:rsidRPr="0033110D">
              <w:rPr>
                <w:rFonts w:ascii="Times New Roman" w:hAnsi="Times New Roman"/>
                <w:sz w:val="24"/>
                <w:szCs w:val="24"/>
              </w:rPr>
              <w:t xml:space="preserve"> šo noteikumu </w:t>
            </w:r>
            <w:r w:rsidRPr="0033110D">
              <w:rPr>
                <w:rFonts w:ascii="Times New Roman" w:hAnsi="Times New Roman"/>
                <w:sz w:val="24"/>
                <w:szCs w:val="24"/>
              </w:rPr>
              <w:t xml:space="preserve"> </w:t>
            </w:r>
            <w:hyperlink r:id="rId12" w:anchor="IntPNpunkt66.5" w:tooltip="Vietēja saite" w:history="1">
              <w:r w:rsidRPr="0033110D">
                <w:rPr>
                  <w:rFonts w:ascii="Times New Roman" w:hAnsi="Times New Roman"/>
                  <w:sz w:val="24"/>
                  <w:szCs w:val="24"/>
                </w:rPr>
                <w:t>66.</w:t>
              </w:r>
              <w:r w:rsidRPr="0033110D">
                <w:rPr>
                  <w:rFonts w:ascii="Times New Roman" w:hAnsi="Times New Roman"/>
                  <w:sz w:val="24"/>
                  <w:szCs w:val="24"/>
                  <w:vertAlign w:val="superscript"/>
                </w:rPr>
                <w:t>5 </w:t>
              </w:r>
            </w:hyperlink>
            <w:r w:rsidRPr="0033110D">
              <w:rPr>
                <w:rFonts w:ascii="Times New Roman" w:hAnsi="Times New Roman"/>
                <w:sz w:val="24"/>
                <w:szCs w:val="24"/>
              </w:rPr>
              <w:t xml:space="preserve">punkts attiecībā uz reģistrācijas apliecības izsniegšanu personai, kas veic starpniecības darījumus ar zālēm, un šo noteikumu </w:t>
            </w:r>
            <w:hyperlink r:id="rId13" w:anchor="IntPNpunkt146.10." w:tooltip="Vietēja saite" w:history="1">
              <w:r w:rsidRPr="0033110D">
                <w:rPr>
                  <w:rFonts w:ascii="Times New Roman" w:hAnsi="Times New Roman"/>
                  <w:sz w:val="24"/>
                  <w:szCs w:val="24"/>
                  <w:u w:val="single"/>
                </w:rPr>
                <w:t>146.10.</w:t>
              </w:r>
            </w:hyperlink>
            <w:r w:rsidRPr="0033110D">
              <w:rPr>
                <w:rFonts w:ascii="Times New Roman" w:hAnsi="Times New Roman"/>
                <w:sz w:val="24"/>
                <w:szCs w:val="24"/>
              </w:rPr>
              <w:t>apakšpunkts attiecībā uz zāļu labas izplatīšanas prakses atbilstības sertifikāta izsniegšanu papīra dokumenta formā par papildu maksu stājas spēkā 2014.gada 1.jūlijā.</w:t>
            </w:r>
          </w:p>
          <w:p w:rsidR="00C93FEF" w:rsidRDefault="00F478D0">
            <w:pPr>
              <w:spacing w:after="0" w:line="240" w:lineRule="auto"/>
              <w:ind w:firstLine="295"/>
              <w:jc w:val="both"/>
              <w:rPr>
                <w:rFonts w:ascii="Times New Roman" w:hAnsi="Times New Roman"/>
                <w:sz w:val="24"/>
                <w:szCs w:val="24"/>
              </w:rPr>
            </w:pPr>
            <w:r w:rsidRPr="0033110D">
              <w:rPr>
                <w:rFonts w:ascii="Times New Roman" w:hAnsi="Times New Roman"/>
                <w:sz w:val="24"/>
                <w:szCs w:val="24"/>
              </w:rPr>
              <w:t>Saskaņā ar Noteikumu Nr.416 171.</w:t>
            </w:r>
            <w:r w:rsidRPr="0033110D">
              <w:rPr>
                <w:rFonts w:ascii="Times New Roman" w:hAnsi="Times New Roman"/>
                <w:sz w:val="24"/>
                <w:szCs w:val="24"/>
                <w:vertAlign w:val="superscript"/>
              </w:rPr>
              <w:t xml:space="preserve">9 </w:t>
            </w:r>
            <w:r w:rsidRPr="0033110D">
              <w:rPr>
                <w:rFonts w:ascii="Times New Roman" w:hAnsi="Times New Roman"/>
                <w:sz w:val="24"/>
                <w:szCs w:val="24"/>
              </w:rPr>
              <w:t xml:space="preserve">punktu šo noteikumu  </w:t>
            </w:r>
            <w:r w:rsidR="00413624" w:rsidRPr="0033110D">
              <w:rPr>
                <w:rFonts w:ascii="Times New Roman" w:hAnsi="Times New Roman"/>
                <w:sz w:val="24"/>
                <w:szCs w:val="24"/>
              </w:rPr>
              <w:t>53.punkts attiecībā uz paralēli importēto zāļu izplatīšanas atļaujas izsniegšanu, 79.1.apakšpunkts attiecībā uz atļaujas izsniegšanu atlikušo zāļu krājuma izplatīšanai un 97.punkts, kas nosaka nereģistrētu zāļu izplatīšanas atļaujas izsniegšanu papīra dokumenta formā par papildu maksu, stājas spēkā 2014.gada 1.jūlijā.</w:t>
            </w:r>
            <w:r w:rsidR="00427AB0">
              <w:rPr>
                <w:rFonts w:ascii="Times New Roman" w:hAnsi="Times New Roman"/>
                <w:sz w:val="24"/>
                <w:szCs w:val="24"/>
              </w:rPr>
              <w:t xml:space="preserve"> </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Ministru kabineta 2006.gada 18.aprīļa noteikumu Nr. 304 „</w:t>
            </w:r>
            <w:r w:rsidRPr="0033110D">
              <w:rPr>
                <w:rFonts w:ascii="Times New Roman" w:hAnsi="Times New Roman"/>
                <w:bCs/>
                <w:sz w:val="24"/>
                <w:szCs w:val="24"/>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1231AE" w:rsidRPr="0033110D">
              <w:rPr>
                <w:rFonts w:ascii="Times New Roman" w:hAnsi="Times New Roman"/>
                <w:bCs/>
                <w:sz w:val="24"/>
                <w:szCs w:val="24"/>
              </w:rPr>
              <w:t xml:space="preserve"> (turpmāk – Noteikumi Nr.304)</w:t>
            </w:r>
            <w:r w:rsidRPr="0033110D">
              <w:rPr>
                <w:rFonts w:ascii="Times New Roman" w:hAnsi="Times New Roman"/>
                <w:bCs/>
                <w:sz w:val="24"/>
                <w:szCs w:val="24"/>
              </w:rPr>
              <w:t xml:space="preserve"> 99.</w:t>
            </w:r>
            <w:r w:rsidRPr="0033110D">
              <w:rPr>
                <w:rFonts w:ascii="Times New Roman" w:hAnsi="Times New Roman"/>
                <w:bCs/>
                <w:sz w:val="24"/>
                <w:szCs w:val="24"/>
                <w:vertAlign w:val="superscript"/>
              </w:rPr>
              <w:t>1</w:t>
            </w:r>
            <w:r w:rsidRPr="0033110D">
              <w:rPr>
                <w:rFonts w:ascii="Times New Roman" w:hAnsi="Times New Roman"/>
                <w:bCs/>
                <w:sz w:val="24"/>
                <w:szCs w:val="24"/>
              </w:rPr>
              <w:t xml:space="preserve"> punkts nosaka, ka </w:t>
            </w:r>
            <w:r w:rsidRPr="0033110D">
              <w:rPr>
                <w:rFonts w:ascii="Times New Roman" w:hAnsi="Times New Roman"/>
                <w:sz w:val="24"/>
                <w:szCs w:val="24"/>
              </w:rPr>
              <w:t xml:space="preserve">šo </w:t>
            </w:r>
            <w:r w:rsidRPr="0033110D">
              <w:rPr>
                <w:rFonts w:ascii="Times New Roman" w:hAnsi="Times New Roman"/>
                <w:sz w:val="24"/>
                <w:szCs w:val="24"/>
              </w:rPr>
              <w:lastRenderedPageBreak/>
              <w:t xml:space="preserve">noteikumu </w:t>
            </w:r>
            <w:hyperlink r:id="rId14" w:anchor="IntPNpunkt41.1." w:tooltip="Vietēja saite" w:history="1">
              <w:r w:rsidRPr="0033110D">
                <w:rPr>
                  <w:rFonts w:ascii="Times New Roman" w:hAnsi="Times New Roman"/>
                  <w:sz w:val="24"/>
                  <w:szCs w:val="24"/>
                  <w:u w:val="single"/>
                </w:rPr>
                <w:t>41.1.</w:t>
              </w:r>
            </w:hyperlink>
            <w:r w:rsidRPr="0033110D">
              <w:rPr>
                <w:rFonts w:ascii="Times New Roman" w:hAnsi="Times New Roman"/>
                <w:sz w:val="24"/>
                <w:szCs w:val="24"/>
              </w:rPr>
              <w:t>apakšpunkta nosacījums par labas ražošanas prakses atbilstības sertifikāta vai tā dublikāta izsniegšanu zāļu vai aktīvo vielu ražotājam papīra dokumenta formā par papildu maksu stājas spēkā 2014.gada 1.jūlijā.</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L</w:t>
            </w:r>
            <w:r w:rsidR="006D01A1" w:rsidRPr="0033110D">
              <w:rPr>
                <w:rFonts w:ascii="Times New Roman" w:hAnsi="Times New Roman"/>
                <w:sz w:val="24"/>
                <w:szCs w:val="24"/>
              </w:rPr>
              <w:t>ī</w:t>
            </w:r>
            <w:r w:rsidRPr="0033110D">
              <w:rPr>
                <w:rFonts w:ascii="Times New Roman" w:hAnsi="Times New Roman"/>
                <w:sz w:val="24"/>
                <w:szCs w:val="24"/>
              </w:rPr>
              <w:t xml:space="preserve">dz ar to, ievērojot augstākminēto termiņu, no 2014.gada 1.jūlija minētos dokumentus būs iespējams saņemt gan papīra dokumenta, gan elektroniskā formā. </w:t>
            </w:r>
            <w:r w:rsidR="00061281">
              <w:rPr>
                <w:rFonts w:ascii="Times New Roman" w:hAnsi="Times New Roman"/>
                <w:sz w:val="24"/>
                <w:szCs w:val="24"/>
              </w:rPr>
              <w:t xml:space="preserve">Lai motivētu pakalpojumu saņēmējus dokumentus saņemt elektroniskā formā, minēto dokumentu izsniegšanai ir samazināta cena, atbilstoši izmaksām, ko sastāda dokumentu sagatavošana papīra formā. </w:t>
            </w:r>
            <w:r w:rsidRPr="0033110D">
              <w:rPr>
                <w:rFonts w:ascii="Times New Roman" w:hAnsi="Times New Roman"/>
                <w:sz w:val="24"/>
                <w:szCs w:val="24"/>
              </w:rPr>
              <w:t>Līdz ar to faktiski minēto dokumentu saņemot papīra formā cena nemainās, bet tos ir iespējams saņemt elektroniskā formā par samazinātu cenu.</w:t>
            </w:r>
            <w:r w:rsidR="00061281">
              <w:rPr>
                <w:rFonts w:ascii="Times New Roman" w:hAnsi="Times New Roman"/>
                <w:sz w:val="24"/>
                <w:szCs w:val="24"/>
              </w:rPr>
              <w:t xml:space="preserve"> Tādējādi veiktas izmaiņas, samazinot Noteikumu Nr.873 pielikuma 34., 35., 61., 62. un 63.punktā</w:t>
            </w:r>
            <w:r w:rsidR="000428CF">
              <w:rPr>
                <w:rFonts w:ascii="Times New Roman" w:hAnsi="Times New Roman"/>
                <w:sz w:val="24"/>
                <w:szCs w:val="24"/>
              </w:rPr>
              <w:t xml:space="preserve"> noteikto pakalpojuma izcenojumu.</w:t>
            </w:r>
          </w:p>
          <w:p w:rsidR="00C93FEF" w:rsidRDefault="000428CF">
            <w:pPr>
              <w:spacing w:after="0" w:line="240" w:lineRule="auto"/>
              <w:ind w:firstLine="295"/>
              <w:jc w:val="both"/>
              <w:rPr>
                <w:rFonts w:ascii="Times New Roman" w:hAnsi="Times New Roman"/>
                <w:sz w:val="24"/>
                <w:szCs w:val="24"/>
              </w:rPr>
            </w:pPr>
            <w:r>
              <w:rPr>
                <w:rFonts w:ascii="Times New Roman" w:hAnsi="Times New Roman"/>
                <w:sz w:val="24"/>
                <w:szCs w:val="24"/>
              </w:rPr>
              <w:t>Lai noteiktu dokumentu veidus, kuri par papildus samaksu izsniedzami papīra formā,</w:t>
            </w:r>
            <w:r w:rsidR="006D01A1" w:rsidRPr="0033110D">
              <w:rPr>
                <w:rFonts w:ascii="Times New Roman" w:hAnsi="Times New Roman"/>
                <w:sz w:val="24"/>
                <w:szCs w:val="24"/>
              </w:rPr>
              <w:t xml:space="preserve"> Noteikumi Nr.873 </w:t>
            </w:r>
            <w:r w:rsidR="00517579" w:rsidRPr="0033110D">
              <w:rPr>
                <w:rFonts w:ascii="Times New Roman" w:hAnsi="Times New Roman"/>
                <w:sz w:val="24"/>
                <w:szCs w:val="24"/>
              </w:rPr>
              <w:t xml:space="preserve">tiek </w:t>
            </w:r>
            <w:r w:rsidR="006D01A1" w:rsidRPr="0033110D">
              <w:rPr>
                <w:rFonts w:ascii="Times New Roman" w:hAnsi="Times New Roman"/>
                <w:sz w:val="24"/>
                <w:szCs w:val="24"/>
              </w:rPr>
              <w:t>papildinā</w:t>
            </w:r>
            <w:r w:rsidR="00517579" w:rsidRPr="0033110D">
              <w:rPr>
                <w:rFonts w:ascii="Times New Roman" w:hAnsi="Times New Roman"/>
                <w:sz w:val="24"/>
                <w:szCs w:val="24"/>
              </w:rPr>
              <w:t>t</w:t>
            </w:r>
            <w:r w:rsidR="00427AB0">
              <w:rPr>
                <w:rFonts w:ascii="Times New Roman" w:hAnsi="Times New Roman"/>
                <w:sz w:val="24"/>
                <w:szCs w:val="24"/>
              </w:rPr>
              <w:t>i ar 9</w:t>
            </w:r>
            <w:r w:rsidR="006D01A1" w:rsidRPr="0033110D">
              <w:rPr>
                <w:rFonts w:ascii="Times New Roman" w:hAnsi="Times New Roman"/>
                <w:sz w:val="24"/>
                <w:szCs w:val="24"/>
              </w:rPr>
              <w:t>.</w:t>
            </w:r>
            <w:r w:rsidR="006D01A1" w:rsidRPr="0033110D">
              <w:rPr>
                <w:rFonts w:ascii="Times New Roman" w:hAnsi="Times New Roman"/>
                <w:sz w:val="24"/>
                <w:szCs w:val="24"/>
                <w:vertAlign w:val="superscript"/>
              </w:rPr>
              <w:t>1</w:t>
            </w:r>
            <w:r w:rsidR="006F1BE4">
              <w:rPr>
                <w:rFonts w:ascii="Times New Roman" w:hAnsi="Times New Roman"/>
                <w:sz w:val="24"/>
                <w:szCs w:val="24"/>
              </w:rPr>
              <w:t xml:space="preserve"> punktu</w:t>
            </w:r>
            <w:r w:rsidR="006F1BE4" w:rsidRPr="0033110D">
              <w:rPr>
                <w:rFonts w:ascii="Times New Roman" w:hAnsi="Times New Roman"/>
                <w:sz w:val="24"/>
                <w:szCs w:val="24"/>
              </w:rPr>
              <w:t>, kas  nosaka, ka par cenrāža pielikuma 20.</w:t>
            </w:r>
            <w:r w:rsidR="006F1BE4" w:rsidRPr="00940260">
              <w:rPr>
                <w:rFonts w:ascii="Times New Roman" w:hAnsi="Times New Roman"/>
                <w:sz w:val="24"/>
                <w:szCs w:val="24"/>
                <w:vertAlign w:val="superscript"/>
              </w:rPr>
              <w:t>2</w:t>
            </w:r>
            <w:r w:rsidR="006F1BE4" w:rsidRPr="0033110D">
              <w:rPr>
                <w:rFonts w:ascii="Times New Roman" w:hAnsi="Times New Roman"/>
                <w:sz w:val="24"/>
                <w:szCs w:val="24"/>
              </w:rPr>
              <w:t>1., 30.3., 34., 35., 35.</w:t>
            </w:r>
            <w:r w:rsidR="006F1BE4" w:rsidRPr="00940260">
              <w:rPr>
                <w:rFonts w:ascii="Times New Roman" w:hAnsi="Times New Roman"/>
                <w:sz w:val="24"/>
                <w:szCs w:val="24"/>
                <w:vertAlign w:val="superscript"/>
              </w:rPr>
              <w:t>1</w:t>
            </w:r>
            <w:r w:rsidR="006F1BE4" w:rsidRPr="0033110D">
              <w:rPr>
                <w:rFonts w:ascii="Times New Roman" w:hAnsi="Times New Roman"/>
                <w:sz w:val="24"/>
                <w:szCs w:val="24"/>
              </w:rPr>
              <w:t>, 37., 55.</w:t>
            </w:r>
            <w:r w:rsidR="006F1BE4" w:rsidRPr="00940260">
              <w:rPr>
                <w:rFonts w:ascii="Times New Roman" w:hAnsi="Times New Roman"/>
                <w:sz w:val="24"/>
                <w:szCs w:val="24"/>
                <w:vertAlign w:val="superscript"/>
              </w:rPr>
              <w:t>1</w:t>
            </w:r>
            <w:r w:rsidR="006F1BE4" w:rsidRPr="0033110D">
              <w:rPr>
                <w:rFonts w:ascii="Times New Roman" w:hAnsi="Times New Roman"/>
                <w:sz w:val="24"/>
                <w:szCs w:val="24"/>
              </w:rPr>
              <w:t>, 61., 61.</w:t>
            </w:r>
            <w:r w:rsidR="006F1BE4" w:rsidRPr="00940260">
              <w:rPr>
                <w:rFonts w:ascii="Times New Roman" w:hAnsi="Times New Roman"/>
                <w:sz w:val="24"/>
                <w:szCs w:val="24"/>
                <w:vertAlign w:val="superscript"/>
              </w:rPr>
              <w:t>1</w:t>
            </w:r>
            <w:r w:rsidR="006F1BE4" w:rsidRPr="0033110D">
              <w:rPr>
                <w:rFonts w:ascii="Times New Roman" w:hAnsi="Times New Roman"/>
                <w:sz w:val="24"/>
                <w:szCs w:val="24"/>
              </w:rPr>
              <w:t xml:space="preserve"> , 62., 62.</w:t>
            </w:r>
            <w:r w:rsidR="006F1BE4" w:rsidRPr="00940260">
              <w:rPr>
                <w:rFonts w:ascii="Times New Roman" w:hAnsi="Times New Roman"/>
                <w:sz w:val="24"/>
                <w:szCs w:val="24"/>
                <w:vertAlign w:val="superscript"/>
              </w:rPr>
              <w:t>1</w:t>
            </w:r>
            <w:r w:rsidR="006F1BE4" w:rsidRPr="0033110D">
              <w:rPr>
                <w:rFonts w:ascii="Times New Roman" w:hAnsi="Times New Roman"/>
                <w:sz w:val="24"/>
                <w:szCs w:val="24"/>
              </w:rPr>
              <w:t>, 63., 63.</w:t>
            </w:r>
            <w:r w:rsidR="006F1BE4" w:rsidRPr="00940260">
              <w:rPr>
                <w:rFonts w:ascii="Times New Roman" w:hAnsi="Times New Roman"/>
                <w:sz w:val="24"/>
                <w:szCs w:val="24"/>
                <w:vertAlign w:val="superscript"/>
              </w:rPr>
              <w:t>1</w:t>
            </w:r>
            <w:r w:rsidR="006F1BE4" w:rsidRPr="0033110D">
              <w:rPr>
                <w:rFonts w:ascii="Times New Roman" w:hAnsi="Times New Roman"/>
                <w:sz w:val="24"/>
                <w:szCs w:val="24"/>
              </w:rPr>
              <w:t>, 82. punktā minēto dokumentu izsniegšanu papīra formā piemērojama</w:t>
            </w:r>
            <w:r w:rsidR="006F1BE4" w:rsidRPr="0033110D">
              <w:rPr>
                <w:bCs/>
                <w:sz w:val="28"/>
                <w:szCs w:val="28"/>
              </w:rPr>
              <w:t xml:space="preserve"> </w:t>
            </w:r>
            <w:r w:rsidR="006F1BE4" w:rsidRPr="0033110D">
              <w:rPr>
                <w:rFonts w:ascii="Times New Roman" w:hAnsi="Times New Roman"/>
                <w:sz w:val="24"/>
                <w:szCs w:val="24"/>
              </w:rPr>
              <w:t xml:space="preserve">papildus </w:t>
            </w:r>
            <w:r w:rsidR="00940260" w:rsidRPr="0033110D">
              <w:rPr>
                <w:rFonts w:ascii="Times New Roman" w:hAnsi="Times New Roman"/>
                <w:sz w:val="24"/>
                <w:szCs w:val="24"/>
              </w:rPr>
              <w:t>maks</w:t>
            </w:r>
            <w:r w:rsidR="00940260">
              <w:rPr>
                <w:rFonts w:ascii="Times New Roman" w:hAnsi="Times New Roman"/>
                <w:sz w:val="24"/>
                <w:szCs w:val="24"/>
              </w:rPr>
              <w:t>a</w:t>
            </w:r>
            <w:r w:rsidR="00940260" w:rsidRPr="0033110D">
              <w:rPr>
                <w:rFonts w:ascii="Times New Roman" w:hAnsi="Times New Roman"/>
                <w:sz w:val="24"/>
                <w:szCs w:val="24"/>
              </w:rPr>
              <w:t xml:space="preserve"> </w:t>
            </w:r>
            <w:r w:rsidR="006F1BE4" w:rsidRPr="0033110D">
              <w:rPr>
                <w:rFonts w:ascii="Times New Roman" w:hAnsi="Times New Roman"/>
                <w:sz w:val="24"/>
                <w:szCs w:val="24"/>
              </w:rPr>
              <w:t>par A4 formāta lapu</w:t>
            </w:r>
            <w:r w:rsidR="00940260">
              <w:rPr>
                <w:rFonts w:ascii="Times New Roman" w:hAnsi="Times New Roman"/>
                <w:sz w:val="24"/>
                <w:szCs w:val="24"/>
              </w:rPr>
              <w:t>. Lai noteiktu A4 formāta lapas izcenojumu</w:t>
            </w:r>
            <w:r w:rsidR="006F1BE4" w:rsidRPr="0033110D">
              <w:rPr>
                <w:rFonts w:ascii="Times New Roman" w:hAnsi="Times New Roman"/>
                <w:sz w:val="24"/>
                <w:szCs w:val="24"/>
              </w:rPr>
              <w:t xml:space="preserve"> Noteikumu Nr.873 Pielikums papildināts ar 83.punktu.</w:t>
            </w:r>
          </w:p>
          <w:p w:rsidR="00C93FEF" w:rsidRDefault="00491F2D">
            <w:pPr>
              <w:pStyle w:val="NormalWeb"/>
              <w:ind w:firstLine="295"/>
              <w:jc w:val="both"/>
              <w:rPr>
                <w:b/>
                <w:lang w:val="lv-LV"/>
              </w:rPr>
            </w:pPr>
            <w:r w:rsidRPr="005556C7">
              <w:rPr>
                <w:lang w:val="lv-LV"/>
              </w:rPr>
              <w:t xml:space="preserve">Saskaņā ar Komisijas </w:t>
            </w:r>
            <w:r w:rsidR="00940260" w:rsidRPr="00262655">
              <w:rPr>
                <w:lang w:val="lv-LV"/>
              </w:rPr>
              <w:t>2008.gada 24.novembra Regulas</w:t>
            </w:r>
            <w:r w:rsidR="00940260" w:rsidRPr="005556C7">
              <w:rPr>
                <w:lang w:val="lv-LV"/>
              </w:rPr>
              <w:t xml:space="preserve"> </w:t>
            </w:r>
            <w:proofErr w:type="spellStart"/>
            <w:r w:rsidRPr="005556C7">
              <w:rPr>
                <w:lang w:val="lv-LV"/>
              </w:rPr>
              <w:t>regulas</w:t>
            </w:r>
            <w:proofErr w:type="spellEnd"/>
            <w:r w:rsidRPr="005556C7">
              <w:rPr>
                <w:lang w:val="lv-LV"/>
              </w:rPr>
              <w:t xml:space="preserve"> Nr. </w:t>
            </w:r>
            <w:hyperlink r:id="rId15" w:tgtFrame="_blank" w:tooltip="REGULA" w:history="1">
              <w:r w:rsidRPr="005556C7">
                <w:rPr>
                  <w:rStyle w:val="Hyperlink"/>
                  <w:color w:val="auto"/>
                  <w:lang w:val="lv-LV"/>
                </w:rPr>
                <w:t>1234/2008</w:t>
              </w:r>
            </w:hyperlink>
            <w:r w:rsidRPr="005556C7">
              <w:rPr>
                <w:lang w:val="lv-LV"/>
              </w:rPr>
              <w:t>  4.panta 1.punktā minēt</w:t>
            </w:r>
            <w:r w:rsidR="009F6E2A">
              <w:rPr>
                <w:lang w:val="lv-LV"/>
              </w:rPr>
              <w:t xml:space="preserve">o un </w:t>
            </w:r>
            <w:r w:rsidRPr="005556C7">
              <w:rPr>
                <w:lang w:val="lv-LV"/>
              </w:rPr>
              <w:t xml:space="preserve"> </w:t>
            </w:r>
            <w:r w:rsidR="005F3F0D" w:rsidRPr="005556C7">
              <w:rPr>
                <w:lang w:val="lv-LV"/>
              </w:rPr>
              <w:t xml:space="preserve">Eiropas </w:t>
            </w:r>
            <w:r w:rsidRPr="005556C7">
              <w:rPr>
                <w:lang w:val="lv-LV"/>
              </w:rPr>
              <w:t xml:space="preserve">Komisijas </w:t>
            </w:r>
            <w:r w:rsidR="0007549D" w:rsidRPr="005556C7">
              <w:rPr>
                <w:lang w:val="lv-LV"/>
              </w:rPr>
              <w:t>pamatnostādnēm</w:t>
            </w:r>
            <w:r w:rsidR="00FE7B83" w:rsidRPr="00FE7B83">
              <w:rPr>
                <w:rFonts w:ascii="Tahoma" w:hAnsi="Tahoma" w:cs="Tahoma"/>
                <w:sz w:val="19"/>
                <w:szCs w:val="19"/>
                <w:lang w:val="lv-LV" w:eastAsia="lv-LV"/>
              </w:rPr>
              <w:t xml:space="preserve">, </w:t>
            </w:r>
            <w:r w:rsidR="00FE7B83" w:rsidRPr="0007549D">
              <w:rPr>
                <w:lang w:val="lv-LV" w:eastAsia="lv-LV"/>
              </w:rPr>
              <w:t xml:space="preserve">kurās ir sīka informācija par dažādām izmaiņu kategorijām, par Komisijas 2008. gada 24. novembra Regulas (EK) Nr. 1234/2008 par izmaiņu izskatīšanu cilvēkiem paredzētu zāļu un veterināro zāļu tirdzniecības atļauju nosacījumos II, </w:t>
            </w:r>
            <w:proofErr w:type="spellStart"/>
            <w:r w:rsidR="00FE7B83" w:rsidRPr="0007549D">
              <w:rPr>
                <w:lang w:val="lv-LV" w:eastAsia="lv-LV"/>
              </w:rPr>
              <w:t>IIa</w:t>
            </w:r>
            <w:proofErr w:type="spellEnd"/>
            <w:r w:rsidR="00FE7B83" w:rsidRPr="0007549D">
              <w:rPr>
                <w:lang w:val="lv-LV" w:eastAsia="lv-LV"/>
              </w:rPr>
              <w:t>, III un IV nodaļā izklāstīto procedūru norisi, kā arī par dokumentiem, kas iesniedzami saskaņā ar šīm procedūrām</w:t>
            </w:r>
            <w:r w:rsidR="005F3F0D" w:rsidRPr="005556C7">
              <w:rPr>
                <w:lang w:val="lv-LV"/>
              </w:rPr>
              <w:t>,</w:t>
            </w:r>
            <w:r w:rsidRPr="005556C7">
              <w:rPr>
                <w:lang w:val="lv-LV"/>
              </w:rPr>
              <w:t xml:space="preserve"> administratīvajās izmaiņās ietilpst sekojošas I A tipa izmaiņas: reģistrācijas apliecības īpašniek</w:t>
            </w:r>
            <w:r w:rsidR="00C53B2E">
              <w:rPr>
                <w:lang w:val="lv-LV"/>
              </w:rPr>
              <w:t>a</w:t>
            </w:r>
            <w:r w:rsidRPr="005556C7">
              <w:rPr>
                <w:lang w:val="lv-LV"/>
              </w:rPr>
              <w:t xml:space="preserve"> (turētāja) nosaukuma un/vai adreses izmaiņas, aktīvās vielas vai </w:t>
            </w:r>
            <w:proofErr w:type="spellStart"/>
            <w:r w:rsidRPr="005556C7">
              <w:rPr>
                <w:lang w:val="lv-LV"/>
              </w:rPr>
              <w:t>palīgvielas</w:t>
            </w:r>
            <w:proofErr w:type="spellEnd"/>
            <w:r w:rsidRPr="005556C7">
              <w:rPr>
                <w:lang w:val="lv-LV"/>
              </w:rPr>
              <w:t xml:space="preserve"> nosaukuma izmaiņas, aktīvās vielas (ja tā ir minēta tehniskajā dokumentācijā) ražošanas procesā izmantotās aktīvās vielas, izejvielas, reaģenta vai starpprodukta ražotāja (tostarp attiecīgā gadījumā kvalitātes kontroles iestādes) vai </w:t>
            </w:r>
            <w:r w:rsidR="00427AB0">
              <w:rPr>
                <w:lang w:val="lv-LV"/>
              </w:rPr>
              <w:t xml:space="preserve">aktīvās vielas </w:t>
            </w:r>
            <w:proofErr w:type="spellStart"/>
            <w:r w:rsidR="00427AB0">
              <w:rPr>
                <w:lang w:val="lv-LV"/>
              </w:rPr>
              <w:t>pamatlietas</w:t>
            </w:r>
            <w:proofErr w:type="spellEnd"/>
            <w:r w:rsidR="00427AB0">
              <w:rPr>
                <w:lang w:val="lv-LV"/>
              </w:rPr>
              <w:t xml:space="preserve"> </w:t>
            </w:r>
            <w:r w:rsidRPr="005556C7">
              <w:rPr>
                <w:lang w:val="lv-LV"/>
              </w:rPr>
              <w:t xml:space="preserve">turētāja vai piegādātāja, ja apstiprinātajā dokumentācijā nav iekļauts Eiropas Farmakopejas atbilstības sertifikāts, vai jaunas </w:t>
            </w:r>
            <w:proofErr w:type="spellStart"/>
            <w:r w:rsidRPr="005556C7">
              <w:rPr>
                <w:lang w:val="lv-LV"/>
              </w:rPr>
              <w:t>palīgvielas</w:t>
            </w:r>
            <w:proofErr w:type="spellEnd"/>
            <w:r w:rsidRPr="005556C7">
              <w:rPr>
                <w:lang w:val="lv-LV"/>
              </w:rPr>
              <w:t xml:space="preserve"> (ja tā ir minēta tehniskajā dokumentācijā) ražotāja nosaukuma un/vai adreses izmaiņas, gatavā produkta ražotāja/importētāja nosaukuma un/vai adreses izmaiņas (tostarp attiecībā uz sēriju </w:t>
            </w:r>
            <w:proofErr w:type="spellStart"/>
            <w:r w:rsidRPr="005556C7">
              <w:rPr>
                <w:lang w:val="lv-LV"/>
              </w:rPr>
              <w:t>izlaidēm</w:t>
            </w:r>
            <w:proofErr w:type="spellEnd"/>
            <w:r w:rsidRPr="005556C7">
              <w:rPr>
                <w:lang w:val="lv-LV"/>
              </w:rPr>
              <w:t xml:space="preserve"> vai </w:t>
            </w:r>
            <w:r w:rsidRPr="005556C7">
              <w:rPr>
                <w:lang w:val="lv-LV"/>
              </w:rPr>
              <w:lastRenderedPageBreak/>
              <w:t xml:space="preserve">kvalitātes kontroles testēšanas iestādēm),  </w:t>
            </w:r>
            <w:r w:rsidR="00DE62BB" w:rsidRPr="005556C7">
              <w:rPr>
                <w:lang w:val="lv-LV"/>
              </w:rPr>
              <w:t xml:space="preserve">zāļu anatomiski terapeitiski ķīmiskās klasifikācijas koda (turpmāk – ATĶ koda) </w:t>
            </w:r>
            <w:r w:rsidRPr="005556C7">
              <w:rPr>
                <w:lang w:val="lv-LV"/>
              </w:rPr>
              <w:t xml:space="preserve">/ veterināro zāļu ATĶ koda izmaiņas,  ražotņu (aktīvās vielas, starpprodukta vai gatavā produkta ražotnes, iepakošanas uzņēmuma, par sērijas izlaidi atbildīgā ražotāja un par sērijas kontroli atbildīgā uzņēmuma vai izejvielas, reaģenta vai </w:t>
            </w:r>
            <w:proofErr w:type="spellStart"/>
            <w:r w:rsidRPr="005556C7">
              <w:rPr>
                <w:lang w:val="lv-LV"/>
              </w:rPr>
              <w:t>palīgvielas</w:t>
            </w:r>
            <w:proofErr w:type="spellEnd"/>
            <w:r w:rsidRPr="005556C7">
              <w:rPr>
                <w:lang w:val="lv-LV"/>
              </w:rPr>
              <w:t xml:space="preserve"> piegādātāja) svītrošana (ja minēta dokumentācijā),  revīzijas datuma izmaiņas aktīvās vielas ražotāja atbilstības LRP pārbaudei. Ir paredzēts, ka maksa netiks iekasēta par IA tipa izmaiņām, kuras iekļautas šajā izmaiņu grupā (A. </w:t>
            </w:r>
            <w:proofErr w:type="spellStart"/>
            <w:r w:rsidRPr="005556C7">
              <w:rPr>
                <w:lang w:val="lv-LV"/>
              </w:rPr>
              <w:t>Administrative</w:t>
            </w:r>
            <w:proofErr w:type="spellEnd"/>
            <w:r w:rsidRPr="005556C7">
              <w:rPr>
                <w:lang w:val="lv-LV"/>
              </w:rPr>
              <w:t xml:space="preserve"> </w:t>
            </w:r>
            <w:proofErr w:type="spellStart"/>
            <w:r w:rsidRPr="005556C7">
              <w:rPr>
                <w:lang w:val="lv-LV"/>
              </w:rPr>
              <w:t>changes</w:t>
            </w:r>
            <w:proofErr w:type="spellEnd"/>
            <w:r w:rsidRPr="005556C7">
              <w:rPr>
                <w:lang w:val="lv-LV"/>
              </w:rPr>
              <w:t>).</w:t>
            </w:r>
          </w:p>
          <w:p w:rsidR="00C93FEF" w:rsidRDefault="00491F2D">
            <w:pPr>
              <w:pStyle w:val="Titreobjet"/>
              <w:spacing w:before="0" w:after="0"/>
              <w:ind w:firstLine="295"/>
              <w:jc w:val="both"/>
              <w:rPr>
                <w:b w:val="0"/>
                <w:lang w:val="lv-LV"/>
              </w:rPr>
            </w:pPr>
            <w:r w:rsidRPr="005556C7">
              <w:rPr>
                <w:b w:val="0"/>
                <w:lang w:val="lv-LV"/>
              </w:rPr>
              <w:t>Ņemot vērā to, ka I A tipa administratīvajām izmaiņām</w:t>
            </w:r>
            <w:r w:rsidR="005F6332" w:rsidRPr="005556C7">
              <w:rPr>
                <w:b w:val="0"/>
                <w:lang w:val="lv-LV"/>
              </w:rPr>
              <w:t xml:space="preserve"> nav nepieciešama padziļināta e</w:t>
            </w:r>
            <w:r w:rsidRPr="005556C7">
              <w:rPr>
                <w:b w:val="0"/>
                <w:lang w:val="lv-LV"/>
              </w:rPr>
              <w:t xml:space="preserve">kspertīze, šīs izmaksas turpmāk netiks iekasētas un tiks segtas no kopējiem Aģentūras ieņēmumiem (zāļu </w:t>
            </w:r>
            <w:proofErr w:type="spellStart"/>
            <w:r w:rsidRPr="005556C7">
              <w:rPr>
                <w:b w:val="0"/>
                <w:lang w:val="lv-LV"/>
              </w:rPr>
              <w:t>pēcreģistrācijas</w:t>
            </w:r>
            <w:proofErr w:type="spellEnd"/>
            <w:r w:rsidRPr="005556C7">
              <w:rPr>
                <w:b w:val="0"/>
                <w:lang w:val="lv-LV"/>
              </w:rPr>
              <w:t xml:space="preserve"> uzturēšanas gada maksas)</w:t>
            </w:r>
            <w:r w:rsidR="005F6332" w:rsidRPr="005556C7">
              <w:rPr>
                <w:b w:val="0"/>
                <w:lang w:val="lv-LV"/>
              </w:rPr>
              <w:t xml:space="preserve">, līdz ar to tiek grozīti Noteikumu Nr.873 </w:t>
            </w:r>
            <w:r w:rsidR="006D01A1" w:rsidRPr="005556C7">
              <w:rPr>
                <w:b w:val="0"/>
                <w:lang w:val="lv-LV"/>
              </w:rPr>
              <w:t>Pielikuma 4.1.</w:t>
            </w:r>
            <w:r w:rsidR="005F6332" w:rsidRPr="005556C7">
              <w:rPr>
                <w:b w:val="0"/>
                <w:lang w:val="lv-LV"/>
              </w:rPr>
              <w:t xml:space="preserve"> un</w:t>
            </w:r>
            <w:r w:rsidR="006D01A1" w:rsidRPr="005556C7">
              <w:rPr>
                <w:b w:val="0"/>
                <w:lang w:val="lv-LV"/>
              </w:rPr>
              <w:t xml:space="preserve"> 11.1. apakšpunkt</w:t>
            </w:r>
            <w:r w:rsidR="005F6332" w:rsidRPr="005556C7">
              <w:rPr>
                <w:b w:val="0"/>
                <w:lang w:val="lv-LV"/>
              </w:rPr>
              <w:t>i.</w:t>
            </w:r>
          </w:p>
          <w:p w:rsidR="00C93FEF" w:rsidRDefault="00C93FEF">
            <w:pPr>
              <w:spacing w:after="0" w:line="240" w:lineRule="auto"/>
              <w:ind w:firstLine="295"/>
              <w:jc w:val="both"/>
              <w:rPr>
                <w:rFonts w:ascii="Times New Roman" w:hAnsi="Times New Roman"/>
                <w:sz w:val="24"/>
                <w:szCs w:val="24"/>
              </w:rPr>
            </w:pPr>
          </w:p>
          <w:p w:rsidR="00C93FEF" w:rsidRDefault="00491F2D">
            <w:pPr>
              <w:pStyle w:val="Default"/>
              <w:ind w:firstLine="295"/>
              <w:jc w:val="both"/>
              <w:rPr>
                <w:rFonts w:ascii="Times New Roman" w:hAnsi="Times New Roman" w:cs="Times New Roman"/>
                <w:color w:val="auto"/>
                <w:lang w:eastAsia="en-US"/>
              </w:rPr>
            </w:pPr>
            <w:r w:rsidRPr="005556C7">
              <w:rPr>
                <w:rFonts w:ascii="Times New Roman" w:hAnsi="Times New Roman" w:cs="Times New Roman"/>
                <w:color w:val="auto"/>
              </w:rPr>
              <w:t xml:space="preserve">Saskaņā ar </w:t>
            </w:r>
            <w:bookmarkStart w:id="4" w:name="IntPNnodaļXIII"/>
            <w:r w:rsidRPr="005556C7">
              <w:rPr>
                <w:rFonts w:ascii="Times New Roman" w:hAnsi="Times New Roman" w:cs="Times New Roman"/>
                <w:color w:val="auto"/>
              </w:rPr>
              <w:t>M</w:t>
            </w:r>
            <w:r w:rsidR="002104D4" w:rsidRPr="005556C7">
              <w:rPr>
                <w:rFonts w:ascii="Times New Roman" w:hAnsi="Times New Roman" w:cs="Times New Roman"/>
                <w:color w:val="auto"/>
              </w:rPr>
              <w:t>inistru kabineta 2006.gada 9.ma</w:t>
            </w:r>
            <w:r w:rsidRPr="005556C7">
              <w:rPr>
                <w:rFonts w:ascii="Times New Roman" w:hAnsi="Times New Roman" w:cs="Times New Roman"/>
                <w:color w:val="auto"/>
              </w:rPr>
              <w:t>ija noteikumu</w:t>
            </w:r>
            <w:r w:rsidR="002104D4" w:rsidRPr="005556C7">
              <w:rPr>
                <w:rFonts w:ascii="Times New Roman" w:hAnsi="Times New Roman" w:cs="Times New Roman"/>
                <w:color w:val="auto"/>
              </w:rPr>
              <w:t xml:space="preserve"> Nr.376 „Zāļu reģistrēšanas kārtība”</w:t>
            </w:r>
            <w:r w:rsidRPr="005556C7">
              <w:rPr>
                <w:rFonts w:ascii="Times New Roman" w:hAnsi="Times New Roman" w:cs="Times New Roman"/>
                <w:color w:val="auto"/>
              </w:rPr>
              <w:t xml:space="preserve"> XIII. sadaļu ir noteikta savstarpējās atzīšanas procedūra un decentralizētā procedūra, kā arī Aģentūras un reģistrācijas iesnieguma iesniedzēja (reģistrācijas īpašnieka) pienākumi minētajās procedūrās, </w:t>
            </w:r>
            <w:r w:rsidRPr="005556C7">
              <w:rPr>
                <w:rFonts w:ascii="Times New Roman" w:hAnsi="Times New Roman" w:cs="Times New Roman"/>
                <w:bCs/>
                <w:color w:val="auto"/>
              </w:rPr>
              <w:t xml:space="preserve">veicamās darbības atšķirīgu viedokļu, kā arī vienošanās gadījumos, ko organizē atsauces valsts tā saucamajā darba dalīšanas procedūrā, kad viena no ES dalībvalstīm uzņemas gan vadošā eksperta, gan arī administratīvās un organizatoriskās darbības, kuras nepieciešams veikt procedūras ietvaros. Savstarpēja atzīšanas </w:t>
            </w:r>
            <w:r w:rsidR="009C2274">
              <w:rPr>
                <w:rFonts w:ascii="Times New Roman" w:hAnsi="Times New Roman" w:cs="Times New Roman"/>
                <w:bCs/>
                <w:color w:val="auto"/>
              </w:rPr>
              <w:t xml:space="preserve">procedūras </w:t>
            </w:r>
            <w:r w:rsidRPr="005556C7">
              <w:rPr>
                <w:rFonts w:ascii="Times New Roman" w:hAnsi="Times New Roman" w:cs="Times New Roman"/>
                <w:bCs/>
                <w:color w:val="auto"/>
              </w:rPr>
              <w:t>un decentralizētās procedūras administratīvās, organizatoriskās funkcijas, kā arī komunikācijas un iespējamās arbitrāžas izmaksas visās procedūrās, kur atsauces valsts ir Latvija</w:t>
            </w:r>
            <w:r w:rsidR="002104D4" w:rsidRPr="005556C7">
              <w:rPr>
                <w:rFonts w:ascii="Times New Roman" w:hAnsi="Times New Roman" w:cs="Times New Roman"/>
                <w:bCs/>
                <w:color w:val="auto"/>
              </w:rPr>
              <w:t>,</w:t>
            </w:r>
            <w:r w:rsidRPr="005556C7">
              <w:rPr>
                <w:rFonts w:ascii="Times New Roman" w:hAnsi="Times New Roman" w:cs="Times New Roman"/>
                <w:bCs/>
                <w:color w:val="auto"/>
              </w:rPr>
              <w:t xml:space="preserve"> </w:t>
            </w:r>
            <w:r w:rsidR="009C2274">
              <w:rPr>
                <w:rFonts w:ascii="Times New Roman" w:hAnsi="Times New Roman" w:cs="Times New Roman"/>
                <w:bCs/>
                <w:color w:val="auto"/>
              </w:rPr>
              <w:t>sedz reģistrācijas iesnieguma iesniedzējs</w:t>
            </w:r>
            <w:r w:rsidRPr="005556C7">
              <w:rPr>
                <w:rFonts w:ascii="Times New Roman" w:hAnsi="Times New Roman" w:cs="Times New Roman"/>
                <w:bCs/>
                <w:color w:val="auto"/>
              </w:rPr>
              <w:t xml:space="preserve">, tas ir </w:t>
            </w:r>
            <w:r w:rsidR="002104D4" w:rsidRPr="005556C7">
              <w:rPr>
                <w:rFonts w:ascii="Times New Roman" w:hAnsi="Times New Roman" w:cs="Times New Roman"/>
                <w:bCs/>
                <w:color w:val="auto"/>
              </w:rPr>
              <w:t xml:space="preserve"> Noteikumu Nr.873 </w:t>
            </w:r>
            <w:r w:rsidRPr="005556C7">
              <w:rPr>
                <w:rFonts w:ascii="Times New Roman" w:hAnsi="Times New Roman" w:cs="Times New Roman"/>
                <w:bCs/>
                <w:color w:val="auto"/>
              </w:rPr>
              <w:t>5.4.1.; 5.4.2.; 6.4. apakšpunkt</w:t>
            </w:r>
            <w:r w:rsidR="002104D4" w:rsidRPr="005556C7">
              <w:rPr>
                <w:rFonts w:ascii="Times New Roman" w:hAnsi="Times New Roman" w:cs="Times New Roman"/>
                <w:bCs/>
                <w:color w:val="auto"/>
              </w:rPr>
              <w:t>o</w:t>
            </w:r>
            <w:r w:rsidRPr="005556C7">
              <w:rPr>
                <w:rFonts w:ascii="Times New Roman" w:hAnsi="Times New Roman" w:cs="Times New Roman"/>
                <w:bCs/>
                <w:color w:val="auto"/>
              </w:rPr>
              <w:t>s</w:t>
            </w:r>
            <w:r w:rsidR="002104D4" w:rsidRPr="005556C7">
              <w:rPr>
                <w:rFonts w:ascii="Times New Roman" w:hAnsi="Times New Roman" w:cs="Times New Roman"/>
                <w:bCs/>
                <w:color w:val="auto"/>
              </w:rPr>
              <w:t xml:space="preserve"> minētās maksas</w:t>
            </w:r>
            <w:r w:rsidRPr="005556C7">
              <w:rPr>
                <w:rFonts w:ascii="Times New Roman" w:hAnsi="Times New Roman" w:cs="Times New Roman"/>
                <w:bCs/>
                <w:color w:val="auto"/>
              </w:rPr>
              <w:t>. Zāļu valsts aģentūra ir izvērtējusi  iespējamo Noteikumu Nr.</w:t>
            </w:r>
            <w:r w:rsidR="002104D4" w:rsidRPr="005556C7">
              <w:rPr>
                <w:rFonts w:ascii="Times New Roman" w:hAnsi="Times New Roman" w:cs="Times New Roman"/>
                <w:bCs/>
                <w:color w:val="auto"/>
              </w:rPr>
              <w:t>873</w:t>
            </w:r>
            <w:r w:rsidRPr="005556C7">
              <w:rPr>
                <w:rFonts w:ascii="Times New Roman" w:hAnsi="Times New Roman" w:cs="Times New Roman"/>
                <w:bCs/>
                <w:color w:val="auto"/>
              </w:rPr>
              <w:t xml:space="preserve"> ar zāļu reģistrāciju saistīto pakalpojumu maksas samazināšanas iespējas, ņemot vērā, ka ir samazinājušās zāļu informācijas ievades un monitoringa izmaksas, iegādāt</w:t>
            </w:r>
            <w:r w:rsidR="002104D4" w:rsidRPr="005556C7">
              <w:rPr>
                <w:rFonts w:ascii="Times New Roman" w:hAnsi="Times New Roman" w:cs="Times New Roman"/>
                <w:bCs/>
                <w:color w:val="auto"/>
              </w:rPr>
              <w:t>a</w:t>
            </w:r>
            <w:r w:rsidRPr="005556C7">
              <w:rPr>
                <w:rFonts w:ascii="Times New Roman" w:hAnsi="Times New Roman" w:cs="Times New Roman"/>
                <w:bCs/>
                <w:color w:val="auto"/>
              </w:rPr>
              <w:t xml:space="preserve"> specifisk</w:t>
            </w:r>
            <w:r w:rsidR="002104D4" w:rsidRPr="005556C7">
              <w:rPr>
                <w:rFonts w:ascii="Times New Roman" w:hAnsi="Times New Roman" w:cs="Times New Roman"/>
                <w:bCs/>
                <w:color w:val="auto"/>
              </w:rPr>
              <w:t>a</w:t>
            </w:r>
            <w:r w:rsidRPr="005556C7">
              <w:rPr>
                <w:rFonts w:ascii="Times New Roman" w:hAnsi="Times New Roman" w:cs="Times New Roman"/>
                <w:bCs/>
                <w:color w:val="auto"/>
              </w:rPr>
              <w:t xml:space="preserve"> programma un telekonferenču iespēja samazina </w:t>
            </w:r>
            <w:r w:rsidR="00F751FA" w:rsidRPr="005556C7">
              <w:rPr>
                <w:rFonts w:ascii="Times New Roman" w:hAnsi="Times New Roman" w:cs="Times New Roman"/>
                <w:bCs/>
                <w:color w:val="auto"/>
              </w:rPr>
              <w:t xml:space="preserve">izmaksas. Iespējamā attālinātā </w:t>
            </w:r>
            <w:r w:rsidRPr="005556C7">
              <w:rPr>
                <w:rFonts w:ascii="Times New Roman" w:hAnsi="Times New Roman" w:cs="Times New Roman"/>
                <w:bCs/>
                <w:color w:val="auto"/>
              </w:rPr>
              <w:t xml:space="preserve">ekspertu dalība arbitrāžas procesos, ko Eiropas Zāļu aģentūra ir uzsākusi lietot un </w:t>
            </w:r>
            <w:r w:rsidR="00F751FA" w:rsidRPr="005556C7">
              <w:rPr>
                <w:rFonts w:ascii="Times New Roman" w:hAnsi="Times New Roman" w:cs="Times New Roman"/>
                <w:bCs/>
                <w:color w:val="auto"/>
              </w:rPr>
              <w:t xml:space="preserve">aktīvi lieto pēdējā gada laikā, </w:t>
            </w:r>
            <w:r w:rsidRPr="005556C7">
              <w:rPr>
                <w:rFonts w:ascii="Times New Roman" w:hAnsi="Times New Roman" w:cs="Times New Roman"/>
                <w:bCs/>
                <w:color w:val="auto"/>
              </w:rPr>
              <w:t>ļauj samazināt ekspertu viedokļu pārstāvības izmaksas Eiropas Zāļu aģentūras attiecīgajās darba grupās</w:t>
            </w:r>
            <w:bookmarkEnd w:id="4"/>
            <w:r w:rsidRPr="005556C7">
              <w:rPr>
                <w:rFonts w:ascii="Times New Roman" w:hAnsi="Times New Roman" w:cs="Times New Roman"/>
                <w:bCs/>
                <w:color w:val="auto"/>
              </w:rPr>
              <w:t>.</w:t>
            </w:r>
          </w:p>
          <w:p w:rsidR="00C93FEF" w:rsidRDefault="00491F2D">
            <w:pPr>
              <w:spacing w:after="0" w:line="240" w:lineRule="auto"/>
              <w:ind w:firstLine="295"/>
              <w:jc w:val="both"/>
              <w:rPr>
                <w:rFonts w:ascii="Times New Roman" w:eastAsia="Times New Roman" w:hAnsi="Times New Roman"/>
                <w:sz w:val="24"/>
                <w:szCs w:val="24"/>
                <w:lang w:val="en-US" w:eastAsia="lv-LV"/>
              </w:rPr>
            </w:pPr>
            <w:r w:rsidRPr="005556C7">
              <w:rPr>
                <w:rFonts w:ascii="Times New Roman" w:eastAsia="Times New Roman" w:hAnsi="Times New Roman"/>
                <w:sz w:val="24"/>
                <w:szCs w:val="24"/>
                <w:lang w:eastAsia="lv-LV"/>
              </w:rPr>
              <w:t xml:space="preserve">Optimizējot ar zāļu reģistrāciju saistītās izmaksas, </w:t>
            </w:r>
            <w:r w:rsidRPr="005556C7">
              <w:rPr>
                <w:rFonts w:ascii="Times New Roman" w:eastAsia="Times New Roman" w:hAnsi="Times New Roman"/>
                <w:sz w:val="24"/>
                <w:szCs w:val="24"/>
                <w:lang w:eastAsia="lv-LV"/>
              </w:rPr>
              <w:lastRenderedPageBreak/>
              <w:t>samazinot komersantiem administratīvo slogu, ir pārskatīti Aģentūras ar zāļu reģistrāciju saistītie</w:t>
            </w:r>
            <w:r w:rsidR="002104D4" w:rsidRPr="005556C7">
              <w:rPr>
                <w:rFonts w:ascii="Times New Roman" w:eastAsia="Times New Roman" w:hAnsi="Times New Roman"/>
                <w:sz w:val="24"/>
                <w:szCs w:val="24"/>
                <w:lang w:eastAsia="lv-LV"/>
              </w:rPr>
              <w:t xml:space="preserve"> maksas pakalpojumi un to cenas, līdz ar to tiek grozīti Noteikumu Nr.873 pielikuma </w:t>
            </w:r>
            <w:r w:rsidR="002104D4" w:rsidRPr="0033110D">
              <w:rPr>
                <w:rFonts w:ascii="Times New Roman" w:hAnsi="Times New Roman"/>
                <w:sz w:val="24"/>
                <w:szCs w:val="24"/>
              </w:rPr>
              <w:t>5.4.1., 5.4.2. un .6.4 apakšpunkti.</w:t>
            </w:r>
          </w:p>
          <w:p w:rsidR="00C93FEF" w:rsidRDefault="00C93FEF">
            <w:pPr>
              <w:spacing w:after="0" w:line="240" w:lineRule="auto"/>
              <w:ind w:firstLine="295"/>
              <w:jc w:val="both"/>
              <w:rPr>
                <w:rFonts w:ascii="Times New Roman" w:hAnsi="Times New Roman"/>
                <w:sz w:val="24"/>
                <w:szCs w:val="24"/>
              </w:rPr>
            </w:pPr>
          </w:p>
          <w:p w:rsidR="00C93FEF" w:rsidRDefault="00EC46AD">
            <w:pPr>
              <w:spacing w:after="0" w:line="240" w:lineRule="auto"/>
              <w:ind w:firstLine="295"/>
              <w:jc w:val="both"/>
              <w:rPr>
                <w:rFonts w:ascii="Times New Roman" w:eastAsia="Times New Roman" w:hAnsi="Times New Roman"/>
                <w:sz w:val="24"/>
                <w:szCs w:val="24"/>
                <w:lang w:eastAsia="lv-LV"/>
              </w:rPr>
            </w:pPr>
            <w:r w:rsidRPr="0033110D">
              <w:rPr>
                <w:rFonts w:ascii="Times New Roman" w:hAnsi="Times New Roman"/>
                <w:sz w:val="24"/>
                <w:szCs w:val="24"/>
              </w:rPr>
              <w:t xml:space="preserve">Spēkā stājušies </w:t>
            </w:r>
            <w:r w:rsidR="00491F2D" w:rsidRPr="0033110D">
              <w:rPr>
                <w:rFonts w:ascii="Times New Roman" w:hAnsi="Times New Roman"/>
                <w:sz w:val="24"/>
                <w:szCs w:val="24"/>
              </w:rPr>
              <w:t xml:space="preserve">Ministru kabineta </w:t>
            </w:r>
            <w:r w:rsidR="00491F2D" w:rsidRPr="005556C7">
              <w:rPr>
                <w:rFonts w:ascii="Times New Roman" w:eastAsia="Times New Roman" w:hAnsi="Times New Roman"/>
                <w:sz w:val="24"/>
                <w:szCs w:val="24"/>
                <w:lang w:eastAsia="lv-LV"/>
              </w:rPr>
              <w:t>2013.gada 25.jūnija not</w:t>
            </w:r>
            <w:r w:rsidR="00491F2D" w:rsidRPr="0033110D">
              <w:rPr>
                <w:rFonts w:ascii="Times New Roman" w:hAnsi="Times New Roman"/>
                <w:sz w:val="24"/>
                <w:szCs w:val="24"/>
              </w:rPr>
              <w:t>eikumi Nr. 344 „</w:t>
            </w:r>
            <w:r w:rsidR="00491F2D" w:rsidRPr="005556C7">
              <w:rPr>
                <w:rFonts w:ascii="Times New Roman" w:eastAsia="Times New Roman" w:hAnsi="Times New Roman"/>
                <w:bCs/>
                <w:sz w:val="24"/>
                <w:szCs w:val="24"/>
                <w:lang w:eastAsia="lv-LV"/>
              </w:rPr>
              <w:t>Aktīvo vielu importēšanas un izplatīšanas kārtība</w:t>
            </w:r>
            <w:r w:rsidR="00491F2D" w:rsidRPr="0033110D">
              <w:rPr>
                <w:rFonts w:ascii="Times New Roman" w:hAnsi="Times New Roman"/>
                <w:sz w:val="24"/>
                <w:szCs w:val="24"/>
              </w:rPr>
              <w:t>” (turpmāk - Noteikumi Nr.344)</w:t>
            </w:r>
            <w:r w:rsidR="00491F2D" w:rsidRPr="0033110D">
              <w:rPr>
                <w:rFonts w:ascii="Times New Roman" w:hAnsi="Times New Roman"/>
                <w:bCs/>
                <w:sz w:val="24"/>
                <w:szCs w:val="24"/>
              </w:rPr>
              <w:t xml:space="preserve">. Noteikumi Nr. 344 nosaka </w:t>
            </w:r>
            <w:r w:rsidR="00491F2D" w:rsidRPr="005556C7">
              <w:rPr>
                <w:rFonts w:ascii="Times New Roman" w:eastAsia="Times New Roman" w:hAnsi="Times New Roman"/>
                <w:sz w:val="24"/>
                <w:szCs w:val="24"/>
                <w:lang w:eastAsia="lv-LV"/>
              </w:rPr>
              <w:t>aktīvo vielu importēšanas un izplatīšanas prasības. Noteikumos Nr. 344 iekļautas tiesību normas, kas izriet no Eiropas Parlamenta un Padomes 2011.gada 8.jūnija Direktīvas 2011/62/ES, ar ko Direktīvu 2001/83/EK par Kopienas kodeksu, kas attiecas uz cilvēkiem paredzētajām zālēm, groza attiecībā uz to, kā novērst viltotu zāļu nokļūšanu legālās piegādes ķēdēs.</w:t>
            </w:r>
          </w:p>
          <w:p w:rsidR="00C93FEF" w:rsidRDefault="00491F2D">
            <w:pPr>
              <w:spacing w:after="0" w:line="240" w:lineRule="auto"/>
              <w:ind w:firstLine="295"/>
              <w:jc w:val="both"/>
              <w:rPr>
                <w:rFonts w:ascii="Times New Roman" w:eastAsia="Times New Roman" w:hAnsi="Times New Roman"/>
                <w:sz w:val="24"/>
                <w:szCs w:val="24"/>
                <w:lang w:eastAsia="lv-LV"/>
              </w:rPr>
            </w:pPr>
            <w:r w:rsidRPr="0033110D">
              <w:rPr>
                <w:rFonts w:ascii="Times New Roman" w:hAnsi="Times New Roman"/>
                <w:sz w:val="24"/>
                <w:szCs w:val="24"/>
              </w:rPr>
              <w:t xml:space="preserve">Saskaņā ar Noteikumiem Nr.344 noteiktas jaunas darbības, kur Aģentūrai jāizvērtē </w:t>
            </w:r>
            <w:r w:rsidRPr="005556C7">
              <w:rPr>
                <w:rFonts w:ascii="Times New Roman" w:eastAsia="Times New Roman" w:hAnsi="Times New Roman"/>
                <w:sz w:val="24"/>
                <w:szCs w:val="24"/>
                <w:lang w:eastAsia="lv-LV"/>
              </w:rPr>
              <w:t xml:space="preserve">aktīvo vielu ražotāju, importētāju un izplatītāju </w:t>
            </w:r>
            <w:r w:rsidR="008D70E9">
              <w:rPr>
                <w:rFonts w:ascii="Times New Roman" w:eastAsia="Times New Roman" w:hAnsi="Times New Roman"/>
                <w:sz w:val="24"/>
                <w:szCs w:val="24"/>
                <w:lang w:eastAsia="lv-LV"/>
              </w:rPr>
              <w:t xml:space="preserve">aktīvās vielas izplatīšanas atbilstība labai izplatīšanas praksei, jāizsniedz labas izplatīšanas prakses atbilstības sertifikāts, kā arī jāreģistrē aktīvo vielu ražotāji, importētāji un izplatītāji. </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Kā nosaka Noteikumu Nr. 344 35. un 36.punkts, Aģentūrai</w:t>
            </w:r>
            <w:r w:rsidR="008D70E9" w:rsidRPr="0033110D">
              <w:rPr>
                <w:rFonts w:ascii="Times New Roman" w:hAnsi="Times New Roman"/>
                <w:sz w:val="24"/>
                <w:szCs w:val="24"/>
              </w:rPr>
              <w:t xml:space="preserve"> aktīvo vielu ražotāju, importētāju un izplatītāju</w:t>
            </w:r>
            <w:r w:rsidRPr="0033110D">
              <w:rPr>
                <w:rFonts w:ascii="Times New Roman" w:hAnsi="Times New Roman"/>
                <w:sz w:val="24"/>
                <w:szCs w:val="24"/>
              </w:rPr>
              <w:t xml:space="preserve"> reģistrācijas iesniegumi ir jāizskata 60 dienu laikā un jāpieņem attiecīgs lēmums par pārbaudes nepieciešamību vai reģistrācijas apliecības izsniegšanu. Viena iesnieguma izskatīšana un reģistrācijas apliecības sagatavošana, kā arī datu ievadīšana pēc </w:t>
            </w:r>
            <w:r w:rsidRPr="005556C7">
              <w:rPr>
                <w:rFonts w:ascii="Times New Roman" w:eastAsia="Times New Roman" w:hAnsi="Times New Roman"/>
                <w:sz w:val="24"/>
                <w:szCs w:val="24"/>
                <w:lang w:eastAsia="lv-LV"/>
              </w:rPr>
              <w:t xml:space="preserve">Aģentūras lēmuma pieņemšanas par </w:t>
            </w:r>
            <w:r w:rsidR="008D70E9">
              <w:rPr>
                <w:rFonts w:ascii="Times New Roman" w:eastAsia="Times New Roman" w:hAnsi="Times New Roman"/>
                <w:sz w:val="24"/>
                <w:szCs w:val="24"/>
                <w:lang w:eastAsia="lv-LV"/>
              </w:rPr>
              <w:t xml:space="preserve">aktīvo vielu ražotāja, importētāja un izplatītāja reģistrēšanu </w:t>
            </w:r>
            <w:r w:rsidRPr="005556C7">
              <w:rPr>
                <w:rFonts w:ascii="Times New Roman" w:eastAsia="Times New Roman" w:hAnsi="Times New Roman"/>
                <w:sz w:val="24"/>
                <w:szCs w:val="24"/>
                <w:lang w:eastAsia="lv-LV"/>
              </w:rPr>
              <w:t xml:space="preserve">Eiropas Savienības datubāzē par ražošanas un importēšanas licencēm un labas ražošanas prakses sertifikātiem, kuru pārvalda Eiropas Zāļu aģentūra (turpmāk − </w:t>
            </w:r>
            <w:proofErr w:type="spellStart"/>
            <w:r w:rsidRPr="005556C7">
              <w:rPr>
                <w:rFonts w:ascii="Times New Roman" w:eastAsia="Times New Roman" w:hAnsi="Times New Roman"/>
                <w:sz w:val="24"/>
                <w:szCs w:val="24"/>
                <w:lang w:eastAsia="lv-LV"/>
              </w:rPr>
              <w:t>EudraGMDP</w:t>
            </w:r>
            <w:proofErr w:type="spellEnd"/>
            <w:r w:rsidRPr="005556C7">
              <w:rPr>
                <w:rFonts w:ascii="Times New Roman" w:eastAsia="Times New Roman" w:hAnsi="Times New Roman"/>
                <w:sz w:val="24"/>
                <w:szCs w:val="24"/>
                <w:lang w:eastAsia="lv-LV"/>
              </w:rPr>
              <w:t xml:space="preserve"> datubāze) </w:t>
            </w:r>
            <w:r w:rsidRPr="0033110D">
              <w:rPr>
                <w:rFonts w:ascii="Times New Roman" w:hAnsi="Times New Roman"/>
                <w:sz w:val="24"/>
                <w:szCs w:val="24"/>
              </w:rPr>
              <w:t xml:space="preserve">prasa laika ieguldījumu un resursus. Šajā gadījumā vairāki eksperti veiks dokumentu izvērtēšanu, reģistrācijas apliecību sagatavošanu un datu tehnisko ievadīšanu. </w:t>
            </w:r>
            <w:r w:rsidR="00E76D08" w:rsidRPr="0033110D">
              <w:rPr>
                <w:rFonts w:ascii="Times New Roman" w:hAnsi="Times New Roman"/>
                <w:sz w:val="24"/>
                <w:szCs w:val="24"/>
              </w:rPr>
              <w:t>Līdz ar to Noteikumu Nr.873 Pielikums papildināts ar jaunu 20.</w:t>
            </w:r>
            <w:r w:rsidR="00E76D08" w:rsidRPr="0033110D">
              <w:rPr>
                <w:rFonts w:ascii="Times New Roman" w:hAnsi="Times New Roman"/>
                <w:sz w:val="24"/>
                <w:szCs w:val="24"/>
                <w:vertAlign w:val="superscript"/>
              </w:rPr>
              <w:t xml:space="preserve">1 </w:t>
            </w:r>
            <w:r w:rsidR="00E76D08" w:rsidRPr="0033110D">
              <w:rPr>
                <w:rFonts w:ascii="Times New Roman" w:hAnsi="Times New Roman"/>
                <w:sz w:val="24"/>
                <w:szCs w:val="24"/>
              </w:rPr>
              <w:t>punktu</w:t>
            </w:r>
            <w:r w:rsidR="00AD127B">
              <w:rPr>
                <w:rFonts w:ascii="Times New Roman" w:hAnsi="Times New Roman"/>
                <w:sz w:val="24"/>
                <w:szCs w:val="24"/>
              </w:rPr>
              <w:t xml:space="preserve">, </w:t>
            </w:r>
            <w:r w:rsidR="00AD127B" w:rsidRPr="00AD127B">
              <w:rPr>
                <w:rFonts w:ascii="Times New Roman" w:hAnsi="Times New Roman"/>
                <w:sz w:val="24"/>
                <w:szCs w:val="24"/>
              </w:rPr>
              <w:t xml:space="preserve">kas </w:t>
            </w:r>
            <w:r w:rsidR="00AD127B">
              <w:rPr>
                <w:rFonts w:ascii="Times New Roman" w:hAnsi="Times New Roman"/>
                <w:sz w:val="24"/>
                <w:szCs w:val="24"/>
              </w:rPr>
              <w:t>paredz maksas pakalpojumu par</w:t>
            </w:r>
            <w:r w:rsidR="00AD127B" w:rsidRPr="00AD127B">
              <w:rPr>
                <w:rFonts w:ascii="Times New Roman" w:hAnsi="Times New Roman"/>
                <w:sz w:val="24"/>
                <w:szCs w:val="24"/>
              </w:rPr>
              <w:t xml:space="preserve"> </w:t>
            </w:r>
            <w:r w:rsidR="006D7BB2">
              <w:rPr>
                <w:rFonts w:ascii="Times New Roman" w:hAnsi="Times New Roman"/>
                <w:color w:val="000000"/>
                <w:sz w:val="24"/>
                <w:szCs w:val="24"/>
              </w:rPr>
              <w:t>k</w:t>
            </w:r>
            <w:r w:rsidR="00AD127B" w:rsidRPr="00AD127B">
              <w:rPr>
                <w:rFonts w:ascii="Times New Roman" w:hAnsi="Times New Roman"/>
                <w:color w:val="000000"/>
                <w:sz w:val="24"/>
                <w:szCs w:val="24"/>
              </w:rPr>
              <w:t>omersanta vai saimnieciskās darbības veicēja, kas ražo, importē vai izplata aktīvās vielas dokumentācijas ekspertīz</w:t>
            </w:r>
            <w:r w:rsidR="00AD127B">
              <w:rPr>
                <w:rFonts w:ascii="Times New Roman" w:hAnsi="Times New Roman"/>
                <w:color w:val="000000"/>
                <w:sz w:val="24"/>
                <w:szCs w:val="24"/>
              </w:rPr>
              <w:t>i un</w:t>
            </w:r>
            <w:r w:rsidR="00AD127B" w:rsidRPr="00AD127B">
              <w:rPr>
                <w:rFonts w:ascii="Times New Roman" w:hAnsi="Times New Roman"/>
                <w:color w:val="000000"/>
                <w:sz w:val="24"/>
                <w:szCs w:val="24"/>
              </w:rPr>
              <w:t xml:space="preserve"> reģistrācijas datu apstrād</w:t>
            </w:r>
            <w:r w:rsidR="00AD127B">
              <w:rPr>
                <w:rFonts w:ascii="Times New Roman" w:hAnsi="Times New Roman"/>
                <w:color w:val="000000"/>
                <w:sz w:val="24"/>
                <w:szCs w:val="24"/>
              </w:rPr>
              <w:t>i</w:t>
            </w:r>
          </w:p>
          <w:p w:rsidR="00C93FEF" w:rsidRDefault="00C93FEF">
            <w:pPr>
              <w:spacing w:after="0" w:line="240" w:lineRule="auto"/>
              <w:ind w:firstLine="295"/>
              <w:jc w:val="both"/>
              <w:rPr>
                <w:rFonts w:ascii="Times New Roman" w:hAnsi="Times New Roman"/>
                <w:sz w:val="24"/>
                <w:szCs w:val="24"/>
              </w:rPr>
            </w:pPr>
          </w:p>
          <w:p w:rsidR="00C93FEF" w:rsidRDefault="00C16532">
            <w:pPr>
              <w:spacing w:after="0" w:line="240" w:lineRule="auto"/>
              <w:ind w:firstLine="295"/>
              <w:jc w:val="both"/>
              <w:rPr>
                <w:rFonts w:ascii="Times New Roman" w:hAnsi="Times New Roman"/>
                <w:sz w:val="24"/>
                <w:szCs w:val="24"/>
              </w:rPr>
            </w:pPr>
            <w:r w:rsidRPr="0033110D">
              <w:rPr>
                <w:rFonts w:ascii="Times New Roman" w:hAnsi="Times New Roman"/>
                <w:sz w:val="24"/>
                <w:szCs w:val="24"/>
              </w:rPr>
              <w:t>Papildus Noteikumu Nr.344 17.punkts nosaka, ka aktīvo vielu ražotājam atļauts izplatīt aktīvās vielas, kas ražotas saskaņā ar normatīvajos aktos par zāļu ražošanu noteiktajām labas ražošanas prakses prasībām.</w:t>
            </w:r>
            <w:r w:rsidR="00104832" w:rsidRPr="0033110D">
              <w:rPr>
                <w:rFonts w:ascii="Times New Roman" w:hAnsi="Times New Roman"/>
                <w:sz w:val="24"/>
                <w:szCs w:val="24"/>
              </w:rPr>
              <w:t xml:space="preserve"> Tāpēc nepieciešams noteikt, ka labas ražošanas prakses nodrošinājuma pārbaudes </w:t>
            </w:r>
            <w:r w:rsidR="00104832" w:rsidRPr="0033110D">
              <w:rPr>
                <w:rFonts w:ascii="Times New Roman" w:hAnsi="Times New Roman"/>
                <w:sz w:val="24"/>
                <w:szCs w:val="24"/>
              </w:rPr>
              <w:lastRenderedPageBreak/>
              <w:t>veic zāļu un aktīvo vielu ražošanas vai importēšanas uzņēmumā.</w:t>
            </w:r>
          </w:p>
          <w:p w:rsidR="00C93FEF" w:rsidRDefault="00104832">
            <w:pPr>
              <w:spacing w:after="0" w:line="240" w:lineRule="auto"/>
              <w:ind w:firstLine="295"/>
              <w:jc w:val="both"/>
              <w:rPr>
                <w:rFonts w:ascii="Times New Roman" w:eastAsia="Times New Roman" w:hAnsi="Times New Roman"/>
                <w:sz w:val="24"/>
                <w:szCs w:val="24"/>
                <w:lang w:eastAsia="lv-LV"/>
              </w:rPr>
            </w:pPr>
            <w:r w:rsidRPr="000A7ED7">
              <w:rPr>
                <w:rFonts w:ascii="Times New Roman" w:hAnsi="Times New Roman"/>
                <w:sz w:val="24"/>
                <w:szCs w:val="24"/>
              </w:rPr>
              <w:t xml:space="preserve">Saskaņā ar Noteikumu Nr. 304 25.punktu un Noteikumu Nr. 344  31.3.apakšpunktu noteikts, ka zāļu un aktīvo vielu ražotāji var izmantot citu komersantu laboratorijas.  Saskaņā ar Noteikumu Nr. 304 27.punktu pirms līguma noslēgšanas par kvalitātes kontroles veikšanu zāļu ražotājs nodrošina, ka Aģentūras amatpersonas veic pārbaudi un sniedz atzinumu par laboratorijas atbilstību labas ražošanas prakses prasībām. Tāpēc ir nepieciešams paredzēt veikt labas ražošanas prakses nodrošinājuma pārbaudi arī šajās laboratorijās (kas veic kvalitātes kontroli aktīvo vielu </w:t>
            </w:r>
            <w:r w:rsidR="007A74E3" w:rsidRPr="000A7ED7">
              <w:rPr>
                <w:rFonts w:ascii="Times New Roman" w:hAnsi="Times New Roman"/>
                <w:sz w:val="24"/>
                <w:szCs w:val="24"/>
              </w:rPr>
              <w:t>ražošanā</w:t>
            </w:r>
            <w:r w:rsidR="00D274D7">
              <w:rPr>
                <w:rFonts w:ascii="Times New Roman" w:hAnsi="Times New Roman"/>
                <w:sz w:val="24"/>
                <w:szCs w:val="24"/>
              </w:rPr>
              <w:t>)</w:t>
            </w:r>
            <w:r w:rsidRPr="000A7ED7">
              <w:rPr>
                <w:rFonts w:ascii="Times New Roman" w:hAnsi="Times New Roman"/>
                <w:sz w:val="24"/>
                <w:szCs w:val="24"/>
              </w:rPr>
              <w:t xml:space="preserve">. Vienlaikus nepieciešams noteikt īsāku labas ražošanas prakses nodrošinājuma pārbaudes laiku, ņemot vērā, ka ir gadījumi, kad pārbaudes apjoms ir neliels, piemēram, pārreģistrējot licenci. Ievērojot analoģiju pārbaudes laika noteikšanā Noteikumu Nr. 873 pielikumā, būtu nepieciešams paredzēt īsāku pārbaudes laiku vienam </w:t>
            </w:r>
            <w:r w:rsidRPr="00D274D7">
              <w:rPr>
                <w:rFonts w:ascii="Times New Roman" w:hAnsi="Times New Roman"/>
                <w:sz w:val="24"/>
                <w:szCs w:val="24"/>
              </w:rPr>
              <w:t>inspektoram, t.i., pusi dienas.</w:t>
            </w:r>
            <w:r w:rsidRPr="005556C7">
              <w:t xml:space="preserve"> </w:t>
            </w:r>
          </w:p>
          <w:p w:rsidR="00C93FEF" w:rsidRDefault="00104832">
            <w:pPr>
              <w:pStyle w:val="naisf"/>
              <w:spacing w:before="0" w:after="0"/>
              <w:ind w:firstLine="295"/>
            </w:pPr>
            <w:r w:rsidRPr="005556C7">
              <w:t>Līdz Noteikumu Nr. 344 spēkā stāšanās izejvielu (aktīvo vielu) ražotāju regulāras labas ražošanas prakses pārbaudes nebija obligātas (izņemot gadījumus, kad ražotas kontrolējamās vielas), tāpēc Aģentūra minētās pārbaudes veica pēc zāļu ražotāja pieprasījuma. Tā kā Direktīvas 2001/62/ES prasības paredz pienākumu Aģentūrai veikt regulāras izejvielu ražošanas un importēšanas uzņēmumu pārbaudes, tāpēc vairs nav nepieciešams zāļu ražotāja pieprasījums, līdz ar to grozīti Noteikumu Nr.873 Pielikuma 48., 50. un 51.punkts, kā arī Noteikumu Nr.873 Pielikums papildināts ar 48.6.apakšpunktu.</w:t>
            </w:r>
          </w:p>
          <w:p w:rsidR="00C93FEF" w:rsidRDefault="00E76D08">
            <w:pPr>
              <w:spacing w:after="0" w:line="240" w:lineRule="auto"/>
              <w:ind w:firstLine="295"/>
              <w:jc w:val="both"/>
              <w:rPr>
                <w:rFonts w:ascii="Times New Roman" w:hAnsi="Times New Roman"/>
                <w:sz w:val="24"/>
                <w:szCs w:val="24"/>
              </w:rPr>
            </w:pPr>
            <w:r w:rsidRPr="0033110D">
              <w:rPr>
                <w:rFonts w:ascii="Times New Roman" w:hAnsi="Times New Roman"/>
                <w:sz w:val="24"/>
                <w:szCs w:val="24"/>
              </w:rPr>
              <w:t>Noteikumu Nr. 873 Pielikuma 18.13.apakšpunkts ir zaudējis aktualitāti, pamatojoties uz pieņemto Noteikumu Nr. 344 tvērumu, tostarp veikt dokumentācijas ekspertīzi, ja tiek uzsākta (veikta) izejvielu ražošana vai importēšana, līdz ar to izslēgts Noteikumu Nr. 873 Pielikuma 18.13.apakšpunkts.</w:t>
            </w:r>
          </w:p>
          <w:p w:rsidR="00C93FEF" w:rsidRDefault="00C93FEF">
            <w:pPr>
              <w:spacing w:after="0" w:line="240" w:lineRule="auto"/>
              <w:ind w:firstLine="295"/>
              <w:jc w:val="both"/>
              <w:rPr>
                <w:rFonts w:ascii="Times New Roman" w:hAnsi="Times New Roman"/>
                <w:sz w:val="24"/>
                <w:szCs w:val="24"/>
              </w:rPr>
            </w:pP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Farmācijas likuma </w:t>
            </w:r>
            <w:r w:rsidRPr="0033110D">
              <w:rPr>
                <w:rFonts w:ascii="Times New Roman" w:hAnsi="Times New Roman"/>
                <w:bCs/>
                <w:sz w:val="24"/>
                <w:szCs w:val="24"/>
              </w:rPr>
              <w:t>25.</w:t>
            </w:r>
            <w:r w:rsidRPr="0033110D">
              <w:rPr>
                <w:rFonts w:ascii="Times New Roman" w:hAnsi="Times New Roman"/>
                <w:bCs/>
                <w:sz w:val="24"/>
                <w:szCs w:val="24"/>
                <w:vertAlign w:val="superscript"/>
              </w:rPr>
              <w:t>3</w:t>
            </w:r>
            <w:r w:rsidRPr="0033110D">
              <w:rPr>
                <w:rFonts w:ascii="Times New Roman" w:hAnsi="Times New Roman"/>
                <w:bCs/>
                <w:sz w:val="24"/>
                <w:szCs w:val="24"/>
              </w:rPr>
              <w:t xml:space="preserve"> pants nosaka, ka</w:t>
            </w:r>
            <w:r w:rsidRPr="0033110D">
              <w:rPr>
                <w:rFonts w:ascii="Times New Roman" w:hAnsi="Times New Roman"/>
                <w:sz w:val="24"/>
                <w:szCs w:val="24"/>
              </w:rPr>
              <w:t xml:space="preserve"> starpniecības darījumi ar cilvēkiem paredzētajām zālēm atļauti, ja persona ir reģistrējusies Zāļu valsts aģentūrā normatīvajos aktos par zāļu izplatīšanu noteiktajā kārtībā. </w:t>
            </w:r>
          </w:p>
          <w:p w:rsidR="00C93FEF" w:rsidRDefault="001A6CA3">
            <w:pPr>
              <w:spacing w:after="0" w:line="240" w:lineRule="auto"/>
              <w:ind w:firstLine="295"/>
              <w:jc w:val="both"/>
              <w:rPr>
                <w:rFonts w:ascii="Times New Roman" w:hAnsi="Times New Roman"/>
                <w:sz w:val="24"/>
                <w:szCs w:val="24"/>
              </w:rPr>
            </w:pPr>
            <w:r w:rsidRPr="0033110D">
              <w:rPr>
                <w:rFonts w:ascii="Times New Roman" w:hAnsi="Times New Roman"/>
                <w:sz w:val="24"/>
                <w:szCs w:val="24"/>
              </w:rPr>
              <w:t>Saskaņā ar Noteikumu Nr. 416</w:t>
            </w:r>
            <w:r w:rsidR="00491F2D" w:rsidRPr="0033110D">
              <w:rPr>
                <w:rFonts w:ascii="Times New Roman" w:hAnsi="Times New Roman"/>
                <w:sz w:val="24"/>
                <w:szCs w:val="24"/>
              </w:rPr>
              <w:t xml:space="preserve"> 66.</w:t>
            </w:r>
            <w:r w:rsidR="00491F2D" w:rsidRPr="0033110D">
              <w:rPr>
                <w:rFonts w:ascii="Times New Roman" w:hAnsi="Times New Roman"/>
                <w:sz w:val="24"/>
                <w:szCs w:val="24"/>
                <w:vertAlign w:val="superscript"/>
              </w:rPr>
              <w:t>2</w:t>
            </w:r>
            <w:r w:rsidR="00491F2D" w:rsidRPr="0033110D">
              <w:rPr>
                <w:rFonts w:ascii="Times New Roman" w:hAnsi="Times New Roman"/>
                <w:sz w:val="24"/>
                <w:szCs w:val="24"/>
              </w:rPr>
              <w:t xml:space="preserve"> punktu persona par zāļu izplatīšanas starpnieku var kļūt tikai tad, ja tā ir reģistrēta </w:t>
            </w:r>
            <w:r w:rsidR="00E0458C" w:rsidRPr="0033110D">
              <w:rPr>
                <w:rFonts w:ascii="Times New Roman" w:hAnsi="Times New Roman"/>
                <w:sz w:val="24"/>
                <w:szCs w:val="24"/>
              </w:rPr>
              <w:t>A</w:t>
            </w:r>
            <w:r w:rsidR="00491F2D" w:rsidRPr="0033110D">
              <w:rPr>
                <w:rFonts w:ascii="Times New Roman" w:hAnsi="Times New Roman"/>
                <w:sz w:val="24"/>
                <w:szCs w:val="24"/>
              </w:rPr>
              <w:t xml:space="preserve">ģentūrā. Lai reģistrētos </w:t>
            </w:r>
            <w:r w:rsidR="00E0458C" w:rsidRPr="0033110D">
              <w:rPr>
                <w:rFonts w:ascii="Times New Roman" w:hAnsi="Times New Roman"/>
                <w:sz w:val="24"/>
                <w:szCs w:val="24"/>
              </w:rPr>
              <w:t>A</w:t>
            </w:r>
            <w:r w:rsidR="00491F2D" w:rsidRPr="0033110D">
              <w:rPr>
                <w:rFonts w:ascii="Times New Roman" w:hAnsi="Times New Roman"/>
                <w:sz w:val="24"/>
                <w:szCs w:val="24"/>
              </w:rPr>
              <w:t xml:space="preserve">ģentūrā, persona, kas nodarbosies ar zāļu izplatīšanas starpniecību, iesniedz </w:t>
            </w:r>
            <w:r w:rsidR="00E0458C" w:rsidRPr="0033110D">
              <w:rPr>
                <w:rFonts w:ascii="Times New Roman" w:hAnsi="Times New Roman"/>
                <w:sz w:val="24"/>
                <w:szCs w:val="24"/>
              </w:rPr>
              <w:t>A</w:t>
            </w:r>
            <w:r w:rsidR="00491F2D" w:rsidRPr="0033110D">
              <w:rPr>
                <w:rFonts w:ascii="Times New Roman" w:hAnsi="Times New Roman"/>
                <w:sz w:val="24"/>
                <w:szCs w:val="24"/>
              </w:rPr>
              <w:t>ģentūrā reģistrācijas iesniegumu</w:t>
            </w:r>
            <w:r w:rsidR="00E0458C" w:rsidRPr="0033110D">
              <w:rPr>
                <w:rFonts w:ascii="Times New Roman" w:hAnsi="Times New Roman"/>
                <w:sz w:val="24"/>
                <w:szCs w:val="24"/>
              </w:rPr>
              <w:t>,</w:t>
            </w:r>
            <w:r w:rsidR="00491F2D" w:rsidRPr="0033110D">
              <w:rPr>
                <w:rFonts w:ascii="Times New Roman" w:hAnsi="Times New Roman"/>
                <w:sz w:val="24"/>
                <w:szCs w:val="24"/>
              </w:rPr>
              <w:t xml:space="preserve"> kurā norāda:</w:t>
            </w:r>
          </w:p>
          <w:p w:rsidR="00C93FEF" w:rsidRDefault="00491F2D">
            <w:pPr>
              <w:pStyle w:val="Bezatstarpm1"/>
              <w:ind w:firstLine="295"/>
              <w:jc w:val="both"/>
              <w:rPr>
                <w:rFonts w:ascii="Times New Roman" w:hAnsi="Times New Roman"/>
                <w:sz w:val="24"/>
                <w:szCs w:val="24"/>
                <w:lang w:val="lv-LV"/>
              </w:rPr>
            </w:pPr>
            <w:r w:rsidRPr="005556C7">
              <w:rPr>
                <w:rFonts w:ascii="Times New Roman" w:hAnsi="Times New Roman"/>
                <w:sz w:val="24"/>
                <w:szCs w:val="24"/>
                <w:lang w:val="lv-LV"/>
              </w:rPr>
              <w:t>- savu vārdu un uzvārdu (saimnieciskās darbības veicēji) vai firmu, juridisko adresi;</w:t>
            </w:r>
          </w:p>
          <w:p w:rsidR="00C93FEF" w:rsidRDefault="00491F2D">
            <w:pPr>
              <w:pStyle w:val="Bezatstarpm1"/>
              <w:ind w:firstLine="295"/>
              <w:jc w:val="both"/>
              <w:rPr>
                <w:rFonts w:ascii="Times New Roman" w:hAnsi="Times New Roman"/>
                <w:sz w:val="24"/>
                <w:szCs w:val="24"/>
                <w:lang w:val="lv-LV"/>
              </w:rPr>
            </w:pPr>
            <w:r w:rsidRPr="005556C7">
              <w:rPr>
                <w:rFonts w:ascii="Times New Roman" w:hAnsi="Times New Roman"/>
                <w:sz w:val="24"/>
                <w:szCs w:val="24"/>
                <w:lang w:val="lv-LV"/>
              </w:rPr>
              <w:lastRenderedPageBreak/>
              <w:t>- darbības vietas adresi Latvijā;</w:t>
            </w:r>
          </w:p>
          <w:p w:rsidR="00C93FEF" w:rsidRDefault="00491F2D">
            <w:pPr>
              <w:pStyle w:val="Bezatstarpm1"/>
              <w:ind w:firstLine="295"/>
              <w:jc w:val="both"/>
              <w:rPr>
                <w:rFonts w:ascii="Times New Roman" w:hAnsi="Times New Roman"/>
                <w:sz w:val="24"/>
                <w:szCs w:val="24"/>
                <w:lang w:val="lv-LV"/>
              </w:rPr>
            </w:pPr>
            <w:r w:rsidRPr="005556C7">
              <w:rPr>
                <w:rFonts w:ascii="Times New Roman" w:hAnsi="Times New Roman"/>
                <w:sz w:val="24"/>
                <w:szCs w:val="24"/>
                <w:lang w:val="lv-LV"/>
              </w:rPr>
              <w:t>- kontaktinformāciju Latvijā.</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Saskaņā ar Noteikumu Nr. 416  66.</w:t>
            </w:r>
            <w:r w:rsidRPr="0033110D">
              <w:rPr>
                <w:rFonts w:ascii="Times New Roman" w:hAnsi="Times New Roman"/>
                <w:sz w:val="24"/>
                <w:szCs w:val="24"/>
                <w:vertAlign w:val="superscript"/>
              </w:rPr>
              <w:t>3</w:t>
            </w:r>
            <w:r w:rsidRPr="0033110D">
              <w:rPr>
                <w:rFonts w:ascii="Times New Roman" w:hAnsi="Times New Roman"/>
                <w:sz w:val="24"/>
                <w:szCs w:val="24"/>
              </w:rPr>
              <w:t> punktu par jebkurām izmaiņām šo noteikumu 66.</w:t>
            </w:r>
            <w:r w:rsidRPr="0033110D">
              <w:rPr>
                <w:rFonts w:ascii="Times New Roman" w:hAnsi="Times New Roman"/>
                <w:sz w:val="24"/>
                <w:szCs w:val="24"/>
                <w:vertAlign w:val="superscript"/>
              </w:rPr>
              <w:t>2</w:t>
            </w:r>
            <w:r w:rsidRPr="0033110D">
              <w:rPr>
                <w:rFonts w:ascii="Times New Roman" w:hAnsi="Times New Roman"/>
                <w:sz w:val="24"/>
                <w:szCs w:val="24"/>
              </w:rPr>
              <w:t xml:space="preserve">punktā minētajos datos persona, kas veic starpniecības darījumus ar zālēm, nekavējoties paziņo </w:t>
            </w:r>
            <w:r w:rsidR="001A6CA3" w:rsidRPr="0033110D">
              <w:rPr>
                <w:rFonts w:ascii="Times New Roman" w:hAnsi="Times New Roman"/>
                <w:sz w:val="24"/>
                <w:szCs w:val="24"/>
              </w:rPr>
              <w:t>A</w:t>
            </w:r>
            <w:r w:rsidRPr="0033110D">
              <w:rPr>
                <w:rFonts w:ascii="Times New Roman" w:hAnsi="Times New Roman"/>
                <w:sz w:val="24"/>
                <w:szCs w:val="24"/>
              </w:rPr>
              <w:t>ģentūrai, iesniedzot reģistrācijas iesniegumu ar norādītām izmaiņām.</w:t>
            </w:r>
            <w:r w:rsidR="001A7012">
              <w:rPr>
                <w:rFonts w:ascii="Times New Roman" w:hAnsi="Times New Roman"/>
                <w:sz w:val="24"/>
                <w:szCs w:val="24"/>
              </w:rPr>
              <w:t xml:space="preserve"> Personas</w:t>
            </w:r>
            <w:r w:rsidR="001A7012" w:rsidRPr="0033110D">
              <w:rPr>
                <w:rFonts w:ascii="Times New Roman" w:hAnsi="Times New Roman"/>
                <w:sz w:val="24"/>
                <w:szCs w:val="24"/>
              </w:rPr>
              <w:t>, kas veic starpniecības darījumus ar zālēm</w:t>
            </w:r>
            <w:r w:rsidR="001A7012">
              <w:rPr>
                <w:rFonts w:ascii="Times New Roman" w:hAnsi="Times New Roman"/>
                <w:sz w:val="24"/>
                <w:szCs w:val="24"/>
              </w:rPr>
              <w:t>, v</w:t>
            </w:r>
            <w:r w:rsidR="001A7012" w:rsidRPr="0033110D">
              <w:rPr>
                <w:rFonts w:ascii="Times New Roman" w:hAnsi="Times New Roman"/>
                <w:sz w:val="24"/>
                <w:szCs w:val="24"/>
              </w:rPr>
              <w:t>iena iesnieguma izskatīšana</w:t>
            </w:r>
            <w:r w:rsidR="001A7012">
              <w:rPr>
                <w:rFonts w:ascii="Times New Roman" w:hAnsi="Times New Roman"/>
                <w:sz w:val="24"/>
                <w:szCs w:val="24"/>
              </w:rPr>
              <w:t xml:space="preserve">, reģistrācijas datu ievadīšana publiskā reģistrā un nodrošināšana, ka informācija ir publiski pieejama Aģentūras tīmekļa vietnē, kā arī </w:t>
            </w:r>
            <w:r w:rsidR="001A7012" w:rsidRPr="0033110D">
              <w:rPr>
                <w:rFonts w:ascii="Times New Roman" w:hAnsi="Times New Roman"/>
                <w:sz w:val="24"/>
                <w:szCs w:val="24"/>
              </w:rPr>
              <w:t>reģistr</w:t>
            </w:r>
            <w:r w:rsidR="001A7012">
              <w:rPr>
                <w:rFonts w:ascii="Times New Roman" w:hAnsi="Times New Roman"/>
                <w:sz w:val="24"/>
                <w:szCs w:val="24"/>
              </w:rPr>
              <w:t xml:space="preserve">ācijas apliecības sagatavošana </w:t>
            </w:r>
            <w:r w:rsidR="001A7012" w:rsidRPr="0033110D">
              <w:rPr>
                <w:rFonts w:ascii="Times New Roman" w:hAnsi="Times New Roman"/>
                <w:sz w:val="24"/>
                <w:szCs w:val="24"/>
              </w:rPr>
              <w:t>prasa laika ieguldījumu un resursus. Šajā gadījumā vairāki eksperti veiks dokumentu izvērtēšanu, reģistrācijas apliecību sagatavošanu un datu tehnisko ievadīšanu</w:t>
            </w:r>
            <w:r w:rsidR="001A7012">
              <w:rPr>
                <w:rFonts w:ascii="Times New Roman" w:hAnsi="Times New Roman"/>
                <w:sz w:val="24"/>
                <w:szCs w:val="24"/>
              </w:rPr>
              <w:t>.</w:t>
            </w:r>
            <w:r w:rsidR="00D274D7">
              <w:rPr>
                <w:rFonts w:ascii="Times New Roman" w:hAnsi="Times New Roman"/>
                <w:sz w:val="24"/>
                <w:szCs w:val="24"/>
              </w:rPr>
              <w:t xml:space="preserve"> </w:t>
            </w:r>
            <w:r w:rsidRPr="0033110D">
              <w:rPr>
                <w:rFonts w:ascii="Times New Roman" w:hAnsi="Times New Roman"/>
                <w:sz w:val="24"/>
                <w:szCs w:val="24"/>
              </w:rPr>
              <w:t>Ņemot vērā Aģentūras ekspertu ieguldīto darbu, Noteikum</w:t>
            </w:r>
            <w:r w:rsidR="001A6CA3" w:rsidRPr="0033110D">
              <w:rPr>
                <w:rFonts w:ascii="Times New Roman" w:hAnsi="Times New Roman"/>
                <w:sz w:val="24"/>
                <w:szCs w:val="24"/>
              </w:rPr>
              <w:t>i</w:t>
            </w:r>
            <w:r w:rsidRPr="0033110D">
              <w:rPr>
                <w:rFonts w:ascii="Times New Roman" w:hAnsi="Times New Roman"/>
                <w:sz w:val="24"/>
                <w:szCs w:val="24"/>
              </w:rPr>
              <w:t xml:space="preserve"> Nr. 873. </w:t>
            </w:r>
            <w:r w:rsidR="001A6CA3" w:rsidRPr="0033110D">
              <w:rPr>
                <w:rFonts w:ascii="Times New Roman" w:hAnsi="Times New Roman"/>
                <w:sz w:val="24"/>
                <w:szCs w:val="24"/>
              </w:rPr>
              <w:t>papildināti ar 20.</w:t>
            </w:r>
            <w:r w:rsidR="001A6CA3" w:rsidRPr="0033110D">
              <w:rPr>
                <w:rFonts w:ascii="Times New Roman" w:hAnsi="Times New Roman"/>
                <w:sz w:val="24"/>
                <w:szCs w:val="24"/>
                <w:vertAlign w:val="superscript"/>
              </w:rPr>
              <w:t xml:space="preserve">2 </w:t>
            </w:r>
            <w:r w:rsidR="001A6CA3" w:rsidRPr="0033110D">
              <w:rPr>
                <w:rFonts w:ascii="Times New Roman" w:hAnsi="Times New Roman"/>
                <w:sz w:val="24"/>
                <w:szCs w:val="24"/>
              </w:rPr>
              <w:t>punktu</w:t>
            </w:r>
            <w:r w:rsidRPr="0033110D">
              <w:rPr>
                <w:rFonts w:ascii="Times New Roman" w:hAnsi="Times New Roman"/>
                <w:sz w:val="24"/>
                <w:szCs w:val="24"/>
              </w:rPr>
              <w:t>.</w:t>
            </w:r>
          </w:p>
          <w:p w:rsidR="00C93FEF" w:rsidRDefault="00C93FEF">
            <w:pPr>
              <w:spacing w:after="0" w:line="240" w:lineRule="auto"/>
              <w:ind w:firstLine="295"/>
              <w:jc w:val="both"/>
              <w:rPr>
                <w:rFonts w:ascii="Times New Roman" w:hAnsi="Times New Roman"/>
                <w:sz w:val="24"/>
                <w:szCs w:val="24"/>
              </w:rPr>
            </w:pPr>
          </w:p>
          <w:p w:rsidR="00C93FEF" w:rsidRDefault="00491F2D">
            <w:pPr>
              <w:spacing w:after="0" w:line="240" w:lineRule="auto"/>
              <w:ind w:firstLine="295"/>
              <w:jc w:val="both"/>
              <w:rPr>
                <w:rFonts w:ascii="Times New Roman" w:eastAsia="Times New Roman" w:hAnsi="Times New Roman"/>
                <w:sz w:val="24"/>
                <w:szCs w:val="24"/>
                <w:lang w:eastAsia="lv-LV"/>
              </w:rPr>
            </w:pPr>
            <w:r w:rsidRPr="005556C7">
              <w:rPr>
                <w:rFonts w:ascii="Times New Roman" w:eastAsia="Times New Roman" w:hAnsi="Times New Roman"/>
                <w:bCs/>
                <w:sz w:val="24"/>
                <w:szCs w:val="24"/>
                <w:lang w:eastAsia="lv-LV"/>
              </w:rPr>
              <w:t xml:space="preserve">Farmācijas likuma 10.pants </w:t>
            </w:r>
            <w:r w:rsidRPr="005556C7">
              <w:rPr>
                <w:rFonts w:ascii="Times New Roman" w:eastAsia="Times New Roman" w:hAnsi="Times New Roman"/>
                <w:sz w:val="24"/>
                <w:szCs w:val="24"/>
                <w:lang w:eastAsia="lv-LV"/>
              </w:rPr>
              <w:t>1</w:t>
            </w:r>
            <w:r w:rsidRPr="005556C7">
              <w:rPr>
                <w:rFonts w:ascii="Times New Roman" w:eastAsia="Times New Roman" w:hAnsi="Times New Roman"/>
                <w:sz w:val="24"/>
                <w:szCs w:val="24"/>
                <w:vertAlign w:val="superscript"/>
                <w:lang w:eastAsia="lv-LV"/>
              </w:rPr>
              <w:t>1</w:t>
            </w:r>
            <w:r w:rsidRPr="005556C7">
              <w:rPr>
                <w:rFonts w:ascii="Times New Roman" w:eastAsia="Times New Roman" w:hAnsi="Times New Roman"/>
                <w:sz w:val="24"/>
                <w:szCs w:val="24"/>
                <w:lang w:eastAsia="lv-LV"/>
              </w:rPr>
              <w:t xml:space="preserve">. punkts </w:t>
            </w:r>
            <w:r w:rsidRPr="005556C7">
              <w:rPr>
                <w:rFonts w:ascii="Times New Roman" w:eastAsia="Times New Roman" w:hAnsi="Times New Roman"/>
                <w:bCs/>
                <w:sz w:val="24"/>
                <w:szCs w:val="24"/>
                <w:lang w:eastAsia="lv-LV"/>
              </w:rPr>
              <w:t>nosaka, ka</w:t>
            </w:r>
            <w:r w:rsidRPr="005556C7">
              <w:rPr>
                <w:rFonts w:ascii="Times New Roman" w:eastAsia="Times New Roman" w:hAnsi="Times New Roman"/>
                <w:b/>
                <w:bCs/>
                <w:sz w:val="24"/>
                <w:szCs w:val="24"/>
                <w:lang w:eastAsia="lv-LV"/>
              </w:rPr>
              <w:t xml:space="preserve"> </w:t>
            </w:r>
            <w:r w:rsidR="00DE62BB" w:rsidRPr="005556C7">
              <w:rPr>
                <w:rFonts w:ascii="Times New Roman" w:eastAsia="Times New Roman" w:hAnsi="Times New Roman"/>
                <w:sz w:val="24"/>
                <w:szCs w:val="24"/>
                <w:lang w:eastAsia="lv-LV"/>
              </w:rPr>
              <w:t>A</w:t>
            </w:r>
            <w:r w:rsidRPr="005556C7">
              <w:rPr>
                <w:rFonts w:ascii="Times New Roman" w:eastAsia="Times New Roman" w:hAnsi="Times New Roman"/>
                <w:sz w:val="24"/>
                <w:szCs w:val="24"/>
                <w:lang w:eastAsia="lv-LV"/>
              </w:rPr>
              <w:t xml:space="preserve">ģentūra savas kompetences ietvaros sniedz informāciju par zāļu pieejamības analīzei nepieciešamajiem zāļu (izņemot veterinārās zāles) vairumtirdzniecības realizācijas datiem pēc zāļu starptautiskā nepatentētā nosaukuma. </w:t>
            </w:r>
            <w:r w:rsidR="00C16532">
              <w:rPr>
                <w:rFonts w:ascii="Times New Roman" w:eastAsia="Times New Roman" w:hAnsi="Times New Roman"/>
                <w:sz w:val="24"/>
                <w:szCs w:val="24"/>
                <w:lang w:eastAsia="lv-LV"/>
              </w:rPr>
              <w:t xml:space="preserve"> Saskaņā ar Noteikumu Nr. 416 146.13.</w:t>
            </w:r>
            <w:r w:rsidR="00940260">
              <w:rPr>
                <w:rFonts w:ascii="Times New Roman" w:eastAsia="Times New Roman" w:hAnsi="Times New Roman"/>
                <w:sz w:val="24"/>
                <w:szCs w:val="24"/>
                <w:lang w:eastAsia="lv-LV"/>
              </w:rPr>
              <w:t>apakš</w:t>
            </w:r>
            <w:r w:rsidR="00C16532">
              <w:rPr>
                <w:rFonts w:ascii="Times New Roman" w:eastAsia="Times New Roman" w:hAnsi="Times New Roman"/>
                <w:sz w:val="24"/>
                <w:szCs w:val="24"/>
                <w:lang w:eastAsia="lv-LV"/>
              </w:rPr>
              <w:t>punktu Aģentūra ir tiesīga izsniegt informāciju pieprasītājam par zāļu</w:t>
            </w:r>
            <w:r w:rsidR="00C948DA">
              <w:rPr>
                <w:rFonts w:ascii="Times New Roman" w:eastAsia="Times New Roman" w:hAnsi="Times New Roman"/>
                <w:sz w:val="24"/>
                <w:szCs w:val="24"/>
                <w:lang w:eastAsia="lv-LV"/>
              </w:rPr>
              <w:t xml:space="preserve"> vairumtirdzniecības realizācijas datiem</w:t>
            </w:r>
            <w:r w:rsidR="00C16532">
              <w:rPr>
                <w:rFonts w:ascii="Times New Roman" w:eastAsia="Times New Roman" w:hAnsi="Times New Roman"/>
                <w:sz w:val="24"/>
                <w:szCs w:val="24"/>
                <w:lang w:eastAsia="lv-LV"/>
              </w:rPr>
              <w:t xml:space="preserve"> </w:t>
            </w:r>
            <w:r w:rsidRPr="005556C7">
              <w:rPr>
                <w:rFonts w:ascii="Times New Roman" w:eastAsia="Times New Roman" w:hAnsi="Times New Roman"/>
                <w:sz w:val="24"/>
                <w:szCs w:val="24"/>
                <w:lang w:eastAsia="lv-LV"/>
              </w:rPr>
              <w:t xml:space="preserve"> šādā sadalījumā un apjomā: </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 -zāļu realizācijas datu standarta pārskats (ceturksnis</w:t>
            </w:r>
            <w:r w:rsidR="00C948DA" w:rsidRPr="0033110D">
              <w:rPr>
                <w:rFonts w:ascii="Times New Roman" w:hAnsi="Times New Roman"/>
                <w:sz w:val="24"/>
                <w:szCs w:val="24"/>
              </w:rPr>
              <w:t xml:space="preserve"> sadalījumā pa mēnešiem</w:t>
            </w:r>
            <w:r w:rsidRPr="0033110D">
              <w:rPr>
                <w:rFonts w:ascii="Times New Roman" w:hAnsi="Times New Roman"/>
                <w:sz w:val="24"/>
                <w:szCs w:val="24"/>
              </w:rPr>
              <w:t>, pusgads, gads) - ATĶ kod</w:t>
            </w:r>
            <w:r w:rsidR="00DE62BB" w:rsidRPr="0033110D">
              <w:rPr>
                <w:rFonts w:ascii="Times New Roman" w:hAnsi="Times New Roman"/>
                <w:sz w:val="24"/>
                <w:szCs w:val="24"/>
              </w:rPr>
              <w:t>u</w:t>
            </w:r>
            <w:r w:rsidRPr="0033110D">
              <w:rPr>
                <w:rFonts w:ascii="Times New Roman" w:hAnsi="Times New Roman"/>
                <w:sz w:val="24"/>
                <w:szCs w:val="24"/>
              </w:rPr>
              <w:t>, starptautisko nepatentēto nosaukumu (</w:t>
            </w:r>
            <w:r w:rsidR="00DE62BB" w:rsidRPr="0033110D">
              <w:rPr>
                <w:rFonts w:ascii="Times New Roman" w:hAnsi="Times New Roman"/>
                <w:sz w:val="24"/>
                <w:szCs w:val="24"/>
              </w:rPr>
              <w:t xml:space="preserve">turpmāk – </w:t>
            </w:r>
            <w:r w:rsidRPr="0033110D">
              <w:rPr>
                <w:rFonts w:ascii="Times New Roman" w:hAnsi="Times New Roman"/>
                <w:sz w:val="24"/>
                <w:szCs w:val="24"/>
              </w:rPr>
              <w:t>INN), formu, stiprumu</w:t>
            </w:r>
            <w:r w:rsidR="00C948DA" w:rsidRPr="0033110D">
              <w:rPr>
                <w:rFonts w:ascii="Times New Roman" w:hAnsi="Times New Roman"/>
                <w:sz w:val="24"/>
                <w:szCs w:val="24"/>
              </w:rPr>
              <w:t xml:space="preserve"> vai </w:t>
            </w:r>
            <w:r w:rsidRPr="0033110D">
              <w:rPr>
                <w:rFonts w:ascii="Times New Roman" w:hAnsi="Times New Roman"/>
                <w:sz w:val="24"/>
                <w:szCs w:val="24"/>
              </w:rPr>
              <w:t xml:space="preserve">koncentrāciju, skaitu iepakojumā, pārdoto iepakojumu skaitu, apgrozījumu </w:t>
            </w:r>
            <w:proofErr w:type="spellStart"/>
            <w:r w:rsidR="00C948DA" w:rsidRPr="0033110D">
              <w:rPr>
                <w:rFonts w:ascii="Times New Roman" w:hAnsi="Times New Roman"/>
                <w:i/>
                <w:sz w:val="24"/>
                <w:szCs w:val="24"/>
              </w:rPr>
              <w:t>euro</w:t>
            </w:r>
            <w:proofErr w:type="spellEnd"/>
            <w:r w:rsidRPr="0033110D">
              <w:rPr>
                <w:rFonts w:ascii="Times New Roman" w:hAnsi="Times New Roman"/>
                <w:sz w:val="24"/>
                <w:szCs w:val="24"/>
              </w:rPr>
              <w:t>;</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-zāļu realizācijas datu paplašinātais pārskats (ceturksnis</w:t>
            </w:r>
            <w:r w:rsidR="00C948DA" w:rsidRPr="0033110D">
              <w:rPr>
                <w:rFonts w:ascii="Times New Roman" w:hAnsi="Times New Roman"/>
                <w:sz w:val="24"/>
                <w:szCs w:val="24"/>
              </w:rPr>
              <w:t xml:space="preserve"> sadalījumā pa mēnešiem</w:t>
            </w:r>
            <w:r w:rsidRPr="0033110D">
              <w:rPr>
                <w:rFonts w:ascii="Times New Roman" w:hAnsi="Times New Roman"/>
                <w:sz w:val="24"/>
                <w:szCs w:val="24"/>
              </w:rPr>
              <w:t>, pusgads, gads) - ietver standarta pārskatā iekļauto informāciju un zāļu saņēmēja grupu vai zāļu piederību klasifikācijas grupai;</w:t>
            </w:r>
          </w:p>
          <w:p w:rsidR="00C93FEF" w:rsidRDefault="00491F2D">
            <w:pPr>
              <w:spacing w:before="75" w:after="75" w:line="240" w:lineRule="auto"/>
              <w:ind w:firstLine="295"/>
              <w:jc w:val="both"/>
              <w:rPr>
                <w:rFonts w:ascii="Times New Roman" w:hAnsi="Times New Roman"/>
                <w:sz w:val="24"/>
                <w:szCs w:val="24"/>
              </w:rPr>
            </w:pPr>
            <w:r w:rsidRPr="0033110D">
              <w:rPr>
                <w:rFonts w:ascii="Times New Roman" w:hAnsi="Times New Roman"/>
                <w:sz w:val="24"/>
                <w:szCs w:val="24"/>
              </w:rPr>
              <w:t>-zāļu realizācijas datu pilnais pārskats (ceturksnis</w:t>
            </w:r>
            <w:r w:rsidR="00C948DA" w:rsidRPr="0033110D">
              <w:rPr>
                <w:rFonts w:ascii="Times New Roman" w:hAnsi="Times New Roman"/>
                <w:sz w:val="24"/>
                <w:szCs w:val="24"/>
              </w:rPr>
              <w:t xml:space="preserve"> sadalījumā pa mēnešiem</w:t>
            </w:r>
            <w:r w:rsidRPr="0033110D">
              <w:rPr>
                <w:rFonts w:ascii="Times New Roman" w:hAnsi="Times New Roman"/>
                <w:sz w:val="24"/>
                <w:szCs w:val="24"/>
              </w:rPr>
              <w:t xml:space="preserve">, pusgads, gads) </w:t>
            </w:r>
            <w:r w:rsidRPr="005556C7">
              <w:rPr>
                <w:rFonts w:ascii="Times New Roman" w:eastAsia="MS Mincho" w:hAnsi="Times New Roman"/>
                <w:sz w:val="24"/>
                <w:szCs w:val="24"/>
              </w:rPr>
              <w:t>-</w:t>
            </w:r>
            <w:r w:rsidRPr="0033110D">
              <w:rPr>
                <w:rFonts w:ascii="Times New Roman" w:hAnsi="Times New Roman"/>
                <w:sz w:val="24"/>
                <w:szCs w:val="24"/>
              </w:rPr>
              <w:t xml:space="preserve"> ietver standarta pārskatā iekļauto informāciju, zāļu saņēmēja grupu un zāļu </w:t>
            </w:r>
            <w:r w:rsidR="00D274D7">
              <w:rPr>
                <w:rFonts w:ascii="Times New Roman" w:hAnsi="Times New Roman"/>
                <w:sz w:val="24"/>
                <w:szCs w:val="24"/>
              </w:rPr>
              <w:t>piederību klasifikācijas grupai.</w:t>
            </w:r>
          </w:p>
          <w:p w:rsidR="00C93FEF" w:rsidRDefault="00D274D7">
            <w:pPr>
              <w:spacing w:before="75" w:after="75" w:line="240" w:lineRule="auto"/>
              <w:ind w:firstLine="295"/>
              <w:jc w:val="both"/>
              <w:rPr>
                <w:rFonts w:ascii="Times New Roman" w:hAnsi="Times New Roman"/>
                <w:sz w:val="24"/>
                <w:szCs w:val="24"/>
              </w:rPr>
            </w:pPr>
            <w:r>
              <w:rPr>
                <w:rFonts w:ascii="Times New Roman" w:hAnsi="Times New Roman"/>
                <w:sz w:val="24"/>
                <w:szCs w:val="24"/>
              </w:rPr>
              <w:t>Ņemot vērā minēto,</w:t>
            </w:r>
            <w:r w:rsidR="00DE62BB" w:rsidRPr="0033110D">
              <w:rPr>
                <w:rFonts w:ascii="Times New Roman" w:hAnsi="Times New Roman"/>
                <w:sz w:val="24"/>
                <w:szCs w:val="24"/>
              </w:rPr>
              <w:t xml:space="preserve"> tiek grozīt</w:t>
            </w:r>
            <w:r w:rsidR="00B362B7" w:rsidRPr="0033110D">
              <w:rPr>
                <w:rFonts w:ascii="Times New Roman" w:hAnsi="Times New Roman"/>
                <w:sz w:val="24"/>
                <w:szCs w:val="24"/>
              </w:rPr>
              <w:t>s</w:t>
            </w:r>
            <w:r w:rsidR="00DE62BB" w:rsidRPr="0033110D">
              <w:rPr>
                <w:rFonts w:ascii="Times New Roman" w:hAnsi="Times New Roman"/>
                <w:sz w:val="24"/>
                <w:szCs w:val="24"/>
              </w:rPr>
              <w:t xml:space="preserve"> Noteikumu Nr.873 Pielikuma 28.punkts. </w:t>
            </w:r>
            <w:r w:rsidR="00491F2D" w:rsidRPr="005556C7">
              <w:rPr>
                <w:rFonts w:ascii="Times New Roman" w:eastAsia="Times New Roman" w:hAnsi="Times New Roman"/>
                <w:sz w:val="24"/>
                <w:szCs w:val="24"/>
                <w:lang w:eastAsia="lv-LV"/>
              </w:rPr>
              <w:t xml:space="preserve">Ņemot vērā Noteikumu Nr. </w:t>
            </w:r>
            <w:r w:rsidR="00DE62BB" w:rsidRPr="005556C7">
              <w:rPr>
                <w:rFonts w:ascii="Times New Roman" w:eastAsia="Times New Roman" w:hAnsi="Times New Roman"/>
                <w:sz w:val="24"/>
                <w:szCs w:val="24"/>
                <w:lang w:eastAsia="lv-LV"/>
              </w:rPr>
              <w:t>8</w:t>
            </w:r>
            <w:r w:rsidR="00491F2D" w:rsidRPr="005556C7">
              <w:rPr>
                <w:rFonts w:ascii="Times New Roman" w:eastAsia="Times New Roman" w:hAnsi="Times New Roman"/>
                <w:sz w:val="24"/>
                <w:szCs w:val="24"/>
                <w:lang w:eastAsia="lv-LV"/>
              </w:rPr>
              <w:t>7</w:t>
            </w:r>
            <w:r w:rsidR="00DE62BB" w:rsidRPr="005556C7">
              <w:rPr>
                <w:rFonts w:ascii="Times New Roman" w:eastAsia="Times New Roman" w:hAnsi="Times New Roman"/>
                <w:sz w:val="24"/>
                <w:szCs w:val="24"/>
                <w:lang w:eastAsia="lv-LV"/>
              </w:rPr>
              <w:t>3</w:t>
            </w:r>
            <w:r w:rsidR="00491F2D" w:rsidRPr="005556C7">
              <w:rPr>
                <w:rFonts w:ascii="Times New Roman" w:eastAsia="Times New Roman" w:hAnsi="Times New Roman"/>
                <w:sz w:val="24"/>
                <w:szCs w:val="24"/>
                <w:lang w:eastAsia="lv-LV"/>
              </w:rPr>
              <w:t xml:space="preserve"> </w:t>
            </w:r>
            <w:r w:rsidR="00DE62BB" w:rsidRPr="005556C7">
              <w:rPr>
                <w:rFonts w:ascii="Times New Roman" w:eastAsia="Times New Roman" w:hAnsi="Times New Roman"/>
                <w:sz w:val="24"/>
                <w:szCs w:val="24"/>
                <w:lang w:eastAsia="lv-LV"/>
              </w:rPr>
              <w:t xml:space="preserve">Pielikuma </w:t>
            </w:r>
            <w:r w:rsidR="00491F2D" w:rsidRPr="005556C7">
              <w:rPr>
                <w:rFonts w:ascii="Times New Roman" w:eastAsia="Times New Roman" w:hAnsi="Times New Roman"/>
                <w:sz w:val="24"/>
                <w:szCs w:val="24"/>
                <w:lang w:eastAsia="lv-LV"/>
              </w:rPr>
              <w:t xml:space="preserve">28.punkta redakcijas grozījumu, nepieciešams izteikt esošo </w:t>
            </w:r>
            <w:r w:rsidR="00DE62BB" w:rsidRPr="005556C7">
              <w:rPr>
                <w:rFonts w:ascii="Times New Roman" w:eastAsia="Times New Roman" w:hAnsi="Times New Roman"/>
                <w:sz w:val="24"/>
                <w:szCs w:val="24"/>
                <w:lang w:eastAsia="lv-LV"/>
              </w:rPr>
              <w:t xml:space="preserve">Pielikuma </w:t>
            </w:r>
            <w:r w:rsidR="00491F2D" w:rsidRPr="005556C7">
              <w:rPr>
                <w:rFonts w:ascii="Times New Roman" w:eastAsia="Times New Roman" w:hAnsi="Times New Roman"/>
                <w:sz w:val="24"/>
                <w:szCs w:val="24"/>
                <w:lang w:eastAsia="lv-LV"/>
              </w:rPr>
              <w:t xml:space="preserve">28.punkta redakciju jaunā redakcijā </w:t>
            </w:r>
            <w:r w:rsidR="00DE62BB" w:rsidRPr="005556C7">
              <w:rPr>
                <w:rFonts w:ascii="Times New Roman" w:eastAsia="Times New Roman" w:hAnsi="Times New Roman"/>
                <w:sz w:val="24"/>
                <w:szCs w:val="24"/>
                <w:lang w:eastAsia="lv-LV"/>
              </w:rPr>
              <w:t xml:space="preserve">kā apakšpunktu </w:t>
            </w:r>
            <w:r w:rsidR="00491F2D" w:rsidRPr="005556C7">
              <w:rPr>
                <w:rFonts w:ascii="Times New Roman" w:eastAsia="Times New Roman" w:hAnsi="Times New Roman"/>
                <w:sz w:val="24"/>
                <w:szCs w:val="24"/>
                <w:lang w:eastAsia="lv-LV"/>
              </w:rPr>
              <w:t>„</w:t>
            </w:r>
            <w:r w:rsidR="00491F2D" w:rsidRPr="0033110D">
              <w:rPr>
                <w:rFonts w:ascii="Times New Roman" w:hAnsi="Times New Roman"/>
                <w:sz w:val="24"/>
                <w:szCs w:val="24"/>
              </w:rPr>
              <w:t xml:space="preserve">zāļu realizācijas datu individuālais pārskats”, kas paredz izsniegt datus tikai zāļu reģistrācijas </w:t>
            </w:r>
            <w:r w:rsidR="00491F2D" w:rsidRPr="0033110D">
              <w:rPr>
                <w:rFonts w:ascii="Times New Roman" w:hAnsi="Times New Roman"/>
                <w:sz w:val="24"/>
                <w:szCs w:val="24"/>
              </w:rPr>
              <w:lastRenderedPageBreak/>
              <w:t xml:space="preserve">apliecības īpašniekam </w:t>
            </w:r>
            <w:r w:rsidR="00491F2D" w:rsidRPr="0033110D">
              <w:rPr>
                <w:rFonts w:ascii="Times New Roman" w:hAnsi="Times New Roman"/>
                <w:iCs/>
                <w:sz w:val="24"/>
                <w:szCs w:val="24"/>
              </w:rPr>
              <w:t>par viņa reģistrētajām zālēm</w:t>
            </w:r>
            <w:r w:rsidR="00491F2D" w:rsidRPr="0033110D">
              <w:rPr>
                <w:rFonts w:ascii="Times New Roman" w:hAnsi="Times New Roman"/>
                <w:sz w:val="24"/>
                <w:szCs w:val="24"/>
              </w:rPr>
              <w:t>- izsniegtie dati ietver starptautisko nepatentēto nosaukumu (INN), zāļu reģistrācijas numuru</w:t>
            </w:r>
            <w:r w:rsidR="00DE62BB" w:rsidRPr="0033110D">
              <w:rPr>
                <w:rFonts w:ascii="Times New Roman" w:hAnsi="Times New Roman"/>
                <w:sz w:val="24"/>
                <w:szCs w:val="24"/>
              </w:rPr>
              <w:t xml:space="preserve">, </w:t>
            </w:r>
            <w:r w:rsidR="00491F2D" w:rsidRPr="0033110D">
              <w:rPr>
                <w:rFonts w:ascii="Times New Roman" w:hAnsi="Times New Roman"/>
                <w:sz w:val="24"/>
                <w:szCs w:val="24"/>
              </w:rPr>
              <w:t>ATĶ kod</w:t>
            </w:r>
            <w:r w:rsidR="00DE62BB" w:rsidRPr="0033110D">
              <w:rPr>
                <w:rFonts w:ascii="Times New Roman" w:hAnsi="Times New Roman"/>
                <w:sz w:val="24"/>
                <w:szCs w:val="24"/>
              </w:rPr>
              <w:t>u</w:t>
            </w:r>
            <w:r w:rsidR="00491F2D" w:rsidRPr="0033110D">
              <w:rPr>
                <w:rFonts w:ascii="Times New Roman" w:hAnsi="Times New Roman"/>
                <w:sz w:val="24"/>
                <w:szCs w:val="24"/>
              </w:rPr>
              <w:t>, zāļu formu, stiprumu</w:t>
            </w:r>
            <w:r w:rsidR="00B362B7" w:rsidRPr="0033110D">
              <w:rPr>
                <w:rFonts w:ascii="Times New Roman" w:hAnsi="Times New Roman"/>
                <w:sz w:val="24"/>
                <w:szCs w:val="24"/>
              </w:rPr>
              <w:t xml:space="preserve"> vai </w:t>
            </w:r>
            <w:r w:rsidR="00491F2D" w:rsidRPr="0033110D">
              <w:rPr>
                <w:rFonts w:ascii="Times New Roman" w:hAnsi="Times New Roman"/>
                <w:sz w:val="24"/>
                <w:szCs w:val="24"/>
              </w:rPr>
              <w:t>koncentrāciju, skaitu iepakojumā, pārdoto iepakojumu skaitu</w:t>
            </w:r>
            <w:r w:rsidR="00DE62BB" w:rsidRPr="005556C7">
              <w:rPr>
                <w:rFonts w:ascii="Times New Roman" w:eastAsia="Times New Roman" w:hAnsi="Times New Roman"/>
                <w:sz w:val="24"/>
                <w:szCs w:val="24"/>
                <w:lang w:eastAsia="lv-LV"/>
              </w:rPr>
              <w:t>.</w:t>
            </w:r>
          </w:p>
          <w:p w:rsidR="00C93FEF" w:rsidRDefault="00940260">
            <w:pPr>
              <w:spacing w:before="75" w:after="75" w:line="240" w:lineRule="auto"/>
              <w:ind w:firstLine="295"/>
              <w:jc w:val="both"/>
              <w:rPr>
                <w:rFonts w:ascii="Times New Roman" w:eastAsia="Times New Roman" w:hAnsi="Times New Roman"/>
                <w:sz w:val="24"/>
                <w:szCs w:val="24"/>
                <w:lang w:eastAsia="lv-LV"/>
              </w:rPr>
            </w:pPr>
            <w:r w:rsidRPr="00605AC1">
              <w:rPr>
                <w:rFonts w:ascii="Times New Roman" w:eastAsia="Times New Roman" w:hAnsi="Times New Roman"/>
                <w:sz w:val="24"/>
                <w:szCs w:val="24"/>
                <w:lang w:eastAsia="lv-LV"/>
              </w:rPr>
              <w:t>Zāļu realizācijas datu pārskatā (standarta, paplašinātais, pilnais) ietilpst informācija par visām Latvijas Zāļu reģistrā iekļautajām zālēm. Ņemot vērā, ka zāļu realizācijas datu pārskats ir jauns pakalpojums, kas līdz šim nav sniegts šādā sadalījumā un apjomā, kā arī komersantu izteikto viedokli par zāļu realizācijas datu pārskata sadalījuma un apjoma lietderīguma izvērtēšanu komersanta darbības nodrošināšanai  analizējot zāļu pieejamību, paredzēts noteikt, ka maksu piemēro no 2015.gada 1.janvāra.</w:t>
            </w:r>
          </w:p>
          <w:p w:rsidR="00C93FEF" w:rsidRDefault="00C93FEF">
            <w:pPr>
              <w:spacing w:before="75" w:after="75" w:line="240" w:lineRule="auto"/>
              <w:ind w:firstLine="295"/>
              <w:jc w:val="both"/>
              <w:rPr>
                <w:rFonts w:ascii="Times New Roman" w:eastAsia="Times New Roman" w:hAnsi="Times New Roman"/>
                <w:sz w:val="24"/>
                <w:szCs w:val="24"/>
                <w:lang w:eastAsia="lv-LV"/>
              </w:rPr>
            </w:pP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bCs/>
                <w:sz w:val="24"/>
                <w:szCs w:val="24"/>
              </w:rPr>
              <w:t>Noteikumi Nr. 416 86.punkt</w:t>
            </w:r>
            <w:r w:rsidR="002F2FDA" w:rsidRPr="0033110D">
              <w:rPr>
                <w:rFonts w:ascii="Times New Roman" w:hAnsi="Times New Roman"/>
                <w:bCs/>
                <w:sz w:val="24"/>
                <w:szCs w:val="24"/>
              </w:rPr>
              <w:t>s</w:t>
            </w:r>
            <w:r w:rsidRPr="0033110D">
              <w:rPr>
                <w:rFonts w:ascii="Times New Roman" w:hAnsi="Times New Roman"/>
                <w:bCs/>
                <w:sz w:val="24"/>
                <w:szCs w:val="24"/>
              </w:rPr>
              <w:t xml:space="preserve"> paredz, ka</w:t>
            </w:r>
            <w:r w:rsidRPr="0033110D">
              <w:rPr>
                <w:rFonts w:ascii="Times New Roman" w:hAnsi="Times New Roman"/>
                <w:sz w:val="24"/>
                <w:szCs w:val="24"/>
              </w:rPr>
              <w:t>, lai saņemtu atļauju Eiropas Ekonomikas zonas valstī reģistrētu, bet Latvijas Republikā nereģistrētu zāļu izplatīšanai, Eiropas Ekonomikas zonas valstī izsniegtās tirdzniecības atļaujas turētājs (reģistrācijas īpašnieks) vai reģistrācijas iesnieguma iesniedzējs (ja zāles ir reģistrācijas procesā) iesniedz Aģentūrā iesniegumu.</w:t>
            </w:r>
            <w:r w:rsidR="00D42C36" w:rsidRPr="0033110D">
              <w:rPr>
                <w:rFonts w:ascii="Times New Roman" w:hAnsi="Times New Roman"/>
                <w:sz w:val="24"/>
                <w:szCs w:val="24"/>
              </w:rPr>
              <w:t xml:space="preserve"> </w:t>
            </w:r>
            <w:r w:rsidRPr="0033110D">
              <w:rPr>
                <w:rFonts w:ascii="Times New Roman" w:hAnsi="Times New Roman"/>
                <w:sz w:val="24"/>
                <w:szCs w:val="24"/>
              </w:rPr>
              <w:t>Savukārt Noteikumu Nr. 416 5.pielikums paredz reģistrācijas iesnieguma iesniedzējam (ja zāles ir reģistrācijas procesā)  iesniegt iesniegumu par izmaiņām dokumentācijā.</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Izmaiņas dokumentācijā ir iespējamas saistībā ar informācijas izmaiņām marķējumā, zāļu lietošanas instrukcijā un zāļu aprakstā eksportētājvalstī. Ja tiek saņemts iesniegums ar lūgumu veikt izmaiņas dokumentācijā, Aģentūra veic iesniegtās dokumentācijas detalizētu ekspertīzi un pieprasa informāciju tās valsts kompetentai iestādei, kurā zāles ir reģistrētas, līdzīgi kā tas ir paralēli importētām zālēm. Līdz šim izmaiņas izsniegtajās atļaujās (kopumā izsniegtas 7 atļaujas) veiktas bez maksas. </w:t>
            </w:r>
          </w:p>
          <w:p w:rsidR="00C93FEF" w:rsidRDefault="00491F2D">
            <w:pPr>
              <w:autoSpaceDE w:val="0"/>
              <w:autoSpaceDN w:val="0"/>
              <w:adjustRightInd w:val="0"/>
              <w:spacing w:after="0" w:line="240" w:lineRule="auto"/>
              <w:ind w:firstLine="295"/>
              <w:jc w:val="both"/>
              <w:rPr>
                <w:rFonts w:ascii="Times New Roman" w:eastAsia="Times New Roman" w:hAnsi="Times New Roman"/>
                <w:sz w:val="24"/>
                <w:szCs w:val="24"/>
                <w:lang w:eastAsia="lv-LV"/>
              </w:rPr>
            </w:pPr>
            <w:r w:rsidRPr="0033110D">
              <w:rPr>
                <w:rFonts w:ascii="Times New Roman" w:hAnsi="Times New Roman"/>
                <w:sz w:val="24"/>
                <w:szCs w:val="24"/>
              </w:rPr>
              <w:t xml:space="preserve">Vienlaikus, lai nodrošinātu Eiropas Ekonomikas zonas valstī reģistrētu, bet Latvijas Republikā nereģistrētu zāļu izplatīšanas atļaujas izsniegšanu gan elektroniski, gan papīra formā, paredzēts izdalīt atsevišķu apakšpunktu par atļaujas izsniegšanu (šobrīd atļauja tiek izsniegta saskaņā ar Noteikumu Nr. </w:t>
            </w:r>
            <w:r w:rsidR="0043560E" w:rsidRPr="0033110D">
              <w:rPr>
                <w:rFonts w:ascii="Times New Roman" w:hAnsi="Times New Roman"/>
                <w:sz w:val="24"/>
                <w:szCs w:val="24"/>
              </w:rPr>
              <w:t>8</w:t>
            </w:r>
            <w:r w:rsidRPr="0033110D">
              <w:rPr>
                <w:rFonts w:ascii="Times New Roman" w:hAnsi="Times New Roman"/>
                <w:sz w:val="24"/>
                <w:szCs w:val="24"/>
              </w:rPr>
              <w:t>7</w:t>
            </w:r>
            <w:r w:rsidR="0043560E" w:rsidRPr="0033110D">
              <w:rPr>
                <w:rFonts w:ascii="Times New Roman" w:hAnsi="Times New Roman"/>
                <w:sz w:val="24"/>
                <w:szCs w:val="24"/>
              </w:rPr>
              <w:t>3</w:t>
            </w:r>
            <w:r w:rsidRPr="0033110D">
              <w:rPr>
                <w:rFonts w:ascii="Times New Roman" w:hAnsi="Times New Roman"/>
                <w:sz w:val="24"/>
                <w:szCs w:val="24"/>
              </w:rPr>
              <w:t xml:space="preserve"> 30.punktā noteiktā pakalpojuma cenu). </w:t>
            </w:r>
            <w:r w:rsidR="00A60F5B" w:rsidRPr="0033110D">
              <w:rPr>
                <w:rFonts w:ascii="Times New Roman" w:hAnsi="Times New Roman"/>
                <w:sz w:val="24"/>
                <w:szCs w:val="24"/>
              </w:rPr>
              <w:t>Kopēj</w:t>
            </w:r>
            <w:r w:rsidR="00A60F5B">
              <w:rPr>
                <w:rFonts w:ascii="Times New Roman" w:hAnsi="Times New Roman"/>
                <w:sz w:val="24"/>
                <w:szCs w:val="24"/>
              </w:rPr>
              <w:t>ā</w:t>
            </w:r>
            <w:r w:rsidR="00A60F5B" w:rsidRPr="0033110D">
              <w:rPr>
                <w:rFonts w:ascii="Times New Roman" w:hAnsi="Times New Roman"/>
                <w:sz w:val="24"/>
                <w:szCs w:val="24"/>
              </w:rPr>
              <w:t xml:space="preserve">s </w:t>
            </w:r>
            <w:r w:rsidRPr="0033110D">
              <w:rPr>
                <w:rFonts w:ascii="Times New Roman" w:hAnsi="Times New Roman"/>
                <w:sz w:val="24"/>
                <w:szCs w:val="24"/>
              </w:rPr>
              <w:t>izmaksas par iesnieguma ekspertīzi un atļau</w:t>
            </w:r>
            <w:r w:rsidR="0043560E" w:rsidRPr="0033110D">
              <w:rPr>
                <w:rFonts w:ascii="Times New Roman" w:hAnsi="Times New Roman"/>
                <w:sz w:val="24"/>
                <w:szCs w:val="24"/>
              </w:rPr>
              <w:t xml:space="preserve">jas saņemšanu paliek nemainīgas, </w:t>
            </w:r>
            <w:r w:rsidRPr="0033110D">
              <w:rPr>
                <w:rFonts w:ascii="Times New Roman" w:hAnsi="Times New Roman"/>
                <w:sz w:val="24"/>
                <w:szCs w:val="24"/>
              </w:rPr>
              <w:t>Noteikumu Nr. 873 30.punkt</w:t>
            </w:r>
            <w:r w:rsidR="0043560E" w:rsidRPr="0033110D">
              <w:rPr>
                <w:rFonts w:ascii="Times New Roman" w:hAnsi="Times New Roman"/>
                <w:sz w:val="24"/>
                <w:szCs w:val="24"/>
              </w:rPr>
              <w:t xml:space="preserve">s tiek papildināts </w:t>
            </w:r>
            <w:r w:rsidRPr="0033110D">
              <w:rPr>
                <w:rFonts w:ascii="Times New Roman" w:hAnsi="Times New Roman"/>
                <w:sz w:val="24"/>
                <w:szCs w:val="24"/>
              </w:rPr>
              <w:t>ar jauniem apakšpunktiem.</w:t>
            </w:r>
          </w:p>
          <w:p w:rsidR="00C93FEF" w:rsidRDefault="00C93FEF">
            <w:pPr>
              <w:autoSpaceDE w:val="0"/>
              <w:autoSpaceDN w:val="0"/>
              <w:adjustRightInd w:val="0"/>
              <w:spacing w:after="0" w:line="240" w:lineRule="auto"/>
              <w:ind w:firstLine="295"/>
              <w:jc w:val="both"/>
              <w:rPr>
                <w:rFonts w:ascii="Times New Roman" w:hAnsi="Times New Roman"/>
                <w:sz w:val="24"/>
                <w:szCs w:val="24"/>
              </w:rPr>
            </w:pPr>
          </w:p>
          <w:p w:rsidR="00C93FEF" w:rsidRDefault="001231AE">
            <w:pPr>
              <w:spacing w:before="75" w:after="75" w:line="240" w:lineRule="auto"/>
              <w:ind w:firstLine="295"/>
              <w:jc w:val="both"/>
              <w:rPr>
                <w:rFonts w:ascii="Times New Roman" w:eastAsia="Times New Roman" w:hAnsi="Times New Roman"/>
                <w:sz w:val="24"/>
                <w:szCs w:val="24"/>
                <w:lang w:eastAsia="lv-LV"/>
              </w:rPr>
            </w:pPr>
            <w:r w:rsidRPr="005556C7">
              <w:rPr>
                <w:rFonts w:ascii="Times New Roman" w:eastAsia="Times New Roman" w:hAnsi="Times New Roman"/>
                <w:sz w:val="24"/>
                <w:szCs w:val="24"/>
                <w:lang w:eastAsia="lv-LV"/>
              </w:rPr>
              <w:t>N</w:t>
            </w:r>
            <w:r w:rsidR="00491F2D" w:rsidRPr="005556C7">
              <w:rPr>
                <w:rFonts w:ascii="Times New Roman" w:eastAsia="Times New Roman" w:hAnsi="Times New Roman"/>
                <w:sz w:val="24"/>
                <w:szCs w:val="24"/>
                <w:lang w:eastAsia="lv-LV"/>
              </w:rPr>
              <w:t>oteikum</w:t>
            </w:r>
            <w:r w:rsidRPr="005556C7">
              <w:rPr>
                <w:rFonts w:ascii="Times New Roman" w:eastAsia="Times New Roman" w:hAnsi="Times New Roman"/>
                <w:sz w:val="24"/>
                <w:szCs w:val="24"/>
                <w:lang w:eastAsia="lv-LV"/>
              </w:rPr>
              <w:t>i</w:t>
            </w:r>
            <w:r w:rsidR="00491F2D" w:rsidRPr="005556C7">
              <w:rPr>
                <w:rFonts w:ascii="Times New Roman" w:eastAsia="Times New Roman" w:hAnsi="Times New Roman"/>
                <w:sz w:val="24"/>
                <w:szCs w:val="24"/>
                <w:lang w:eastAsia="lv-LV"/>
              </w:rPr>
              <w:t xml:space="preserve"> Nr. 436</w:t>
            </w:r>
            <w:r w:rsidRPr="005556C7">
              <w:rPr>
                <w:rFonts w:ascii="Times New Roman" w:eastAsia="Times New Roman" w:hAnsi="Times New Roman"/>
                <w:sz w:val="24"/>
                <w:szCs w:val="24"/>
                <w:lang w:eastAsia="lv-LV"/>
              </w:rPr>
              <w:t xml:space="preserve"> papildināti ar</w:t>
            </w:r>
            <w:r w:rsidR="00491F2D" w:rsidRPr="005556C7">
              <w:rPr>
                <w:rFonts w:ascii="Times New Roman" w:eastAsia="Times New Roman" w:hAnsi="Times New Roman"/>
                <w:sz w:val="24"/>
                <w:szCs w:val="24"/>
                <w:lang w:eastAsia="lv-LV"/>
              </w:rPr>
              <w:t xml:space="preserve"> 32.</w:t>
            </w:r>
            <w:r w:rsidR="00491F2D" w:rsidRPr="005556C7">
              <w:rPr>
                <w:rFonts w:ascii="Times New Roman" w:eastAsia="Times New Roman" w:hAnsi="Times New Roman"/>
                <w:sz w:val="24"/>
                <w:szCs w:val="24"/>
                <w:vertAlign w:val="superscript"/>
                <w:lang w:eastAsia="lv-LV"/>
              </w:rPr>
              <w:t>1</w:t>
            </w:r>
            <w:r w:rsidRPr="005556C7">
              <w:rPr>
                <w:rFonts w:ascii="Times New Roman" w:eastAsia="Times New Roman" w:hAnsi="Times New Roman"/>
                <w:sz w:val="24"/>
                <w:szCs w:val="24"/>
                <w:lang w:eastAsia="lv-LV"/>
              </w:rPr>
              <w:t xml:space="preserve"> un</w:t>
            </w:r>
            <w:r w:rsidR="00491F2D" w:rsidRPr="005556C7">
              <w:rPr>
                <w:rFonts w:ascii="Times New Roman" w:eastAsia="Times New Roman" w:hAnsi="Times New Roman"/>
                <w:sz w:val="24"/>
                <w:szCs w:val="24"/>
                <w:lang w:eastAsia="lv-LV"/>
              </w:rPr>
              <w:t xml:space="preserve"> 38.</w:t>
            </w:r>
            <w:r w:rsidR="00491F2D" w:rsidRPr="005556C7">
              <w:rPr>
                <w:rFonts w:ascii="Times New Roman" w:eastAsia="Times New Roman" w:hAnsi="Times New Roman"/>
                <w:sz w:val="24"/>
                <w:szCs w:val="24"/>
                <w:vertAlign w:val="superscript"/>
                <w:lang w:eastAsia="lv-LV"/>
              </w:rPr>
              <w:t>2</w:t>
            </w:r>
            <w:r w:rsidRPr="005556C7">
              <w:rPr>
                <w:rFonts w:ascii="Times New Roman" w:eastAsia="Times New Roman" w:hAnsi="Times New Roman"/>
                <w:sz w:val="24"/>
                <w:szCs w:val="24"/>
                <w:lang w:eastAsia="lv-LV"/>
              </w:rPr>
              <w:t xml:space="preserve"> punktiem, saskaņā ar kuriem</w:t>
            </w:r>
            <w:r w:rsidR="00491F2D" w:rsidRPr="005556C7">
              <w:rPr>
                <w:rFonts w:ascii="Times New Roman" w:eastAsia="Times New Roman" w:hAnsi="Times New Roman"/>
                <w:sz w:val="24"/>
                <w:szCs w:val="24"/>
                <w:lang w:eastAsia="lv-LV"/>
              </w:rPr>
              <w:t xml:space="preserve"> Aģentūra izsniedz atļaujas zāļu paraugu </w:t>
            </w:r>
            <w:r w:rsidR="00491F2D" w:rsidRPr="005556C7">
              <w:rPr>
                <w:rFonts w:ascii="Times New Roman" w:eastAsia="Times New Roman" w:hAnsi="Times New Roman"/>
                <w:sz w:val="24"/>
                <w:szCs w:val="24"/>
                <w:lang w:eastAsia="lv-LV"/>
              </w:rPr>
              <w:lastRenderedPageBreak/>
              <w:t xml:space="preserve">importam, produkta sertifikāta dublikātus saskaņā ar Aģentūras sniegto publisko maksas pakalpojumu cenrādi. </w:t>
            </w:r>
          </w:p>
          <w:p w:rsidR="00C93FEF" w:rsidRDefault="00491F2D">
            <w:pPr>
              <w:spacing w:after="0" w:line="240" w:lineRule="auto"/>
              <w:ind w:firstLine="295"/>
              <w:jc w:val="both"/>
              <w:rPr>
                <w:rFonts w:ascii="Times New Roman" w:eastAsia="Times New Roman" w:hAnsi="Times New Roman"/>
                <w:sz w:val="24"/>
                <w:szCs w:val="24"/>
                <w:lang w:val="en-US" w:eastAsia="lv-LV"/>
              </w:rPr>
            </w:pPr>
            <w:bookmarkStart w:id="5" w:name="IntPNpunkt41.1."/>
            <w:r w:rsidRPr="0033110D">
              <w:rPr>
                <w:rFonts w:ascii="Times New Roman" w:hAnsi="Times New Roman"/>
                <w:sz w:val="24"/>
                <w:szCs w:val="24"/>
              </w:rPr>
              <w:t>Noteikum</w:t>
            </w:r>
            <w:r w:rsidR="001231AE" w:rsidRPr="0033110D">
              <w:rPr>
                <w:rFonts w:ascii="Times New Roman" w:hAnsi="Times New Roman"/>
                <w:sz w:val="24"/>
                <w:szCs w:val="24"/>
              </w:rPr>
              <w:t>i</w:t>
            </w:r>
            <w:r w:rsidRPr="0033110D">
              <w:rPr>
                <w:rFonts w:ascii="Times New Roman" w:hAnsi="Times New Roman"/>
                <w:sz w:val="24"/>
                <w:szCs w:val="24"/>
              </w:rPr>
              <w:t xml:space="preserve"> Nr. 304  </w:t>
            </w:r>
            <w:r w:rsidR="001231AE" w:rsidRPr="005556C7">
              <w:rPr>
                <w:rFonts w:ascii="Times New Roman" w:eastAsia="Times New Roman" w:hAnsi="Times New Roman"/>
                <w:sz w:val="24"/>
                <w:szCs w:val="24"/>
                <w:lang w:eastAsia="lv-LV"/>
              </w:rPr>
              <w:t>papildināti</w:t>
            </w:r>
            <w:r w:rsidR="001231AE" w:rsidRPr="0033110D">
              <w:rPr>
                <w:rFonts w:ascii="Times New Roman" w:hAnsi="Times New Roman"/>
                <w:sz w:val="24"/>
                <w:szCs w:val="24"/>
              </w:rPr>
              <w:t xml:space="preserve"> ar </w:t>
            </w:r>
            <w:r w:rsidRPr="0033110D">
              <w:rPr>
                <w:rFonts w:ascii="Times New Roman" w:hAnsi="Times New Roman"/>
                <w:sz w:val="24"/>
                <w:szCs w:val="24"/>
              </w:rPr>
              <w:t>99.</w:t>
            </w:r>
            <w:r w:rsidRPr="0033110D">
              <w:rPr>
                <w:rFonts w:ascii="Times New Roman" w:hAnsi="Times New Roman"/>
                <w:sz w:val="24"/>
                <w:szCs w:val="24"/>
                <w:vertAlign w:val="superscript"/>
              </w:rPr>
              <w:t>1</w:t>
            </w:r>
            <w:r w:rsidR="001231AE" w:rsidRPr="0033110D">
              <w:rPr>
                <w:rFonts w:ascii="Times New Roman" w:hAnsi="Times New Roman"/>
                <w:sz w:val="24"/>
                <w:szCs w:val="24"/>
              </w:rPr>
              <w:t xml:space="preserve"> punktu, kas </w:t>
            </w:r>
            <w:r w:rsidRPr="0033110D">
              <w:rPr>
                <w:rFonts w:ascii="Times New Roman" w:hAnsi="Times New Roman"/>
                <w:sz w:val="24"/>
                <w:szCs w:val="24"/>
              </w:rPr>
              <w:t xml:space="preserve"> nosaka, ka </w:t>
            </w:r>
            <w:r w:rsidR="001168E0" w:rsidRPr="001168E0">
              <w:rPr>
                <w:rFonts w:ascii="Times New Roman" w:hAnsi="Times New Roman"/>
                <w:sz w:val="24"/>
                <w:szCs w:val="24"/>
              </w:rPr>
              <w:t>šo noteikumu 41.1. apakšpunkta nosacījums par labas ražošanas prakses atbilstības sertifikāta vai tā dublikāta izsniegšanu zāļu vai aktīvo vielu ražotājam papīra dokumenta formā par papildu maksu stājas spēkā 2014. gada 1. jūlijā</w:t>
            </w:r>
            <w:bookmarkEnd w:id="5"/>
            <w:r w:rsidR="001231AE" w:rsidRPr="0033110D">
              <w:rPr>
                <w:rFonts w:ascii="Times New Roman" w:hAnsi="Times New Roman"/>
                <w:sz w:val="24"/>
                <w:szCs w:val="24"/>
              </w:rPr>
              <w:t xml:space="preserve">, līdz ar to tiek papildināts Noteikumu Nr.873 Pielikums ar </w:t>
            </w:r>
            <w:r w:rsidR="001231AE" w:rsidRPr="005556C7">
              <w:rPr>
                <w:rFonts w:ascii="Times New Roman" w:eastAsia="Times New Roman" w:hAnsi="Times New Roman"/>
                <w:sz w:val="24"/>
                <w:szCs w:val="24"/>
                <w:lang w:eastAsia="lv-LV"/>
              </w:rPr>
              <w:t>35.</w:t>
            </w:r>
            <w:r w:rsidR="001231AE" w:rsidRPr="005556C7">
              <w:rPr>
                <w:rFonts w:ascii="Times New Roman" w:eastAsia="Times New Roman" w:hAnsi="Times New Roman"/>
                <w:sz w:val="24"/>
                <w:szCs w:val="24"/>
                <w:vertAlign w:val="superscript"/>
                <w:lang w:eastAsia="lv-LV"/>
              </w:rPr>
              <w:t>1</w:t>
            </w:r>
            <w:r w:rsidR="001231AE" w:rsidRPr="005556C7">
              <w:rPr>
                <w:rFonts w:ascii="Times New Roman" w:eastAsia="Times New Roman" w:hAnsi="Times New Roman"/>
                <w:sz w:val="24"/>
                <w:szCs w:val="24"/>
                <w:lang w:eastAsia="lv-LV"/>
              </w:rPr>
              <w:t>., 61.</w:t>
            </w:r>
            <w:r w:rsidR="001231AE" w:rsidRPr="005556C7">
              <w:rPr>
                <w:rFonts w:ascii="Times New Roman" w:eastAsia="Times New Roman" w:hAnsi="Times New Roman"/>
                <w:sz w:val="24"/>
                <w:szCs w:val="24"/>
                <w:vertAlign w:val="superscript"/>
                <w:lang w:eastAsia="lv-LV"/>
              </w:rPr>
              <w:t>1</w:t>
            </w:r>
            <w:r w:rsidR="001231AE" w:rsidRPr="005556C7">
              <w:rPr>
                <w:rFonts w:ascii="Times New Roman" w:eastAsia="Times New Roman" w:hAnsi="Times New Roman"/>
                <w:sz w:val="24"/>
                <w:szCs w:val="24"/>
                <w:lang w:eastAsia="lv-LV"/>
              </w:rPr>
              <w:t>,  62.</w:t>
            </w:r>
            <w:r w:rsidR="001231AE" w:rsidRPr="005556C7">
              <w:rPr>
                <w:rFonts w:ascii="Times New Roman" w:eastAsia="Times New Roman" w:hAnsi="Times New Roman"/>
                <w:sz w:val="24"/>
                <w:szCs w:val="24"/>
                <w:vertAlign w:val="superscript"/>
                <w:lang w:eastAsia="lv-LV"/>
              </w:rPr>
              <w:t>1</w:t>
            </w:r>
            <w:r w:rsidR="001231AE" w:rsidRPr="005556C7">
              <w:rPr>
                <w:rFonts w:ascii="Times New Roman" w:eastAsia="Times New Roman" w:hAnsi="Times New Roman"/>
                <w:sz w:val="24"/>
                <w:szCs w:val="24"/>
                <w:lang w:eastAsia="lv-LV"/>
              </w:rPr>
              <w:t>., 63.</w:t>
            </w:r>
            <w:r w:rsidR="001231AE" w:rsidRPr="005556C7">
              <w:rPr>
                <w:rFonts w:ascii="Times New Roman" w:eastAsia="Times New Roman" w:hAnsi="Times New Roman"/>
                <w:sz w:val="24"/>
                <w:szCs w:val="24"/>
                <w:vertAlign w:val="superscript"/>
                <w:lang w:eastAsia="lv-LV"/>
              </w:rPr>
              <w:t>1</w:t>
            </w:r>
            <w:r w:rsidR="001231AE" w:rsidRPr="005556C7">
              <w:rPr>
                <w:rFonts w:ascii="Times New Roman" w:eastAsia="Times New Roman" w:hAnsi="Times New Roman"/>
                <w:sz w:val="24"/>
                <w:szCs w:val="24"/>
                <w:lang w:eastAsia="lv-LV"/>
              </w:rPr>
              <w:t>punktiem.</w:t>
            </w:r>
          </w:p>
          <w:p w:rsidR="00C93FEF" w:rsidRDefault="00C93FEF">
            <w:pPr>
              <w:spacing w:before="75" w:after="75" w:line="240" w:lineRule="auto"/>
              <w:ind w:firstLine="295"/>
              <w:jc w:val="both"/>
              <w:rPr>
                <w:rFonts w:ascii="Times New Roman" w:eastAsia="Times New Roman" w:hAnsi="Times New Roman"/>
                <w:sz w:val="24"/>
                <w:szCs w:val="24"/>
                <w:lang w:eastAsia="lv-LV"/>
              </w:rPr>
            </w:pPr>
          </w:p>
          <w:p w:rsidR="00C93FEF" w:rsidRDefault="00491F2D">
            <w:pPr>
              <w:pStyle w:val="NoSpacing"/>
              <w:ind w:firstLine="295"/>
              <w:jc w:val="both"/>
              <w:rPr>
                <w:rFonts w:ascii="Times New Roman" w:hAnsi="Times New Roman"/>
                <w:sz w:val="24"/>
                <w:szCs w:val="24"/>
                <w:lang w:val="lv-LV"/>
              </w:rPr>
            </w:pPr>
            <w:r w:rsidRPr="005556C7">
              <w:rPr>
                <w:rFonts w:ascii="Times New Roman" w:hAnsi="Times New Roman"/>
                <w:sz w:val="24"/>
                <w:szCs w:val="24"/>
                <w:lang w:val="lv-LV"/>
              </w:rPr>
              <w:t xml:space="preserve">Saskaņā ar Noteikumu Nr.416 79. punktu  Aģentūra ir tiesīga pieņemt lēmumu par atlikušo zāļu krājumu izplatīšanu un noteikt īsāku vai garāku termiņu, nekā noteikts šo noteikumu </w:t>
            </w:r>
            <w:hyperlink r:id="rId16" w:anchor="p78" w:history="1">
              <w:r w:rsidRPr="005556C7">
                <w:rPr>
                  <w:rStyle w:val="Hyperlink"/>
                  <w:rFonts w:ascii="Times New Roman" w:hAnsi="Times New Roman"/>
                  <w:color w:val="auto"/>
                  <w:sz w:val="24"/>
                  <w:szCs w:val="24"/>
                  <w:lang w:val="lv-LV"/>
                </w:rPr>
                <w:t>78.punktā</w:t>
              </w:r>
            </w:hyperlink>
            <w:r w:rsidRPr="005556C7">
              <w:rPr>
                <w:rFonts w:ascii="Times New Roman" w:hAnsi="Times New Roman"/>
                <w:sz w:val="24"/>
                <w:szCs w:val="24"/>
                <w:lang w:val="lv-LV"/>
              </w:rPr>
              <w:t xml:space="preserve">. </w:t>
            </w:r>
            <w:r w:rsidR="00A76849" w:rsidRPr="005556C7">
              <w:rPr>
                <w:rFonts w:ascii="Times New Roman" w:hAnsi="Times New Roman"/>
                <w:sz w:val="24"/>
                <w:szCs w:val="24"/>
                <w:lang w:val="lv-LV"/>
              </w:rPr>
              <w:t>A</w:t>
            </w:r>
            <w:r w:rsidRPr="005556C7">
              <w:rPr>
                <w:rFonts w:ascii="Times New Roman" w:hAnsi="Times New Roman"/>
                <w:sz w:val="24"/>
                <w:szCs w:val="24"/>
                <w:lang w:val="lv-LV"/>
              </w:rPr>
              <w:t xml:space="preserve">ģentūra izsniedz atļauju atlikušo zāļu krājuma izplatīšanai. Lai ievērotu vienotas un saskaņotas  terminoloģijas lietošanu saistītos normatīvajos aktos, Noteikumu Nr. 873 37.punkts precizēts atbilstoši Noteikumu Nr. 416 aktuālajā redakcijā lietotajai terminoloģijai. </w:t>
            </w:r>
          </w:p>
          <w:p w:rsidR="00C93FEF" w:rsidRDefault="00C93FEF">
            <w:pPr>
              <w:pStyle w:val="tv213"/>
              <w:spacing w:before="0" w:beforeAutospacing="0" w:after="0" w:afterAutospacing="0"/>
              <w:ind w:firstLine="295"/>
            </w:pPr>
          </w:p>
          <w:p w:rsidR="00C93FEF" w:rsidRDefault="007B11FD">
            <w:pPr>
              <w:pStyle w:val="naisf"/>
              <w:spacing w:before="0" w:after="0"/>
              <w:ind w:firstLine="295"/>
            </w:pPr>
            <w:r w:rsidRPr="0033110D">
              <w:t xml:space="preserve">Noteikumu Nr. 344 </w:t>
            </w:r>
            <w:r>
              <w:t>1</w:t>
            </w:r>
            <w:r w:rsidRPr="005556C7">
              <w:t>8.</w:t>
            </w:r>
            <w:r>
              <w:t xml:space="preserve"> un 24.</w:t>
            </w:r>
            <w:r w:rsidRPr="005556C7">
              <w:t>punkts nosaka</w:t>
            </w:r>
            <w:r>
              <w:t>, ka</w:t>
            </w:r>
            <w:r w:rsidRPr="005556C7">
              <w:t xml:space="preserve"> Aģentūra</w:t>
            </w:r>
            <w:r>
              <w:t xml:space="preserve"> veic pārbaudes par aktīvo vielu izplatīšanas atbilstību labai izplatīšanai praksei un pieņem lēmumu par aktīvo vielu labas izplatīšanas prakses sertifikāta izsniegšanu</w:t>
            </w:r>
            <w:r w:rsidRPr="005556C7">
              <w:t>, n</w:t>
            </w:r>
            <w:r w:rsidRPr="0033110D">
              <w:t xml:space="preserve">epieciešams papildināt </w:t>
            </w:r>
            <w:r w:rsidRPr="005556C7">
              <w:t xml:space="preserve">Noteikumu Nr. 873 </w:t>
            </w:r>
            <w:r>
              <w:t>55.</w:t>
            </w:r>
            <w:r w:rsidRPr="005556C7">
              <w:t xml:space="preserve">punktu, </w:t>
            </w:r>
            <w:r>
              <w:t>nosakot</w:t>
            </w:r>
            <w:r w:rsidRPr="005556C7">
              <w:t xml:space="preserve"> kā </w:t>
            </w:r>
            <w:r w:rsidRPr="0033110D">
              <w:t>atbilstības novērtēšanu, labas izplatīšanas prakses nodrošinājuma pārbaudi veic zāļu lieltirgotavā vai pie aktīvo vielu ražotāja, importētāja, izplatītāja un starpniecības darījuma ar zālēm veicēja (tā kā pārbaudēm nepieciešamais laiks ir atkarīgs  darba apjoma un objekta specifikas, nepieciešams paredzēt arī ilgāku pārbaudes laiku – trīs dienas vienam inspektoram). Vienlaikus ir pārskatītas Noteikumu Nr.873 Pielikuma 55.punktā noteiktā pakalpojuma cenas, kas saistāmas ar iesaistītā eksperta paaugstināto kvalifikāciju un motivāciju strādāt Aģentūrā, ņemot vērā šādu ekspertu pieprasījumu un konkurences apstākļus darba tirgū farmācijas nozarē, līdz ar to veikti grozījumi Noteikumu Nr.873 55.punktā.</w:t>
            </w:r>
          </w:p>
          <w:p w:rsidR="00C93FEF" w:rsidRDefault="007B11FD">
            <w:pPr>
              <w:pStyle w:val="naisf"/>
              <w:spacing w:before="0" w:after="0"/>
              <w:ind w:firstLine="295"/>
            </w:pPr>
            <w:r>
              <w:t>Savukārt n</w:t>
            </w:r>
            <w:r w:rsidRPr="005556C7">
              <w:t xml:space="preserve">oteikumu </w:t>
            </w:r>
            <w:r w:rsidR="00491F2D" w:rsidRPr="005556C7">
              <w:t xml:space="preserve">Nr. </w:t>
            </w:r>
            <w:bookmarkStart w:id="6" w:name="IntPNpunkt146.10."/>
            <w:r w:rsidR="00491F2D" w:rsidRPr="005556C7">
              <w:t>416 146.10.apakšpunkts nosaka, ka Aģe</w:t>
            </w:r>
            <w:r w:rsidR="008254D9" w:rsidRPr="005556C7">
              <w:t>nt</w:t>
            </w:r>
            <w:r w:rsidR="00491F2D" w:rsidRPr="005556C7">
              <w:t>ūra izsniedz</w:t>
            </w:r>
            <w:r w:rsidR="008254D9" w:rsidRPr="005556C7">
              <w:t xml:space="preserve"> </w:t>
            </w:r>
            <w:r w:rsidR="00491F2D" w:rsidRPr="005556C7">
              <w:t>pārbaudītajai personai zāļu labas izplatīšanas prakses atbilstības sertifikātu</w:t>
            </w:r>
            <w:bookmarkEnd w:id="6"/>
            <w:r w:rsidR="00491F2D" w:rsidRPr="005556C7">
              <w:t xml:space="preserve">. Sertifikātu izsniedz elektroniska dokumenta formā, nosūtot to uz pārbaudītās personas elektroniskā pasta adresi triju darbdienu laikā pēc tam, kad attiecīgais zāļu vairumtirgotājs saskaņā ar </w:t>
            </w:r>
            <w:r w:rsidR="008254D9" w:rsidRPr="005556C7">
              <w:t>A</w:t>
            </w:r>
            <w:r w:rsidR="00491F2D" w:rsidRPr="005556C7">
              <w:t xml:space="preserve">ģentūras publisko maksas pakalpojumu cenrādi ir samaksājis noteikto maksu par dokumentu novērtēšanu un labas izplatīšanas </w:t>
            </w:r>
            <w:r w:rsidR="00491F2D" w:rsidRPr="005556C7">
              <w:lastRenderedPageBreak/>
              <w:t xml:space="preserve">prakses pārbaudi. Sertifikātu papīra dokumenta formā izsniedz triju darbdienu laikā pēc pieprasījuma saņemšanas un par papildu maksu par šādu pakalpojumu saskaņā ar </w:t>
            </w:r>
            <w:r w:rsidR="008254D9" w:rsidRPr="005556C7">
              <w:t>A</w:t>
            </w:r>
            <w:r w:rsidR="00491F2D" w:rsidRPr="005556C7">
              <w:t>ģentūras publisko maksas pakalpojumu cenrādi. Ņemot vērā minēto, Noteikumu</w:t>
            </w:r>
            <w:r w:rsidR="008254D9" w:rsidRPr="005556C7">
              <w:t xml:space="preserve"> Nr. 873 Pielikums tiek papildināts ar 55.</w:t>
            </w:r>
            <w:r w:rsidR="008254D9" w:rsidRPr="005556C7">
              <w:rPr>
                <w:vertAlign w:val="superscript"/>
              </w:rPr>
              <w:t xml:space="preserve">1 </w:t>
            </w:r>
            <w:r w:rsidR="008254D9" w:rsidRPr="005556C7">
              <w:t>punktu</w:t>
            </w:r>
            <w:r>
              <w:t>, izdalot samaksu par sertifikāta izsniegšanu no Noteikumu Nr.873 Pielikuma 55.punktā noteiktās samaksas, kas atbilstoši iepriekšminētajām ir pārskatīta.</w:t>
            </w:r>
          </w:p>
          <w:p w:rsidR="00C93FEF" w:rsidRDefault="00C93FEF">
            <w:pPr>
              <w:pStyle w:val="naisf"/>
              <w:spacing w:before="0" w:after="0"/>
              <w:ind w:firstLine="295"/>
            </w:pPr>
          </w:p>
          <w:p w:rsidR="00C93FEF" w:rsidRDefault="00491F2D">
            <w:pPr>
              <w:spacing w:after="0" w:line="240" w:lineRule="auto"/>
              <w:ind w:firstLine="295"/>
              <w:jc w:val="both"/>
              <w:rPr>
                <w:rStyle w:val="spelle"/>
                <w:rFonts w:ascii="Times New Roman" w:hAnsi="Times New Roman"/>
                <w:sz w:val="24"/>
                <w:szCs w:val="24"/>
                <w:lang w:val="en-US"/>
              </w:rPr>
            </w:pPr>
            <w:r w:rsidRPr="0033110D">
              <w:rPr>
                <w:rStyle w:val="spelle"/>
                <w:rFonts w:ascii="Times New Roman" w:hAnsi="Times New Roman"/>
                <w:sz w:val="24"/>
                <w:szCs w:val="24"/>
              </w:rPr>
              <w:t>Šobrīd Noteikumu Nr. 873 pielikuma 59. un 60. punkts paredz zāļu reģistrācijas apliecības</w:t>
            </w:r>
            <w:r w:rsidR="00787E44">
              <w:rPr>
                <w:rStyle w:val="spelle"/>
                <w:rFonts w:ascii="Times New Roman" w:hAnsi="Times New Roman"/>
                <w:sz w:val="24"/>
                <w:szCs w:val="24"/>
              </w:rPr>
              <w:t xml:space="preserve"> izsniegšanu</w:t>
            </w:r>
            <w:r w:rsidRPr="0033110D">
              <w:rPr>
                <w:rStyle w:val="spelle"/>
                <w:rFonts w:ascii="Times New Roman" w:hAnsi="Times New Roman"/>
                <w:sz w:val="24"/>
                <w:szCs w:val="24"/>
              </w:rPr>
              <w:t xml:space="preserve"> (pakalpojuma cena – </w:t>
            </w:r>
            <w:r w:rsidR="00882E0D" w:rsidRPr="0033110D">
              <w:rPr>
                <w:rStyle w:val="spelle"/>
                <w:rFonts w:ascii="Times New Roman" w:hAnsi="Times New Roman"/>
                <w:sz w:val="24"/>
                <w:szCs w:val="24"/>
              </w:rPr>
              <w:t>71.14</w:t>
            </w:r>
            <w:r w:rsidRPr="0033110D">
              <w:rPr>
                <w:rStyle w:val="spelle"/>
                <w:rFonts w:ascii="Times New Roman" w:hAnsi="Times New Roman"/>
                <w:sz w:val="24"/>
                <w:szCs w:val="24"/>
              </w:rPr>
              <w:t xml:space="preserve"> </w:t>
            </w:r>
            <w:proofErr w:type="spellStart"/>
            <w:r w:rsidR="00882E0D" w:rsidRPr="0033110D">
              <w:rPr>
                <w:rStyle w:val="spelle"/>
                <w:rFonts w:ascii="Times New Roman" w:hAnsi="Times New Roman"/>
                <w:sz w:val="24"/>
                <w:szCs w:val="24"/>
              </w:rPr>
              <w:t>euro</w:t>
            </w:r>
            <w:proofErr w:type="spellEnd"/>
            <w:r w:rsidRPr="0033110D">
              <w:rPr>
                <w:rStyle w:val="spelle"/>
                <w:rFonts w:ascii="Times New Roman" w:hAnsi="Times New Roman"/>
                <w:sz w:val="24"/>
                <w:szCs w:val="24"/>
              </w:rPr>
              <w:t xml:space="preserve"> un dublikāta </w:t>
            </w:r>
            <w:r w:rsidR="00787E44">
              <w:rPr>
                <w:rStyle w:val="spelle"/>
                <w:rFonts w:ascii="Times New Roman" w:hAnsi="Times New Roman"/>
                <w:sz w:val="24"/>
                <w:szCs w:val="24"/>
              </w:rPr>
              <w:t xml:space="preserve">- </w:t>
            </w:r>
            <w:r w:rsidR="00882E0D" w:rsidRPr="0033110D">
              <w:rPr>
                <w:rStyle w:val="spelle"/>
                <w:rFonts w:ascii="Times New Roman" w:hAnsi="Times New Roman"/>
                <w:sz w:val="24"/>
                <w:szCs w:val="24"/>
              </w:rPr>
              <w:t xml:space="preserve">42.69 </w:t>
            </w:r>
            <w:proofErr w:type="spellStart"/>
            <w:r w:rsidR="00882E0D" w:rsidRPr="0033110D">
              <w:rPr>
                <w:rStyle w:val="spelle"/>
                <w:rFonts w:ascii="Times New Roman" w:hAnsi="Times New Roman"/>
                <w:sz w:val="24"/>
                <w:szCs w:val="24"/>
              </w:rPr>
              <w:t>euro</w:t>
            </w:r>
            <w:proofErr w:type="spellEnd"/>
            <w:r w:rsidRPr="0033110D">
              <w:rPr>
                <w:rStyle w:val="spelle"/>
                <w:rFonts w:ascii="Times New Roman" w:hAnsi="Times New Roman"/>
                <w:sz w:val="24"/>
                <w:szCs w:val="24"/>
              </w:rPr>
              <w:t>).</w:t>
            </w:r>
          </w:p>
          <w:p w:rsidR="00C93FEF" w:rsidRDefault="00491F2D">
            <w:pPr>
              <w:spacing w:after="0" w:line="240" w:lineRule="auto"/>
              <w:ind w:firstLine="295"/>
              <w:jc w:val="both"/>
              <w:rPr>
                <w:rFonts w:ascii="Times New Roman" w:hAnsi="Times New Roman"/>
                <w:sz w:val="24"/>
                <w:szCs w:val="24"/>
              </w:rPr>
            </w:pPr>
            <w:r w:rsidRPr="0033110D">
              <w:rPr>
                <w:rStyle w:val="spelle"/>
                <w:rFonts w:ascii="Times New Roman" w:hAnsi="Times New Roman"/>
                <w:sz w:val="24"/>
                <w:szCs w:val="24"/>
              </w:rPr>
              <w:t xml:space="preserve">Valsts pārvaldes iekārtas likuma 10. panta sestā daļa nosaka, ka </w:t>
            </w:r>
            <w:r w:rsidRPr="0033110D">
              <w:rPr>
                <w:rFonts w:ascii="Times New Roman" w:hAnsi="Times New Roman"/>
                <w:sz w:val="24"/>
                <w:szCs w:val="24"/>
              </w:rPr>
              <w:t xml:space="preserve">valsts pārvalde savā darbībā pastāvīgi pārbauda un uzlabo sabiedrībai sniegto pakalpojumu kvalitāti. </w:t>
            </w:r>
            <w:r w:rsidRPr="0033110D">
              <w:rPr>
                <w:rStyle w:val="spelle"/>
                <w:rFonts w:ascii="Times New Roman" w:hAnsi="Times New Roman"/>
                <w:sz w:val="24"/>
                <w:szCs w:val="24"/>
              </w:rPr>
              <w:t xml:space="preserve">Valsts pārvaldes pienākums ir vienkāršot un uzlabot procedūras privātpersonas labā. Savukārt 10. panta astotā daļa nosaka, ka valsts pārvaldi organizē pēc iespējas ērti un pieejami privātpersonai. Lai vienkāršotu zāļu reģistrācijas apliecības un dublikāta izsniegšanu, kā arī </w:t>
            </w:r>
            <w:r w:rsidRPr="0033110D">
              <w:rPr>
                <w:rFonts w:ascii="Times New Roman" w:hAnsi="Times New Roman"/>
                <w:sz w:val="24"/>
                <w:szCs w:val="24"/>
              </w:rPr>
              <w:t>veicinātu Aģentūras administratīvā sloga mazināšanu un administratīvās izmaksas atļauju izgatavošanā un izsniegšanā, zāļu reģistrācijas apliecību turpmāk būs iespējams saņemt elekt</w:t>
            </w:r>
            <w:r w:rsidR="00787E44">
              <w:rPr>
                <w:rFonts w:ascii="Times New Roman" w:hAnsi="Times New Roman"/>
                <w:sz w:val="24"/>
                <w:szCs w:val="24"/>
              </w:rPr>
              <w:t>roniski/papīra formātā/klātienē</w:t>
            </w:r>
            <w:r w:rsidRPr="0033110D">
              <w:rPr>
                <w:rFonts w:ascii="Times New Roman" w:hAnsi="Times New Roman"/>
                <w:sz w:val="24"/>
                <w:szCs w:val="24"/>
              </w:rPr>
              <w:t xml:space="preserve"> bez noteiktas maksas. Minētais maksas pakalpojums tiks nodrošināts no Aģentūras kopējiem ieņēmumiem</w:t>
            </w:r>
            <w:r w:rsidR="00882E0D" w:rsidRPr="0033110D">
              <w:rPr>
                <w:rFonts w:ascii="Times New Roman" w:hAnsi="Times New Roman"/>
                <w:sz w:val="24"/>
                <w:szCs w:val="24"/>
              </w:rPr>
              <w:t xml:space="preserve">, līdz ar to no Noteikumu Nr.873 Pielikuma tiek </w:t>
            </w:r>
            <w:r w:rsidR="0059361B" w:rsidRPr="0033110D">
              <w:rPr>
                <w:rFonts w:ascii="Times New Roman" w:hAnsi="Times New Roman"/>
                <w:sz w:val="24"/>
                <w:szCs w:val="24"/>
              </w:rPr>
              <w:t xml:space="preserve">svītrots </w:t>
            </w:r>
            <w:r w:rsidR="00882E0D" w:rsidRPr="0033110D">
              <w:rPr>
                <w:rFonts w:ascii="Times New Roman" w:hAnsi="Times New Roman"/>
                <w:sz w:val="24"/>
                <w:szCs w:val="24"/>
              </w:rPr>
              <w:t>59. un 60.punkts.</w:t>
            </w:r>
            <w:r w:rsidR="00172CA3">
              <w:rPr>
                <w:rFonts w:ascii="Times New Roman" w:hAnsi="Times New Roman"/>
                <w:sz w:val="24"/>
                <w:szCs w:val="24"/>
              </w:rPr>
              <w:t xml:space="preserve"> </w:t>
            </w:r>
            <w:r w:rsidR="00172CA3" w:rsidRPr="00172CA3">
              <w:rPr>
                <w:rFonts w:ascii="Times New Roman" w:hAnsi="Times New Roman"/>
                <w:sz w:val="24"/>
                <w:szCs w:val="24"/>
              </w:rPr>
              <w:t>Maksas pakalpojumi tika vērtēti atbilstoši to veikšanai patērētajam darbam un resursiem, kā arī pakalpojuma sniegšanas biežumam un minētā pakalpojuma cenu samazināšanas ietekmei uz turpmāko Zāļu valsts aģentūras darbību, budžetu un sniegto pakalpojumu kvalitātes nodrošināšanu. Cenu samazināšanas par citiem sniegtajiem pakalpojumiem šobrīd nav iespējama, jo var būtiski ietekmēt par sniegtajiem pakalpojumiem saņemamo samaksu un līdz ar to Zāļu valsts aģentūras darbību.</w:t>
            </w:r>
          </w:p>
          <w:p w:rsidR="00C93FEF" w:rsidRDefault="00C93FEF">
            <w:pPr>
              <w:spacing w:after="0" w:line="240" w:lineRule="auto"/>
              <w:ind w:firstLine="295"/>
              <w:jc w:val="both"/>
              <w:rPr>
                <w:rFonts w:ascii="Times New Roman" w:hAnsi="Times New Roman"/>
                <w:sz w:val="24"/>
                <w:szCs w:val="24"/>
              </w:rPr>
            </w:pP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Ministru kabineta 2005.gada 2.augusta noteikumi Nr.581 "Medicīnisko ierīču reģistrācijas, atbilstības novērtēšanas, izplatīšanas, ekspluatācijas un tehniskās uzraudzības kārtība" (turpmāk – Noteikumi Nr. 581) nosaka Aģentūras uzdevumus, kas veicami deleģētās funkcijas izpildei</w:t>
            </w:r>
            <w:r w:rsidR="0059361B" w:rsidRPr="0033110D">
              <w:rPr>
                <w:rFonts w:ascii="Times New Roman" w:hAnsi="Times New Roman"/>
                <w:sz w:val="24"/>
                <w:szCs w:val="24"/>
              </w:rPr>
              <w:t>.</w:t>
            </w:r>
            <w:r w:rsidRPr="0033110D">
              <w:rPr>
                <w:rFonts w:ascii="Times New Roman" w:hAnsi="Times New Roman"/>
                <w:sz w:val="24"/>
                <w:szCs w:val="24"/>
              </w:rPr>
              <w:t xml:space="preserve"> </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Noteikumi Nr. 581 paredz, ka, lai </w:t>
            </w:r>
            <w:r w:rsidRPr="0033110D">
              <w:rPr>
                <w:rFonts w:ascii="Times New Roman" w:hAnsi="Times New Roman"/>
                <w:bCs/>
                <w:sz w:val="24"/>
                <w:szCs w:val="24"/>
              </w:rPr>
              <w:t>reģistrētu Latvijas Republikā</w:t>
            </w:r>
            <w:r w:rsidRPr="0033110D">
              <w:rPr>
                <w:rFonts w:ascii="Times New Roman" w:hAnsi="Times New Roman"/>
                <w:sz w:val="24"/>
                <w:szCs w:val="24"/>
              </w:rPr>
              <w:t xml:space="preserve"> ražotu </w:t>
            </w:r>
            <w:r w:rsidR="008848EC" w:rsidRPr="0033110D">
              <w:rPr>
                <w:rFonts w:ascii="Times New Roman" w:hAnsi="Times New Roman"/>
                <w:sz w:val="24"/>
                <w:szCs w:val="24"/>
              </w:rPr>
              <w:t>medicīnisko ierīci</w:t>
            </w:r>
            <w:r w:rsidRPr="0033110D">
              <w:rPr>
                <w:rFonts w:ascii="Times New Roman" w:hAnsi="Times New Roman"/>
                <w:sz w:val="24"/>
                <w:szCs w:val="24"/>
              </w:rPr>
              <w:t xml:space="preserve"> un iekļautu to medicīnisko ierīču datu bāzē LATMED (Noteikumu Nr. 581  94. un 97. punkts), Aģentūra pārbauda, vai minētie dokumenti pēc satura un formas atbilst Noteikumu Nr. 581 </w:t>
            </w:r>
            <w:r w:rsidRPr="0033110D">
              <w:rPr>
                <w:rFonts w:ascii="Times New Roman" w:hAnsi="Times New Roman"/>
                <w:sz w:val="24"/>
                <w:szCs w:val="24"/>
              </w:rPr>
              <w:lastRenderedPageBreak/>
              <w:t>prasībām. Noteikumu Nr. 873 noteiktās maksas par pakalpojumiem nesedz ar pakalpojuma sniegšanu saistīto resursu patēriņu.</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Laikā no 2010.g. - 2013.g. 1. pusgadam Aģentūra ir saņēmusi 46 iesniegumus Latvijā ražotu medicīnisko ierīču reģistrācijai. Visas medicīniskās ierīces pieteiktas kā I klases. 16 ierīcēm izsniegtas reģistrācijas apliecības, pārējos gadījumos (28) – reģistrācija atteikta, jo reģistrējamais produkts neatbilda medicīniskās ierīces statusam vai arī Latvijas ražotājs neapliecināja ierīces atbilstību būtiskajām prasībām. I klases medicīnisko ierīču dokumentācijas ekspertīzes gaitā no Latvijas ražotāja </w:t>
            </w:r>
            <w:proofErr w:type="spellStart"/>
            <w:r w:rsidRPr="0033110D">
              <w:rPr>
                <w:rFonts w:ascii="Times New Roman" w:hAnsi="Times New Roman"/>
                <w:sz w:val="24"/>
                <w:szCs w:val="24"/>
              </w:rPr>
              <w:t>vairākkārt</w:t>
            </w:r>
            <w:proofErr w:type="spellEnd"/>
            <w:r w:rsidRPr="0033110D">
              <w:rPr>
                <w:rFonts w:ascii="Times New Roman" w:hAnsi="Times New Roman"/>
                <w:sz w:val="24"/>
                <w:szCs w:val="24"/>
              </w:rPr>
              <w:t xml:space="preserve"> nepieciešams pieprasīt trūkstošo vai papildu informāciju, izskaidrot normatīvo aktu prasības, kā arī veikt padziļinātu ekspertīzi, lai izvērtētu, vai ir nodrošināta reģistrējamās ierīces atbilstība būtiskajām prasībām, tādēļ pašreizējā pakalpojuma cena nesedz ar ekspertīzi saistītās izmaksas. Turklāt augstāka riska ierīcēm ar ekspertīzi saistītās izmaksas ir lielākas, jo papildus nepieciešams veikt paziņoto institūciju izsniegto ierīces atbilstību apliecinošo dokumentu (sertifikātu) izvērtēšanu.</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Lai</w:t>
            </w:r>
            <w:r w:rsidRPr="0033110D">
              <w:rPr>
                <w:rFonts w:ascii="Times New Roman" w:hAnsi="Times New Roman"/>
                <w:b/>
                <w:bCs/>
                <w:sz w:val="24"/>
                <w:szCs w:val="24"/>
              </w:rPr>
              <w:t xml:space="preserve"> </w:t>
            </w:r>
            <w:r w:rsidRPr="0033110D">
              <w:rPr>
                <w:rFonts w:ascii="Times New Roman" w:hAnsi="Times New Roman"/>
                <w:bCs/>
                <w:sz w:val="24"/>
                <w:szCs w:val="24"/>
              </w:rPr>
              <w:t>reģistrētu medicīniskās ierīces, kas nav marķētas ar CE marķējumu</w:t>
            </w:r>
            <w:r w:rsidRPr="0033110D">
              <w:rPr>
                <w:rFonts w:ascii="Times New Roman" w:hAnsi="Times New Roman"/>
                <w:sz w:val="24"/>
                <w:szCs w:val="24"/>
              </w:rPr>
              <w:t xml:space="preserve"> (Noteikumu Nr. 581 102. punkts), komersants iesniedz Aģentūrā Noteikumos Nr. 581 norādīto informāciju. Ja norādītā dokumentācija nav iesniegta vai nepieciešams precizēt nozīmīgus faktus, Aģentūra pieprasa komersantam trūkstošos dokumentus. Ja tie noteiktā termiņā netiek iesniegti, Aģentūra pieņem lēmumu atteikt reģistrāciju. Laikā no 2010.g. - 2013.g. 1. pusgadam Aģentūra ir veikusi vienu </w:t>
            </w:r>
            <w:r w:rsidRPr="005556C7">
              <w:rPr>
                <w:rFonts w:ascii="Times New Roman" w:eastAsia="Times New Roman" w:hAnsi="Times New Roman"/>
                <w:sz w:val="24"/>
                <w:szCs w:val="24"/>
                <w:lang w:eastAsia="lv-LV"/>
              </w:rPr>
              <w:t xml:space="preserve">CE nemarķētu medicīniskās ierīces ekspertīzi un izsniegusi vienu reģistrācijas apliecību ierīces izplatīšanai Latvijas Republikas teritorijā. Tā kā normatīvie akti paredz, ka, lai </w:t>
            </w:r>
            <w:r w:rsidRPr="0033110D">
              <w:rPr>
                <w:rFonts w:ascii="Times New Roman" w:hAnsi="Times New Roman"/>
                <w:sz w:val="24"/>
                <w:szCs w:val="24"/>
              </w:rPr>
              <w:t xml:space="preserve">medicīniskās ierīces varētu laist apgrozībā, tām sastāda EK atbilstības deklarāciju un tās marķē ar CE atbilstības marķējumu, šādu ierīču ekspertīze tiek veikta tikai atsevišķos izņēmuma gadījumos, turklāt </w:t>
            </w:r>
            <w:r w:rsidRPr="005556C7">
              <w:rPr>
                <w:rFonts w:ascii="Times New Roman" w:eastAsia="Times New Roman" w:hAnsi="Times New Roman"/>
                <w:sz w:val="24"/>
                <w:szCs w:val="24"/>
                <w:lang w:eastAsia="lv-LV"/>
              </w:rPr>
              <w:t>nepieciešams veikt padziļinātu ekspertīzi, lai izvērtētu ierīces drošumu, nekaitīguma prasības un ar tās lietošanu saistītos riskus.</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Saskaņā ar augstāk minēto un to, ka Noteikumi Nr. 581 neparedz atšķirīgu CE nemarķētu </w:t>
            </w:r>
            <w:r w:rsidR="008848EC" w:rsidRPr="0033110D">
              <w:rPr>
                <w:rFonts w:ascii="Times New Roman" w:hAnsi="Times New Roman"/>
                <w:sz w:val="24"/>
                <w:szCs w:val="24"/>
              </w:rPr>
              <w:t xml:space="preserve">medicīnisko ierīču  </w:t>
            </w:r>
            <w:r w:rsidRPr="0033110D">
              <w:rPr>
                <w:rFonts w:ascii="Times New Roman" w:hAnsi="Times New Roman"/>
                <w:sz w:val="24"/>
                <w:szCs w:val="24"/>
              </w:rPr>
              <w:t xml:space="preserve"> dokumentācijas iesniegšanu un vērtēšanas veidu atkarībā no </w:t>
            </w:r>
            <w:r w:rsidR="008848EC" w:rsidRPr="0033110D">
              <w:rPr>
                <w:rFonts w:ascii="Times New Roman" w:hAnsi="Times New Roman"/>
                <w:sz w:val="24"/>
                <w:szCs w:val="24"/>
              </w:rPr>
              <w:t>medicīniskās ierīces</w:t>
            </w:r>
            <w:r w:rsidRPr="0033110D">
              <w:rPr>
                <w:rFonts w:ascii="Times New Roman" w:hAnsi="Times New Roman"/>
                <w:sz w:val="24"/>
                <w:szCs w:val="24"/>
              </w:rPr>
              <w:t xml:space="preserve"> klasifikācijas klases, </w:t>
            </w:r>
            <w:r w:rsidR="0059361B" w:rsidRPr="0033110D">
              <w:rPr>
                <w:rFonts w:ascii="Times New Roman" w:hAnsi="Times New Roman"/>
                <w:sz w:val="24"/>
                <w:szCs w:val="24"/>
              </w:rPr>
              <w:t>nav pamata</w:t>
            </w:r>
            <w:r w:rsidRPr="0033110D">
              <w:rPr>
                <w:rFonts w:ascii="Times New Roman" w:hAnsi="Times New Roman"/>
                <w:sz w:val="24"/>
                <w:szCs w:val="24"/>
              </w:rPr>
              <w:t xml:space="preserve"> diferencētas pakalpojuma cenas veidošanai. Turklāt pastāv iespēja, ka Aģentūrā tiek iesniegts pieprasījums reģistrēt CE nemarķētu medicīnisko ierīci, kura ražota valstī, kas ir ārpus Eiropas Savienības (ES) un kur </w:t>
            </w:r>
            <w:r w:rsidR="00174236" w:rsidRPr="0033110D">
              <w:rPr>
                <w:rFonts w:ascii="Times New Roman" w:hAnsi="Times New Roman"/>
                <w:sz w:val="24"/>
                <w:szCs w:val="24"/>
              </w:rPr>
              <w:t xml:space="preserve">normatīvie akti </w:t>
            </w:r>
            <w:r w:rsidRPr="0033110D">
              <w:rPr>
                <w:rFonts w:ascii="Times New Roman" w:hAnsi="Times New Roman"/>
                <w:sz w:val="24"/>
                <w:szCs w:val="24"/>
              </w:rPr>
              <w:t xml:space="preserve">neparedz </w:t>
            </w:r>
            <w:r w:rsidR="008848EC" w:rsidRPr="0033110D">
              <w:rPr>
                <w:rFonts w:ascii="Times New Roman" w:hAnsi="Times New Roman"/>
                <w:sz w:val="24"/>
                <w:szCs w:val="24"/>
              </w:rPr>
              <w:t>medicīnisko ierīču</w:t>
            </w:r>
            <w:r w:rsidRPr="0033110D">
              <w:rPr>
                <w:rFonts w:ascii="Times New Roman" w:hAnsi="Times New Roman"/>
                <w:sz w:val="24"/>
                <w:szCs w:val="24"/>
              </w:rPr>
              <w:t xml:space="preserve"> iedalīšanu noteiktās klasifikācijas klasēs </w:t>
            </w:r>
            <w:r w:rsidRPr="0033110D">
              <w:rPr>
                <w:rFonts w:ascii="Times New Roman" w:hAnsi="Times New Roman"/>
                <w:sz w:val="24"/>
                <w:szCs w:val="24"/>
              </w:rPr>
              <w:lastRenderedPageBreak/>
              <w:t xml:space="preserve">vai arī klasifikācijas klases atšķiras no ES noteiktajām. Minētajos gadījumos nav pamata ražotājam, kuram pamatdarbības vieta ir ārpus ES, prasīt klasificēt reģistrējamo </w:t>
            </w:r>
            <w:r w:rsidR="008848EC" w:rsidRPr="0033110D">
              <w:rPr>
                <w:rFonts w:ascii="Times New Roman" w:hAnsi="Times New Roman"/>
                <w:sz w:val="24"/>
                <w:szCs w:val="24"/>
              </w:rPr>
              <w:t xml:space="preserve">medicīnisko ierīci </w:t>
            </w:r>
            <w:r w:rsidRPr="0033110D">
              <w:rPr>
                <w:rFonts w:ascii="Times New Roman" w:hAnsi="Times New Roman"/>
                <w:sz w:val="24"/>
                <w:szCs w:val="24"/>
              </w:rPr>
              <w:t>saskaņā ar ES direktīvu prasībām.</w:t>
            </w:r>
          </w:p>
          <w:p w:rsidR="00C93FEF" w:rsidRDefault="00491F2D">
            <w:pPr>
              <w:autoSpaceDE w:val="0"/>
              <w:autoSpaceDN w:val="0"/>
              <w:adjustRightInd w:val="0"/>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Saskaņā ar Noteikumiem Nr. 581 Aģentūra </w:t>
            </w:r>
            <w:r w:rsidRPr="0033110D">
              <w:rPr>
                <w:rFonts w:ascii="Times New Roman" w:hAnsi="Times New Roman"/>
                <w:bCs/>
                <w:sz w:val="24"/>
                <w:szCs w:val="24"/>
              </w:rPr>
              <w:t>atļauj</w:t>
            </w:r>
            <w:r w:rsidRPr="0033110D">
              <w:rPr>
                <w:rFonts w:ascii="Times New Roman" w:hAnsi="Times New Roman"/>
                <w:sz w:val="24"/>
                <w:szCs w:val="24"/>
              </w:rPr>
              <w:t xml:space="preserve"> Latvijas Republikā </w:t>
            </w:r>
            <w:r w:rsidRPr="0033110D">
              <w:rPr>
                <w:rFonts w:ascii="Times New Roman" w:hAnsi="Times New Roman"/>
                <w:bCs/>
                <w:sz w:val="24"/>
                <w:szCs w:val="24"/>
              </w:rPr>
              <w:t>laist apgrozībā</w:t>
            </w:r>
            <w:r w:rsidRPr="0033110D">
              <w:rPr>
                <w:rFonts w:ascii="Times New Roman" w:hAnsi="Times New Roman"/>
                <w:sz w:val="24"/>
                <w:szCs w:val="24"/>
              </w:rPr>
              <w:t xml:space="preserve"> tādas </w:t>
            </w:r>
            <w:r w:rsidRPr="0033110D">
              <w:rPr>
                <w:rFonts w:ascii="Times New Roman" w:hAnsi="Times New Roman"/>
                <w:bCs/>
                <w:sz w:val="24"/>
                <w:szCs w:val="24"/>
              </w:rPr>
              <w:t xml:space="preserve">atsevišķas </w:t>
            </w:r>
            <w:r w:rsidR="008848EC" w:rsidRPr="0033110D">
              <w:rPr>
                <w:rFonts w:ascii="Times New Roman" w:hAnsi="Times New Roman"/>
                <w:bCs/>
                <w:sz w:val="24"/>
                <w:szCs w:val="24"/>
              </w:rPr>
              <w:t>medicīniskās ierīces</w:t>
            </w:r>
            <w:r w:rsidRPr="0033110D">
              <w:rPr>
                <w:rFonts w:ascii="Times New Roman" w:hAnsi="Times New Roman"/>
                <w:bCs/>
                <w:sz w:val="24"/>
                <w:szCs w:val="24"/>
              </w:rPr>
              <w:t xml:space="preserve"> un IVD </w:t>
            </w:r>
            <w:r w:rsidR="008848EC" w:rsidRPr="0033110D">
              <w:rPr>
                <w:rFonts w:ascii="Times New Roman" w:hAnsi="Times New Roman"/>
                <w:bCs/>
                <w:sz w:val="24"/>
                <w:szCs w:val="24"/>
              </w:rPr>
              <w:t>medicīniskās ierīces</w:t>
            </w:r>
            <w:r w:rsidRPr="0033110D">
              <w:rPr>
                <w:rFonts w:ascii="Times New Roman" w:hAnsi="Times New Roman"/>
                <w:bCs/>
                <w:sz w:val="24"/>
                <w:szCs w:val="24"/>
              </w:rPr>
              <w:t>, kurām nav veiktas Noteikumos Nr. 581 minētās atbilstības novērtēšanas procedūras un kurām nav CE marķējuma</w:t>
            </w:r>
            <w:r w:rsidRPr="0033110D">
              <w:rPr>
                <w:rFonts w:ascii="Times New Roman" w:hAnsi="Times New Roman"/>
                <w:sz w:val="24"/>
                <w:szCs w:val="24"/>
              </w:rPr>
              <w:t xml:space="preserve"> (Noteikumu Nr. 581 120. un 146. punkts), bet tās lieto veselības aprūpē. Minētajā gadījumā Noteikumi Nr. 581  paredz, ka </w:t>
            </w:r>
            <w:r w:rsidR="008848EC" w:rsidRPr="0033110D">
              <w:rPr>
                <w:rFonts w:ascii="Times New Roman" w:hAnsi="Times New Roman"/>
                <w:sz w:val="24"/>
                <w:szCs w:val="24"/>
              </w:rPr>
              <w:t>medicīniskā ierīce</w:t>
            </w:r>
            <w:r w:rsidRPr="0033110D">
              <w:rPr>
                <w:rFonts w:ascii="Times New Roman" w:hAnsi="Times New Roman"/>
                <w:sz w:val="24"/>
                <w:szCs w:val="24"/>
              </w:rPr>
              <w:t xml:space="preserve"> ir individuāli piegādāta pēc pasūtījuma konkrētam pacientam vai to izplata ierobežoti un realizē konkrētas ārstniecības iestādes vajadzībām. Pieņemot lēmumu par atļaujas izsniegšanu, Aģentūra pamatojas uz noteiktiem Noteikumos Nr. 581 norādītiem kritērijiem attiecībā uz komersanta iesniegtās informācijas atbilstību. Laikā no 2010.g. - 2013.g.  1. pusgadam Aģentūra ir saņēmusi 7 iesniegumus </w:t>
            </w:r>
            <w:r w:rsidRPr="005556C7">
              <w:rPr>
                <w:rFonts w:ascii="Times New Roman" w:eastAsia="Times New Roman" w:hAnsi="Times New Roman"/>
                <w:sz w:val="24"/>
                <w:szCs w:val="24"/>
                <w:lang w:eastAsia="lv-LV"/>
              </w:rPr>
              <w:t>speciāli piegādātu medicīnisko ierīču atļaujas saņemšanai</w:t>
            </w:r>
            <w:r w:rsidRPr="0033110D">
              <w:rPr>
                <w:rFonts w:ascii="Times New Roman" w:hAnsi="Times New Roman"/>
                <w:sz w:val="24"/>
                <w:szCs w:val="24"/>
              </w:rPr>
              <w:t xml:space="preserve">. 2 ierīču piegādei izsniegtas atļaujas, pārējos gadījumos (5) – atļauju izsniegšana atteikta, jo komersants neiesniedza ierīces kvalitāti apliecinošus dokumentus, kas būtu izdoti ierīces izcelsmes valstī. Normatīvie akti nosaka gadījumus, kuros Aģentūra var izsniegt atļauju laist apgrozībā medicīniskās ierīces, kas nav marķētas ar CE atbilstības marķējumu un ražotas trešajās valstīs. Visos šajos gadījumos </w:t>
            </w:r>
            <w:r w:rsidRPr="005556C7">
              <w:rPr>
                <w:rFonts w:ascii="Times New Roman" w:eastAsia="Times New Roman" w:hAnsi="Times New Roman"/>
                <w:sz w:val="24"/>
                <w:szCs w:val="24"/>
                <w:lang w:eastAsia="lv-LV"/>
              </w:rPr>
              <w:t>nepieciešams veikt padziļinātu ekspertīzi, lai izvērtētu šādu ierīču drošumu, nekaitīguma prasības un ar to lietošanu saistītos riskus.</w:t>
            </w:r>
          </w:p>
          <w:p w:rsidR="00C93FEF" w:rsidRDefault="00491F2D">
            <w:pPr>
              <w:autoSpaceDE w:val="0"/>
              <w:autoSpaceDN w:val="0"/>
              <w:adjustRightInd w:val="0"/>
              <w:spacing w:after="0" w:line="240" w:lineRule="auto"/>
              <w:ind w:firstLine="295"/>
              <w:rPr>
                <w:rFonts w:ascii="Times New Roman" w:hAnsi="Times New Roman"/>
                <w:sz w:val="24"/>
                <w:szCs w:val="24"/>
              </w:rPr>
            </w:pPr>
            <w:r w:rsidRPr="0033110D">
              <w:rPr>
                <w:rFonts w:ascii="Times New Roman" w:hAnsi="Times New Roman"/>
                <w:sz w:val="24"/>
                <w:szCs w:val="24"/>
              </w:rPr>
              <w:t xml:space="preserve">Vienas lietas dokumentācijas ekspertīzes laiks un ar pakalpojumu saistītās izmaksas lielā mērā ir atkarīgas no </w:t>
            </w:r>
            <w:r w:rsidR="00174236" w:rsidRPr="0033110D">
              <w:rPr>
                <w:rFonts w:ascii="Times New Roman" w:hAnsi="Times New Roman"/>
                <w:sz w:val="24"/>
                <w:szCs w:val="24"/>
              </w:rPr>
              <w:t xml:space="preserve">šādiem </w:t>
            </w:r>
            <w:r w:rsidR="00F751FA" w:rsidRPr="0033110D">
              <w:rPr>
                <w:rFonts w:ascii="Times New Roman" w:hAnsi="Times New Roman"/>
                <w:sz w:val="24"/>
                <w:szCs w:val="24"/>
              </w:rPr>
              <w:t xml:space="preserve"> faktoriem</w:t>
            </w:r>
            <w:r w:rsidRPr="0033110D">
              <w:rPr>
                <w:rFonts w:ascii="Times New Roman" w:hAnsi="Times New Roman"/>
                <w:sz w:val="24"/>
                <w:szCs w:val="24"/>
              </w:rPr>
              <w:t>:</w:t>
            </w:r>
          </w:p>
          <w:p w:rsidR="00C93FEF" w:rsidRDefault="00491F2D">
            <w:pPr>
              <w:pStyle w:val="ListParagraph"/>
              <w:numPr>
                <w:ilvl w:val="0"/>
                <w:numId w:val="2"/>
              </w:numPr>
              <w:autoSpaceDE w:val="0"/>
              <w:autoSpaceDN w:val="0"/>
              <w:adjustRightInd w:val="0"/>
              <w:spacing w:after="0" w:line="240" w:lineRule="auto"/>
              <w:ind w:left="720" w:firstLine="295"/>
              <w:rPr>
                <w:rFonts w:ascii="Times New Roman" w:hAnsi="Times New Roman"/>
                <w:sz w:val="24"/>
                <w:szCs w:val="24"/>
                <w:lang w:val="lv-LV"/>
              </w:rPr>
            </w:pPr>
            <w:r w:rsidRPr="005556C7">
              <w:rPr>
                <w:rFonts w:ascii="Times New Roman" w:hAnsi="Times New Roman"/>
                <w:sz w:val="24"/>
                <w:szCs w:val="24"/>
                <w:lang w:val="lv-LV"/>
              </w:rPr>
              <w:t xml:space="preserve">Vai produkts nepārprotami atbilst </w:t>
            </w:r>
            <w:r w:rsidR="008848EC" w:rsidRPr="005556C7">
              <w:rPr>
                <w:rFonts w:ascii="Times New Roman" w:hAnsi="Times New Roman"/>
                <w:sz w:val="24"/>
                <w:szCs w:val="24"/>
                <w:lang w:val="lv-LV"/>
              </w:rPr>
              <w:t>medicīniskās ierīces</w:t>
            </w:r>
            <w:r w:rsidRPr="005556C7">
              <w:rPr>
                <w:rFonts w:ascii="Times New Roman" w:hAnsi="Times New Roman"/>
                <w:sz w:val="24"/>
                <w:szCs w:val="24"/>
                <w:lang w:val="lv-LV"/>
              </w:rPr>
              <w:t xml:space="preserve"> statusam, balstoties uz </w:t>
            </w:r>
            <w:r w:rsidR="008848EC" w:rsidRPr="005556C7">
              <w:rPr>
                <w:rFonts w:ascii="Times New Roman" w:hAnsi="Times New Roman"/>
                <w:sz w:val="24"/>
                <w:szCs w:val="24"/>
                <w:lang w:val="lv-LV"/>
              </w:rPr>
              <w:t>medicīniskās ierīces</w:t>
            </w:r>
            <w:r w:rsidRPr="005556C7">
              <w:rPr>
                <w:rFonts w:ascii="Times New Roman" w:hAnsi="Times New Roman"/>
                <w:sz w:val="24"/>
                <w:szCs w:val="24"/>
                <w:lang w:val="lv-LV"/>
              </w:rPr>
              <w:t xml:space="preserve"> definīcijā noteiktajiem kritērijiem, vai arī nepieciešams veikt padziļinātu ekspertīzi iesaistot papildus ekspertus;</w:t>
            </w:r>
          </w:p>
          <w:p w:rsidR="00C93FEF" w:rsidRDefault="00491F2D">
            <w:pPr>
              <w:pStyle w:val="ListParagraph"/>
              <w:numPr>
                <w:ilvl w:val="0"/>
                <w:numId w:val="2"/>
              </w:numPr>
              <w:tabs>
                <w:tab w:val="left" w:pos="720"/>
              </w:tabs>
              <w:autoSpaceDE w:val="0"/>
              <w:autoSpaceDN w:val="0"/>
              <w:adjustRightInd w:val="0"/>
              <w:spacing w:after="0" w:line="240" w:lineRule="auto"/>
              <w:ind w:left="720" w:firstLine="295"/>
              <w:jc w:val="both"/>
              <w:rPr>
                <w:rFonts w:ascii="Times New Roman" w:hAnsi="Times New Roman"/>
                <w:sz w:val="24"/>
                <w:szCs w:val="24"/>
                <w:lang w:val="lv-LV"/>
              </w:rPr>
            </w:pPr>
            <w:r w:rsidRPr="005556C7">
              <w:rPr>
                <w:rFonts w:ascii="Times New Roman" w:hAnsi="Times New Roman"/>
                <w:sz w:val="24"/>
                <w:szCs w:val="24"/>
                <w:lang w:val="lv-LV"/>
              </w:rPr>
              <w:t xml:space="preserve">Vai no ražotāja puses pareizi izvēlētas un piemērotas atbilstības novērtēšanas procedūras atkarībā no </w:t>
            </w:r>
            <w:r w:rsidR="008848EC" w:rsidRPr="005556C7">
              <w:rPr>
                <w:rFonts w:ascii="Times New Roman" w:hAnsi="Times New Roman"/>
                <w:sz w:val="24"/>
                <w:szCs w:val="24"/>
                <w:lang w:val="lv-LV"/>
              </w:rPr>
              <w:t>medicīniskās ierīces</w:t>
            </w:r>
            <w:r w:rsidRPr="005556C7">
              <w:rPr>
                <w:rFonts w:ascii="Times New Roman" w:hAnsi="Times New Roman"/>
                <w:sz w:val="24"/>
                <w:szCs w:val="24"/>
                <w:lang w:val="lv-LV"/>
              </w:rPr>
              <w:t xml:space="preserve"> klases ;</w:t>
            </w:r>
          </w:p>
          <w:p w:rsidR="00C93FEF" w:rsidRDefault="00491F2D">
            <w:pPr>
              <w:pStyle w:val="ListParagraph"/>
              <w:numPr>
                <w:ilvl w:val="0"/>
                <w:numId w:val="2"/>
              </w:numPr>
              <w:tabs>
                <w:tab w:val="left" w:pos="720"/>
              </w:tabs>
              <w:autoSpaceDE w:val="0"/>
              <w:autoSpaceDN w:val="0"/>
              <w:adjustRightInd w:val="0"/>
              <w:spacing w:after="0" w:line="240" w:lineRule="auto"/>
              <w:ind w:left="720" w:firstLine="295"/>
              <w:jc w:val="both"/>
              <w:rPr>
                <w:rFonts w:ascii="Times New Roman" w:hAnsi="Times New Roman"/>
                <w:sz w:val="24"/>
                <w:szCs w:val="24"/>
                <w:lang w:val="lv-LV"/>
              </w:rPr>
            </w:pPr>
            <w:r w:rsidRPr="005556C7">
              <w:rPr>
                <w:rFonts w:ascii="Times New Roman" w:hAnsi="Times New Roman"/>
                <w:sz w:val="24"/>
                <w:szCs w:val="24"/>
                <w:lang w:val="lv-LV"/>
              </w:rPr>
              <w:t>Cik precīza, pilnīga un atbilstoša informācija iekļauta dokumentācijā pirmreizēji iesniegtajā dokumentu paketē;</w:t>
            </w:r>
          </w:p>
          <w:p w:rsidR="00C93FEF" w:rsidRDefault="00F751FA">
            <w:pPr>
              <w:pStyle w:val="ListParagraph"/>
              <w:numPr>
                <w:ilvl w:val="0"/>
                <w:numId w:val="2"/>
              </w:numPr>
              <w:tabs>
                <w:tab w:val="left" w:pos="720"/>
              </w:tabs>
              <w:autoSpaceDE w:val="0"/>
              <w:autoSpaceDN w:val="0"/>
              <w:adjustRightInd w:val="0"/>
              <w:spacing w:after="0" w:line="240" w:lineRule="auto"/>
              <w:ind w:left="720" w:firstLine="295"/>
              <w:jc w:val="both"/>
              <w:rPr>
                <w:rFonts w:ascii="Times New Roman" w:hAnsi="Times New Roman"/>
                <w:sz w:val="24"/>
                <w:szCs w:val="24"/>
                <w:lang w:val="lv-LV"/>
              </w:rPr>
            </w:pPr>
            <w:r w:rsidRPr="005556C7">
              <w:rPr>
                <w:rFonts w:ascii="Times New Roman" w:hAnsi="Times New Roman"/>
                <w:sz w:val="24"/>
                <w:szCs w:val="24"/>
                <w:lang w:val="lv-LV"/>
              </w:rPr>
              <w:t>I</w:t>
            </w:r>
            <w:r w:rsidR="00491F2D" w:rsidRPr="005556C7">
              <w:rPr>
                <w:rFonts w:ascii="Times New Roman" w:hAnsi="Times New Roman"/>
                <w:sz w:val="24"/>
                <w:szCs w:val="24"/>
                <w:lang w:val="lv-LV"/>
              </w:rPr>
              <w:t>esniedzēja kompetences un spējas sagatavot papildus pieprasītos datus un iesniegt Aģentūrā izvērtēšanai;</w:t>
            </w:r>
          </w:p>
          <w:p w:rsidR="00C93FEF" w:rsidRDefault="00491F2D">
            <w:pPr>
              <w:pStyle w:val="ListParagraph"/>
              <w:numPr>
                <w:ilvl w:val="0"/>
                <w:numId w:val="2"/>
              </w:numPr>
              <w:tabs>
                <w:tab w:val="left" w:pos="720"/>
              </w:tabs>
              <w:autoSpaceDE w:val="0"/>
              <w:autoSpaceDN w:val="0"/>
              <w:adjustRightInd w:val="0"/>
              <w:spacing w:after="0" w:line="240" w:lineRule="auto"/>
              <w:ind w:left="720" w:firstLine="295"/>
              <w:jc w:val="both"/>
              <w:rPr>
                <w:rFonts w:ascii="Times New Roman" w:hAnsi="Times New Roman"/>
                <w:sz w:val="24"/>
                <w:szCs w:val="24"/>
                <w:lang w:val="lv-LV"/>
              </w:rPr>
            </w:pPr>
            <w:r w:rsidRPr="005556C7">
              <w:rPr>
                <w:rFonts w:ascii="Times New Roman" w:hAnsi="Times New Roman"/>
                <w:sz w:val="24"/>
                <w:szCs w:val="24"/>
                <w:lang w:val="lv-LV"/>
              </w:rPr>
              <w:t xml:space="preserve"> Iesniegtās papi</w:t>
            </w:r>
            <w:r w:rsidR="00F751FA" w:rsidRPr="005556C7">
              <w:rPr>
                <w:rFonts w:ascii="Times New Roman" w:hAnsi="Times New Roman"/>
                <w:sz w:val="24"/>
                <w:szCs w:val="24"/>
                <w:lang w:val="lv-LV"/>
              </w:rPr>
              <w:t>ldus dokumentācijas kvalitātes.</w:t>
            </w:r>
          </w:p>
          <w:p w:rsidR="00C93FEF" w:rsidRDefault="00491F2D">
            <w:pPr>
              <w:tabs>
                <w:tab w:val="left" w:pos="720"/>
              </w:tabs>
              <w:autoSpaceDE w:val="0"/>
              <w:autoSpaceDN w:val="0"/>
              <w:adjustRightInd w:val="0"/>
              <w:spacing w:after="0" w:line="240" w:lineRule="auto"/>
              <w:ind w:firstLine="295"/>
              <w:jc w:val="both"/>
              <w:rPr>
                <w:rFonts w:ascii="Times New Roman" w:hAnsi="Times New Roman"/>
                <w:sz w:val="24"/>
                <w:szCs w:val="24"/>
                <w:lang w:val="en-US"/>
              </w:rPr>
            </w:pPr>
            <w:r w:rsidRPr="0033110D">
              <w:rPr>
                <w:rFonts w:ascii="Times New Roman" w:hAnsi="Times New Roman"/>
                <w:sz w:val="24"/>
                <w:szCs w:val="24"/>
              </w:rPr>
              <w:lastRenderedPageBreak/>
              <w:t xml:space="preserve">Situācijās, kad iesniedzējs </w:t>
            </w:r>
            <w:proofErr w:type="spellStart"/>
            <w:r w:rsidRPr="0033110D">
              <w:rPr>
                <w:rFonts w:ascii="Times New Roman" w:hAnsi="Times New Roman"/>
                <w:sz w:val="24"/>
                <w:szCs w:val="24"/>
              </w:rPr>
              <w:t>vairākkārt</w:t>
            </w:r>
            <w:proofErr w:type="spellEnd"/>
            <w:r w:rsidRPr="0033110D">
              <w:rPr>
                <w:rFonts w:ascii="Times New Roman" w:hAnsi="Times New Roman"/>
                <w:sz w:val="24"/>
                <w:szCs w:val="24"/>
              </w:rPr>
              <w:t xml:space="preserve"> tikai daļēji iesniedz prasīto informāciju, katra par jaunu iesniegtā dokumenta izvērtēšana sais</w:t>
            </w:r>
            <w:r w:rsidR="008848EC" w:rsidRPr="0033110D">
              <w:rPr>
                <w:rFonts w:ascii="Times New Roman" w:hAnsi="Times New Roman"/>
                <w:sz w:val="24"/>
                <w:szCs w:val="24"/>
              </w:rPr>
              <w:t>t</w:t>
            </w:r>
            <w:r w:rsidR="00621834" w:rsidRPr="0033110D">
              <w:rPr>
                <w:rFonts w:ascii="Times New Roman" w:hAnsi="Times New Roman"/>
                <w:sz w:val="24"/>
                <w:szCs w:val="24"/>
              </w:rPr>
              <w:t>īta ar noteiktu laika patēriņu. L</w:t>
            </w:r>
            <w:r w:rsidR="008848EC" w:rsidRPr="0033110D">
              <w:rPr>
                <w:rFonts w:ascii="Times New Roman" w:hAnsi="Times New Roman"/>
                <w:sz w:val="24"/>
                <w:szCs w:val="24"/>
              </w:rPr>
              <w:t xml:space="preserve">īdz ar </w:t>
            </w:r>
            <w:r w:rsidR="00621834" w:rsidRPr="0033110D">
              <w:rPr>
                <w:rFonts w:ascii="Times New Roman" w:hAnsi="Times New Roman"/>
                <w:sz w:val="24"/>
                <w:szCs w:val="24"/>
              </w:rPr>
              <w:t>iepriekšminēto</w:t>
            </w:r>
            <w:r w:rsidR="008848EC" w:rsidRPr="0033110D">
              <w:rPr>
                <w:rFonts w:ascii="Times New Roman" w:hAnsi="Times New Roman"/>
                <w:sz w:val="24"/>
                <w:szCs w:val="24"/>
              </w:rPr>
              <w:t xml:space="preserve"> </w:t>
            </w:r>
            <w:r w:rsidR="00174236" w:rsidRPr="0033110D">
              <w:rPr>
                <w:rFonts w:ascii="Times New Roman" w:hAnsi="Times New Roman"/>
                <w:sz w:val="24"/>
                <w:szCs w:val="24"/>
              </w:rPr>
              <w:t xml:space="preserve">svītrots </w:t>
            </w:r>
            <w:r w:rsidR="008848EC" w:rsidRPr="0033110D">
              <w:rPr>
                <w:rFonts w:ascii="Times New Roman" w:hAnsi="Times New Roman"/>
                <w:sz w:val="24"/>
                <w:szCs w:val="24"/>
              </w:rPr>
              <w:t>Noteikumu Nr.873 Pielikuma</w:t>
            </w:r>
            <w:r w:rsidR="00621834" w:rsidRPr="0033110D">
              <w:rPr>
                <w:rFonts w:ascii="Times New Roman" w:hAnsi="Times New Roman"/>
                <w:sz w:val="24"/>
                <w:szCs w:val="24"/>
              </w:rPr>
              <w:t xml:space="preserve"> 66.punkts un grozīts Noteikumu Nr.873 Pielikuma 65.punkts.</w:t>
            </w:r>
          </w:p>
          <w:p w:rsidR="00C93FEF" w:rsidRDefault="00491F2D">
            <w:pPr>
              <w:autoSpaceDE w:val="0"/>
              <w:autoSpaceDN w:val="0"/>
              <w:adjustRightInd w:val="0"/>
              <w:spacing w:after="0" w:line="240" w:lineRule="auto"/>
              <w:ind w:firstLine="295"/>
              <w:jc w:val="both"/>
              <w:rPr>
                <w:rFonts w:ascii="Times New Roman" w:hAnsi="Times New Roman"/>
                <w:color w:val="FF0000"/>
                <w:sz w:val="24"/>
                <w:szCs w:val="24"/>
                <w:lang w:val="en-US"/>
              </w:rPr>
            </w:pPr>
            <w:r w:rsidRPr="0033110D">
              <w:rPr>
                <w:rFonts w:ascii="Times New Roman" w:hAnsi="Times New Roman"/>
                <w:sz w:val="24"/>
                <w:szCs w:val="24"/>
              </w:rPr>
              <w:t>Saskaņā ar Ministru kabineta 2013.gada 29.janvāra protokola Nr. 6 26.§ „Noteikumu projekts "Zāļu valsts aģentūras maksas pakalpojumu cenrādis”" 4.</w:t>
            </w:r>
            <w:r w:rsidR="00C64E8A">
              <w:rPr>
                <w:rFonts w:ascii="Times New Roman" w:hAnsi="Times New Roman"/>
                <w:sz w:val="24"/>
                <w:szCs w:val="24"/>
              </w:rPr>
              <w:t>2</w:t>
            </w:r>
            <w:r w:rsidRPr="0033110D">
              <w:rPr>
                <w:rFonts w:ascii="Times New Roman" w:hAnsi="Times New Roman"/>
                <w:sz w:val="24"/>
                <w:szCs w:val="24"/>
              </w:rPr>
              <w:t xml:space="preserve">.punktu 2014.gadā līdzekļi 90 000 latu apmērā novirzāmi Zāļu valsts aģentūras izdevumu finansēšanai, proti, Latvijā ražotu medicīnisko ierīču reģistrēšanai, atļauju speciāli piegādāto medicīnisko ierīču laišanai apgrozībā izsniegšanai, kā arī medicīnisko ierīču </w:t>
            </w:r>
            <w:proofErr w:type="spellStart"/>
            <w:r w:rsidRPr="0033110D">
              <w:rPr>
                <w:rFonts w:ascii="Times New Roman" w:hAnsi="Times New Roman"/>
                <w:sz w:val="24"/>
                <w:szCs w:val="24"/>
              </w:rPr>
              <w:t>vigilances</w:t>
            </w:r>
            <w:proofErr w:type="spellEnd"/>
            <w:r w:rsidRPr="0033110D">
              <w:rPr>
                <w:rFonts w:ascii="Times New Roman" w:hAnsi="Times New Roman"/>
                <w:sz w:val="24"/>
                <w:szCs w:val="24"/>
              </w:rPr>
              <w:t xml:space="preserve"> veikšanai un atļauju izsniegšanu medicīnisko ier</w:t>
            </w:r>
            <w:r w:rsidR="00F751FA" w:rsidRPr="0033110D">
              <w:rPr>
                <w:rFonts w:ascii="Times New Roman" w:hAnsi="Times New Roman"/>
                <w:sz w:val="24"/>
                <w:szCs w:val="24"/>
              </w:rPr>
              <w:t>īču klīniskās izpētes veikšanai</w:t>
            </w:r>
            <w:r w:rsidRPr="0033110D">
              <w:rPr>
                <w:rFonts w:ascii="Times New Roman" w:hAnsi="Times New Roman"/>
                <w:sz w:val="24"/>
                <w:szCs w:val="24"/>
              </w:rPr>
              <w:t>. Līdz ar to Noteikumu Nr. 873 65.punktā noteikto maksas pakalpojumu pārskatīšan</w:t>
            </w:r>
            <w:r w:rsidR="00D345E0" w:rsidRPr="0033110D">
              <w:rPr>
                <w:rFonts w:ascii="Times New Roman" w:hAnsi="Times New Roman"/>
                <w:sz w:val="24"/>
                <w:szCs w:val="24"/>
              </w:rPr>
              <w:t>a</w:t>
            </w:r>
            <w:r w:rsidRPr="0033110D">
              <w:rPr>
                <w:rFonts w:ascii="Times New Roman" w:hAnsi="Times New Roman"/>
                <w:sz w:val="24"/>
                <w:szCs w:val="24"/>
              </w:rPr>
              <w:t>, sedzot ar medicīnisko ierīču ekspertīzi saistītas izmaksas, iespējam</w:t>
            </w:r>
            <w:r w:rsidR="00D345E0" w:rsidRPr="0033110D">
              <w:rPr>
                <w:rFonts w:ascii="Times New Roman" w:hAnsi="Times New Roman"/>
                <w:sz w:val="24"/>
                <w:szCs w:val="24"/>
              </w:rPr>
              <w:t>a</w:t>
            </w:r>
            <w:r w:rsidRPr="0033110D">
              <w:rPr>
                <w:rFonts w:ascii="Times New Roman" w:hAnsi="Times New Roman"/>
                <w:sz w:val="24"/>
                <w:szCs w:val="24"/>
              </w:rPr>
              <w:t xml:space="preserve"> ar 2015.gadu.</w:t>
            </w:r>
            <w:r w:rsidRPr="0033110D">
              <w:rPr>
                <w:rFonts w:ascii="Times New Roman" w:hAnsi="Times New Roman"/>
                <w:color w:val="FF0000"/>
                <w:sz w:val="24"/>
                <w:szCs w:val="24"/>
              </w:rPr>
              <w:t xml:space="preserve"> </w:t>
            </w:r>
          </w:p>
          <w:p w:rsidR="00C93FEF" w:rsidRDefault="00C93FEF">
            <w:pPr>
              <w:pStyle w:val="NormalWeb"/>
              <w:spacing w:before="0" w:beforeAutospacing="0" w:after="0" w:afterAutospacing="0"/>
              <w:ind w:firstLine="295"/>
              <w:jc w:val="both"/>
              <w:rPr>
                <w:lang w:val="lv-LV"/>
              </w:rPr>
            </w:pPr>
          </w:p>
          <w:p w:rsidR="00C93FEF" w:rsidRDefault="00264E7E">
            <w:pPr>
              <w:pStyle w:val="NormalWeb"/>
              <w:spacing w:before="0" w:beforeAutospacing="0" w:after="0" w:afterAutospacing="0"/>
              <w:ind w:firstLine="295"/>
              <w:jc w:val="both"/>
              <w:rPr>
                <w:lang w:val="lv-LV"/>
              </w:rPr>
            </w:pPr>
            <w:r w:rsidRPr="005556C7">
              <w:rPr>
                <w:lang w:val="lv-LV"/>
              </w:rPr>
              <w:t>Noteikumu Nr. 537 4.</w:t>
            </w:r>
            <w:r w:rsidR="00174236">
              <w:rPr>
                <w:lang w:val="lv-LV"/>
              </w:rPr>
              <w:t>1</w:t>
            </w:r>
            <w:r w:rsidRPr="005556C7">
              <w:rPr>
                <w:lang w:val="lv-LV"/>
              </w:rPr>
              <w:t>4.</w:t>
            </w:r>
            <w:r w:rsidR="0081227C">
              <w:rPr>
                <w:lang w:val="lv-LV"/>
              </w:rPr>
              <w:t>5.</w:t>
            </w:r>
            <w:r w:rsidR="00491F2D" w:rsidRPr="005556C7">
              <w:rPr>
                <w:lang w:val="lv-LV"/>
              </w:rPr>
              <w:t xml:space="preserve">apakšpunkts nosaka, ka Aģentūra veic kompetentajai iestādei paredzētos uzdevumus atbilstoši prasībām, ko nosaka Eiropas Parlamenta un Padomes 2010.gada 15.decembra Regula (ES) Nr. </w:t>
            </w:r>
            <w:hyperlink r:id="rId17" w:tgtFrame="_blank" w:history="1">
              <w:r w:rsidR="00491F2D" w:rsidRPr="005556C7">
                <w:rPr>
                  <w:rStyle w:val="Hyperlink"/>
                  <w:color w:val="auto"/>
                  <w:lang w:val="lv-LV"/>
                </w:rPr>
                <w:t>1235/2010</w:t>
              </w:r>
            </w:hyperlink>
            <w:r w:rsidR="00491F2D" w:rsidRPr="005556C7">
              <w:rPr>
                <w:lang w:val="lv-LV"/>
              </w:rPr>
              <w:t xml:space="preserve">, ar kuru attiecībā uz cilvēkiem paredzēto zāļu </w:t>
            </w:r>
            <w:proofErr w:type="spellStart"/>
            <w:r w:rsidR="00491F2D" w:rsidRPr="005556C7">
              <w:rPr>
                <w:lang w:val="lv-LV"/>
              </w:rPr>
              <w:t>farmakovigilanci</w:t>
            </w:r>
            <w:proofErr w:type="spellEnd"/>
            <w:r w:rsidR="00491F2D" w:rsidRPr="005556C7">
              <w:rPr>
                <w:lang w:val="lv-LV"/>
              </w:rPr>
              <w:t xml:space="preserve"> groza Regulu (EK) Nr. </w:t>
            </w:r>
            <w:hyperlink r:id="rId18" w:tgtFrame="_blank" w:history="1">
              <w:r w:rsidR="00491F2D" w:rsidRPr="005556C7">
                <w:rPr>
                  <w:rStyle w:val="Hyperlink"/>
                  <w:color w:val="auto"/>
                  <w:lang w:val="lv-LV"/>
                </w:rPr>
                <w:t>726/2004</w:t>
              </w:r>
            </w:hyperlink>
            <w:r w:rsidR="00491F2D" w:rsidRPr="005556C7">
              <w:rPr>
                <w:lang w:val="lv-LV"/>
              </w:rPr>
              <w:t xml:space="preserve">, ar ko nosaka cilvēkiem paredzēto un veterināro zāļu reģistrēšanas un uzraudzības Kopienas procedūras un izveido Eiropas Zāļu aģentūru, un Regulu (EK) Nr. </w:t>
            </w:r>
            <w:hyperlink r:id="rId19" w:tgtFrame="_blank" w:history="1">
              <w:r w:rsidR="00491F2D" w:rsidRPr="005556C7">
                <w:rPr>
                  <w:rStyle w:val="Hyperlink"/>
                  <w:color w:val="auto"/>
                  <w:lang w:val="lv-LV"/>
                </w:rPr>
                <w:t>1394/2007</w:t>
              </w:r>
            </w:hyperlink>
            <w:r w:rsidR="00491F2D" w:rsidRPr="005556C7">
              <w:rPr>
                <w:lang w:val="lv-LV"/>
              </w:rPr>
              <w:t xml:space="preserve"> par uzlabotas terapijas zālēm.</w:t>
            </w:r>
          </w:p>
          <w:p w:rsidR="00C93FEF" w:rsidRDefault="00491F2D">
            <w:pPr>
              <w:pStyle w:val="NormalWeb"/>
              <w:spacing w:before="0" w:beforeAutospacing="0" w:after="0" w:afterAutospacing="0"/>
              <w:ind w:firstLine="295"/>
              <w:jc w:val="both"/>
              <w:rPr>
                <w:lang w:val="lv-LV"/>
              </w:rPr>
            </w:pPr>
            <w:r w:rsidRPr="005556C7">
              <w:rPr>
                <w:lang w:val="lv-LV"/>
              </w:rPr>
              <w:t xml:space="preserve">Saskaņā ar Eiropas Parlamenta un Padomes 2007.gada 13.novembra Regulu (EK) Nr. 1394/2007 par uzlabotas terapijas zālēm, un ar ko groza Direktīvu 2001/83/EK un Regulu (EK) Nr. 726/2004 28.panta 2.punktu „Jebkādām uzlabotas terapijas zālēm, kā noteikts Regulā (EK) Nr. </w:t>
            </w:r>
            <w:r w:rsidR="00CB26B8">
              <w:rPr>
                <w:lang w:val="lv-LV"/>
              </w:rPr>
              <w:t>1394</w:t>
            </w:r>
            <w:r w:rsidRPr="005556C7">
              <w:rPr>
                <w:lang w:val="lv-LV"/>
              </w:rPr>
              <w:t>/2007 par uzlabotas terapijas zālēm, kas ir sagatavotas, balstoties uz neierastu procesu un saskaņā ar īpašiem kvalitātes standartiem, un izmantotas slimnīcā tajā pašā dalībvalstī, ārstniecības personai uzņemoties ekskluzīvu profesionālo atbildību, lai nodrošinātu atbilsmi konkrētai receptei pēc pasūtījuma izgatavojamam produktam konkrētam pacientam.</w:t>
            </w:r>
          </w:p>
          <w:p w:rsidR="00C93FEF" w:rsidRDefault="00491F2D">
            <w:pPr>
              <w:pStyle w:val="NormalWeb"/>
              <w:spacing w:before="0" w:beforeAutospacing="0" w:after="0" w:afterAutospacing="0"/>
              <w:ind w:firstLine="295"/>
              <w:jc w:val="both"/>
              <w:rPr>
                <w:lang w:val="lv-LV"/>
              </w:rPr>
            </w:pPr>
            <w:r w:rsidRPr="005556C7">
              <w:rPr>
                <w:lang w:val="lv-LV"/>
              </w:rPr>
              <w:t xml:space="preserve">Atļauju šo produktu ražošanai sniedz dalībvalsts kompetentā iestāde. Dalībvalstis nodrošina valstī spēkā esošo izsekojamības un zāļu lietošanas izraisīto blakusparādību uzraudzības prasību, kā arī šajā punktā minēto īpašo kvalitātes standartu atbilstību Kopienas līmenī noteiktajām prasībām un standartiem attiecībā uz uzlabotas terapijas </w:t>
            </w:r>
            <w:r w:rsidRPr="005556C7">
              <w:rPr>
                <w:lang w:val="lv-LV"/>
              </w:rPr>
              <w:lastRenderedPageBreak/>
              <w:t xml:space="preserve">zālēm, kas jāreģistrē saskaņā ar Eiropas Parlamenta un Padomes Regulu (EK) Nr. 726/2004 (2004. gada 31. marts), ar ko nosaka cilvēkiem paredzēto un veterināro zāļu reģistrēšanas un uzraudzības Kopienas procedūras un izveido Eiropas Zāļu aģentūru”. Lai nodrošinātu </w:t>
            </w:r>
            <w:proofErr w:type="spellStart"/>
            <w:r w:rsidRPr="005556C7">
              <w:rPr>
                <w:lang w:val="lv-LV"/>
              </w:rPr>
              <w:t>jaunieviestās</w:t>
            </w:r>
            <w:proofErr w:type="spellEnd"/>
            <w:r w:rsidRPr="005556C7">
              <w:rPr>
                <w:lang w:val="lv-LV"/>
              </w:rPr>
              <w:t xml:space="preserve"> terapijas zāļu izgatavošanas, balstoties uz neierastu procesu, atbilstības novērtēšanu, atļaujas izsniegšanu un labas ražošanas prakses nodrošinājuma pārbaudi, Noteikumu</w:t>
            </w:r>
            <w:r w:rsidR="00264E7E" w:rsidRPr="005556C7">
              <w:rPr>
                <w:lang w:val="lv-LV"/>
              </w:rPr>
              <w:t xml:space="preserve"> Nr. 873 Pielikums tiek papildināts ar 75.un 76 punktu.</w:t>
            </w:r>
          </w:p>
          <w:p w:rsidR="00C93FEF" w:rsidRDefault="00C93FEF">
            <w:pPr>
              <w:autoSpaceDE w:val="0"/>
              <w:autoSpaceDN w:val="0"/>
              <w:adjustRightInd w:val="0"/>
              <w:spacing w:after="0" w:line="240" w:lineRule="auto"/>
              <w:ind w:firstLine="295"/>
              <w:jc w:val="both"/>
              <w:rPr>
                <w:rFonts w:ascii="Times New Roman" w:hAnsi="Times New Roman"/>
                <w:sz w:val="24"/>
                <w:szCs w:val="24"/>
              </w:rPr>
            </w:pPr>
          </w:p>
          <w:p w:rsidR="00C93FEF" w:rsidRDefault="00491F2D">
            <w:pPr>
              <w:autoSpaceDE w:val="0"/>
              <w:autoSpaceDN w:val="0"/>
              <w:adjustRightInd w:val="0"/>
              <w:spacing w:after="0" w:line="240" w:lineRule="auto"/>
              <w:ind w:firstLine="295"/>
              <w:jc w:val="both"/>
              <w:rPr>
                <w:rFonts w:ascii="Times New Roman" w:hAnsi="Times New Roman"/>
                <w:sz w:val="24"/>
                <w:szCs w:val="24"/>
              </w:rPr>
            </w:pPr>
            <w:bookmarkStart w:id="7" w:name="bkm84"/>
            <w:r w:rsidRPr="005556C7">
              <w:rPr>
                <w:rFonts w:ascii="Times New Roman" w:eastAsia="Times New Roman" w:hAnsi="Times New Roman"/>
                <w:bCs/>
                <w:sz w:val="24"/>
                <w:szCs w:val="24"/>
                <w:lang w:eastAsia="lv-LV"/>
              </w:rPr>
              <w:t>Saskaņā ar Farmācijas likuma 48.panta pirmo daļu</w:t>
            </w:r>
            <w:r w:rsidRPr="005556C7">
              <w:rPr>
                <w:rFonts w:ascii="Times New Roman" w:eastAsia="Times New Roman" w:hAnsi="Times New Roman"/>
                <w:sz w:val="24"/>
                <w:szCs w:val="24"/>
                <w:lang w:eastAsia="lv-LV"/>
              </w:rPr>
              <w:t xml:space="preserve"> zāļu lieltirgotavai </w:t>
            </w:r>
            <w:bookmarkEnd w:id="7"/>
            <w:r w:rsidR="00D36B3E" w:rsidRPr="005556C7">
              <w:rPr>
                <w:rFonts w:ascii="Times New Roman" w:eastAsia="Times New Roman" w:hAnsi="Times New Roman"/>
                <w:sz w:val="24"/>
                <w:szCs w:val="24"/>
                <w:lang w:eastAsia="lv-LV"/>
              </w:rPr>
              <w:fldChar w:fldCharType="begin"/>
            </w:r>
            <w:r w:rsidRPr="005556C7">
              <w:rPr>
                <w:rFonts w:ascii="Times New Roman" w:eastAsia="Times New Roman" w:hAnsi="Times New Roman"/>
                <w:sz w:val="24"/>
                <w:szCs w:val="24"/>
                <w:lang w:eastAsia="lv-LV"/>
              </w:rPr>
              <w:instrText xml:space="preserve"> HYPERLINK "http://pro.nais.lv/naiser/text.cfm?Ref=0103011997041032772&amp;Req=0103011997041032772&amp;Key=0101032007032700220&amp;Hash=" \o "Zāļu iegādes, uzglabāšanas, izlietošanas, uzskaites un iznīcināšanas kārtība ārstniecības iestādēs un sociālās aprūpes institūci" \t "_top" </w:instrText>
            </w:r>
            <w:r w:rsidR="00D36B3E" w:rsidRPr="005556C7">
              <w:rPr>
                <w:rFonts w:ascii="Times New Roman" w:eastAsia="Times New Roman" w:hAnsi="Times New Roman"/>
                <w:sz w:val="24"/>
                <w:szCs w:val="24"/>
                <w:lang w:eastAsia="lv-LV"/>
              </w:rPr>
              <w:fldChar w:fldCharType="separate"/>
            </w:r>
            <w:r w:rsidRPr="005556C7">
              <w:rPr>
                <w:rFonts w:ascii="Times New Roman" w:eastAsia="Times New Roman" w:hAnsi="Times New Roman"/>
                <w:sz w:val="24"/>
                <w:szCs w:val="24"/>
                <w:lang w:eastAsia="lv-LV"/>
              </w:rPr>
              <w:t>atļauts izplatīt zāles aptiekām</w:t>
            </w:r>
            <w:r w:rsidR="00D36B3E" w:rsidRPr="005556C7">
              <w:rPr>
                <w:rFonts w:ascii="Times New Roman" w:eastAsia="Times New Roman" w:hAnsi="Times New Roman"/>
                <w:sz w:val="24"/>
                <w:szCs w:val="24"/>
                <w:lang w:eastAsia="lv-LV"/>
              </w:rPr>
              <w:fldChar w:fldCharType="end"/>
            </w:r>
            <w:r w:rsidRPr="005556C7">
              <w:rPr>
                <w:rFonts w:ascii="Times New Roman" w:eastAsia="Times New Roman" w:hAnsi="Times New Roman"/>
                <w:sz w:val="24"/>
                <w:szCs w:val="24"/>
                <w:lang w:eastAsia="lv-LV"/>
              </w:rPr>
              <w:t>, zāļu lieltirgotavām, kā arī ārstniecības iestādēm, sociālās aprūpes institūcijām, praktizējošiem veterinārārstiem, prakses ārstiem un veterinārmedicīniskās aprūpes komersantiem to darbības nodrošināšanai saskaņā ar Ministru kabineta noteikto kārtību. Zāļu lieltirgotavai atļauts izplatīt zāles citām personām vai iestādēm tikai tad, ja tām ir Zāļu valsts aģentūras izsniegta atļauja zāļu iegādei un ja attiecīgās personas un iestādes zāles izmanto tikai savas darbības nodrošināšanai, bet tām nav tiesību šīs zāles izplatīt.</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Šādas atļaujas līdz šim ir prasījušas izsniegt zinātniskās institūcijas, piemēram, Latvijas Organiskās sintēzes institūts, </w:t>
            </w:r>
            <w:r w:rsidR="0072018C">
              <w:rPr>
                <w:rFonts w:ascii="Times New Roman" w:hAnsi="Times New Roman"/>
                <w:sz w:val="24"/>
                <w:szCs w:val="24"/>
              </w:rPr>
              <w:t>komersanti</w:t>
            </w:r>
            <w:r w:rsidRPr="0033110D">
              <w:rPr>
                <w:rFonts w:ascii="Times New Roman" w:hAnsi="Times New Roman"/>
                <w:sz w:val="24"/>
                <w:szCs w:val="24"/>
              </w:rPr>
              <w:t>, kas apgādā lidmašīnas un kuģus ar medicīnisko skābekli. Šī pakalpojuma maksa par ekspertīzi un atļauju ietver iesnieguma un dokumentācijas ekspertīzi, kā arī atļaujas sagatavošanu. Pēc Aģentūras datiem 2013.gada 1.pusgadā ir pieprasītas un izsniegtas šādas 5 atļaujas. Ņemot vērā ekspertu ieguldīto darbu, nepieciešams paredzē</w:t>
            </w:r>
            <w:r w:rsidR="005556C7" w:rsidRPr="0033110D">
              <w:rPr>
                <w:rFonts w:ascii="Times New Roman" w:hAnsi="Times New Roman"/>
                <w:sz w:val="24"/>
                <w:szCs w:val="24"/>
              </w:rPr>
              <w:t>t maksu par minēto pakalpojumu, līdz ar to Noteikumu Nr.873 Pielikums papildināts ar 77.punktu.</w:t>
            </w:r>
          </w:p>
          <w:p w:rsidR="00C93FEF" w:rsidRDefault="00C93FEF">
            <w:pPr>
              <w:spacing w:after="0" w:line="240" w:lineRule="auto"/>
              <w:ind w:firstLine="295"/>
              <w:jc w:val="both"/>
              <w:rPr>
                <w:rFonts w:ascii="Times New Roman" w:hAnsi="Times New Roman"/>
                <w:sz w:val="24"/>
                <w:szCs w:val="24"/>
              </w:rPr>
            </w:pPr>
          </w:p>
          <w:p w:rsidR="00C93FEF" w:rsidRDefault="00491F2D">
            <w:pPr>
              <w:pStyle w:val="tv213"/>
              <w:spacing w:before="0" w:beforeAutospacing="0" w:after="0" w:afterAutospacing="0"/>
              <w:ind w:firstLine="295"/>
              <w:jc w:val="both"/>
            </w:pPr>
            <w:r w:rsidRPr="005556C7">
              <w:t>Pašreiz spēkā esošie Ministru kabineta 2010.gada 23.marta noteikumi Nr. 289 „</w:t>
            </w:r>
            <w:r w:rsidRPr="005556C7">
              <w:rPr>
                <w:bCs/>
              </w:rPr>
              <w:t>Noteikumi par zāļu klīniskās izpētes un lietošanas novērojumu veikšanas kārtību, pētāmo zāļu marķēšanu un kārtību, kādā tiek vērtēta zāļu klīniskās izpētes atbilstība labas klīniskās prakses prasībām</w:t>
            </w:r>
            <w:r w:rsidRPr="005556C7">
              <w:t>” (turpmāk Noteikumi</w:t>
            </w:r>
            <w:r w:rsidR="005556C7" w:rsidRPr="005556C7">
              <w:t xml:space="preserve"> Nr.289</w:t>
            </w:r>
            <w:r w:rsidRPr="005556C7">
              <w:t xml:space="preserve">) nosaka </w:t>
            </w:r>
            <w:r w:rsidR="005556C7" w:rsidRPr="005556C7">
              <w:t>A</w:t>
            </w:r>
            <w:r w:rsidRPr="005556C7">
              <w:t xml:space="preserve">ģentūrai un ētikas komitejai  deleģētās funkcijas saistībā ar zāļu klīnisko pētījumu atļaušanu un norises uzraudzību Latvijā. Noteikumi nosaka pētījuma sponsora un pētnieka atbildību, pētāmo zāļu ražošanas, ievešanas un marķēšanas prasības, kā arī kārtību, kādā tiek uzraudzīta un vērtēta klīniskās izpētes atbilstība labas klīniskās prakses prasībām. </w:t>
            </w:r>
          </w:p>
          <w:p w:rsidR="00C93FEF" w:rsidRDefault="00491F2D">
            <w:pPr>
              <w:spacing w:after="0" w:line="240" w:lineRule="auto"/>
              <w:ind w:firstLine="295"/>
              <w:jc w:val="both"/>
              <w:rPr>
                <w:rFonts w:ascii="Times New Roman" w:hAnsi="Times New Roman"/>
                <w:sz w:val="24"/>
                <w:szCs w:val="24"/>
                <w:lang w:val="en-US" w:eastAsia="lv-LV"/>
              </w:rPr>
            </w:pPr>
            <w:r w:rsidRPr="0033110D">
              <w:rPr>
                <w:rFonts w:ascii="Times New Roman" w:hAnsi="Times New Roman"/>
                <w:sz w:val="24"/>
                <w:szCs w:val="24"/>
              </w:rPr>
              <w:t xml:space="preserve">Noteikumos iekļautas tiesību normas, kas izriet no </w:t>
            </w:r>
            <w:r w:rsidRPr="0033110D">
              <w:rPr>
                <w:rFonts w:ascii="Times New Roman" w:hAnsi="Times New Roman"/>
                <w:sz w:val="24"/>
                <w:szCs w:val="24"/>
                <w:lang w:eastAsia="lv-LV"/>
              </w:rPr>
              <w:t xml:space="preserve"> Eiropas Parlamenta un Padomes 2001.gada 4.aprīļa </w:t>
            </w:r>
            <w:r w:rsidRPr="0033110D">
              <w:rPr>
                <w:rFonts w:ascii="Times New Roman" w:hAnsi="Times New Roman"/>
                <w:sz w:val="24"/>
                <w:szCs w:val="24"/>
                <w:lang w:eastAsia="lv-LV"/>
              </w:rPr>
              <w:lastRenderedPageBreak/>
              <w:t>Direktīvas 2001/20/EK par dalībvalstu normatīvo un administratīvo aktu tuvināšanu attiecībā uz labas klīniskās prakses ieviešanu klīniskās izpētes veikšanā ar cilvēkiem paredzētām zālēm, kā arī  Komisijas 2005.gada 8.aprīļa Direktīvas 2005/28/EK, ar ko nosaka labas klīniskās prakses principus un sīki izstrādātas pamatnostādnes attiecībā uz pētāmām cilvēkiem paredzētām zālēm, kā arī prasības attiecībā uz šādu zāļu ražošanas atļauju vai importēšanu.</w:t>
            </w:r>
            <w:r w:rsidRPr="0033110D">
              <w:rPr>
                <w:rFonts w:ascii="Times New Roman" w:hAnsi="Times New Roman"/>
                <w:sz w:val="24"/>
                <w:szCs w:val="24"/>
              </w:rPr>
              <w:t xml:space="preserve"> Eiropas </w:t>
            </w:r>
            <w:r w:rsidRPr="0033110D">
              <w:rPr>
                <w:rFonts w:ascii="Times New Roman" w:hAnsi="Times New Roman"/>
                <w:sz w:val="24"/>
                <w:szCs w:val="24"/>
                <w:lang w:eastAsia="lv-LV"/>
              </w:rPr>
              <w:t>Direktīvu implementēšana nacionālajā likumdošanā ir uzlabojusi klīnisko pētījumu vidi Latvijā - klīnisko pētījumu drošību, ētisko pamatotību un iegūto datu ticamību.</w:t>
            </w:r>
          </w:p>
          <w:p w:rsidR="00C93FEF" w:rsidRDefault="00491F2D">
            <w:pPr>
              <w:spacing w:after="0" w:line="240" w:lineRule="auto"/>
              <w:ind w:firstLine="295"/>
              <w:jc w:val="both"/>
              <w:rPr>
                <w:rFonts w:ascii="Times New Roman" w:hAnsi="Times New Roman"/>
                <w:sz w:val="24"/>
                <w:szCs w:val="24"/>
                <w:lang w:val="en-US" w:eastAsia="lv-LV"/>
              </w:rPr>
            </w:pPr>
            <w:r w:rsidRPr="0033110D">
              <w:rPr>
                <w:rFonts w:ascii="Times New Roman" w:hAnsi="Times New Roman"/>
                <w:sz w:val="24"/>
                <w:szCs w:val="24"/>
              </w:rPr>
              <w:t xml:space="preserve">Zāļu klīniskā izpēte, iesaistot tajā cilvēkus kā pētījuma objektus, nevar notikt, ja nav saņemta </w:t>
            </w:r>
            <w:r w:rsidR="005556C7" w:rsidRPr="0033110D">
              <w:rPr>
                <w:rFonts w:ascii="Times New Roman" w:hAnsi="Times New Roman"/>
                <w:sz w:val="24"/>
                <w:szCs w:val="24"/>
              </w:rPr>
              <w:t>A</w:t>
            </w:r>
            <w:r w:rsidRPr="0033110D">
              <w:rPr>
                <w:rFonts w:ascii="Times New Roman" w:hAnsi="Times New Roman"/>
                <w:sz w:val="24"/>
                <w:szCs w:val="24"/>
              </w:rPr>
              <w:t xml:space="preserve">ģentūras atļauja un ētikas komitejas pozitīvs atzinums. </w:t>
            </w:r>
          </w:p>
          <w:p w:rsidR="00C93FEF" w:rsidRDefault="00491F2D">
            <w:pPr>
              <w:spacing w:after="0" w:line="240" w:lineRule="auto"/>
              <w:ind w:firstLine="295"/>
              <w:jc w:val="both"/>
              <w:rPr>
                <w:rFonts w:ascii="Times New Roman" w:hAnsi="Times New Roman"/>
                <w:sz w:val="24"/>
                <w:szCs w:val="24"/>
                <w:lang w:val="en-US"/>
              </w:rPr>
            </w:pPr>
            <w:r w:rsidRPr="0033110D">
              <w:rPr>
                <w:rFonts w:ascii="Times New Roman" w:hAnsi="Times New Roman"/>
                <w:sz w:val="24"/>
                <w:szCs w:val="24"/>
              </w:rPr>
              <w:t xml:space="preserve">Kopš Latvijas iestāšanās Eiropas Savienībā (2004.gada 1.maijs) </w:t>
            </w:r>
            <w:r w:rsidR="00CB26B8" w:rsidRPr="0033110D">
              <w:rPr>
                <w:rFonts w:ascii="Times New Roman" w:hAnsi="Times New Roman"/>
                <w:sz w:val="24"/>
                <w:szCs w:val="24"/>
              </w:rPr>
              <w:t>A</w:t>
            </w:r>
            <w:r w:rsidRPr="0033110D">
              <w:rPr>
                <w:rFonts w:ascii="Times New Roman" w:hAnsi="Times New Roman"/>
                <w:sz w:val="24"/>
                <w:szCs w:val="24"/>
              </w:rPr>
              <w:t xml:space="preserve">ģentūra izsniegusi atļaujas  vairāk nekā 600 zāļu pētījumiem,  sasniedzot maksimālo skaitu 2006.-2008.gadā (vidēji 88 pētījumi gadā). Pēdējos 3 gados atļauto pētījumu skaits ir  samazinājies apmēram par 20% (vidēji 69 projekti gadā). Šie samazinājuma rādītāji korelē ar kopējām tendencēm Eiropā. Latvijas pētījumu centri piedalās galvenokārt ārzemju farmaceitisko kompāniju iniciētos (komerciālos) </w:t>
            </w:r>
            <w:proofErr w:type="spellStart"/>
            <w:r w:rsidRPr="0033110D">
              <w:rPr>
                <w:rFonts w:ascii="Times New Roman" w:hAnsi="Times New Roman"/>
                <w:sz w:val="24"/>
                <w:szCs w:val="24"/>
              </w:rPr>
              <w:t>multinacionālos</w:t>
            </w:r>
            <w:proofErr w:type="spellEnd"/>
            <w:r w:rsidRPr="0033110D">
              <w:rPr>
                <w:rFonts w:ascii="Times New Roman" w:hAnsi="Times New Roman"/>
                <w:sz w:val="24"/>
                <w:szCs w:val="24"/>
              </w:rPr>
              <w:t xml:space="preserve">, </w:t>
            </w:r>
            <w:proofErr w:type="spellStart"/>
            <w:r w:rsidRPr="0033110D">
              <w:rPr>
                <w:rFonts w:ascii="Times New Roman" w:hAnsi="Times New Roman"/>
                <w:sz w:val="24"/>
                <w:szCs w:val="24"/>
              </w:rPr>
              <w:t>multicentru</w:t>
            </w:r>
            <w:proofErr w:type="spellEnd"/>
            <w:r w:rsidRPr="0033110D">
              <w:rPr>
                <w:rFonts w:ascii="Times New Roman" w:hAnsi="Times New Roman"/>
                <w:sz w:val="24"/>
                <w:szCs w:val="24"/>
              </w:rPr>
              <w:t xml:space="preserve"> zāļu klīniskajos pētījumos (</w:t>
            </w:r>
            <w:proofErr w:type="spellStart"/>
            <w:r w:rsidRPr="0033110D">
              <w:rPr>
                <w:rFonts w:ascii="Times New Roman" w:hAnsi="Times New Roman"/>
                <w:sz w:val="24"/>
                <w:szCs w:val="24"/>
              </w:rPr>
              <w:t>multinacionālie</w:t>
            </w:r>
            <w:proofErr w:type="spellEnd"/>
            <w:r w:rsidRPr="0033110D">
              <w:rPr>
                <w:rFonts w:ascii="Times New Roman" w:hAnsi="Times New Roman"/>
                <w:sz w:val="24"/>
                <w:szCs w:val="24"/>
              </w:rPr>
              <w:t xml:space="preserve"> pētījumi sastāda ap 30% no visiem Eiropā notiekošajiem pētījumiem). Latvijā praktiski nenotiek nekomerciālie jeb akadēmiskie zāļu pētījumi (savukārt ES šie pētījumi sastāda 40% no visiem veiktajiem pētījumiem).</w:t>
            </w:r>
          </w:p>
          <w:p w:rsidR="00C93FEF" w:rsidRDefault="00491F2D">
            <w:pPr>
              <w:spacing w:after="0" w:line="240" w:lineRule="auto"/>
              <w:ind w:firstLine="295"/>
              <w:jc w:val="both"/>
              <w:rPr>
                <w:rFonts w:ascii="Times New Roman" w:hAnsi="Times New Roman"/>
                <w:sz w:val="24"/>
                <w:szCs w:val="24"/>
                <w:lang w:val="en-US"/>
              </w:rPr>
            </w:pPr>
            <w:r w:rsidRPr="0033110D">
              <w:rPr>
                <w:rFonts w:ascii="Times New Roman" w:hAnsi="Times New Roman"/>
                <w:sz w:val="24"/>
                <w:szCs w:val="24"/>
              </w:rPr>
              <w:t xml:space="preserve">Latvijā pašlaik notiek ap 240 zāļu klīniskajiem pētījumiem, aptverot visas izpētes fāzes - I, II, III, IV, un daudzas medicīnas nozares - onkoloģiju, neiroloģiju, </w:t>
            </w:r>
            <w:proofErr w:type="spellStart"/>
            <w:r w:rsidRPr="0033110D">
              <w:rPr>
                <w:rFonts w:ascii="Times New Roman" w:hAnsi="Times New Roman"/>
                <w:sz w:val="24"/>
                <w:szCs w:val="24"/>
              </w:rPr>
              <w:t>pulmonoloģiju</w:t>
            </w:r>
            <w:proofErr w:type="spellEnd"/>
            <w:r w:rsidRPr="0033110D">
              <w:rPr>
                <w:rFonts w:ascii="Times New Roman" w:hAnsi="Times New Roman"/>
                <w:sz w:val="24"/>
                <w:szCs w:val="24"/>
              </w:rPr>
              <w:t xml:space="preserve">, dermatoloģiju, endokrinoloģiju, psihiatriju, </w:t>
            </w:r>
            <w:proofErr w:type="spellStart"/>
            <w:r w:rsidRPr="0033110D">
              <w:rPr>
                <w:rFonts w:ascii="Times New Roman" w:hAnsi="Times New Roman"/>
                <w:sz w:val="24"/>
                <w:szCs w:val="24"/>
              </w:rPr>
              <w:t>reimatoloģiju</w:t>
            </w:r>
            <w:proofErr w:type="spellEnd"/>
            <w:r w:rsidRPr="0033110D">
              <w:rPr>
                <w:rFonts w:ascii="Times New Roman" w:hAnsi="Times New Roman"/>
                <w:sz w:val="24"/>
                <w:szCs w:val="24"/>
              </w:rPr>
              <w:t xml:space="preserve">, kardioloģiju u.c. </w:t>
            </w:r>
          </w:p>
          <w:p w:rsidR="00C93FEF" w:rsidRDefault="00491F2D">
            <w:pPr>
              <w:pStyle w:val="NormalWeb"/>
              <w:spacing w:before="0" w:beforeAutospacing="0" w:after="0" w:afterAutospacing="0"/>
              <w:ind w:firstLine="295"/>
              <w:jc w:val="both"/>
              <w:rPr>
                <w:lang w:val="lv-LV"/>
              </w:rPr>
            </w:pPr>
            <w:r w:rsidRPr="005556C7">
              <w:rPr>
                <w:lang w:val="lv-LV"/>
              </w:rPr>
              <w:t xml:space="preserve">Lai nodrošinātu </w:t>
            </w:r>
            <w:proofErr w:type="spellStart"/>
            <w:r w:rsidRPr="005556C7">
              <w:rPr>
                <w:lang w:val="lv-LV"/>
              </w:rPr>
              <w:t>multinacionālo</w:t>
            </w:r>
            <w:proofErr w:type="spellEnd"/>
            <w:r w:rsidRPr="005556C7">
              <w:rPr>
                <w:lang w:val="lv-LV"/>
              </w:rPr>
              <w:t xml:space="preserve"> pētījumu pieteikumu koordinētu un racionālu izvērtēšanu, </w:t>
            </w:r>
            <w:r w:rsidRPr="005556C7">
              <w:rPr>
                <w:lang w:val="lv-LV" w:eastAsia="lv-LV"/>
              </w:rPr>
              <w:t xml:space="preserve">Direktīvas 2001/20/EK implementācijas kontekstā, ES </w:t>
            </w:r>
            <w:r w:rsidRPr="005556C7">
              <w:rPr>
                <w:lang w:val="lv-LV"/>
              </w:rPr>
              <w:t xml:space="preserve">kopš 2009.gada ir ieviesta brīvprātīga harmonizācijas procedūra, kurā piedalās nacionālās kompetentās iestādes </w:t>
            </w:r>
            <w:r w:rsidRPr="005556C7">
              <w:rPr>
                <w:i/>
                <w:lang w:val="lv-LV"/>
              </w:rPr>
              <w:t>(</w:t>
            </w:r>
            <w:proofErr w:type="spellStart"/>
            <w:r w:rsidRPr="005556C7">
              <w:rPr>
                <w:i/>
                <w:lang w:val="lv-LV"/>
              </w:rPr>
              <w:t>Guidance</w:t>
            </w:r>
            <w:proofErr w:type="spellEnd"/>
            <w:r w:rsidRPr="005556C7">
              <w:rPr>
                <w:i/>
                <w:lang w:val="lv-LV"/>
              </w:rPr>
              <w:t xml:space="preserve"> </w:t>
            </w:r>
            <w:proofErr w:type="spellStart"/>
            <w:r w:rsidRPr="005556C7">
              <w:rPr>
                <w:i/>
                <w:lang w:val="lv-LV"/>
              </w:rPr>
              <w:t>document</w:t>
            </w:r>
            <w:proofErr w:type="spellEnd"/>
            <w:r w:rsidRPr="005556C7">
              <w:rPr>
                <w:i/>
                <w:lang w:val="lv-LV"/>
              </w:rPr>
              <w:t xml:space="preserve"> </w:t>
            </w:r>
            <w:proofErr w:type="spellStart"/>
            <w:r w:rsidRPr="005556C7">
              <w:rPr>
                <w:i/>
                <w:lang w:val="lv-LV"/>
              </w:rPr>
              <w:t>for</w:t>
            </w:r>
            <w:proofErr w:type="spellEnd"/>
            <w:r w:rsidRPr="005556C7">
              <w:rPr>
                <w:i/>
                <w:lang w:val="lv-LV"/>
              </w:rPr>
              <w:t xml:space="preserve"> </w:t>
            </w:r>
            <w:proofErr w:type="spellStart"/>
            <w:r w:rsidRPr="005556C7">
              <w:rPr>
                <w:i/>
                <w:lang w:val="lv-LV"/>
              </w:rPr>
              <w:t>voluntary</w:t>
            </w:r>
            <w:proofErr w:type="spellEnd"/>
            <w:r w:rsidRPr="005556C7">
              <w:rPr>
                <w:i/>
                <w:lang w:val="lv-LV"/>
              </w:rPr>
              <w:t xml:space="preserve"> </w:t>
            </w:r>
            <w:proofErr w:type="spellStart"/>
            <w:r w:rsidRPr="005556C7">
              <w:rPr>
                <w:i/>
                <w:lang w:val="lv-LV"/>
              </w:rPr>
              <w:t>harmonisation</w:t>
            </w:r>
            <w:proofErr w:type="spellEnd"/>
            <w:r w:rsidRPr="005556C7">
              <w:rPr>
                <w:i/>
                <w:lang w:val="lv-LV"/>
              </w:rPr>
              <w:t xml:space="preserve"> </w:t>
            </w:r>
            <w:proofErr w:type="spellStart"/>
            <w:r w:rsidRPr="005556C7">
              <w:rPr>
                <w:i/>
                <w:lang w:val="lv-LV"/>
              </w:rPr>
              <w:t>procedure</w:t>
            </w:r>
            <w:proofErr w:type="spellEnd"/>
            <w:r w:rsidRPr="005556C7">
              <w:rPr>
                <w:i/>
                <w:lang w:val="lv-LV"/>
              </w:rPr>
              <w:t xml:space="preserve"> (VHP) </w:t>
            </w:r>
            <w:proofErr w:type="spellStart"/>
            <w:r w:rsidRPr="005556C7">
              <w:rPr>
                <w:i/>
                <w:lang w:val="lv-LV"/>
              </w:rPr>
              <w:t>for</w:t>
            </w:r>
            <w:proofErr w:type="spellEnd"/>
            <w:r w:rsidRPr="005556C7">
              <w:rPr>
                <w:i/>
                <w:lang w:val="lv-LV"/>
              </w:rPr>
              <w:t xml:space="preserve"> </w:t>
            </w:r>
            <w:proofErr w:type="spellStart"/>
            <w:r w:rsidRPr="005556C7">
              <w:rPr>
                <w:i/>
                <w:lang w:val="lv-LV"/>
              </w:rPr>
              <w:t>the</w:t>
            </w:r>
            <w:proofErr w:type="spellEnd"/>
            <w:r w:rsidRPr="005556C7">
              <w:rPr>
                <w:i/>
                <w:lang w:val="lv-LV"/>
              </w:rPr>
              <w:t xml:space="preserve"> </w:t>
            </w:r>
            <w:proofErr w:type="spellStart"/>
            <w:r w:rsidRPr="005556C7">
              <w:rPr>
                <w:i/>
                <w:lang w:val="lv-LV"/>
              </w:rPr>
              <w:t>assessment</w:t>
            </w:r>
            <w:proofErr w:type="spellEnd"/>
            <w:r w:rsidRPr="005556C7">
              <w:rPr>
                <w:i/>
                <w:lang w:val="lv-LV"/>
              </w:rPr>
              <w:t xml:space="preserve"> </w:t>
            </w:r>
            <w:proofErr w:type="spellStart"/>
            <w:r w:rsidRPr="005556C7">
              <w:rPr>
                <w:i/>
                <w:lang w:val="lv-LV"/>
              </w:rPr>
              <w:t>of</w:t>
            </w:r>
            <w:proofErr w:type="spellEnd"/>
            <w:r w:rsidRPr="005556C7">
              <w:rPr>
                <w:i/>
                <w:lang w:val="lv-LV"/>
              </w:rPr>
              <w:t xml:space="preserve"> </w:t>
            </w:r>
            <w:proofErr w:type="spellStart"/>
            <w:r w:rsidRPr="005556C7">
              <w:rPr>
                <w:i/>
                <w:lang w:val="lv-LV"/>
              </w:rPr>
              <w:t>multinational</w:t>
            </w:r>
            <w:proofErr w:type="spellEnd"/>
            <w:r w:rsidRPr="005556C7">
              <w:rPr>
                <w:i/>
                <w:lang w:val="lv-LV"/>
              </w:rPr>
              <w:t xml:space="preserve"> </w:t>
            </w:r>
            <w:proofErr w:type="spellStart"/>
            <w:r w:rsidRPr="005556C7">
              <w:rPr>
                <w:i/>
                <w:lang w:val="lv-LV"/>
              </w:rPr>
              <w:t>clinical</w:t>
            </w:r>
            <w:proofErr w:type="spellEnd"/>
            <w:r w:rsidRPr="005556C7">
              <w:rPr>
                <w:i/>
                <w:lang w:val="lv-LV"/>
              </w:rPr>
              <w:t xml:space="preserve"> </w:t>
            </w:r>
            <w:proofErr w:type="spellStart"/>
            <w:r w:rsidRPr="005556C7">
              <w:rPr>
                <w:i/>
                <w:lang w:val="lv-LV"/>
              </w:rPr>
              <w:t>trial</w:t>
            </w:r>
            <w:proofErr w:type="spellEnd"/>
            <w:r w:rsidRPr="005556C7">
              <w:rPr>
                <w:i/>
                <w:lang w:val="lv-LV"/>
              </w:rPr>
              <w:t xml:space="preserve"> </w:t>
            </w:r>
            <w:proofErr w:type="spellStart"/>
            <w:r w:rsidRPr="005556C7">
              <w:rPr>
                <w:i/>
                <w:lang w:val="lv-LV"/>
              </w:rPr>
              <w:t>applications</w:t>
            </w:r>
            <w:proofErr w:type="spellEnd"/>
            <w:r w:rsidRPr="005556C7">
              <w:rPr>
                <w:i/>
                <w:lang w:val="lv-LV"/>
              </w:rPr>
              <w:t xml:space="preserve">, </w:t>
            </w:r>
            <w:proofErr w:type="spellStart"/>
            <w:r w:rsidRPr="005556C7">
              <w:rPr>
                <w:i/>
                <w:lang w:val="lv-LV"/>
              </w:rPr>
              <w:t>version</w:t>
            </w:r>
            <w:proofErr w:type="spellEnd"/>
            <w:r w:rsidRPr="005556C7">
              <w:rPr>
                <w:i/>
                <w:lang w:val="lv-LV"/>
              </w:rPr>
              <w:t xml:space="preserve"> 3, </w:t>
            </w:r>
            <w:proofErr w:type="spellStart"/>
            <w:r w:rsidRPr="005556C7">
              <w:rPr>
                <w:i/>
                <w:lang w:val="lv-LV"/>
              </w:rPr>
              <w:t>April</w:t>
            </w:r>
            <w:proofErr w:type="spellEnd"/>
            <w:r w:rsidRPr="005556C7">
              <w:rPr>
                <w:i/>
                <w:lang w:val="lv-LV"/>
              </w:rPr>
              <w:t xml:space="preserve"> 2013), skat. </w:t>
            </w:r>
            <w:r w:rsidRPr="005556C7">
              <w:rPr>
                <w:lang w:val="lv-LV"/>
              </w:rPr>
              <w:t xml:space="preserve"> </w:t>
            </w:r>
            <w:hyperlink r:id="rId20" w:history="1">
              <w:r w:rsidRPr="005556C7">
                <w:rPr>
                  <w:rStyle w:val="Hyperlink"/>
                  <w:color w:val="auto"/>
                  <w:lang w:val="lv-LV"/>
                </w:rPr>
                <w:t>http://www.hma.eu/77.html</w:t>
              </w:r>
            </w:hyperlink>
            <w:r w:rsidRPr="005556C7">
              <w:rPr>
                <w:u w:val="single"/>
                <w:lang w:val="lv-LV"/>
              </w:rPr>
              <w:t>.</w:t>
            </w:r>
            <w:r w:rsidRPr="005556C7">
              <w:rPr>
                <w:lang w:val="lv-LV"/>
              </w:rPr>
              <w:t xml:space="preserve">  </w:t>
            </w:r>
            <w:r w:rsidR="005556C7" w:rsidRPr="005556C7">
              <w:rPr>
                <w:lang w:val="lv-LV"/>
              </w:rPr>
              <w:t>A</w:t>
            </w:r>
            <w:r w:rsidRPr="005556C7">
              <w:rPr>
                <w:lang w:val="lv-LV"/>
              </w:rPr>
              <w:t xml:space="preserve">ģentūra līdz šim iesaistījusies 30 harmonizācijas procedūrās (22 pētījumu un 8 grozījumu pieteikumi), saskaņojot viedokļus ar citu ES valstu ekspertiem pētāmo zāļu kvalitātes, </w:t>
            </w:r>
            <w:proofErr w:type="spellStart"/>
            <w:r w:rsidRPr="005556C7">
              <w:rPr>
                <w:lang w:val="lv-LV"/>
              </w:rPr>
              <w:t>pirmsklīniskās</w:t>
            </w:r>
            <w:proofErr w:type="spellEnd"/>
            <w:r w:rsidRPr="005556C7">
              <w:rPr>
                <w:lang w:val="lv-LV"/>
              </w:rPr>
              <w:t xml:space="preserve"> un klīniskās izpētes jomā un nodrošinot kvalitatīvu pētījumu pieteikumu vērtējumu. Šo harmonizācijas procedūras pieredzi </w:t>
            </w:r>
            <w:r w:rsidRPr="005556C7">
              <w:rPr>
                <w:lang w:val="lv-LV"/>
              </w:rPr>
              <w:lastRenderedPageBreak/>
              <w:t xml:space="preserve">var uzskatīt kā ievadu tuvākajā nākotnē ieviešamajām </w:t>
            </w:r>
            <w:proofErr w:type="spellStart"/>
            <w:r w:rsidRPr="005556C7">
              <w:rPr>
                <w:lang w:val="lv-LV"/>
              </w:rPr>
              <w:t>multinacionālo</w:t>
            </w:r>
            <w:proofErr w:type="spellEnd"/>
            <w:r w:rsidRPr="005556C7">
              <w:rPr>
                <w:lang w:val="lv-LV"/>
              </w:rPr>
              <w:t xml:space="preserve"> zāļu klīnisko pētījumu vērtēšanas pamatnostādnēm Eiropā (Eiropas Parlamenta un Padomes Regula par cilvēkiem paredzētu zāļu klīniskajiem pētījumiem un par </w:t>
            </w:r>
            <w:r w:rsidRPr="005556C7">
              <w:rPr>
                <w:lang w:val="lv-LV" w:eastAsia="lv-LV"/>
              </w:rPr>
              <w:t>Direktīvas 2001/20/EK atcelšanu</w:t>
            </w:r>
            <w:r w:rsidRPr="005556C7">
              <w:rPr>
                <w:lang w:val="lv-LV"/>
              </w:rPr>
              <w:t xml:space="preserve">). Lai nodrošinātu </w:t>
            </w:r>
            <w:proofErr w:type="spellStart"/>
            <w:r w:rsidRPr="005556C7">
              <w:rPr>
                <w:lang w:val="lv-LV"/>
              </w:rPr>
              <w:t>multinacionālo</w:t>
            </w:r>
            <w:proofErr w:type="spellEnd"/>
            <w:r w:rsidRPr="005556C7">
              <w:rPr>
                <w:lang w:val="lv-LV"/>
              </w:rPr>
              <w:t xml:space="preserve"> pētījumu pieteikumu zinātnisku un koordinātu izvērtēšanu arī tajos gadījumos, kad pēc procedūras noslēguma nav iesniegts zāļu klīniskās izpētes iesniegums Latvijā, ir nepieciešams paredzēt cenrāža pozīciju attiecībā u</w:t>
            </w:r>
            <w:r w:rsidR="005556C7" w:rsidRPr="005556C7">
              <w:rPr>
                <w:lang w:val="lv-LV"/>
              </w:rPr>
              <w:t>z zinātniska atzinuma sniegšanu, līdz ar to Noteikumu Nr.873 Pielikums papildināts ar 78.punktu.</w:t>
            </w:r>
          </w:p>
          <w:p w:rsidR="00C93FEF" w:rsidRDefault="00C93FEF">
            <w:pPr>
              <w:spacing w:after="0" w:line="240" w:lineRule="auto"/>
              <w:ind w:firstLine="295"/>
              <w:jc w:val="both"/>
              <w:rPr>
                <w:rFonts w:ascii="Times New Roman" w:hAnsi="Times New Roman"/>
                <w:sz w:val="24"/>
                <w:szCs w:val="24"/>
              </w:rPr>
            </w:pPr>
          </w:p>
          <w:p w:rsidR="00C93FEF" w:rsidRDefault="00491F2D">
            <w:pPr>
              <w:pStyle w:val="tv213"/>
              <w:spacing w:before="0" w:beforeAutospacing="0" w:after="0" w:afterAutospacing="0"/>
              <w:ind w:firstLine="295"/>
              <w:jc w:val="both"/>
            </w:pPr>
            <w:r w:rsidRPr="005556C7">
              <w:t>Noteikumu Nr. 537 4.</w:t>
            </w:r>
            <w:r w:rsidR="0081227C">
              <w:t>14.6.</w:t>
            </w:r>
            <w:r w:rsidR="00A60F5B">
              <w:t>apakš</w:t>
            </w:r>
            <w:r w:rsidRPr="005556C7">
              <w:t xml:space="preserve">punkts nosaka, ka Aģentūra savas kompetences ietvaros veic uzdevumus atbilstoši prasībām, kas noteiktas Eiropas Komisijas 2012.gada 19.jūnija Īstenošanas regulā (ES) Nr. </w:t>
            </w:r>
            <w:hyperlink r:id="rId21" w:tgtFrame="_blank" w:history="1">
              <w:r w:rsidRPr="005556C7">
                <w:rPr>
                  <w:rStyle w:val="Hyperlink"/>
                  <w:color w:val="auto"/>
                </w:rPr>
                <w:t>520/2012</w:t>
              </w:r>
            </w:hyperlink>
            <w:r w:rsidRPr="005556C7">
              <w:t xml:space="preserve"> par Eiropas Parlamenta un Padomes Regulā (EK) Nr. </w:t>
            </w:r>
            <w:hyperlink r:id="rId22" w:tgtFrame="_blank" w:history="1">
              <w:r w:rsidRPr="005556C7">
                <w:rPr>
                  <w:rStyle w:val="Hyperlink"/>
                  <w:color w:val="auto"/>
                </w:rPr>
                <w:t>726/2004</w:t>
              </w:r>
            </w:hyperlink>
            <w:r w:rsidRPr="005556C7">
              <w:t xml:space="preserve"> un Eiropas Parlamenta un Padomes Direktīvā </w:t>
            </w:r>
            <w:hyperlink r:id="rId23" w:tgtFrame="_blank" w:history="1">
              <w:r w:rsidRPr="005556C7">
                <w:rPr>
                  <w:rStyle w:val="Hyperlink"/>
                  <w:color w:val="auto"/>
                </w:rPr>
                <w:t>2001/83/EK</w:t>
              </w:r>
            </w:hyperlink>
            <w:r w:rsidRPr="005556C7">
              <w:t xml:space="preserve"> noteikto farmakovigilances darbību izpildi. Saskaņā ar </w:t>
            </w:r>
            <w:r w:rsidR="005556C7">
              <w:t>2013.gada 22.janvāra Ministru kabineta n</w:t>
            </w:r>
            <w:r w:rsidRPr="005556C7">
              <w:t xml:space="preserve">oteikumu Nr. 47 „Farmakovigilances kārtība” </w:t>
            </w:r>
            <w:r w:rsidR="005556C7">
              <w:t>(turpmāk – Noteikumi Nr.47)</w:t>
            </w:r>
            <w:r w:rsidRPr="005556C7">
              <w:t xml:space="preserve"> 47. punktu Aģentūra 60 dienu laikā pēc </w:t>
            </w:r>
            <w:proofErr w:type="spellStart"/>
            <w:r w:rsidR="0081227C">
              <w:t>pēcreģistrācijas</w:t>
            </w:r>
            <w:proofErr w:type="spellEnd"/>
            <w:r w:rsidR="0081227C">
              <w:t xml:space="preserve"> pētījuma </w:t>
            </w:r>
            <w:r w:rsidRPr="005556C7">
              <w:t xml:space="preserve">protokola projekta saņemšanas sagatavo zāļu reģistrācijas īpašniekam atzinumu par protokola projekta apstiprināšanu vai atzinumu ar pamatotiem iebildumiem. Savukārt Noteikumu Nr. 47 48.un 49.punkts nosaka, ka </w:t>
            </w:r>
            <w:proofErr w:type="spellStart"/>
            <w:r w:rsidRPr="005556C7">
              <w:t>pēcreģistrācijas</w:t>
            </w:r>
            <w:proofErr w:type="spellEnd"/>
            <w:r w:rsidRPr="005556C7">
              <w:t xml:space="preserve"> drošuma pētījuma norises laikā zāļu reģistrācijas īpašnieks jebkādus būtiskus protokola grozījumus pirms to īstenošanas iesniedz izvērtēšanai Zāļu valsts aģentūrā</w:t>
            </w:r>
            <w:bookmarkStart w:id="8" w:name="p49"/>
            <w:bookmarkStart w:id="9" w:name="p-460153"/>
            <w:bookmarkEnd w:id="8"/>
            <w:bookmarkEnd w:id="9"/>
            <w:r w:rsidRPr="005556C7">
              <w:t xml:space="preserve">, kur tā 30 dienu laikā izvērtē iesniegtos grozījumus un informē zāļu reģistrācijas īpašnieku par protokola apstiprinājumu vai iebildumiem. Lai šo pakalpojumu nodrošinātu, Noteikumu Nr. 873 </w:t>
            </w:r>
            <w:r w:rsidR="00EF00F4">
              <w:t>Pielikums papildināts ar 79. un 80.punktu.</w:t>
            </w:r>
          </w:p>
          <w:p w:rsidR="00C93FEF" w:rsidRDefault="00C93FEF">
            <w:pPr>
              <w:pStyle w:val="tv213"/>
              <w:spacing w:before="0" w:beforeAutospacing="0" w:after="0" w:afterAutospacing="0"/>
              <w:ind w:firstLine="295"/>
              <w:jc w:val="both"/>
            </w:pPr>
          </w:p>
          <w:p w:rsidR="00C93FEF" w:rsidRDefault="00491F2D">
            <w:pPr>
              <w:pStyle w:val="tv213"/>
              <w:spacing w:before="0" w:beforeAutospacing="0" w:after="0" w:afterAutospacing="0"/>
              <w:ind w:firstLine="295"/>
              <w:jc w:val="both"/>
            </w:pPr>
            <w:r w:rsidRPr="005556C7">
              <w:t xml:space="preserve">Saskaņā ar Noteikumu Nr. </w:t>
            </w:r>
            <w:r w:rsidR="004E2700">
              <w:t>537</w:t>
            </w:r>
            <w:r w:rsidRPr="005556C7">
              <w:t xml:space="preserve"> 4.</w:t>
            </w:r>
            <w:r w:rsidR="004E2700">
              <w:t>14.6.</w:t>
            </w:r>
            <w:r w:rsidRPr="005556C7">
              <w:t>punktu Aģentūra savas kompetences ietvaros veic paredzētos uzdevumus atbilstoši prasībām, ko nosaka Eiropas Komisijas 2012.gada 19.jūnija Īstenošanas regula (ES) Nr.</w:t>
            </w:r>
            <w:hyperlink r:id="rId24" w:tgtFrame="_blank" w:tooltip="REGULA" w:history="1">
              <w:r w:rsidRPr="005556C7">
                <w:rPr>
                  <w:rStyle w:val="Hyperlink"/>
                  <w:color w:val="auto"/>
                </w:rPr>
                <w:t>520/2012</w:t>
              </w:r>
            </w:hyperlink>
            <w:r w:rsidRPr="005556C7">
              <w:t xml:space="preserve"> par Eiropas Parlamenta un Padomes Regulā (EK) Nr.</w:t>
            </w:r>
            <w:hyperlink r:id="rId25" w:tgtFrame="_blank" w:tooltip="REGULA" w:history="1">
              <w:r w:rsidRPr="005556C7">
                <w:rPr>
                  <w:rStyle w:val="Hyperlink"/>
                  <w:color w:val="auto"/>
                </w:rPr>
                <w:t>726/2004</w:t>
              </w:r>
            </w:hyperlink>
            <w:r w:rsidRPr="005556C7">
              <w:t xml:space="preserve"> un Eiropas Parlamenta un Padomes Direktīvā </w:t>
            </w:r>
            <w:hyperlink r:id="rId26" w:tgtFrame="_blank" w:tooltip="DIREKTĪVA" w:history="1">
              <w:r w:rsidRPr="005556C7">
                <w:rPr>
                  <w:rStyle w:val="Hyperlink"/>
                  <w:color w:val="auto"/>
                </w:rPr>
                <w:t>2001/83/EK</w:t>
              </w:r>
            </w:hyperlink>
            <w:r w:rsidRPr="005556C7">
              <w:t xml:space="preserve"> noteikto farmakovigilances darbību izpildi. Regulas Nr.</w:t>
            </w:r>
            <w:hyperlink r:id="rId27" w:tgtFrame="_blank" w:tooltip="REGULA" w:history="1">
              <w:r w:rsidRPr="005556C7">
                <w:rPr>
                  <w:rStyle w:val="Hyperlink"/>
                  <w:color w:val="auto"/>
                </w:rPr>
                <w:t>520/2012</w:t>
              </w:r>
            </w:hyperlink>
            <w:r w:rsidRPr="005556C7">
              <w:t xml:space="preserve"> 5.un 10.apsvērums nosaka, ka kvalitātes sistēmām vajadzētu būt neatņemamai farmakovigilances sistēmas daļai. Ir jānodrošina, ka reģistrācijas apliecību īpašnieku, valstu kompetento iestāžu un Eiropas Zāļu aģentūras rīcībā ir </w:t>
            </w:r>
            <w:r w:rsidRPr="005556C7">
              <w:lastRenderedPageBreak/>
              <w:t xml:space="preserve">pietiekams kompetents, pienācīgi kvalificēts un apmācīts personāls. Tāpat reģistrācijas apliecību turētājiem, valstu kompetentajām iestādēm un Eiropas Zāļu aģentūrai </w:t>
            </w:r>
            <w:proofErr w:type="spellStart"/>
            <w:r w:rsidRPr="005556C7">
              <w:t>Eudravigilance</w:t>
            </w:r>
            <w:proofErr w:type="spellEnd"/>
            <w:r w:rsidRPr="005556C7">
              <w:t xml:space="preserve"> datubāzē iekļautie dati būtu nepārtraukti jāuzrauga, lai konstatētu, vai nav radušies jauni riski vai mainījušies esošie, kā arī to, vai šie riski neietekmē zāļu riska un ieguvumu samēru. Aģentūra, nodrošinot minētos uzdevumus, nepārtraukti pilnveido zāļu lietošanas drošuma uzraudzībai noteiktās prasības, kā arī veido un attīsta konkurētspējīgu ekspertu komandu minēto uzdevumu nodrošināšanā.</w:t>
            </w:r>
          </w:p>
          <w:p w:rsidR="00C93FEF" w:rsidRDefault="00491F2D">
            <w:pPr>
              <w:pStyle w:val="tv213"/>
              <w:spacing w:before="0" w:beforeAutospacing="0" w:after="0" w:afterAutospacing="0"/>
              <w:ind w:firstLine="295"/>
              <w:jc w:val="both"/>
            </w:pPr>
            <w:r w:rsidRPr="005556C7">
              <w:t xml:space="preserve">Kā paredz Noteikumu Nr. 873 3.punkts, pamatojoties uz zāļu reģistrācijas īpašnieka iesniegumu, Zāļu valsts aģentūra, ja ir ievēroti šajos noteiktumos uzskaitītie kritēriji, ir tiesīga pieņemt lēmumu par atbrīvošanu no zāļu </w:t>
            </w:r>
            <w:proofErr w:type="spellStart"/>
            <w:r w:rsidRPr="005556C7">
              <w:t>pēcreģistrācijas</w:t>
            </w:r>
            <w:proofErr w:type="spellEnd"/>
            <w:r w:rsidRPr="005556C7">
              <w:t xml:space="preserve"> uzturēšanas gada maksas. </w:t>
            </w:r>
          </w:p>
          <w:p w:rsidR="00C93FEF" w:rsidRDefault="00491F2D">
            <w:pPr>
              <w:pStyle w:val="tv213"/>
              <w:spacing w:before="0" w:beforeAutospacing="0" w:after="0" w:afterAutospacing="0"/>
              <w:ind w:firstLine="295"/>
              <w:jc w:val="both"/>
            </w:pPr>
            <w:r w:rsidRPr="005556C7">
              <w:t xml:space="preserve">2012.gada laikā 274 produktiem tika piemērots </w:t>
            </w:r>
            <w:proofErr w:type="spellStart"/>
            <w:r w:rsidRPr="005556C7">
              <w:t>pēcreģistrācijas</w:t>
            </w:r>
            <w:proofErr w:type="spellEnd"/>
            <w:r w:rsidRPr="005556C7">
              <w:t xml:space="preserve"> uzturēšanas gada maksas atbrīvojums, savukārt 2013.gada 1.pusgadā - 84 produktiem.</w:t>
            </w:r>
          </w:p>
          <w:p w:rsidR="00C93FEF" w:rsidRDefault="003646B8">
            <w:pPr>
              <w:pStyle w:val="tv213"/>
              <w:spacing w:before="0" w:beforeAutospacing="0" w:after="0" w:afterAutospacing="0"/>
              <w:ind w:firstLine="295"/>
              <w:jc w:val="both"/>
            </w:pPr>
            <w:r>
              <w:rPr>
                <w:u w:val="single"/>
              </w:rPr>
              <w:t xml:space="preserve">Izdevumi, kas līdz šim bija saistīti ar </w:t>
            </w:r>
            <w:proofErr w:type="spellStart"/>
            <w:r>
              <w:rPr>
                <w:u w:val="single"/>
              </w:rPr>
              <w:t>farmakovigilanci</w:t>
            </w:r>
            <w:proofErr w:type="spellEnd"/>
            <w:r>
              <w:rPr>
                <w:u w:val="single"/>
              </w:rPr>
              <w:t xml:space="preserve">, joprojām tiek segti ar </w:t>
            </w:r>
            <w:r w:rsidR="00491F2D" w:rsidRPr="005556C7">
              <w:rPr>
                <w:u w:val="single"/>
              </w:rPr>
              <w:t xml:space="preserve">zāļu </w:t>
            </w:r>
            <w:proofErr w:type="spellStart"/>
            <w:r w:rsidR="00491F2D" w:rsidRPr="005556C7">
              <w:rPr>
                <w:u w:val="single"/>
              </w:rPr>
              <w:t>pēcreģistrācijas</w:t>
            </w:r>
            <w:proofErr w:type="spellEnd"/>
            <w:r w:rsidR="00491F2D" w:rsidRPr="005556C7">
              <w:rPr>
                <w:u w:val="single"/>
              </w:rPr>
              <w:t xml:space="preserve"> uzturēšanas gada  maksu</w:t>
            </w:r>
            <w:r>
              <w:rPr>
                <w:u w:val="single"/>
              </w:rPr>
              <w:t>.</w:t>
            </w:r>
          </w:p>
          <w:p w:rsidR="00C93FEF" w:rsidRDefault="00491F2D">
            <w:pPr>
              <w:pStyle w:val="NoSpacing"/>
              <w:tabs>
                <w:tab w:val="left" w:pos="0"/>
              </w:tabs>
              <w:autoSpaceDE w:val="0"/>
              <w:autoSpaceDN w:val="0"/>
              <w:adjustRightInd w:val="0"/>
              <w:ind w:firstLine="295"/>
              <w:jc w:val="both"/>
              <w:rPr>
                <w:rFonts w:ascii="Times New Roman" w:hAnsi="Times New Roman"/>
                <w:sz w:val="24"/>
                <w:szCs w:val="24"/>
                <w:lang w:val="lv-LV"/>
              </w:rPr>
            </w:pPr>
            <w:r w:rsidRPr="005556C7">
              <w:rPr>
                <w:rFonts w:ascii="Times New Roman" w:hAnsi="Times New Roman"/>
                <w:sz w:val="24"/>
                <w:szCs w:val="24"/>
                <w:lang w:val="lv-LV"/>
              </w:rPr>
              <w:t xml:space="preserve">Lai stiprinātu zāļu lietošanas drošuma uzraudzības sistēmu ES dalībvalstu tirgū un pilnīgi nodrošinātu farmakovigilances prasības, kas noteiktas gan Komisijas Īstenošanas 2012.gada 19.jūnija regulā Nr. 520/2012 par Eiropas Parlamenta un Padomes Regulā (EK) Nr. 726/2004 un Eiropas Parlamenta un Padomes Direktīvā 2001/83/EK noteikto farmakovigilances darbību izpildi, kā arī ievērojot </w:t>
            </w:r>
            <w:r w:rsidR="00C101A2" w:rsidRPr="005556C7">
              <w:rPr>
                <w:rFonts w:ascii="Times New Roman" w:hAnsi="Times New Roman"/>
                <w:sz w:val="24"/>
                <w:szCs w:val="24"/>
                <w:lang w:val="lv-LV"/>
              </w:rPr>
              <w:t>Noteikum</w:t>
            </w:r>
            <w:r w:rsidR="00C101A2">
              <w:rPr>
                <w:rFonts w:ascii="Times New Roman" w:hAnsi="Times New Roman"/>
                <w:sz w:val="24"/>
                <w:szCs w:val="24"/>
                <w:lang w:val="lv-LV"/>
              </w:rPr>
              <w:t>os</w:t>
            </w:r>
            <w:r w:rsidR="00C101A2" w:rsidRPr="005556C7">
              <w:rPr>
                <w:rFonts w:ascii="Times New Roman" w:hAnsi="Times New Roman"/>
                <w:sz w:val="24"/>
                <w:szCs w:val="24"/>
                <w:lang w:val="lv-LV"/>
              </w:rPr>
              <w:t xml:space="preserve"> </w:t>
            </w:r>
            <w:r w:rsidRPr="005556C7">
              <w:rPr>
                <w:rFonts w:ascii="Times New Roman" w:hAnsi="Times New Roman"/>
                <w:sz w:val="24"/>
                <w:szCs w:val="24"/>
                <w:lang w:val="lv-LV"/>
              </w:rPr>
              <w:t>Nr. 47 noteikto, Aģentūrai ir  jāveic vairākas jaunas un esošās paplašinātas funkcijas farmakovigilances jomā:</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  - blakusparādību ziņošana un reģistrēšana. Funkcija tiek paplašināta, kas paredz</w:t>
            </w:r>
            <w:r w:rsidRPr="0033110D">
              <w:rPr>
                <w:rFonts w:ascii="Times New Roman" w:hAnsi="Times New Roman"/>
                <w:bCs/>
                <w:sz w:val="24"/>
                <w:szCs w:val="24"/>
              </w:rPr>
              <w:t xml:space="preserve"> pacientu iespēju ziņošanai par blakusparādībām, tādejādi ziņotāju par iespējamām blakusparādībām loks būtiski paplašinās, pacientu ziņojumu vērtēšanai izstrādājot un ieviešot adaptētu algoritmu.</w:t>
            </w:r>
            <w:r w:rsidRPr="0033110D">
              <w:rPr>
                <w:rFonts w:ascii="Times New Roman" w:hAnsi="Times New Roman"/>
                <w:sz w:val="24"/>
                <w:szCs w:val="24"/>
              </w:rPr>
              <w:t xml:space="preserve"> Bez tam ziņošanas kritēriji paplašināti ārstu un reģistrācijas īpašnieku ziņošanai, tādēļ paredzama lielāka datu apjoma saņemšana validēšanai un ziņošanai uz Eiropas Savienības (ES) zāļu blakusparādību datu bāzi </w:t>
            </w:r>
            <w:proofErr w:type="spellStart"/>
            <w:r w:rsidRPr="0033110D">
              <w:rPr>
                <w:rFonts w:ascii="Times New Roman" w:hAnsi="Times New Roman"/>
                <w:sz w:val="24"/>
                <w:szCs w:val="24"/>
              </w:rPr>
              <w:t>Eudra</w:t>
            </w:r>
            <w:r w:rsidR="004E2700" w:rsidRPr="0033110D">
              <w:rPr>
                <w:rFonts w:ascii="Times New Roman" w:hAnsi="Times New Roman"/>
                <w:sz w:val="24"/>
                <w:szCs w:val="24"/>
              </w:rPr>
              <w:t>v</w:t>
            </w:r>
            <w:r w:rsidRPr="0033110D">
              <w:rPr>
                <w:rFonts w:ascii="Times New Roman" w:hAnsi="Times New Roman"/>
                <w:sz w:val="24"/>
                <w:szCs w:val="24"/>
              </w:rPr>
              <w:t>igilance</w:t>
            </w:r>
            <w:proofErr w:type="spellEnd"/>
            <w:r w:rsidRPr="0033110D">
              <w:rPr>
                <w:rFonts w:ascii="Times New Roman" w:hAnsi="Times New Roman"/>
                <w:sz w:val="24"/>
                <w:szCs w:val="24"/>
              </w:rPr>
              <w:t>, ir paaugstinātas arī ziņojumu kvalitātes prasības, par kuru nodrošināšanu ir atbildīga dalībvalsts;</w:t>
            </w:r>
          </w:p>
          <w:p w:rsidR="00C93FEF" w:rsidRDefault="00491F2D">
            <w:pPr>
              <w:spacing w:after="0" w:line="240" w:lineRule="auto"/>
              <w:ind w:firstLine="295"/>
              <w:jc w:val="both"/>
              <w:rPr>
                <w:rFonts w:ascii="Times New Roman" w:hAnsi="Times New Roman"/>
                <w:bCs/>
                <w:sz w:val="24"/>
                <w:szCs w:val="24"/>
              </w:rPr>
            </w:pPr>
            <w:r w:rsidRPr="0033110D">
              <w:rPr>
                <w:rFonts w:ascii="Times New Roman" w:hAnsi="Times New Roman"/>
                <w:sz w:val="24"/>
                <w:szCs w:val="24"/>
              </w:rPr>
              <w:t xml:space="preserve"> - periodiski atjaunināmo drošuma ziņojumu vērtēšanai ir precizētas procedūras, kā arī ir ieviesta</w:t>
            </w:r>
            <w:r w:rsidRPr="0033110D">
              <w:rPr>
                <w:rFonts w:ascii="Times New Roman" w:hAnsi="Times New Roman"/>
                <w:b/>
                <w:bCs/>
                <w:sz w:val="24"/>
                <w:szCs w:val="24"/>
              </w:rPr>
              <w:t xml:space="preserve"> </w:t>
            </w:r>
            <w:r w:rsidRPr="0033110D">
              <w:rPr>
                <w:rFonts w:ascii="Times New Roman" w:hAnsi="Times New Roman"/>
                <w:bCs/>
                <w:sz w:val="24"/>
                <w:szCs w:val="24"/>
              </w:rPr>
              <w:t>jauna funkcija</w:t>
            </w:r>
            <w:r w:rsidRPr="0033110D">
              <w:rPr>
                <w:rFonts w:ascii="Times New Roman" w:hAnsi="Times New Roman"/>
                <w:b/>
                <w:bCs/>
                <w:sz w:val="24"/>
                <w:szCs w:val="24"/>
              </w:rPr>
              <w:t xml:space="preserve"> - </w:t>
            </w:r>
            <w:r w:rsidRPr="0033110D">
              <w:rPr>
                <w:rFonts w:ascii="Times New Roman" w:hAnsi="Times New Roman"/>
                <w:bCs/>
                <w:sz w:val="24"/>
                <w:szCs w:val="24"/>
              </w:rPr>
              <w:t xml:space="preserve">vienota periodiski atjaunināmā drošuma ziņojuma vērtēšana. </w:t>
            </w:r>
            <w:r w:rsidRPr="0033110D">
              <w:rPr>
                <w:rFonts w:ascii="Times New Roman" w:hAnsi="Times New Roman"/>
                <w:bCs/>
                <w:sz w:val="24"/>
                <w:szCs w:val="24"/>
              </w:rPr>
              <w:lastRenderedPageBreak/>
              <w:t>Tāpat būs jāveic</w:t>
            </w:r>
            <w:r w:rsidRPr="0033110D">
              <w:rPr>
                <w:rFonts w:ascii="Times New Roman" w:hAnsi="Times New Roman"/>
                <w:sz w:val="24"/>
                <w:szCs w:val="24"/>
              </w:rPr>
              <w:t xml:space="preserve"> periodiski atjaunināmo drošuma ziņojumu vērtēšana, lai noteiktu, vai ir jauni riski vai riski ir mainījušies, vai ir mainījies riska un ieguvuma samērs, kā arī, lai tiktu nodrošināts vienots novērtējums saistībā ar darba dalīšanas kārtību attiecībā uz periodiski atjaunināmajiem drošuma ziņojumiem</w:t>
            </w:r>
            <w:r w:rsidRPr="0033110D">
              <w:rPr>
                <w:rFonts w:ascii="Times New Roman" w:hAnsi="Times New Roman"/>
                <w:bCs/>
                <w:sz w:val="24"/>
                <w:szCs w:val="24"/>
              </w:rPr>
              <w:t>.</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bCs/>
                <w:sz w:val="24"/>
                <w:szCs w:val="24"/>
              </w:rPr>
              <w:t xml:space="preserve"> - </w:t>
            </w:r>
            <w:r w:rsidRPr="0033110D">
              <w:rPr>
                <w:rFonts w:ascii="Times New Roman" w:hAnsi="Times New Roman"/>
                <w:sz w:val="24"/>
                <w:szCs w:val="24"/>
              </w:rPr>
              <w:t xml:space="preserve">signālu atklāšana - jauna funkcija, lai veiktu signālu atklāšanu un noteiktu, vai ir jauni riski, vai riski ir mainījušies un vai šie riski ietekmē riska un guvuma samēru. Aģentūras pienākums būs uzraudzīt šajā jomā Latvijas tirgū esošās zāles, izvērtējot visus pieejamos datus, tai skaitā </w:t>
            </w:r>
            <w:proofErr w:type="spellStart"/>
            <w:r w:rsidRPr="0033110D">
              <w:rPr>
                <w:rFonts w:ascii="Times New Roman" w:hAnsi="Times New Roman"/>
                <w:sz w:val="24"/>
                <w:szCs w:val="24"/>
              </w:rPr>
              <w:t>Eudravigilances</w:t>
            </w:r>
            <w:proofErr w:type="spellEnd"/>
            <w:r w:rsidRPr="0033110D">
              <w:rPr>
                <w:rFonts w:ascii="Times New Roman" w:hAnsi="Times New Roman"/>
                <w:sz w:val="24"/>
                <w:szCs w:val="24"/>
              </w:rPr>
              <w:t xml:space="preserve"> datu bāzes datus saskaņā ar Eiropas Zāļu aģentūras izstrādāto metodiku un veicot datu analīzi EVDAS </w:t>
            </w:r>
            <w:r w:rsidRPr="0033110D">
              <w:rPr>
                <w:rFonts w:ascii="Times New Roman" w:hAnsi="Times New Roman"/>
                <w:i/>
                <w:sz w:val="24"/>
                <w:szCs w:val="24"/>
              </w:rPr>
              <w:t>(</w:t>
            </w:r>
            <w:proofErr w:type="spellStart"/>
            <w:r w:rsidRPr="0033110D">
              <w:rPr>
                <w:rFonts w:ascii="Times New Roman" w:hAnsi="Times New Roman"/>
                <w:i/>
                <w:sz w:val="24"/>
                <w:szCs w:val="24"/>
              </w:rPr>
              <w:t>EudraVigilance</w:t>
            </w:r>
            <w:proofErr w:type="spellEnd"/>
            <w:r w:rsidRPr="0033110D">
              <w:rPr>
                <w:rFonts w:ascii="Times New Roman" w:hAnsi="Times New Roman"/>
                <w:i/>
                <w:sz w:val="24"/>
                <w:szCs w:val="24"/>
              </w:rPr>
              <w:t xml:space="preserve"> </w:t>
            </w:r>
            <w:proofErr w:type="spellStart"/>
            <w:r w:rsidRPr="0033110D">
              <w:rPr>
                <w:rFonts w:ascii="Times New Roman" w:hAnsi="Times New Roman"/>
                <w:i/>
                <w:sz w:val="24"/>
                <w:szCs w:val="24"/>
              </w:rPr>
              <w:t>Data</w:t>
            </w:r>
            <w:proofErr w:type="spellEnd"/>
            <w:r w:rsidRPr="0033110D">
              <w:rPr>
                <w:rFonts w:ascii="Times New Roman" w:hAnsi="Times New Roman"/>
                <w:i/>
                <w:sz w:val="24"/>
                <w:szCs w:val="24"/>
              </w:rPr>
              <w:t xml:space="preserve"> </w:t>
            </w:r>
            <w:proofErr w:type="spellStart"/>
            <w:r w:rsidRPr="0033110D">
              <w:rPr>
                <w:rFonts w:ascii="Times New Roman" w:hAnsi="Times New Roman"/>
                <w:i/>
                <w:sz w:val="24"/>
                <w:szCs w:val="24"/>
              </w:rPr>
              <w:t>Analysis</w:t>
            </w:r>
            <w:proofErr w:type="spellEnd"/>
            <w:r w:rsidRPr="0033110D">
              <w:rPr>
                <w:rFonts w:ascii="Times New Roman" w:hAnsi="Times New Roman"/>
                <w:i/>
                <w:sz w:val="24"/>
                <w:szCs w:val="24"/>
              </w:rPr>
              <w:t xml:space="preserve"> </w:t>
            </w:r>
            <w:proofErr w:type="spellStart"/>
            <w:r w:rsidRPr="0033110D">
              <w:rPr>
                <w:rFonts w:ascii="Times New Roman" w:hAnsi="Times New Roman"/>
                <w:i/>
                <w:sz w:val="24"/>
                <w:szCs w:val="24"/>
              </w:rPr>
              <w:t>System</w:t>
            </w:r>
            <w:proofErr w:type="spellEnd"/>
            <w:r w:rsidRPr="0033110D">
              <w:rPr>
                <w:rFonts w:ascii="Times New Roman" w:hAnsi="Times New Roman"/>
                <w:i/>
                <w:sz w:val="24"/>
                <w:szCs w:val="24"/>
              </w:rPr>
              <w:t>)</w:t>
            </w:r>
            <w:r w:rsidRPr="0033110D">
              <w:rPr>
                <w:rFonts w:ascii="Times New Roman" w:hAnsi="Times New Roman"/>
                <w:sz w:val="24"/>
                <w:szCs w:val="24"/>
              </w:rPr>
              <w:t xml:space="preserve"> sistēmā;</w:t>
            </w:r>
          </w:p>
          <w:p w:rsidR="00C93FEF" w:rsidRDefault="00491F2D">
            <w:pPr>
              <w:pStyle w:val="naisf"/>
              <w:tabs>
                <w:tab w:val="left" w:pos="1134"/>
              </w:tabs>
              <w:spacing w:before="0" w:after="0"/>
              <w:ind w:firstLine="295"/>
            </w:pPr>
            <w:r w:rsidRPr="005556C7">
              <w:t xml:space="preserve"> - reģistrācijas īpašnieka iesniegto riska mazināšanas pasākumu saskaņošana atbilstoši vietējām prasībām, to īstenošanas un rezultātu uzraudzība – jauna funkcija;</w:t>
            </w:r>
          </w:p>
          <w:p w:rsidR="00C93FEF" w:rsidRDefault="00491F2D">
            <w:pPr>
              <w:spacing w:after="0" w:line="240" w:lineRule="auto"/>
              <w:ind w:firstLine="295"/>
              <w:jc w:val="both"/>
              <w:rPr>
                <w:rFonts w:ascii="Times New Roman" w:hAnsi="Times New Roman"/>
                <w:b/>
                <w:sz w:val="24"/>
                <w:szCs w:val="24"/>
              </w:rPr>
            </w:pPr>
            <w:r w:rsidRPr="0033110D">
              <w:rPr>
                <w:rFonts w:ascii="Times New Roman" w:hAnsi="Times New Roman"/>
                <w:b/>
                <w:sz w:val="24"/>
                <w:szCs w:val="24"/>
              </w:rPr>
              <w:t xml:space="preserve"> - </w:t>
            </w:r>
            <w:r w:rsidRPr="0033110D">
              <w:rPr>
                <w:rFonts w:ascii="Times New Roman" w:hAnsi="Times New Roman"/>
                <w:sz w:val="24"/>
                <w:szCs w:val="24"/>
              </w:rPr>
              <w:t>zāļu reģistrācijas īpašnieka atbilstības novērtēšana labai farmakovigilances praksei – jauna funkcija. Lai uzraudzītu un vērtētu zāļu reģistrācijas apliecības turētāja (īpašnieka) atbilstību labai farmakovigilances praksei, tiek veiktas pārbaudes par zāļu reģistrācijas apliecības turētāja (īpašnieka) farmakovigilances sistēmas atbilstību Farmakovigilances</w:t>
            </w:r>
            <w:r w:rsidRPr="0033110D">
              <w:rPr>
                <w:rFonts w:ascii="Times New Roman" w:hAnsi="Times New Roman"/>
                <w:b/>
                <w:sz w:val="24"/>
                <w:szCs w:val="24"/>
              </w:rPr>
              <w:t xml:space="preserve"> </w:t>
            </w:r>
            <w:r w:rsidRPr="0033110D">
              <w:rPr>
                <w:rFonts w:ascii="Times New Roman" w:hAnsi="Times New Roman"/>
                <w:sz w:val="24"/>
                <w:szCs w:val="24"/>
              </w:rPr>
              <w:t>noteikumos noteiktajām prasībām, veicot kārtējās pārbaudes, atkārtotās pārbaudes vai ārkārtas pārbaudes;</w:t>
            </w:r>
          </w:p>
          <w:p w:rsidR="00C93FEF" w:rsidRDefault="00491F2D">
            <w:pPr>
              <w:pStyle w:val="Default"/>
              <w:ind w:firstLine="295"/>
              <w:jc w:val="both"/>
              <w:rPr>
                <w:rFonts w:ascii="Times New Roman" w:hAnsi="Times New Roman" w:cs="Times New Roman"/>
                <w:bCs/>
                <w:iCs/>
                <w:color w:val="auto"/>
                <w:lang w:eastAsia="en-US"/>
              </w:rPr>
            </w:pPr>
            <w:r w:rsidRPr="005556C7">
              <w:rPr>
                <w:rFonts w:ascii="Times New Roman" w:hAnsi="Times New Roman" w:cs="Times New Roman"/>
                <w:color w:val="auto"/>
              </w:rPr>
              <w:t xml:space="preserve"> - farmakovigilances sistēmas audits – jauna funkcija. </w:t>
            </w:r>
            <w:r w:rsidRPr="005556C7">
              <w:rPr>
                <w:rFonts w:ascii="Times New Roman" w:hAnsi="Times New Roman" w:cs="Times New Roman"/>
                <w:bCs/>
                <w:iCs/>
                <w:color w:val="auto"/>
              </w:rPr>
              <w:t xml:space="preserve">ES dalībvalsts kompetentajai institūcijai kvalitātes sistēmas ietvaros ir jānodrošina regulārs savas farmakovigilances sistēmas audits un ziņojums par rezultātiem jāiesniedz Eiropas Komisijai vienu reizi divos gados. </w:t>
            </w:r>
          </w:p>
          <w:p w:rsidR="00C93FEF" w:rsidRDefault="00491F2D">
            <w:pPr>
              <w:spacing w:after="0" w:line="240" w:lineRule="auto"/>
              <w:ind w:firstLine="295"/>
              <w:jc w:val="both"/>
              <w:rPr>
                <w:rFonts w:ascii="Times New Roman" w:hAnsi="Times New Roman"/>
                <w:bCs/>
                <w:sz w:val="24"/>
                <w:szCs w:val="24"/>
              </w:rPr>
            </w:pPr>
            <w:r w:rsidRPr="0033110D">
              <w:rPr>
                <w:rFonts w:ascii="Times New Roman" w:hAnsi="Times New Roman"/>
                <w:sz w:val="24"/>
                <w:szCs w:val="24"/>
              </w:rPr>
              <w:t xml:space="preserve"> - dalība Farmakovigilances vērtēšanas komitejas (PRAC) un Savstarpējās atzīšanas procedūras un decentralizētās procedūras koordinācijas grupas (CMD(h)) darbā– daļēji jaunas funkcijas. Deleģēto personu darbs Eiropas zāļu aģentūrā ir saistīts ar konkrētu darba uzdevumu veikšanu, kas prasa Aģentūras darbinieku un ārštata ekspertu papildus ieguldījumu, lai </w:t>
            </w:r>
            <w:r w:rsidRPr="0033110D">
              <w:rPr>
                <w:rFonts w:ascii="Times New Roman" w:hAnsi="Times New Roman"/>
                <w:bCs/>
                <w:sz w:val="24"/>
                <w:szCs w:val="24"/>
              </w:rPr>
              <w:t>veiktu farmakovigilances datu un dokumentu vērtēšanu termiņos un lai realizētu ES saskaņotos lēmumus termiņos;</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 -  uzlabojumu veikšana aģentūras elektroniskajās sistēmās elektroniskas ziņošanas nodrošināšanai, ārstu, pacientu, reģistrācijas apliecības īpašnieku atsūtīto blakusparādību datu apmaiņai ar Eiropas Zāļu aģentūras – aģentūras IT sistēma papildināma ar jaunu </w:t>
            </w:r>
            <w:r w:rsidRPr="0033110D">
              <w:rPr>
                <w:rFonts w:ascii="Times New Roman" w:hAnsi="Times New Roman"/>
                <w:bCs/>
                <w:sz w:val="24"/>
                <w:szCs w:val="24"/>
              </w:rPr>
              <w:t xml:space="preserve">zāļu blakusparādību </w:t>
            </w:r>
            <w:r w:rsidRPr="0033110D">
              <w:rPr>
                <w:rFonts w:ascii="Times New Roman" w:hAnsi="Times New Roman"/>
                <w:sz w:val="24"/>
                <w:szCs w:val="24"/>
              </w:rPr>
              <w:t xml:space="preserve">moduli, kas būtu savietojams ar </w:t>
            </w:r>
            <w:proofErr w:type="spellStart"/>
            <w:r w:rsidRPr="0033110D">
              <w:rPr>
                <w:rFonts w:ascii="Times New Roman" w:hAnsi="Times New Roman"/>
                <w:sz w:val="24"/>
                <w:szCs w:val="24"/>
              </w:rPr>
              <w:t>Euda</w:t>
            </w:r>
            <w:r w:rsidR="004E2700" w:rsidRPr="0033110D">
              <w:rPr>
                <w:rFonts w:ascii="Times New Roman" w:hAnsi="Times New Roman"/>
                <w:sz w:val="24"/>
                <w:szCs w:val="24"/>
              </w:rPr>
              <w:t>v</w:t>
            </w:r>
            <w:r w:rsidRPr="0033110D">
              <w:rPr>
                <w:rFonts w:ascii="Times New Roman" w:hAnsi="Times New Roman"/>
                <w:sz w:val="24"/>
                <w:szCs w:val="24"/>
              </w:rPr>
              <w:t>igilances</w:t>
            </w:r>
            <w:proofErr w:type="spellEnd"/>
            <w:r w:rsidRPr="0033110D">
              <w:rPr>
                <w:rFonts w:ascii="Times New Roman" w:hAnsi="Times New Roman"/>
                <w:sz w:val="24"/>
                <w:szCs w:val="24"/>
              </w:rPr>
              <w:t xml:space="preserve"> datu bāzi;</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 - zāļu tīmekļa vietnes uzturēšana; ir precizētas prasības - </w:t>
            </w:r>
            <w:r w:rsidRPr="0033110D">
              <w:rPr>
                <w:rFonts w:ascii="Times New Roman" w:hAnsi="Times New Roman"/>
                <w:sz w:val="24"/>
                <w:szCs w:val="24"/>
              </w:rPr>
              <w:lastRenderedPageBreak/>
              <w:t>noteikts nodrošināt aģentūras tīmekļa vietnes sasaisti ar Eiropas zāļu tīmekļa portālu. Nacionālām aģentūrām veicama arī periodiska nacionālo datu salīdzināšana ar Eiropas Zāļu aģentūras izveidoto zāļu sarakstu, kas veidots atbilstoši Regulas 726/2004 57.panta 1. punktam un jāsniedz pārskati atbilstoši konkrētiem drošuma datu pieprasījumiem.</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Atbilstoši </w:t>
            </w:r>
            <w:r w:rsidR="003411B1">
              <w:rPr>
                <w:rFonts w:ascii="Times New Roman" w:hAnsi="Times New Roman"/>
                <w:sz w:val="24"/>
                <w:szCs w:val="24"/>
              </w:rPr>
              <w:t>Noteikumu Nr.47</w:t>
            </w:r>
            <w:r w:rsidRPr="0033110D">
              <w:rPr>
                <w:rFonts w:ascii="Times New Roman" w:hAnsi="Times New Roman"/>
                <w:sz w:val="24"/>
                <w:szCs w:val="24"/>
              </w:rPr>
              <w:t xml:space="preserve"> prasībām un vienotai caurskatāmības politikai, ar zāļu drošumu saistītie jautājumi vienmēr bez kavēšanās tiek komunicēti ar profesionāļiem un sabiedrību. Ziņojumu sagatavošana par šiem jautājumiem ir komplicēta un atbildīga, un tā prasa arī papildus ekspertu ciešu līdzdalību un vairumā gadījumu harmonizētu procedūru ar citām dalībvalstīm. </w:t>
            </w:r>
          </w:p>
          <w:p w:rsidR="00C93FEF" w:rsidRDefault="00491F2D">
            <w:pPr>
              <w:spacing w:after="0" w:line="240" w:lineRule="auto"/>
              <w:ind w:firstLine="295"/>
              <w:jc w:val="both"/>
              <w:rPr>
                <w:rFonts w:ascii="Times New Roman" w:hAnsi="Times New Roman"/>
                <w:sz w:val="24"/>
                <w:szCs w:val="24"/>
              </w:rPr>
            </w:pPr>
            <w:r w:rsidRPr="0033110D">
              <w:rPr>
                <w:rFonts w:ascii="Times New Roman" w:hAnsi="Times New Roman"/>
                <w:sz w:val="24"/>
                <w:szCs w:val="24"/>
              </w:rPr>
              <w:t xml:space="preserve">Tā kā ir zināms, ka </w:t>
            </w:r>
            <w:r w:rsidRPr="0033110D">
              <w:rPr>
                <w:rFonts w:ascii="Times New Roman" w:hAnsi="Times New Roman"/>
                <w:sz w:val="24"/>
                <w:szCs w:val="24"/>
                <w:u w:val="single"/>
              </w:rPr>
              <w:t>visām zālēm pastāv zāļu lietošanas drošuma risks</w:t>
            </w:r>
            <w:r w:rsidR="003646B8" w:rsidRPr="0033110D">
              <w:rPr>
                <w:rFonts w:ascii="Times New Roman" w:hAnsi="Times New Roman"/>
                <w:sz w:val="24"/>
                <w:szCs w:val="24"/>
                <w:u w:val="single"/>
              </w:rPr>
              <w:t xml:space="preserve"> un</w:t>
            </w:r>
            <w:r w:rsidRPr="0033110D">
              <w:rPr>
                <w:rFonts w:ascii="Times New Roman" w:hAnsi="Times New Roman"/>
                <w:sz w:val="24"/>
                <w:szCs w:val="24"/>
                <w:u w:val="single"/>
              </w:rPr>
              <w:t xml:space="preserve"> farmakovigilances prasību ievērošana ir obligāts nosacījums visiem zāļu reģistrācijas īpašniekiem</w:t>
            </w:r>
            <w:r w:rsidRPr="0033110D">
              <w:rPr>
                <w:rFonts w:ascii="Times New Roman" w:hAnsi="Times New Roman"/>
                <w:sz w:val="24"/>
                <w:szCs w:val="24"/>
              </w:rPr>
              <w:t>, tad priekšlikums ir ar to saistītās funkcijas maksas pakalpojumā noteikt kā konkrētu farmakovigilances gada maksu nacionālā</w:t>
            </w:r>
            <w:r w:rsidRPr="0033110D">
              <w:rPr>
                <w:rFonts w:ascii="Times New Roman" w:hAnsi="Times New Roman"/>
                <w:b/>
                <w:sz w:val="24"/>
                <w:szCs w:val="24"/>
              </w:rPr>
              <w:t xml:space="preserve"> </w:t>
            </w:r>
            <w:r w:rsidRPr="0033110D">
              <w:rPr>
                <w:rFonts w:ascii="Times New Roman" w:hAnsi="Times New Roman"/>
                <w:sz w:val="24"/>
                <w:szCs w:val="24"/>
              </w:rPr>
              <w:t>procedūrā (tai skaitā</w:t>
            </w:r>
            <w:r w:rsidR="00422FDB">
              <w:t xml:space="preserve"> </w:t>
            </w:r>
            <w:r w:rsidR="00422FDB">
              <w:rPr>
                <w:rFonts w:ascii="Times New Roman" w:hAnsi="Times New Roman"/>
                <w:sz w:val="24"/>
                <w:szCs w:val="24"/>
              </w:rPr>
              <w:t>s</w:t>
            </w:r>
            <w:r w:rsidR="00422FDB" w:rsidRPr="00422FDB">
              <w:rPr>
                <w:rFonts w:ascii="Times New Roman" w:hAnsi="Times New Roman"/>
                <w:sz w:val="24"/>
                <w:szCs w:val="24"/>
              </w:rPr>
              <w:t>avstarpējās atzīšanas procedūrā</w:t>
            </w:r>
            <w:r w:rsidR="00422FDB">
              <w:rPr>
                <w:rFonts w:ascii="Times New Roman" w:hAnsi="Times New Roman"/>
                <w:sz w:val="24"/>
                <w:szCs w:val="24"/>
              </w:rPr>
              <w:t xml:space="preserve"> un d</w:t>
            </w:r>
            <w:r w:rsidR="00422FDB" w:rsidRPr="00422FDB">
              <w:rPr>
                <w:rFonts w:ascii="Times New Roman" w:hAnsi="Times New Roman"/>
                <w:sz w:val="24"/>
                <w:szCs w:val="24"/>
              </w:rPr>
              <w:t>ecentralizētajā procedūrā</w:t>
            </w:r>
            <w:r w:rsidRPr="0033110D">
              <w:rPr>
                <w:rFonts w:ascii="Times New Roman" w:hAnsi="Times New Roman"/>
                <w:sz w:val="24"/>
                <w:szCs w:val="24"/>
              </w:rPr>
              <w:t xml:space="preserve">) reģistrētām zālēm  (izņēmums ir paralēli importētās un nereģistrētās zāles). Šāds risinājums nodrošinās, ka nerodas nepamatotas priekšrocības zāļu reģistrācijas īpašniekiem, kas nepildītu farmakovigilances prasības. Savukārt Aģentūrai, lai veiktu zāļu drošuma uzraudzības procesu aktīvu pārraudzību visiem produktiem, būs stabils un paredzams finansiāls nodrošinājums. </w:t>
            </w:r>
          </w:p>
          <w:p w:rsidR="00C93FEF" w:rsidRDefault="00491F2D">
            <w:pPr>
              <w:pStyle w:val="tv213"/>
              <w:spacing w:before="0" w:beforeAutospacing="0" w:after="0" w:afterAutospacing="0"/>
              <w:ind w:firstLine="295"/>
              <w:jc w:val="both"/>
            </w:pPr>
            <w:r w:rsidRPr="005556C7">
              <w:t xml:space="preserve">Farmakovigilances gada maksu Aģentūra nepiemēros </w:t>
            </w:r>
            <w:r w:rsidRPr="003646B8">
              <w:t xml:space="preserve">centralizētā reģistrācijas procedūrā reģistrētām zālēm, jo šīm zālēm </w:t>
            </w:r>
            <w:proofErr w:type="spellStart"/>
            <w:r w:rsidRPr="003646B8">
              <w:t>farmakovig</w:t>
            </w:r>
            <w:r w:rsidR="003646B8" w:rsidRPr="003646B8">
              <w:t>ilance</w:t>
            </w:r>
            <w:proofErr w:type="spellEnd"/>
            <w:r w:rsidR="003646B8" w:rsidRPr="003646B8">
              <w:t xml:space="preserve"> tiks veikta centralizēti</w:t>
            </w:r>
            <w:r w:rsidRPr="003646B8">
              <w:t>.</w:t>
            </w:r>
          </w:p>
          <w:p w:rsidR="00C93FEF" w:rsidRDefault="00491F2D">
            <w:pPr>
              <w:pStyle w:val="tv213"/>
              <w:spacing w:before="0" w:beforeAutospacing="0" w:after="0" w:afterAutospacing="0"/>
              <w:ind w:firstLine="295"/>
              <w:jc w:val="both"/>
            </w:pPr>
            <w:r w:rsidRPr="003646B8">
              <w:t>Tāpat farmakovigilances gada maksa netiks piemērota homeopātiskām (šobrīd ap 115 zālēm) un tradicionāl</w:t>
            </w:r>
            <w:r w:rsidR="00201484">
              <w:t>i lietotām</w:t>
            </w:r>
            <w:r w:rsidRPr="003646B8">
              <w:t xml:space="preserve"> augu izcelsmes zālēm (šobrīd ap 17 zālēm), jo šo zāļu drošuma profils ir labi zināms, arī blakusparādību ziņojumu skaits ir būtiski mazāks (nav saņemti ziņojumi par būtiskām blakusparādībām). Vienlaikus, lai homeopātiskās un tradicionālās augu izcelsmes zāles reģistrētu vienkāršotājā reģistrācijas procedūrā, reģistrācijas apliecības īpašniekam nav jāiesniedz farmakovigilances sistēmas </w:t>
            </w:r>
            <w:proofErr w:type="spellStart"/>
            <w:r w:rsidRPr="003646B8">
              <w:t>pamatlieta</w:t>
            </w:r>
            <w:proofErr w:type="spellEnd"/>
            <w:r w:rsidRPr="003646B8">
              <w:t xml:space="preserve"> un riska pārvaldības plāns.</w:t>
            </w:r>
          </w:p>
          <w:p w:rsidR="00C93FEF" w:rsidRDefault="00491F2D">
            <w:pPr>
              <w:pStyle w:val="tv213"/>
              <w:spacing w:before="0" w:beforeAutospacing="0" w:after="0" w:afterAutospacing="0"/>
              <w:ind w:firstLine="295"/>
              <w:jc w:val="both"/>
            </w:pPr>
            <w:r w:rsidRPr="005556C7">
              <w:t>Farmakovigilances gada maksa tiks piemērota pēc zāļu reģistrācijas ar nākamo kalendāra gadu neatkarīgi no tā, vai zāles laistas apgrozībā.</w:t>
            </w:r>
            <w:r w:rsidR="00A60F5B" w:rsidRPr="000E36C7">
              <w:rPr>
                <w:b/>
              </w:rPr>
              <w:t xml:space="preserve"> </w:t>
            </w:r>
            <w:r w:rsidR="00A60F5B" w:rsidRPr="00605D9A">
              <w:t>Noteikumu 1.28.apakšpunkts attiecībā uz farmakovigilances gada maksu stājas spēkā ar 2015.gada 1.janvāri.</w:t>
            </w:r>
          </w:p>
          <w:p w:rsidR="00C93FEF" w:rsidRDefault="00491F2D">
            <w:pPr>
              <w:pStyle w:val="tv213"/>
              <w:spacing w:before="0" w:beforeAutospacing="0" w:after="0" w:afterAutospacing="0"/>
              <w:ind w:firstLine="295"/>
              <w:jc w:val="both"/>
            </w:pPr>
            <w:r w:rsidRPr="005556C7">
              <w:t xml:space="preserve">Saskaņā ar </w:t>
            </w:r>
            <w:r w:rsidR="003646B8">
              <w:t>N</w:t>
            </w:r>
            <w:r w:rsidRPr="005556C7">
              <w:t xml:space="preserve">oteikumu Nr. 436 35.2.apašpunktu Aģentūra izsniedz paziņojumu par produkta reģistrācijas statusu. Šis </w:t>
            </w:r>
            <w:r w:rsidRPr="005556C7">
              <w:lastRenderedPageBreak/>
              <w:t>paziņojums ir paredzēts zāļu importētāja pārstāvim, kurš piedalās starptautiskos piedāvājumos (tenderos) saskaņā ar uzaicinājuma nosacījumiem. Šis paziņojums nozīmē, ka konkrētās zāles Latvijas Republikā (eksportētājvalstī) ir reģistrētas un tās ir atļauts izplatīt. Ņemot vērā, ka šādu paziņojumu var pieprasīt izsniegt, ir jāparedz maksa par konkr</w:t>
            </w:r>
            <w:r w:rsidR="003646B8">
              <w:t>ētā pakalpojuma veida sniegšanu, līdz ar to Noteikumu Nr.873 Pielikums papildināts ar 82.punktu.</w:t>
            </w:r>
          </w:p>
          <w:p w:rsidR="00C93FEF" w:rsidRDefault="00C93FEF">
            <w:pPr>
              <w:pStyle w:val="tv213"/>
              <w:spacing w:before="0" w:beforeAutospacing="0" w:after="0" w:afterAutospacing="0"/>
              <w:ind w:firstLine="295"/>
              <w:jc w:val="both"/>
            </w:pPr>
          </w:p>
        </w:tc>
      </w:tr>
      <w:tr w:rsidR="00AE72E6" w:rsidRPr="0033110D"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3B1F14"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Zāļu valsts aģentūra</w:t>
            </w:r>
          </w:p>
        </w:tc>
      </w:tr>
      <w:tr w:rsidR="00AE72E6" w:rsidRPr="0033110D" w:rsidTr="00AE72E6">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3B1F14"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Nav</w:t>
            </w:r>
          </w:p>
        </w:tc>
      </w:tr>
    </w:tbl>
    <w:p w:rsidR="00AE72E6" w:rsidRPr="005556C7" w:rsidRDefault="00AE72E6" w:rsidP="00AE72E6">
      <w:pPr>
        <w:spacing w:after="0" w:line="240" w:lineRule="auto"/>
        <w:rPr>
          <w:rFonts w:ascii="Times New Roman" w:eastAsia="Times New Roman" w:hAnsi="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920"/>
        <w:gridCol w:w="6029"/>
      </w:tblGrid>
      <w:tr w:rsidR="00AE72E6" w:rsidRPr="0033110D" w:rsidTr="00AE72E6">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II. Tiesību akta projekta ietekme uz sabiedrību, tautsaimniecības attīstību un administratīvo slogu</w:t>
            </w:r>
          </w:p>
        </w:tc>
      </w:tr>
      <w:tr w:rsidR="00AE72E6" w:rsidRPr="0033110D"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3110D" w:rsidRDefault="008F2D99" w:rsidP="005331D7">
            <w:pPr>
              <w:spacing w:before="75" w:after="75"/>
              <w:jc w:val="both"/>
              <w:rPr>
                <w:rFonts w:ascii="Times New Roman" w:hAnsi="Times New Roman"/>
                <w:sz w:val="24"/>
                <w:szCs w:val="24"/>
              </w:rPr>
            </w:pPr>
            <w:r>
              <w:rPr>
                <w:rFonts w:ascii="Times New Roman" w:hAnsi="Times New Roman"/>
                <w:sz w:val="24"/>
                <w:szCs w:val="24"/>
              </w:rPr>
              <w:t>Tiesiskais regulējums ietekmēs vai varētu ietekmēt</w:t>
            </w:r>
            <w:r w:rsidR="00A62E63" w:rsidRPr="0033110D">
              <w:rPr>
                <w:rFonts w:ascii="Times New Roman" w:hAnsi="Times New Roman"/>
                <w:sz w:val="24"/>
                <w:szCs w:val="24"/>
              </w:rPr>
              <w:t>:</w:t>
            </w:r>
          </w:p>
          <w:p w:rsidR="005331D7" w:rsidRPr="005556C7" w:rsidRDefault="00A62E63" w:rsidP="005331D7">
            <w:pPr>
              <w:pStyle w:val="ListParagraph"/>
              <w:numPr>
                <w:ilvl w:val="0"/>
                <w:numId w:val="3"/>
              </w:numPr>
              <w:spacing w:before="75" w:after="75"/>
              <w:jc w:val="both"/>
              <w:rPr>
                <w:rFonts w:ascii="Times New Roman" w:hAnsi="Times New Roman"/>
                <w:color w:val="000000"/>
                <w:sz w:val="24"/>
                <w:szCs w:val="24"/>
                <w:lang w:val="lv-LV"/>
              </w:rPr>
            </w:pPr>
            <w:r w:rsidRPr="005556C7">
              <w:rPr>
                <w:rFonts w:ascii="Times New Roman" w:hAnsi="Times New Roman"/>
                <w:color w:val="000000"/>
                <w:sz w:val="24"/>
                <w:szCs w:val="24"/>
                <w:lang w:val="lv-LV"/>
              </w:rPr>
              <w:t>zāļu reģistrācijas apliecības īpašnieki, kuri veiks sākotnējo vai atkārtoto atzīšanas procedūru;</w:t>
            </w:r>
          </w:p>
          <w:p w:rsidR="005331D7" w:rsidRPr="005556C7" w:rsidRDefault="005331D7" w:rsidP="005331D7">
            <w:pPr>
              <w:pStyle w:val="ListParagraph"/>
              <w:numPr>
                <w:ilvl w:val="0"/>
                <w:numId w:val="3"/>
              </w:numPr>
              <w:spacing w:before="75" w:after="75"/>
              <w:jc w:val="both"/>
              <w:rPr>
                <w:rFonts w:ascii="Times New Roman" w:hAnsi="Times New Roman"/>
                <w:sz w:val="24"/>
                <w:szCs w:val="24"/>
                <w:lang w:val="lv-LV"/>
              </w:rPr>
            </w:pPr>
            <w:r w:rsidRPr="005556C7">
              <w:rPr>
                <w:rFonts w:ascii="Times New Roman" w:hAnsi="Times New Roman"/>
                <w:sz w:val="24"/>
                <w:szCs w:val="24"/>
                <w:lang w:val="lv-LV"/>
              </w:rPr>
              <w:t>zāļu un aktīvo vielu ražotāji;</w:t>
            </w:r>
          </w:p>
          <w:p w:rsidR="005331D7" w:rsidRPr="005556C7" w:rsidRDefault="005331D7" w:rsidP="005331D7">
            <w:pPr>
              <w:pStyle w:val="ListParagraph"/>
              <w:numPr>
                <w:ilvl w:val="0"/>
                <w:numId w:val="3"/>
              </w:numPr>
              <w:spacing w:before="75" w:after="75"/>
              <w:jc w:val="both"/>
              <w:rPr>
                <w:rFonts w:ascii="Times New Roman" w:hAnsi="Times New Roman"/>
                <w:sz w:val="24"/>
                <w:szCs w:val="24"/>
                <w:lang w:val="lv-LV"/>
              </w:rPr>
            </w:pPr>
            <w:r w:rsidRPr="005556C7">
              <w:rPr>
                <w:rFonts w:ascii="Times New Roman" w:hAnsi="Times New Roman"/>
                <w:sz w:val="24"/>
                <w:szCs w:val="24"/>
                <w:lang w:val="lv-LV"/>
              </w:rPr>
              <w:t>k</w:t>
            </w:r>
            <w:r w:rsidR="00A62E63" w:rsidRPr="005556C7">
              <w:rPr>
                <w:rFonts w:ascii="Times New Roman" w:hAnsi="Times New Roman"/>
                <w:sz w:val="24"/>
                <w:szCs w:val="24"/>
                <w:lang w:val="lv-LV"/>
              </w:rPr>
              <w:t>omersanti vai saimnieciskās darbības veicēji, kas veic starpniecības darījumus ar zālēm;</w:t>
            </w:r>
          </w:p>
          <w:p w:rsidR="005331D7" w:rsidRPr="005556C7" w:rsidRDefault="00A62E63" w:rsidP="005331D7">
            <w:pPr>
              <w:pStyle w:val="ListParagraph"/>
              <w:numPr>
                <w:ilvl w:val="0"/>
                <w:numId w:val="3"/>
              </w:numPr>
              <w:spacing w:before="75" w:after="75"/>
              <w:jc w:val="both"/>
              <w:rPr>
                <w:rFonts w:ascii="Times New Roman" w:hAnsi="Times New Roman"/>
                <w:sz w:val="24"/>
                <w:szCs w:val="24"/>
                <w:lang w:val="lv-LV"/>
              </w:rPr>
            </w:pPr>
            <w:r w:rsidRPr="005556C7">
              <w:rPr>
                <w:rFonts w:ascii="Times New Roman" w:hAnsi="Times New Roman"/>
                <w:sz w:val="24"/>
                <w:szCs w:val="24"/>
                <w:lang w:val="lv-LV"/>
              </w:rPr>
              <w:t>zāļu reģistrācijas apliecības īpašnieki, k</w:t>
            </w:r>
            <w:r w:rsidR="004E2700">
              <w:rPr>
                <w:rFonts w:ascii="Times New Roman" w:hAnsi="Times New Roman"/>
                <w:sz w:val="24"/>
                <w:szCs w:val="24"/>
                <w:lang w:val="lv-LV"/>
              </w:rPr>
              <w:t>uri</w:t>
            </w:r>
            <w:r w:rsidRPr="005556C7">
              <w:rPr>
                <w:rFonts w:ascii="Times New Roman" w:hAnsi="Times New Roman"/>
                <w:sz w:val="24"/>
                <w:szCs w:val="24"/>
                <w:lang w:val="lv-LV"/>
              </w:rPr>
              <w:t xml:space="preserve"> pieteiksies zāļu realizācijas statistikas datu saņemšanai;</w:t>
            </w:r>
          </w:p>
          <w:p w:rsidR="005331D7" w:rsidRPr="005556C7" w:rsidRDefault="00A62E63" w:rsidP="005331D7">
            <w:pPr>
              <w:pStyle w:val="ListParagraph"/>
              <w:numPr>
                <w:ilvl w:val="0"/>
                <w:numId w:val="3"/>
              </w:numPr>
              <w:spacing w:before="75" w:after="75"/>
              <w:jc w:val="both"/>
              <w:rPr>
                <w:rFonts w:ascii="Times New Roman" w:hAnsi="Times New Roman"/>
                <w:sz w:val="24"/>
                <w:szCs w:val="24"/>
                <w:lang w:val="lv-LV"/>
              </w:rPr>
            </w:pPr>
            <w:r w:rsidRPr="005556C7">
              <w:rPr>
                <w:rFonts w:ascii="Times New Roman" w:hAnsi="Times New Roman"/>
                <w:sz w:val="24"/>
                <w:szCs w:val="24"/>
                <w:lang w:val="lv-LV"/>
              </w:rPr>
              <w:t>medicīnisko ierīču ražotāji;</w:t>
            </w:r>
          </w:p>
          <w:p w:rsidR="005331D7" w:rsidRPr="005556C7" w:rsidRDefault="00A62E63" w:rsidP="005331D7">
            <w:pPr>
              <w:pStyle w:val="ListParagraph"/>
              <w:numPr>
                <w:ilvl w:val="0"/>
                <w:numId w:val="3"/>
              </w:numPr>
              <w:spacing w:before="75" w:after="75"/>
              <w:jc w:val="both"/>
              <w:rPr>
                <w:rFonts w:ascii="Times New Roman" w:hAnsi="Times New Roman"/>
                <w:sz w:val="24"/>
                <w:szCs w:val="24"/>
                <w:lang w:val="lv-LV"/>
              </w:rPr>
            </w:pPr>
            <w:r w:rsidRPr="005556C7">
              <w:rPr>
                <w:rFonts w:ascii="Times New Roman" w:hAnsi="Times New Roman"/>
                <w:sz w:val="24"/>
                <w:szCs w:val="24"/>
                <w:lang w:val="lv-LV"/>
              </w:rPr>
              <w:t>klīniskās izpētes iesnieguma iesniedzēji, ja pēc procedūras noslēguma nav iesniegts zāļu klīniskās izpētes iesniegums;</w:t>
            </w:r>
          </w:p>
          <w:p w:rsidR="005331D7" w:rsidRPr="005556C7" w:rsidRDefault="00A62E63" w:rsidP="005331D7">
            <w:pPr>
              <w:pStyle w:val="ListParagraph"/>
              <w:numPr>
                <w:ilvl w:val="0"/>
                <w:numId w:val="3"/>
              </w:numPr>
              <w:spacing w:before="75" w:after="75"/>
              <w:jc w:val="both"/>
              <w:rPr>
                <w:rFonts w:ascii="Times New Roman" w:hAnsi="Times New Roman"/>
                <w:color w:val="000000"/>
                <w:sz w:val="24"/>
                <w:szCs w:val="24"/>
                <w:lang w:val="lv-LV"/>
              </w:rPr>
            </w:pPr>
            <w:r w:rsidRPr="005556C7">
              <w:rPr>
                <w:rFonts w:ascii="Times New Roman" w:hAnsi="Times New Roman"/>
                <w:color w:val="000000"/>
                <w:sz w:val="24"/>
                <w:szCs w:val="24"/>
                <w:lang w:val="lv-LV"/>
              </w:rPr>
              <w:t xml:space="preserve">zāļu reģistrācijas apliecības īpašnieki, kuri  iesniegs </w:t>
            </w:r>
            <w:proofErr w:type="spellStart"/>
            <w:r w:rsidRPr="005556C7">
              <w:rPr>
                <w:rFonts w:ascii="Times New Roman" w:hAnsi="Times New Roman"/>
                <w:color w:val="000000"/>
                <w:sz w:val="24"/>
                <w:szCs w:val="24"/>
                <w:lang w:val="lv-LV"/>
              </w:rPr>
              <w:t>pēcreģistrācijas</w:t>
            </w:r>
            <w:proofErr w:type="spellEnd"/>
            <w:r w:rsidRPr="005556C7">
              <w:rPr>
                <w:rFonts w:ascii="Times New Roman" w:hAnsi="Times New Roman"/>
                <w:color w:val="000000"/>
                <w:sz w:val="24"/>
                <w:szCs w:val="24"/>
                <w:lang w:val="lv-LV"/>
              </w:rPr>
              <w:t xml:space="preserve"> drošuma pēt</w:t>
            </w:r>
            <w:r w:rsidR="005331D7" w:rsidRPr="005556C7">
              <w:rPr>
                <w:rFonts w:ascii="Times New Roman" w:hAnsi="Times New Roman"/>
                <w:color w:val="000000"/>
                <w:sz w:val="24"/>
                <w:szCs w:val="24"/>
                <w:lang w:val="lv-LV"/>
              </w:rPr>
              <w:t>ījuma protokolu apstiprināšanai;</w:t>
            </w:r>
          </w:p>
          <w:p w:rsidR="00A60F5B" w:rsidRDefault="00A62E63" w:rsidP="005331D7">
            <w:pPr>
              <w:pStyle w:val="ListParagraph"/>
              <w:numPr>
                <w:ilvl w:val="0"/>
                <w:numId w:val="3"/>
              </w:numPr>
              <w:spacing w:before="75" w:after="75"/>
              <w:jc w:val="both"/>
              <w:rPr>
                <w:rFonts w:ascii="Times New Roman" w:hAnsi="Times New Roman"/>
                <w:sz w:val="24"/>
                <w:szCs w:val="24"/>
                <w:lang w:val="lv-LV"/>
              </w:rPr>
            </w:pPr>
            <w:r w:rsidRPr="005556C7">
              <w:rPr>
                <w:rFonts w:ascii="Times New Roman" w:hAnsi="Times New Roman"/>
                <w:sz w:val="24"/>
                <w:szCs w:val="24"/>
                <w:lang w:val="lv-LV"/>
              </w:rPr>
              <w:t>zāļu reģistrācijas īpašnieki, kuriem</w:t>
            </w:r>
            <w:r w:rsidR="005331D7" w:rsidRPr="005556C7">
              <w:rPr>
                <w:rFonts w:ascii="Times New Roman" w:hAnsi="Times New Roman"/>
                <w:sz w:val="24"/>
                <w:szCs w:val="24"/>
                <w:lang w:val="lv-LV"/>
              </w:rPr>
              <w:t xml:space="preserve"> </w:t>
            </w:r>
            <w:r w:rsidRPr="005556C7">
              <w:rPr>
                <w:rFonts w:ascii="Times New Roman" w:hAnsi="Times New Roman"/>
                <w:sz w:val="24"/>
                <w:szCs w:val="24"/>
                <w:lang w:val="lv-LV"/>
              </w:rPr>
              <w:t>piemēros farmakovigilances gada maksu</w:t>
            </w:r>
            <w:r w:rsidR="008F2D99">
              <w:rPr>
                <w:rFonts w:ascii="Times New Roman" w:hAnsi="Times New Roman"/>
                <w:sz w:val="24"/>
                <w:szCs w:val="24"/>
                <w:lang w:val="lv-LV"/>
              </w:rPr>
              <w:t>.</w:t>
            </w:r>
          </w:p>
          <w:p w:rsidR="00C93FEF" w:rsidRDefault="00C93FEF">
            <w:pPr>
              <w:spacing w:before="75" w:after="75"/>
              <w:ind w:left="360"/>
              <w:jc w:val="both"/>
              <w:rPr>
                <w:rFonts w:ascii="Times New Roman" w:eastAsia="Times New Roman" w:hAnsi="Times New Roman"/>
                <w:sz w:val="24"/>
                <w:szCs w:val="24"/>
              </w:rPr>
            </w:pPr>
          </w:p>
        </w:tc>
      </w:tr>
      <w:tr w:rsidR="00AE72E6" w:rsidRPr="0033110D" w:rsidTr="00AE72E6">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C767EF" w:rsidP="005331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AE72E6" w:rsidRPr="0033110D" w:rsidTr="00AE72E6">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CE03A2" w:rsidP="005447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Administratīvās izmaksas Aģentūrai saistībā ar Noteikumu 1.28.apakšpunkta</w:t>
            </w:r>
            <w:r w:rsidRPr="00CE03A2">
              <w:rPr>
                <w:rFonts w:ascii="Times New Roman" w:eastAsia="Times New Roman" w:hAnsi="Times New Roman"/>
                <w:sz w:val="24"/>
                <w:szCs w:val="24"/>
              </w:rPr>
              <w:t xml:space="preserve"> attiecībā uz farmakovigilances gada maksu stā</w:t>
            </w:r>
            <w:r>
              <w:rPr>
                <w:rFonts w:ascii="Times New Roman" w:eastAsia="Times New Roman" w:hAnsi="Times New Roman"/>
                <w:sz w:val="24"/>
                <w:szCs w:val="24"/>
              </w:rPr>
              <w:t>šanos</w:t>
            </w:r>
            <w:r w:rsidRPr="00CE03A2">
              <w:rPr>
                <w:rFonts w:ascii="Times New Roman" w:eastAsia="Times New Roman" w:hAnsi="Times New Roman"/>
                <w:sz w:val="24"/>
                <w:szCs w:val="24"/>
              </w:rPr>
              <w:t xml:space="preserve"> spēkā ar 2015.gada 1.janvāri</w:t>
            </w:r>
            <w:r>
              <w:rPr>
                <w:rFonts w:ascii="Times New Roman" w:eastAsia="Times New Roman" w:hAnsi="Times New Roman"/>
                <w:sz w:val="24"/>
                <w:szCs w:val="24"/>
              </w:rPr>
              <w:t xml:space="preserve"> būs </w:t>
            </w:r>
            <w:r w:rsidR="00613EEB">
              <w:rPr>
                <w:rFonts w:ascii="Times New Roman" w:eastAsia="Times New Roman" w:hAnsi="Times New Roman"/>
                <w:sz w:val="24"/>
                <w:szCs w:val="24"/>
              </w:rPr>
              <w:t xml:space="preserve">238 680 </w:t>
            </w:r>
            <w:proofErr w:type="spellStart"/>
            <w:r w:rsidR="00613EEB">
              <w:rPr>
                <w:rFonts w:ascii="Times New Roman" w:eastAsia="Times New Roman" w:hAnsi="Times New Roman"/>
                <w:sz w:val="24"/>
                <w:szCs w:val="24"/>
              </w:rPr>
              <w:t>euro</w:t>
            </w:r>
            <w:proofErr w:type="spellEnd"/>
            <w:r w:rsidR="00613EEB">
              <w:rPr>
                <w:rFonts w:ascii="Times New Roman" w:eastAsia="Times New Roman" w:hAnsi="Times New Roman"/>
                <w:sz w:val="24"/>
                <w:szCs w:val="24"/>
              </w:rPr>
              <w:t xml:space="preserve"> un </w:t>
            </w:r>
            <w:r w:rsidR="00544744">
              <w:rPr>
                <w:rFonts w:ascii="Times New Roman" w:eastAsia="Times New Roman" w:hAnsi="Times New Roman"/>
                <w:sz w:val="24"/>
                <w:szCs w:val="24"/>
              </w:rPr>
              <w:t xml:space="preserve">administratīvās izmaksas </w:t>
            </w:r>
            <w:r w:rsidR="00613EEB">
              <w:rPr>
                <w:rFonts w:ascii="Times New Roman" w:eastAsia="Times New Roman" w:hAnsi="Times New Roman"/>
                <w:sz w:val="24"/>
                <w:szCs w:val="24"/>
              </w:rPr>
              <w:t xml:space="preserve">saistībā ar </w:t>
            </w:r>
            <w:r w:rsidR="00544744" w:rsidRPr="00544744">
              <w:rPr>
                <w:rFonts w:ascii="Times New Roman" w:eastAsia="Times New Roman" w:hAnsi="Times New Roman"/>
                <w:sz w:val="24"/>
                <w:szCs w:val="24"/>
              </w:rPr>
              <w:t>Noteikumu 1.8. punktā minēto zāļu realizācijas datu sniegšanu zāļu ražot</w:t>
            </w:r>
            <w:r w:rsidR="00544744">
              <w:rPr>
                <w:rFonts w:ascii="Times New Roman" w:eastAsia="Times New Roman" w:hAnsi="Times New Roman"/>
                <w:sz w:val="24"/>
                <w:szCs w:val="24"/>
              </w:rPr>
              <w:t xml:space="preserve">ājiem līdz </w:t>
            </w:r>
            <w:r w:rsidR="00544744">
              <w:rPr>
                <w:rFonts w:ascii="Times New Roman" w:eastAsia="Times New Roman" w:hAnsi="Times New Roman"/>
                <w:sz w:val="24"/>
                <w:szCs w:val="24"/>
              </w:rPr>
              <w:lastRenderedPageBreak/>
              <w:t xml:space="preserve">2015.gada 1.janvārim </w:t>
            </w:r>
            <w:r w:rsidR="00544744" w:rsidRPr="00544744">
              <w:rPr>
                <w:rFonts w:ascii="Times New Roman" w:eastAsia="Times New Roman" w:hAnsi="Times New Roman"/>
                <w:sz w:val="24"/>
                <w:szCs w:val="24"/>
              </w:rPr>
              <w:t>bez maksas</w:t>
            </w:r>
            <w:r w:rsidR="00544744">
              <w:rPr>
                <w:rFonts w:ascii="Times New Roman" w:eastAsia="Times New Roman" w:hAnsi="Times New Roman"/>
                <w:sz w:val="24"/>
                <w:szCs w:val="24"/>
              </w:rPr>
              <w:t xml:space="preserve"> būs 9</w:t>
            </w:r>
            <w:r w:rsidR="00D4233F">
              <w:rPr>
                <w:rFonts w:ascii="Times New Roman" w:eastAsia="Times New Roman" w:hAnsi="Times New Roman"/>
                <w:sz w:val="24"/>
                <w:szCs w:val="24"/>
              </w:rPr>
              <w:t xml:space="preserve"> </w:t>
            </w:r>
            <w:r w:rsidR="00544744">
              <w:rPr>
                <w:rFonts w:ascii="Times New Roman" w:eastAsia="Times New Roman" w:hAnsi="Times New Roman"/>
                <w:sz w:val="24"/>
                <w:szCs w:val="24"/>
              </w:rPr>
              <w:t xml:space="preserve">934 </w:t>
            </w:r>
            <w:proofErr w:type="spellStart"/>
            <w:r w:rsidR="00544744">
              <w:rPr>
                <w:rFonts w:ascii="Times New Roman" w:eastAsia="Times New Roman" w:hAnsi="Times New Roman"/>
                <w:sz w:val="24"/>
                <w:szCs w:val="24"/>
              </w:rPr>
              <w:t>euro</w:t>
            </w:r>
            <w:proofErr w:type="spellEnd"/>
            <w:r w:rsidR="00544744">
              <w:rPr>
                <w:rFonts w:ascii="Times New Roman" w:eastAsia="Times New Roman" w:hAnsi="Times New Roman"/>
                <w:sz w:val="24"/>
                <w:szCs w:val="24"/>
              </w:rPr>
              <w:t>.</w:t>
            </w:r>
          </w:p>
        </w:tc>
      </w:tr>
      <w:tr w:rsidR="00AE72E6" w:rsidRPr="0033110D" w:rsidTr="00AE72E6">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lastRenderedPageBreak/>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62E63"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Nav</w:t>
            </w:r>
          </w:p>
        </w:tc>
      </w:tr>
    </w:tbl>
    <w:p w:rsidR="00AE72E6" w:rsidRPr="005556C7" w:rsidRDefault="00AE72E6" w:rsidP="00AE72E6">
      <w:pPr>
        <w:spacing w:after="0" w:line="240" w:lineRule="auto"/>
        <w:rPr>
          <w:rFonts w:ascii="Times New Roman" w:eastAsia="Times New Roman" w:hAnsi="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3203"/>
        <w:gridCol w:w="1225"/>
        <w:gridCol w:w="1601"/>
        <w:gridCol w:w="1130"/>
        <w:gridCol w:w="1225"/>
        <w:gridCol w:w="1036"/>
      </w:tblGrid>
      <w:tr w:rsidR="00AE72E6" w:rsidRPr="0033110D" w:rsidTr="00AE72E6">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III. Tiesību akta projekta ietekme uz valsts budžetu un pašvaldību budžetiem</w:t>
            </w:r>
          </w:p>
        </w:tc>
      </w:tr>
      <w:tr w:rsidR="00AE72E6" w:rsidRPr="0033110D" w:rsidTr="005331D7">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n-tais gads</w:t>
            </w:r>
          </w:p>
        </w:tc>
        <w:tc>
          <w:tcPr>
            <w:tcW w:w="18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Turpmākie trīs gadi (latos)</w:t>
            </w:r>
          </w:p>
        </w:tc>
      </w:tr>
      <w:tr w:rsidR="00AE72E6" w:rsidRPr="0033110D" w:rsidTr="005331D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after="0" w:line="240" w:lineRule="auto"/>
              <w:rPr>
                <w:rFonts w:ascii="Times New Roman" w:eastAsia="Times New Roman" w:hAnsi="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after="0" w:line="240" w:lineRule="auto"/>
              <w:rPr>
                <w:rFonts w:ascii="Times New Roman" w:eastAsia="Times New Roman" w:hAnsi="Times New Roman"/>
                <w:b/>
                <w:bCs/>
                <w:sz w:val="24"/>
                <w:szCs w:val="24"/>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n+1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n+2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n+3</w:t>
            </w:r>
          </w:p>
        </w:tc>
      </w:tr>
      <w:tr w:rsidR="00AE72E6" w:rsidRPr="0033110D" w:rsidTr="005331D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after="0" w:line="240" w:lineRule="auto"/>
              <w:rPr>
                <w:rFonts w:ascii="Times New Roman" w:eastAsia="Times New Roman" w:hAnsi="Times New Roman"/>
                <w:b/>
                <w:bCs/>
                <w:sz w:val="24"/>
                <w:szCs w:val="24"/>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izmaiņas, salīdzinot ar kārtējo (n) gadu</w:t>
            </w:r>
          </w:p>
        </w:tc>
      </w:tr>
      <w:tr w:rsidR="00AE72E6"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6</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r>
      <w:tr w:rsidR="005331D7" w:rsidRPr="0033110D" w:rsidTr="005331D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X</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rPr>
                <w:b/>
                <w:i/>
              </w:rPr>
            </w:pPr>
            <w:r w:rsidRPr="005556C7">
              <w:rPr>
                <w:b/>
                <w:i/>
              </w:rPr>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5331D7">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416AED">
            <w:pPr>
              <w:pStyle w:val="naisf"/>
              <w:spacing w:before="0" w:after="0"/>
              <w:ind w:firstLine="0"/>
              <w:jc w:val="center"/>
            </w:pPr>
            <w:r w:rsidRPr="005556C7">
              <w:t>0</w:t>
            </w:r>
          </w:p>
        </w:tc>
      </w:tr>
      <w:tr w:rsidR="005331D7" w:rsidRPr="0033110D" w:rsidTr="00AE72E6">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 xml:space="preserve">6. Detalizēts ieņēmumu un izdevumu aprēķins (ja nepieciešams, detalizētu </w:t>
            </w:r>
            <w:r w:rsidRPr="005556C7">
              <w:rPr>
                <w:rFonts w:ascii="Times New Roman" w:eastAsia="Times New Roman" w:hAnsi="Times New Roman"/>
                <w:sz w:val="24"/>
                <w:szCs w:val="24"/>
              </w:rPr>
              <w:lastRenderedPageBreak/>
              <w:t>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5D78" w:rsidRPr="0033110D" w:rsidRDefault="00ED5D78" w:rsidP="00EE65CD">
            <w:pPr>
              <w:autoSpaceDE w:val="0"/>
              <w:autoSpaceDN w:val="0"/>
              <w:adjustRightInd w:val="0"/>
              <w:spacing w:after="0" w:line="240" w:lineRule="auto"/>
              <w:jc w:val="both"/>
              <w:rPr>
                <w:rFonts w:ascii="Times New Roman" w:hAnsi="Times New Roman"/>
                <w:sz w:val="24"/>
                <w:szCs w:val="24"/>
              </w:rPr>
            </w:pPr>
            <w:r w:rsidRPr="0033110D">
              <w:rPr>
                <w:rFonts w:ascii="Times New Roman" w:hAnsi="Times New Roman"/>
                <w:bCs/>
                <w:sz w:val="24"/>
                <w:szCs w:val="24"/>
              </w:rPr>
              <w:lastRenderedPageBreak/>
              <w:t xml:space="preserve">Pamatojoties uz </w:t>
            </w:r>
            <w:r w:rsidR="00E17F50">
              <w:rPr>
                <w:rFonts w:ascii="Times New Roman" w:hAnsi="Times New Roman"/>
                <w:sz w:val="24"/>
                <w:szCs w:val="24"/>
              </w:rPr>
              <w:t>N</w:t>
            </w:r>
            <w:r w:rsidRPr="0033110D">
              <w:rPr>
                <w:rFonts w:ascii="Times New Roman" w:hAnsi="Times New Roman"/>
                <w:sz w:val="24"/>
                <w:szCs w:val="24"/>
              </w:rPr>
              <w:t>oteikumiem Nr.537 „Zāļu valsts aģentūras nolikums”</w:t>
            </w:r>
            <w:r w:rsidRPr="0033110D">
              <w:t xml:space="preserve"> </w:t>
            </w:r>
            <w:r w:rsidRPr="0033110D">
              <w:rPr>
                <w:rFonts w:ascii="Times New Roman" w:hAnsi="Times New Roman"/>
                <w:sz w:val="24"/>
                <w:szCs w:val="24"/>
              </w:rPr>
              <w:t xml:space="preserve">Veselības ministrijas padotībā esošā Aģentūra ar 2013.gada 1.janvāri darbojas saskaņā ar Publisko aģentūru </w:t>
            </w:r>
            <w:r w:rsidRPr="0033110D">
              <w:rPr>
                <w:rFonts w:ascii="Times New Roman" w:hAnsi="Times New Roman"/>
                <w:sz w:val="24"/>
                <w:szCs w:val="24"/>
              </w:rPr>
              <w:lastRenderedPageBreak/>
              <w:t>likuma prasībām</w:t>
            </w:r>
            <w:r w:rsidRPr="0033110D">
              <w:rPr>
                <w:rFonts w:ascii="Times New Roman" w:hAnsi="Times New Roman"/>
                <w:bCs/>
                <w:sz w:val="24"/>
                <w:szCs w:val="24"/>
              </w:rPr>
              <w:t xml:space="preserve"> </w:t>
            </w:r>
            <w:r w:rsidRPr="0033110D">
              <w:rPr>
                <w:rFonts w:ascii="Times New Roman" w:hAnsi="Times New Roman"/>
                <w:sz w:val="24"/>
                <w:szCs w:val="24"/>
              </w:rPr>
              <w:t xml:space="preserve">kā budžeta nefinansēta iestāde pakalpojumu sniegšanas jomā un ar valsts pārvaldes uzdevumu nodrošināšanu saistītos izdevumus sedz no ieņēmumiem no maksas pakalpojumiem. </w:t>
            </w:r>
          </w:p>
          <w:p w:rsidR="00064D4A" w:rsidRDefault="00064D4A" w:rsidP="00064D4A">
            <w:pPr>
              <w:pStyle w:val="naisc"/>
              <w:spacing w:before="0" w:after="0"/>
              <w:jc w:val="both"/>
            </w:pPr>
            <w:r w:rsidRPr="00C100B5">
              <w:t>MK noteikumu Nr.873 pielikumā iekļautajiem maksas pakalpojumiem nepiemēro pievienotās vērtības nodokli saskaņā ar Pievienotās vērtības nodokļa likuma 3.panta astoto daļu</w:t>
            </w:r>
            <w:r>
              <w:t>.</w:t>
            </w:r>
          </w:p>
          <w:p w:rsidR="00064D4A" w:rsidRDefault="00064D4A" w:rsidP="00064D4A">
            <w:pPr>
              <w:pStyle w:val="naisc"/>
              <w:spacing w:before="0" w:after="0"/>
              <w:jc w:val="both"/>
            </w:pPr>
            <w:r w:rsidRPr="003F5D43">
              <w:t>Publisko aģentūru likuma 5.panta pirmā daļa nosaka, ka valsts aģentūra sniedz maksas pakalpojumus, nodrošinot valsts pārvaldes uzdevumu īstenošanu saskaņā ar Ministru kabineta apstiprinātu cenrādi.</w:t>
            </w:r>
          </w:p>
          <w:p w:rsidR="00064D4A" w:rsidRPr="00064D4A" w:rsidRDefault="00064D4A" w:rsidP="00064D4A">
            <w:pPr>
              <w:keepNext/>
              <w:keepLines/>
              <w:autoSpaceDE w:val="0"/>
              <w:autoSpaceDN w:val="0"/>
              <w:adjustRightInd w:val="0"/>
              <w:spacing w:after="0" w:line="240" w:lineRule="auto"/>
              <w:jc w:val="both"/>
              <w:rPr>
                <w:rFonts w:ascii="Times New Roman" w:eastAsia="Times New Roman" w:hAnsi="Times New Roman"/>
                <w:sz w:val="24"/>
                <w:szCs w:val="24"/>
                <w:lang w:eastAsia="lv-LV"/>
              </w:rPr>
            </w:pPr>
            <w:r w:rsidRPr="00064D4A">
              <w:rPr>
                <w:rFonts w:ascii="Times New Roman" w:eastAsia="Times New Roman" w:hAnsi="Times New Roman"/>
                <w:sz w:val="24"/>
                <w:szCs w:val="24"/>
                <w:lang w:eastAsia="lv-LV"/>
              </w:rPr>
              <w:t>Saskaņā ar Ministru kabineta 2012.gada 31.jūlija noteikumu Nr.537 „Zāļu valsts aģentūras nolikums”, kas izdoti saskaņā ar Publisko aģentūru likumu, 5.2.apakšpunktu Zāļu valsts aģentūrai ir tiesības iekasēt maksu par sniegtajiem publiskajiem pakalpojumiem Ministru kabineta noteiktajā apmērā.</w:t>
            </w:r>
          </w:p>
          <w:p w:rsidR="00ED5D78" w:rsidRPr="0033110D" w:rsidRDefault="00ED5D78" w:rsidP="00EE65CD">
            <w:pPr>
              <w:keepNext/>
              <w:keepLines/>
              <w:autoSpaceDE w:val="0"/>
              <w:autoSpaceDN w:val="0"/>
              <w:adjustRightInd w:val="0"/>
              <w:spacing w:after="0" w:line="240" w:lineRule="auto"/>
              <w:jc w:val="both"/>
              <w:rPr>
                <w:rFonts w:ascii="Times New Roman" w:hAnsi="Times New Roman"/>
                <w:sz w:val="24"/>
                <w:szCs w:val="24"/>
              </w:rPr>
            </w:pPr>
            <w:r w:rsidRPr="00064D4A">
              <w:rPr>
                <w:rFonts w:ascii="Times New Roman" w:eastAsia="Times New Roman" w:hAnsi="Times New Roman"/>
                <w:sz w:val="24"/>
                <w:szCs w:val="24"/>
                <w:lang w:eastAsia="lv-LV"/>
              </w:rPr>
              <w:t>Saskaņā ar Likuma par budžetu un finanšu vadību 41.panta (11) daļu aģentūras kā</w:t>
            </w:r>
            <w:r w:rsidRPr="0033110D">
              <w:rPr>
                <w:rFonts w:ascii="Times New Roman" w:hAnsi="Times New Roman"/>
                <w:sz w:val="24"/>
                <w:szCs w:val="24"/>
              </w:rPr>
              <w:t xml:space="preserve"> budžeta nefinansētas iestādes 201</w:t>
            </w:r>
            <w:r w:rsidR="00E322DC" w:rsidRPr="0033110D">
              <w:rPr>
                <w:rFonts w:ascii="Times New Roman" w:hAnsi="Times New Roman"/>
                <w:sz w:val="24"/>
                <w:szCs w:val="24"/>
              </w:rPr>
              <w:t>4</w:t>
            </w:r>
            <w:r w:rsidRPr="0033110D">
              <w:rPr>
                <w:rFonts w:ascii="Times New Roman" w:hAnsi="Times New Roman"/>
                <w:sz w:val="24"/>
                <w:szCs w:val="24"/>
              </w:rPr>
              <w:t>.gada budžets apstiprināts ar Ministru kabineta 201</w:t>
            </w:r>
            <w:r w:rsidR="00C35C59">
              <w:rPr>
                <w:rFonts w:ascii="Times New Roman" w:hAnsi="Times New Roman"/>
                <w:sz w:val="24"/>
                <w:szCs w:val="24"/>
              </w:rPr>
              <w:t>3</w:t>
            </w:r>
            <w:r w:rsidRPr="0033110D">
              <w:rPr>
                <w:rFonts w:ascii="Times New Roman" w:hAnsi="Times New Roman"/>
                <w:sz w:val="24"/>
                <w:szCs w:val="24"/>
              </w:rPr>
              <w:t>.gada 3</w:t>
            </w:r>
            <w:r w:rsidR="00E322DC" w:rsidRPr="0033110D">
              <w:rPr>
                <w:rFonts w:ascii="Times New Roman" w:hAnsi="Times New Roman"/>
                <w:sz w:val="24"/>
                <w:szCs w:val="24"/>
              </w:rPr>
              <w:t>1</w:t>
            </w:r>
            <w:r w:rsidRPr="0033110D">
              <w:rPr>
                <w:rFonts w:ascii="Times New Roman" w:hAnsi="Times New Roman"/>
                <w:sz w:val="24"/>
                <w:szCs w:val="24"/>
              </w:rPr>
              <w:t>.oktobra rīkojumu Nr.5</w:t>
            </w:r>
            <w:r w:rsidR="00E322DC" w:rsidRPr="0033110D">
              <w:rPr>
                <w:rFonts w:ascii="Times New Roman" w:hAnsi="Times New Roman"/>
                <w:sz w:val="24"/>
                <w:szCs w:val="24"/>
              </w:rPr>
              <w:t>15</w:t>
            </w:r>
            <w:r w:rsidRPr="0033110D">
              <w:rPr>
                <w:rFonts w:ascii="Times New Roman" w:hAnsi="Times New Roman"/>
                <w:sz w:val="24"/>
                <w:szCs w:val="24"/>
              </w:rPr>
              <w:t xml:space="preserve"> „</w:t>
            </w:r>
            <w:r w:rsidRPr="0033110D">
              <w:rPr>
                <w:rFonts w:ascii="Times New Roman" w:hAnsi="Times New Roman"/>
                <w:bCs/>
                <w:sz w:val="24"/>
                <w:szCs w:val="24"/>
              </w:rPr>
              <w:t>Par Zāļu valsts aģentūras 201</w:t>
            </w:r>
            <w:r w:rsidR="00E322DC" w:rsidRPr="0033110D">
              <w:rPr>
                <w:rFonts w:ascii="Times New Roman" w:hAnsi="Times New Roman"/>
                <w:bCs/>
                <w:sz w:val="24"/>
                <w:szCs w:val="24"/>
              </w:rPr>
              <w:t>4</w:t>
            </w:r>
            <w:r w:rsidRPr="0033110D">
              <w:rPr>
                <w:rFonts w:ascii="Times New Roman" w:hAnsi="Times New Roman"/>
                <w:bCs/>
                <w:sz w:val="24"/>
                <w:szCs w:val="24"/>
              </w:rPr>
              <w:t xml:space="preserve">.gada budžeta apstiprināšanu” </w:t>
            </w:r>
            <w:r w:rsidRPr="0033110D">
              <w:rPr>
                <w:rFonts w:ascii="Times New Roman" w:hAnsi="Times New Roman"/>
                <w:sz w:val="24"/>
                <w:szCs w:val="24"/>
              </w:rPr>
              <w:t xml:space="preserve">ieņēmumu daļā </w:t>
            </w:r>
            <w:r w:rsidR="00E322DC" w:rsidRPr="0033110D">
              <w:rPr>
                <w:rFonts w:ascii="Times New Roman" w:hAnsi="Times New Roman"/>
                <w:sz w:val="24"/>
                <w:szCs w:val="24"/>
              </w:rPr>
              <w:t>4 609 718</w:t>
            </w:r>
            <w:r w:rsidRPr="0033110D">
              <w:rPr>
                <w:rFonts w:ascii="Times New Roman" w:hAnsi="Times New Roman"/>
                <w:sz w:val="24"/>
                <w:szCs w:val="24"/>
              </w:rPr>
              <w:t xml:space="preserve"> </w:t>
            </w:r>
            <w:proofErr w:type="spellStart"/>
            <w:r w:rsidR="00E322DC" w:rsidRPr="0033110D">
              <w:rPr>
                <w:rFonts w:ascii="Times New Roman" w:hAnsi="Times New Roman"/>
                <w:sz w:val="24"/>
                <w:szCs w:val="24"/>
              </w:rPr>
              <w:t>euro</w:t>
            </w:r>
            <w:proofErr w:type="spellEnd"/>
            <w:r w:rsidRPr="0033110D">
              <w:rPr>
                <w:rFonts w:ascii="Times New Roman" w:hAnsi="Times New Roman"/>
                <w:sz w:val="24"/>
                <w:szCs w:val="24"/>
              </w:rPr>
              <w:t xml:space="preserve"> apmērā un izdevumu </w:t>
            </w:r>
            <w:r w:rsidRPr="0033110D">
              <w:rPr>
                <w:rFonts w:ascii="Times New Roman" w:hAnsi="Times New Roman"/>
                <w:bCs/>
                <w:sz w:val="24"/>
                <w:szCs w:val="24"/>
              </w:rPr>
              <w:t xml:space="preserve">daļā </w:t>
            </w:r>
            <w:r w:rsidR="00E322DC" w:rsidRPr="0033110D">
              <w:rPr>
                <w:rFonts w:ascii="Times New Roman" w:hAnsi="Times New Roman"/>
                <w:bCs/>
                <w:sz w:val="24"/>
                <w:szCs w:val="24"/>
              </w:rPr>
              <w:t>5 193 063</w:t>
            </w:r>
            <w:r w:rsidRPr="0033110D">
              <w:rPr>
                <w:rFonts w:ascii="Times New Roman" w:hAnsi="Times New Roman"/>
                <w:bCs/>
                <w:sz w:val="24"/>
                <w:szCs w:val="24"/>
              </w:rPr>
              <w:t xml:space="preserve"> </w:t>
            </w:r>
            <w:proofErr w:type="spellStart"/>
            <w:r w:rsidR="00E322DC" w:rsidRPr="0033110D">
              <w:rPr>
                <w:rFonts w:ascii="Times New Roman" w:hAnsi="Times New Roman"/>
                <w:bCs/>
                <w:sz w:val="24"/>
                <w:szCs w:val="24"/>
              </w:rPr>
              <w:t>euro</w:t>
            </w:r>
            <w:proofErr w:type="spellEnd"/>
            <w:r w:rsidRPr="0033110D">
              <w:rPr>
                <w:rFonts w:ascii="Times New Roman" w:hAnsi="Times New Roman"/>
                <w:sz w:val="24"/>
                <w:szCs w:val="24"/>
              </w:rPr>
              <w:t xml:space="preserve"> apmērā.</w:t>
            </w:r>
          </w:p>
          <w:p w:rsidR="008C21AF" w:rsidRPr="0033110D" w:rsidRDefault="00ED5D78" w:rsidP="008C21AF">
            <w:pPr>
              <w:spacing w:after="0" w:line="240" w:lineRule="auto"/>
              <w:jc w:val="both"/>
              <w:rPr>
                <w:rFonts w:ascii="Times New Roman" w:hAnsi="Times New Roman"/>
                <w:sz w:val="24"/>
                <w:szCs w:val="24"/>
              </w:rPr>
            </w:pPr>
            <w:r w:rsidRPr="0033110D">
              <w:rPr>
                <w:rFonts w:ascii="Times New Roman" w:hAnsi="Times New Roman"/>
                <w:sz w:val="24"/>
                <w:szCs w:val="24"/>
              </w:rPr>
              <w:t>Detalizētus aprēķinus par aģentūras jauno maksas pakalpojumu ieņēmumu apjomu 2014.gadā un tiem atbilstošajiem izdevumiem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w:t>
            </w:r>
            <w:r w:rsidR="00ED7770">
              <w:rPr>
                <w:rFonts w:ascii="Times New Roman" w:hAnsi="Times New Roman"/>
                <w:sz w:val="24"/>
                <w:szCs w:val="24"/>
              </w:rPr>
              <w:t xml:space="preserve">ība” prasībām skatīt anotācijas </w:t>
            </w:r>
            <w:r w:rsidR="008C21AF" w:rsidRPr="0033110D">
              <w:rPr>
                <w:rFonts w:ascii="Times New Roman" w:hAnsi="Times New Roman"/>
                <w:sz w:val="24"/>
                <w:szCs w:val="24"/>
              </w:rPr>
              <w:t>pielikum</w:t>
            </w:r>
            <w:r w:rsidR="008C21AF">
              <w:rPr>
                <w:rFonts w:ascii="Times New Roman" w:hAnsi="Times New Roman"/>
                <w:sz w:val="24"/>
                <w:szCs w:val="24"/>
              </w:rPr>
              <w:t>os</w:t>
            </w:r>
            <w:r w:rsidR="008C21AF" w:rsidRPr="0033110D">
              <w:rPr>
                <w:rFonts w:ascii="Times New Roman" w:hAnsi="Times New Roman"/>
                <w:sz w:val="24"/>
                <w:szCs w:val="24"/>
              </w:rPr>
              <w:t xml:space="preserve"> Nr.1</w:t>
            </w:r>
            <w:r w:rsidR="008C21AF">
              <w:rPr>
                <w:rFonts w:ascii="Times New Roman" w:hAnsi="Times New Roman"/>
                <w:sz w:val="24"/>
                <w:szCs w:val="24"/>
              </w:rPr>
              <w:t>-3.</w:t>
            </w:r>
          </w:p>
          <w:p w:rsidR="00ED5D78" w:rsidRPr="0033110D" w:rsidRDefault="00ED5D78" w:rsidP="00EE65CD">
            <w:pPr>
              <w:spacing w:after="0" w:line="240" w:lineRule="auto"/>
              <w:jc w:val="both"/>
              <w:rPr>
                <w:rFonts w:ascii="Times New Roman" w:hAnsi="Times New Roman"/>
                <w:sz w:val="24"/>
                <w:szCs w:val="24"/>
              </w:rPr>
            </w:pPr>
            <w:r w:rsidRPr="0033110D">
              <w:rPr>
                <w:rFonts w:ascii="Times New Roman" w:hAnsi="Times New Roman"/>
                <w:sz w:val="24"/>
                <w:szCs w:val="24"/>
              </w:rPr>
              <w:t xml:space="preserve">Ņemot vērā, ka </w:t>
            </w:r>
            <w:r w:rsidR="00A06843" w:rsidRPr="00FD20EE">
              <w:rPr>
                <w:rFonts w:ascii="Times New Roman" w:eastAsia="Times New Roman" w:hAnsi="Times New Roman"/>
                <w:sz w:val="24"/>
                <w:szCs w:val="24"/>
              </w:rPr>
              <w:t>Ministru kabineta noteikumu projekt</w:t>
            </w:r>
            <w:r w:rsidR="00A06843">
              <w:rPr>
                <w:rFonts w:ascii="Times New Roman" w:eastAsia="Times New Roman" w:hAnsi="Times New Roman"/>
                <w:sz w:val="24"/>
                <w:szCs w:val="24"/>
              </w:rPr>
              <w:t>s</w:t>
            </w:r>
            <w:r w:rsidR="00A06843" w:rsidRPr="00FD20EE">
              <w:rPr>
                <w:rFonts w:ascii="Times New Roman" w:eastAsia="Times New Roman" w:hAnsi="Times New Roman"/>
                <w:sz w:val="24"/>
                <w:szCs w:val="24"/>
              </w:rPr>
              <w:t xml:space="preserve"> „Grozījumi 2013.gada 17.septembra noteikumos Nr. 873 „Zāļu valsts aģentūras maksas pakalpojumu cenrādis””</w:t>
            </w:r>
            <w:r w:rsidR="00A06843">
              <w:rPr>
                <w:rFonts w:ascii="Times New Roman" w:eastAsia="Times New Roman" w:hAnsi="Times New Roman"/>
                <w:sz w:val="24"/>
                <w:szCs w:val="24"/>
              </w:rPr>
              <w:t xml:space="preserve"> (turpmāk - </w:t>
            </w:r>
            <w:r w:rsidRPr="0033110D">
              <w:rPr>
                <w:rFonts w:ascii="Times New Roman" w:hAnsi="Times New Roman"/>
                <w:sz w:val="24"/>
                <w:szCs w:val="24"/>
              </w:rPr>
              <w:t>Noteikumu projekts</w:t>
            </w:r>
            <w:r w:rsidR="00A06843">
              <w:rPr>
                <w:rFonts w:ascii="Times New Roman" w:hAnsi="Times New Roman"/>
                <w:sz w:val="24"/>
                <w:szCs w:val="24"/>
              </w:rPr>
              <w:t>)</w:t>
            </w:r>
            <w:r w:rsidRPr="0033110D">
              <w:rPr>
                <w:rFonts w:ascii="Times New Roman" w:hAnsi="Times New Roman"/>
                <w:sz w:val="24"/>
                <w:szCs w:val="24"/>
              </w:rPr>
              <w:t xml:space="preserve"> par</w:t>
            </w:r>
            <w:r w:rsidR="002421B0" w:rsidRPr="0033110D">
              <w:rPr>
                <w:rFonts w:ascii="Times New Roman" w:hAnsi="Times New Roman"/>
                <w:sz w:val="24"/>
                <w:szCs w:val="24"/>
              </w:rPr>
              <w:t>edz maksas pakalpojumu ieņēmumu un</w:t>
            </w:r>
            <w:r w:rsidRPr="0033110D">
              <w:rPr>
                <w:rFonts w:ascii="Times New Roman" w:hAnsi="Times New Roman"/>
                <w:sz w:val="24"/>
                <w:szCs w:val="24"/>
              </w:rPr>
              <w:t xml:space="preserve"> izdevumu palielinājumu</w:t>
            </w:r>
            <w:r w:rsidR="006D74D2">
              <w:rPr>
                <w:rFonts w:ascii="Times New Roman" w:hAnsi="Times New Roman"/>
                <w:sz w:val="24"/>
                <w:szCs w:val="24"/>
              </w:rPr>
              <w:t>, n</w:t>
            </w:r>
            <w:r w:rsidRPr="0033110D">
              <w:rPr>
                <w:rFonts w:ascii="Times New Roman" w:hAnsi="Times New Roman"/>
                <w:sz w:val="24"/>
                <w:szCs w:val="24"/>
              </w:rPr>
              <w:t>oteikumu projekts tiks īstenots, mainot attiecīgā budžeta finansējuma sadalījumu:</w:t>
            </w:r>
          </w:p>
          <w:p w:rsidR="00DF6580" w:rsidRPr="0033110D" w:rsidRDefault="00ED5D78" w:rsidP="00DF6580">
            <w:pPr>
              <w:spacing w:after="0" w:line="240" w:lineRule="auto"/>
              <w:jc w:val="both"/>
              <w:rPr>
                <w:rFonts w:ascii="Times New Roman" w:hAnsi="Times New Roman"/>
                <w:sz w:val="24"/>
                <w:szCs w:val="24"/>
              </w:rPr>
            </w:pPr>
            <w:r w:rsidRPr="0033110D">
              <w:rPr>
                <w:rFonts w:ascii="Times New Roman" w:hAnsi="Times New Roman"/>
                <w:sz w:val="24"/>
                <w:szCs w:val="24"/>
                <w:u w:val="single"/>
              </w:rPr>
              <w:t>2014.</w:t>
            </w:r>
            <w:r w:rsidR="00DF6580">
              <w:rPr>
                <w:rFonts w:ascii="Times New Roman" w:hAnsi="Times New Roman"/>
                <w:sz w:val="24"/>
                <w:szCs w:val="24"/>
                <w:u w:val="single"/>
              </w:rPr>
              <w:t>gadam</w:t>
            </w:r>
            <w:r w:rsidR="00DF6580" w:rsidRPr="0033110D">
              <w:rPr>
                <w:rFonts w:ascii="Times New Roman" w:hAnsi="Times New Roman"/>
                <w:sz w:val="24"/>
                <w:szCs w:val="24"/>
              </w:rPr>
              <w:t xml:space="preserve"> </w:t>
            </w:r>
            <w:r w:rsidR="00ED7770">
              <w:rPr>
                <w:rFonts w:ascii="Times New Roman" w:hAnsi="Times New Roman"/>
                <w:sz w:val="24"/>
                <w:szCs w:val="24"/>
              </w:rPr>
              <w:t>Pakalpojumu skaits plānots ņ</w:t>
            </w:r>
            <w:r w:rsidR="00D4233F">
              <w:rPr>
                <w:rFonts w:ascii="Times New Roman" w:hAnsi="Times New Roman"/>
                <w:sz w:val="24"/>
                <w:szCs w:val="24"/>
              </w:rPr>
              <w:t xml:space="preserve">emot vērā, ka Noteikumu projekts pēc izskatīšanas Ministru kabinetā varētu stāties spēkā 2014.gada septembrī, un </w:t>
            </w:r>
            <w:r w:rsidR="00DF6580" w:rsidRPr="0033110D">
              <w:rPr>
                <w:rFonts w:ascii="Times New Roman" w:hAnsi="Times New Roman"/>
                <w:sz w:val="24"/>
                <w:szCs w:val="24"/>
              </w:rPr>
              <w:t>Zāļu valsts</w:t>
            </w:r>
            <w:r w:rsidR="00DF6580">
              <w:rPr>
                <w:rFonts w:ascii="Times New Roman" w:hAnsi="Times New Roman"/>
                <w:sz w:val="24"/>
                <w:szCs w:val="24"/>
              </w:rPr>
              <w:t xml:space="preserve"> aģentūrai plānoti pašu ieņēmumu</w:t>
            </w:r>
            <w:r w:rsidR="00DF6580" w:rsidRPr="0033110D">
              <w:rPr>
                <w:rFonts w:ascii="Times New Roman" w:hAnsi="Times New Roman"/>
                <w:sz w:val="24"/>
                <w:szCs w:val="24"/>
              </w:rPr>
              <w:t xml:space="preserve"> no maksas pakalpojumiem palielinājums par </w:t>
            </w:r>
            <w:r w:rsidR="00D4233F">
              <w:rPr>
                <w:rFonts w:ascii="Times New Roman" w:hAnsi="Times New Roman"/>
                <w:sz w:val="24"/>
                <w:szCs w:val="24"/>
              </w:rPr>
              <w:t>1 765</w:t>
            </w:r>
            <w:r w:rsidR="00DF6580" w:rsidRPr="0033110D">
              <w:rPr>
                <w:rFonts w:ascii="Times New Roman" w:hAnsi="Times New Roman"/>
                <w:sz w:val="24"/>
                <w:szCs w:val="24"/>
              </w:rPr>
              <w:t xml:space="preserve"> </w:t>
            </w:r>
            <w:proofErr w:type="spellStart"/>
            <w:r w:rsidR="00DF6580" w:rsidRPr="0033110D">
              <w:rPr>
                <w:rFonts w:ascii="Times New Roman" w:hAnsi="Times New Roman"/>
                <w:sz w:val="24"/>
                <w:szCs w:val="24"/>
                <w:lang w:eastAsia="lv-LV"/>
              </w:rPr>
              <w:t>euro</w:t>
            </w:r>
            <w:proofErr w:type="spellEnd"/>
            <w:r w:rsidR="00DF6580" w:rsidRPr="0033110D">
              <w:rPr>
                <w:rFonts w:ascii="Times New Roman" w:hAnsi="Times New Roman"/>
                <w:sz w:val="24"/>
                <w:szCs w:val="24"/>
                <w:lang w:eastAsia="lv-LV"/>
              </w:rPr>
              <w:t xml:space="preserve"> </w:t>
            </w:r>
            <w:r w:rsidR="00DF6580" w:rsidRPr="0033110D">
              <w:rPr>
                <w:rFonts w:ascii="Times New Roman" w:hAnsi="Times New Roman"/>
                <w:lang w:eastAsia="lv-LV"/>
              </w:rPr>
              <w:t>apmērā</w:t>
            </w:r>
            <w:r w:rsidR="00DF6580" w:rsidRPr="0033110D">
              <w:rPr>
                <w:rFonts w:ascii="Times New Roman" w:hAnsi="Times New Roman"/>
                <w:sz w:val="24"/>
                <w:szCs w:val="24"/>
                <w:lang w:eastAsia="lv-LV"/>
              </w:rPr>
              <w:t xml:space="preserve">  </w:t>
            </w:r>
            <w:r w:rsidR="00DF6580" w:rsidRPr="0033110D">
              <w:rPr>
                <w:rFonts w:ascii="Times New Roman" w:hAnsi="Times New Roman"/>
                <w:sz w:val="24"/>
                <w:szCs w:val="24"/>
              </w:rPr>
              <w:t>šādā sadalījumā pa izdevumu kodiem atbilstoši ekonomiskajām kategorijām:</w:t>
            </w:r>
          </w:p>
          <w:p w:rsidR="00DF6580" w:rsidRPr="0033110D" w:rsidRDefault="00DF6580" w:rsidP="00DF6580">
            <w:pPr>
              <w:autoSpaceDE w:val="0"/>
              <w:autoSpaceDN w:val="0"/>
              <w:adjustRightInd w:val="0"/>
              <w:spacing w:after="0" w:line="240" w:lineRule="auto"/>
              <w:jc w:val="both"/>
              <w:rPr>
                <w:rFonts w:ascii="Times New Roman" w:hAnsi="Times New Roman"/>
                <w:sz w:val="24"/>
                <w:szCs w:val="24"/>
              </w:rPr>
            </w:pPr>
            <w:r w:rsidRPr="0033110D">
              <w:rPr>
                <w:rFonts w:ascii="Times New Roman" w:hAnsi="Times New Roman"/>
                <w:sz w:val="24"/>
                <w:szCs w:val="24"/>
              </w:rPr>
              <w:t xml:space="preserve">EKK 1000 (Atlīdzība) </w:t>
            </w:r>
            <w:r w:rsidR="00665F53">
              <w:rPr>
                <w:rFonts w:ascii="Times New Roman" w:hAnsi="Times New Roman"/>
                <w:sz w:val="24"/>
                <w:szCs w:val="24"/>
              </w:rPr>
              <w:t>1</w:t>
            </w:r>
            <w:r w:rsidR="00D4233F">
              <w:rPr>
                <w:rFonts w:ascii="Times New Roman" w:hAnsi="Times New Roman"/>
                <w:sz w:val="24"/>
                <w:szCs w:val="24"/>
              </w:rPr>
              <w:t xml:space="preserve"> </w:t>
            </w:r>
            <w:r w:rsidR="00665F53">
              <w:rPr>
                <w:rFonts w:ascii="Times New Roman" w:hAnsi="Times New Roman"/>
                <w:sz w:val="24"/>
                <w:szCs w:val="24"/>
              </w:rPr>
              <w:t>2</w:t>
            </w:r>
            <w:r w:rsidR="00D4233F">
              <w:rPr>
                <w:rFonts w:ascii="Times New Roman" w:hAnsi="Times New Roman"/>
                <w:sz w:val="24"/>
                <w:szCs w:val="24"/>
              </w:rPr>
              <w:t>65</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p w:rsidR="00DF6580" w:rsidRPr="0033110D" w:rsidRDefault="00DF6580" w:rsidP="00DF6580">
            <w:pPr>
              <w:autoSpaceDE w:val="0"/>
              <w:autoSpaceDN w:val="0"/>
              <w:adjustRightInd w:val="0"/>
              <w:spacing w:after="0" w:line="240" w:lineRule="auto"/>
              <w:jc w:val="both"/>
              <w:rPr>
                <w:rFonts w:ascii="Times New Roman" w:hAnsi="Times New Roman"/>
                <w:sz w:val="24"/>
                <w:szCs w:val="24"/>
              </w:rPr>
            </w:pPr>
            <w:r w:rsidRPr="0033110D">
              <w:rPr>
                <w:rFonts w:ascii="Times New Roman" w:hAnsi="Times New Roman"/>
                <w:sz w:val="24"/>
                <w:szCs w:val="24"/>
              </w:rPr>
              <w:t xml:space="preserve">EKK 1100 (Atalgojums) </w:t>
            </w:r>
            <w:r w:rsidR="00D4233F">
              <w:rPr>
                <w:rFonts w:ascii="Times New Roman" w:hAnsi="Times New Roman"/>
                <w:sz w:val="24"/>
                <w:szCs w:val="24"/>
              </w:rPr>
              <w:t>1 126</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p w:rsidR="00DF6580" w:rsidRPr="0033110D" w:rsidRDefault="00DF6580" w:rsidP="00DF6580">
            <w:pPr>
              <w:autoSpaceDE w:val="0"/>
              <w:autoSpaceDN w:val="0"/>
              <w:adjustRightInd w:val="0"/>
              <w:spacing w:after="0" w:line="240" w:lineRule="auto"/>
              <w:jc w:val="both"/>
              <w:rPr>
                <w:rFonts w:ascii="Times New Roman" w:hAnsi="Times New Roman"/>
                <w:sz w:val="24"/>
                <w:szCs w:val="24"/>
              </w:rPr>
            </w:pPr>
            <w:r w:rsidRPr="0033110D">
              <w:rPr>
                <w:rFonts w:ascii="Times New Roman" w:hAnsi="Times New Roman"/>
                <w:sz w:val="24"/>
                <w:szCs w:val="24"/>
              </w:rPr>
              <w:t xml:space="preserve">EKK 2000 (Preces un pakalpojumi) </w:t>
            </w:r>
            <w:r w:rsidR="00D4233F">
              <w:rPr>
                <w:rFonts w:ascii="Times New Roman" w:hAnsi="Times New Roman"/>
                <w:sz w:val="24"/>
                <w:szCs w:val="24"/>
              </w:rPr>
              <w:t>716</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p w:rsidR="00DF6580" w:rsidRDefault="00DF6580" w:rsidP="00DF6580">
            <w:pPr>
              <w:spacing w:after="0" w:line="240" w:lineRule="auto"/>
              <w:jc w:val="both"/>
              <w:rPr>
                <w:rFonts w:ascii="Times New Roman" w:hAnsi="Times New Roman"/>
                <w:sz w:val="24"/>
                <w:szCs w:val="24"/>
                <w:u w:val="single"/>
              </w:rPr>
            </w:pPr>
            <w:r w:rsidRPr="0033110D">
              <w:rPr>
                <w:rFonts w:ascii="Times New Roman" w:hAnsi="Times New Roman"/>
                <w:sz w:val="24"/>
                <w:szCs w:val="24"/>
              </w:rPr>
              <w:lastRenderedPageBreak/>
              <w:t xml:space="preserve">EKK 5000 (Pamatkapitāla veidošana) </w:t>
            </w:r>
            <w:r w:rsidR="00665F53">
              <w:rPr>
                <w:rFonts w:ascii="Times New Roman" w:hAnsi="Times New Roman"/>
                <w:sz w:val="24"/>
                <w:szCs w:val="24"/>
              </w:rPr>
              <w:t xml:space="preserve"> samazinājums </w:t>
            </w:r>
            <w:r w:rsidR="00D4233F">
              <w:rPr>
                <w:rFonts w:ascii="Times New Roman" w:hAnsi="Times New Roman"/>
                <w:sz w:val="24"/>
                <w:szCs w:val="24"/>
              </w:rPr>
              <w:t>216</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p w:rsidR="00ED5D78" w:rsidRPr="0033110D" w:rsidRDefault="00ED5D78" w:rsidP="00EE65CD">
            <w:pPr>
              <w:spacing w:after="0" w:line="240" w:lineRule="auto"/>
              <w:jc w:val="both"/>
              <w:rPr>
                <w:rFonts w:ascii="Times New Roman" w:hAnsi="Times New Roman"/>
                <w:sz w:val="24"/>
                <w:szCs w:val="24"/>
              </w:rPr>
            </w:pPr>
            <w:r w:rsidRPr="0033110D">
              <w:rPr>
                <w:rFonts w:ascii="Times New Roman" w:hAnsi="Times New Roman"/>
                <w:sz w:val="24"/>
                <w:szCs w:val="24"/>
                <w:u w:val="single"/>
              </w:rPr>
              <w:t xml:space="preserve">2015.,2016. gadam </w:t>
            </w:r>
            <w:r w:rsidRPr="0033110D">
              <w:rPr>
                <w:rFonts w:ascii="Times New Roman" w:hAnsi="Times New Roman"/>
                <w:sz w:val="24"/>
                <w:szCs w:val="24"/>
              </w:rPr>
              <w:t>Zāļu valsts</w:t>
            </w:r>
            <w:r w:rsidR="006D74D2">
              <w:rPr>
                <w:rFonts w:ascii="Times New Roman" w:hAnsi="Times New Roman"/>
                <w:sz w:val="24"/>
                <w:szCs w:val="24"/>
              </w:rPr>
              <w:t xml:space="preserve"> aģentūrai plānoti pašu ieņēmumu</w:t>
            </w:r>
            <w:r w:rsidRPr="0033110D">
              <w:rPr>
                <w:rFonts w:ascii="Times New Roman" w:hAnsi="Times New Roman"/>
                <w:sz w:val="24"/>
                <w:szCs w:val="24"/>
              </w:rPr>
              <w:t xml:space="preserve"> no maksas pakalpojumiem palielinājums par </w:t>
            </w:r>
            <w:r w:rsidR="00DF6580">
              <w:rPr>
                <w:rFonts w:ascii="Times New Roman" w:hAnsi="Times New Roman"/>
                <w:sz w:val="24"/>
                <w:szCs w:val="24"/>
              </w:rPr>
              <w:t>246 389</w:t>
            </w:r>
            <w:r w:rsidR="00766582" w:rsidRPr="0033110D">
              <w:rPr>
                <w:rFonts w:ascii="Times New Roman" w:hAnsi="Times New Roman"/>
                <w:sz w:val="24"/>
                <w:szCs w:val="24"/>
              </w:rPr>
              <w:t xml:space="preserve"> </w:t>
            </w:r>
            <w:proofErr w:type="spellStart"/>
            <w:r w:rsidRPr="0033110D">
              <w:rPr>
                <w:rFonts w:ascii="Times New Roman" w:hAnsi="Times New Roman"/>
                <w:sz w:val="24"/>
                <w:szCs w:val="24"/>
                <w:lang w:eastAsia="lv-LV"/>
              </w:rPr>
              <w:t>euro</w:t>
            </w:r>
            <w:proofErr w:type="spellEnd"/>
            <w:r w:rsidRPr="0033110D">
              <w:rPr>
                <w:rFonts w:ascii="Times New Roman" w:hAnsi="Times New Roman"/>
                <w:sz w:val="24"/>
                <w:szCs w:val="24"/>
                <w:lang w:eastAsia="lv-LV"/>
              </w:rPr>
              <w:t xml:space="preserve"> </w:t>
            </w:r>
            <w:r w:rsidRPr="0033110D">
              <w:rPr>
                <w:rFonts w:ascii="Times New Roman" w:hAnsi="Times New Roman"/>
                <w:lang w:eastAsia="lv-LV"/>
              </w:rPr>
              <w:t>apmērā</w:t>
            </w:r>
            <w:r w:rsidRPr="0033110D">
              <w:rPr>
                <w:rFonts w:ascii="Times New Roman" w:hAnsi="Times New Roman"/>
                <w:sz w:val="24"/>
                <w:szCs w:val="24"/>
                <w:lang w:eastAsia="lv-LV"/>
              </w:rPr>
              <w:t xml:space="preserve">  </w:t>
            </w:r>
            <w:r w:rsidRPr="0033110D">
              <w:rPr>
                <w:rFonts w:ascii="Times New Roman" w:hAnsi="Times New Roman"/>
                <w:sz w:val="24"/>
                <w:szCs w:val="24"/>
              </w:rPr>
              <w:t>šādā sadalījumā pa izdevumu kodiem atbilstoši ekonomiskajām kategorijām:</w:t>
            </w:r>
          </w:p>
          <w:p w:rsidR="00ED5D78" w:rsidRPr="0033110D" w:rsidRDefault="00ED5D78" w:rsidP="00EE65CD">
            <w:pPr>
              <w:autoSpaceDE w:val="0"/>
              <w:autoSpaceDN w:val="0"/>
              <w:adjustRightInd w:val="0"/>
              <w:spacing w:after="0" w:line="240" w:lineRule="auto"/>
              <w:jc w:val="both"/>
              <w:rPr>
                <w:rFonts w:ascii="Times New Roman" w:hAnsi="Times New Roman"/>
                <w:sz w:val="24"/>
                <w:szCs w:val="24"/>
              </w:rPr>
            </w:pPr>
            <w:r w:rsidRPr="0033110D">
              <w:rPr>
                <w:rFonts w:ascii="Times New Roman" w:hAnsi="Times New Roman"/>
                <w:sz w:val="24"/>
                <w:szCs w:val="24"/>
              </w:rPr>
              <w:t>EKK 1000 (Atlīdzība</w:t>
            </w:r>
            <w:r w:rsidR="00E322DC" w:rsidRPr="0033110D">
              <w:rPr>
                <w:rFonts w:ascii="Times New Roman" w:hAnsi="Times New Roman"/>
                <w:sz w:val="24"/>
                <w:szCs w:val="24"/>
              </w:rPr>
              <w:t>)</w:t>
            </w:r>
            <w:r w:rsidRPr="0033110D">
              <w:rPr>
                <w:rFonts w:ascii="Times New Roman" w:hAnsi="Times New Roman"/>
                <w:sz w:val="24"/>
                <w:szCs w:val="24"/>
              </w:rPr>
              <w:t xml:space="preserve"> </w:t>
            </w:r>
            <w:r w:rsidR="00023D52">
              <w:rPr>
                <w:rFonts w:ascii="Times New Roman" w:hAnsi="Times New Roman"/>
                <w:sz w:val="24"/>
                <w:szCs w:val="24"/>
              </w:rPr>
              <w:t>1</w:t>
            </w:r>
            <w:r w:rsidR="00DF6580">
              <w:rPr>
                <w:rFonts w:ascii="Times New Roman" w:hAnsi="Times New Roman"/>
                <w:sz w:val="24"/>
                <w:szCs w:val="24"/>
              </w:rPr>
              <w:t>05</w:t>
            </w:r>
            <w:r w:rsidR="00023D52">
              <w:rPr>
                <w:rFonts w:ascii="Times New Roman" w:hAnsi="Times New Roman"/>
                <w:sz w:val="24"/>
                <w:szCs w:val="24"/>
              </w:rPr>
              <w:t xml:space="preserve"> </w:t>
            </w:r>
            <w:r w:rsidR="00DF6580">
              <w:rPr>
                <w:rFonts w:ascii="Times New Roman" w:hAnsi="Times New Roman"/>
                <w:sz w:val="24"/>
                <w:szCs w:val="24"/>
              </w:rPr>
              <w:t>375</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p w:rsidR="00ED5D78" w:rsidRPr="0033110D" w:rsidRDefault="00ED5D78" w:rsidP="00EE65CD">
            <w:pPr>
              <w:autoSpaceDE w:val="0"/>
              <w:autoSpaceDN w:val="0"/>
              <w:adjustRightInd w:val="0"/>
              <w:spacing w:after="0" w:line="240" w:lineRule="auto"/>
              <w:jc w:val="both"/>
              <w:rPr>
                <w:rFonts w:ascii="Times New Roman" w:hAnsi="Times New Roman"/>
                <w:sz w:val="24"/>
                <w:szCs w:val="24"/>
              </w:rPr>
            </w:pPr>
            <w:r w:rsidRPr="0033110D">
              <w:rPr>
                <w:rFonts w:ascii="Times New Roman" w:hAnsi="Times New Roman"/>
                <w:sz w:val="24"/>
                <w:szCs w:val="24"/>
              </w:rPr>
              <w:t>EKK 1100 (Atalgojums</w:t>
            </w:r>
            <w:r w:rsidR="00E322DC" w:rsidRPr="0033110D">
              <w:rPr>
                <w:rFonts w:ascii="Times New Roman" w:hAnsi="Times New Roman"/>
                <w:sz w:val="24"/>
                <w:szCs w:val="24"/>
              </w:rPr>
              <w:t>)</w:t>
            </w:r>
            <w:r w:rsidRPr="0033110D">
              <w:rPr>
                <w:rFonts w:ascii="Times New Roman" w:hAnsi="Times New Roman"/>
                <w:sz w:val="24"/>
                <w:szCs w:val="24"/>
              </w:rPr>
              <w:t xml:space="preserve"> </w:t>
            </w:r>
            <w:r w:rsidR="00DF6580">
              <w:rPr>
                <w:rFonts w:ascii="Times New Roman" w:hAnsi="Times New Roman"/>
                <w:sz w:val="24"/>
                <w:szCs w:val="24"/>
              </w:rPr>
              <w:t>85 770</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p w:rsidR="00ED5D78" w:rsidRPr="0033110D" w:rsidRDefault="00ED5D78" w:rsidP="00EE65CD">
            <w:pPr>
              <w:autoSpaceDE w:val="0"/>
              <w:autoSpaceDN w:val="0"/>
              <w:adjustRightInd w:val="0"/>
              <w:spacing w:after="0" w:line="240" w:lineRule="auto"/>
              <w:jc w:val="both"/>
              <w:rPr>
                <w:rFonts w:ascii="Times New Roman" w:hAnsi="Times New Roman"/>
                <w:sz w:val="24"/>
                <w:szCs w:val="24"/>
              </w:rPr>
            </w:pPr>
            <w:r w:rsidRPr="0033110D">
              <w:rPr>
                <w:rFonts w:ascii="Times New Roman" w:hAnsi="Times New Roman"/>
                <w:sz w:val="24"/>
                <w:szCs w:val="24"/>
              </w:rPr>
              <w:t xml:space="preserve">EKK 2000 (Preces un pakalpojumi) </w:t>
            </w:r>
            <w:r w:rsidR="00DF6580">
              <w:rPr>
                <w:rFonts w:ascii="Times New Roman" w:hAnsi="Times New Roman"/>
                <w:sz w:val="24"/>
                <w:szCs w:val="24"/>
              </w:rPr>
              <w:t>112 156</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p w:rsidR="005331D7" w:rsidRPr="005556C7" w:rsidRDefault="00ED5D78" w:rsidP="00DF6580">
            <w:pPr>
              <w:spacing w:after="0" w:line="240" w:lineRule="auto"/>
              <w:jc w:val="both"/>
              <w:rPr>
                <w:rFonts w:ascii="Times New Roman" w:eastAsia="Times New Roman" w:hAnsi="Times New Roman"/>
                <w:sz w:val="24"/>
                <w:szCs w:val="24"/>
              </w:rPr>
            </w:pPr>
            <w:r w:rsidRPr="0033110D">
              <w:rPr>
                <w:rFonts w:ascii="Times New Roman" w:hAnsi="Times New Roman"/>
                <w:sz w:val="24"/>
                <w:szCs w:val="24"/>
              </w:rPr>
              <w:t xml:space="preserve">EKK 5000 (Pamatkapitāla veidošana) </w:t>
            </w:r>
            <w:r w:rsidR="00DF6580">
              <w:rPr>
                <w:rFonts w:ascii="Times New Roman" w:hAnsi="Times New Roman"/>
                <w:sz w:val="24"/>
                <w:szCs w:val="24"/>
              </w:rPr>
              <w:t>28 858</w:t>
            </w:r>
            <w:r w:rsidRPr="0033110D">
              <w:rPr>
                <w:rFonts w:ascii="Times New Roman" w:hAnsi="Times New Roman"/>
                <w:sz w:val="24"/>
                <w:szCs w:val="24"/>
              </w:rPr>
              <w:t xml:space="preserve"> </w:t>
            </w:r>
            <w:proofErr w:type="spellStart"/>
            <w:r w:rsidRPr="0033110D">
              <w:rPr>
                <w:rFonts w:ascii="Times New Roman" w:hAnsi="Times New Roman"/>
                <w:sz w:val="24"/>
                <w:szCs w:val="24"/>
              </w:rPr>
              <w:t>euro</w:t>
            </w:r>
            <w:proofErr w:type="spellEnd"/>
            <w:r w:rsidRPr="0033110D">
              <w:rPr>
                <w:rFonts w:ascii="Times New Roman" w:hAnsi="Times New Roman"/>
                <w:sz w:val="24"/>
                <w:szCs w:val="24"/>
              </w:rPr>
              <w:t>.</w:t>
            </w:r>
          </w:p>
        </w:tc>
      </w:tr>
      <w:tr w:rsidR="005331D7" w:rsidRPr="0033110D" w:rsidTr="00AE72E6">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r>
      <w:tr w:rsidR="005331D7" w:rsidRPr="0033110D" w:rsidTr="00AE72E6">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r>
      <w:tr w:rsidR="005331D7" w:rsidRPr="0033110D" w:rsidTr="00AE72E6">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FD20EE" w:rsidP="00A06843">
            <w:pPr>
              <w:spacing w:before="100" w:beforeAutospacing="1" w:after="100" w:afterAutospacing="1" w:line="285"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Pēc </w:t>
            </w:r>
            <w:r w:rsidR="00A06843">
              <w:rPr>
                <w:rFonts w:ascii="Times New Roman" w:eastAsia="Times New Roman" w:hAnsi="Times New Roman"/>
                <w:sz w:val="24"/>
                <w:szCs w:val="24"/>
              </w:rPr>
              <w:t>Noteikumu projekta</w:t>
            </w:r>
            <w:r>
              <w:rPr>
                <w:rFonts w:ascii="Times New Roman" w:eastAsia="Times New Roman" w:hAnsi="Times New Roman"/>
                <w:sz w:val="24"/>
                <w:szCs w:val="24"/>
              </w:rPr>
              <w:t xml:space="preserve"> spēkā stāšanās </w:t>
            </w:r>
            <w:r w:rsidRPr="00FD20EE">
              <w:rPr>
                <w:rFonts w:ascii="Times New Roman" w:eastAsia="Times New Roman" w:hAnsi="Times New Roman"/>
                <w:sz w:val="24"/>
                <w:szCs w:val="24"/>
              </w:rPr>
              <w:t>Veselības ministrija normatīvajos aktos noteiktajā kārtībā sagatavos un iesniegs Ministru kabinetā grozījumus Ministru kabineta 2013.gada 31.oktobra rīkojumā Nr.515 „Par Zāļu valsts aģentūras 2014.gada budžeta apstiprināšanu”.</w:t>
            </w:r>
          </w:p>
        </w:tc>
      </w:tr>
    </w:tbl>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br/>
      </w:r>
      <w:r w:rsidR="004B325B">
        <w:rPr>
          <w:rFonts w:ascii="Times New Roman" w:eastAsia="Times New Roman" w:hAnsi="Times New Roman"/>
          <w:sz w:val="24"/>
          <w:szCs w:val="24"/>
        </w:rPr>
        <w:t>Anotācijas IV un V sadaļa – projekts šīs jomas neskar</w:t>
      </w:r>
    </w:p>
    <w:p w:rsidR="00AE72E6" w:rsidRPr="005556C7" w:rsidRDefault="00AE72E6" w:rsidP="00AE72E6">
      <w:pPr>
        <w:spacing w:after="0" w:line="240" w:lineRule="auto"/>
        <w:rPr>
          <w:rFonts w:ascii="Times New Roman" w:eastAsia="Times New Roman" w:hAnsi="Times New Roman"/>
          <w:vanish/>
          <w:sz w:val="24"/>
          <w:szCs w:val="24"/>
        </w:rPr>
      </w:pPr>
    </w:p>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br/>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1"/>
        <w:gridCol w:w="2826"/>
        <w:gridCol w:w="754"/>
        <w:gridCol w:w="5369"/>
      </w:tblGrid>
      <w:tr w:rsidR="00AE72E6" w:rsidRPr="0033110D" w:rsidTr="00AE72E6">
        <w:trPr>
          <w:trHeight w:val="42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VI. Sabiedrības līdzdalība un komunikācijas aktivitātes</w:t>
            </w:r>
          </w:p>
        </w:tc>
      </w:tr>
      <w:tr w:rsidR="00AE72E6" w:rsidRPr="0033110D" w:rsidTr="00AE72E6">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FE0A78" w:rsidP="00A06843">
            <w:pPr>
              <w:spacing w:after="0" w:line="240" w:lineRule="auto"/>
              <w:rPr>
                <w:rFonts w:ascii="Times New Roman" w:eastAsia="Times New Roman" w:hAnsi="Times New Roman"/>
                <w:sz w:val="24"/>
                <w:szCs w:val="24"/>
              </w:rPr>
            </w:pPr>
            <w:r w:rsidRPr="0033110D">
              <w:rPr>
                <w:rFonts w:ascii="Times New Roman" w:hAnsi="Times New Roman"/>
                <w:sz w:val="24"/>
                <w:szCs w:val="24"/>
              </w:rPr>
              <w:t>Noteikumu projekts tika nosūtīts Starptautisko inovatīvo farmaceitisko firmu asociācijas</w:t>
            </w:r>
            <w:r w:rsidR="00A06843">
              <w:rPr>
                <w:rFonts w:ascii="Times New Roman" w:hAnsi="Times New Roman"/>
                <w:sz w:val="24"/>
                <w:szCs w:val="24"/>
              </w:rPr>
              <w:t xml:space="preserve">, </w:t>
            </w:r>
            <w:r w:rsidRPr="0033110D">
              <w:rPr>
                <w:rFonts w:ascii="Times New Roman" w:hAnsi="Times New Roman"/>
                <w:sz w:val="24"/>
                <w:szCs w:val="24"/>
              </w:rPr>
              <w:t xml:space="preserve">Latvijas </w:t>
            </w:r>
            <w:proofErr w:type="spellStart"/>
            <w:r w:rsidRPr="0033110D">
              <w:rPr>
                <w:rFonts w:ascii="Times New Roman" w:hAnsi="Times New Roman"/>
                <w:sz w:val="24"/>
                <w:szCs w:val="24"/>
              </w:rPr>
              <w:t>Patentbrīvo</w:t>
            </w:r>
            <w:proofErr w:type="spellEnd"/>
            <w:r w:rsidRPr="0033110D">
              <w:rPr>
                <w:rFonts w:ascii="Times New Roman" w:hAnsi="Times New Roman"/>
                <w:sz w:val="24"/>
                <w:szCs w:val="24"/>
              </w:rPr>
              <w:t xml:space="preserve"> Medikamentu Asociācijas</w:t>
            </w:r>
            <w:r w:rsidRPr="0033110D">
              <w:rPr>
                <w:rFonts w:ascii="Times New Roman" w:hAnsi="Times New Roman"/>
                <w:color w:val="000000"/>
                <w:sz w:val="24"/>
                <w:szCs w:val="24"/>
              </w:rPr>
              <w:t xml:space="preserve"> </w:t>
            </w:r>
            <w:r w:rsidR="00A06843">
              <w:rPr>
                <w:rFonts w:ascii="Times New Roman" w:hAnsi="Times New Roman"/>
                <w:color w:val="000000"/>
                <w:sz w:val="24"/>
                <w:szCs w:val="24"/>
              </w:rPr>
              <w:t xml:space="preserve">un </w:t>
            </w:r>
            <w:r w:rsidR="00A06843" w:rsidRPr="00A06843">
              <w:rPr>
                <w:rFonts w:ascii="Times New Roman" w:hAnsi="Times New Roman"/>
                <w:color w:val="000000"/>
                <w:sz w:val="24"/>
                <w:szCs w:val="24"/>
              </w:rPr>
              <w:t>Biofarmaceitisko zāļu ražotāju asociācija</w:t>
            </w:r>
            <w:r w:rsidR="00A06843">
              <w:rPr>
                <w:rFonts w:ascii="Times New Roman" w:hAnsi="Times New Roman"/>
                <w:color w:val="000000"/>
                <w:sz w:val="24"/>
                <w:szCs w:val="24"/>
              </w:rPr>
              <w:t>s</w:t>
            </w:r>
            <w:r w:rsidR="00A06843" w:rsidRPr="00A06843">
              <w:rPr>
                <w:rFonts w:ascii="Times New Roman" w:hAnsi="Times New Roman"/>
                <w:color w:val="000000"/>
                <w:sz w:val="24"/>
                <w:szCs w:val="24"/>
              </w:rPr>
              <w:t xml:space="preserve"> Latvijā </w:t>
            </w:r>
            <w:r w:rsidRPr="0033110D">
              <w:rPr>
                <w:rFonts w:ascii="Times New Roman" w:hAnsi="Times New Roman"/>
                <w:color w:val="000000"/>
                <w:sz w:val="24"/>
                <w:szCs w:val="24"/>
              </w:rPr>
              <w:t>pārstāvjiem</w:t>
            </w:r>
            <w:r w:rsidR="00A06843">
              <w:rPr>
                <w:rFonts w:ascii="Times New Roman" w:hAnsi="Times New Roman"/>
                <w:color w:val="000000"/>
                <w:sz w:val="24"/>
                <w:szCs w:val="24"/>
              </w:rPr>
              <w:t xml:space="preserve"> (turpmāk – SIFFA/ LPMA/ BRAL)</w:t>
            </w:r>
            <w:r w:rsidRPr="0033110D">
              <w:rPr>
                <w:rFonts w:ascii="Times New Roman" w:hAnsi="Times New Roman"/>
                <w:color w:val="000000"/>
                <w:sz w:val="24"/>
                <w:szCs w:val="24"/>
              </w:rPr>
              <w:t xml:space="preserve"> saskaņošanai.</w:t>
            </w:r>
          </w:p>
        </w:tc>
      </w:tr>
      <w:tr w:rsidR="00AE72E6" w:rsidRPr="0033110D" w:rsidTr="00AE72E6">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93FEF" w:rsidRDefault="00A06843">
            <w:pPr>
              <w:spacing w:after="0" w:line="240" w:lineRule="auto"/>
              <w:jc w:val="both"/>
              <w:rPr>
                <w:rFonts w:ascii="Times New Roman" w:hAnsi="Times New Roman"/>
                <w:color w:val="000000"/>
                <w:sz w:val="24"/>
                <w:szCs w:val="24"/>
              </w:rPr>
            </w:pPr>
            <w:r>
              <w:rPr>
                <w:rFonts w:ascii="Times New Roman" w:hAnsi="Times New Roman"/>
                <w:color w:val="000000"/>
                <w:sz w:val="24"/>
                <w:szCs w:val="24"/>
              </w:rPr>
              <w:t>Gatavojot N</w:t>
            </w:r>
            <w:r w:rsidRPr="00A06843">
              <w:rPr>
                <w:rFonts w:ascii="Times New Roman" w:hAnsi="Times New Roman"/>
                <w:color w:val="000000"/>
                <w:sz w:val="24"/>
                <w:szCs w:val="24"/>
              </w:rPr>
              <w:t xml:space="preserve">oteikumu </w:t>
            </w:r>
            <w:r w:rsidRPr="0033110D">
              <w:rPr>
                <w:rFonts w:ascii="Times New Roman" w:hAnsi="Times New Roman"/>
                <w:color w:val="000000"/>
                <w:sz w:val="24"/>
                <w:szCs w:val="24"/>
              </w:rPr>
              <w:t xml:space="preserve">2013.gada 15.oktobrī </w:t>
            </w:r>
            <w:r>
              <w:rPr>
                <w:rFonts w:ascii="Times New Roman" w:hAnsi="Times New Roman"/>
                <w:color w:val="000000"/>
                <w:sz w:val="24"/>
                <w:szCs w:val="24"/>
              </w:rPr>
              <w:t xml:space="preserve"> notika s</w:t>
            </w:r>
            <w:r w:rsidRPr="0033110D">
              <w:rPr>
                <w:rFonts w:ascii="Times New Roman" w:hAnsi="Times New Roman"/>
                <w:color w:val="000000"/>
                <w:sz w:val="24"/>
                <w:szCs w:val="24"/>
              </w:rPr>
              <w:t xml:space="preserve">anāksme </w:t>
            </w:r>
            <w:r w:rsidR="00FE0A78" w:rsidRPr="0033110D">
              <w:rPr>
                <w:rFonts w:ascii="Times New Roman" w:hAnsi="Times New Roman"/>
                <w:color w:val="000000"/>
                <w:sz w:val="24"/>
                <w:szCs w:val="24"/>
              </w:rPr>
              <w:t xml:space="preserve">ar </w:t>
            </w:r>
            <w:r w:rsidR="00FE0A78" w:rsidRPr="0033110D">
              <w:rPr>
                <w:rFonts w:ascii="Times New Roman" w:hAnsi="Times New Roman"/>
                <w:sz w:val="24"/>
                <w:szCs w:val="24"/>
              </w:rPr>
              <w:t xml:space="preserve">Starptautisko inovatīvo farmaceitisko firmu asociācijas un Latvijas </w:t>
            </w:r>
            <w:proofErr w:type="spellStart"/>
            <w:r w:rsidR="00FE0A78" w:rsidRPr="0033110D">
              <w:rPr>
                <w:rFonts w:ascii="Times New Roman" w:hAnsi="Times New Roman"/>
                <w:sz w:val="24"/>
                <w:szCs w:val="24"/>
              </w:rPr>
              <w:t>Patentbrīvo</w:t>
            </w:r>
            <w:proofErr w:type="spellEnd"/>
            <w:r w:rsidR="00FE0A78" w:rsidRPr="0033110D">
              <w:rPr>
                <w:rFonts w:ascii="Times New Roman" w:hAnsi="Times New Roman"/>
                <w:sz w:val="24"/>
                <w:szCs w:val="24"/>
              </w:rPr>
              <w:t xml:space="preserve"> Medikamentu Asociācijas</w:t>
            </w:r>
            <w:r w:rsidR="00FE0A78" w:rsidRPr="0033110D">
              <w:rPr>
                <w:rFonts w:ascii="Times New Roman" w:hAnsi="Times New Roman"/>
                <w:color w:val="000000"/>
                <w:sz w:val="24"/>
                <w:szCs w:val="24"/>
              </w:rPr>
              <w:t xml:space="preserve"> pārstāvjiem</w:t>
            </w:r>
            <w:r>
              <w:rPr>
                <w:rFonts w:ascii="Times New Roman" w:hAnsi="Times New Roman"/>
                <w:color w:val="000000"/>
                <w:sz w:val="24"/>
                <w:szCs w:val="24"/>
              </w:rPr>
              <w:t>.</w:t>
            </w:r>
            <w:r w:rsidR="00FE0A78" w:rsidRPr="0033110D">
              <w:rPr>
                <w:rFonts w:ascii="Times New Roman" w:hAnsi="Times New Roman"/>
                <w:color w:val="000000"/>
                <w:sz w:val="24"/>
                <w:szCs w:val="24"/>
              </w:rPr>
              <w:t xml:space="preserve"> </w:t>
            </w:r>
            <w:r>
              <w:rPr>
                <w:rFonts w:ascii="Times New Roman" w:hAnsi="Times New Roman"/>
                <w:color w:val="000000"/>
                <w:sz w:val="24"/>
                <w:szCs w:val="24"/>
              </w:rPr>
              <w:t xml:space="preserve">Pēc Noteikumu projekta izsludināšanas Valsts sekretāru sanāksmē, no SIFFA/ LPMA/ BRAL pārstāvjiem tika saņemts atzinums, kurā minētie iebildumi tika pārrunāti sanāksmē Veselības ministrijā </w:t>
            </w:r>
            <w:r w:rsidR="00A60F5B">
              <w:rPr>
                <w:rFonts w:ascii="Times New Roman" w:hAnsi="Times New Roman"/>
                <w:color w:val="000000"/>
                <w:sz w:val="24"/>
                <w:szCs w:val="24"/>
              </w:rPr>
              <w:t>2014.gada 9.aprīlī.</w:t>
            </w:r>
            <w:r>
              <w:rPr>
                <w:rFonts w:ascii="Times New Roman" w:hAnsi="Times New Roman"/>
                <w:color w:val="000000"/>
                <w:sz w:val="24"/>
                <w:szCs w:val="24"/>
              </w:rPr>
              <w:t xml:space="preserve"> </w:t>
            </w:r>
            <w:r w:rsidR="0060656F">
              <w:rPr>
                <w:rFonts w:ascii="Times New Roman" w:hAnsi="Times New Roman"/>
                <w:color w:val="000000"/>
                <w:sz w:val="24"/>
                <w:szCs w:val="24"/>
              </w:rPr>
              <w:t>Atbilstoši sanāksmē izrunātajam, no SIFFA/ LPMA/ BRAL tika saņemti aktualizēti iebildumi un priekšlikumi.</w:t>
            </w:r>
            <w:r w:rsidR="0008398C">
              <w:rPr>
                <w:rFonts w:ascii="Times New Roman" w:hAnsi="Times New Roman"/>
                <w:color w:val="000000"/>
                <w:sz w:val="24"/>
                <w:szCs w:val="24"/>
              </w:rPr>
              <w:t xml:space="preserve"> Pēc SIFFA/ LPMA/ BRAL iebildumu izvērtēšanas, tie daļēji tika ņemti vērā, Noteikumu projektu papildinot ar nosacījumu, ka zāļu realizācijas datus zāļu ražotājiem līdz 2015.gada 1.janvāri Aģentūra sniedz bez maksas un punktu</w:t>
            </w:r>
            <w:r w:rsidR="0008398C" w:rsidRPr="0008398C">
              <w:rPr>
                <w:rFonts w:ascii="Times New Roman" w:hAnsi="Times New Roman"/>
                <w:color w:val="000000"/>
                <w:sz w:val="24"/>
                <w:szCs w:val="24"/>
              </w:rPr>
              <w:t xml:space="preserve">, kas nosaka, ka farmakovigilances gada maksa tiks piemērota sākot ar 2015.gada 1.janvāri, līdz ar to neradot papildus izdevumus par </w:t>
            </w:r>
            <w:proofErr w:type="spellStart"/>
            <w:r w:rsidR="0008398C" w:rsidRPr="0008398C">
              <w:rPr>
                <w:rFonts w:ascii="Times New Roman" w:hAnsi="Times New Roman"/>
                <w:color w:val="000000"/>
                <w:sz w:val="24"/>
                <w:szCs w:val="24"/>
              </w:rPr>
              <w:t>farmakovigilanci</w:t>
            </w:r>
            <w:proofErr w:type="spellEnd"/>
            <w:r w:rsidR="0008398C" w:rsidRPr="0008398C">
              <w:rPr>
                <w:rFonts w:ascii="Times New Roman" w:hAnsi="Times New Roman"/>
                <w:color w:val="000000"/>
                <w:sz w:val="24"/>
                <w:szCs w:val="24"/>
              </w:rPr>
              <w:t xml:space="preserve"> zāļu ražotājiem 2014.gadā.</w:t>
            </w:r>
          </w:p>
          <w:p w:rsidR="00C93FEF" w:rsidRDefault="00390149">
            <w:pPr>
              <w:spacing w:after="0" w:line="240" w:lineRule="auto"/>
              <w:jc w:val="both"/>
              <w:rPr>
                <w:rFonts w:ascii="Times New Roman" w:hAnsi="Times New Roman"/>
                <w:color w:val="000000"/>
                <w:sz w:val="24"/>
                <w:szCs w:val="24"/>
              </w:rPr>
            </w:pPr>
            <w:r>
              <w:rPr>
                <w:rFonts w:ascii="Times New Roman" w:hAnsi="Times New Roman"/>
                <w:color w:val="000000"/>
                <w:sz w:val="24"/>
                <w:szCs w:val="24"/>
              </w:rPr>
              <w:t>Iebildumi attiecībā uz farmakovigilances gada maksas noteikšanu vienai aktīvai vielai un paralēlajiem importētājiem nav ņemti vērā, jo:</w:t>
            </w:r>
          </w:p>
          <w:p w:rsidR="00C93FEF" w:rsidRDefault="00390149">
            <w:pPr>
              <w:spacing w:after="0" w:line="240" w:lineRule="auto"/>
              <w:jc w:val="both"/>
              <w:rPr>
                <w:rFonts w:ascii="Times New Roman" w:hAnsi="Times New Roman"/>
                <w:color w:val="000000"/>
                <w:sz w:val="24"/>
                <w:szCs w:val="24"/>
              </w:rPr>
            </w:pPr>
            <w:r w:rsidRPr="00390149">
              <w:rPr>
                <w:rFonts w:ascii="Times New Roman" w:hAnsi="Times New Roman"/>
                <w:color w:val="000000"/>
                <w:sz w:val="24"/>
                <w:szCs w:val="24"/>
              </w:rPr>
              <w:t xml:space="preserve">- viena un tā pati aktīvā viela var būt pieejama gan zāļu </w:t>
            </w:r>
            <w:r w:rsidRPr="00390149">
              <w:rPr>
                <w:rFonts w:ascii="Times New Roman" w:hAnsi="Times New Roman"/>
                <w:color w:val="000000"/>
                <w:sz w:val="24"/>
                <w:szCs w:val="24"/>
              </w:rPr>
              <w:lastRenderedPageBreak/>
              <w:t xml:space="preserve">formās, kas ir paredzētas sistēmiskai lietošanai (piemēram, tabletes, suspensijas, svecītes), gan zāļu formās, kas paredzētas vietējai iedarbībai (piemēram, </w:t>
            </w:r>
            <w:proofErr w:type="spellStart"/>
            <w:r w:rsidRPr="00390149">
              <w:rPr>
                <w:rFonts w:ascii="Times New Roman" w:hAnsi="Times New Roman"/>
                <w:color w:val="000000"/>
                <w:sz w:val="24"/>
                <w:szCs w:val="24"/>
              </w:rPr>
              <w:t>geli</w:t>
            </w:r>
            <w:proofErr w:type="spellEnd"/>
            <w:r w:rsidRPr="00390149">
              <w:rPr>
                <w:rFonts w:ascii="Times New Roman" w:hAnsi="Times New Roman"/>
                <w:color w:val="000000"/>
                <w:sz w:val="24"/>
                <w:szCs w:val="24"/>
              </w:rPr>
              <w:t xml:space="preserve">, krēmi, </w:t>
            </w:r>
            <w:proofErr w:type="spellStart"/>
            <w:r w:rsidRPr="00390149">
              <w:rPr>
                <w:rFonts w:ascii="Times New Roman" w:hAnsi="Times New Roman"/>
                <w:color w:val="000000"/>
                <w:sz w:val="24"/>
                <w:szCs w:val="24"/>
              </w:rPr>
              <w:t>transdermālie</w:t>
            </w:r>
            <w:proofErr w:type="spellEnd"/>
            <w:r w:rsidRPr="00390149">
              <w:rPr>
                <w:rFonts w:ascii="Times New Roman" w:hAnsi="Times New Roman"/>
                <w:color w:val="000000"/>
                <w:sz w:val="24"/>
                <w:szCs w:val="24"/>
              </w:rPr>
              <w:t xml:space="preserve"> plāksteri, acu pilieni). Parasti šīs zāļu formas farmakovigilances uzraudzības ziņā tiek sadalītas atsevišķi: sistēmiskās iedarbības zāles atsevišķi no lokālās jeb vietējās iedarbības zālēm un dažkārt atsevišķi tiek izdalītas zāļu formas, kas paredzētas </w:t>
            </w:r>
            <w:proofErr w:type="spellStart"/>
            <w:r w:rsidRPr="00390149">
              <w:rPr>
                <w:rFonts w:ascii="Times New Roman" w:hAnsi="Times New Roman"/>
                <w:color w:val="000000"/>
                <w:sz w:val="24"/>
                <w:szCs w:val="24"/>
              </w:rPr>
              <w:t>oftalmoloģiskai</w:t>
            </w:r>
            <w:proofErr w:type="spellEnd"/>
            <w:r w:rsidRPr="00390149">
              <w:rPr>
                <w:rFonts w:ascii="Times New Roman" w:hAnsi="Times New Roman"/>
                <w:color w:val="000000"/>
                <w:sz w:val="24"/>
                <w:szCs w:val="24"/>
              </w:rPr>
              <w:t xml:space="preserve"> lietošanai; </w:t>
            </w:r>
          </w:p>
          <w:p w:rsidR="00C93FEF" w:rsidRDefault="00390149">
            <w:pPr>
              <w:spacing w:after="0" w:line="240" w:lineRule="auto"/>
              <w:jc w:val="both"/>
              <w:rPr>
                <w:rFonts w:ascii="Times New Roman" w:hAnsi="Times New Roman"/>
                <w:color w:val="000000"/>
                <w:sz w:val="24"/>
                <w:szCs w:val="24"/>
              </w:rPr>
            </w:pPr>
            <w:r w:rsidRPr="00390149">
              <w:rPr>
                <w:rFonts w:ascii="Times New Roman" w:hAnsi="Times New Roman"/>
                <w:color w:val="000000"/>
                <w:sz w:val="24"/>
                <w:szCs w:val="24"/>
              </w:rPr>
              <w:t>- viena un tā pati aktīvā viela var būt reģistrēta kombinācijā ar citām aktīvām vielām (kombinētās zāles).</w:t>
            </w:r>
          </w:p>
          <w:p w:rsidR="00C93FEF" w:rsidRDefault="00390149">
            <w:pPr>
              <w:spacing w:after="0" w:line="240" w:lineRule="auto"/>
              <w:jc w:val="both"/>
              <w:rPr>
                <w:rFonts w:ascii="Times New Roman" w:hAnsi="Times New Roman"/>
                <w:color w:val="000000"/>
                <w:sz w:val="24"/>
                <w:szCs w:val="24"/>
              </w:rPr>
            </w:pPr>
            <w:r>
              <w:rPr>
                <w:rFonts w:ascii="Times New Roman" w:hAnsi="Times New Roman"/>
                <w:color w:val="000000"/>
                <w:sz w:val="24"/>
                <w:szCs w:val="24"/>
              </w:rPr>
              <w:t>- p</w:t>
            </w:r>
            <w:r w:rsidRPr="00390149">
              <w:rPr>
                <w:rFonts w:ascii="Times New Roman" w:hAnsi="Times New Roman"/>
                <w:color w:val="000000"/>
                <w:sz w:val="24"/>
                <w:szCs w:val="24"/>
              </w:rPr>
              <w:t xml:space="preserve">ašreiz farmakovigilances maksas noteikšana paralēlajam importētājam nebūtu pamatota, jo LR tiesību akti neparedz līdzvērtīgus farmakovigilances pienākumus paralēlajam importētājam, kādi ir noteikti zāļu reģistrācijas īpašniekiem saskaņā ar Eiropas Parlamenta un Padomes 2010.gada 15.decembra Direktīvu 2010/84/ES, ar kuru attiecībā uz </w:t>
            </w:r>
            <w:proofErr w:type="spellStart"/>
            <w:r w:rsidRPr="00390149">
              <w:rPr>
                <w:rFonts w:ascii="Times New Roman" w:hAnsi="Times New Roman"/>
                <w:color w:val="000000"/>
                <w:sz w:val="24"/>
                <w:szCs w:val="24"/>
              </w:rPr>
              <w:t>farmakovigilanci</w:t>
            </w:r>
            <w:proofErr w:type="spellEnd"/>
            <w:r w:rsidRPr="00390149">
              <w:rPr>
                <w:rFonts w:ascii="Times New Roman" w:hAnsi="Times New Roman"/>
                <w:color w:val="000000"/>
                <w:sz w:val="24"/>
                <w:szCs w:val="24"/>
              </w:rPr>
              <w:t xml:space="preserve"> groza Direktīvu 2001/83/EK par Kopienas kodeksu, kas attiecas uz cilvēkiem paredzētām zālēm. </w:t>
            </w:r>
          </w:p>
          <w:p w:rsidR="00C93FEF" w:rsidRDefault="00390149">
            <w:pPr>
              <w:spacing w:after="0" w:line="240" w:lineRule="auto"/>
              <w:jc w:val="both"/>
              <w:rPr>
                <w:rFonts w:ascii="Times New Roman" w:hAnsi="Times New Roman"/>
                <w:color w:val="000000"/>
                <w:sz w:val="24"/>
                <w:szCs w:val="24"/>
              </w:rPr>
            </w:pPr>
            <w:r w:rsidRPr="00390149">
              <w:rPr>
                <w:rFonts w:ascii="Times New Roman" w:hAnsi="Times New Roman"/>
                <w:color w:val="000000"/>
                <w:sz w:val="24"/>
                <w:szCs w:val="24"/>
              </w:rPr>
              <w:t>Vienlaicīgi ņemams vērā, ka 2010. gada farmakovigilances tiesību akti paredz iekasēt maksu no zāļu reģistrācijas īpašniekiem. Savukārt  tuvākā laikā ES paredz, ka stāsies spēkā  patstāvīgs juridisks instruments – Eiropas Parlamenta un Padomes regula par farmakovigilances maksām, lai nodrošinātu 2010. gada farmakovigilances tiesību aktu pareizu īstenošanu, definējot maksas struktūru un līmeni, ko iekasē no zāļu reģistrācijas īpašniekiem par farmakovigilances darbībām ES līmenī. Pēc minētā tiesību akta spēkā stāšanās, esošās farmakovigilances maksas būtu izvērtējamas, arī ņemot vērā paralēlā importētāja un paralēlā izplatītāja lomu zāļu uzraudzības procesā.</w:t>
            </w:r>
          </w:p>
          <w:p w:rsidR="00C93FEF" w:rsidRDefault="0039014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Savukārt iebildumi par </w:t>
            </w:r>
            <w:r w:rsidR="00CC3808">
              <w:rPr>
                <w:rFonts w:ascii="Times New Roman" w:hAnsi="Times New Roman"/>
                <w:color w:val="000000"/>
                <w:sz w:val="24"/>
                <w:szCs w:val="24"/>
              </w:rPr>
              <w:t xml:space="preserve">farmakovigilances un citu sniegto pakalpojumu cenu pārskatīšanu nav ņemti vērā, jo </w:t>
            </w:r>
            <w:r w:rsidR="00CC3808" w:rsidRPr="00CC3808">
              <w:rPr>
                <w:rFonts w:ascii="Times New Roman" w:hAnsi="Times New Roman"/>
                <w:color w:val="000000"/>
                <w:sz w:val="24"/>
                <w:szCs w:val="24"/>
              </w:rPr>
              <w:t>Aģentūrai ir  jāveic vairākas jaunas un esošās paplašinātas funkcijas farmakovigilances jomā, kas aprakstītas Noteikumu projekta anotācijā. Līdz ar to, lai nodrošinātu visu jauno funkciju kvalitatīvu izpildi, farmakovigilances gada maksu, kas aprēķināta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w:t>
            </w:r>
            <w:r w:rsidR="00AD6DEF">
              <w:rPr>
                <w:rFonts w:ascii="Times New Roman" w:hAnsi="Times New Roman"/>
                <w:color w:val="000000"/>
                <w:sz w:val="24"/>
                <w:szCs w:val="24"/>
              </w:rPr>
              <w:t>asībām, nav iespējams samazināt</w:t>
            </w:r>
            <w:r w:rsidR="00CC3808">
              <w:rPr>
                <w:rFonts w:ascii="Times New Roman" w:hAnsi="Times New Roman"/>
                <w:color w:val="000000"/>
                <w:sz w:val="24"/>
                <w:szCs w:val="24"/>
              </w:rPr>
              <w:t>.</w:t>
            </w:r>
            <w:r w:rsidR="00AD6DEF">
              <w:t xml:space="preserve"> </w:t>
            </w:r>
            <w:r w:rsidR="00AD6DEF" w:rsidRPr="00AD6DEF">
              <w:rPr>
                <w:rFonts w:ascii="Times New Roman" w:hAnsi="Times New Roman"/>
                <w:color w:val="000000"/>
                <w:sz w:val="24"/>
                <w:szCs w:val="24"/>
              </w:rPr>
              <w:t xml:space="preserve">VM un ZVA ir vairakkārt izvērtējusi ZVA sniegto pakalpojumu izmaksas un ZVA ieņēmumus un izdevumus. ZVA naudas līdzekļu atlikums 2013.gada beigās sastāda 1 119 571 LVL (1 593 006 EUR), savukārt 2011.gadā tas sastādīja 2 </w:t>
            </w:r>
            <w:r w:rsidR="00AD6DEF" w:rsidRPr="00AD6DEF">
              <w:rPr>
                <w:rFonts w:ascii="Times New Roman" w:hAnsi="Times New Roman"/>
                <w:color w:val="000000"/>
                <w:sz w:val="24"/>
                <w:szCs w:val="24"/>
              </w:rPr>
              <w:lastRenderedPageBreak/>
              <w:t>352 223 LVL (3 346 912 EUR). Līdz ar to naudas līdzekļu atlikumam ir tendence samazināties, kas ir saistīts ar sniegto pakalpojumu apjoma samazinājumu, piemērotajām atlaidēm zāļu ražotājiem</w:t>
            </w:r>
            <w:r w:rsidR="00B71871">
              <w:rPr>
                <w:rFonts w:ascii="Times New Roman" w:hAnsi="Times New Roman"/>
                <w:color w:val="000000"/>
                <w:sz w:val="24"/>
                <w:szCs w:val="24"/>
              </w:rPr>
              <w:t>.</w:t>
            </w:r>
            <w:r w:rsidR="00CC3808">
              <w:rPr>
                <w:rFonts w:ascii="Times New Roman" w:hAnsi="Times New Roman"/>
                <w:color w:val="000000"/>
                <w:sz w:val="24"/>
                <w:szCs w:val="24"/>
              </w:rPr>
              <w:t xml:space="preserve"> </w:t>
            </w:r>
          </w:p>
          <w:p w:rsidR="00C93FEF" w:rsidRDefault="00390149">
            <w:pPr>
              <w:spacing w:after="0" w:line="240" w:lineRule="auto"/>
              <w:jc w:val="both"/>
              <w:rPr>
                <w:rFonts w:ascii="Times New Roman" w:hAnsi="Times New Roman"/>
                <w:color w:val="000000"/>
                <w:sz w:val="24"/>
                <w:szCs w:val="24"/>
              </w:rPr>
            </w:pPr>
            <w:r>
              <w:rPr>
                <w:rFonts w:ascii="Times New Roman" w:hAnsi="Times New Roman"/>
                <w:color w:val="000000"/>
                <w:sz w:val="24"/>
                <w:szCs w:val="24"/>
              </w:rPr>
              <w:t>Sabiedrības pārstāvji neatbalsta Noteikumu projektu.</w:t>
            </w:r>
          </w:p>
        </w:tc>
      </w:tr>
      <w:tr w:rsidR="00AE72E6" w:rsidRPr="0033110D"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lastRenderedPageBreak/>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7F4BCE" w:rsidRPr="005556C7" w:rsidRDefault="00FE0A78" w:rsidP="009A691F">
            <w:pPr>
              <w:pStyle w:val="NormalWeb"/>
              <w:spacing w:before="0" w:beforeAutospacing="0" w:after="0" w:afterAutospacing="0"/>
              <w:jc w:val="both"/>
              <w:rPr>
                <w:color w:val="000000"/>
                <w:lang w:val="lv-LV"/>
              </w:rPr>
            </w:pPr>
            <w:r w:rsidRPr="005556C7">
              <w:rPr>
                <w:lang w:val="lv-LV"/>
              </w:rPr>
              <w:t xml:space="preserve">Starptautisko inovatīvo farmaceitisko firmu asociācijas un Latvijas </w:t>
            </w:r>
            <w:proofErr w:type="spellStart"/>
            <w:r w:rsidRPr="005556C7">
              <w:rPr>
                <w:lang w:val="lv-LV"/>
              </w:rPr>
              <w:t>Patentbrīvo</w:t>
            </w:r>
            <w:proofErr w:type="spellEnd"/>
            <w:r w:rsidRPr="005556C7">
              <w:rPr>
                <w:lang w:val="lv-LV"/>
              </w:rPr>
              <w:t xml:space="preserve"> Medikamentu Asociācijas priekšlikumi daļēji ņemti vērā</w:t>
            </w:r>
            <w:r w:rsidR="00A60F5B">
              <w:rPr>
                <w:lang w:val="lv-LV"/>
              </w:rPr>
              <w:t xml:space="preserve"> – </w:t>
            </w:r>
            <w:r w:rsidR="00220425" w:rsidRPr="00220425">
              <w:rPr>
                <w:lang w:val="lv-LV"/>
              </w:rPr>
              <w:t xml:space="preserve">Noteikumu projektu papildinot ar nosacījumu, ka zāļu realizācijas datus zāļu ražotājiem līdz 2015.gada 1.janvāri Aģentūra sniedz bez maksas un punktu, kas nosaka, ka farmakovigilances gada maksa tiks piemērota sākot ar 2015.gada 1.janvāri, līdz ar to neradot papildus izdevumus par </w:t>
            </w:r>
            <w:proofErr w:type="spellStart"/>
            <w:r w:rsidR="00220425" w:rsidRPr="00220425">
              <w:rPr>
                <w:lang w:val="lv-LV"/>
              </w:rPr>
              <w:t>farmakovigi</w:t>
            </w:r>
            <w:r w:rsidR="00E079BC">
              <w:rPr>
                <w:lang w:val="lv-LV"/>
              </w:rPr>
              <w:t>lanci</w:t>
            </w:r>
            <w:proofErr w:type="spellEnd"/>
            <w:r w:rsidR="00E079BC">
              <w:rPr>
                <w:lang w:val="lv-LV"/>
              </w:rPr>
              <w:t xml:space="preserve"> zāļu ražotājiem 2014.gadā</w:t>
            </w:r>
            <w:r w:rsidR="00A60F5B" w:rsidRPr="00A60F5B">
              <w:rPr>
                <w:lang w:val="lv-LV"/>
              </w:rPr>
              <w:t>.</w:t>
            </w:r>
          </w:p>
        </w:tc>
      </w:tr>
      <w:tr w:rsidR="00AE72E6" w:rsidRPr="0033110D" w:rsidTr="00AE72E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934560" w:rsidP="00937844">
            <w:pPr>
              <w:spacing w:before="100" w:beforeAutospacing="1" w:after="100" w:afterAutospacing="1" w:line="285" w:lineRule="atLeast"/>
              <w:jc w:val="both"/>
              <w:rPr>
                <w:rFonts w:ascii="Times New Roman" w:eastAsia="Times New Roman" w:hAnsi="Times New Roman"/>
                <w:sz w:val="24"/>
                <w:szCs w:val="24"/>
              </w:rPr>
            </w:pPr>
            <w:r>
              <w:rPr>
                <w:rFonts w:ascii="Times New Roman" w:eastAsia="Times New Roman" w:hAnsi="Times New Roman"/>
                <w:bCs/>
                <w:sz w:val="24"/>
                <w:szCs w:val="24"/>
                <w:lang w:eastAsia="lv-LV"/>
              </w:rPr>
              <w:t>Nav</w:t>
            </w:r>
          </w:p>
        </w:tc>
      </w:tr>
      <w:tr w:rsidR="00AE72E6" w:rsidRPr="0033110D" w:rsidTr="00AE72E6">
        <w:trPr>
          <w:trHeight w:val="375"/>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VII. Tiesību akta projekta izpildes nodrošināšana un tās ietekme uz institūcijām</w:t>
            </w:r>
          </w:p>
        </w:tc>
      </w:tr>
      <w:tr w:rsidR="00AE72E6" w:rsidRPr="0033110D" w:rsidTr="00AE72E6">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19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7F4BCE"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Zāļu valsts aģentūra</w:t>
            </w:r>
          </w:p>
        </w:tc>
      </w:tr>
      <w:tr w:rsidR="00AE72E6" w:rsidRPr="0033110D" w:rsidTr="00AE72E6">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19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Projekta izpildes ietekme uz pārvaldes funkcijām un institucionālo struktūru.</w:t>
            </w:r>
          </w:p>
          <w:p w:rsidR="00AE72E6" w:rsidRPr="005556C7" w:rsidRDefault="00AE72E6"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937844"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Projekts šo jomu neskar</w:t>
            </w:r>
          </w:p>
        </w:tc>
      </w:tr>
      <w:tr w:rsidR="00AE72E6" w:rsidRPr="0033110D" w:rsidTr="00AE72E6">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w:t>
            </w:r>
          </w:p>
        </w:tc>
        <w:tc>
          <w:tcPr>
            <w:tcW w:w="19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7F4BCE"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Nav</w:t>
            </w:r>
          </w:p>
        </w:tc>
      </w:tr>
    </w:tbl>
    <w:p w:rsidR="0013636D" w:rsidRPr="005556C7" w:rsidRDefault="0013636D" w:rsidP="00ED3C45">
      <w:pPr>
        <w:spacing w:after="0" w:line="360" w:lineRule="auto"/>
        <w:rPr>
          <w:rFonts w:ascii="Times New Roman" w:hAnsi="Times New Roman"/>
          <w:sz w:val="24"/>
          <w:szCs w:val="24"/>
        </w:rPr>
      </w:pPr>
    </w:p>
    <w:p w:rsidR="008E2429" w:rsidRDefault="008E2429" w:rsidP="00ED3C45">
      <w:pPr>
        <w:pStyle w:val="ListParagraph"/>
        <w:tabs>
          <w:tab w:val="right" w:pos="9072"/>
        </w:tabs>
        <w:spacing w:after="60"/>
        <w:ind w:left="0"/>
        <w:rPr>
          <w:rFonts w:ascii="Times New Roman" w:hAnsi="Times New Roman"/>
          <w:sz w:val="28"/>
          <w:szCs w:val="28"/>
          <w:lang w:val="lv-LV"/>
        </w:rPr>
      </w:pPr>
      <w:r>
        <w:rPr>
          <w:rFonts w:ascii="Times New Roman" w:hAnsi="Times New Roman"/>
          <w:sz w:val="28"/>
          <w:szCs w:val="28"/>
          <w:lang w:val="lv-LV"/>
        </w:rPr>
        <w:t>Veselības ministra vietā</w:t>
      </w:r>
    </w:p>
    <w:p w:rsidR="00ED3C45" w:rsidRPr="005556C7" w:rsidRDefault="008E2429" w:rsidP="00ED3C45">
      <w:pPr>
        <w:pStyle w:val="ListParagraph"/>
        <w:tabs>
          <w:tab w:val="right" w:pos="9072"/>
        </w:tabs>
        <w:spacing w:after="60"/>
        <w:ind w:left="0"/>
        <w:rPr>
          <w:rFonts w:ascii="Times New Roman" w:hAnsi="Times New Roman"/>
          <w:sz w:val="28"/>
          <w:szCs w:val="28"/>
          <w:lang w:val="lv-LV"/>
        </w:rPr>
      </w:pPr>
      <w:r>
        <w:rPr>
          <w:rFonts w:ascii="Times New Roman" w:hAnsi="Times New Roman"/>
          <w:sz w:val="28"/>
          <w:szCs w:val="28"/>
          <w:lang w:val="lv-LV"/>
        </w:rPr>
        <w:t>Ministru prezidente</w:t>
      </w:r>
      <w:r w:rsidR="00ED3C45" w:rsidRPr="005556C7">
        <w:rPr>
          <w:rFonts w:ascii="Times New Roman" w:hAnsi="Times New Roman"/>
          <w:sz w:val="28"/>
          <w:szCs w:val="28"/>
          <w:lang w:val="lv-LV"/>
        </w:rPr>
        <w:tab/>
      </w:r>
      <w:r>
        <w:rPr>
          <w:rFonts w:ascii="Times New Roman" w:hAnsi="Times New Roman"/>
          <w:sz w:val="28"/>
          <w:szCs w:val="28"/>
          <w:lang w:val="lv-LV"/>
        </w:rPr>
        <w:t>L.Straujuma</w:t>
      </w:r>
    </w:p>
    <w:p w:rsidR="00ED3C45" w:rsidRPr="005556C7" w:rsidRDefault="00ED3C45" w:rsidP="00ED3C45">
      <w:pPr>
        <w:spacing w:after="60"/>
        <w:rPr>
          <w:rFonts w:ascii="Times New Roman" w:hAnsi="Times New Roman"/>
          <w:bCs/>
          <w:sz w:val="28"/>
          <w:szCs w:val="28"/>
        </w:rPr>
      </w:pPr>
    </w:p>
    <w:p w:rsidR="00ED3C45" w:rsidRPr="005556C7" w:rsidRDefault="00ED3C45" w:rsidP="00ED3C45">
      <w:pPr>
        <w:spacing w:after="0" w:line="240" w:lineRule="auto"/>
        <w:ind w:right="4818"/>
        <w:rPr>
          <w:rFonts w:ascii="Times New Roman" w:hAnsi="Times New Roman"/>
          <w:sz w:val="20"/>
          <w:szCs w:val="20"/>
        </w:rPr>
      </w:pPr>
    </w:p>
    <w:p w:rsidR="00ED3C45" w:rsidRPr="005556C7" w:rsidRDefault="00E45017" w:rsidP="00ED3C45">
      <w:pPr>
        <w:spacing w:after="0" w:line="240" w:lineRule="auto"/>
        <w:ind w:right="4818"/>
        <w:rPr>
          <w:rFonts w:ascii="Times New Roman" w:hAnsi="Times New Roman"/>
          <w:sz w:val="20"/>
          <w:szCs w:val="20"/>
        </w:rPr>
      </w:pPr>
      <w:r>
        <w:rPr>
          <w:rFonts w:ascii="Times New Roman" w:hAnsi="Times New Roman"/>
          <w:sz w:val="20"/>
          <w:szCs w:val="20"/>
        </w:rPr>
        <w:t>24.07.2014 20:34</w:t>
      </w:r>
    </w:p>
    <w:p w:rsidR="00ED3C45" w:rsidRPr="005556C7" w:rsidRDefault="00CF3F0E" w:rsidP="00ED3C45">
      <w:pPr>
        <w:spacing w:after="0" w:line="240" w:lineRule="auto"/>
        <w:ind w:right="4818"/>
        <w:rPr>
          <w:rFonts w:ascii="Times New Roman" w:hAnsi="Times New Roman"/>
          <w:sz w:val="20"/>
          <w:szCs w:val="20"/>
        </w:rPr>
      </w:pPr>
      <w:r>
        <w:rPr>
          <w:rFonts w:ascii="Times New Roman" w:hAnsi="Times New Roman"/>
          <w:sz w:val="20"/>
          <w:szCs w:val="20"/>
        </w:rPr>
        <w:t>7 3</w:t>
      </w:r>
      <w:r w:rsidR="00E45017">
        <w:rPr>
          <w:rFonts w:ascii="Times New Roman" w:hAnsi="Times New Roman"/>
          <w:sz w:val="20"/>
          <w:szCs w:val="20"/>
        </w:rPr>
        <w:t>36</w:t>
      </w:r>
    </w:p>
    <w:p w:rsidR="00ED3C45" w:rsidRPr="005556C7" w:rsidRDefault="00ED3C45" w:rsidP="00ED3C45">
      <w:pPr>
        <w:spacing w:after="0" w:line="240" w:lineRule="auto"/>
        <w:ind w:right="4818"/>
        <w:rPr>
          <w:rFonts w:ascii="Times New Roman" w:hAnsi="Times New Roman"/>
          <w:sz w:val="20"/>
          <w:szCs w:val="20"/>
        </w:rPr>
      </w:pPr>
      <w:r w:rsidRPr="005556C7">
        <w:rPr>
          <w:rFonts w:ascii="Times New Roman" w:hAnsi="Times New Roman"/>
          <w:sz w:val="20"/>
          <w:szCs w:val="20"/>
        </w:rPr>
        <w:t>Ā.Kasparāns, 67 876 043</w:t>
      </w:r>
    </w:p>
    <w:p w:rsidR="00ED3C45" w:rsidRPr="005556C7" w:rsidRDefault="00ED3C45" w:rsidP="00ED3C45">
      <w:pPr>
        <w:spacing w:after="0" w:line="240" w:lineRule="auto"/>
        <w:rPr>
          <w:rFonts w:ascii="Times New Roman" w:hAnsi="Times New Roman"/>
          <w:sz w:val="24"/>
          <w:szCs w:val="24"/>
        </w:rPr>
      </w:pPr>
      <w:r w:rsidRPr="005556C7">
        <w:rPr>
          <w:rFonts w:ascii="Times New Roman" w:hAnsi="Times New Roman"/>
          <w:sz w:val="20"/>
          <w:szCs w:val="20"/>
        </w:rPr>
        <w:t>Aris.Kasparans@vm.gov.lv</w:t>
      </w:r>
    </w:p>
    <w:sectPr w:rsidR="00ED3C45" w:rsidRPr="005556C7" w:rsidSect="00F62C41">
      <w:headerReference w:type="default" r:id="rId28"/>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EB" w:rsidRDefault="00613EEB" w:rsidP="00F9488B">
      <w:pPr>
        <w:spacing w:after="0" w:line="240" w:lineRule="auto"/>
      </w:pPr>
      <w:r>
        <w:separator/>
      </w:r>
    </w:p>
  </w:endnote>
  <w:endnote w:type="continuationSeparator" w:id="0">
    <w:p w:rsidR="00613EEB" w:rsidRDefault="00613EEB" w:rsidP="00F94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EB" w:rsidRPr="00F9488B" w:rsidRDefault="00613EEB" w:rsidP="00F9488B">
    <w:pPr>
      <w:pStyle w:val="Footer"/>
      <w:jc w:val="both"/>
      <w:rPr>
        <w:rFonts w:ascii="Times New Roman" w:hAnsi="Times New Roman"/>
      </w:rPr>
    </w:pPr>
    <w:bookmarkStart w:id="10" w:name="OLE_LINK3"/>
    <w:bookmarkStart w:id="11" w:name="OLE_LINK4"/>
    <w:r w:rsidRPr="00F9488B">
      <w:rPr>
        <w:rFonts w:ascii="Times New Roman" w:hAnsi="Times New Roman"/>
      </w:rPr>
      <w:t>VMAnot_</w:t>
    </w:r>
    <w:r w:rsidR="00C13A8D">
      <w:rPr>
        <w:rFonts w:ascii="Times New Roman" w:hAnsi="Times New Roman"/>
      </w:rPr>
      <w:t>24</w:t>
    </w:r>
    <w:r>
      <w:rPr>
        <w:rFonts w:ascii="Times New Roman" w:hAnsi="Times New Roman"/>
      </w:rPr>
      <w:t>07</w:t>
    </w:r>
    <w:r w:rsidRPr="00F9488B">
      <w:rPr>
        <w:rFonts w:ascii="Times New Roman" w:hAnsi="Times New Roman"/>
      </w:rPr>
      <w:t>14_cenr_873; Ministru kabineta noteikumu projekt</w:t>
    </w:r>
    <w:r>
      <w:rPr>
        <w:rFonts w:ascii="Times New Roman" w:hAnsi="Times New Roman"/>
      </w:rPr>
      <w:t>a</w:t>
    </w:r>
    <w:r w:rsidRPr="00F9488B">
      <w:rPr>
        <w:rFonts w:ascii="Times New Roman" w:hAnsi="Times New Roman"/>
      </w:rPr>
      <w:t xml:space="preserve"> „Grozījumi 2013.gada 17.septembra noteikumos Nr. 873 „Zāļu valsts aģentūras maksas pakalpojumu cenrādis”” sākotnējās ietekmes novērtējuma ziņojums (anotācija)</w:t>
    </w:r>
    <w:bookmarkEnd w:id="10"/>
    <w:bookmarkEnd w:id="1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EB" w:rsidRPr="00F9488B" w:rsidRDefault="00613EEB" w:rsidP="00F62C41">
    <w:pPr>
      <w:pStyle w:val="Footer"/>
      <w:jc w:val="both"/>
      <w:rPr>
        <w:rFonts w:ascii="Times New Roman" w:hAnsi="Times New Roman"/>
      </w:rPr>
    </w:pPr>
    <w:r w:rsidRPr="00F9488B">
      <w:rPr>
        <w:rFonts w:ascii="Times New Roman" w:hAnsi="Times New Roman"/>
      </w:rPr>
      <w:t>VMAnot_</w:t>
    </w:r>
    <w:r w:rsidR="00C13A8D">
      <w:rPr>
        <w:rFonts w:ascii="Times New Roman" w:hAnsi="Times New Roman"/>
      </w:rPr>
      <w:t>24</w:t>
    </w:r>
    <w:r>
      <w:rPr>
        <w:rFonts w:ascii="Times New Roman" w:hAnsi="Times New Roman"/>
      </w:rPr>
      <w:t>07</w:t>
    </w:r>
    <w:r w:rsidRPr="00F9488B">
      <w:rPr>
        <w:rFonts w:ascii="Times New Roman" w:hAnsi="Times New Roman"/>
      </w:rPr>
      <w:t>14_cenr_873; Ministru kabineta noteikumu projekt</w:t>
    </w:r>
    <w:r>
      <w:rPr>
        <w:rFonts w:ascii="Times New Roman" w:hAnsi="Times New Roman"/>
      </w:rPr>
      <w:t>a</w:t>
    </w:r>
    <w:r w:rsidRPr="00F9488B">
      <w:rPr>
        <w:rFonts w:ascii="Times New Roman" w:hAnsi="Times New Roman"/>
      </w:rPr>
      <w:t xml:space="preserve"> „Grozījumi 2013.gada 17.septembra noteikumos Nr. 873 „Zāļu valsts aģentūras maksas pakalpojumu cenrādis””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EB" w:rsidRDefault="00613EEB" w:rsidP="00F9488B">
      <w:pPr>
        <w:spacing w:after="0" w:line="240" w:lineRule="auto"/>
      </w:pPr>
      <w:r>
        <w:separator/>
      </w:r>
    </w:p>
  </w:footnote>
  <w:footnote w:type="continuationSeparator" w:id="0">
    <w:p w:rsidR="00613EEB" w:rsidRDefault="00613EEB" w:rsidP="00F94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5235"/>
      <w:docPartObj>
        <w:docPartGallery w:val="Page Numbers (Top of Page)"/>
        <w:docPartUnique/>
      </w:docPartObj>
    </w:sdtPr>
    <w:sdtEndPr>
      <w:rPr>
        <w:rFonts w:ascii="Times New Roman" w:hAnsi="Times New Roman"/>
        <w:sz w:val="24"/>
        <w:szCs w:val="24"/>
      </w:rPr>
    </w:sdtEndPr>
    <w:sdtContent>
      <w:p w:rsidR="00613EEB" w:rsidRDefault="00D36B3E">
        <w:pPr>
          <w:pStyle w:val="Header"/>
          <w:jc w:val="center"/>
        </w:pPr>
        <w:r w:rsidRPr="00F62C41">
          <w:rPr>
            <w:rFonts w:ascii="Times New Roman" w:hAnsi="Times New Roman"/>
            <w:sz w:val="24"/>
            <w:szCs w:val="24"/>
          </w:rPr>
          <w:fldChar w:fldCharType="begin"/>
        </w:r>
        <w:r w:rsidR="00613EEB" w:rsidRPr="00F62C41">
          <w:rPr>
            <w:rFonts w:ascii="Times New Roman" w:hAnsi="Times New Roman"/>
            <w:sz w:val="24"/>
            <w:szCs w:val="24"/>
          </w:rPr>
          <w:instrText xml:space="preserve"> PAGE   \* MERGEFORMAT </w:instrText>
        </w:r>
        <w:r w:rsidRPr="00F62C41">
          <w:rPr>
            <w:rFonts w:ascii="Times New Roman" w:hAnsi="Times New Roman"/>
            <w:sz w:val="24"/>
            <w:szCs w:val="24"/>
          </w:rPr>
          <w:fldChar w:fldCharType="separate"/>
        </w:r>
        <w:r w:rsidR="00E45017">
          <w:rPr>
            <w:rFonts w:ascii="Times New Roman" w:hAnsi="Times New Roman"/>
            <w:noProof/>
            <w:sz w:val="24"/>
            <w:szCs w:val="24"/>
          </w:rPr>
          <w:t>25</w:t>
        </w:r>
        <w:r w:rsidRPr="00F62C41">
          <w:rPr>
            <w:rFonts w:ascii="Times New Roman" w:hAnsi="Times New Roman"/>
            <w:sz w:val="24"/>
            <w:szCs w:val="24"/>
          </w:rPr>
          <w:fldChar w:fldCharType="end"/>
        </w:r>
      </w:p>
    </w:sdtContent>
  </w:sdt>
  <w:p w:rsidR="00613EEB" w:rsidRDefault="00613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1F0E"/>
    <w:multiLevelType w:val="hybridMultilevel"/>
    <w:tmpl w:val="CB18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41136F"/>
    <w:multiLevelType w:val="hybridMultilevel"/>
    <w:tmpl w:val="925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768DA"/>
    <w:multiLevelType w:val="hybridMultilevel"/>
    <w:tmpl w:val="530E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01227"/>
    <w:multiLevelType w:val="hybridMultilevel"/>
    <w:tmpl w:val="4A1C669C"/>
    <w:lvl w:ilvl="0" w:tplc="0426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78435D4"/>
    <w:multiLevelType w:val="hybridMultilevel"/>
    <w:tmpl w:val="DD743078"/>
    <w:lvl w:ilvl="0" w:tplc="D5DCE954">
      <w:numFmt w:val="bullet"/>
      <w:lvlText w:val="-"/>
      <w:lvlJc w:val="left"/>
      <w:pPr>
        <w:ind w:left="720" w:hanging="360"/>
      </w:pPr>
      <w:rPr>
        <w:rFonts w:ascii="Times New Roman" w:eastAsia="Calibr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72E6"/>
    <w:rsid w:val="00023D52"/>
    <w:rsid w:val="000428CF"/>
    <w:rsid w:val="00044DC5"/>
    <w:rsid w:val="0005317E"/>
    <w:rsid w:val="00061281"/>
    <w:rsid w:val="00062421"/>
    <w:rsid w:val="00064D4A"/>
    <w:rsid w:val="0007549D"/>
    <w:rsid w:val="0008398C"/>
    <w:rsid w:val="000A73E2"/>
    <w:rsid w:val="000A7ED7"/>
    <w:rsid w:val="000D0112"/>
    <w:rsid w:val="000D2899"/>
    <w:rsid w:val="000D7781"/>
    <w:rsid w:val="000E6524"/>
    <w:rsid w:val="000E711A"/>
    <w:rsid w:val="00104832"/>
    <w:rsid w:val="001168E0"/>
    <w:rsid w:val="001231AE"/>
    <w:rsid w:val="0013636D"/>
    <w:rsid w:val="00147C2D"/>
    <w:rsid w:val="001542D6"/>
    <w:rsid w:val="00164B53"/>
    <w:rsid w:val="00172CA3"/>
    <w:rsid w:val="00174236"/>
    <w:rsid w:val="001A6CA3"/>
    <w:rsid w:val="001A7012"/>
    <w:rsid w:val="001B1A6D"/>
    <w:rsid w:val="001B5459"/>
    <w:rsid w:val="001E046A"/>
    <w:rsid w:val="001E764B"/>
    <w:rsid w:val="001F1379"/>
    <w:rsid w:val="00201484"/>
    <w:rsid w:val="002104D4"/>
    <w:rsid w:val="00220425"/>
    <w:rsid w:val="00234C8C"/>
    <w:rsid w:val="002421B0"/>
    <w:rsid w:val="00262655"/>
    <w:rsid w:val="00264E7E"/>
    <w:rsid w:val="0026671D"/>
    <w:rsid w:val="002702F2"/>
    <w:rsid w:val="002708AC"/>
    <w:rsid w:val="00276F8D"/>
    <w:rsid w:val="00283DDA"/>
    <w:rsid w:val="00295DF1"/>
    <w:rsid w:val="002F2FDA"/>
    <w:rsid w:val="002F5723"/>
    <w:rsid w:val="0033110D"/>
    <w:rsid w:val="00331AEC"/>
    <w:rsid w:val="003411B1"/>
    <w:rsid w:val="003548C7"/>
    <w:rsid w:val="003646B8"/>
    <w:rsid w:val="00364D64"/>
    <w:rsid w:val="003836AD"/>
    <w:rsid w:val="0038592E"/>
    <w:rsid w:val="00390149"/>
    <w:rsid w:val="003A43B5"/>
    <w:rsid w:val="003B1F14"/>
    <w:rsid w:val="0040531B"/>
    <w:rsid w:val="00413624"/>
    <w:rsid w:val="00416AED"/>
    <w:rsid w:val="00422FDB"/>
    <w:rsid w:val="00427AB0"/>
    <w:rsid w:val="0043560E"/>
    <w:rsid w:val="004502AA"/>
    <w:rsid w:val="00451500"/>
    <w:rsid w:val="00491F2D"/>
    <w:rsid w:val="004B325B"/>
    <w:rsid w:val="004E2700"/>
    <w:rsid w:val="00517579"/>
    <w:rsid w:val="00520619"/>
    <w:rsid w:val="00525AA2"/>
    <w:rsid w:val="00526CBC"/>
    <w:rsid w:val="005331D7"/>
    <w:rsid w:val="00544744"/>
    <w:rsid w:val="0055493D"/>
    <w:rsid w:val="005556C7"/>
    <w:rsid w:val="0059361B"/>
    <w:rsid w:val="005E7E70"/>
    <w:rsid w:val="005F3F0D"/>
    <w:rsid w:val="005F6332"/>
    <w:rsid w:val="00605AC1"/>
    <w:rsid w:val="00605D9A"/>
    <w:rsid w:val="0060656F"/>
    <w:rsid w:val="00613EEB"/>
    <w:rsid w:val="00616D2C"/>
    <w:rsid w:val="00621834"/>
    <w:rsid w:val="00637D1C"/>
    <w:rsid w:val="00652750"/>
    <w:rsid w:val="00660F16"/>
    <w:rsid w:val="00665F53"/>
    <w:rsid w:val="00685E02"/>
    <w:rsid w:val="006A0472"/>
    <w:rsid w:val="006A46EA"/>
    <w:rsid w:val="006A54B5"/>
    <w:rsid w:val="006B32A7"/>
    <w:rsid w:val="006B58E2"/>
    <w:rsid w:val="006C0FA3"/>
    <w:rsid w:val="006D01A1"/>
    <w:rsid w:val="006D74D2"/>
    <w:rsid w:val="006D7BB2"/>
    <w:rsid w:val="006F1BE4"/>
    <w:rsid w:val="006F6558"/>
    <w:rsid w:val="00701EB9"/>
    <w:rsid w:val="00705DA0"/>
    <w:rsid w:val="0072018C"/>
    <w:rsid w:val="00722F37"/>
    <w:rsid w:val="00766582"/>
    <w:rsid w:val="00787E44"/>
    <w:rsid w:val="00793743"/>
    <w:rsid w:val="007A34B4"/>
    <w:rsid w:val="007A74E3"/>
    <w:rsid w:val="007B11FD"/>
    <w:rsid w:val="007C30EC"/>
    <w:rsid w:val="007E52CB"/>
    <w:rsid w:val="007F4BCE"/>
    <w:rsid w:val="008068BE"/>
    <w:rsid w:val="00806B39"/>
    <w:rsid w:val="0081227C"/>
    <w:rsid w:val="008124B0"/>
    <w:rsid w:val="008176A5"/>
    <w:rsid w:val="008254D9"/>
    <w:rsid w:val="00830673"/>
    <w:rsid w:val="00834E10"/>
    <w:rsid w:val="00882E0D"/>
    <w:rsid w:val="0088412E"/>
    <w:rsid w:val="008848EC"/>
    <w:rsid w:val="00884FE4"/>
    <w:rsid w:val="008875FC"/>
    <w:rsid w:val="008A2E79"/>
    <w:rsid w:val="008C21AF"/>
    <w:rsid w:val="008D70E9"/>
    <w:rsid w:val="008E2429"/>
    <w:rsid w:val="008F2D99"/>
    <w:rsid w:val="00934560"/>
    <w:rsid w:val="00937844"/>
    <w:rsid w:val="00940260"/>
    <w:rsid w:val="00961635"/>
    <w:rsid w:val="00965534"/>
    <w:rsid w:val="00982C79"/>
    <w:rsid w:val="0099167D"/>
    <w:rsid w:val="009A691F"/>
    <w:rsid w:val="009C2274"/>
    <w:rsid w:val="009F4886"/>
    <w:rsid w:val="009F6E2A"/>
    <w:rsid w:val="00A06843"/>
    <w:rsid w:val="00A07F06"/>
    <w:rsid w:val="00A131DA"/>
    <w:rsid w:val="00A23B5C"/>
    <w:rsid w:val="00A46537"/>
    <w:rsid w:val="00A60F5B"/>
    <w:rsid w:val="00A62E63"/>
    <w:rsid w:val="00A76849"/>
    <w:rsid w:val="00A76D15"/>
    <w:rsid w:val="00A92684"/>
    <w:rsid w:val="00A9379C"/>
    <w:rsid w:val="00AA2F6A"/>
    <w:rsid w:val="00AB4D9E"/>
    <w:rsid w:val="00AD127B"/>
    <w:rsid w:val="00AD6DEF"/>
    <w:rsid w:val="00AE4642"/>
    <w:rsid w:val="00AE4BA1"/>
    <w:rsid w:val="00AE72E6"/>
    <w:rsid w:val="00B25B93"/>
    <w:rsid w:val="00B362B7"/>
    <w:rsid w:val="00B5238E"/>
    <w:rsid w:val="00B71871"/>
    <w:rsid w:val="00B81A27"/>
    <w:rsid w:val="00B93895"/>
    <w:rsid w:val="00BD05D1"/>
    <w:rsid w:val="00C06815"/>
    <w:rsid w:val="00C101A2"/>
    <w:rsid w:val="00C13A8D"/>
    <w:rsid w:val="00C142D8"/>
    <w:rsid w:val="00C16532"/>
    <w:rsid w:val="00C353F3"/>
    <w:rsid w:val="00C35C59"/>
    <w:rsid w:val="00C44A12"/>
    <w:rsid w:val="00C53B2E"/>
    <w:rsid w:val="00C64E8A"/>
    <w:rsid w:val="00C7236D"/>
    <w:rsid w:val="00C7616B"/>
    <w:rsid w:val="00C767EF"/>
    <w:rsid w:val="00C829B9"/>
    <w:rsid w:val="00C93FEF"/>
    <w:rsid w:val="00C948DA"/>
    <w:rsid w:val="00CB26B8"/>
    <w:rsid w:val="00CC3808"/>
    <w:rsid w:val="00CE03A2"/>
    <w:rsid w:val="00CF0237"/>
    <w:rsid w:val="00CF3F0E"/>
    <w:rsid w:val="00D161E5"/>
    <w:rsid w:val="00D23932"/>
    <w:rsid w:val="00D274D7"/>
    <w:rsid w:val="00D313B1"/>
    <w:rsid w:val="00D345E0"/>
    <w:rsid w:val="00D36B3E"/>
    <w:rsid w:val="00D4233F"/>
    <w:rsid w:val="00D42C36"/>
    <w:rsid w:val="00D75146"/>
    <w:rsid w:val="00D83EE3"/>
    <w:rsid w:val="00D9561A"/>
    <w:rsid w:val="00D97FFE"/>
    <w:rsid w:val="00DA1FA6"/>
    <w:rsid w:val="00DC2D70"/>
    <w:rsid w:val="00DE62BB"/>
    <w:rsid w:val="00DF6580"/>
    <w:rsid w:val="00E0458C"/>
    <w:rsid w:val="00E079BC"/>
    <w:rsid w:val="00E17F50"/>
    <w:rsid w:val="00E30857"/>
    <w:rsid w:val="00E322DC"/>
    <w:rsid w:val="00E372E5"/>
    <w:rsid w:val="00E45017"/>
    <w:rsid w:val="00E76D08"/>
    <w:rsid w:val="00E8012A"/>
    <w:rsid w:val="00EA599D"/>
    <w:rsid w:val="00EB4DD2"/>
    <w:rsid w:val="00EC46AD"/>
    <w:rsid w:val="00ED3C45"/>
    <w:rsid w:val="00ED5D78"/>
    <w:rsid w:val="00ED7770"/>
    <w:rsid w:val="00EE65CD"/>
    <w:rsid w:val="00EF00F4"/>
    <w:rsid w:val="00F1044C"/>
    <w:rsid w:val="00F3740C"/>
    <w:rsid w:val="00F478D0"/>
    <w:rsid w:val="00F530AB"/>
    <w:rsid w:val="00F62C41"/>
    <w:rsid w:val="00F64D32"/>
    <w:rsid w:val="00F751FA"/>
    <w:rsid w:val="00F9488B"/>
    <w:rsid w:val="00FD20EE"/>
    <w:rsid w:val="00FE0A78"/>
    <w:rsid w:val="00FE7B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Parastais (Web)"/>
    <w:basedOn w:val="Normal"/>
    <w:link w:val="NormalWebChar"/>
    <w:uiPriority w:val="99"/>
    <w:unhideWhenUsed/>
    <w:rsid w:val="00AE72E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AE72E6"/>
  </w:style>
  <w:style w:type="paragraph" w:customStyle="1" w:styleId="naisf">
    <w:name w:val="naisf"/>
    <w:basedOn w:val="Normal"/>
    <w:rsid w:val="00491F2D"/>
    <w:pPr>
      <w:spacing w:before="75" w:after="75" w:line="240" w:lineRule="auto"/>
      <w:ind w:firstLine="375"/>
      <w:jc w:val="both"/>
    </w:pPr>
    <w:rPr>
      <w:rFonts w:ascii="Times New Roman" w:eastAsia="Times New Roman" w:hAnsi="Times New Roman"/>
      <w:sz w:val="24"/>
      <w:szCs w:val="24"/>
      <w:lang w:eastAsia="lv-LV"/>
    </w:rPr>
  </w:style>
  <w:style w:type="paragraph" w:styleId="NoSpacing">
    <w:name w:val="No Spacing"/>
    <w:uiPriority w:val="99"/>
    <w:qFormat/>
    <w:rsid w:val="00491F2D"/>
    <w:rPr>
      <w:sz w:val="22"/>
      <w:szCs w:val="22"/>
      <w:lang w:val="en-US" w:eastAsia="en-US"/>
    </w:rPr>
  </w:style>
  <w:style w:type="character" w:customStyle="1" w:styleId="NormalWebChar">
    <w:name w:val="Normal (Web) Char"/>
    <w:aliases w:val="Parastais (Web) Char"/>
    <w:basedOn w:val="DefaultParagraphFont"/>
    <w:link w:val="NormalWeb"/>
    <w:uiPriority w:val="99"/>
    <w:rsid w:val="00491F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F2D"/>
    <w:rPr>
      <w:strike w:val="0"/>
      <w:dstrike w:val="0"/>
      <w:color w:val="40407C"/>
      <w:u w:val="none"/>
      <w:effect w:val="none"/>
    </w:rPr>
  </w:style>
  <w:style w:type="paragraph" w:customStyle="1" w:styleId="Default">
    <w:name w:val="Default"/>
    <w:rsid w:val="00491F2D"/>
    <w:pPr>
      <w:autoSpaceDE w:val="0"/>
      <w:autoSpaceDN w:val="0"/>
      <w:adjustRightInd w:val="0"/>
    </w:pPr>
    <w:rPr>
      <w:rFonts w:ascii="Arial" w:hAnsi="Arial" w:cs="Arial"/>
      <w:color w:val="000000"/>
      <w:sz w:val="24"/>
      <w:szCs w:val="24"/>
    </w:rPr>
  </w:style>
  <w:style w:type="character" w:customStyle="1" w:styleId="spelle">
    <w:name w:val="spelle"/>
    <w:basedOn w:val="DefaultParagraphFont"/>
    <w:rsid w:val="00491F2D"/>
  </w:style>
  <w:style w:type="paragraph" w:customStyle="1" w:styleId="tv213">
    <w:name w:val="tv213"/>
    <w:basedOn w:val="Normal"/>
    <w:rsid w:val="00491F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491F2D"/>
    <w:rPr>
      <w:rFonts w:eastAsia="Times New Roman"/>
      <w:sz w:val="22"/>
      <w:szCs w:val="22"/>
      <w:lang w:val="en-US" w:eastAsia="en-US"/>
    </w:rPr>
  </w:style>
  <w:style w:type="paragraph" w:customStyle="1" w:styleId="Titreobjet">
    <w:name w:val="Titre objet"/>
    <w:basedOn w:val="Normal"/>
    <w:next w:val="Normal"/>
    <w:rsid w:val="00491F2D"/>
    <w:pPr>
      <w:spacing w:before="360" w:after="360" w:line="240" w:lineRule="auto"/>
      <w:jc w:val="center"/>
    </w:pPr>
    <w:rPr>
      <w:rFonts w:ascii="Times New Roman" w:eastAsia="Times New Roman" w:hAnsi="Times New Roman"/>
      <w:b/>
      <w:snapToGrid w:val="0"/>
      <w:sz w:val="24"/>
      <w:szCs w:val="24"/>
      <w:lang w:val="en-GB" w:eastAsia="lv-LV"/>
    </w:rPr>
  </w:style>
  <w:style w:type="paragraph" w:styleId="ListParagraph">
    <w:name w:val="List Paragraph"/>
    <w:basedOn w:val="Normal"/>
    <w:uiPriority w:val="34"/>
    <w:qFormat/>
    <w:rsid w:val="00A62E63"/>
    <w:pPr>
      <w:ind w:left="720"/>
      <w:contextualSpacing/>
    </w:pPr>
    <w:rPr>
      <w:lang w:val="en-US"/>
    </w:rPr>
  </w:style>
  <w:style w:type="paragraph" w:styleId="Header">
    <w:name w:val="header"/>
    <w:basedOn w:val="Normal"/>
    <w:link w:val="HeaderChar"/>
    <w:uiPriority w:val="99"/>
    <w:unhideWhenUsed/>
    <w:rsid w:val="00F94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88B"/>
    <w:rPr>
      <w:lang w:val="lv-LV"/>
    </w:rPr>
  </w:style>
  <w:style w:type="paragraph" w:styleId="Footer">
    <w:name w:val="footer"/>
    <w:basedOn w:val="Normal"/>
    <w:link w:val="FooterChar"/>
    <w:uiPriority w:val="99"/>
    <w:unhideWhenUsed/>
    <w:rsid w:val="00F94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88B"/>
    <w:rPr>
      <w:lang w:val="lv-LV"/>
    </w:rPr>
  </w:style>
  <w:style w:type="paragraph" w:styleId="BalloonText">
    <w:name w:val="Balloon Text"/>
    <w:basedOn w:val="Normal"/>
    <w:link w:val="BalloonTextChar"/>
    <w:uiPriority w:val="99"/>
    <w:semiHidden/>
    <w:unhideWhenUsed/>
    <w:rsid w:val="00F9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8B"/>
    <w:rPr>
      <w:rFonts w:ascii="Tahoma" w:hAnsi="Tahoma" w:cs="Tahoma"/>
      <w:sz w:val="16"/>
      <w:szCs w:val="16"/>
      <w:lang w:val="lv-LV"/>
    </w:rPr>
  </w:style>
  <w:style w:type="paragraph" w:styleId="BodyTextIndent3">
    <w:name w:val="Body Text Indent 3"/>
    <w:basedOn w:val="Normal"/>
    <w:link w:val="BodyTextIndent3Char"/>
    <w:uiPriority w:val="99"/>
    <w:unhideWhenUsed/>
    <w:rsid w:val="00ED3C45"/>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ED3C45"/>
    <w:rPr>
      <w:rFonts w:ascii="Times New Roman" w:eastAsia="Times New Roman" w:hAnsi="Times New Roman" w:cs="Times New Roman"/>
      <w:sz w:val="16"/>
      <w:szCs w:val="16"/>
      <w:lang w:val="lv-LV" w:eastAsia="lv-LV"/>
    </w:rPr>
  </w:style>
  <w:style w:type="character" w:styleId="CommentReference">
    <w:name w:val="annotation reference"/>
    <w:basedOn w:val="DefaultParagraphFont"/>
    <w:uiPriority w:val="99"/>
    <w:semiHidden/>
    <w:unhideWhenUsed/>
    <w:rsid w:val="00D9561A"/>
    <w:rPr>
      <w:sz w:val="16"/>
      <w:szCs w:val="16"/>
    </w:rPr>
  </w:style>
  <w:style w:type="paragraph" w:styleId="CommentText">
    <w:name w:val="annotation text"/>
    <w:basedOn w:val="Normal"/>
    <w:link w:val="CommentTextChar"/>
    <w:uiPriority w:val="99"/>
    <w:semiHidden/>
    <w:unhideWhenUsed/>
    <w:rsid w:val="00D9561A"/>
    <w:pPr>
      <w:spacing w:line="240" w:lineRule="auto"/>
    </w:pPr>
    <w:rPr>
      <w:sz w:val="20"/>
      <w:szCs w:val="20"/>
    </w:rPr>
  </w:style>
  <w:style w:type="character" w:customStyle="1" w:styleId="CommentTextChar">
    <w:name w:val="Comment Text Char"/>
    <w:basedOn w:val="DefaultParagraphFont"/>
    <w:link w:val="CommentText"/>
    <w:uiPriority w:val="99"/>
    <w:semiHidden/>
    <w:rsid w:val="00D9561A"/>
    <w:rPr>
      <w:sz w:val="20"/>
      <w:szCs w:val="20"/>
      <w:lang w:val="lv-LV"/>
    </w:rPr>
  </w:style>
  <w:style w:type="paragraph" w:styleId="CommentSubject">
    <w:name w:val="annotation subject"/>
    <w:basedOn w:val="CommentText"/>
    <w:next w:val="CommentText"/>
    <w:link w:val="CommentSubjectChar"/>
    <w:uiPriority w:val="99"/>
    <w:semiHidden/>
    <w:unhideWhenUsed/>
    <w:rsid w:val="00D9561A"/>
    <w:rPr>
      <w:b/>
      <w:bCs/>
    </w:rPr>
  </w:style>
  <w:style w:type="character" w:customStyle="1" w:styleId="CommentSubjectChar">
    <w:name w:val="Comment Subject Char"/>
    <w:basedOn w:val="CommentTextChar"/>
    <w:link w:val="CommentSubject"/>
    <w:uiPriority w:val="99"/>
    <w:semiHidden/>
    <w:rsid w:val="00D9561A"/>
    <w:rPr>
      <w:b/>
      <w:bCs/>
    </w:rPr>
  </w:style>
  <w:style w:type="paragraph" w:customStyle="1" w:styleId="naisc">
    <w:name w:val="naisc"/>
    <w:basedOn w:val="Normal"/>
    <w:rsid w:val="00064D4A"/>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55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Key=0101032007062600436" TargetMode="External"/><Relationship Id="rId13" Type="http://schemas.openxmlformats.org/officeDocument/2006/relationships/hyperlink" Target="http://pro.nais.lv/naiser/text.cfm?&amp;KEY=0101032007062600416&amp;waiting=Yes&amp;RequestTimeout=500" TargetMode="External"/><Relationship Id="rId18" Type="http://schemas.openxmlformats.org/officeDocument/2006/relationships/hyperlink" Target="http://eur-lex.europa.eu/LexUriServ/LexUriServ.do?uri=CONSLEG:2004R0726:20090706:LV:HTML" TargetMode="External"/><Relationship Id="rId26" Type="http://schemas.openxmlformats.org/officeDocument/2006/relationships/hyperlink" Target="http://pro.nais.lv/naiser/esdoc.cfm?esid=32001L0083" TargetMode="External"/><Relationship Id="rId3" Type="http://schemas.openxmlformats.org/officeDocument/2006/relationships/styles" Target="styles.xml"/><Relationship Id="rId21" Type="http://schemas.openxmlformats.org/officeDocument/2006/relationships/hyperlink" Target="http://eur-lex.europa.eu/LexUriServ/LexUriServ.do?uri=OJ:L:2012:159:0005:01:LV:HTML" TargetMode="External"/><Relationship Id="rId7" Type="http://schemas.openxmlformats.org/officeDocument/2006/relationships/endnotes" Target="endnotes.xml"/><Relationship Id="rId12" Type="http://schemas.openxmlformats.org/officeDocument/2006/relationships/hyperlink" Target="http://pro.nais.lv/naiser/text.cfm?&amp;KEY=0101032007062600416&amp;waiting=Yes&amp;RequestTimeout=500" TargetMode="External"/><Relationship Id="rId17" Type="http://schemas.openxmlformats.org/officeDocument/2006/relationships/hyperlink" Target="http://eur-lex.europa.eu/LexUriServ/LexUriServ.do?uri=OJ:L:2010:348:0001:01:LV:HTML" TargetMode="External"/><Relationship Id="rId25" Type="http://schemas.openxmlformats.org/officeDocument/2006/relationships/hyperlink" Target="http://pro.nais.lv/naiser/esdoc.cfm?esid=32004R0726" TargetMode="External"/><Relationship Id="rId2" Type="http://schemas.openxmlformats.org/officeDocument/2006/relationships/numbering" Target="numbering.xml"/><Relationship Id="rId16" Type="http://schemas.openxmlformats.org/officeDocument/2006/relationships/hyperlink" Target="http://likumi.lv/doc.php?id=159645" TargetMode="External"/><Relationship Id="rId20" Type="http://schemas.openxmlformats.org/officeDocument/2006/relationships/hyperlink" Target="http://www.hma.eu/77.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Key=0101032007062600436" TargetMode="External"/><Relationship Id="rId24" Type="http://schemas.openxmlformats.org/officeDocument/2006/relationships/hyperlink" Target="http://pro.nais.lv/naiser/esdoc.cfm?esid=32012R05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nais.lv/naiser/esdoc.cfm?esid=32008R1234" TargetMode="External"/><Relationship Id="rId23" Type="http://schemas.openxmlformats.org/officeDocument/2006/relationships/hyperlink" Target="http://eur-lex.europa.eu/LexUriServ/LexUriServ.do?uri=CONSLEG:2001L0083:20091005:LV:HTML" TargetMode="External"/><Relationship Id="rId28" Type="http://schemas.openxmlformats.org/officeDocument/2006/relationships/header" Target="header1.xml"/><Relationship Id="rId10" Type="http://schemas.openxmlformats.org/officeDocument/2006/relationships/hyperlink" Target="http://pro.nais.lv/naiser/text.cfm?Key=0101032007062600436" TargetMode="External"/><Relationship Id="rId19" Type="http://schemas.openxmlformats.org/officeDocument/2006/relationships/hyperlink" Target="http://eur-lex.europa.eu/LexUriServ/LexUriServ.do?uri=CONSLEG:2007R1394:20071230:LV: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nais.lv/naiser/text.cfm?Key=0101032007062600436" TargetMode="External"/><Relationship Id="rId14" Type="http://schemas.openxmlformats.org/officeDocument/2006/relationships/hyperlink" Target="http://pro.nais.lv/naiser/text.cfm?&amp;KEY=0101032006041800304&amp;waiting=Yes&amp;RequestTimeout=500" TargetMode="External"/><Relationship Id="rId22" Type="http://schemas.openxmlformats.org/officeDocument/2006/relationships/hyperlink" Target="http://eur-lex.europa.eu/LexUriServ/LexUriServ.do?uri=CONSLEG:2004R0726:20090706:LV:HTML" TargetMode="External"/><Relationship Id="rId27" Type="http://schemas.openxmlformats.org/officeDocument/2006/relationships/hyperlink" Target="http://pro.nais.lv/naiser/esdoc.cfm?esid=32012R052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2C071-5FA3-4657-A870-0FDE8536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9111</Words>
  <Characters>51939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17.septembra noteikumos Nr.873 „Zāļu valsts aģentūras maksas pakalpojumu cenrādis” sākotnējās ietekmes novērtējuma ziņojums (anotācija)</vt:lpstr>
    </vt:vector>
  </TitlesOfParts>
  <Company>Veselības ministrija</Company>
  <LinksUpToDate>false</LinksUpToDate>
  <CharactersWithSpaces>60929</CharactersWithSpaces>
  <SharedDoc>false</SharedDoc>
  <HLinks>
    <vt:vector size="138" baseType="variant">
      <vt:variant>
        <vt:i4>6881405</vt:i4>
      </vt:variant>
      <vt:variant>
        <vt:i4>60</vt:i4>
      </vt:variant>
      <vt:variant>
        <vt:i4>0</vt:i4>
      </vt:variant>
      <vt:variant>
        <vt:i4>5</vt:i4>
      </vt:variant>
      <vt:variant>
        <vt:lpwstr>http://pro.nais.lv/naiser/esdoc.cfm?esid=32012R0520</vt:lpwstr>
      </vt:variant>
      <vt:variant>
        <vt:lpwstr/>
      </vt:variant>
      <vt:variant>
        <vt:i4>6291559</vt:i4>
      </vt:variant>
      <vt:variant>
        <vt:i4>57</vt:i4>
      </vt:variant>
      <vt:variant>
        <vt:i4>0</vt:i4>
      </vt:variant>
      <vt:variant>
        <vt:i4>5</vt:i4>
      </vt:variant>
      <vt:variant>
        <vt:lpwstr>http://pro.nais.lv/naiser/esdoc.cfm?esid=32001L0083</vt:lpwstr>
      </vt:variant>
      <vt:variant>
        <vt:lpwstr/>
      </vt:variant>
      <vt:variant>
        <vt:i4>7274622</vt:i4>
      </vt:variant>
      <vt:variant>
        <vt:i4>54</vt:i4>
      </vt:variant>
      <vt:variant>
        <vt:i4>0</vt:i4>
      </vt:variant>
      <vt:variant>
        <vt:i4>5</vt:i4>
      </vt:variant>
      <vt:variant>
        <vt:lpwstr>http://pro.nais.lv/naiser/esdoc.cfm?esid=32004R0726</vt:lpwstr>
      </vt:variant>
      <vt:variant>
        <vt:lpwstr/>
      </vt:variant>
      <vt:variant>
        <vt:i4>6881405</vt:i4>
      </vt:variant>
      <vt:variant>
        <vt:i4>51</vt:i4>
      </vt:variant>
      <vt:variant>
        <vt:i4>0</vt:i4>
      </vt:variant>
      <vt:variant>
        <vt:i4>5</vt:i4>
      </vt:variant>
      <vt:variant>
        <vt:lpwstr>http://pro.nais.lv/naiser/esdoc.cfm?esid=32012R0520</vt:lpwstr>
      </vt:variant>
      <vt:variant>
        <vt:lpwstr/>
      </vt:variant>
      <vt:variant>
        <vt:i4>1048666</vt:i4>
      </vt:variant>
      <vt:variant>
        <vt:i4>48</vt:i4>
      </vt:variant>
      <vt:variant>
        <vt:i4>0</vt:i4>
      </vt:variant>
      <vt:variant>
        <vt:i4>5</vt:i4>
      </vt:variant>
      <vt:variant>
        <vt:lpwstr>http://eur-lex.europa.eu/LexUriServ/LexUriServ.do?uri=CONSLEG:2001L0083:20091005:LV:HTML</vt:lpwstr>
      </vt:variant>
      <vt:variant>
        <vt:lpwstr/>
      </vt:variant>
      <vt:variant>
        <vt:i4>1769543</vt:i4>
      </vt:variant>
      <vt:variant>
        <vt:i4>45</vt:i4>
      </vt:variant>
      <vt:variant>
        <vt:i4>0</vt:i4>
      </vt:variant>
      <vt:variant>
        <vt:i4>5</vt:i4>
      </vt:variant>
      <vt:variant>
        <vt:lpwstr>http://eur-lex.europa.eu/LexUriServ/LexUriServ.do?uri=CONSLEG:2004R0726:20090706:LV:HTML</vt:lpwstr>
      </vt:variant>
      <vt:variant>
        <vt:lpwstr/>
      </vt:variant>
      <vt:variant>
        <vt:i4>7209015</vt:i4>
      </vt:variant>
      <vt:variant>
        <vt:i4>42</vt:i4>
      </vt:variant>
      <vt:variant>
        <vt:i4>0</vt:i4>
      </vt:variant>
      <vt:variant>
        <vt:i4>5</vt:i4>
      </vt:variant>
      <vt:variant>
        <vt:lpwstr>http://eur-lex.europa.eu/LexUriServ/LexUriServ.do?uri=OJ:L:2012:159:0005:01:LV:HTML</vt:lpwstr>
      </vt:variant>
      <vt:variant>
        <vt:lpwstr/>
      </vt:variant>
      <vt:variant>
        <vt:i4>5898251</vt:i4>
      </vt:variant>
      <vt:variant>
        <vt:i4>39</vt:i4>
      </vt:variant>
      <vt:variant>
        <vt:i4>0</vt:i4>
      </vt:variant>
      <vt:variant>
        <vt:i4>5</vt:i4>
      </vt:variant>
      <vt:variant>
        <vt:lpwstr>http://www.hma.eu/77.html</vt:lpwstr>
      </vt:variant>
      <vt:variant>
        <vt:lpwstr/>
      </vt:variant>
      <vt:variant>
        <vt:i4>1572954</vt:i4>
      </vt:variant>
      <vt:variant>
        <vt:i4>36</vt:i4>
      </vt:variant>
      <vt:variant>
        <vt:i4>0</vt:i4>
      </vt:variant>
      <vt:variant>
        <vt:i4>5</vt:i4>
      </vt:variant>
      <vt:variant>
        <vt:lpwstr>http://pro.nais.lv/naiser/text.cfm?Ref=0103011997041032772&amp;Req=0103011997041032772&amp;Key=0101032007032700220&amp;Hash=</vt:lpwstr>
      </vt:variant>
      <vt:variant>
        <vt:lpwstr/>
      </vt:variant>
      <vt:variant>
        <vt:i4>2031683</vt:i4>
      </vt:variant>
      <vt:variant>
        <vt:i4>33</vt:i4>
      </vt:variant>
      <vt:variant>
        <vt:i4>0</vt:i4>
      </vt:variant>
      <vt:variant>
        <vt:i4>5</vt:i4>
      </vt:variant>
      <vt:variant>
        <vt:lpwstr>http://eur-lex.europa.eu/LexUriServ/LexUriServ.do?uri=CONSLEG:2007R1394:20071230:LV:HTML</vt:lpwstr>
      </vt:variant>
      <vt:variant>
        <vt:lpwstr/>
      </vt:variant>
      <vt:variant>
        <vt:i4>1769543</vt:i4>
      </vt:variant>
      <vt:variant>
        <vt:i4>30</vt:i4>
      </vt:variant>
      <vt:variant>
        <vt:i4>0</vt:i4>
      </vt:variant>
      <vt:variant>
        <vt:i4>5</vt:i4>
      </vt:variant>
      <vt:variant>
        <vt:lpwstr>http://eur-lex.europa.eu/LexUriServ/LexUriServ.do?uri=CONSLEG:2004R0726:20090706:LV:HTML</vt:lpwstr>
      </vt:variant>
      <vt:variant>
        <vt:lpwstr/>
      </vt:variant>
      <vt:variant>
        <vt:i4>7012406</vt:i4>
      </vt:variant>
      <vt:variant>
        <vt:i4>27</vt:i4>
      </vt:variant>
      <vt:variant>
        <vt:i4>0</vt:i4>
      </vt:variant>
      <vt:variant>
        <vt:i4>5</vt:i4>
      </vt:variant>
      <vt:variant>
        <vt:lpwstr>http://eur-lex.europa.eu/LexUriServ/LexUriServ.do?uri=OJ:L:2010:348:0001:01:LV:HTML</vt:lpwstr>
      </vt:variant>
      <vt:variant>
        <vt:lpwstr/>
      </vt:variant>
      <vt:variant>
        <vt:i4>4915201</vt:i4>
      </vt:variant>
      <vt:variant>
        <vt:i4>24</vt:i4>
      </vt:variant>
      <vt:variant>
        <vt:i4>0</vt:i4>
      </vt:variant>
      <vt:variant>
        <vt:i4>5</vt:i4>
      </vt:variant>
      <vt:variant>
        <vt:lpwstr>http://likumi.lv/doc.php?id=159645</vt:lpwstr>
      </vt:variant>
      <vt:variant>
        <vt:lpwstr>p78</vt:lpwstr>
      </vt:variant>
      <vt:variant>
        <vt:i4>6488187</vt:i4>
      </vt:variant>
      <vt:variant>
        <vt:i4>21</vt:i4>
      </vt:variant>
      <vt:variant>
        <vt:i4>0</vt:i4>
      </vt:variant>
      <vt:variant>
        <vt:i4>5</vt:i4>
      </vt:variant>
      <vt:variant>
        <vt:lpwstr>http://pro.nais.lv/naiser/esdoc.cfm?esid=32008R1234</vt:lpwstr>
      </vt:variant>
      <vt:variant>
        <vt:lpwstr/>
      </vt:variant>
      <vt:variant>
        <vt:i4>5046274</vt:i4>
      </vt:variant>
      <vt:variant>
        <vt:i4>18</vt:i4>
      </vt:variant>
      <vt:variant>
        <vt:i4>0</vt:i4>
      </vt:variant>
      <vt:variant>
        <vt:i4>5</vt:i4>
      </vt:variant>
      <vt:variant>
        <vt:lpwstr>http://pro.nais.lv/naiser/text.cfm?&amp;KEY=0101032006041800304&amp;waiting=Yes&amp;RequestTimeout=500</vt:lpwstr>
      </vt:variant>
      <vt:variant>
        <vt:lpwstr>IntPNpunkt41.1.</vt:lpwstr>
      </vt:variant>
      <vt:variant>
        <vt:i4>7012392</vt:i4>
      </vt:variant>
      <vt:variant>
        <vt:i4>15</vt:i4>
      </vt:variant>
      <vt:variant>
        <vt:i4>0</vt:i4>
      </vt:variant>
      <vt:variant>
        <vt:i4>5</vt:i4>
      </vt:variant>
      <vt:variant>
        <vt:lpwstr>http://pro.nais.lv/naiser/text.cfm?&amp;KEY=0101032007062600416&amp;waiting=Yes&amp;RequestTimeout=500</vt:lpwstr>
      </vt:variant>
      <vt:variant>
        <vt:lpwstr>IntPNpunkt146.10.</vt:lpwstr>
      </vt:variant>
      <vt:variant>
        <vt:i4>4325382</vt:i4>
      </vt:variant>
      <vt:variant>
        <vt:i4>12</vt:i4>
      </vt:variant>
      <vt:variant>
        <vt:i4>0</vt:i4>
      </vt:variant>
      <vt:variant>
        <vt:i4>5</vt:i4>
      </vt:variant>
      <vt:variant>
        <vt:lpwstr>http://pro.nais.lv/naiser/text.cfm?&amp;KEY=0101032007062600416&amp;waiting=Yes&amp;RequestTimeout=500</vt:lpwstr>
      </vt:variant>
      <vt:variant>
        <vt:lpwstr>IntPNpunkt66.5</vt:lpwstr>
      </vt:variant>
      <vt:variant>
        <vt:i4>5636096</vt:i4>
      </vt:variant>
      <vt:variant>
        <vt:i4>9</vt:i4>
      </vt:variant>
      <vt:variant>
        <vt:i4>0</vt:i4>
      </vt:variant>
      <vt:variant>
        <vt:i4>5</vt:i4>
      </vt:variant>
      <vt:variant>
        <vt:lpwstr>http://pro.nais.lv/naiser/text.cfm?Key=0101032007062600436</vt:lpwstr>
      </vt:variant>
      <vt:variant>
        <vt:lpwstr>IntPNpunkt38.3</vt:lpwstr>
      </vt:variant>
      <vt:variant>
        <vt:i4>5701632</vt:i4>
      </vt:variant>
      <vt:variant>
        <vt:i4>6</vt:i4>
      </vt:variant>
      <vt:variant>
        <vt:i4>0</vt:i4>
      </vt:variant>
      <vt:variant>
        <vt:i4>5</vt:i4>
      </vt:variant>
      <vt:variant>
        <vt:lpwstr>http://pro.nais.lv/naiser/text.cfm?Key=0101032007062600436</vt:lpwstr>
      </vt:variant>
      <vt:variant>
        <vt:lpwstr>IntPNpunkt38.2</vt:lpwstr>
      </vt:variant>
      <vt:variant>
        <vt:i4>6619182</vt:i4>
      </vt:variant>
      <vt:variant>
        <vt:i4>3</vt:i4>
      </vt:variant>
      <vt:variant>
        <vt:i4>0</vt:i4>
      </vt:variant>
      <vt:variant>
        <vt:i4>5</vt:i4>
      </vt:variant>
      <vt:variant>
        <vt:lpwstr>http://pro.nais.lv/naiser/text.cfm?Key=0101032007062600436</vt:lpwstr>
      </vt:variant>
      <vt:variant>
        <vt:lpwstr>IntPNpunkt38.</vt:lpwstr>
      </vt:variant>
      <vt:variant>
        <vt:i4>6160384</vt:i4>
      </vt:variant>
      <vt:variant>
        <vt:i4>0</vt:i4>
      </vt:variant>
      <vt:variant>
        <vt:i4>0</vt:i4>
      </vt:variant>
      <vt:variant>
        <vt:i4>5</vt:i4>
      </vt:variant>
      <vt:variant>
        <vt:lpwstr>http://pro.nais.lv/naiser/text.cfm?Key=0101032007062600436</vt:lpwstr>
      </vt:variant>
      <vt:variant>
        <vt:lpwstr>IntPNpunkt32.1</vt:lpwstr>
      </vt:variant>
      <vt:variant>
        <vt:i4>4980758</vt:i4>
      </vt:variant>
      <vt:variant>
        <vt:i4>3</vt:i4>
      </vt:variant>
      <vt:variant>
        <vt:i4>0</vt:i4>
      </vt:variant>
      <vt:variant>
        <vt:i4>5</vt:i4>
      </vt:variant>
      <vt:variant>
        <vt:lpwstr>http://ec.europa.eu/health/files/eudralex/vol-2/c_2013_2008/c_2013_2008_pdf/c_2013_2804_en.pdf</vt:lpwstr>
      </vt:variant>
      <vt:variant>
        <vt:lpwstr/>
      </vt:variant>
      <vt:variant>
        <vt:i4>1769558</vt:i4>
      </vt:variant>
      <vt:variant>
        <vt:i4>0</vt:i4>
      </vt:variant>
      <vt:variant>
        <vt:i4>0</vt:i4>
      </vt:variant>
      <vt:variant>
        <vt:i4>5</vt:i4>
      </vt:variant>
      <vt:variant>
        <vt:lpwstr>http://eur-lex.europa.eu/JOHtml.do?uri=OJ:C:2013:223:SOM:LV:HTML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17.septembra noteikumos Nr.873 „Zāļu valsts aģentūras maksas pakalpojumu cenrādis” sākotnējās ietekmes novērtējuma ziņojums (anotācija)</dc:title>
  <dc:subject>Anotācija</dc:subject>
  <dc:creator>Āris Kasparāns</dc:creator>
  <dc:description>Tālr.Nr.67876043, aris.kasparans@vm.gov.lv</dc:description>
  <cp:lastModifiedBy>akasparans</cp:lastModifiedBy>
  <cp:revision>19</cp:revision>
  <cp:lastPrinted>2014-02-19T13:35:00Z</cp:lastPrinted>
  <dcterms:created xsi:type="dcterms:W3CDTF">2014-07-07T11:25:00Z</dcterms:created>
  <dcterms:modified xsi:type="dcterms:W3CDTF">2014-07-24T17:34:00Z</dcterms:modified>
</cp:coreProperties>
</file>