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EE" w:rsidRPr="00B86E9B" w:rsidRDefault="00B774EE" w:rsidP="00B774EE">
      <w:pPr>
        <w:jc w:val="center"/>
        <w:rPr>
          <w:b/>
          <w:sz w:val="32"/>
          <w:szCs w:val="32"/>
        </w:rPr>
      </w:pPr>
      <w:r w:rsidRPr="00B86E9B">
        <w:rPr>
          <w:b/>
          <w:sz w:val="32"/>
          <w:szCs w:val="32"/>
        </w:rPr>
        <w:t>Informatīvais ziņojums par kapitālsabiedrībām,</w:t>
      </w:r>
      <w:r w:rsidR="00A731AF" w:rsidRPr="00B86E9B">
        <w:rPr>
          <w:b/>
          <w:sz w:val="32"/>
          <w:szCs w:val="32"/>
        </w:rPr>
        <w:t xml:space="preserve"> kurās Veselības ministrija ir kapitāla daļu turētāja,</w:t>
      </w:r>
      <w:r w:rsidRPr="00B86E9B">
        <w:rPr>
          <w:b/>
          <w:sz w:val="32"/>
          <w:szCs w:val="32"/>
        </w:rPr>
        <w:t xml:space="preserve"> kas 2012.gadu ir noslēgušas ar zaudējumiem</w:t>
      </w:r>
    </w:p>
    <w:p w:rsidR="00D84C06" w:rsidRPr="00B86E9B" w:rsidRDefault="00D84C06">
      <w:pPr>
        <w:rPr>
          <w:sz w:val="28"/>
          <w:szCs w:val="28"/>
        </w:rPr>
      </w:pPr>
    </w:p>
    <w:p w:rsidR="006877E0" w:rsidRPr="00B86E9B" w:rsidRDefault="006877E0" w:rsidP="006877E0">
      <w:pPr>
        <w:jc w:val="both"/>
        <w:rPr>
          <w:sz w:val="28"/>
          <w:szCs w:val="28"/>
        </w:rPr>
      </w:pPr>
      <w:r w:rsidRPr="00B86E9B">
        <w:rPr>
          <w:sz w:val="28"/>
          <w:szCs w:val="28"/>
        </w:rPr>
        <w:tab/>
        <w:t xml:space="preserve">Atbilstoši Ministru prezidenta 2013.gada 7.novembra rezolūcijai </w:t>
      </w:r>
      <w:r w:rsidR="009717B9" w:rsidRPr="00B86E9B">
        <w:rPr>
          <w:sz w:val="28"/>
          <w:szCs w:val="28"/>
        </w:rPr>
        <w:t>Nr.2013-REZ-18/2013-TA-3092-2102</w:t>
      </w:r>
      <w:r w:rsidRPr="00B86E9B">
        <w:rPr>
          <w:sz w:val="28"/>
          <w:szCs w:val="28"/>
        </w:rPr>
        <w:t xml:space="preserve">, Veselības ministrija (turpmāk – ministrija) ir sagatavojusi informatīvo ziņojumu par </w:t>
      </w:r>
      <w:r w:rsidR="009367D0" w:rsidRPr="00B86E9B">
        <w:rPr>
          <w:sz w:val="28"/>
          <w:szCs w:val="28"/>
        </w:rPr>
        <w:t>kapitālsabiedrībām, kurās Veselības ministrija ir kapitāla daļu turētāja,  (turpmāk – Kapitālsabiedrības), kas 2012.gadu ir noslēgušas ar zaudējumiem</w:t>
      </w:r>
      <w:r w:rsidRPr="00B86E9B">
        <w:rPr>
          <w:sz w:val="28"/>
          <w:szCs w:val="28"/>
        </w:rPr>
        <w:t>, norādot kapitāla daļu turētāja veiktās darbības, lai novērstu konstat</w:t>
      </w:r>
      <w:r w:rsidR="00944227" w:rsidRPr="00B86E9B">
        <w:rPr>
          <w:sz w:val="28"/>
          <w:szCs w:val="28"/>
        </w:rPr>
        <w:t>ētos zaudējumus, kā arī izvērtējusi</w:t>
      </w:r>
      <w:r w:rsidRPr="00B86E9B">
        <w:rPr>
          <w:sz w:val="28"/>
          <w:szCs w:val="28"/>
        </w:rPr>
        <w:t xml:space="preserve"> riskus, kas saistīti ar šo </w:t>
      </w:r>
      <w:r w:rsidR="00CA72D1" w:rsidRPr="00B86E9B">
        <w:rPr>
          <w:sz w:val="28"/>
          <w:szCs w:val="28"/>
        </w:rPr>
        <w:t>K</w:t>
      </w:r>
      <w:r w:rsidRPr="00B86E9B">
        <w:rPr>
          <w:sz w:val="28"/>
          <w:szCs w:val="28"/>
        </w:rPr>
        <w:t>apitālsabiedrību turpmāko darbību un finansiālo slogu valsts budžetam (turpmāk – informatīvais ziņojums).</w:t>
      </w:r>
    </w:p>
    <w:p w:rsidR="002B37DE" w:rsidRPr="00B86E9B" w:rsidRDefault="005577C9" w:rsidP="002B37DE">
      <w:pPr>
        <w:ind w:firstLine="709"/>
        <w:jc w:val="both"/>
        <w:rPr>
          <w:sz w:val="28"/>
          <w:szCs w:val="28"/>
        </w:rPr>
      </w:pPr>
      <w:r>
        <w:rPr>
          <w:sz w:val="28"/>
          <w:szCs w:val="28"/>
        </w:rPr>
        <w:t xml:space="preserve">Visu </w:t>
      </w:r>
      <w:r w:rsidR="002B37DE" w:rsidRPr="00B86E9B">
        <w:rPr>
          <w:sz w:val="28"/>
          <w:szCs w:val="28"/>
        </w:rPr>
        <w:t xml:space="preserve">Kapitālsabiedrību kopējo ieņēmumu 2012.gada izpilde ir 180,2 milj. latu, kas ir par 10,9 milj. latu (6,4%) vairāk nekā 2011.gada izpilde, savukārt, salīdzinot ar 2012.gada plānu, tā ir palielinājusies par 28,3 milj. latu (18,6%), kas daļēji ir skaidrojams ar to, ka 2012.gada otrajā pusgadā tika piešķirts papildus valsts finansējums veselības aprūpes pakalpojumu nodrošināšanai, kā arī finansējums SIA </w:t>
      </w:r>
      <w:r w:rsidR="002B37DE" w:rsidRPr="00B86E9B">
        <w:rPr>
          <w:sz w:val="28"/>
          <w:szCs w:val="28"/>
          <w:shd w:val="clear" w:color="auto" w:fill="FFFFFF"/>
        </w:rPr>
        <w:t xml:space="preserve">„Rīgas Austrumu klīniskā universitātes slimnīca” sakarā ar </w:t>
      </w:r>
      <w:r w:rsidR="002B37DE" w:rsidRPr="00B86E9B">
        <w:rPr>
          <w:sz w:val="28"/>
          <w:szCs w:val="28"/>
        </w:rPr>
        <w:t>v</w:t>
      </w:r>
      <w:r w:rsidR="002B37DE" w:rsidRPr="00B86E9B">
        <w:rPr>
          <w:sz w:val="28"/>
          <w:szCs w:val="28"/>
          <w:shd w:val="clear" w:color="auto" w:fill="FFFFFF"/>
        </w:rPr>
        <w:t xml:space="preserve">alsts aģentūras „Latvijas Infektoloģijas centrs” </w:t>
      </w:r>
      <w:r w:rsidR="002B37DE" w:rsidRPr="00B86E9B">
        <w:rPr>
          <w:rStyle w:val="Izclums"/>
          <w:i w:val="0"/>
          <w:sz w:val="28"/>
          <w:szCs w:val="28"/>
        </w:rPr>
        <w:t>ar infekciju slimību ārstniecību saistīto</w:t>
      </w:r>
      <w:r w:rsidR="002B37DE" w:rsidRPr="00B86E9B">
        <w:rPr>
          <w:rStyle w:val="Izclums"/>
          <w:sz w:val="28"/>
          <w:szCs w:val="28"/>
        </w:rPr>
        <w:t xml:space="preserve"> </w:t>
      </w:r>
      <w:r w:rsidR="002B37DE" w:rsidRPr="00B86E9B">
        <w:rPr>
          <w:sz w:val="28"/>
          <w:szCs w:val="28"/>
        </w:rPr>
        <w:t>funkciju pārņemšanu.</w:t>
      </w:r>
    </w:p>
    <w:p w:rsidR="002B37DE" w:rsidRPr="00B86E9B" w:rsidRDefault="002B37DE" w:rsidP="002B37DE">
      <w:pPr>
        <w:pStyle w:val="naisf"/>
        <w:spacing w:before="0" w:beforeAutospacing="0" w:after="0" w:afterAutospacing="0"/>
        <w:ind w:firstLine="720"/>
        <w:jc w:val="both"/>
        <w:rPr>
          <w:sz w:val="28"/>
          <w:szCs w:val="28"/>
          <w:lang w:val="lv-LV"/>
        </w:rPr>
      </w:pPr>
      <w:r w:rsidRPr="00B86E9B">
        <w:rPr>
          <w:sz w:val="28"/>
          <w:szCs w:val="28"/>
          <w:lang w:val="lv-LV"/>
        </w:rPr>
        <w:t xml:space="preserve"> </w:t>
      </w:r>
      <w:r w:rsidR="005577C9">
        <w:rPr>
          <w:sz w:val="28"/>
          <w:szCs w:val="28"/>
          <w:lang w:val="lv-LV"/>
        </w:rPr>
        <w:t xml:space="preserve">Visu </w:t>
      </w:r>
      <w:r w:rsidRPr="00B86E9B">
        <w:rPr>
          <w:sz w:val="28"/>
          <w:szCs w:val="28"/>
          <w:lang w:val="lv-LV"/>
        </w:rPr>
        <w:t>Kapitālsabiedrību kopējo izmaksu 2012.gada izpilde ir</w:t>
      </w:r>
      <w:r w:rsidRPr="00B86E9B">
        <w:rPr>
          <w:sz w:val="28"/>
          <w:szCs w:val="28"/>
          <w:lang w:val="lv-LV"/>
        </w:rPr>
        <w:br/>
        <w:t>187,5 milj. latu, kas ir par 4,3 milj. latu (2,3%) vairāk nekā 2011.gada izpilde, savukārt, sa</w:t>
      </w:r>
      <w:r w:rsidR="00F53089" w:rsidRPr="00B86E9B">
        <w:rPr>
          <w:sz w:val="28"/>
          <w:szCs w:val="28"/>
          <w:lang w:val="lv-LV"/>
        </w:rPr>
        <w:t>līdzinot ar 2012.gada plānu, tā</w:t>
      </w:r>
      <w:r w:rsidRPr="00B86E9B">
        <w:rPr>
          <w:sz w:val="28"/>
          <w:szCs w:val="28"/>
          <w:lang w:val="lv-LV"/>
        </w:rPr>
        <w:t xml:space="preserve"> ir palielināj</w:t>
      </w:r>
      <w:r w:rsidR="00F53089" w:rsidRPr="00B86E9B">
        <w:rPr>
          <w:sz w:val="28"/>
          <w:szCs w:val="28"/>
          <w:lang w:val="lv-LV"/>
        </w:rPr>
        <w:t>us</w:t>
      </w:r>
      <w:r w:rsidRPr="00B86E9B">
        <w:rPr>
          <w:sz w:val="28"/>
          <w:szCs w:val="28"/>
          <w:lang w:val="lv-LV"/>
        </w:rPr>
        <w:t>ies par</w:t>
      </w:r>
      <w:r w:rsidRPr="00B86E9B">
        <w:rPr>
          <w:sz w:val="28"/>
          <w:szCs w:val="28"/>
          <w:lang w:val="lv-LV"/>
        </w:rPr>
        <w:br/>
        <w:t xml:space="preserve">25,3 milj. latu (15,6%), kas skaidrojams ar to, ka, piešķirot papildus valsts finansējumu veselības aprūpes pakalpojumu nodrošināšanai un </w:t>
      </w:r>
      <w:r w:rsidR="000E36CB" w:rsidRPr="00B86E9B">
        <w:rPr>
          <w:sz w:val="28"/>
          <w:szCs w:val="28"/>
          <w:lang w:val="lv-LV"/>
        </w:rPr>
        <w:t xml:space="preserve">pārdalot no citas valsts budžeta apakšprogrammas </w:t>
      </w:r>
      <w:r w:rsidRPr="00B86E9B">
        <w:rPr>
          <w:sz w:val="28"/>
          <w:szCs w:val="28"/>
          <w:lang w:val="lv-LV"/>
        </w:rPr>
        <w:t>finansējumu SIA</w:t>
      </w:r>
      <w:r w:rsidR="00794BE6" w:rsidRPr="00B86E9B">
        <w:rPr>
          <w:sz w:val="28"/>
          <w:szCs w:val="28"/>
          <w:lang w:val="lv-LV"/>
        </w:rPr>
        <w:t> </w:t>
      </w:r>
      <w:r w:rsidRPr="00B86E9B">
        <w:rPr>
          <w:sz w:val="28"/>
          <w:szCs w:val="28"/>
          <w:shd w:val="clear" w:color="auto" w:fill="FFFFFF"/>
          <w:lang w:val="lv-LV"/>
        </w:rPr>
        <w:t xml:space="preserve">„Rīgas Austrumu klīniskā universitātes slimnīca” sakarā ar </w:t>
      </w:r>
      <w:r w:rsidRPr="00B86E9B">
        <w:rPr>
          <w:sz w:val="28"/>
          <w:szCs w:val="28"/>
          <w:lang w:val="lv-LV"/>
        </w:rPr>
        <w:t>v</w:t>
      </w:r>
      <w:r w:rsidRPr="00B86E9B">
        <w:rPr>
          <w:sz w:val="28"/>
          <w:szCs w:val="28"/>
          <w:shd w:val="clear" w:color="auto" w:fill="FFFFFF"/>
          <w:lang w:val="lv-LV"/>
        </w:rPr>
        <w:t>alsts aģentūras „Latvijas Infektoloģijas centrs</w:t>
      </w:r>
      <w:r w:rsidRPr="00B86E9B">
        <w:rPr>
          <w:i/>
          <w:sz w:val="28"/>
          <w:szCs w:val="28"/>
          <w:shd w:val="clear" w:color="auto" w:fill="FFFFFF"/>
          <w:lang w:val="lv-LV"/>
        </w:rPr>
        <w:t xml:space="preserve">” </w:t>
      </w:r>
      <w:r w:rsidRPr="00B86E9B">
        <w:rPr>
          <w:rStyle w:val="Izclums"/>
          <w:i w:val="0"/>
          <w:sz w:val="28"/>
          <w:szCs w:val="28"/>
          <w:lang w:val="lv-LV"/>
        </w:rPr>
        <w:t xml:space="preserve">ar infekciju slimību ārstniecību saistīto </w:t>
      </w:r>
      <w:r w:rsidRPr="00B86E9B">
        <w:rPr>
          <w:sz w:val="28"/>
          <w:szCs w:val="28"/>
          <w:lang w:val="lv-LV"/>
        </w:rPr>
        <w:t xml:space="preserve">funkciju pārņemšanu, tika palielināts sniedzamo veselības aprūpes pakalpojumu apjoms, kas attiecīgi palielināja kopējās izmaksas. </w:t>
      </w:r>
    </w:p>
    <w:p w:rsidR="002B37DE" w:rsidRPr="00B86E9B" w:rsidRDefault="008C117F" w:rsidP="002B37DE">
      <w:pPr>
        <w:ind w:firstLine="706"/>
        <w:jc w:val="both"/>
        <w:rPr>
          <w:sz w:val="28"/>
          <w:szCs w:val="28"/>
        </w:rPr>
      </w:pPr>
      <w:r w:rsidRPr="00B86E9B">
        <w:rPr>
          <w:sz w:val="28"/>
          <w:szCs w:val="28"/>
        </w:rPr>
        <w:t>K</w:t>
      </w:r>
      <w:r w:rsidR="001C6AD1">
        <w:rPr>
          <w:sz w:val="28"/>
          <w:szCs w:val="28"/>
        </w:rPr>
        <w:t>apitālsabiedrību kopējais darbības rezultāts</w:t>
      </w:r>
      <w:r w:rsidR="003E6C44">
        <w:rPr>
          <w:sz w:val="28"/>
          <w:szCs w:val="28"/>
        </w:rPr>
        <w:t xml:space="preserve"> (</w:t>
      </w:r>
      <w:r w:rsidR="003E6C44">
        <w:rPr>
          <w:color w:val="000000"/>
          <w:sz w:val="28"/>
          <w:szCs w:val="28"/>
        </w:rPr>
        <w:t>n</w:t>
      </w:r>
      <w:r w:rsidR="003E6C44" w:rsidRPr="00B86E9B">
        <w:rPr>
          <w:color w:val="000000"/>
          <w:sz w:val="28"/>
          <w:szCs w:val="28"/>
        </w:rPr>
        <w:t>eto peļņa/zaudējumi</w:t>
      </w:r>
      <w:r w:rsidR="003E6C44">
        <w:rPr>
          <w:sz w:val="28"/>
          <w:szCs w:val="28"/>
        </w:rPr>
        <w:t>)</w:t>
      </w:r>
      <w:r w:rsidR="002B37DE" w:rsidRPr="00B86E9B">
        <w:rPr>
          <w:sz w:val="28"/>
          <w:szCs w:val="28"/>
        </w:rPr>
        <w:t xml:space="preserve"> 2012.gadā ir </w:t>
      </w:r>
      <w:r w:rsidR="00946E47">
        <w:rPr>
          <w:sz w:val="28"/>
          <w:szCs w:val="28"/>
        </w:rPr>
        <w:t>–</w:t>
      </w:r>
      <w:r w:rsidR="00C35AFD" w:rsidRPr="00B86E9B">
        <w:rPr>
          <w:sz w:val="28"/>
          <w:szCs w:val="28"/>
        </w:rPr>
        <w:t>7,3</w:t>
      </w:r>
      <w:r w:rsidR="002B37DE" w:rsidRPr="00B86E9B">
        <w:rPr>
          <w:sz w:val="28"/>
          <w:szCs w:val="28"/>
        </w:rPr>
        <w:t xml:space="preserve"> milj. latu, kas salīdzinājumā ar 2011.gadu ir par 6,6 milj. latu mazāks zaudējumu apmērs. Salīdzinot ar plānoto 2012.gadā, kopējais zaudējumu apmērs ir samazinājies par 3,0 milj. la</w:t>
      </w:r>
      <w:r w:rsidR="003B12BB" w:rsidRPr="00B86E9B">
        <w:rPr>
          <w:sz w:val="28"/>
          <w:szCs w:val="28"/>
        </w:rPr>
        <w:t>tu. Faktisko z</w:t>
      </w:r>
      <w:r w:rsidR="00A5629F" w:rsidRPr="00B86E9B">
        <w:rPr>
          <w:sz w:val="28"/>
          <w:szCs w:val="28"/>
        </w:rPr>
        <w:t>audējumu apmēr</w:t>
      </w:r>
      <w:r w:rsidR="002B37DE" w:rsidRPr="00B86E9B">
        <w:rPr>
          <w:sz w:val="28"/>
          <w:szCs w:val="28"/>
        </w:rPr>
        <w:t>u</w:t>
      </w:r>
      <w:r w:rsidR="00A5629F" w:rsidRPr="00B86E9B">
        <w:rPr>
          <w:sz w:val="28"/>
          <w:szCs w:val="28"/>
        </w:rPr>
        <w:t xml:space="preserve"> pozitīvi</w:t>
      </w:r>
      <w:r w:rsidR="002B37DE" w:rsidRPr="00B86E9B">
        <w:rPr>
          <w:sz w:val="28"/>
          <w:szCs w:val="28"/>
        </w:rPr>
        <w:t xml:space="preserve"> ietekmējis 2012.gadā papildu piešķirtais valsts budžeta  finansējums veselības ap</w:t>
      </w:r>
      <w:r w:rsidR="00CE148B" w:rsidRPr="00B86E9B">
        <w:rPr>
          <w:sz w:val="28"/>
          <w:szCs w:val="28"/>
        </w:rPr>
        <w:t>rūpes pakalpojumiem, kā arī K</w:t>
      </w:r>
      <w:r w:rsidR="002B37DE" w:rsidRPr="00B86E9B">
        <w:rPr>
          <w:sz w:val="28"/>
          <w:szCs w:val="28"/>
        </w:rPr>
        <w:t>apitālsabiedrību veiktie izdevu</w:t>
      </w:r>
      <w:r w:rsidR="00CE148B" w:rsidRPr="00B86E9B">
        <w:rPr>
          <w:sz w:val="28"/>
          <w:szCs w:val="28"/>
        </w:rPr>
        <w:t>mus ierobežojošie pasākumi. K</w:t>
      </w:r>
      <w:r w:rsidR="002B37DE" w:rsidRPr="00B86E9B">
        <w:rPr>
          <w:sz w:val="28"/>
          <w:szCs w:val="28"/>
        </w:rPr>
        <w:t>apitālsabiedrību, īpaši universitātes tipa slimnīcu, kur</w:t>
      </w:r>
      <w:r w:rsidR="00650EE8" w:rsidRPr="00B86E9B">
        <w:rPr>
          <w:sz w:val="28"/>
          <w:szCs w:val="28"/>
        </w:rPr>
        <w:t>ās</w:t>
      </w:r>
      <w:r w:rsidR="002B37DE" w:rsidRPr="00B86E9B">
        <w:rPr>
          <w:sz w:val="28"/>
          <w:szCs w:val="28"/>
        </w:rPr>
        <w:t xml:space="preserve"> nonāk pacienti ar smagām veselības problēmā</w:t>
      </w:r>
      <w:r w:rsidR="00497467" w:rsidRPr="00B86E9B">
        <w:rPr>
          <w:sz w:val="28"/>
          <w:szCs w:val="28"/>
        </w:rPr>
        <w:t>m</w:t>
      </w:r>
      <w:r w:rsidR="002B37DE" w:rsidRPr="00B86E9B">
        <w:rPr>
          <w:sz w:val="28"/>
          <w:szCs w:val="28"/>
        </w:rPr>
        <w:t xml:space="preserve"> un kuru ārstēšana izmaksā dārgāk nekā citās ārstniecības iestādēs, zaudējumus ietekmē valsts apmaksāto stacionāro veselības aprūpes pakalpojumu tarifi, kas ir vienādi visās ārstniecības iestādēs. Vēl viens </w:t>
      </w:r>
      <w:r w:rsidR="00CE148B" w:rsidRPr="00B86E9B">
        <w:rPr>
          <w:sz w:val="28"/>
          <w:szCs w:val="28"/>
        </w:rPr>
        <w:t>K</w:t>
      </w:r>
      <w:r w:rsidR="002B37DE" w:rsidRPr="00B86E9B">
        <w:rPr>
          <w:sz w:val="28"/>
          <w:szCs w:val="28"/>
        </w:rPr>
        <w:t xml:space="preserve">apitālsabiedrību zaudējumu iemesls ir infrastruktūras uzturēšanas izdevumu pieaugums, t.sk., kas saistīts ar investīcijām, jo gan infrastruktūras noslodze un nolietojums, gan jauni un </w:t>
      </w:r>
      <w:r w:rsidR="002B37DE" w:rsidRPr="00B86E9B">
        <w:rPr>
          <w:sz w:val="28"/>
          <w:szCs w:val="28"/>
        </w:rPr>
        <w:lastRenderedPageBreak/>
        <w:t xml:space="preserve">rekonstruēti objekti ar augstākām kvalitātes prasībām ir radījuši papildu izdevumus to uzturēšanai. Ietekme uz zaudējumiem ir arī līdz galam nepabeigto </w:t>
      </w:r>
      <w:r w:rsidR="002B37DE" w:rsidRPr="00B86E9B">
        <w:rPr>
          <w:sz w:val="28"/>
          <w:szCs w:val="28"/>
          <w:lang w:eastAsia="lv-LV"/>
        </w:rPr>
        <w:t>funkciju, procesu un darbību optimizācija</w:t>
      </w:r>
      <w:r w:rsidR="00B439CB" w:rsidRPr="00B86E9B">
        <w:rPr>
          <w:sz w:val="28"/>
          <w:szCs w:val="28"/>
          <w:lang w:eastAsia="lv-LV"/>
        </w:rPr>
        <w:t>i</w:t>
      </w:r>
      <w:r w:rsidR="00C614E2" w:rsidRPr="00B86E9B">
        <w:rPr>
          <w:sz w:val="28"/>
          <w:szCs w:val="28"/>
          <w:lang w:eastAsia="lv-LV"/>
        </w:rPr>
        <w:t xml:space="preserve"> K</w:t>
      </w:r>
      <w:r w:rsidR="002B37DE" w:rsidRPr="00B86E9B">
        <w:rPr>
          <w:sz w:val="28"/>
          <w:szCs w:val="28"/>
          <w:lang w:eastAsia="lv-LV"/>
        </w:rPr>
        <w:t>apitālsabiedrībās,</w:t>
      </w:r>
      <w:r w:rsidR="00B439CB" w:rsidRPr="00B86E9B">
        <w:rPr>
          <w:sz w:val="28"/>
          <w:szCs w:val="28"/>
          <w:lang w:eastAsia="lv-LV"/>
        </w:rPr>
        <w:t xml:space="preserve"> jo pastāv</w:t>
      </w:r>
      <w:r w:rsidR="002B37DE" w:rsidRPr="00B86E9B">
        <w:rPr>
          <w:sz w:val="28"/>
          <w:szCs w:val="28"/>
          <w:lang w:eastAsia="lv-LV"/>
        </w:rPr>
        <w:t xml:space="preserve"> iekšēja pretestība pārmaiņām, kas bremzē iekšējo reorganizāciju un kontroles pasākumu īstenošanu</w:t>
      </w:r>
      <w:r w:rsidR="002B37DE" w:rsidRPr="00B86E9B">
        <w:rPr>
          <w:sz w:val="28"/>
          <w:szCs w:val="28"/>
        </w:rPr>
        <w:t xml:space="preserve">. Pozitīvu rezultātu uz </w:t>
      </w:r>
      <w:r w:rsidR="00445B12" w:rsidRPr="00B86E9B">
        <w:rPr>
          <w:sz w:val="28"/>
          <w:szCs w:val="28"/>
        </w:rPr>
        <w:t>Kapitālsabiedrību</w:t>
      </w:r>
      <w:r w:rsidR="002B37DE" w:rsidRPr="00B86E9B">
        <w:rPr>
          <w:sz w:val="28"/>
          <w:szCs w:val="28"/>
        </w:rPr>
        <w:t xml:space="preserve"> finanšu rādītājiem ir devusi vienota pamatlīdzekļu nolietojuma normu ap</w:t>
      </w:r>
      <w:r w:rsidR="00DF4F11" w:rsidRPr="00B86E9B">
        <w:rPr>
          <w:sz w:val="28"/>
          <w:szCs w:val="28"/>
        </w:rPr>
        <w:t>rēķināšanas sistēmas ieviešana.</w:t>
      </w:r>
    </w:p>
    <w:p w:rsidR="00DF4F11" w:rsidRPr="00B86E9B" w:rsidRDefault="00DF4F11" w:rsidP="002B37DE">
      <w:pPr>
        <w:ind w:firstLine="706"/>
        <w:jc w:val="both"/>
        <w:rPr>
          <w:sz w:val="28"/>
          <w:szCs w:val="28"/>
        </w:rPr>
      </w:pPr>
      <w:r w:rsidRPr="00B86E9B">
        <w:rPr>
          <w:sz w:val="28"/>
          <w:szCs w:val="28"/>
        </w:rPr>
        <w:t xml:space="preserve">Kapitālsabiedrības, kas 2012.gadu noslēdza ar zaudējumiem, ir </w:t>
      </w:r>
      <w:r w:rsidR="00974F0B" w:rsidRPr="00B86E9B">
        <w:rPr>
          <w:sz w:val="28"/>
          <w:szCs w:val="28"/>
        </w:rPr>
        <w:t>pa</w:t>
      </w:r>
      <w:r w:rsidRPr="00B86E9B">
        <w:rPr>
          <w:sz w:val="28"/>
          <w:szCs w:val="28"/>
        </w:rPr>
        <w:t>rādītas Tabulā Nr.1</w:t>
      </w:r>
      <w:r w:rsidR="00974F0B" w:rsidRPr="00B86E9B">
        <w:rPr>
          <w:sz w:val="28"/>
          <w:szCs w:val="28"/>
        </w:rPr>
        <w:t>.</w:t>
      </w:r>
    </w:p>
    <w:p w:rsidR="002B37DE" w:rsidRPr="00B86E9B" w:rsidRDefault="002B37DE" w:rsidP="002B37DE">
      <w:pPr>
        <w:ind w:firstLine="706"/>
        <w:jc w:val="both"/>
        <w:rPr>
          <w:sz w:val="28"/>
          <w:szCs w:val="28"/>
        </w:rPr>
      </w:pPr>
    </w:p>
    <w:p w:rsidR="002B37DE" w:rsidRPr="00B86E9B" w:rsidRDefault="002B37DE" w:rsidP="00FB7716">
      <w:pPr>
        <w:ind w:firstLine="706"/>
        <w:jc w:val="right"/>
        <w:rPr>
          <w:i/>
          <w:sz w:val="28"/>
          <w:szCs w:val="28"/>
        </w:rPr>
      </w:pPr>
      <w:r w:rsidRPr="00B86E9B">
        <w:rPr>
          <w:i/>
          <w:sz w:val="28"/>
          <w:szCs w:val="28"/>
        </w:rPr>
        <w:t>Tabula Nr.1: Kapitālsabiedrības, kas 2012.gadu noslēdza ar zaudējamiem[LVL]</w:t>
      </w:r>
    </w:p>
    <w:tbl>
      <w:tblPr>
        <w:tblStyle w:val="Reatabula"/>
        <w:tblW w:w="9606" w:type="dxa"/>
        <w:jc w:val="center"/>
        <w:tblLook w:val="04A0"/>
      </w:tblPr>
      <w:tblGrid>
        <w:gridCol w:w="3794"/>
        <w:gridCol w:w="2694"/>
        <w:gridCol w:w="3118"/>
      </w:tblGrid>
      <w:tr w:rsidR="002B37DE" w:rsidRPr="00B86E9B" w:rsidTr="00314D0F">
        <w:trPr>
          <w:jc w:val="center"/>
        </w:trPr>
        <w:tc>
          <w:tcPr>
            <w:tcW w:w="3794" w:type="dxa"/>
            <w:shd w:val="clear" w:color="auto" w:fill="D9D9D9" w:themeFill="background1" w:themeFillShade="D9"/>
          </w:tcPr>
          <w:p w:rsidR="002B37DE" w:rsidRPr="00B86E9B" w:rsidRDefault="002B37DE" w:rsidP="00F519F5">
            <w:pPr>
              <w:jc w:val="both"/>
              <w:rPr>
                <w:sz w:val="28"/>
                <w:szCs w:val="28"/>
              </w:rPr>
            </w:pPr>
            <w:r w:rsidRPr="00B86E9B">
              <w:rPr>
                <w:sz w:val="28"/>
                <w:szCs w:val="28"/>
              </w:rPr>
              <w:t>Kapitālsabiedrības nosaukums</w:t>
            </w:r>
          </w:p>
        </w:tc>
        <w:tc>
          <w:tcPr>
            <w:tcW w:w="2694" w:type="dxa"/>
            <w:shd w:val="clear" w:color="auto" w:fill="D9D9D9" w:themeFill="background1" w:themeFillShade="D9"/>
          </w:tcPr>
          <w:p w:rsidR="002B37DE" w:rsidRPr="00B86E9B" w:rsidRDefault="002B37DE" w:rsidP="00511BB5">
            <w:pPr>
              <w:jc w:val="center"/>
              <w:rPr>
                <w:sz w:val="28"/>
                <w:szCs w:val="28"/>
              </w:rPr>
            </w:pPr>
            <w:r w:rsidRPr="00B86E9B">
              <w:rPr>
                <w:color w:val="000000"/>
                <w:sz w:val="28"/>
                <w:szCs w:val="28"/>
              </w:rPr>
              <w:t>Neto peļņa/zaudējumi 2012.gada plāns</w:t>
            </w:r>
          </w:p>
        </w:tc>
        <w:tc>
          <w:tcPr>
            <w:tcW w:w="3118" w:type="dxa"/>
            <w:shd w:val="clear" w:color="auto" w:fill="D9D9D9" w:themeFill="background1" w:themeFillShade="D9"/>
          </w:tcPr>
          <w:p w:rsidR="002B37DE" w:rsidRPr="00B86E9B" w:rsidRDefault="00511BB5" w:rsidP="00511BB5">
            <w:pPr>
              <w:jc w:val="center"/>
              <w:rPr>
                <w:sz w:val="28"/>
                <w:szCs w:val="28"/>
              </w:rPr>
            </w:pPr>
            <w:r>
              <w:rPr>
                <w:color w:val="000000"/>
                <w:sz w:val="28"/>
                <w:szCs w:val="28"/>
              </w:rPr>
              <w:t xml:space="preserve">Neto </w:t>
            </w:r>
            <w:r w:rsidR="002B37DE" w:rsidRPr="00B86E9B">
              <w:rPr>
                <w:color w:val="000000"/>
                <w:sz w:val="28"/>
                <w:szCs w:val="28"/>
              </w:rPr>
              <w:t>zaudējumi 2012.gada izpilde</w:t>
            </w:r>
          </w:p>
        </w:tc>
      </w:tr>
      <w:tr w:rsidR="002B37DE" w:rsidRPr="00B86E9B" w:rsidTr="00314D0F">
        <w:trPr>
          <w:jc w:val="center"/>
        </w:trPr>
        <w:tc>
          <w:tcPr>
            <w:tcW w:w="3794" w:type="dxa"/>
          </w:tcPr>
          <w:p w:rsidR="002B37DE" w:rsidRPr="00B86E9B" w:rsidRDefault="002B37DE" w:rsidP="00F519F5">
            <w:pPr>
              <w:tabs>
                <w:tab w:val="left" w:pos="7655"/>
              </w:tabs>
              <w:rPr>
                <w:sz w:val="28"/>
                <w:szCs w:val="28"/>
              </w:rPr>
            </w:pPr>
            <w:r w:rsidRPr="00B86E9B">
              <w:rPr>
                <w:sz w:val="28"/>
                <w:szCs w:val="28"/>
              </w:rPr>
              <w:t>VSIA „Paula Stradiņa klīniskā universitātes slimnīca”</w:t>
            </w:r>
          </w:p>
        </w:tc>
        <w:tc>
          <w:tcPr>
            <w:tcW w:w="2694" w:type="dxa"/>
            <w:vAlign w:val="center"/>
          </w:tcPr>
          <w:p w:rsidR="002B37DE" w:rsidRPr="00B86E9B" w:rsidRDefault="002B37DE" w:rsidP="00F519F5">
            <w:pPr>
              <w:jc w:val="center"/>
              <w:rPr>
                <w:color w:val="000000"/>
                <w:sz w:val="28"/>
                <w:szCs w:val="28"/>
              </w:rPr>
            </w:pPr>
            <w:r w:rsidRPr="00B86E9B">
              <w:rPr>
                <w:color w:val="000000"/>
                <w:sz w:val="28"/>
                <w:szCs w:val="28"/>
              </w:rPr>
              <w:t>-2 354 949</w:t>
            </w:r>
          </w:p>
        </w:tc>
        <w:tc>
          <w:tcPr>
            <w:tcW w:w="3118" w:type="dxa"/>
            <w:vAlign w:val="center"/>
          </w:tcPr>
          <w:p w:rsidR="002B37DE" w:rsidRPr="00B86E9B" w:rsidRDefault="002B37DE" w:rsidP="00F519F5">
            <w:pPr>
              <w:jc w:val="center"/>
              <w:rPr>
                <w:color w:val="000000"/>
                <w:sz w:val="28"/>
                <w:szCs w:val="28"/>
              </w:rPr>
            </w:pPr>
            <w:r w:rsidRPr="00B86E9B">
              <w:rPr>
                <w:color w:val="000000"/>
                <w:sz w:val="28"/>
                <w:szCs w:val="28"/>
              </w:rPr>
              <w:t>-2 482 119</w:t>
            </w:r>
          </w:p>
        </w:tc>
      </w:tr>
      <w:tr w:rsidR="002B37DE" w:rsidRPr="00B86E9B" w:rsidTr="00314D0F">
        <w:trPr>
          <w:jc w:val="center"/>
        </w:trPr>
        <w:tc>
          <w:tcPr>
            <w:tcW w:w="3794" w:type="dxa"/>
          </w:tcPr>
          <w:p w:rsidR="002B37DE" w:rsidRPr="00B86E9B" w:rsidRDefault="002B37DE" w:rsidP="00F519F5">
            <w:pPr>
              <w:tabs>
                <w:tab w:val="left" w:pos="7655"/>
              </w:tabs>
              <w:rPr>
                <w:sz w:val="28"/>
                <w:szCs w:val="28"/>
              </w:rPr>
            </w:pPr>
            <w:r w:rsidRPr="00B86E9B">
              <w:rPr>
                <w:sz w:val="28"/>
                <w:szCs w:val="28"/>
              </w:rPr>
              <w:t>SIA „Rīgas Austrumu klīniskā universitātes slimnīca”</w:t>
            </w:r>
          </w:p>
        </w:tc>
        <w:tc>
          <w:tcPr>
            <w:tcW w:w="2694" w:type="dxa"/>
            <w:vAlign w:val="center"/>
          </w:tcPr>
          <w:p w:rsidR="002B37DE" w:rsidRPr="00B86E9B" w:rsidRDefault="002B37DE" w:rsidP="00F519F5">
            <w:pPr>
              <w:jc w:val="center"/>
              <w:rPr>
                <w:color w:val="000000"/>
                <w:sz w:val="28"/>
                <w:szCs w:val="28"/>
              </w:rPr>
            </w:pPr>
            <w:r w:rsidRPr="00B86E9B">
              <w:rPr>
                <w:color w:val="000000"/>
                <w:sz w:val="28"/>
                <w:szCs w:val="28"/>
              </w:rPr>
              <w:t>-6 990 701</w:t>
            </w:r>
          </w:p>
        </w:tc>
        <w:tc>
          <w:tcPr>
            <w:tcW w:w="3118" w:type="dxa"/>
            <w:vAlign w:val="center"/>
          </w:tcPr>
          <w:p w:rsidR="002B37DE" w:rsidRPr="00B86E9B" w:rsidRDefault="002B37DE" w:rsidP="00F519F5">
            <w:pPr>
              <w:jc w:val="center"/>
              <w:rPr>
                <w:color w:val="000000"/>
                <w:sz w:val="28"/>
                <w:szCs w:val="28"/>
              </w:rPr>
            </w:pPr>
            <w:r w:rsidRPr="00B86E9B">
              <w:rPr>
                <w:color w:val="000000"/>
                <w:sz w:val="28"/>
                <w:szCs w:val="28"/>
              </w:rPr>
              <w:t>-3 544 981</w:t>
            </w:r>
          </w:p>
        </w:tc>
      </w:tr>
      <w:tr w:rsidR="002B37DE" w:rsidRPr="00B86E9B" w:rsidTr="00314D0F">
        <w:trPr>
          <w:jc w:val="center"/>
        </w:trPr>
        <w:tc>
          <w:tcPr>
            <w:tcW w:w="3794" w:type="dxa"/>
          </w:tcPr>
          <w:p w:rsidR="002B37DE" w:rsidRPr="00B86E9B" w:rsidRDefault="002B37DE" w:rsidP="00F519F5">
            <w:pPr>
              <w:tabs>
                <w:tab w:val="left" w:pos="7655"/>
              </w:tabs>
              <w:rPr>
                <w:sz w:val="28"/>
                <w:szCs w:val="28"/>
              </w:rPr>
            </w:pPr>
            <w:r w:rsidRPr="00B86E9B">
              <w:rPr>
                <w:sz w:val="28"/>
                <w:szCs w:val="28"/>
              </w:rPr>
              <w:t>VSIA „Bērnu klīniskā universitātes slimnīca”</w:t>
            </w:r>
          </w:p>
        </w:tc>
        <w:tc>
          <w:tcPr>
            <w:tcW w:w="2694" w:type="dxa"/>
            <w:vAlign w:val="center"/>
          </w:tcPr>
          <w:p w:rsidR="002B37DE" w:rsidRPr="00B86E9B" w:rsidRDefault="002B37DE" w:rsidP="00F519F5">
            <w:pPr>
              <w:jc w:val="center"/>
              <w:rPr>
                <w:sz w:val="28"/>
                <w:szCs w:val="28"/>
              </w:rPr>
            </w:pPr>
            <w:r w:rsidRPr="00B86E9B">
              <w:rPr>
                <w:sz w:val="28"/>
                <w:szCs w:val="28"/>
              </w:rPr>
              <w:t>759</w:t>
            </w:r>
          </w:p>
        </w:tc>
        <w:tc>
          <w:tcPr>
            <w:tcW w:w="3118" w:type="dxa"/>
            <w:vAlign w:val="center"/>
          </w:tcPr>
          <w:p w:rsidR="002B37DE" w:rsidRPr="00B86E9B" w:rsidRDefault="002B37DE" w:rsidP="00F519F5">
            <w:pPr>
              <w:jc w:val="center"/>
              <w:rPr>
                <w:color w:val="000000"/>
                <w:sz w:val="28"/>
                <w:szCs w:val="28"/>
              </w:rPr>
            </w:pPr>
            <w:r w:rsidRPr="00B86E9B">
              <w:rPr>
                <w:color w:val="000000"/>
                <w:sz w:val="28"/>
                <w:szCs w:val="28"/>
              </w:rPr>
              <w:t>-1 116 271</w:t>
            </w:r>
          </w:p>
        </w:tc>
      </w:tr>
      <w:tr w:rsidR="002B37DE" w:rsidRPr="00B86E9B" w:rsidTr="00314D0F">
        <w:trPr>
          <w:jc w:val="center"/>
        </w:trPr>
        <w:tc>
          <w:tcPr>
            <w:tcW w:w="3794" w:type="dxa"/>
          </w:tcPr>
          <w:p w:rsidR="002B37DE" w:rsidRPr="00B86E9B" w:rsidRDefault="002B37DE" w:rsidP="00F519F5">
            <w:pPr>
              <w:tabs>
                <w:tab w:val="left" w:pos="7655"/>
              </w:tabs>
              <w:rPr>
                <w:sz w:val="28"/>
                <w:szCs w:val="28"/>
              </w:rPr>
            </w:pPr>
            <w:r w:rsidRPr="00B86E9B">
              <w:rPr>
                <w:sz w:val="28"/>
                <w:szCs w:val="28"/>
              </w:rPr>
              <w:t>VSIA „Aknīstes psihoneiroloģiskā slimnīca”</w:t>
            </w:r>
          </w:p>
        </w:tc>
        <w:tc>
          <w:tcPr>
            <w:tcW w:w="2694" w:type="dxa"/>
            <w:vAlign w:val="center"/>
          </w:tcPr>
          <w:p w:rsidR="002B37DE" w:rsidRPr="00B86E9B" w:rsidRDefault="002B37DE" w:rsidP="00F519F5">
            <w:pPr>
              <w:jc w:val="center"/>
              <w:rPr>
                <w:color w:val="000000"/>
                <w:sz w:val="28"/>
                <w:szCs w:val="28"/>
              </w:rPr>
            </w:pPr>
            <w:r w:rsidRPr="00B86E9B">
              <w:rPr>
                <w:color w:val="000000"/>
                <w:sz w:val="28"/>
                <w:szCs w:val="28"/>
              </w:rPr>
              <w:t>-166 857</w:t>
            </w:r>
          </w:p>
        </w:tc>
        <w:tc>
          <w:tcPr>
            <w:tcW w:w="3118" w:type="dxa"/>
            <w:vAlign w:val="center"/>
          </w:tcPr>
          <w:p w:rsidR="002B37DE" w:rsidRPr="00B86E9B" w:rsidRDefault="002B37DE" w:rsidP="00F519F5">
            <w:pPr>
              <w:jc w:val="center"/>
              <w:rPr>
                <w:bCs/>
                <w:color w:val="000000"/>
                <w:sz w:val="28"/>
                <w:szCs w:val="28"/>
              </w:rPr>
            </w:pPr>
            <w:r w:rsidRPr="00B86E9B">
              <w:rPr>
                <w:bCs/>
                <w:color w:val="000000"/>
                <w:sz w:val="28"/>
                <w:szCs w:val="28"/>
              </w:rPr>
              <w:t>-201 240</w:t>
            </w:r>
          </w:p>
        </w:tc>
      </w:tr>
      <w:tr w:rsidR="002B37DE" w:rsidRPr="00B86E9B" w:rsidTr="00314D0F">
        <w:trPr>
          <w:jc w:val="center"/>
        </w:trPr>
        <w:tc>
          <w:tcPr>
            <w:tcW w:w="3794" w:type="dxa"/>
          </w:tcPr>
          <w:p w:rsidR="002B37DE" w:rsidRPr="00B86E9B" w:rsidRDefault="002B37DE" w:rsidP="00F519F5">
            <w:pPr>
              <w:tabs>
                <w:tab w:val="left" w:pos="7655"/>
              </w:tabs>
              <w:rPr>
                <w:sz w:val="28"/>
                <w:szCs w:val="28"/>
              </w:rPr>
            </w:pPr>
            <w:r w:rsidRPr="00B86E9B">
              <w:rPr>
                <w:sz w:val="28"/>
                <w:szCs w:val="28"/>
              </w:rPr>
              <w:t>VSIA „Bērnu psihoneiroloģiskā slimnīca „Ainaži””</w:t>
            </w:r>
          </w:p>
        </w:tc>
        <w:tc>
          <w:tcPr>
            <w:tcW w:w="2694" w:type="dxa"/>
            <w:vAlign w:val="center"/>
          </w:tcPr>
          <w:p w:rsidR="002B37DE" w:rsidRPr="00B86E9B" w:rsidRDefault="002B37DE" w:rsidP="00F519F5">
            <w:pPr>
              <w:jc w:val="center"/>
              <w:rPr>
                <w:sz w:val="28"/>
                <w:szCs w:val="28"/>
              </w:rPr>
            </w:pPr>
            <w:r w:rsidRPr="00B86E9B">
              <w:rPr>
                <w:color w:val="000000"/>
                <w:sz w:val="28"/>
                <w:szCs w:val="28"/>
              </w:rPr>
              <w:t>-152 044</w:t>
            </w:r>
          </w:p>
        </w:tc>
        <w:tc>
          <w:tcPr>
            <w:tcW w:w="3118" w:type="dxa"/>
            <w:vAlign w:val="center"/>
          </w:tcPr>
          <w:p w:rsidR="002B37DE" w:rsidRPr="00B86E9B" w:rsidRDefault="002B37DE" w:rsidP="00F519F5">
            <w:pPr>
              <w:jc w:val="center"/>
              <w:rPr>
                <w:bCs/>
                <w:sz w:val="28"/>
                <w:szCs w:val="28"/>
              </w:rPr>
            </w:pPr>
            <w:r w:rsidRPr="00B86E9B">
              <w:rPr>
                <w:bCs/>
                <w:sz w:val="28"/>
                <w:szCs w:val="28"/>
              </w:rPr>
              <w:t>-1 716</w:t>
            </w:r>
          </w:p>
        </w:tc>
      </w:tr>
      <w:tr w:rsidR="002B37DE" w:rsidRPr="00B86E9B" w:rsidTr="00314D0F">
        <w:trPr>
          <w:jc w:val="center"/>
        </w:trPr>
        <w:tc>
          <w:tcPr>
            <w:tcW w:w="3794" w:type="dxa"/>
          </w:tcPr>
          <w:p w:rsidR="002B37DE" w:rsidRPr="00B86E9B" w:rsidRDefault="002B37DE" w:rsidP="00F519F5">
            <w:pPr>
              <w:tabs>
                <w:tab w:val="left" w:pos="7655"/>
              </w:tabs>
              <w:rPr>
                <w:sz w:val="28"/>
                <w:szCs w:val="28"/>
              </w:rPr>
            </w:pPr>
            <w:r w:rsidRPr="00B86E9B">
              <w:rPr>
                <w:sz w:val="28"/>
                <w:szCs w:val="28"/>
              </w:rPr>
              <w:t>VSIA „Slimnīca „</w:t>
            </w:r>
            <w:proofErr w:type="spellStart"/>
            <w:r w:rsidRPr="00B86E9B">
              <w:rPr>
                <w:sz w:val="28"/>
                <w:szCs w:val="28"/>
              </w:rPr>
              <w:t>Ģintermuiža</w:t>
            </w:r>
            <w:proofErr w:type="spellEnd"/>
            <w:r w:rsidRPr="00B86E9B">
              <w:rPr>
                <w:sz w:val="28"/>
                <w:szCs w:val="28"/>
              </w:rPr>
              <w:t>””</w:t>
            </w:r>
          </w:p>
        </w:tc>
        <w:tc>
          <w:tcPr>
            <w:tcW w:w="2694" w:type="dxa"/>
            <w:vAlign w:val="center"/>
          </w:tcPr>
          <w:p w:rsidR="002B37DE" w:rsidRPr="00B86E9B" w:rsidRDefault="002B37DE" w:rsidP="00F519F5">
            <w:pPr>
              <w:jc w:val="center"/>
              <w:rPr>
                <w:color w:val="000000"/>
                <w:sz w:val="28"/>
                <w:szCs w:val="28"/>
              </w:rPr>
            </w:pPr>
            <w:r w:rsidRPr="00B86E9B">
              <w:rPr>
                <w:color w:val="000000"/>
                <w:sz w:val="28"/>
                <w:szCs w:val="28"/>
              </w:rPr>
              <w:t>-250 000</w:t>
            </w:r>
          </w:p>
        </w:tc>
        <w:tc>
          <w:tcPr>
            <w:tcW w:w="3118" w:type="dxa"/>
            <w:vAlign w:val="center"/>
          </w:tcPr>
          <w:p w:rsidR="002B37DE" w:rsidRPr="00B86E9B" w:rsidRDefault="002B37DE" w:rsidP="00F519F5">
            <w:pPr>
              <w:jc w:val="center"/>
              <w:rPr>
                <w:bCs/>
                <w:sz w:val="28"/>
                <w:szCs w:val="28"/>
              </w:rPr>
            </w:pPr>
            <w:r w:rsidRPr="00B86E9B">
              <w:rPr>
                <w:bCs/>
                <w:sz w:val="28"/>
                <w:szCs w:val="28"/>
              </w:rPr>
              <w:t>-196 718</w:t>
            </w:r>
          </w:p>
        </w:tc>
      </w:tr>
    </w:tbl>
    <w:p w:rsidR="002B37DE" w:rsidRPr="00B86E9B" w:rsidRDefault="002B37DE" w:rsidP="006877E0">
      <w:pPr>
        <w:jc w:val="both"/>
        <w:rPr>
          <w:sz w:val="28"/>
          <w:szCs w:val="28"/>
        </w:rPr>
      </w:pPr>
    </w:p>
    <w:p w:rsidR="00FB2692" w:rsidRPr="00B86E9B" w:rsidRDefault="00FB2692" w:rsidP="006877E0">
      <w:pPr>
        <w:jc w:val="both"/>
        <w:rPr>
          <w:sz w:val="28"/>
          <w:szCs w:val="28"/>
        </w:rPr>
      </w:pPr>
    </w:p>
    <w:p w:rsidR="0062138D" w:rsidRPr="00B86E9B" w:rsidRDefault="0062138D">
      <w:pPr>
        <w:spacing w:after="200" w:line="276" w:lineRule="auto"/>
        <w:rPr>
          <w:b/>
          <w:sz w:val="32"/>
          <w:szCs w:val="32"/>
        </w:rPr>
      </w:pPr>
      <w:r w:rsidRPr="00B86E9B">
        <w:rPr>
          <w:sz w:val="32"/>
          <w:szCs w:val="32"/>
        </w:rPr>
        <w:br w:type="page"/>
      </w:r>
    </w:p>
    <w:p w:rsidR="00D12C65" w:rsidRPr="00B86E9B" w:rsidRDefault="00D12C65" w:rsidP="00D12C65">
      <w:pPr>
        <w:pStyle w:val="Virsraksts1"/>
        <w:numPr>
          <w:ilvl w:val="0"/>
          <w:numId w:val="5"/>
        </w:numPr>
        <w:spacing w:before="0" w:after="0"/>
        <w:rPr>
          <w:sz w:val="32"/>
          <w:szCs w:val="32"/>
        </w:rPr>
      </w:pPr>
      <w:r w:rsidRPr="00B86E9B">
        <w:rPr>
          <w:sz w:val="32"/>
          <w:szCs w:val="32"/>
        </w:rPr>
        <w:lastRenderedPageBreak/>
        <w:t>Kapitāla daļu turētāja veiktās darbības, lai novērstu konstatētos zaudējumus</w:t>
      </w:r>
    </w:p>
    <w:p w:rsidR="00D12C65" w:rsidRPr="00B86E9B" w:rsidRDefault="00D12C65" w:rsidP="00D12C65">
      <w:pPr>
        <w:ind w:firstLine="720"/>
        <w:jc w:val="both"/>
        <w:rPr>
          <w:sz w:val="28"/>
          <w:szCs w:val="28"/>
        </w:rPr>
      </w:pPr>
    </w:p>
    <w:p w:rsidR="00D12C65" w:rsidRPr="00B86E9B" w:rsidRDefault="00D12C65" w:rsidP="00D12C65">
      <w:pPr>
        <w:ind w:firstLine="720"/>
        <w:jc w:val="both"/>
        <w:rPr>
          <w:sz w:val="28"/>
          <w:szCs w:val="28"/>
        </w:rPr>
      </w:pPr>
      <w:r w:rsidRPr="00B86E9B">
        <w:rPr>
          <w:sz w:val="28"/>
          <w:szCs w:val="28"/>
        </w:rPr>
        <w:t xml:space="preserve">Atbilstoši </w:t>
      </w:r>
      <w:r w:rsidRPr="00B86E9B">
        <w:rPr>
          <w:color w:val="000000"/>
          <w:sz w:val="28"/>
          <w:szCs w:val="28"/>
        </w:rPr>
        <w:t>Ministru kabineta 2012.gada 27.marta sēdes protokola Nr.17, 20.§ (TA-3088) 4.punkta prasībām,</w:t>
      </w:r>
      <w:r w:rsidR="001F68FD" w:rsidRPr="00B86E9B">
        <w:rPr>
          <w:sz w:val="28"/>
          <w:szCs w:val="28"/>
        </w:rPr>
        <w:t xml:space="preserve"> Kapitālsabiedrībām</w:t>
      </w:r>
      <w:r w:rsidRPr="00B86E9B">
        <w:rPr>
          <w:sz w:val="28"/>
          <w:szCs w:val="28"/>
        </w:rPr>
        <w:t xml:space="preserve"> izvirzītie mērķi, kas jāsasniedz līdz 2013.gada 31.decembrim, ir:</w:t>
      </w:r>
    </w:p>
    <w:p w:rsidR="00D12C65" w:rsidRPr="00B86E9B" w:rsidRDefault="00D12C65" w:rsidP="00D12C65">
      <w:pPr>
        <w:pStyle w:val="Sarakstarindkopa"/>
        <w:numPr>
          <w:ilvl w:val="1"/>
          <w:numId w:val="1"/>
        </w:numPr>
        <w:tabs>
          <w:tab w:val="left" w:pos="1134"/>
        </w:tabs>
        <w:spacing w:after="0" w:line="240" w:lineRule="auto"/>
        <w:ind w:left="709" w:firstLine="0"/>
        <w:rPr>
          <w:rFonts w:ascii="Times New Roman" w:hAnsi="Times New Roman"/>
          <w:sz w:val="28"/>
          <w:szCs w:val="28"/>
        </w:rPr>
      </w:pPr>
      <w:r w:rsidRPr="00B86E9B">
        <w:rPr>
          <w:rFonts w:ascii="Times New Roman" w:hAnsi="Times New Roman"/>
          <w:sz w:val="28"/>
          <w:szCs w:val="28"/>
        </w:rPr>
        <w:t>bezdeficīta budžets;</w:t>
      </w:r>
    </w:p>
    <w:p w:rsidR="00D12C65" w:rsidRPr="00B86E9B" w:rsidRDefault="00D12C65" w:rsidP="00D12C65">
      <w:pPr>
        <w:pStyle w:val="Sarakstarindkopa"/>
        <w:numPr>
          <w:ilvl w:val="1"/>
          <w:numId w:val="1"/>
        </w:numPr>
        <w:tabs>
          <w:tab w:val="left" w:pos="1134"/>
        </w:tabs>
        <w:spacing w:after="0" w:line="240" w:lineRule="auto"/>
        <w:ind w:left="709" w:firstLine="0"/>
        <w:rPr>
          <w:rFonts w:ascii="Times New Roman" w:hAnsi="Times New Roman"/>
          <w:sz w:val="28"/>
          <w:szCs w:val="28"/>
        </w:rPr>
      </w:pPr>
      <w:r w:rsidRPr="00B86E9B">
        <w:rPr>
          <w:rFonts w:ascii="Times New Roman" w:hAnsi="Times New Roman"/>
          <w:sz w:val="28"/>
          <w:szCs w:val="28"/>
        </w:rPr>
        <w:t>pozitīva (sabalansēta) naudas plūsma;</w:t>
      </w:r>
    </w:p>
    <w:p w:rsidR="00D12C65" w:rsidRPr="00B86E9B" w:rsidRDefault="00D12C65" w:rsidP="00D12C65">
      <w:pPr>
        <w:pStyle w:val="Sarakstarindkopa"/>
        <w:numPr>
          <w:ilvl w:val="1"/>
          <w:numId w:val="1"/>
        </w:numPr>
        <w:tabs>
          <w:tab w:val="left" w:pos="1134"/>
        </w:tabs>
        <w:spacing w:after="0" w:line="240" w:lineRule="auto"/>
        <w:ind w:left="709" w:firstLine="0"/>
        <w:rPr>
          <w:rFonts w:ascii="Times New Roman" w:hAnsi="Times New Roman"/>
          <w:sz w:val="28"/>
          <w:szCs w:val="28"/>
        </w:rPr>
      </w:pPr>
      <w:r w:rsidRPr="00B86E9B">
        <w:rPr>
          <w:rFonts w:ascii="Times New Roman" w:hAnsi="Times New Roman"/>
          <w:sz w:val="28"/>
          <w:szCs w:val="28"/>
        </w:rPr>
        <w:t>pozitīvs rentabilitātes rādītājs;</w:t>
      </w:r>
    </w:p>
    <w:p w:rsidR="00D12C65" w:rsidRPr="00B86E9B" w:rsidRDefault="00D12C65" w:rsidP="00D12C65">
      <w:pPr>
        <w:pStyle w:val="Sarakstarindkopa"/>
        <w:numPr>
          <w:ilvl w:val="1"/>
          <w:numId w:val="1"/>
        </w:numPr>
        <w:tabs>
          <w:tab w:val="left" w:pos="1134"/>
        </w:tabs>
        <w:spacing w:after="0" w:line="240" w:lineRule="auto"/>
        <w:ind w:left="709" w:firstLine="0"/>
        <w:rPr>
          <w:rFonts w:ascii="Times New Roman" w:hAnsi="Times New Roman"/>
          <w:sz w:val="28"/>
          <w:szCs w:val="28"/>
        </w:rPr>
      </w:pPr>
      <w:r w:rsidRPr="00B86E9B">
        <w:rPr>
          <w:rFonts w:ascii="Times New Roman" w:hAnsi="Times New Roman"/>
          <w:sz w:val="28"/>
          <w:szCs w:val="28"/>
        </w:rPr>
        <w:t>likviditātes koeficents ne mazāks par 1,00.</w:t>
      </w:r>
    </w:p>
    <w:p w:rsidR="00D12C65" w:rsidRPr="00B86E9B" w:rsidRDefault="00D12C65" w:rsidP="00D12C65">
      <w:pPr>
        <w:ind w:firstLine="720"/>
        <w:jc w:val="both"/>
        <w:rPr>
          <w:sz w:val="28"/>
          <w:szCs w:val="28"/>
        </w:rPr>
      </w:pPr>
      <w:r w:rsidRPr="00B86E9B">
        <w:rPr>
          <w:sz w:val="28"/>
          <w:szCs w:val="28"/>
        </w:rPr>
        <w:t xml:space="preserve">Lai nodrošinātu </w:t>
      </w:r>
      <w:r w:rsidR="009F5002" w:rsidRPr="00B86E9B">
        <w:rPr>
          <w:sz w:val="28"/>
          <w:szCs w:val="28"/>
        </w:rPr>
        <w:t>K</w:t>
      </w:r>
      <w:r w:rsidRPr="00B86E9B">
        <w:rPr>
          <w:sz w:val="28"/>
          <w:szCs w:val="28"/>
        </w:rPr>
        <w:t xml:space="preserve">apitālsabiedrību sabalansētu budžeta plānošanu un izpildi, un darbības efektivitātes uzlabošanos, tādejādi sasniedzot izvirzītos mērķus, </w:t>
      </w:r>
      <w:r w:rsidR="009F5002" w:rsidRPr="00B86E9B">
        <w:rPr>
          <w:sz w:val="28"/>
          <w:szCs w:val="28"/>
        </w:rPr>
        <w:t>K</w:t>
      </w:r>
      <w:r w:rsidRPr="00B86E9B">
        <w:rPr>
          <w:sz w:val="28"/>
          <w:szCs w:val="28"/>
        </w:rPr>
        <w:t>apitālsabiedrībās no 2012.gada tika ieviesta budžeta plānošanas, finanšu pārskatu un budžeta izpildes atskaišu iesniegšanas</w:t>
      </w:r>
      <w:r w:rsidR="00F16970" w:rsidRPr="00B86E9B">
        <w:rPr>
          <w:sz w:val="28"/>
          <w:szCs w:val="28"/>
        </w:rPr>
        <w:t xml:space="preserve"> kārtība. Šī pasākuma ietvaros K</w:t>
      </w:r>
      <w:r w:rsidRPr="00B86E9B">
        <w:rPr>
          <w:sz w:val="28"/>
          <w:szCs w:val="28"/>
        </w:rPr>
        <w:t xml:space="preserve">apitālsabiedrības reizi ceturksnī iesniedz operatīvas budžeta izpildes atskaites, kurām tiek veikta analīze, salīdzināta izpildes atbilstība plānotajam, identificēti galvenie plānotā neizpildes </w:t>
      </w:r>
      <w:r w:rsidR="003D28CA" w:rsidRPr="00B86E9B">
        <w:rPr>
          <w:sz w:val="28"/>
          <w:szCs w:val="28"/>
        </w:rPr>
        <w:t>iemesli, veikta K</w:t>
      </w:r>
      <w:r w:rsidRPr="00B86E9B">
        <w:rPr>
          <w:sz w:val="28"/>
          <w:szCs w:val="28"/>
        </w:rPr>
        <w:t>apitālsabiedrību salīdzinoša a</w:t>
      </w:r>
      <w:r w:rsidR="009762D7" w:rsidRPr="00B86E9B">
        <w:rPr>
          <w:sz w:val="28"/>
          <w:szCs w:val="28"/>
        </w:rPr>
        <w:t>nalīze, organizētas sarunas ar K</w:t>
      </w:r>
      <w:r w:rsidRPr="00B86E9B">
        <w:rPr>
          <w:sz w:val="28"/>
          <w:szCs w:val="28"/>
        </w:rPr>
        <w:t xml:space="preserve">apitālsabiedrību valdēm par budžeta izpildes problēmām, un kopīgi meklēti risinājumi darbības efektivitātes uzlabošanai. Iekšējo resursu (efektivitāte, ekonomiskums) izmantošana ir viens no risinājumiem, lai uzlabotu </w:t>
      </w:r>
      <w:r w:rsidR="009762D7" w:rsidRPr="00B86E9B">
        <w:rPr>
          <w:sz w:val="28"/>
          <w:szCs w:val="28"/>
        </w:rPr>
        <w:t>K</w:t>
      </w:r>
      <w:r w:rsidRPr="00B86E9B">
        <w:rPr>
          <w:sz w:val="28"/>
          <w:szCs w:val="28"/>
        </w:rPr>
        <w:t>apitālsabiedrību finanšu rādītājus.</w:t>
      </w:r>
    </w:p>
    <w:p w:rsidR="00D12C65" w:rsidRPr="00B86E9B" w:rsidRDefault="00D12C65" w:rsidP="00D12C65">
      <w:pPr>
        <w:ind w:firstLine="709"/>
        <w:jc w:val="both"/>
        <w:rPr>
          <w:sz w:val="28"/>
          <w:szCs w:val="28"/>
        </w:rPr>
      </w:pPr>
      <w:r w:rsidRPr="00B86E9B">
        <w:rPr>
          <w:sz w:val="28"/>
          <w:szCs w:val="28"/>
        </w:rPr>
        <w:t xml:space="preserve">Lai stingrāk kontrolētu investīcijas un </w:t>
      </w:r>
      <w:r w:rsidR="00845D15" w:rsidRPr="00B86E9B">
        <w:rPr>
          <w:sz w:val="28"/>
          <w:szCs w:val="28"/>
        </w:rPr>
        <w:t>K</w:t>
      </w:r>
      <w:r w:rsidRPr="00B86E9B">
        <w:rPr>
          <w:sz w:val="28"/>
          <w:szCs w:val="28"/>
        </w:rPr>
        <w:t>apitālsabiedrības bez iepriekšēja saskaņojuma neveiktu jaunus iepirkumus un neuzņemtos jaunas finanšu saistības virs 100 tūkstošiem</w:t>
      </w:r>
      <w:r w:rsidR="00DB3200" w:rsidRPr="00B86E9B">
        <w:rPr>
          <w:sz w:val="28"/>
          <w:szCs w:val="28"/>
        </w:rPr>
        <w:t xml:space="preserve"> latu</w:t>
      </w:r>
      <w:r w:rsidRPr="00B86E9B">
        <w:rPr>
          <w:sz w:val="28"/>
          <w:szCs w:val="28"/>
        </w:rPr>
        <w:t xml:space="preserve">, ir izstrādāta </w:t>
      </w:r>
      <w:r w:rsidR="005D45A2" w:rsidRPr="00B86E9B">
        <w:rPr>
          <w:sz w:val="28"/>
          <w:szCs w:val="28"/>
        </w:rPr>
        <w:t xml:space="preserve">iepirkumu </w:t>
      </w:r>
      <w:r w:rsidRPr="00B86E9B">
        <w:rPr>
          <w:sz w:val="28"/>
          <w:szCs w:val="28"/>
        </w:rPr>
        <w:t>saskaņošanas procedūra</w:t>
      </w:r>
      <w:r w:rsidR="005D45A2" w:rsidRPr="00B86E9B">
        <w:rPr>
          <w:sz w:val="28"/>
          <w:szCs w:val="28"/>
        </w:rPr>
        <w:t xml:space="preserve"> ar ministriju</w:t>
      </w:r>
      <w:r w:rsidRPr="00B86E9B">
        <w:rPr>
          <w:sz w:val="28"/>
          <w:szCs w:val="28"/>
        </w:rPr>
        <w:t xml:space="preserve">, tajā skaitā no </w:t>
      </w:r>
      <w:r w:rsidR="00B60415" w:rsidRPr="00B86E9B">
        <w:rPr>
          <w:sz w:val="28"/>
          <w:szCs w:val="28"/>
        </w:rPr>
        <w:t>K</w:t>
      </w:r>
      <w:r w:rsidRPr="00B86E9B">
        <w:rPr>
          <w:sz w:val="28"/>
          <w:szCs w:val="28"/>
        </w:rPr>
        <w:t>apitālsabiedrībām tiek prasīta plānoto ieguldījumu izvērtēšana un investīciju atmaksāšanās aprēķini.</w:t>
      </w:r>
    </w:p>
    <w:p w:rsidR="00D12C65" w:rsidRPr="00B86E9B" w:rsidRDefault="00D12C65" w:rsidP="00D12C65">
      <w:pPr>
        <w:ind w:firstLine="709"/>
        <w:jc w:val="both"/>
        <w:rPr>
          <w:sz w:val="28"/>
          <w:szCs w:val="28"/>
        </w:rPr>
      </w:pPr>
      <w:r w:rsidRPr="00B86E9B">
        <w:rPr>
          <w:sz w:val="28"/>
          <w:szCs w:val="28"/>
        </w:rPr>
        <w:t xml:space="preserve">2012.gadā </w:t>
      </w:r>
      <w:r w:rsidR="00F07F87" w:rsidRPr="00B86E9B">
        <w:rPr>
          <w:sz w:val="28"/>
          <w:szCs w:val="28"/>
        </w:rPr>
        <w:t>K</w:t>
      </w:r>
      <w:r w:rsidR="001C43A4" w:rsidRPr="00B86E9B">
        <w:rPr>
          <w:sz w:val="28"/>
          <w:szCs w:val="28"/>
        </w:rPr>
        <w:t>apitālsabiedrībām</w:t>
      </w:r>
      <w:r w:rsidRPr="00B86E9B">
        <w:rPr>
          <w:sz w:val="28"/>
          <w:szCs w:val="28"/>
        </w:rPr>
        <w:t xml:space="preserve"> ir apstiprinātas vidēja termiņa stratēģijas 2012.-2018.gadam un biznesa plāni 2012.-2015.gadam, kurās izvirzīti trīs galvenie mērķi: </w:t>
      </w:r>
    </w:p>
    <w:p w:rsidR="00D12C65" w:rsidRPr="00B86E9B" w:rsidRDefault="00D12C65" w:rsidP="00D12C65">
      <w:pPr>
        <w:pStyle w:val="Sarakstarindkopa"/>
        <w:numPr>
          <w:ilvl w:val="0"/>
          <w:numId w:val="4"/>
        </w:numPr>
        <w:spacing w:after="0" w:line="240" w:lineRule="auto"/>
        <w:jc w:val="both"/>
        <w:rPr>
          <w:rFonts w:ascii="Times New Roman" w:hAnsi="Times New Roman"/>
          <w:sz w:val="28"/>
          <w:szCs w:val="28"/>
        </w:rPr>
      </w:pPr>
      <w:r w:rsidRPr="00B86E9B">
        <w:rPr>
          <w:rFonts w:ascii="Times New Roman" w:hAnsi="Times New Roman"/>
          <w:sz w:val="28"/>
          <w:szCs w:val="28"/>
        </w:rPr>
        <w:t xml:space="preserve">sniegto pakalpojumu apjoma un kvalitātes uzlabošana, </w:t>
      </w:r>
    </w:p>
    <w:p w:rsidR="00D12C65" w:rsidRPr="00B86E9B" w:rsidRDefault="00D12C65" w:rsidP="00D12C65">
      <w:pPr>
        <w:pStyle w:val="Sarakstarindkopa"/>
        <w:numPr>
          <w:ilvl w:val="0"/>
          <w:numId w:val="4"/>
        </w:numPr>
        <w:spacing w:after="0" w:line="240" w:lineRule="auto"/>
        <w:jc w:val="both"/>
        <w:rPr>
          <w:rFonts w:ascii="Times New Roman" w:hAnsi="Times New Roman"/>
          <w:sz w:val="28"/>
          <w:szCs w:val="28"/>
        </w:rPr>
      </w:pPr>
      <w:r w:rsidRPr="00B86E9B">
        <w:rPr>
          <w:rFonts w:ascii="Times New Roman" w:hAnsi="Times New Roman"/>
          <w:sz w:val="28"/>
          <w:szCs w:val="28"/>
        </w:rPr>
        <w:t xml:space="preserve">cilvēkresursu un infrastruktūras sakārtošana, </w:t>
      </w:r>
    </w:p>
    <w:p w:rsidR="00D12C65" w:rsidRPr="00B86E9B" w:rsidRDefault="00D12C65" w:rsidP="00D12C65">
      <w:pPr>
        <w:pStyle w:val="Sarakstarindkopa"/>
        <w:numPr>
          <w:ilvl w:val="0"/>
          <w:numId w:val="4"/>
        </w:numPr>
        <w:spacing w:after="0" w:line="240" w:lineRule="auto"/>
        <w:jc w:val="both"/>
        <w:rPr>
          <w:rFonts w:ascii="Times New Roman" w:hAnsi="Times New Roman"/>
          <w:sz w:val="28"/>
          <w:szCs w:val="28"/>
        </w:rPr>
      </w:pPr>
      <w:r w:rsidRPr="00B86E9B">
        <w:rPr>
          <w:rFonts w:ascii="Times New Roman" w:hAnsi="Times New Roman"/>
          <w:sz w:val="28"/>
          <w:szCs w:val="28"/>
        </w:rPr>
        <w:t>izmaksu efektivitātes paaugstināšana.</w:t>
      </w:r>
    </w:p>
    <w:p w:rsidR="00D12C65" w:rsidRPr="00B86E9B" w:rsidRDefault="00883C5F" w:rsidP="00D12C65">
      <w:pPr>
        <w:ind w:firstLine="709"/>
        <w:jc w:val="both"/>
        <w:rPr>
          <w:sz w:val="28"/>
          <w:szCs w:val="28"/>
        </w:rPr>
      </w:pPr>
      <w:r w:rsidRPr="00B86E9B">
        <w:rPr>
          <w:sz w:val="28"/>
          <w:szCs w:val="28"/>
        </w:rPr>
        <w:t>K</w:t>
      </w:r>
      <w:r w:rsidR="00D12C65" w:rsidRPr="00B86E9B">
        <w:rPr>
          <w:sz w:val="28"/>
          <w:szCs w:val="28"/>
        </w:rPr>
        <w:t xml:space="preserve">apitālsabiedrības jau 2012.gadā ir uzsākušas un turpina īstenot pasākumus, kas saistīti ar funkciju, procesu un darbības optimizāciju, veicot iekšējos auditus, padziļināti analizējot pakalpojumus un izvērtējot iespējas, t.sk., iespējas paplašināt peļņu nesošus pakalpojumus un piesaistīt jaunus pacientus. Ņemot vērā 2013.gada operatīvos datus, kopējais </w:t>
      </w:r>
      <w:r w:rsidR="006847F3" w:rsidRPr="00B86E9B">
        <w:rPr>
          <w:sz w:val="28"/>
          <w:szCs w:val="28"/>
        </w:rPr>
        <w:t>K</w:t>
      </w:r>
      <w:r w:rsidR="00D12C65" w:rsidRPr="00B86E9B">
        <w:rPr>
          <w:sz w:val="28"/>
          <w:szCs w:val="28"/>
        </w:rPr>
        <w:t>apitālsabiedrību izdevumu apmērs 9 mēnešos, salīdzinājumā ar līdzīgu iepriekšējā gada periodu ir samazinājies par 991 tūkstoti latu jeb aptuveni 1%. Kapitālsabiedrības savos darbības plānos ir iekļāvušas un īsteno ministrijas uzdotos optimizācijas pasākumus, kas saistīti ar:</w:t>
      </w:r>
    </w:p>
    <w:p w:rsidR="00D12C65" w:rsidRPr="00B86E9B" w:rsidRDefault="00D12C65" w:rsidP="00D12C65">
      <w:pPr>
        <w:pStyle w:val="Sarakstarindkopa"/>
        <w:numPr>
          <w:ilvl w:val="0"/>
          <w:numId w:val="2"/>
        </w:numPr>
        <w:spacing w:after="0" w:line="240" w:lineRule="auto"/>
        <w:ind w:left="0" w:firstLine="426"/>
        <w:jc w:val="both"/>
        <w:rPr>
          <w:rFonts w:ascii="Times New Roman" w:hAnsi="Times New Roman"/>
          <w:color w:val="000000"/>
          <w:sz w:val="28"/>
          <w:szCs w:val="28"/>
        </w:rPr>
      </w:pPr>
      <w:r w:rsidRPr="00B86E9B">
        <w:rPr>
          <w:rFonts w:ascii="Times New Roman" w:hAnsi="Times New Roman"/>
          <w:sz w:val="28"/>
          <w:szCs w:val="28"/>
        </w:rPr>
        <w:t>Pacientu uzņemšanas klīniku attīstību un uzlabošanu</w:t>
      </w:r>
      <w:r w:rsidRPr="00B86E9B">
        <w:rPr>
          <w:rFonts w:ascii="Times New Roman" w:hAnsi="Times New Roman"/>
          <w:color w:val="000000"/>
          <w:sz w:val="28"/>
          <w:szCs w:val="28"/>
        </w:rPr>
        <w:t xml:space="preserve">, kas </w:t>
      </w:r>
      <w:r w:rsidRPr="00B86E9B">
        <w:rPr>
          <w:rFonts w:ascii="Times New Roman" w:hAnsi="Times New Roman"/>
          <w:sz w:val="28"/>
          <w:szCs w:val="28"/>
        </w:rPr>
        <w:t xml:space="preserve">ietver neatliekamās medicīniskās palīdzības pacientu šķirošanu un observāciju, lai </w:t>
      </w:r>
      <w:r w:rsidRPr="00B86E9B">
        <w:rPr>
          <w:rFonts w:ascii="Times New Roman" w:hAnsi="Times New Roman"/>
          <w:sz w:val="28"/>
          <w:szCs w:val="28"/>
        </w:rPr>
        <w:lastRenderedPageBreak/>
        <w:t xml:space="preserve">izmaksu ietilpīgākos stacionāros pakalpojumus aizstātu ar dienas stacionāru un ambulatorajiem pakalpojumiem. Saskaņā </w:t>
      </w:r>
      <w:r w:rsidR="00B956AF" w:rsidRPr="00B86E9B">
        <w:rPr>
          <w:rFonts w:ascii="Times New Roman" w:hAnsi="Times New Roman"/>
          <w:sz w:val="28"/>
          <w:szCs w:val="28"/>
        </w:rPr>
        <w:t xml:space="preserve">ar </w:t>
      </w:r>
      <w:r w:rsidRPr="00B86E9B">
        <w:rPr>
          <w:rFonts w:ascii="Times New Roman" w:hAnsi="Times New Roman"/>
          <w:sz w:val="28"/>
          <w:szCs w:val="28"/>
        </w:rPr>
        <w:t xml:space="preserve">operatīvajiem budžeta izpildes datiem 2013.gada 9 mēnešos stacionāro pacientu skaits </w:t>
      </w:r>
      <w:r w:rsidR="00A30D1F" w:rsidRPr="00B86E9B">
        <w:rPr>
          <w:rFonts w:ascii="Times New Roman" w:hAnsi="Times New Roman"/>
          <w:sz w:val="28"/>
          <w:szCs w:val="28"/>
        </w:rPr>
        <w:t>K</w:t>
      </w:r>
      <w:r w:rsidRPr="00B86E9B">
        <w:rPr>
          <w:rFonts w:ascii="Times New Roman" w:hAnsi="Times New Roman"/>
          <w:sz w:val="28"/>
          <w:szCs w:val="28"/>
        </w:rPr>
        <w:t xml:space="preserve">apitālsabiedrībās ir samazinājies par vairāk nekā 1%, ja salīdzina ar atbilstošo 2012.gada periodu. </w:t>
      </w:r>
    </w:p>
    <w:p w:rsidR="00D12C65" w:rsidRPr="00B86E9B" w:rsidRDefault="00D12C65" w:rsidP="00D12C65">
      <w:pPr>
        <w:pStyle w:val="Sarakstarindkopa"/>
        <w:numPr>
          <w:ilvl w:val="0"/>
          <w:numId w:val="2"/>
        </w:numPr>
        <w:spacing w:after="0" w:line="240" w:lineRule="auto"/>
        <w:ind w:left="0" w:firstLine="426"/>
        <w:jc w:val="both"/>
        <w:rPr>
          <w:rFonts w:ascii="Times New Roman" w:hAnsi="Times New Roman"/>
          <w:sz w:val="28"/>
          <w:szCs w:val="28"/>
        </w:rPr>
      </w:pPr>
      <w:r w:rsidRPr="00B86E9B">
        <w:rPr>
          <w:rFonts w:ascii="Times New Roman" w:hAnsi="Times New Roman"/>
          <w:color w:val="000000"/>
          <w:sz w:val="28"/>
          <w:szCs w:val="28"/>
        </w:rPr>
        <w:t xml:space="preserve">Resursu pārvaldības uzlabošanu, pastāvīgi pilnveidojot, attīstot pakalpojumus un iekšējos procesus un procedūras, un nodrošinot to kontroli. Tajā skaitā, uzlabojot esošās vai ieviešot jaunas un efektīvas informācijas sistēmas, kas nodrošinātu precīzu izmaksu uzskaiti, nodrošinātu savlaicīgu un patiesu informācijas apriti un dotu iespēju novērtēt un analizēt izmaksu efektivitāti. </w:t>
      </w:r>
      <w:r w:rsidRPr="00B86E9B">
        <w:rPr>
          <w:rFonts w:ascii="Times New Roman" w:hAnsi="Times New Roman"/>
          <w:sz w:val="28"/>
          <w:szCs w:val="28"/>
        </w:rPr>
        <w:t xml:space="preserve">Visās </w:t>
      </w:r>
      <w:r w:rsidR="003F2690" w:rsidRPr="00B86E9B">
        <w:rPr>
          <w:rFonts w:ascii="Times New Roman" w:hAnsi="Times New Roman"/>
          <w:sz w:val="28"/>
          <w:szCs w:val="28"/>
        </w:rPr>
        <w:t>K</w:t>
      </w:r>
      <w:r w:rsidRPr="00B86E9B">
        <w:rPr>
          <w:rFonts w:ascii="Times New Roman" w:hAnsi="Times New Roman"/>
          <w:sz w:val="28"/>
          <w:szCs w:val="28"/>
        </w:rPr>
        <w:t>apitālsabiedrībās ir ieviesta, tiek pilnveidota un attīstīta kvalitātes vadības sistēma, kas bāzēta uz procesiem un to detalizētiem aprakstiem un ļauj pilnveidot darbību, uzlabot kvalitāti, ekonomēt resursus un nodrošina regulāru paškontroli. Svarīgs noteikto mērķu sasniegšanas priekšnos</w:t>
      </w:r>
      <w:r w:rsidR="00B079B5" w:rsidRPr="00B86E9B">
        <w:rPr>
          <w:rFonts w:ascii="Times New Roman" w:hAnsi="Times New Roman"/>
          <w:sz w:val="28"/>
          <w:szCs w:val="28"/>
        </w:rPr>
        <w:t>acījums ir līgumu ar Nacionālo v</w:t>
      </w:r>
      <w:r w:rsidRPr="00B86E9B">
        <w:rPr>
          <w:rFonts w:ascii="Times New Roman" w:hAnsi="Times New Roman"/>
          <w:sz w:val="28"/>
          <w:szCs w:val="28"/>
        </w:rPr>
        <w:t>eselības dienestu prasību un pienākumu izpilde, līgumu vadīšana, kontrole, uzraudzība un nosacījumu uzlabošana. Lai neciestu zaudējumus ir ļoti liela uzmanība jāpievērš pacientu kustībai, tās plānošanai un kontrolei, jāseko līdzi un jākontrolē pakalpojuma un preču apjomi un limiti.</w:t>
      </w:r>
    </w:p>
    <w:p w:rsidR="00D12C65" w:rsidRPr="00B86E9B" w:rsidRDefault="00D12C65" w:rsidP="00D12C65">
      <w:pPr>
        <w:pStyle w:val="Sarakstarindkopa"/>
        <w:numPr>
          <w:ilvl w:val="0"/>
          <w:numId w:val="2"/>
        </w:numPr>
        <w:spacing w:after="0" w:line="240" w:lineRule="auto"/>
        <w:ind w:left="0" w:firstLine="426"/>
        <w:jc w:val="both"/>
        <w:rPr>
          <w:color w:val="000000"/>
          <w:sz w:val="28"/>
          <w:szCs w:val="28"/>
        </w:rPr>
      </w:pPr>
      <w:r w:rsidRPr="00B86E9B">
        <w:rPr>
          <w:rFonts w:ascii="Times New Roman" w:hAnsi="Times New Roman"/>
          <w:color w:val="000000"/>
          <w:sz w:val="28"/>
          <w:szCs w:val="28"/>
        </w:rPr>
        <w:t xml:space="preserve">Sniegto maksas pakalpojumu rentabilitātes un lietderīguma izvērtējumu, kā arī papildu procedūru un kontroles mehānismu izveidi pakalpojumu saņēmēju maksātspējas pārbaudei, lai pakalpojumi neradītu zaudējumus. Ārpakalpojumam galvenokārt tiek nodoti ēdināšanas, telpu uzkopšanas un citi ar administratīvo un saimniecisko funkciju izpildi saistīti pakalpojumi. Salīdzinot ar atbilstošo 2012.gada periodu, 2013.gada 9 mēnešos kopumā nav vērojams būtisks </w:t>
      </w:r>
      <w:r w:rsidR="001A6F9B" w:rsidRPr="00B86E9B">
        <w:rPr>
          <w:rFonts w:ascii="Times New Roman" w:hAnsi="Times New Roman"/>
          <w:color w:val="000000"/>
          <w:sz w:val="28"/>
          <w:szCs w:val="28"/>
        </w:rPr>
        <w:t xml:space="preserve">Kapitālsabiedrību </w:t>
      </w:r>
      <w:r w:rsidRPr="00B86E9B">
        <w:rPr>
          <w:rFonts w:ascii="Times New Roman" w:hAnsi="Times New Roman"/>
          <w:color w:val="000000"/>
          <w:sz w:val="28"/>
          <w:szCs w:val="28"/>
        </w:rPr>
        <w:t>pašu nopelnīto lī</w:t>
      </w:r>
      <w:r w:rsidR="001A6F9B" w:rsidRPr="00B86E9B">
        <w:rPr>
          <w:rFonts w:ascii="Times New Roman" w:hAnsi="Times New Roman"/>
          <w:color w:val="000000"/>
          <w:sz w:val="28"/>
          <w:szCs w:val="28"/>
        </w:rPr>
        <w:t>dzekļu īpatsvara palielinājums</w:t>
      </w:r>
      <w:r w:rsidRPr="00B86E9B">
        <w:rPr>
          <w:rFonts w:ascii="Times New Roman" w:hAnsi="Times New Roman"/>
          <w:color w:val="000000"/>
          <w:sz w:val="28"/>
          <w:szCs w:val="28"/>
        </w:rPr>
        <w:t xml:space="preserve">, jo valstī pastāv augsta konkurence stacionāro un ambulatoro pakalpojumu sniegšanā un papildu tirgus izpētes un pakalpojumu attīstības pasākumiem trūkst resursu.  </w:t>
      </w:r>
    </w:p>
    <w:p w:rsidR="00D12C65" w:rsidRPr="00B86E9B" w:rsidRDefault="00D12C65" w:rsidP="00D12C65">
      <w:pPr>
        <w:pStyle w:val="Sarakstarindkopa"/>
        <w:numPr>
          <w:ilvl w:val="0"/>
          <w:numId w:val="2"/>
        </w:numPr>
        <w:spacing w:after="0" w:line="240" w:lineRule="auto"/>
        <w:ind w:left="0" w:firstLine="426"/>
        <w:jc w:val="both"/>
        <w:rPr>
          <w:rFonts w:ascii="Times New Roman" w:hAnsi="Times New Roman"/>
          <w:color w:val="000000"/>
          <w:sz w:val="28"/>
          <w:szCs w:val="28"/>
        </w:rPr>
      </w:pPr>
      <w:r w:rsidRPr="00B86E9B">
        <w:rPr>
          <w:rFonts w:ascii="Times New Roman" w:hAnsi="Times New Roman"/>
          <w:sz w:val="28"/>
          <w:szCs w:val="28"/>
        </w:rPr>
        <w:t xml:space="preserve">Centralizētu iepirkumu organizēšanu. </w:t>
      </w:r>
      <w:r w:rsidR="0011705F" w:rsidRPr="00B86E9B">
        <w:rPr>
          <w:rFonts w:ascii="Times New Roman" w:hAnsi="Times New Roman"/>
          <w:color w:val="000000"/>
          <w:sz w:val="28"/>
          <w:szCs w:val="28"/>
        </w:rPr>
        <w:t>K</w:t>
      </w:r>
      <w:r w:rsidRPr="00B86E9B">
        <w:rPr>
          <w:rFonts w:ascii="Times New Roman" w:hAnsi="Times New Roman"/>
          <w:color w:val="000000"/>
          <w:sz w:val="28"/>
          <w:szCs w:val="28"/>
        </w:rPr>
        <w:t>apitālsabiedrības iepirkumu veikšanai izmanto gan elektronisko iepirkumu sistēmu, gan izskata iespēju nākotnē veikt vienotus iepirkumus un samazināt preču un pakalpojumu izmaksas.</w:t>
      </w:r>
    </w:p>
    <w:p w:rsidR="00D12C65" w:rsidRPr="00B86E9B" w:rsidRDefault="00D12C65" w:rsidP="00D12C65">
      <w:pPr>
        <w:ind w:firstLine="709"/>
        <w:jc w:val="both"/>
        <w:rPr>
          <w:sz w:val="28"/>
          <w:szCs w:val="28"/>
        </w:rPr>
      </w:pPr>
      <w:r w:rsidRPr="00B86E9B">
        <w:rPr>
          <w:sz w:val="28"/>
          <w:szCs w:val="28"/>
        </w:rPr>
        <w:t xml:space="preserve">Lai motivētu </w:t>
      </w:r>
      <w:r w:rsidR="00414F34" w:rsidRPr="00B86E9B">
        <w:rPr>
          <w:sz w:val="28"/>
          <w:szCs w:val="28"/>
        </w:rPr>
        <w:t>K</w:t>
      </w:r>
      <w:r w:rsidRPr="00B86E9B">
        <w:rPr>
          <w:sz w:val="28"/>
          <w:szCs w:val="28"/>
        </w:rPr>
        <w:t xml:space="preserve">apitālsabiedrību valdes uzlabot </w:t>
      </w:r>
      <w:r w:rsidR="00E224E9" w:rsidRPr="00B86E9B">
        <w:rPr>
          <w:sz w:val="28"/>
          <w:szCs w:val="28"/>
        </w:rPr>
        <w:t>K</w:t>
      </w:r>
      <w:r w:rsidRPr="00B86E9B">
        <w:rPr>
          <w:sz w:val="28"/>
          <w:szCs w:val="28"/>
        </w:rPr>
        <w:t xml:space="preserve">apitālsabiedrību darbību un novērstu zaudējumu rašanos, līdz ar to palielinot </w:t>
      </w:r>
      <w:r w:rsidR="00E224E9" w:rsidRPr="00B86E9B">
        <w:rPr>
          <w:sz w:val="28"/>
          <w:szCs w:val="28"/>
        </w:rPr>
        <w:t>K</w:t>
      </w:r>
      <w:r w:rsidRPr="00B86E9B">
        <w:rPr>
          <w:sz w:val="28"/>
          <w:szCs w:val="28"/>
        </w:rPr>
        <w:t>apitālsabiedrību vērtību un kapitāla turpmāko atdevi, ministrija reizi gadā pēc apstiprināta gada pārskata iesniegšanas vērtē valdes darbības rezultātus, atbilstoši noteiktajiem ekonomiskajiem, kā arī specifiskajiem nozares politikas mērķiem, un lemj par prēmiju piešķiršanu normatīvajos aktos noteiktajā kārtībā.</w:t>
      </w:r>
    </w:p>
    <w:p w:rsidR="00D12C65" w:rsidRPr="00B86E9B" w:rsidRDefault="00D12C65" w:rsidP="009202C8">
      <w:pPr>
        <w:ind w:firstLine="709"/>
        <w:jc w:val="both"/>
        <w:rPr>
          <w:sz w:val="28"/>
          <w:szCs w:val="28"/>
          <w:lang w:eastAsia="lv-LV"/>
        </w:rPr>
      </w:pPr>
      <w:r w:rsidRPr="00B86E9B">
        <w:rPr>
          <w:sz w:val="28"/>
          <w:szCs w:val="28"/>
          <w:lang w:eastAsia="lv-LV"/>
        </w:rPr>
        <w:t>Ar mērķi nodrošināt slimnīcu labāku pārvaldību un pilnveidot slimnīcu fi</w:t>
      </w:r>
      <w:r w:rsidR="00267935" w:rsidRPr="00B86E9B">
        <w:rPr>
          <w:sz w:val="28"/>
          <w:szCs w:val="28"/>
          <w:lang w:eastAsia="lv-LV"/>
        </w:rPr>
        <w:t xml:space="preserve">nansēšanas modeli, </w:t>
      </w:r>
      <w:r w:rsidR="00975883" w:rsidRPr="00B86E9B">
        <w:rPr>
          <w:sz w:val="28"/>
          <w:szCs w:val="28"/>
          <w:lang w:eastAsia="lv-LV"/>
        </w:rPr>
        <w:t xml:space="preserve"> sākot no 2014.gada ir uzsākta </w:t>
      </w:r>
      <w:r w:rsidRPr="00B86E9B">
        <w:rPr>
          <w:sz w:val="28"/>
          <w:szCs w:val="28"/>
          <w:lang w:eastAsia="lv-LV"/>
        </w:rPr>
        <w:t>DRG (</w:t>
      </w:r>
      <w:proofErr w:type="spellStart"/>
      <w:r w:rsidRPr="00B86E9B">
        <w:rPr>
          <w:sz w:val="28"/>
          <w:szCs w:val="28"/>
          <w:lang w:eastAsia="lv-LV"/>
        </w:rPr>
        <w:t>Diagnosis</w:t>
      </w:r>
      <w:proofErr w:type="spellEnd"/>
      <w:r w:rsidRPr="00B86E9B">
        <w:rPr>
          <w:sz w:val="28"/>
          <w:szCs w:val="28"/>
          <w:lang w:eastAsia="lv-LV"/>
        </w:rPr>
        <w:t xml:space="preserve"> </w:t>
      </w:r>
      <w:proofErr w:type="spellStart"/>
      <w:r w:rsidRPr="00B86E9B">
        <w:rPr>
          <w:sz w:val="28"/>
          <w:szCs w:val="28"/>
          <w:lang w:eastAsia="lv-LV"/>
        </w:rPr>
        <w:t>related</w:t>
      </w:r>
      <w:proofErr w:type="spellEnd"/>
      <w:r w:rsidRPr="00B86E9B">
        <w:rPr>
          <w:sz w:val="28"/>
          <w:szCs w:val="28"/>
          <w:lang w:eastAsia="lv-LV"/>
        </w:rPr>
        <w:t xml:space="preserve"> </w:t>
      </w:r>
      <w:proofErr w:type="spellStart"/>
      <w:r w:rsidRPr="00B86E9B">
        <w:rPr>
          <w:sz w:val="28"/>
          <w:szCs w:val="28"/>
          <w:lang w:eastAsia="lv-LV"/>
        </w:rPr>
        <w:t>groups</w:t>
      </w:r>
      <w:proofErr w:type="spellEnd"/>
      <w:r w:rsidRPr="00B86E9B">
        <w:rPr>
          <w:sz w:val="28"/>
          <w:szCs w:val="28"/>
          <w:lang w:eastAsia="lv-LV"/>
        </w:rPr>
        <w:t>)</w:t>
      </w:r>
      <w:r w:rsidR="00975883" w:rsidRPr="00B86E9B">
        <w:rPr>
          <w:sz w:val="28"/>
          <w:szCs w:val="28"/>
          <w:lang w:eastAsia="lv-LV"/>
        </w:rPr>
        <w:t xml:space="preserve"> apmaksas sistēmas ieviešana</w:t>
      </w:r>
      <w:r w:rsidRPr="00B86E9B">
        <w:rPr>
          <w:sz w:val="28"/>
          <w:szCs w:val="28"/>
          <w:lang w:eastAsia="lv-LV"/>
        </w:rPr>
        <w:t xml:space="preserve">. Ar šo veselības aprūpes pakalpojumu uzskaites un apmaksas sistēmu, ņemot vērā konkrētas diagnozes ārstēšanas standartus (vadlīnijas) un pacienta ārstēšanas nianses (pacienta vecums, uzturēšanās ilgums stacionārā, pielietotās medicīniskās tehnoloģijas, </w:t>
      </w:r>
      <w:r w:rsidRPr="00B86E9B">
        <w:rPr>
          <w:sz w:val="28"/>
          <w:szCs w:val="28"/>
          <w:lang w:eastAsia="lv-LV"/>
        </w:rPr>
        <w:lastRenderedPageBreak/>
        <w:t>komplikācijas), pakalpojumu sniedzējs tiek stimulēts sniegt veselības aprūpes pakalpojumus ar zemām izmaksām.</w:t>
      </w:r>
    </w:p>
    <w:p w:rsidR="00331929" w:rsidRPr="00B86E9B" w:rsidRDefault="00A65670" w:rsidP="00CE79F1">
      <w:pPr>
        <w:ind w:firstLine="706"/>
        <w:jc w:val="both"/>
        <w:rPr>
          <w:sz w:val="28"/>
          <w:szCs w:val="28"/>
        </w:rPr>
      </w:pPr>
      <w:r w:rsidRPr="00B86E9B">
        <w:rPr>
          <w:sz w:val="28"/>
          <w:szCs w:val="28"/>
        </w:rPr>
        <w:t>A</w:t>
      </w:r>
      <w:r w:rsidR="009D44DD" w:rsidRPr="00B86E9B">
        <w:rPr>
          <w:sz w:val="28"/>
          <w:szCs w:val="28"/>
        </w:rPr>
        <w:t>r likumu „Grozījumi likumā „Par va</w:t>
      </w:r>
      <w:r w:rsidR="00CE79F1" w:rsidRPr="00B86E9B">
        <w:rPr>
          <w:sz w:val="28"/>
          <w:szCs w:val="28"/>
        </w:rPr>
        <w:t xml:space="preserve">lsts budžetu 2012.gadam”” </w:t>
      </w:r>
      <w:r w:rsidR="009D44DD" w:rsidRPr="00B86E9B">
        <w:rPr>
          <w:sz w:val="28"/>
          <w:szCs w:val="28"/>
        </w:rPr>
        <w:t xml:space="preserve">tika piešķirts papildus </w:t>
      </w:r>
      <w:r w:rsidR="00565489" w:rsidRPr="00B86E9B">
        <w:rPr>
          <w:sz w:val="28"/>
          <w:szCs w:val="28"/>
        </w:rPr>
        <w:t xml:space="preserve">finansējums divu Kapitālsabiedrību </w:t>
      </w:r>
      <w:r w:rsidR="009D44DD" w:rsidRPr="00B86E9B">
        <w:rPr>
          <w:sz w:val="28"/>
          <w:szCs w:val="28"/>
        </w:rPr>
        <w:t>pamatkapitāl</w:t>
      </w:r>
      <w:r w:rsidR="00BD1262" w:rsidRPr="00B86E9B">
        <w:rPr>
          <w:sz w:val="28"/>
          <w:szCs w:val="28"/>
        </w:rPr>
        <w:t>a palielināšanai 12 558 104 latu</w:t>
      </w:r>
      <w:r w:rsidR="009D44DD" w:rsidRPr="00B86E9B">
        <w:rPr>
          <w:sz w:val="28"/>
          <w:szCs w:val="28"/>
        </w:rPr>
        <w:t xml:space="preserve"> apmērā,</w:t>
      </w:r>
      <w:r w:rsidR="00331929" w:rsidRPr="00B86E9B">
        <w:rPr>
          <w:sz w:val="28"/>
          <w:szCs w:val="28"/>
        </w:rPr>
        <w:t xml:space="preserve"> </w:t>
      </w:r>
      <w:r w:rsidRPr="00B86E9B">
        <w:rPr>
          <w:sz w:val="28"/>
          <w:szCs w:val="28"/>
        </w:rPr>
        <w:t xml:space="preserve">lai nodrošinātu nepārtrauktu veselības aprūpes pakalpojumu sniegšanu pacientiem, </w:t>
      </w:r>
      <w:r w:rsidR="00331929" w:rsidRPr="00B86E9B">
        <w:rPr>
          <w:sz w:val="28"/>
          <w:szCs w:val="28"/>
        </w:rPr>
        <w:t>tajā skaitā:</w:t>
      </w:r>
    </w:p>
    <w:p w:rsidR="0014523F" w:rsidRPr="00B86E9B" w:rsidRDefault="00513319" w:rsidP="00331929">
      <w:pPr>
        <w:pStyle w:val="Sarakstarindkopa"/>
        <w:numPr>
          <w:ilvl w:val="0"/>
          <w:numId w:val="41"/>
        </w:numPr>
        <w:spacing w:after="0" w:line="240" w:lineRule="auto"/>
        <w:ind w:left="1077" w:hanging="357"/>
        <w:jc w:val="both"/>
        <w:rPr>
          <w:rFonts w:ascii="Times New Roman" w:hAnsi="Times New Roman"/>
          <w:sz w:val="28"/>
          <w:szCs w:val="28"/>
        </w:rPr>
      </w:pPr>
      <w:r w:rsidRPr="00B86E9B">
        <w:rPr>
          <w:rFonts w:ascii="Times New Roman" w:hAnsi="Times New Roman"/>
          <w:sz w:val="28"/>
          <w:szCs w:val="28"/>
        </w:rPr>
        <w:t xml:space="preserve">10 000 000 latu </w:t>
      </w:r>
      <w:r w:rsidR="0028015D" w:rsidRPr="00B86E9B">
        <w:rPr>
          <w:rFonts w:ascii="Times New Roman" w:hAnsi="Times New Roman"/>
          <w:sz w:val="28"/>
          <w:szCs w:val="28"/>
        </w:rPr>
        <w:t xml:space="preserve">apmērā </w:t>
      </w:r>
      <w:r w:rsidRPr="00B86E9B">
        <w:rPr>
          <w:rFonts w:ascii="Times New Roman" w:hAnsi="Times New Roman"/>
          <w:sz w:val="28"/>
          <w:szCs w:val="28"/>
        </w:rPr>
        <w:t xml:space="preserve">VSIA „Paula Stradiņa klīniskā universitātes slimnīca” </w:t>
      </w:r>
      <w:r w:rsidR="009D44DD" w:rsidRPr="00B86E9B">
        <w:rPr>
          <w:rFonts w:ascii="Times New Roman" w:hAnsi="Times New Roman"/>
          <w:sz w:val="28"/>
          <w:szCs w:val="28"/>
        </w:rPr>
        <w:t>atbilstoši 2012.gada 14.augusta Ministru kabineta sēdes protokola Nr.45 41.§ (T</w:t>
      </w:r>
      <w:r w:rsidRPr="00B86E9B">
        <w:rPr>
          <w:rFonts w:ascii="Times New Roman" w:hAnsi="Times New Roman"/>
          <w:sz w:val="28"/>
          <w:szCs w:val="28"/>
        </w:rPr>
        <w:t>A-1748-IP, SAN-750),</w:t>
      </w:r>
      <w:r w:rsidR="00F1795A" w:rsidRPr="00B86E9B">
        <w:rPr>
          <w:rFonts w:ascii="Times New Roman" w:hAnsi="Times New Roman"/>
          <w:sz w:val="28"/>
          <w:szCs w:val="28"/>
        </w:rPr>
        <w:t xml:space="preserve"> kas tika novirzīti</w:t>
      </w:r>
      <w:r w:rsidR="009D44DD" w:rsidRPr="00B86E9B">
        <w:rPr>
          <w:rFonts w:ascii="Times New Roman" w:hAnsi="Times New Roman"/>
          <w:sz w:val="28"/>
          <w:szCs w:val="28"/>
        </w:rPr>
        <w:t xml:space="preserve"> kreditoru saistību segšanai, kas veidojušās saistībā ar valsts apmaksāto veselības aprūpes pakalpojumu sniegšanu. </w:t>
      </w:r>
      <w:r w:rsidR="009D44DD" w:rsidRPr="00B86E9B">
        <w:rPr>
          <w:rFonts w:ascii="Times New Roman" w:hAnsi="Times New Roman"/>
          <w:sz w:val="28"/>
          <w:szCs w:val="28"/>
          <w:lang w:eastAsia="lv-LV"/>
        </w:rPr>
        <w:t>Veicot iepriekš mi</w:t>
      </w:r>
      <w:r w:rsidR="0028015D" w:rsidRPr="00B86E9B">
        <w:rPr>
          <w:rFonts w:ascii="Times New Roman" w:hAnsi="Times New Roman"/>
          <w:sz w:val="28"/>
          <w:szCs w:val="28"/>
          <w:lang w:eastAsia="lv-LV"/>
        </w:rPr>
        <w:t xml:space="preserve">nēto ieguldījumu </w:t>
      </w:r>
      <w:r w:rsidR="009D44DD" w:rsidRPr="00B86E9B">
        <w:rPr>
          <w:rFonts w:ascii="Times New Roman" w:hAnsi="Times New Roman"/>
          <w:sz w:val="28"/>
          <w:szCs w:val="28"/>
          <w:lang w:eastAsia="lv-LV"/>
        </w:rPr>
        <w:t xml:space="preserve">pamatkapitālā, tika stabilizēta </w:t>
      </w:r>
      <w:r w:rsidR="0028015D" w:rsidRPr="00B86E9B">
        <w:rPr>
          <w:rFonts w:ascii="Times New Roman" w:hAnsi="Times New Roman"/>
          <w:sz w:val="28"/>
          <w:szCs w:val="28"/>
        </w:rPr>
        <w:t>VSIA „Paula Stradiņa klīniskā universitātes slimnīca”</w:t>
      </w:r>
      <w:r w:rsidR="009D44DD" w:rsidRPr="00B86E9B">
        <w:rPr>
          <w:rFonts w:ascii="Times New Roman" w:hAnsi="Times New Roman"/>
          <w:sz w:val="28"/>
          <w:szCs w:val="28"/>
          <w:lang w:eastAsia="lv-LV"/>
        </w:rPr>
        <w:t xml:space="preserve"> </w:t>
      </w:r>
      <w:r w:rsidR="0028015D" w:rsidRPr="00B86E9B">
        <w:rPr>
          <w:rFonts w:ascii="Times New Roman" w:hAnsi="Times New Roman"/>
          <w:sz w:val="28"/>
          <w:szCs w:val="28"/>
          <w:lang w:eastAsia="lv-LV"/>
        </w:rPr>
        <w:t>finanšu situācija;</w:t>
      </w:r>
    </w:p>
    <w:p w:rsidR="007B4C54" w:rsidRPr="00B86E9B" w:rsidRDefault="0028015D" w:rsidP="00177E8A">
      <w:pPr>
        <w:pStyle w:val="Sarakstarindkopa"/>
        <w:numPr>
          <w:ilvl w:val="0"/>
          <w:numId w:val="41"/>
        </w:numPr>
        <w:spacing w:after="0" w:line="240" w:lineRule="auto"/>
        <w:ind w:left="1077" w:hanging="357"/>
        <w:jc w:val="both"/>
        <w:rPr>
          <w:rFonts w:ascii="Times New Roman" w:eastAsia="Times New Roman" w:hAnsi="Times New Roman"/>
          <w:sz w:val="28"/>
          <w:szCs w:val="28"/>
        </w:rPr>
      </w:pPr>
      <w:r w:rsidRPr="00B86E9B">
        <w:rPr>
          <w:rFonts w:ascii="Times New Roman" w:hAnsi="Times New Roman"/>
          <w:sz w:val="28"/>
          <w:szCs w:val="28"/>
          <w:lang w:eastAsia="lv-LV"/>
        </w:rPr>
        <w:t xml:space="preserve">2 558 104 latu apmērā SIA „Rīgas Austrumu klīniskā universitātes slimnīca” </w:t>
      </w:r>
      <w:r w:rsidR="0048509D" w:rsidRPr="00B86E9B">
        <w:rPr>
          <w:rFonts w:ascii="Times New Roman" w:hAnsi="Times New Roman"/>
          <w:sz w:val="28"/>
          <w:szCs w:val="28"/>
          <w:lang w:eastAsia="lv-LV"/>
        </w:rPr>
        <w:t>atbilstoši 2012.</w:t>
      </w:r>
      <w:r w:rsidR="0048509D" w:rsidRPr="00B86E9B">
        <w:rPr>
          <w:rFonts w:ascii="Times New Roman" w:eastAsia="Times New Roman" w:hAnsi="Times New Roman"/>
          <w:sz w:val="28"/>
          <w:szCs w:val="28"/>
        </w:rPr>
        <w:t>gada 28.augusta Ministru kabineta sēdes protokola Nr.49 58.§ (TA-1999-IP)</w:t>
      </w:r>
      <w:r w:rsidR="006C18C1" w:rsidRPr="00B86E9B">
        <w:rPr>
          <w:rFonts w:ascii="Times New Roman" w:eastAsia="Times New Roman" w:hAnsi="Times New Roman"/>
          <w:sz w:val="28"/>
          <w:szCs w:val="28"/>
        </w:rPr>
        <w:t>, kas tika novirzīts izdevumu segšanai, kas veidojušies saistībā ar valsts apmaksāto veselības aprūpes pakalpojumu sniegšanu</w:t>
      </w:r>
      <w:r w:rsidR="007071EE" w:rsidRPr="00B86E9B">
        <w:rPr>
          <w:rFonts w:ascii="Times New Roman" w:eastAsia="Times New Roman" w:hAnsi="Times New Roman"/>
          <w:sz w:val="28"/>
          <w:szCs w:val="28"/>
        </w:rPr>
        <w:t xml:space="preserve">. </w:t>
      </w:r>
      <w:r w:rsidR="007071EE" w:rsidRPr="00B86E9B">
        <w:rPr>
          <w:rFonts w:ascii="Times New Roman" w:hAnsi="Times New Roman"/>
          <w:sz w:val="28"/>
          <w:szCs w:val="28"/>
          <w:lang w:eastAsia="lv-LV"/>
        </w:rPr>
        <w:t xml:space="preserve">Veicot iepriekš minēto ieguldījumu pamatkapitālā, tika nedaudz stabilizēta </w:t>
      </w:r>
      <w:r w:rsidR="007071EE" w:rsidRPr="00B86E9B">
        <w:rPr>
          <w:rFonts w:ascii="Times New Roman" w:hAnsi="Times New Roman"/>
          <w:sz w:val="28"/>
          <w:szCs w:val="28"/>
        </w:rPr>
        <w:t>SIA „</w:t>
      </w:r>
      <w:r w:rsidR="007071EE" w:rsidRPr="00B86E9B">
        <w:rPr>
          <w:rFonts w:ascii="Times New Roman" w:hAnsi="Times New Roman"/>
          <w:sz w:val="28"/>
          <w:szCs w:val="28"/>
          <w:lang w:eastAsia="lv-LV"/>
        </w:rPr>
        <w:t>Rīgas Austrumu</w:t>
      </w:r>
      <w:r w:rsidR="007071EE" w:rsidRPr="00B86E9B">
        <w:rPr>
          <w:rFonts w:ascii="Times New Roman" w:hAnsi="Times New Roman"/>
          <w:sz w:val="28"/>
          <w:szCs w:val="28"/>
        </w:rPr>
        <w:t xml:space="preserve"> klīniskā universitātes slimnīca”</w:t>
      </w:r>
      <w:r w:rsidR="007071EE" w:rsidRPr="00B86E9B">
        <w:rPr>
          <w:rFonts w:ascii="Times New Roman" w:hAnsi="Times New Roman"/>
          <w:sz w:val="28"/>
          <w:szCs w:val="28"/>
          <w:lang w:eastAsia="lv-LV"/>
        </w:rPr>
        <w:t xml:space="preserve"> finanšu situācija</w:t>
      </w:r>
      <w:r w:rsidR="00177E8A" w:rsidRPr="00B86E9B">
        <w:rPr>
          <w:rFonts w:ascii="Times New Roman" w:hAnsi="Times New Roman"/>
          <w:sz w:val="28"/>
          <w:szCs w:val="28"/>
          <w:lang w:eastAsia="lv-LV"/>
        </w:rPr>
        <w:t>.</w:t>
      </w:r>
      <w:r w:rsidR="007B4C54" w:rsidRPr="00B86E9B">
        <w:rPr>
          <w:sz w:val="28"/>
          <w:szCs w:val="28"/>
          <w:lang w:eastAsia="lv-LV"/>
        </w:rPr>
        <w:tab/>
      </w:r>
    </w:p>
    <w:p w:rsidR="008C3A3E" w:rsidRPr="00B86E9B" w:rsidRDefault="007B4C54" w:rsidP="00275B93">
      <w:pPr>
        <w:tabs>
          <w:tab w:val="left" w:pos="284"/>
        </w:tabs>
        <w:jc w:val="both"/>
        <w:rPr>
          <w:sz w:val="28"/>
          <w:szCs w:val="28"/>
          <w:lang w:eastAsia="lv-LV"/>
        </w:rPr>
      </w:pPr>
      <w:r w:rsidRPr="00B86E9B">
        <w:rPr>
          <w:sz w:val="28"/>
          <w:szCs w:val="28"/>
          <w:lang w:eastAsia="lv-LV"/>
        </w:rPr>
        <w:tab/>
      </w:r>
      <w:r w:rsidR="007A5C2C" w:rsidRPr="00B86E9B">
        <w:rPr>
          <w:sz w:val="28"/>
          <w:szCs w:val="28"/>
          <w:lang w:eastAsia="lv-LV"/>
        </w:rPr>
        <w:tab/>
      </w:r>
      <w:r w:rsidR="00275B93" w:rsidRPr="00B86E9B">
        <w:rPr>
          <w:sz w:val="28"/>
          <w:szCs w:val="28"/>
          <w:lang w:eastAsia="lv-LV"/>
        </w:rPr>
        <w:t xml:space="preserve">Ņemot vērā 2013.gada </w:t>
      </w:r>
      <w:r w:rsidR="008C3A3E" w:rsidRPr="00B86E9B">
        <w:rPr>
          <w:sz w:val="28"/>
          <w:szCs w:val="28"/>
          <w:lang w:eastAsia="lv-LV"/>
        </w:rPr>
        <w:t>laikā papildus piešķirto valsts budžeta finansējumu veselības aprūpes nozarei, tajā skaitā:</w:t>
      </w:r>
    </w:p>
    <w:p w:rsidR="005241D8" w:rsidRPr="00B86E9B" w:rsidRDefault="001F5F9F" w:rsidP="008A6720">
      <w:pPr>
        <w:pStyle w:val="Sarakstarindkopa"/>
        <w:numPr>
          <w:ilvl w:val="0"/>
          <w:numId w:val="41"/>
        </w:numPr>
        <w:spacing w:after="0" w:line="240" w:lineRule="auto"/>
        <w:ind w:left="1077" w:hanging="357"/>
        <w:jc w:val="both"/>
        <w:rPr>
          <w:rFonts w:ascii="Times New Roman" w:hAnsi="Times New Roman"/>
          <w:sz w:val="28"/>
          <w:szCs w:val="28"/>
        </w:rPr>
      </w:pPr>
      <w:r w:rsidRPr="00B86E9B">
        <w:rPr>
          <w:rFonts w:ascii="Times New Roman" w:hAnsi="Times New Roman"/>
          <w:sz w:val="28"/>
          <w:szCs w:val="28"/>
        </w:rPr>
        <w:t xml:space="preserve">4 539 510 latu apmērā </w:t>
      </w:r>
      <w:r w:rsidR="002D1C0E" w:rsidRPr="00B86E9B">
        <w:rPr>
          <w:rFonts w:ascii="Times New Roman" w:hAnsi="Times New Roman"/>
          <w:sz w:val="28"/>
          <w:szCs w:val="28"/>
        </w:rPr>
        <w:t xml:space="preserve">veselības aprūpes pakalpojumu pieejamības uzlabošanai un ārstniecības iestāžu infrastruktūras uzturēšanas izdevumu deficīta segšanai </w:t>
      </w:r>
      <w:r w:rsidRPr="00B86E9B">
        <w:rPr>
          <w:rFonts w:ascii="Times New Roman" w:hAnsi="Times New Roman"/>
          <w:sz w:val="28"/>
          <w:szCs w:val="28"/>
        </w:rPr>
        <w:t>(Ministru kabineta 2013.gada 12.jūnija rīkojums Nr.247)</w:t>
      </w:r>
      <w:r w:rsidR="001F2259" w:rsidRPr="00B86E9B">
        <w:rPr>
          <w:rFonts w:ascii="Times New Roman" w:hAnsi="Times New Roman"/>
          <w:sz w:val="28"/>
          <w:szCs w:val="28"/>
        </w:rPr>
        <w:t>;</w:t>
      </w:r>
    </w:p>
    <w:p w:rsidR="008A6720" w:rsidRPr="00B86E9B" w:rsidRDefault="008A6720" w:rsidP="008A6720">
      <w:pPr>
        <w:pStyle w:val="Sarakstarindkopa"/>
        <w:numPr>
          <w:ilvl w:val="0"/>
          <w:numId w:val="41"/>
        </w:numPr>
        <w:spacing w:after="0" w:line="240" w:lineRule="auto"/>
        <w:ind w:left="1077" w:hanging="357"/>
        <w:jc w:val="both"/>
        <w:rPr>
          <w:rFonts w:ascii="Times New Roman" w:hAnsi="Times New Roman"/>
          <w:sz w:val="28"/>
          <w:szCs w:val="28"/>
        </w:rPr>
      </w:pPr>
      <w:r w:rsidRPr="00B86E9B">
        <w:rPr>
          <w:rFonts w:ascii="Times New Roman" w:hAnsi="Times New Roman"/>
          <w:sz w:val="28"/>
          <w:szCs w:val="28"/>
        </w:rPr>
        <w:t xml:space="preserve">4 633 448 latu apmērā </w:t>
      </w:r>
      <w:r w:rsidR="00275B93" w:rsidRPr="00B86E9B">
        <w:rPr>
          <w:rFonts w:ascii="Times New Roman" w:hAnsi="Times New Roman"/>
          <w:sz w:val="28"/>
          <w:szCs w:val="28"/>
        </w:rPr>
        <w:t>veselības aprūpes pakalpojumu pieejamības uzlabošanai (Ministru kabineta 2013.gada 4.oktobra rīkojums Nr.459)</w:t>
      </w:r>
      <w:r w:rsidRPr="00B86E9B">
        <w:rPr>
          <w:rFonts w:ascii="Times New Roman" w:hAnsi="Times New Roman"/>
          <w:sz w:val="28"/>
          <w:szCs w:val="28"/>
        </w:rPr>
        <w:t>;</w:t>
      </w:r>
    </w:p>
    <w:p w:rsidR="008A6720" w:rsidRPr="00B86E9B" w:rsidRDefault="008A6720" w:rsidP="008A6720">
      <w:pPr>
        <w:pStyle w:val="Sarakstarindkopa"/>
        <w:numPr>
          <w:ilvl w:val="0"/>
          <w:numId w:val="41"/>
        </w:numPr>
        <w:spacing w:after="0" w:line="240" w:lineRule="auto"/>
        <w:ind w:left="1077" w:hanging="357"/>
        <w:jc w:val="both"/>
        <w:rPr>
          <w:rFonts w:ascii="Times New Roman" w:hAnsi="Times New Roman"/>
          <w:sz w:val="28"/>
          <w:szCs w:val="28"/>
        </w:rPr>
      </w:pPr>
      <w:r w:rsidRPr="00B86E9B">
        <w:rPr>
          <w:rFonts w:ascii="Times New Roman" w:hAnsi="Times New Roman"/>
          <w:sz w:val="28"/>
          <w:szCs w:val="28"/>
        </w:rPr>
        <w:t xml:space="preserve"> 5 332 132 latu apmērā </w:t>
      </w:r>
      <w:r w:rsidR="00275B93" w:rsidRPr="00B86E9B">
        <w:rPr>
          <w:rFonts w:ascii="Times New Roman" w:hAnsi="Times New Roman"/>
          <w:sz w:val="28"/>
          <w:szCs w:val="28"/>
        </w:rPr>
        <w:t>stacionāro ārstniecības iestāžu infrastruktūras uzturēšanas izdevumu deficīta segšanai (Ministru kabineta 2013.ga</w:t>
      </w:r>
      <w:r w:rsidRPr="00B86E9B">
        <w:rPr>
          <w:rFonts w:ascii="Times New Roman" w:hAnsi="Times New Roman"/>
          <w:sz w:val="28"/>
          <w:szCs w:val="28"/>
        </w:rPr>
        <w:t>da 20.decembra rīkojums Nr.674)</w:t>
      </w:r>
    </w:p>
    <w:p w:rsidR="00275B93" w:rsidRPr="00B86E9B" w:rsidRDefault="00DD08F8" w:rsidP="008A6720">
      <w:pPr>
        <w:jc w:val="both"/>
        <w:rPr>
          <w:sz w:val="28"/>
          <w:szCs w:val="28"/>
        </w:rPr>
      </w:pPr>
      <w:r w:rsidRPr="00B86E9B">
        <w:rPr>
          <w:sz w:val="28"/>
          <w:szCs w:val="28"/>
        </w:rPr>
        <w:t>ministrija plāno, ka 2013.gadā Kapitālsabiedrīb</w:t>
      </w:r>
      <w:r w:rsidR="00F27C7E" w:rsidRPr="00B86E9B">
        <w:rPr>
          <w:sz w:val="28"/>
          <w:szCs w:val="28"/>
        </w:rPr>
        <w:t>u</w:t>
      </w:r>
      <w:r w:rsidR="00275B93" w:rsidRPr="00B86E9B">
        <w:rPr>
          <w:sz w:val="28"/>
          <w:szCs w:val="28"/>
        </w:rPr>
        <w:t xml:space="preserve"> </w:t>
      </w:r>
      <w:r w:rsidR="0098412E" w:rsidRPr="00B86E9B">
        <w:rPr>
          <w:sz w:val="28"/>
          <w:szCs w:val="28"/>
        </w:rPr>
        <w:t xml:space="preserve">un arī citu ārstniecības iestāžu </w:t>
      </w:r>
      <w:r w:rsidR="00275B93" w:rsidRPr="00B86E9B">
        <w:rPr>
          <w:sz w:val="28"/>
          <w:szCs w:val="28"/>
        </w:rPr>
        <w:t>darbības</w:t>
      </w:r>
      <w:r w:rsidR="00DB3608" w:rsidRPr="00B86E9B">
        <w:rPr>
          <w:sz w:val="28"/>
          <w:szCs w:val="28"/>
        </w:rPr>
        <w:t xml:space="preserve"> finansiālie</w:t>
      </w:r>
      <w:r w:rsidR="00275B93" w:rsidRPr="00B86E9B">
        <w:rPr>
          <w:sz w:val="28"/>
          <w:szCs w:val="28"/>
        </w:rPr>
        <w:t xml:space="preserve"> rādītāji uzlabosies.</w:t>
      </w:r>
    </w:p>
    <w:p w:rsidR="00AA33A9" w:rsidRPr="00B86E9B" w:rsidRDefault="00AA33A9" w:rsidP="00275B93">
      <w:pPr>
        <w:tabs>
          <w:tab w:val="left" w:pos="284"/>
        </w:tabs>
        <w:jc w:val="both"/>
        <w:rPr>
          <w:color w:val="548DD4" w:themeColor="text2" w:themeTint="99"/>
          <w:sz w:val="28"/>
          <w:szCs w:val="28"/>
        </w:rPr>
      </w:pPr>
      <w:r w:rsidRPr="00B86E9B">
        <w:rPr>
          <w:sz w:val="28"/>
          <w:szCs w:val="28"/>
          <w:lang w:eastAsia="lv-LV"/>
        </w:rPr>
        <w:tab/>
      </w:r>
      <w:r w:rsidRPr="00B86E9B">
        <w:rPr>
          <w:sz w:val="28"/>
          <w:szCs w:val="28"/>
          <w:lang w:eastAsia="lv-LV"/>
        </w:rPr>
        <w:tab/>
      </w:r>
      <w:r w:rsidR="004C46AB" w:rsidRPr="00B86E9B">
        <w:rPr>
          <w:sz w:val="28"/>
          <w:szCs w:val="28"/>
        </w:rPr>
        <w:t>2014.gadā</w:t>
      </w:r>
      <w:r w:rsidR="0099789E" w:rsidRPr="00B86E9B">
        <w:rPr>
          <w:sz w:val="28"/>
          <w:szCs w:val="28"/>
        </w:rPr>
        <w:t>,</w:t>
      </w:r>
      <w:r w:rsidR="004C46AB" w:rsidRPr="00B86E9B">
        <w:rPr>
          <w:sz w:val="28"/>
          <w:szCs w:val="28"/>
        </w:rPr>
        <w:t xml:space="preserve"> </w:t>
      </w:r>
      <w:r w:rsidRPr="00B86E9B">
        <w:rPr>
          <w:sz w:val="28"/>
          <w:szCs w:val="28"/>
        </w:rPr>
        <w:t>saistībā</w:t>
      </w:r>
      <w:r w:rsidR="004C46AB" w:rsidRPr="00B86E9B">
        <w:rPr>
          <w:sz w:val="28"/>
          <w:szCs w:val="28"/>
        </w:rPr>
        <w:t xml:space="preserve"> </w:t>
      </w:r>
      <w:r w:rsidRPr="00B86E9B">
        <w:rPr>
          <w:sz w:val="28"/>
          <w:szCs w:val="28"/>
        </w:rPr>
        <w:t>ar</w:t>
      </w:r>
      <w:r w:rsidR="004C46AB" w:rsidRPr="00B86E9B">
        <w:rPr>
          <w:sz w:val="28"/>
          <w:szCs w:val="28"/>
        </w:rPr>
        <w:t xml:space="preserve"> papildus piešķirto </w:t>
      </w:r>
      <w:r w:rsidR="00A349EB" w:rsidRPr="00B86E9B">
        <w:rPr>
          <w:sz w:val="28"/>
          <w:szCs w:val="28"/>
        </w:rPr>
        <w:t xml:space="preserve">valsts budžeta </w:t>
      </w:r>
      <w:r w:rsidR="004C46AB" w:rsidRPr="00B86E9B">
        <w:rPr>
          <w:sz w:val="28"/>
          <w:szCs w:val="28"/>
        </w:rPr>
        <w:t>finansējum</w:t>
      </w:r>
      <w:r w:rsidR="00A349EB" w:rsidRPr="00B86E9B">
        <w:rPr>
          <w:sz w:val="28"/>
          <w:szCs w:val="28"/>
        </w:rPr>
        <w:t>u</w:t>
      </w:r>
      <w:r w:rsidR="004C46AB" w:rsidRPr="00B86E9B">
        <w:rPr>
          <w:sz w:val="28"/>
          <w:szCs w:val="28"/>
        </w:rPr>
        <w:t xml:space="preserve"> </w:t>
      </w:r>
      <w:r w:rsidRPr="00B86E9B">
        <w:rPr>
          <w:sz w:val="28"/>
          <w:szCs w:val="28"/>
        </w:rPr>
        <w:t xml:space="preserve"> ārstniecības perso</w:t>
      </w:r>
      <w:r w:rsidR="00817D5F" w:rsidRPr="00B86E9B">
        <w:rPr>
          <w:sz w:val="28"/>
          <w:szCs w:val="28"/>
        </w:rPr>
        <w:t>nu darba samaksas paaugstināšanai</w:t>
      </w:r>
      <w:r w:rsidRPr="00B86E9B">
        <w:rPr>
          <w:sz w:val="28"/>
          <w:szCs w:val="28"/>
        </w:rPr>
        <w:t xml:space="preserve"> (tarifa elementi D un S) un citu </w:t>
      </w:r>
      <w:r w:rsidR="00183BB5" w:rsidRPr="00B86E9B">
        <w:rPr>
          <w:sz w:val="28"/>
          <w:szCs w:val="28"/>
        </w:rPr>
        <w:t>veselības aprūpes pakalpojumu tarifu</w:t>
      </w:r>
      <w:r w:rsidR="00817D5F" w:rsidRPr="00B86E9B">
        <w:rPr>
          <w:sz w:val="28"/>
          <w:szCs w:val="28"/>
        </w:rPr>
        <w:t xml:space="preserve"> elementu paaugstināšanai</w:t>
      </w:r>
      <w:r w:rsidRPr="00B86E9B">
        <w:rPr>
          <w:sz w:val="28"/>
          <w:szCs w:val="28"/>
        </w:rPr>
        <w:t xml:space="preserve"> (E –izdevumi, kas saistīti ar pacientu ēdināšanu; U – pieskaitāmās un netiešās ražošanas izmaksas; A – administratīvie izdevumi)</w:t>
      </w:r>
      <w:r w:rsidR="0099789E" w:rsidRPr="00B86E9B">
        <w:rPr>
          <w:sz w:val="28"/>
          <w:szCs w:val="28"/>
        </w:rPr>
        <w:t>,</w:t>
      </w:r>
      <w:r w:rsidRPr="00B86E9B">
        <w:rPr>
          <w:sz w:val="28"/>
          <w:szCs w:val="28"/>
        </w:rPr>
        <w:t xml:space="preserve"> </w:t>
      </w:r>
      <w:r w:rsidR="007F1A1B" w:rsidRPr="00B86E9B">
        <w:rPr>
          <w:sz w:val="28"/>
          <w:szCs w:val="28"/>
        </w:rPr>
        <w:t>tarifi</w:t>
      </w:r>
      <w:r w:rsidR="00016867" w:rsidRPr="00B86E9B">
        <w:rPr>
          <w:sz w:val="28"/>
          <w:szCs w:val="28"/>
        </w:rPr>
        <w:t xml:space="preserve"> atbilstoši Ministru kabineta 2013.gada 17.decembra noteikumiem Nr.1529 „Veselības aprūpes organizēšanas un finansēšanas kārtība”</w:t>
      </w:r>
      <w:r w:rsidR="007F1A1B" w:rsidRPr="00B86E9B">
        <w:rPr>
          <w:sz w:val="28"/>
          <w:szCs w:val="28"/>
        </w:rPr>
        <w:t xml:space="preserve"> </w:t>
      </w:r>
      <w:r w:rsidRPr="00B86E9B">
        <w:rPr>
          <w:sz w:val="28"/>
          <w:szCs w:val="28"/>
        </w:rPr>
        <w:t>tiks palielināti vidēji par 5% - 6% (robežās no 1% līdz 16%, ko ietekmē tarifa el</w:t>
      </w:r>
      <w:r w:rsidR="005E2503" w:rsidRPr="00B86E9B">
        <w:rPr>
          <w:sz w:val="28"/>
          <w:szCs w:val="28"/>
        </w:rPr>
        <w:t xml:space="preserve">ementu D un S īpatsvars </w:t>
      </w:r>
      <w:r w:rsidR="007474F0" w:rsidRPr="00B86E9B">
        <w:rPr>
          <w:sz w:val="28"/>
          <w:szCs w:val="28"/>
        </w:rPr>
        <w:t xml:space="preserve">konkrētā pakalpojuma vai programmas </w:t>
      </w:r>
      <w:r w:rsidR="005E2503" w:rsidRPr="00B86E9B">
        <w:rPr>
          <w:sz w:val="28"/>
          <w:szCs w:val="28"/>
        </w:rPr>
        <w:t xml:space="preserve">tarifā), </w:t>
      </w:r>
      <w:r w:rsidR="00BA3A8A" w:rsidRPr="00B86E9B">
        <w:rPr>
          <w:sz w:val="28"/>
          <w:szCs w:val="28"/>
        </w:rPr>
        <w:t>kas atvieglos Kapitālsabiedrību darbību</w:t>
      </w:r>
      <w:r w:rsidR="00AC5AFB" w:rsidRPr="00B86E9B">
        <w:rPr>
          <w:sz w:val="28"/>
          <w:szCs w:val="28"/>
        </w:rPr>
        <w:t xml:space="preserve">, </w:t>
      </w:r>
      <w:r w:rsidR="00AC5AFB" w:rsidRPr="00B86E9B">
        <w:rPr>
          <w:sz w:val="28"/>
          <w:szCs w:val="28"/>
        </w:rPr>
        <w:lastRenderedPageBreak/>
        <w:t>lai gan ņemot vērā 2014.gadā plānotās resursu izmaksu palielināšanas</w:t>
      </w:r>
      <w:r w:rsidR="00261F12" w:rsidRPr="00B86E9B">
        <w:rPr>
          <w:sz w:val="28"/>
          <w:szCs w:val="28"/>
        </w:rPr>
        <w:t>, finansiālā ietekme no šī pasākuma varētu būt neliela.</w:t>
      </w:r>
    </w:p>
    <w:p w:rsidR="003B002A" w:rsidRPr="00B86E9B" w:rsidRDefault="003B002A" w:rsidP="009202C8">
      <w:pPr>
        <w:ind w:firstLine="709"/>
        <w:jc w:val="both"/>
        <w:rPr>
          <w:sz w:val="28"/>
          <w:szCs w:val="28"/>
          <w:lang w:eastAsia="lv-LV"/>
        </w:rPr>
      </w:pPr>
    </w:p>
    <w:p w:rsidR="000F6ED4" w:rsidRPr="00B86E9B" w:rsidRDefault="000F6ED4" w:rsidP="009202C8">
      <w:pPr>
        <w:ind w:firstLine="709"/>
        <w:jc w:val="both"/>
        <w:rPr>
          <w:sz w:val="28"/>
          <w:szCs w:val="28"/>
          <w:lang w:eastAsia="lv-LV"/>
        </w:rPr>
      </w:pPr>
    </w:p>
    <w:p w:rsidR="0062138D" w:rsidRPr="00B86E9B" w:rsidRDefault="0062138D">
      <w:pPr>
        <w:spacing w:after="200" w:line="276" w:lineRule="auto"/>
        <w:rPr>
          <w:b/>
          <w:sz w:val="32"/>
          <w:szCs w:val="32"/>
        </w:rPr>
      </w:pPr>
      <w:r w:rsidRPr="00B86E9B">
        <w:rPr>
          <w:sz w:val="32"/>
          <w:szCs w:val="32"/>
        </w:rPr>
        <w:br w:type="page"/>
      </w:r>
    </w:p>
    <w:p w:rsidR="003B002A" w:rsidRPr="00B86E9B" w:rsidRDefault="00921808" w:rsidP="003B002A">
      <w:pPr>
        <w:pStyle w:val="Virsraksts1"/>
        <w:numPr>
          <w:ilvl w:val="0"/>
          <w:numId w:val="5"/>
        </w:numPr>
        <w:spacing w:before="0" w:after="0"/>
        <w:rPr>
          <w:sz w:val="32"/>
          <w:szCs w:val="32"/>
        </w:rPr>
      </w:pPr>
      <w:r w:rsidRPr="00B86E9B">
        <w:rPr>
          <w:sz w:val="32"/>
          <w:szCs w:val="32"/>
        </w:rPr>
        <w:lastRenderedPageBreak/>
        <w:t>Izvērsta analīze par K</w:t>
      </w:r>
      <w:r w:rsidR="003B002A" w:rsidRPr="00B86E9B">
        <w:rPr>
          <w:sz w:val="32"/>
          <w:szCs w:val="32"/>
        </w:rPr>
        <w:t>apitālsabiedrībām, kas 2012.gadu ir noslēgušas ar zaudējumiem</w:t>
      </w:r>
    </w:p>
    <w:p w:rsidR="003B002A" w:rsidRPr="00B86E9B" w:rsidRDefault="003B002A" w:rsidP="009202C8">
      <w:pPr>
        <w:ind w:firstLine="709"/>
        <w:jc w:val="both"/>
        <w:rPr>
          <w:sz w:val="28"/>
          <w:szCs w:val="28"/>
        </w:rPr>
      </w:pPr>
    </w:p>
    <w:p w:rsidR="00D02D8F" w:rsidRPr="00B86E9B" w:rsidRDefault="00D02D8F" w:rsidP="00D02D8F">
      <w:pPr>
        <w:pStyle w:val="Virsraksts2"/>
        <w:numPr>
          <w:ilvl w:val="1"/>
          <w:numId w:val="7"/>
        </w:numPr>
        <w:spacing w:before="0" w:after="0"/>
      </w:pPr>
      <w:r w:rsidRPr="00B86E9B">
        <w:t>VSIA „Paula Stradiņa klīniskā universitātes slimnīca”</w:t>
      </w:r>
    </w:p>
    <w:p w:rsidR="00D02D8F" w:rsidRPr="00B86E9B" w:rsidRDefault="00D02D8F" w:rsidP="00D02D8F">
      <w:pPr>
        <w:rPr>
          <w:sz w:val="28"/>
          <w:szCs w:val="28"/>
        </w:rPr>
      </w:pPr>
    </w:p>
    <w:p w:rsidR="00D02D8F" w:rsidRPr="00B86E9B" w:rsidRDefault="00D02D8F" w:rsidP="00D02D8F">
      <w:pPr>
        <w:pStyle w:val="Virsraksts3"/>
        <w:numPr>
          <w:ilvl w:val="2"/>
          <w:numId w:val="7"/>
        </w:numPr>
        <w:spacing w:before="0" w:after="0"/>
        <w:ind w:left="1418"/>
      </w:pPr>
      <w:r w:rsidRPr="00B86E9B">
        <w:t>Vispārēja informācija</w:t>
      </w:r>
    </w:p>
    <w:p w:rsidR="008D1471" w:rsidRPr="00B86E9B" w:rsidRDefault="008D1471" w:rsidP="009202C8">
      <w:pPr>
        <w:ind w:firstLine="709"/>
        <w:jc w:val="both"/>
        <w:rPr>
          <w:sz w:val="28"/>
          <w:szCs w:val="28"/>
        </w:rPr>
      </w:pPr>
    </w:p>
    <w:p w:rsidR="00D02D8F" w:rsidRPr="00B86E9B" w:rsidRDefault="001A73ED" w:rsidP="009202C8">
      <w:pPr>
        <w:ind w:firstLine="709"/>
        <w:jc w:val="both"/>
        <w:rPr>
          <w:sz w:val="28"/>
          <w:szCs w:val="28"/>
        </w:rPr>
      </w:pPr>
      <w:r w:rsidRPr="00B86E9B">
        <w:rPr>
          <w:sz w:val="28"/>
          <w:szCs w:val="28"/>
        </w:rPr>
        <w:t>VSIA</w:t>
      </w:r>
      <w:r w:rsidR="00536CB4" w:rsidRPr="00B86E9B">
        <w:rPr>
          <w:sz w:val="28"/>
          <w:szCs w:val="28"/>
        </w:rPr>
        <w:t xml:space="preserve"> „Paula Stradiņa klīniskā universitātes slimnīca” (turpmāk – PSKUS) galvenie darbības virzieni ir sekundārā un terciārā līmeņa ambulatora un stacionāra veselības aprūpe (neatliekamā un plānveida), studentu un rezidentu apmācība, veselības aprūpes speciālistu tālākizglītība, zinātniskā un pētnieciskā darbība. PSKUS veic pacientu ārstēšanu stacionārā 26 dažādos profilos. No tiem</w:t>
      </w:r>
      <w:r w:rsidR="00F52B0B" w:rsidRPr="00B86E9B">
        <w:rPr>
          <w:sz w:val="28"/>
          <w:szCs w:val="28"/>
        </w:rPr>
        <w:t>, piemēram,</w:t>
      </w:r>
      <w:r w:rsidR="00536CB4" w:rsidRPr="00B86E9B">
        <w:rPr>
          <w:sz w:val="28"/>
          <w:szCs w:val="28"/>
        </w:rPr>
        <w:t xml:space="preserve"> sirds ķirurģijas un transplantācijas profilos PSKUS ir vienīgais pakalpojumu sniedzējs Latvijā.</w:t>
      </w:r>
    </w:p>
    <w:p w:rsidR="00E619BF" w:rsidRPr="00B86E9B" w:rsidRDefault="00E619BF" w:rsidP="009202C8">
      <w:pPr>
        <w:ind w:firstLine="709"/>
        <w:jc w:val="both"/>
        <w:rPr>
          <w:sz w:val="28"/>
          <w:szCs w:val="28"/>
        </w:rPr>
      </w:pPr>
    </w:p>
    <w:p w:rsidR="00CE5EF7" w:rsidRPr="00B86E9B" w:rsidRDefault="00CE5EF7" w:rsidP="00CE5EF7">
      <w:pPr>
        <w:pStyle w:val="Virsraksts3"/>
        <w:numPr>
          <w:ilvl w:val="2"/>
          <w:numId w:val="7"/>
        </w:numPr>
        <w:spacing w:before="0" w:after="0"/>
        <w:ind w:left="1418"/>
      </w:pPr>
      <w:r w:rsidRPr="00B86E9B">
        <w:t>Saimnieciskās darbības analīze</w:t>
      </w:r>
    </w:p>
    <w:p w:rsidR="00E619BF" w:rsidRPr="00B86E9B" w:rsidRDefault="00E619BF" w:rsidP="009202C8">
      <w:pPr>
        <w:ind w:firstLine="709"/>
        <w:jc w:val="both"/>
        <w:rPr>
          <w:sz w:val="28"/>
          <w:szCs w:val="28"/>
        </w:rPr>
      </w:pPr>
    </w:p>
    <w:p w:rsidR="00CE5EF7" w:rsidRPr="00B86E9B" w:rsidRDefault="00CE5EF7" w:rsidP="00CE5EF7">
      <w:pPr>
        <w:ind w:firstLine="720"/>
        <w:jc w:val="both"/>
        <w:rPr>
          <w:sz w:val="28"/>
          <w:szCs w:val="28"/>
        </w:rPr>
      </w:pPr>
      <w:r w:rsidRPr="00B86E9B">
        <w:rPr>
          <w:sz w:val="28"/>
          <w:szCs w:val="28"/>
        </w:rPr>
        <w:t>PSKUS galveno finanšu rādītāju tendences 2012.gadā salīdzinot ar 2011.gada rādītājiem ir pozitīvas:</w:t>
      </w:r>
    </w:p>
    <w:p w:rsidR="00CE5EF7" w:rsidRPr="00B86E9B" w:rsidRDefault="00CE5EF7" w:rsidP="00CE5EF7">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apgrozījums ir palielinājies par 1 954 141 LVL (3,7%);</w:t>
      </w:r>
    </w:p>
    <w:p w:rsidR="00CE5EF7" w:rsidRPr="00B86E9B" w:rsidRDefault="00CE5EF7" w:rsidP="00CE5EF7">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zaudējumi ir samazinājušies par 6 428 944 LVL (72,1%);</w:t>
      </w:r>
    </w:p>
    <w:p w:rsidR="00CE5EF7" w:rsidRPr="00B86E9B" w:rsidRDefault="00CE5EF7" w:rsidP="00CE5EF7">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pašu kapitāls ir palielinājies par 7 516 813 LVL un kļuvis pozitīvs, ko ir nodrošinājusi pamatkapitāla palielināšana par 10 000 000 LVL;</w:t>
      </w:r>
    </w:p>
    <w:p w:rsidR="00CE5EF7" w:rsidRPr="00B86E9B" w:rsidRDefault="00CE5EF7" w:rsidP="00CE5EF7">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kreditoru saistības ir samazinājušās par 5 211 501 LVL (7,4%);</w:t>
      </w:r>
    </w:p>
    <w:p w:rsidR="00CE5EF7" w:rsidRPr="00B86E9B" w:rsidRDefault="00CE5EF7" w:rsidP="00CE5EF7">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likviditāte (Vispārējais apgrozāmo līdzekļu koeficients) ir palielinājusies par 1,03 procentpunktiem;</w:t>
      </w:r>
    </w:p>
    <w:p w:rsidR="00CE5EF7" w:rsidRPr="00B86E9B" w:rsidRDefault="00CE5EF7" w:rsidP="00CE5EF7">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rentabilitāte ir palielinājusies par 7 procentpunktiem.</w:t>
      </w:r>
    </w:p>
    <w:p w:rsidR="00CE5EF7" w:rsidRPr="00B86E9B" w:rsidRDefault="00CE5EF7" w:rsidP="00CE5EF7">
      <w:pPr>
        <w:rPr>
          <w:sz w:val="28"/>
          <w:szCs w:val="28"/>
        </w:rPr>
      </w:pPr>
    </w:p>
    <w:p w:rsidR="00CE5EF7" w:rsidRPr="00B86E9B" w:rsidRDefault="00CE5EF7" w:rsidP="00CE5EF7">
      <w:pPr>
        <w:autoSpaceDE w:val="0"/>
        <w:autoSpaceDN w:val="0"/>
        <w:adjustRightInd w:val="0"/>
        <w:ind w:firstLine="720"/>
        <w:jc w:val="right"/>
        <w:rPr>
          <w:i/>
          <w:sz w:val="28"/>
          <w:szCs w:val="28"/>
        </w:rPr>
      </w:pPr>
      <w:r w:rsidRPr="00B86E9B">
        <w:rPr>
          <w:i/>
          <w:sz w:val="28"/>
          <w:szCs w:val="28"/>
        </w:rPr>
        <w:t>Tabula Nr.2:PSKUS galvenie finanšu rādītāji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2240"/>
        <w:gridCol w:w="2054"/>
      </w:tblGrid>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p>
        </w:tc>
        <w:tc>
          <w:tcPr>
            <w:tcW w:w="2302" w:type="dxa"/>
            <w:shd w:val="clear" w:color="auto" w:fill="auto"/>
          </w:tcPr>
          <w:p w:rsidR="00CE5EF7" w:rsidRPr="00B86E9B" w:rsidRDefault="00CE5EF7" w:rsidP="00F519F5">
            <w:pPr>
              <w:shd w:val="clear" w:color="auto" w:fill="FFFFFF"/>
              <w:jc w:val="center"/>
              <w:rPr>
                <w:sz w:val="26"/>
                <w:szCs w:val="26"/>
              </w:rPr>
            </w:pPr>
            <w:r w:rsidRPr="00B86E9B">
              <w:rPr>
                <w:sz w:val="26"/>
                <w:szCs w:val="26"/>
              </w:rPr>
              <w:t>2012.gads</w:t>
            </w:r>
          </w:p>
        </w:tc>
        <w:tc>
          <w:tcPr>
            <w:tcW w:w="2104" w:type="dxa"/>
            <w:shd w:val="clear" w:color="auto" w:fill="auto"/>
          </w:tcPr>
          <w:p w:rsidR="00CE5EF7" w:rsidRPr="00B86E9B" w:rsidRDefault="00CE5EF7" w:rsidP="00F519F5">
            <w:pPr>
              <w:shd w:val="clear" w:color="auto" w:fill="FFFFFF"/>
              <w:jc w:val="center"/>
              <w:rPr>
                <w:sz w:val="26"/>
                <w:szCs w:val="26"/>
              </w:rPr>
            </w:pPr>
            <w:r w:rsidRPr="00B86E9B">
              <w:rPr>
                <w:sz w:val="26"/>
                <w:szCs w:val="26"/>
              </w:rPr>
              <w:t>2011.gads</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Apgrozījums [LVL]</w:t>
            </w:r>
          </w:p>
        </w:tc>
        <w:tc>
          <w:tcPr>
            <w:tcW w:w="2302" w:type="dxa"/>
          </w:tcPr>
          <w:p w:rsidR="00CE5EF7" w:rsidRPr="00B86E9B" w:rsidRDefault="00CE5EF7" w:rsidP="00F519F5">
            <w:pPr>
              <w:shd w:val="clear" w:color="auto" w:fill="FFFFFF"/>
              <w:jc w:val="center"/>
              <w:rPr>
                <w:sz w:val="26"/>
                <w:szCs w:val="26"/>
              </w:rPr>
            </w:pPr>
            <w:r w:rsidRPr="00B86E9B">
              <w:rPr>
                <w:sz w:val="26"/>
                <w:szCs w:val="26"/>
              </w:rPr>
              <w:t>55 344 652</w:t>
            </w:r>
          </w:p>
        </w:tc>
        <w:tc>
          <w:tcPr>
            <w:tcW w:w="2104" w:type="dxa"/>
          </w:tcPr>
          <w:p w:rsidR="00CE5EF7" w:rsidRPr="00B86E9B" w:rsidRDefault="00CE5EF7" w:rsidP="00F519F5">
            <w:pPr>
              <w:jc w:val="center"/>
              <w:rPr>
                <w:sz w:val="26"/>
                <w:szCs w:val="26"/>
              </w:rPr>
            </w:pPr>
            <w:r w:rsidRPr="00B86E9B">
              <w:rPr>
                <w:sz w:val="26"/>
                <w:szCs w:val="26"/>
              </w:rPr>
              <w:t>53 390 511</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Peļņa vai zaudējumi pēc nodokļiem [LVL]</w:t>
            </w:r>
          </w:p>
        </w:tc>
        <w:tc>
          <w:tcPr>
            <w:tcW w:w="2302" w:type="dxa"/>
          </w:tcPr>
          <w:p w:rsidR="00CE5EF7" w:rsidRPr="00B86E9B" w:rsidRDefault="00CE5EF7" w:rsidP="00F519F5">
            <w:pPr>
              <w:shd w:val="clear" w:color="auto" w:fill="FFFFFF"/>
              <w:jc w:val="center"/>
              <w:rPr>
                <w:sz w:val="26"/>
                <w:szCs w:val="26"/>
              </w:rPr>
            </w:pPr>
            <w:r w:rsidRPr="00B86E9B">
              <w:rPr>
                <w:sz w:val="26"/>
                <w:szCs w:val="26"/>
              </w:rPr>
              <w:t>-2 482 119</w:t>
            </w:r>
          </w:p>
        </w:tc>
        <w:tc>
          <w:tcPr>
            <w:tcW w:w="2104" w:type="dxa"/>
          </w:tcPr>
          <w:p w:rsidR="00CE5EF7" w:rsidRPr="00B86E9B" w:rsidRDefault="00CE5EF7" w:rsidP="00F519F5">
            <w:pPr>
              <w:jc w:val="center"/>
              <w:rPr>
                <w:sz w:val="26"/>
                <w:szCs w:val="26"/>
              </w:rPr>
            </w:pPr>
            <w:r w:rsidRPr="00B86E9B">
              <w:rPr>
                <w:sz w:val="26"/>
                <w:szCs w:val="26"/>
              </w:rPr>
              <w:t>-8 911 063</w:t>
            </w:r>
          </w:p>
        </w:tc>
      </w:tr>
      <w:tr w:rsidR="00CE5EF7" w:rsidRPr="00B86E9B" w:rsidTr="00314D0F">
        <w:trPr>
          <w:trHeight w:val="337"/>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Pašu kapitāls [LVL]</w:t>
            </w:r>
          </w:p>
        </w:tc>
        <w:tc>
          <w:tcPr>
            <w:tcW w:w="2302" w:type="dxa"/>
          </w:tcPr>
          <w:p w:rsidR="00CE5EF7" w:rsidRPr="00B86E9B" w:rsidRDefault="00CE5EF7" w:rsidP="00F519F5">
            <w:pPr>
              <w:jc w:val="center"/>
              <w:rPr>
                <w:rFonts w:cs="Calibri"/>
                <w:bCs/>
                <w:sz w:val="26"/>
                <w:szCs w:val="26"/>
              </w:rPr>
            </w:pPr>
            <w:r w:rsidRPr="00B86E9B">
              <w:rPr>
                <w:rFonts w:cs="Calibri"/>
                <w:bCs/>
                <w:sz w:val="26"/>
                <w:szCs w:val="26"/>
              </w:rPr>
              <w:t>5 875 881</w:t>
            </w:r>
          </w:p>
        </w:tc>
        <w:tc>
          <w:tcPr>
            <w:tcW w:w="2104" w:type="dxa"/>
          </w:tcPr>
          <w:p w:rsidR="00CE5EF7" w:rsidRPr="00B86E9B" w:rsidRDefault="00CE5EF7" w:rsidP="00F519F5">
            <w:pPr>
              <w:jc w:val="center"/>
              <w:rPr>
                <w:sz w:val="26"/>
                <w:szCs w:val="26"/>
              </w:rPr>
            </w:pPr>
            <w:r w:rsidRPr="00B86E9B">
              <w:rPr>
                <w:sz w:val="26"/>
                <w:szCs w:val="26"/>
              </w:rPr>
              <w:t>-1 640 932</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Uzkrājumi [LVL]</w:t>
            </w:r>
          </w:p>
        </w:tc>
        <w:tc>
          <w:tcPr>
            <w:tcW w:w="2302" w:type="dxa"/>
          </w:tcPr>
          <w:p w:rsidR="00CE5EF7" w:rsidRPr="00B86E9B" w:rsidRDefault="00CE5EF7" w:rsidP="00F519F5">
            <w:pPr>
              <w:shd w:val="clear" w:color="auto" w:fill="FFFFFF"/>
              <w:jc w:val="center"/>
              <w:rPr>
                <w:sz w:val="26"/>
                <w:szCs w:val="26"/>
              </w:rPr>
            </w:pPr>
            <w:r w:rsidRPr="00B86E9B">
              <w:rPr>
                <w:sz w:val="26"/>
                <w:szCs w:val="26"/>
              </w:rPr>
              <w:t>1 781 358</w:t>
            </w:r>
          </w:p>
        </w:tc>
        <w:tc>
          <w:tcPr>
            <w:tcW w:w="2104" w:type="dxa"/>
          </w:tcPr>
          <w:p w:rsidR="00CE5EF7" w:rsidRPr="00B86E9B" w:rsidRDefault="00CE5EF7" w:rsidP="00F519F5">
            <w:pPr>
              <w:jc w:val="center"/>
              <w:rPr>
                <w:iCs/>
                <w:sz w:val="26"/>
                <w:szCs w:val="26"/>
              </w:rPr>
            </w:pPr>
            <w:r w:rsidRPr="00B86E9B">
              <w:rPr>
                <w:iCs/>
                <w:sz w:val="26"/>
                <w:szCs w:val="26"/>
              </w:rPr>
              <w:t>1 686 467</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Kreditori [LVL]</w:t>
            </w:r>
          </w:p>
        </w:tc>
        <w:tc>
          <w:tcPr>
            <w:tcW w:w="2302" w:type="dxa"/>
          </w:tcPr>
          <w:p w:rsidR="00CE5EF7" w:rsidRPr="00B86E9B" w:rsidRDefault="00CE5EF7" w:rsidP="00F519F5">
            <w:pPr>
              <w:shd w:val="clear" w:color="auto" w:fill="FFFFFF"/>
              <w:jc w:val="center"/>
              <w:rPr>
                <w:sz w:val="26"/>
                <w:szCs w:val="26"/>
              </w:rPr>
            </w:pPr>
            <w:r w:rsidRPr="00B86E9B">
              <w:rPr>
                <w:sz w:val="26"/>
                <w:szCs w:val="26"/>
              </w:rPr>
              <w:t>65 410 386</w:t>
            </w:r>
          </w:p>
        </w:tc>
        <w:tc>
          <w:tcPr>
            <w:tcW w:w="2104" w:type="dxa"/>
          </w:tcPr>
          <w:p w:rsidR="00CE5EF7" w:rsidRPr="00B86E9B" w:rsidRDefault="00CE5EF7" w:rsidP="00F519F5">
            <w:pPr>
              <w:jc w:val="center"/>
              <w:rPr>
                <w:sz w:val="26"/>
                <w:szCs w:val="26"/>
              </w:rPr>
            </w:pPr>
            <w:r w:rsidRPr="00B86E9B">
              <w:rPr>
                <w:sz w:val="26"/>
                <w:szCs w:val="26"/>
              </w:rPr>
              <w:t>70 621 887</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Ilgtermiņa ieguldījumi [LVL]</w:t>
            </w:r>
          </w:p>
        </w:tc>
        <w:tc>
          <w:tcPr>
            <w:tcW w:w="2302" w:type="dxa"/>
          </w:tcPr>
          <w:p w:rsidR="00CE5EF7" w:rsidRPr="00B86E9B" w:rsidRDefault="00CE5EF7" w:rsidP="00F519F5">
            <w:pPr>
              <w:jc w:val="center"/>
              <w:rPr>
                <w:rFonts w:cs="Calibri"/>
                <w:bCs/>
                <w:sz w:val="26"/>
                <w:szCs w:val="26"/>
              </w:rPr>
            </w:pPr>
            <w:r w:rsidRPr="00B86E9B">
              <w:rPr>
                <w:sz w:val="26"/>
                <w:szCs w:val="26"/>
              </w:rPr>
              <w:t>32 539 975</w:t>
            </w:r>
          </w:p>
        </w:tc>
        <w:tc>
          <w:tcPr>
            <w:tcW w:w="2104" w:type="dxa"/>
          </w:tcPr>
          <w:p w:rsidR="00CE5EF7" w:rsidRPr="00B86E9B" w:rsidRDefault="00CE5EF7" w:rsidP="00F519F5">
            <w:pPr>
              <w:jc w:val="center"/>
              <w:rPr>
                <w:sz w:val="26"/>
                <w:szCs w:val="26"/>
              </w:rPr>
            </w:pPr>
            <w:r w:rsidRPr="00B86E9B">
              <w:rPr>
                <w:sz w:val="26"/>
                <w:szCs w:val="26"/>
              </w:rPr>
              <w:t>38 471 446</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Apgrozāmie līdzekļi [LVL]</w:t>
            </w:r>
          </w:p>
        </w:tc>
        <w:tc>
          <w:tcPr>
            <w:tcW w:w="2302" w:type="dxa"/>
          </w:tcPr>
          <w:p w:rsidR="00CE5EF7" w:rsidRPr="00B86E9B" w:rsidRDefault="00CE5EF7" w:rsidP="00F519F5">
            <w:pPr>
              <w:shd w:val="clear" w:color="auto" w:fill="FFFFFF"/>
              <w:jc w:val="center"/>
              <w:rPr>
                <w:sz w:val="26"/>
                <w:szCs w:val="26"/>
              </w:rPr>
            </w:pPr>
            <w:r w:rsidRPr="00B86E9B">
              <w:rPr>
                <w:sz w:val="26"/>
                <w:szCs w:val="26"/>
              </w:rPr>
              <w:t>40 527 650</w:t>
            </w:r>
          </w:p>
        </w:tc>
        <w:tc>
          <w:tcPr>
            <w:tcW w:w="2104" w:type="dxa"/>
          </w:tcPr>
          <w:p w:rsidR="00CE5EF7" w:rsidRPr="00B86E9B" w:rsidRDefault="00CE5EF7" w:rsidP="00F519F5">
            <w:pPr>
              <w:jc w:val="center"/>
              <w:rPr>
                <w:sz w:val="26"/>
                <w:szCs w:val="26"/>
              </w:rPr>
            </w:pPr>
            <w:r w:rsidRPr="00B86E9B">
              <w:rPr>
                <w:sz w:val="26"/>
                <w:szCs w:val="26"/>
              </w:rPr>
              <w:t>32 195 976</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Bilances kopsumma [LVL]</w:t>
            </w:r>
          </w:p>
        </w:tc>
        <w:tc>
          <w:tcPr>
            <w:tcW w:w="2302" w:type="dxa"/>
          </w:tcPr>
          <w:p w:rsidR="00CE5EF7" w:rsidRPr="00B86E9B" w:rsidRDefault="00CE5EF7" w:rsidP="00F519F5">
            <w:pPr>
              <w:shd w:val="clear" w:color="auto" w:fill="FFFFFF"/>
              <w:jc w:val="center"/>
              <w:rPr>
                <w:sz w:val="26"/>
                <w:szCs w:val="26"/>
              </w:rPr>
            </w:pPr>
            <w:r w:rsidRPr="00B86E9B">
              <w:rPr>
                <w:sz w:val="26"/>
                <w:szCs w:val="26"/>
              </w:rPr>
              <w:t>73 067 625</w:t>
            </w:r>
          </w:p>
        </w:tc>
        <w:tc>
          <w:tcPr>
            <w:tcW w:w="2104" w:type="dxa"/>
          </w:tcPr>
          <w:p w:rsidR="00CE5EF7" w:rsidRPr="00B86E9B" w:rsidRDefault="00CE5EF7" w:rsidP="00F519F5">
            <w:pPr>
              <w:jc w:val="center"/>
              <w:rPr>
                <w:sz w:val="26"/>
                <w:szCs w:val="26"/>
              </w:rPr>
            </w:pPr>
            <w:r w:rsidRPr="00B86E9B">
              <w:rPr>
                <w:sz w:val="26"/>
                <w:szCs w:val="26"/>
              </w:rPr>
              <w:t>70 667 422</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Likviditāte (Vispārējais apgrozāmo līdzekļu koeficients)</w:t>
            </w:r>
          </w:p>
        </w:tc>
        <w:tc>
          <w:tcPr>
            <w:tcW w:w="2302" w:type="dxa"/>
          </w:tcPr>
          <w:p w:rsidR="00CE5EF7" w:rsidRPr="00B86E9B" w:rsidRDefault="00CE5EF7" w:rsidP="00F519F5">
            <w:pPr>
              <w:jc w:val="center"/>
              <w:rPr>
                <w:sz w:val="26"/>
                <w:szCs w:val="26"/>
              </w:rPr>
            </w:pPr>
            <w:r w:rsidRPr="00B86E9B">
              <w:rPr>
                <w:sz w:val="26"/>
                <w:szCs w:val="26"/>
              </w:rPr>
              <w:t>2,96</w:t>
            </w:r>
          </w:p>
        </w:tc>
        <w:tc>
          <w:tcPr>
            <w:tcW w:w="2104" w:type="dxa"/>
          </w:tcPr>
          <w:p w:rsidR="00CE5EF7" w:rsidRPr="00B86E9B" w:rsidRDefault="00CE5EF7" w:rsidP="00F519F5">
            <w:pPr>
              <w:jc w:val="center"/>
              <w:rPr>
                <w:sz w:val="26"/>
                <w:szCs w:val="26"/>
              </w:rPr>
            </w:pPr>
            <w:r w:rsidRPr="00B86E9B">
              <w:rPr>
                <w:sz w:val="26"/>
                <w:szCs w:val="26"/>
              </w:rPr>
              <w:t>1,93</w:t>
            </w:r>
          </w:p>
        </w:tc>
      </w:tr>
      <w:tr w:rsidR="00CE5EF7" w:rsidRPr="00B86E9B" w:rsidTr="00314D0F">
        <w:trPr>
          <w:jc w:val="center"/>
        </w:trPr>
        <w:tc>
          <w:tcPr>
            <w:tcW w:w="5215" w:type="dxa"/>
            <w:shd w:val="clear" w:color="auto" w:fill="D9D9D9" w:themeFill="background1" w:themeFillShade="D9"/>
          </w:tcPr>
          <w:p w:rsidR="00CE5EF7" w:rsidRPr="00B86E9B" w:rsidRDefault="00CE5EF7" w:rsidP="00F519F5">
            <w:pPr>
              <w:rPr>
                <w:sz w:val="26"/>
                <w:szCs w:val="26"/>
              </w:rPr>
            </w:pPr>
            <w:r w:rsidRPr="00B86E9B">
              <w:rPr>
                <w:sz w:val="26"/>
                <w:szCs w:val="26"/>
              </w:rPr>
              <w:t xml:space="preserve">Rentabilitāte (Bruto peļņas robeža)[%] </w:t>
            </w:r>
          </w:p>
        </w:tc>
        <w:tc>
          <w:tcPr>
            <w:tcW w:w="2302" w:type="dxa"/>
          </w:tcPr>
          <w:p w:rsidR="00CE5EF7" w:rsidRPr="00B86E9B" w:rsidRDefault="00CE5EF7" w:rsidP="00F519F5">
            <w:pPr>
              <w:jc w:val="center"/>
              <w:rPr>
                <w:sz w:val="26"/>
                <w:szCs w:val="26"/>
              </w:rPr>
            </w:pPr>
            <w:r w:rsidRPr="00B86E9B">
              <w:rPr>
                <w:sz w:val="26"/>
                <w:szCs w:val="26"/>
              </w:rPr>
              <w:t>-3%</w:t>
            </w:r>
          </w:p>
        </w:tc>
        <w:tc>
          <w:tcPr>
            <w:tcW w:w="2104" w:type="dxa"/>
          </w:tcPr>
          <w:p w:rsidR="00CE5EF7" w:rsidRPr="00B86E9B" w:rsidRDefault="00CE5EF7" w:rsidP="00F519F5">
            <w:pPr>
              <w:jc w:val="center"/>
              <w:rPr>
                <w:sz w:val="26"/>
                <w:szCs w:val="26"/>
              </w:rPr>
            </w:pPr>
            <w:r w:rsidRPr="00B86E9B">
              <w:rPr>
                <w:sz w:val="26"/>
                <w:szCs w:val="26"/>
              </w:rPr>
              <w:t>-10%</w:t>
            </w:r>
          </w:p>
        </w:tc>
      </w:tr>
    </w:tbl>
    <w:p w:rsidR="00CE5EF7" w:rsidRPr="00B86E9B" w:rsidRDefault="00CE5EF7" w:rsidP="00CE5EF7">
      <w:pPr>
        <w:tabs>
          <w:tab w:val="left" w:pos="3390"/>
        </w:tabs>
        <w:autoSpaceDE w:val="0"/>
        <w:autoSpaceDN w:val="0"/>
        <w:adjustRightInd w:val="0"/>
        <w:rPr>
          <w:i/>
          <w:sz w:val="28"/>
          <w:szCs w:val="28"/>
        </w:rPr>
      </w:pPr>
    </w:p>
    <w:p w:rsidR="0062138D" w:rsidRPr="00B86E9B" w:rsidRDefault="0062138D" w:rsidP="00CE5EF7">
      <w:pPr>
        <w:tabs>
          <w:tab w:val="left" w:pos="3390"/>
        </w:tabs>
        <w:autoSpaceDE w:val="0"/>
        <w:autoSpaceDN w:val="0"/>
        <w:adjustRightInd w:val="0"/>
        <w:rPr>
          <w:i/>
          <w:sz w:val="28"/>
          <w:szCs w:val="28"/>
        </w:rPr>
      </w:pPr>
    </w:p>
    <w:p w:rsidR="0062138D" w:rsidRPr="00B86E9B" w:rsidRDefault="0062138D" w:rsidP="00CE5EF7">
      <w:pPr>
        <w:tabs>
          <w:tab w:val="left" w:pos="3390"/>
        </w:tabs>
        <w:autoSpaceDE w:val="0"/>
        <w:autoSpaceDN w:val="0"/>
        <w:adjustRightInd w:val="0"/>
        <w:rPr>
          <w:i/>
          <w:sz w:val="28"/>
          <w:szCs w:val="28"/>
        </w:rPr>
      </w:pPr>
    </w:p>
    <w:p w:rsidR="00CE5EF7" w:rsidRPr="00B86E9B" w:rsidRDefault="00CE5EF7" w:rsidP="00CE5EF7">
      <w:pPr>
        <w:tabs>
          <w:tab w:val="left" w:pos="3390"/>
        </w:tabs>
        <w:autoSpaceDE w:val="0"/>
        <w:autoSpaceDN w:val="0"/>
        <w:adjustRightInd w:val="0"/>
        <w:ind w:firstLine="720"/>
        <w:jc w:val="right"/>
        <w:rPr>
          <w:i/>
          <w:sz w:val="28"/>
          <w:szCs w:val="28"/>
        </w:rPr>
      </w:pPr>
      <w:r w:rsidRPr="00B86E9B">
        <w:rPr>
          <w:i/>
          <w:sz w:val="28"/>
          <w:szCs w:val="28"/>
        </w:rPr>
        <w:lastRenderedPageBreak/>
        <w:t>Tabula Nr.3: PSKUS galvenie naturālie rādītāji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6"/>
        <w:gridCol w:w="2022"/>
        <w:gridCol w:w="2239"/>
      </w:tblGrid>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p>
        </w:tc>
        <w:tc>
          <w:tcPr>
            <w:tcW w:w="2073" w:type="dxa"/>
          </w:tcPr>
          <w:p w:rsidR="00CE5EF7" w:rsidRPr="00B86E9B" w:rsidRDefault="00CE5EF7" w:rsidP="00F519F5">
            <w:pPr>
              <w:shd w:val="clear" w:color="auto" w:fill="FFFFFF"/>
              <w:jc w:val="center"/>
              <w:rPr>
                <w:sz w:val="26"/>
                <w:szCs w:val="26"/>
              </w:rPr>
            </w:pPr>
            <w:r w:rsidRPr="00B86E9B">
              <w:rPr>
                <w:sz w:val="26"/>
                <w:szCs w:val="26"/>
              </w:rPr>
              <w:t>2012.gads</w:t>
            </w:r>
          </w:p>
        </w:tc>
        <w:tc>
          <w:tcPr>
            <w:tcW w:w="2305" w:type="dxa"/>
          </w:tcPr>
          <w:p w:rsidR="00CE5EF7" w:rsidRPr="00B86E9B" w:rsidRDefault="00CE5EF7" w:rsidP="00F519F5">
            <w:pPr>
              <w:shd w:val="clear" w:color="auto" w:fill="FFFFFF"/>
              <w:jc w:val="center"/>
              <w:rPr>
                <w:sz w:val="26"/>
                <w:szCs w:val="26"/>
              </w:rPr>
            </w:pPr>
            <w:r w:rsidRPr="00B86E9B">
              <w:rPr>
                <w:sz w:val="26"/>
                <w:szCs w:val="26"/>
              </w:rPr>
              <w:t>2011.gads</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Darbinieku skaits [slodzes]</w:t>
            </w:r>
          </w:p>
        </w:tc>
        <w:tc>
          <w:tcPr>
            <w:tcW w:w="2073" w:type="dxa"/>
          </w:tcPr>
          <w:p w:rsidR="00CE5EF7" w:rsidRPr="00B86E9B" w:rsidRDefault="00CE5EF7" w:rsidP="00F519F5">
            <w:pPr>
              <w:jc w:val="center"/>
              <w:rPr>
                <w:bCs/>
                <w:sz w:val="26"/>
                <w:szCs w:val="26"/>
              </w:rPr>
            </w:pPr>
            <w:r w:rsidRPr="00B86E9B">
              <w:rPr>
                <w:bCs/>
                <w:sz w:val="26"/>
                <w:szCs w:val="26"/>
              </w:rPr>
              <w:t>3 127</w:t>
            </w:r>
          </w:p>
        </w:tc>
        <w:tc>
          <w:tcPr>
            <w:tcW w:w="2305" w:type="dxa"/>
          </w:tcPr>
          <w:p w:rsidR="00CE5EF7" w:rsidRPr="00B86E9B" w:rsidRDefault="00CE5EF7" w:rsidP="00F519F5">
            <w:pPr>
              <w:shd w:val="clear" w:color="auto" w:fill="FFFFFF"/>
              <w:jc w:val="center"/>
              <w:rPr>
                <w:sz w:val="26"/>
                <w:szCs w:val="26"/>
              </w:rPr>
            </w:pPr>
            <w:r w:rsidRPr="00B86E9B">
              <w:rPr>
                <w:sz w:val="26"/>
                <w:szCs w:val="26"/>
              </w:rPr>
              <w:t>3 260</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Ambulatoro pacientu skaits [pacienti]</w:t>
            </w:r>
          </w:p>
        </w:tc>
        <w:tc>
          <w:tcPr>
            <w:tcW w:w="2073" w:type="dxa"/>
          </w:tcPr>
          <w:p w:rsidR="00CE5EF7" w:rsidRPr="00B86E9B" w:rsidRDefault="00CE5EF7" w:rsidP="00F519F5">
            <w:pPr>
              <w:shd w:val="clear" w:color="auto" w:fill="FFFFFF"/>
              <w:jc w:val="center"/>
              <w:rPr>
                <w:sz w:val="26"/>
                <w:szCs w:val="26"/>
              </w:rPr>
            </w:pPr>
            <w:r w:rsidRPr="00B86E9B">
              <w:rPr>
                <w:sz w:val="26"/>
                <w:szCs w:val="26"/>
              </w:rPr>
              <w:t>271 636</w:t>
            </w:r>
          </w:p>
        </w:tc>
        <w:tc>
          <w:tcPr>
            <w:tcW w:w="2305" w:type="dxa"/>
          </w:tcPr>
          <w:p w:rsidR="00CE5EF7" w:rsidRPr="00B86E9B" w:rsidRDefault="0020533F" w:rsidP="00F519F5">
            <w:pPr>
              <w:shd w:val="clear" w:color="auto" w:fill="FFFFFF"/>
              <w:jc w:val="center"/>
              <w:rPr>
                <w:sz w:val="26"/>
                <w:szCs w:val="26"/>
              </w:rPr>
            </w:pPr>
            <w:r w:rsidRPr="00B86E9B">
              <w:rPr>
                <w:sz w:val="26"/>
                <w:szCs w:val="26"/>
              </w:rPr>
              <w:t>253 906</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Stacionāro pacientu skaits [pacienti]</w:t>
            </w:r>
          </w:p>
        </w:tc>
        <w:tc>
          <w:tcPr>
            <w:tcW w:w="2073" w:type="dxa"/>
          </w:tcPr>
          <w:p w:rsidR="00CE5EF7" w:rsidRPr="00B86E9B" w:rsidRDefault="00CE5EF7" w:rsidP="00F519F5">
            <w:pPr>
              <w:jc w:val="center"/>
              <w:rPr>
                <w:sz w:val="26"/>
                <w:szCs w:val="26"/>
              </w:rPr>
            </w:pPr>
            <w:r w:rsidRPr="00B86E9B">
              <w:rPr>
                <w:sz w:val="26"/>
                <w:szCs w:val="26"/>
              </w:rPr>
              <w:t>46 791</w:t>
            </w:r>
          </w:p>
        </w:tc>
        <w:tc>
          <w:tcPr>
            <w:tcW w:w="2305" w:type="dxa"/>
          </w:tcPr>
          <w:p w:rsidR="00CE5EF7" w:rsidRPr="00B86E9B" w:rsidRDefault="00CE5EF7" w:rsidP="00F519F5">
            <w:pPr>
              <w:shd w:val="clear" w:color="auto" w:fill="FFFFFF"/>
              <w:jc w:val="center"/>
              <w:rPr>
                <w:sz w:val="26"/>
                <w:szCs w:val="26"/>
              </w:rPr>
            </w:pPr>
            <w:r w:rsidRPr="00B86E9B">
              <w:rPr>
                <w:sz w:val="26"/>
                <w:szCs w:val="26"/>
              </w:rPr>
              <w:t>47 111</w:t>
            </w:r>
          </w:p>
        </w:tc>
      </w:tr>
      <w:tr w:rsidR="00CE5EF7" w:rsidRPr="00B86E9B" w:rsidTr="00314D0F">
        <w:trPr>
          <w:jc w:val="center"/>
        </w:trPr>
        <w:tc>
          <w:tcPr>
            <w:tcW w:w="5243" w:type="dxa"/>
            <w:shd w:val="clear" w:color="auto" w:fill="D9D9D9" w:themeFill="background1" w:themeFillShade="D9"/>
          </w:tcPr>
          <w:p w:rsidR="00CE5EF7" w:rsidRPr="00B86E9B" w:rsidRDefault="00123ABA" w:rsidP="00F519F5">
            <w:pPr>
              <w:rPr>
                <w:sz w:val="26"/>
                <w:szCs w:val="26"/>
              </w:rPr>
            </w:pPr>
            <w:r w:rsidRPr="00B86E9B">
              <w:rPr>
                <w:sz w:val="26"/>
                <w:szCs w:val="26"/>
              </w:rPr>
              <w:t>G</w:t>
            </w:r>
            <w:r w:rsidR="00CE5EF7" w:rsidRPr="00B86E9B">
              <w:rPr>
                <w:sz w:val="26"/>
                <w:szCs w:val="26"/>
              </w:rPr>
              <w:t>ultas dienu skaits [dienas]</w:t>
            </w:r>
          </w:p>
        </w:tc>
        <w:tc>
          <w:tcPr>
            <w:tcW w:w="2073" w:type="dxa"/>
          </w:tcPr>
          <w:p w:rsidR="00CE5EF7" w:rsidRPr="00B86E9B" w:rsidRDefault="00CE5EF7" w:rsidP="00F519F5">
            <w:pPr>
              <w:jc w:val="center"/>
              <w:rPr>
                <w:bCs/>
                <w:sz w:val="26"/>
                <w:szCs w:val="26"/>
              </w:rPr>
            </w:pPr>
            <w:r w:rsidRPr="00B86E9B">
              <w:rPr>
                <w:bCs/>
                <w:sz w:val="26"/>
                <w:szCs w:val="26"/>
              </w:rPr>
              <w:t>245 695</w:t>
            </w:r>
          </w:p>
        </w:tc>
        <w:tc>
          <w:tcPr>
            <w:tcW w:w="2305" w:type="dxa"/>
          </w:tcPr>
          <w:p w:rsidR="00CE5EF7" w:rsidRPr="00B86E9B" w:rsidRDefault="00CE5EF7" w:rsidP="00F519F5">
            <w:pPr>
              <w:shd w:val="clear" w:color="auto" w:fill="FFFFFF"/>
              <w:jc w:val="center"/>
              <w:rPr>
                <w:sz w:val="26"/>
                <w:szCs w:val="26"/>
              </w:rPr>
            </w:pPr>
            <w:r w:rsidRPr="00B86E9B">
              <w:rPr>
                <w:sz w:val="26"/>
                <w:szCs w:val="26"/>
              </w:rPr>
              <w:t>264 082</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Vidējais gultu skaits [gultas]</w:t>
            </w:r>
          </w:p>
        </w:tc>
        <w:tc>
          <w:tcPr>
            <w:tcW w:w="2073" w:type="dxa"/>
          </w:tcPr>
          <w:p w:rsidR="00CE5EF7" w:rsidRPr="00B86E9B" w:rsidRDefault="00CE5EF7" w:rsidP="00F519F5">
            <w:pPr>
              <w:jc w:val="center"/>
              <w:rPr>
                <w:bCs/>
                <w:sz w:val="26"/>
                <w:szCs w:val="26"/>
              </w:rPr>
            </w:pPr>
            <w:r w:rsidRPr="00B86E9B">
              <w:rPr>
                <w:bCs/>
                <w:sz w:val="26"/>
                <w:szCs w:val="26"/>
              </w:rPr>
              <w:t>860</w:t>
            </w:r>
          </w:p>
        </w:tc>
        <w:tc>
          <w:tcPr>
            <w:tcW w:w="2305" w:type="dxa"/>
          </w:tcPr>
          <w:p w:rsidR="00CE5EF7" w:rsidRPr="00B86E9B" w:rsidRDefault="00CE5EF7" w:rsidP="00F519F5">
            <w:pPr>
              <w:shd w:val="clear" w:color="auto" w:fill="FFFFFF"/>
              <w:jc w:val="center"/>
              <w:rPr>
                <w:sz w:val="26"/>
                <w:szCs w:val="26"/>
              </w:rPr>
            </w:pPr>
            <w:r w:rsidRPr="00B86E9B">
              <w:rPr>
                <w:sz w:val="26"/>
                <w:szCs w:val="26"/>
              </w:rPr>
              <w:t>866</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Gultu noslogojums [procentos]</w:t>
            </w:r>
          </w:p>
        </w:tc>
        <w:tc>
          <w:tcPr>
            <w:tcW w:w="2073" w:type="dxa"/>
          </w:tcPr>
          <w:p w:rsidR="00CE5EF7" w:rsidRPr="00B86E9B" w:rsidRDefault="00CE5EF7" w:rsidP="00F519F5">
            <w:pPr>
              <w:jc w:val="center"/>
              <w:rPr>
                <w:bCs/>
                <w:sz w:val="26"/>
                <w:szCs w:val="26"/>
              </w:rPr>
            </w:pPr>
            <w:r w:rsidRPr="00B86E9B">
              <w:rPr>
                <w:bCs/>
                <w:sz w:val="26"/>
                <w:szCs w:val="26"/>
              </w:rPr>
              <w:t>78,10%</w:t>
            </w:r>
          </w:p>
        </w:tc>
        <w:tc>
          <w:tcPr>
            <w:tcW w:w="2305" w:type="dxa"/>
          </w:tcPr>
          <w:p w:rsidR="00CE5EF7" w:rsidRPr="00B86E9B" w:rsidRDefault="00CE5EF7" w:rsidP="00F519F5">
            <w:pPr>
              <w:shd w:val="clear" w:color="auto" w:fill="FFFFFF"/>
              <w:jc w:val="center"/>
              <w:rPr>
                <w:sz w:val="26"/>
                <w:szCs w:val="26"/>
              </w:rPr>
            </w:pPr>
            <w:r w:rsidRPr="00B86E9B">
              <w:rPr>
                <w:sz w:val="26"/>
                <w:szCs w:val="26"/>
              </w:rPr>
              <w:t>83,55%</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Vidējais ārstēšanās ilgums [dienas]</w:t>
            </w:r>
          </w:p>
        </w:tc>
        <w:tc>
          <w:tcPr>
            <w:tcW w:w="2073" w:type="dxa"/>
          </w:tcPr>
          <w:p w:rsidR="00CE5EF7" w:rsidRPr="00B86E9B" w:rsidRDefault="00CE5EF7" w:rsidP="00F519F5">
            <w:pPr>
              <w:jc w:val="center"/>
              <w:rPr>
                <w:sz w:val="26"/>
                <w:szCs w:val="26"/>
              </w:rPr>
            </w:pPr>
            <w:r w:rsidRPr="00B86E9B">
              <w:rPr>
                <w:sz w:val="26"/>
                <w:szCs w:val="26"/>
              </w:rPr>
              <w:t>5,25</w:t>
            </w:r>
          </w:p>
        </w:tc>
        <w:tc>
          <w:tcPr>
            <w:tcW w:w="2305" w:type="dxa"/>
          </w:tcPr>
          <w:p w:rsidR="00CE5EF7" w:rsidRPr="00B86E9B" w:rsidRDefault="00CE5EF7" w:rsidP="00F519F5">
            <w:pPr>
              <w:shd w:val="clear" w:color="auto" w:fill="FFFFFF"/>
              <w:jc w:val="center"/>
              <w:rPr>
                <w:sz w:val="26"/>
                <w:szCs w:val="26"/>
              </w:rPr>
            </w:pPr>
            <w:r w:rsidRPr="00B86E9B">
              <w:rPr>
                <w:sz w:val="26"/>
                <w:szCs w:val="26"/>
              </w:rPr>
              <w:t>5,60</w:t>
            </w:r>
          </w:p>
        </w:tc>
      </w:tr>
      <w:tr w:rsidR="00CE5EF7" w:rsidRPr="00B86E9B" w:rsidTr="00314D0F">
        <w:trPr>
          <w:jc w:val="center"/>
        </w:trPr>
        <w:tc>
          <w:tcPr>
            <w:tcW w:w="5243" w:type="dxa"/>
            <w:shd w:val="clear" w:color="auto" w:fill="D9D9D9" w:themeFill="background1" w:themeFillShade="D9"/>
          </w:tcPr>
          <w:p w:rsidR="00CE5EF7" w:rsidRPr="00B86E9B" w:rsidRDefault="00CE5EF7" w:rsidP="00F519F5">
            <w:pPr>
              <w:rPr>
                <w:sz w:val="26"/>
                <w:szCs w:val="26"/>
              </w:rPr>
            </w:pPr>
            <w:r w:rsidRPr="00B86E9B">
              <w:rPr>
                <w:sz w:val="26"/>
                <w:szCs w:val="26"/>
              </w:rPr>
              <w:t>Telpu kopējā platība [kvadrātmetros]</w:t>
            </w:r>
          </w:p>
        </w:tc>
        <w:tc>
          <w:tcPr>
            <w:tcW w:w="2073" w:type="dxa"/>
          </w:tcPr>
          <w:p w:rsidR="00CE5EF7" w:rsidRPr="00B86E9B" w:rsidRDefault="00CE5EF7" w:rsidP="00F519F5">
            <w:pPr>
              <w:jc w:val="center"/>
              <w:rPr>
                <w:bCs/>
                <w:sz w:val="26"/>
                <w:szCs w:val="26"/>
              </w:rPr>
            </w:pPr>
            <w:r w:rsidRPr="00B86E9B">
              <w:rPr>
                <w:bCs/>
                <w:sz w:val="26"/>
                <w:szCs w:val="26"/>
              </w:rPr>
              <w:t>70 933</w:t>
            </w:r>
          </w:p>
        </w:tc>
        <w:tc>
          <w:tcPr>
            <w:tcW w:w="2305" w:type="dxa"/>
          </w:tcPr>
          <w:p w:rsidR="00CE5EF7" w:rsidRPr="00B86E9B" w:rsidRDefault="00CE5EF7" w:rsidP="00F519F5">
            <w:pPr>
              <w:shd w:val="clear" w:color="auto" w:fill="FFFFFF"/>
              <w:jc w:val="center"/>
              <w:rPr>
                <w:sz w:val="26"/>
                <w:szCs w:val="26"/>
              </w:rPr>
            </w:pPr>
            <w:r w:rsidRPr="00B86E9B">
              <w:rPr>
                <w:sz w:val="26"/>
                <w:szCs w:val="26"/>
              </w:rPr>
              <w:t>69 821</w:t>
            </w:r>
          </w:p>
        </w:tc>
      </w:tr>
    </w:tbl>
    <w:p w:rsidR="00CE5EF7" w:rsidRPr="00B86E9B" w:rsidRDefault="00CE5EF7" w:rsidP="00CE5EF7">
      <w:pPr>
        <w:jc w:val="both"/>
        <w:rPr>
          <w:sz w:val="28"/>
          <w:szCs w:val="28"/>
        </w:rPr>
      </w:pPr>
    </w:p>
    <w:p w:rsidR="00CE5EF7" w:rsidRPr="00B86E9B" w:rsidRDefault="00CE5EF7" w:rsidP="00CE5EF7">
      <w:pPr>
        <w:ind w:firstLine="706"/>
        <w:jc w:val="both"/>
        <w:rPr>
          <w:sz w:val="28"/>
          <w:szCs w:val="28"/>
        </w:rPr>
      </w:pPr>
      <w:r w:rsidRPr="00B86E9B">
        <w:rPr>
          <w:sz w:val="28"/>
          <w:szCs w:val="28"/>
        </w:rPr>
        <w:t xml:space="preserve">PSKUS kopējie ieņēmumi 2012.gadā bija 57 576 612 LVL, kas </w:t>
      </w:r>
      <w:r w:rsidR="00316F77" w:rsidRPr="00B86E9B">
        <w:rPr>
          <w:sz w:val="28"/>
          <w:szCs w:val="28"/>
        </w:rPr>
        <w:t xml:space="preserve">bija </w:t>
      </w:r>
      <w:r w:rsidRPr="00B86E9B">
        <w:rPr>
          <w:sz w:val="28"/>
          <w:szCs w:val="28"/>
        </w:rPr>
        <w:t xml:space="preserve">par 5 632 273 LVL (10,8%) lielāki nekā plānots, bet par 413 014 LVL (0,7%) mazāki nekā kopējie ieņēmumi 2011.gadā.  </w:t>
      </w:r>
    </w:p>
    <w:p w:rsidR="00CE5EF7" w:rsidRPr="00B86E9B" w:rsidRDefault="00CE5EF7" w:rsidP="00106322">
      <w:pPr>
        <w:ind w:firstLine="706"/>
        <w:jc w:val="both"/>
        <w:rPr>
          <w:sz w:val="28"/>
          <w:szCs w:val="28"/>
        </w:rPr>
      </w:pPr>
      <w:r w:rsidRPr="00B86E9B">
        <w:rPr>
          <w:sz w:val="28"/>
          <w:szCs w:val="28"/>
        </w:rPr>
        <w:t>2012.gadā PSKUS ieņēmumi no valsts budžeta līdzekļiem ārstniecības pakalpojumu nodrošināšanai bija 45 499 634 LVL, kas, salīdzinot ar 2012.gada plānu, bija lielāki par 3 605 081 LVL (8,6%), un, salīdzinot ar 2011.gadu, bija lielāki par 1 311 503 LVL (3,0%). Savukārt, PSKUS ieņēmumi no maksas pakalpojumiem 2012.gadā bija 6 420 790 LVL, kas, salīdzinot ar 2012.gada plānu, bija lielāki par 269 712 LVL (4,4%), un, salīdzinot ar 2011.gadu, palielinājās par 495 622 LVL (8,4%), kas ir vērtējams pozitīvi.</w:t>
      </w:r>
      <w:r w:rsidR="00106322" w:rsidRPr="00B86E9B">
        <w:rPr>
          <w:sz w:val="28"/>
          <w:szCs w:val="28"/>
        </w:rPr>
        <w:t xml:space="preserve"> Pārējie ieņēmumi 2012.gadā bija 5 656 188, kas, salīdzinot ar 2012.gada plānu, palielinājušies par  1 757 480 LVL (45,1%), un, salīdzinot ar 2011.gadu, samazinājušies par 2 220 139 LVL (28,2%). </w:t>
      </w:r>
      <w:r w:rsidR="00123ABA" w:rsidRPr="00B86E9B">
        <w:rPr>
          <w:sz w:val="28"/>
          <w:szCs w:val="28"/>
        </w:rPr>
        <w:t xml:space="preserve">PSKUS pārējos ieņēmumus 5 656 188 LVL apmērā veido pašu nopelnītie līdzekļi no saimnieciskās darbības, kas nav tieši saistīta ar ārstniecību, ziedojumi, kā arī citi ieņēmumi kā, piemēram,  </w:t>
      </w:r>
      <w:r w:rsidR="009F0A69" w:rsidRPr="00B86E9B">
        <w:rPr>
          <w:sz w:val="28"/>
          <w:szCs w:val="28"/>
        </w:rPr>
        <w:t xml:space="preserve">ieņēmumi no </w:t>
      </w:r>
      <w:r w:rsidR="00123ABA" w:rsidRPr="00B86E9B">
        <w:rPr>
          <w:sz w:val="28"/>
          <w:szCs w:val="28"/>
        </w:rPr>
        <w:t>depozītnoguldījumi</w:t>
      </w:r>
      <w:r w:rsidR="009F0A69" w:rsidRPr="00B86E9B">
        <w:rPr>
          <w:sz w:val="28"/>
          <w:szCs w:val="28"/>
        </w:rPr>
        <w:t>em</w:t>
      </w:r>
      <w:r w:rsidR="00123ABA" w:rsidRPr="00B86E9B">
        <w:rPr>
          <w:sz w:val="28"/>
          <w:szCs w:val="28"/>
        </w:rPr>
        <w:t>, ieņēmumos ieskaitītās dotācijas, dāvinājumi, atbilstoši dāvināto pamatlīdzekļu nolietojumam par pārskata periodu, bez atlīdzības saņemtās medicīnas preces (piem., asins komponenti), kas novērtētas naudas izteiksmē, ieņēmumi no projektu īstenošanas.</w:t>
      </w:r>
      <w:r w:rsidR="007A093C" w:rsidRPr="00B86E9B">
        <w:rPr>
          <w:sz w:val="28"/>
          <w:szCs w:val="28"/>
        </w:rPr>
        <w:t xml:space="preserve"> </w:t>
      </w:r>
    </w:p>
    <w:p w:rsidR="00106322" w:rsidRPr="00B86E9B" w:rsidRDefault="00106322" w:rsidP="00CE5EF7">
      <w:pPr>
        <w:ind w:firstLine="706"/>
        <w:jc w:val="both"/>
        <w:rPr>
          <w:color w:val="FF0000"/>
          <w:sz w:val="28"/>
          <w:szCs w:val="28"/>
        </w:rPr>
      </w:pPr>
    </w:p>
    <w:p w:rsidR="00CE5EF7" w:rsidRPr="00B86E9B" w:rsidRDefault="00CE5EF7" w:rsidP="00CE5EF7">
      <w:pPr>
        <w:pStyle w:val="Virsraksts3"/>
        <w:numPr>
          <w:ilvl w:val="0"/>
          <w:numId w:val="0"/>
        </w:numPr>
        <w:spacing w:before="0" w:after="0"/>
        <w:ind w:left="706"/>
        <w:jc w:val="right"/>
        <w:rPr>
          <w:b w:val="0"/>
        </w:rPr>
      </w:pPr>
      <w:r w:rsidRPr="00B86E9B">
        <w:rPr>
          <w:rFonts w:eastAsia="Calibri"/>
          <w:b w:val="0"/>
          <w:lang w:eastAsia="lv-LV"/>
        </w:rPr>
        <w:t>Tabula Nr.4:</w:t>
      </w:r>
      <w:r w:rsidR="006111DD" w:rsidRPr="00B86E9B">
        <w:rPr>
          <w:b w:val="0"/>
        </w:rPr>
        <w:t xml:space="preserve"> PSKUS ieņēmumu apjoms</w:t>
      </w:r>
      <w:r w:rsidR="00AC4005" w:rsidRPr="00B86E9B">
        <w:rPr>
          <w:b w:val="0"/>
        </w:rPr>
        <w:t xml:space="preserve"> </w:t>
      </w:r>
      <w:r w:rsidRPr="00B86E9B">
        <w:rPr>
          <w:b w:val="0"/>
        </w:rPr>
        <w:t>[LVL]</w:t>
      </w:r>
    </w:p>
    <w:tbl>
      <w:tblPr>
        <w:tblStyle w:val="Reatabula"/>
        <w:tblW w:w="0" w:type="auto"/>
        <w:jc w:val="center"/>
        <w:tblInd w:w="-671" w:type="dxa"/>
        <w:tblLook w:val="04A0"/>
      </w:tblPr>
      <w:tblGrid>
        <w:gridCol w:w="2505"/>
        <w:gridCol w:w="1459"/>
        <w:gridCol w:w="1531"/>
        <w:gridCol w:w="1418"/>
      </w:tblGrid>
      <w:tr w:rsidR="00CE5EF7" w:rsidRPr="00B86E9B" w:rsidTr="00F519F5">
        <w:trPr>
          <w:jc w:val="center"/>
        </w:trPr>
        <w:tc>
          <w:tcPr>
            <w:tcW w:w="2505" w:type="dxa"/>
            <w:shd w:val="clear" w:color="auto" w:fill="D9D9D9" w:themeFill="background1" w:themeFillShade="D9"/>
            <w:vAlign w:val="center"/>
          </w:tcPr>
          <w:p w:rsidR="00CE5EF7" w:rsidRPr="00B86E9B" w:rsidRDefault="00CE5EF7" w:rsidP="00F519F5">
            <w:pPr>
              <w:rPr>
                <w:sz w:val="26"/>
                <w:szCs w:val="26"/>
              </w:rPr>
            </w:pPr>
          </w:p>
        </w:tc>
        <w:tc>
          <w:tcPr>
            <w:tcW w:w="1459" w:type="dxa"/>
            <w:shd w:val="clear" w:color="auto" w:fill="D9D9D9" w:themeFill="background1" w:themeFillShade="D9"/>
            <w:vAlign w:val="center"/>
          </w:tcPr>
          <w:p w:rsidR="00CE5EF7" w:rsidRPr="00B86E9B" w:rsidRDefault="00CE5EF7" w:rsidP="00F519F5">
            <w:pPr>
              <w:jc w:val="center"/>
              <w:rPr>
                <w:sz w:val="26"/>
                <w:szCs w:val="26"/>
              </w:rPr>
            </w:pPr>
            <w:r w:rsidRPr="00B86E9B">
              <w:rPr>
                <w:sz w:val="26"/>
                <w:szCs w:val="26"/>
              </w:rPr>
              <w:t>2011.gads</w:t>
            </w:r>
          </w:p>
        </w:tc>
        <w:tc>
          <w:tcPr>
            <w:tcW w:w="2949" w:type="dxa"/>
            <w:gridSpan w:val="2"/>
            <w:shd w:val="clear" w:color="auto" w:fill="D9D9D9" w:themeFill="background1" w:themeFillShade="D9"/>
          </w:tcPr>
          <w:p w:rsidR="00CE5EF7" w:rsidRPr="00B86E9B" w:rsidRDefault="00CE5EF7" w:rsidP="00F519F5">
            <w:pPr>
              <w:jc w:val="center"/>
              <w:rPr>
                <w:sz w:val="26"/>
                <w:szCs w:val="26"/>
              </w:rPr>
            </w:pPr>
            <w:r w:rsidRPr="00B86E9B">
              <w:rPr>
                <w:sz w:val="26"/>
                <w:szCs w:val="26"/>
              </w:rPr>
              <w:t>2012.gads</w:t>
            </w:r>
          </w:p>
        </w:tc>
      </w:tr>
      <w:tr w:rsidR="00CE5EF7" w:rsidRPr="00B86E9B" w:rsidTr="00F519F5">
        <w:trPr>
          <w:jc w:val="center"/>
        </w:trPr>
        <w:tc>
          <w:tcPr>
            <w:tcW w:w="2505" w:type="dxa"/>
            <w:shd w:val="clear" w:color="auto" w:fill="D9D9D9" w:themeFill="background1" w:themeFillShade="D9"/>
            <w:vAlign w:val="center"/>
          </w:tcPr>
          <w:p w:rsidR="00CE5EF7" w:rsidRPr="00B86E9B" w:rsidRDefault="00CE5EF7" w:rsidP="00F519F5">
            <w:pPr>
              <w:rPr>
                <w:sz w:val="26"/>
                <w:szCs w:val="26"/>
              </w:rPr>
            </w:pPr>
            <w:r w:rsidRPr="00B86E9B">
              <w:rPr>
                <w:sz w:val="26"/>
                <w:szCs w:val="26"/>
              </w:rPr>
              <w:t>Ieņēmumi</w:t>
            </w:r>
          </w:p>
        </w:tc>
        <w:tc>
          <w:tcPr>
            <w:tcW w:w="1459" w:type="dxa"/>
            <w:shd w:val="clear" w:color="auto" w:fill="D9D9D9" w:themeFill="background1" w:themeFillShade="D9"/>
            <w:vAlign w:val="center"/>
          </w:tcPr>
          <w:p w:rsidR="00CE5EF7" w:rsidRPr="00B86E9B" w:rsidRDefault="00CE5EF7" w:rsidP="00F519F5">
            <w:pPr>
              <w:jc w:val="center"/>
              <w:rPr>
                <w:sz w:val="26"/>
                <w:szCs w:val="26"/>
              </w:rPr>
            </w:pPr>
            <w:r w:rsidRPr="00B86E9B">
              <w:rPr>
                <w:sz w:val="26"/>
                <w:szCs w:val="26"/>
              </w:rPr>
              <w:t>Izpilde</w:t>
            </w:r>
          </w:p>
        </w:tc>
        <w:tc>
          <w:tcPr>
            <w:tcW w:w="1531" w:type="dxa"/>
            <w:shd w:val="clear" w:color="auto" w:fill="D9D9D9" w:themeFill="background1" w:themeFillShade="D9"/>
          </w:tcPr>
          <w:p w:rsidR="00CE5EF7" w:rsidRPr="00B86E9B" w:rsidRDefault="00CE5EF7" w:rsidP="00F519F5">
            <w:pPr>
              <w:jc w:val="center"/>
              <w:rPr>
                <w:sz w:val="26"/>
                <w:szCs w:val="26"/>
              </w:rPr>
            </w:pPr>
            <w:r w:rsidRPr="00B86E9B">
              <w:rPr>
                <w:sz w:val="26"/>
                <w:szCs w:val="26"/>
              </w:rPr>
              <w:t>Plāns</w:t>
            </w:r>
          </w:p>
        </w:tc>
        <w:tc>
          <w:tcPr>
            <w:tcW w:w="1418" w:type="dxa"/>
            <w:shd w:val="clear" w:color="auto" w:fill="D9D9D9" w:themeFill="background1" w:themeFillShade="D9"/>
          </w:tcPr>
          <w:p w:rsidR="00CE5EF7" w:rsidRPr="00B86E9B" w:rsidRDefault="00CE5EF7" w:rsidP="00F519F5">
            <w:pPr>
              <w:jc w:val="center"/>
              <w:rPr>
                <w:sz w:val="26"/>
                <w:szCs w:val="26"/>
              </w:rPr>
            </w:pPr>
            <w:r w:rsidRPr="00B86E9B">
              <w:rPr>
                <w:sz w:val="26"/>
                <w:szCs w:val="26"/>
              </w:rPr>
              <w:t>Izpilde</w:t>
            </w:r>
          </w:p>
        </w:tc>
      </w:tr>
      <w:tr w:rsidR="00AE05A7" w:rsidRPr="00B86E9B" w:rsidTr="00F519F5">
        <w:trPr>
          <w:jc w:val="center"/>
        </w:trPr>
        <w:tc>
          <w:tcPr>
            <w:tcW w:w="2505" w:type="dxa"/>
            <w:vAlign w:val="center"/>
          </w:tcPr>
          <w:p w:rsidR="00AE05A7" w:rsidRPr="00B86E9B" w:rsidRDefault="00AE05A7" w:rsidP="00F519F5">
            <w:pPr>
              <w:rPr>
                <w:sz w:val="26"/>
                <w:szCs w:val="26"/>
              </w:rPr>
            </w:pPr>
            <w:r w:rsidRPr="00B86E9B">
              <w:rPr>
                <w:sz w:val="26"/>
                <w:szCs w:val="26"/>
              </w:rPr>
              <w:t>Kopējie ieņēmumi</w:t>
            </w:r>
            <w:r w:rsidR="00466C86" w:rsidRPr="00B86E9B">
              <w:rPr>
                <w:sz w:val="26"/>
                <w:szCs w:val="26"/>
              </w:rPr>
              <w:t>, t.sk.:</w:t>
            </w:r>
          </w:p>
        </w:tc>
        <w:tc>
          <w:tcPr>
            <w:tcW w:w="1459" w:type="dxa"/>
            <w:vAlign w:val="center"/>
          </w:tcPr>
          <w:p w:rsidR="00AE05A7" w:rsidRPr="00B86E9B" w:rsidRDefault="00AE05A7" w:rsidP="00F519F5">
            <w:pPr>
              <w:jc w:val="center"/>
              <w:rPr>
                <w:color w:val="000000"/>
                <w:sz w:val="26"/>
                <w:szCs w:val="26"/>
              </w:rPr>
            </w:pPr>
            <w:r w:rsidRPr="00B86E9B">
              <w:rPr>
                <w:color w:val="000000"/>
                <w:sz w:val="26"/>
                <w:szCs w:val="26"/>
              </w:rPr>
              <w:t>57 989 626</w:t>
            </w:r>
          </w:p>
        </w:tc>
        <w:tc>
          <w:tcPr>
            <w:tcW w:w="1531" w:type="dxa"/>
            <w:vAlign w:val="center"/>
          </w:tcPr>
          <w:p w:rsidR="00AE05A7" w:rsidRPr="00B86E9B" w:rsidRDefault="00AE05A7" w:rsidP="00466C86">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51 944 339</w:t>
            </w:r>
          </w:p>
        </w:tc>
        <w:tc>
          <w:tcPr>
            <w:tcW w:w="1418" w:type="dxa"/>
            <w:vAlign w:val="center"/>
          </w:tcPr>
          <w:p w:rsidR="00AE05A7" w:rsidRPr="00B86E9B" w:rsidRDefault="00AE05A7" w:rsidP="00466C86">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57 576 612</w:t>
            </w:r>
          </w:p>
        </w:tc>
      </w:tr>
      <w:tr w:rsidR="00AE05A7" w:rsidRPr="00B86E9B" w:rsidTr="00F519F5">
        <w:trPr>
          <w:jc w:val="center"/>
        </w:trPr>
        <w:tc>
          <w:tcPr>
            <w:tcW w:w="2505" w:type="dxa"/>
            <w:vAlign w:val="center"/>
          </w:tcPr>
          <w:p w:rsidR="00AE05A7" w:rsidRPr="00B86E9B" w:rsidRDefault="00AE05A7" w:rsidP="00F519F5">
            <w:pPr>
              <w:rPr>
                <w:sz w:val="26"/>
                <w:szCs w:val="26"/>
              </w:rPr>
            </w:pPr>
            <w:r w:rsidRPr="00B86E9B">
              <w:rPr>
                <w:sz w:val="26"/>
                <w:szCs w:val="26"/>
              </w:rPr>
              <w:t>Maksas ārstniecības pakalpojumi</w:t>
            </w:r>
          </w:p>
        </w:tc>
        <w:tc>
          <w:tcPr>
            <w:tcW w:w="1459" w:type="dxa"/>
            <w:vAlign w:val="center"/>
          </w:tcPr>
          <w:p w:rsidR="00AE05A7" w:rsidRPr="00B86E9B" w:rsidRDefault="00AE05A7" w:rsidP="00F519F5">
            <w:pPr>
              <w:jc w:val="center"/>
              <w:rPr>
                <w:color w:val="000000"/>
                <w:sz w:val="26"/>
                <w:szCs w:val="26"/>
              </w:rPr>
            </w:pPr>
            <w:r w:rsidRPr="00B86E9B">
              <w:rPr>
                <w:color w:val="000000"/>
                <w:sz w:val="26"/>
                <w:szCs w:val="26"/>
              </w:rPr>
              <w:t>5 925 168</w:t>
            </w:r>
          </w:p>
        </w:tc>
        <w:tc>
          <w:tcPr>
            <w:tcW w:w="1531" w:type="dxa"/>
            <w:vAlign w:val="center"/>
          </w:tcPr>
          <w:p w:rsidR="00AE05A7" w:rsidRPr="00B86E9B" w:rsidRDefault="00AE05A7" w:rsidP="00F519F5">
            <w:pPr>
              <w:jc w:val="center"/>
              <w:rPr>
                <w:bCs/>
                <w:color w:val="000000"/>
                <w:sz w:val="26"/>
                <w:szCs w:val="26"/>
              </w:rPr>
            </w:pPr>
            <w:r w:rsidRPr="00B86E9B">
              <w:rPr>
                <w:bCs/>
                <w:color w:val="000000"/>
                <w:sz w:val="26"/>
                <w:szCs w:val="26"/>
              </w:rPr>
              <w:t>6 151 078</w:t>
            </w:r>
          </w:p>
        </w:tc>
        <w:tc>
          <w:tcPr>
            <w:tcW w:w="1418" w:type="dxa"/>
            <w:vAlign w:val="center"/>
          </w:tcPr>
          <w:p w:rsidR="00AE05A7" w:rsidRPr="00B86E9B" w:rsidRDefault="00AE05A7" w:rsidP="00F519F5">
            <w:pPr>
              <w:jc w:val="center"/>
              <w:rPr>
                <w:bCs/>
                <w:color w:val="000000"/>
                <w:sz w:val="26"/>
                <w:szCs w:val="26"/>
              </w:rPr>
            </w:pPr>
            <w:r w:rsidRPr="00B86E9B">
              <w:rPr>
                <w:sz w:val="26"/>
                <w:szCs w:val="26"/>
              </w:rPr>
              <w:t>6 420 790</w:t>
            </w:r>
          </w:p>
        </w:tc>
      </w:tr>
      <w:tr w:rsidR="00AE05A7" w:rsidRPr="00B86E9B" w:rsidTr="00F519F5">
        <w:trPr>
          <w:jc w:val="center"/>
        </w:trPr>
        <w:tc>
          <w:tcPr>
            <w:tcW w:w="2505" w:type="dxa"/>
            <w:vAlign w:val="center"/>
          </w:tcPr>
          <w:p w:rsidR="00AE05A7" w:rsidRPr="00B86E9B" w:rsidRDefault="00AE05A7" w:rsidP="00F519F5">
            <w:pPr>
              <w:rPr>
                <w:sz w:val="26"/>
                <w:szCs w:val="26"/>
              </w:rPr>
            </w:pPr>
            <w:r w:rsidRPr="00B86E9B">
              <w:rPr>
                <w:sz w:val="26"/>
                <w:szCs w:val="26"/>
              </w:rPr>
              <w:t>Valsts budžeta līdzekļi ārstniecības pakalpojumiem</w:t>
            </w:r>
          </w:p>
        </w:tc>
        <w:tc>
          <w:tcPr>
            <w:tcW w:w="1459" w:type="dxa"/>
            <w:vAlign w:val="center"/>
          </w:tcPr>
          <w:p w:rsidR="00AE05A7" w:rsidRPr="00B86E9B" w:rsidRDefault="00AE05A7" w:rsidP="00F519F5">
            <w:pPr>
              <w:jc w:val="center"/>
              <w:rPr>
                <w:bCs/>
                <w:color w:val="000000"/>
                <w:sz w:val="26"/>
                <w:szCs w:val="26"/>
              </w:rPr>
            </w:pPr>
            <w:r w:rsidRPr="00B86E9B">
              <w:rPr>
                <w:bCs/>
                <w:color w:val="000000"/>
                <w:sz w:val="26"/>
                <w:szCs w:val="26"/>
              </w:rPr>
              <w:t>44 188 131</w:t>
            </w:r>
          </w:p>
        </w:tc>
        <w:tc>
          <w:tcPr>
            <w:tcW w:w="1531" w:type="dxa"/>
            <w:vAlign w:val="center"/>
          </w:tcPr>
          <w:p w:rsidR="00AE05A7" w:rsidRPr="00B86E9B" w:rsidRDefault="00AE05A7" w:rsidP="00F519F5">
            <w:pPr>
              <w:jc w:val="center"/>
              <w:rPr>
                <w:bCs/>
                <w:color w:val="000000"/>
                <w:sz w:val="26"/>
                <w:szCs w:val="26"/>
              </w:rPr>
            </w:pPr>
            <w:r w:rsidRPr="00B86E9B">
              <w:rPr>
                <w:bCs/>
                <w:color w:val="000000"/>
                <w:sz w:val="26"/>
                <w:szCs w:val="26"/>
              </w:rPr>
              <w:t>41 894 553</w:t>
            </w:r>
          </w:p>
        </w:tc>
        <w:tc>
          <w:tcPr>
            <w:tcW w:w="1418" w:type="dxa"/>
            <w:vAlign w:val="center"/>
          </w:tcPr>
          <w:p w:rsidR="00AE05A7" w:rsidRPr="00B86E9B" w:rsidRDefault="00AE05A7" w:rsidP="00F519F5">
            <w:pPr>
              <w:jc w:val="center"/>
              <w:rPr>
                <w:bCs/>
                <w:color w:val="000000"/>
                <w:sz w:val="26"/>
                <w:szCs w:val="26"/>
              </w:rPr>
            </w:pPr>
            <w:r w:rsidRPr="00B86E9B">
              <w:rPr>
                <w:sz w:val="26"/>
                <w:szCs w:val="26"/>
              </w:rPr>
              <w:t>45 499 634</w:t>
            </w:r>
          </w:p>
        </w:tc>
      </w:tr>
      <w:tr w:rsidR="00AE05A7" w:rsidRPr="00B86E9B" w:rsidTr="00F519F5">
        <w:trPr>
          <w:jc w:val="center"/>
        </w:trPr>
        <w:tc>
          <w:tcPr>
            <w:tcW w:w="2505" w:type="dxa"/>
            <w:vAlign w:val="center"/>
          </w:tcPr>
          <w:p w:rsidR="00AE05A7" w:rsidRPr="00B86E9B" w:rsidRDefault="00AE05A7" w:rsidP="00F519F5">
            <w:pPr>
              <w:rPr>
                <w:sz w:val="26"/>
                <w:szCs w:val="26"/>
              </w:rPr>
            </w:pPr>
            <w:r w:rsidRPr="00B86E9B">
              <w:rPr>
                <w:sz w:val="26"/>
                <w:szCs w:val="26"/>
              </w:rPr>
              <w:t>Pārējie ieņēmumi</w:t>
            </w:r>
          </w:p>
        </w:tc>
        <w:tc>
          <w:tcPr>
            <w:tcW w:w="1459" w:type="dxa"/>
            <w:vAlign w:val="center"/>
          </w:tcPr>
          <w:p w:rsidR="00AE05A7" w:rsidRPr="00B86E9B" w:rsidRDefault="00AE05A7" w:rsidP="00F519F5">
            <w:pPr>
              <w:jc w:val="center"/>
              <w:rPr>
                <w:bCs/>
                <w:color w:val="000000"/>
                <w:sz w:val="26"/>
                <w:szCs w:val="26"/>
              </w:rPr>
            </w:pPr>
            <w:r w:rsidRPr="00B86E9B">
              <w:rPr>
                <w:bCs/>
                <w:color w:val="000000"/>
                <w:sz w:val="26"/>
                <w:szCs w:val="26"/>
              </w:rPr>
              <w:t>7 876 327</w:t>
            </w:r>
          </w:p>
        </w:tc>
        <w:tc>
          <w:tcPr>
            <w:tcW w:w="1531" w:type="dxa"/>
            <w:vAlign w:val="center"/>
          </w:tcPr>
          <w:p w:rsidR="00AE05A7" w:rsidRPr="00B86E9B" w:rsidRDefault="006111DD" w:rsidP="00F519F5">
            <w:pPr>
              <w:jc w:val="center"/>
              <w:rPr>
                <w:bCs/>
                <w:color w:val="000000"/>
                <w:sz w:val="26"/>
                <w:szCs w:val="26"/>
              </w:rPr>
            </w:pPr>
            <w:r w:rsidRPr="00B86E9B">
              <w:rPr>
                <w:bCs/>
                <w:color w:val="000000"/>
                <w:sz w:val="26"/>
                <w:szCs w:val="26"/>
              </w:rPr>
              <w:t>3 898 708</w:t>
            </w:r>
          </w:p>
        </w:tc>
        <w:tc>
          <w:tcPr>
            <w:tcW w:w="1418" w:type="dxa"/>
            <w:vAlign w:val="center"/>
          </w:tcPr>
          <w:p w:rsidR="00AE05A7" w:rsidRPr="00B86E9B" w:rsidRDefault="006111DD" w:rsidP="00F519F5">
            <w:pPr>
              <w:jc w:val="center"/>
              <w:rPr>
                <w:sz w:val="26"/>
                <w:szCs w:val="26"/>
              </w:rPr>
            </w:pPr>
            <w:r w:rsidRPr="00B86E9B">
              <w:rPr>
                <w:sz w:val="26"/>
                <w:szCs w:val="26"/>
              </w:rPr>
              <w:t>5 656 188</w:t>
            </w:r>
          </w:p>
        </w:tc>
      </w:tr>
    </w:tbl>
    <w:p w:rsidR="00CE5EF7" w:rsidRPr="00B86E9B" w:rsidRDefault="00CE5EF7" w:rsidP="00CE5EF7">
      <w:pPr>
        <w:jc w:val="both"/>
        <w:rPr>
          <w:sz w:val="28"/>
          <w:szCs w:val="28"/>
        </w:rPr>
      </w:pPr>
    </w:p>
    <w:p w:rsidR="0062138D" w:rsidRPr="00B86E9B" w:rsidRDefault="00CE5EF7" w:rsidP="00123ABA">
      <w:pPr>
        <w:ind w:firstLine="720"/>
        <w:jc w:val="both"/>
        <w:rPr>
          <w:sz w:val="28"/>
          <w:szCs w:val="28"/>
        </w:rPr>
      </w:pPr>
      <w:r w:rsidRPr="00B86E9B">
        <w:rPr>
          <w:sz w:val="28"/>
          <w:szCs w:val="28"/>
        </w:rPr>
        <w:lastRenderedPageBreak/>
        <w:t xml:space="preserve">Pamatojoties uz samazināto veselības aprūpes budžetu, no 2009.gada PSKUS </w:t>
      </w:r>
      <w:r w:rsidRPr="00B86E9B">
        <w:rPr>
          <w:sz w:val="28"/>
        </w:rPr>
        <w:t xml:space="preserve">ieņēmumi </w:t>
      </w:r>
      <w:r w:rsidRPr="00B86E9B">
        <w:rPr>
          <w:sz w:val="28"/>
          <w:szCs w:val="28"/>
        </w:rPr>
        <w:t xml:space="preserve">no valsts budžeta </w:t>
      </w:r>
      <w:r w:rsidRPr="00B86E9B">
        <w:rPr>
          <w:sz w:val="28"/>
        </w:rPr>
        <w:t>būtiski samazinājās</w:t>
      </w:r>
      <w:r w:rsidRPr="00B86E9B">
        <w:rPr>
          <w:sz w:val="28"/>
          <w:szCs w:val="28"/>
        </w:rPr>
        <w:t xml:space="preserve">, līdz ar to arī izmaksu aprēķini (piešķirtais valsts budžeta finansējums) uz vienu gultas dienu proporcionāli samazinājās, kā rezultātā PSKUS radās grūtības segt faktiskos izdevumus par sniegtajiem pakalpojumiem, jo resursu (piemēram, </w:t>
      </w:r>
      <w:r w:rsidR="007E6630" w:rsidRPr="00B86E9B">
        <w:rPr>
          <w:sz w:val="28"/>
          <w:szCs w:val="28"/>
        </w:rPr>
        <w:t>darba samaksas</w:t>
      </w:r>
      <w:r w:rsidR="00C652BD" w:rsidRPr="00B86E9B">
        <w:rPr>
          <w:sz w:val="28"/>
          <w:szCs w:val="28"/>
        </w:rPr>
        <w:t xml:space="preserve"> (dēļ minimālās mēneša darba algas palielināšanas</w:t>
      </w:r>
      <w:r w:rsidR="007D63B8" w:rsidRPr="00B86E9B">
        <w:rPr>
          <w:sz w:val="28"/>
          <w:szCs w:val="28"/>
        </w:rPr>
        <w:t>)</w:t>
      </w:r>
      <w:r w:rsidR="007E6630" w:rsidRPr="00B86E9B">
        <w:rPr>
          <w:sz w:val="28"/>
          <w:szCs w:val="28"/>
        </w:rPr>
        <w:t xml:space="preserve">, </w:t>
      </w:r>
      <w:r w:rsidRPr="00B86E9B">
        <w:rPr>
          <w:sz w:val="28"/>
          <w:szCs w:val="28"/>
        </w:rPr>
        <w:t>elektroenerģijas, gāzes, medikamentu) izmaksas iepriekšminētajā periodā ir ievērojami pieaugušas.</w:t>
      </w:r>
    </w:p>
    <w:p w:rsidR="00123ABA" w:rsidRPr="00B86E9B" w:rsidRDefault="00123ABA" w:rsidP="00123ABA">
      <w:pPr>
        <w:ind w:firstLine="720"/>
        <w:jc w:val="both"/>
        <w:rPr>
          <w:sz w:val="28"/>
          <w:szCs w:val="28"/>
        </w:rPr>
      </w:pPr>
    </w:p>
    <w:p w:rsidR="00CE5EF7" w:rsidRPr="00B86E9B" w:rsidRDefault="00CE5EF7" w:rsidP="00CE5EF7">
      <w:pPr>
        <w:pStyle w:val="Virsraksts3"/>
        <w:numPr>
          <w:ilvl w:val="0"/>
          <w:numId w:val="0"/>
        </w:numPr>
        <w:spacing w:before="0" w:after="0"/>
        <w:ind w:left="706"/>
        <w:jc w:val="right"/>
        <w:rPr>
          <w:b w:val="0"/>
        </w:rPr>
      </w:pPr>
      <w:r w:rsidRPr="00B86E9B">
        <w:rPr>
          <w:rFonts w:eastAsia="Calibri"/>
          <w:b w:val="0"/>
          <w:lang w:eastAsia="lv-LV"/>
        </w:rPr>
        <w:t>Tabula Nr.5:</w:t>
      </w:r>
      <w:r w:rsidRPr="00B86E9B">
        <w:rPr>
          <w:b w:val="0"/>
        </w:rPr>
        <w:t xml:space="preserve"> PSKUS gultas</w:t>
      </w:r>
      <w:r w:rsidR="003F0148" w:rsidRPr="00B86E9B">
        <w:rPr>
          <w:b w:val="0"/>
        </w:rPr>
        <w:t xml:space="preserve"> </w:t>
      </w:r>
      <w:r w:rsidRPr="00B86E9B">
        <w:rPr>
          <w:b w:val="0"/>
        </w:rPr>
        <w:t>dienas tarifa izmaiņas pa gadiem [LVL]</w:t>
      </w:r>
    </w:p>
    <w:tbl>
      <w:tblPr>
        <w:tblStyle w:val="Reatabula"/>
        <w:tblW w:w="0" w:type="auto"/>
        <w:jc w:val="center"/>
        <w:tblInd w:w="-666" w:type="dxa"/>
        <w:tblLook w:val="04A0"/>
      </w:tblPr>
      <w:tblGrid>
        <w:gridCol w:w="2289"/>
        <w:gridCol w:w="1408"/>
        <w:gridCol w:w="1394"/>
        <w:gridCol w:w="2021"/>
      </w:tblGrid>
      <w:tr w:rsidR="00CE5EF7" w:rsidRPr="00B86E9B" w:rsidTr="00F519F5">
        <w:trPr>
          <w:jc w:val="center"/>
        </w:trPr>
        <w:tc>
          <w:tcPr>
            <w:tcW w:w="2289" w:type="dxa"/>
            <w:shd w:val="clear" w:color="auto" w:fill="D9D9D9" w:themeFill="background1" w:themeFillShade="D9"/>
          </w:tcPr>
          <w:p w:rsidR="00CE5EF7" w:rsidRPr="00B86E9B" w:rsidRDefault="00CE5EF7" w:rsidP="00F519F5">
            <w:pPr>
              <w:jc w:val="center"/>
              <w:rPr>
                <w:sz w:val="26"/>
                <w:szCs w:val="26"/>
              </w:rPr>
            </w:pPr>
          </w:p>
        </w:tc>
        <w:tc>
          <w:tcPr>
            <w:tcW w:w="1408" w:type="dxa"/>
            <w:shd w:val="clear" w:color="auto" w:fill="D9D9D9" w:themeFill="background1" w:themeFillShade="D9"/>
          </w:tcPr>
          <w:p w:rsidR="00CE5EF7" w:rsidRPr="00B86E9B" w:rsidRDefault="00CE5EF7" w:rsidP="00F519F5">
            <w:pPr>
              <w:jc w:val="center"/>
              <w:rPr>
                <w:sz w:val="26"/>
                <w:szCs w:val="26"/>
              </w:rPr>
            </w:pPr>
            <w:r w:rsidRPr="00B86E9B">
              <w:rPr>
                <w:sz w:val="26"/>
                <w:szCs w:val="26"/>
              </w:rPr>
              <w:t>2008.gads</w:t>
            </w:r>
          </w:p>
        </w:tc>
        <w:tc>
          <w:tcPr>
            <w:tcW w:w="1394" w:type="dxa"/>
            <w:shd w:val="clear" w:color="auto" w:fill="D9D9D9" w:themeFill="background1" w:themeFillShade="D9"/>
          </w:tcPr>
          <w:p w:rsidR="00CE5EF7" w:rsidRPr="00B86E9B" w:rsidRDefault="00CE5EF7" w:rsidP="00F519F5">
            <w:pPr>
              <w:jc w:val="center"/>
              <w:rPr>
                <w:sz w:val="26"/>
                <w:szCs w:val="26"/>
              </w:rPr>
            </w:pPr>
            <w:r w:rsidRPr="00B86E9B">
              <w:rPr>
                <w:sz w:val="26"/>
                <w:szCs w:val="26"/>
              </w:rPr>
              <w:t>2009.gads</w:t>
            </w:r>
          </w:p>
        </w:tc>
        <w:tc>
          <w:tcPr>
            <w:tcW w:w="2021" w:type="dxa"/>
            <w:shd w:val="clear" w:color="auto" w:fill="D9D9D9" w:themeFill="background1" w:themeFillShade="D9"/>
          </w:tcPr>
          <w:p w:rsidR="00CE5EF7" w:rsidRPr="00B86E9B" w:rsidRDefault="00CE5EF7" w:rsidP="00F519F5">
            <w:pPr>
              <w:jc w:val="center"/>
              <w:rPr>
                <w:sz w:val="26"/>
                <w:szCs w:val="26"/>
              </w:rPr>
            </w:pPr>
            <w:r w:rsidRPr="00B86E9B">
              <w:rPr>
                <w:sz w:val="26"/>
                <w:szCs w:val="26"/>
              </w:rPr>
              <w:t xml:space="preserve">2010., 2011., </w:t>
            </w:r>
            <w:r w:rsidRPr="00B86E9B">
              <w:rPr>
                <w:b/>
                <w:sz w:val="26"/>
                <w:szCs w:val="26"/>
              </w:rPr>
              <w:t>2012.gadā</w:t>
            </w:r>
          </w:p>
        </w:tc>
      </w:tr>
      <w:tr w:rsidR="00CE5EF7" w:rsidRPr="00B86E9B" w:rsidTr="00F519F5">
        <w:trPr>
          <w:jc w:val="center"/>
        </w:trPr>
        <w:tc>
          <w:tcPr>
            <w:tcW w:w="2289" w:type="dxa"/>
            <w:vAlign w:val="center"/>
          </w:tcPr>
          <w:p w:rsidR="00CE5EF7" w:rsidRPr="00B86E9B" w:rsidRDefault="00CE5EF7" w:rsidP="00F519F5">
            <w:pPr>
              <w:rPr>
                <w:sz w:val="26"/>
                <w:szCs w:val="26"/>
              </w:rPr>
            </w:pPr>
            <w:r w:rsidRPr="00B86E9B">
              <w:rPr>
                <w:sz w:val="26"/>
                <w:szCs w:val="26"/>
              </w:rPr>
              <w:t>Gultas</w:t>
            </w:r>
            <w:r w:rsidR="003F0148" w:rsidRPr="00B86E9B">
              <w:rPr>
                <w:sz w:val="26"/>
                <w:szCs w:val="26"/>
              </w:rPr>
              <w:t xml:space="preserve"> </w:t>
            </w:r>
            <w:r w:rsidRPr="00B86E9B">
              <w:rPr>
                <w:sz w:val="26"/>
                <w:szCs w:val="26"/>
              </w:rPr>
              <w:t>dienas tarifs</w:t>
            </w:r>
          </w:p>
        </w:tc>
        <w:tc>
          <w:tcPr>
            <w:tcW w:w="1408" w:type="dxa"/>
            <w:vAlign w:val="center"/>
          </w:tcPr>
          <w:p w:rsidR="00CE5EF7" w:rsidRPr="00B86E9B" w:rsidRDefault="00CE5EF7" w:rsidP="00F519F5">
            <w:pPr>
              <w:jc w:val="center"/>
              <w:rPr>
                <w:color w:val="000000"/>
                <w:sz w:val="26"/>
                <w:szCs w:val="26"/>
              </w:rPr>
            </w:pPr>
            <w:r w:rsidRPr="00B86E9B">
              <w:rPr>
                <w:color w:val="000000"/>
                <w:sz w:val="26"/>
                <w:szCs w:val="26"/>
              </w:rPr>
              <w:t>36,58</w:t>
            </w:r>
          </w:p>
        </w:tc>
        <w:tc>
          <w:tcPr>
            <w:tcW w:w="1394" w:type="dxa"/>
            <w:vAlign w:val="center"/>
          </w:tcPr>
          <w:p w:rsidR="008E2E41" w:rsidRPr="00B86E9B" w:rsidRDefault="008E2E41" w:rsidP="00F519F5">
            <w:pPr>
              <w:jc w:val="center"/>
              <w:rPr>
                <w:bCs/>
                <w:color w:val="000000"/>
                <w:sz w:val="26"/>
                <w:szCs w:val="26"/>
              </w:rPr>
            </w:pPr>
            <w:r w:rsidRPr="00B86E9B">
              <w:rPr>
                <w:bCs/>
                <w:color w:val="000000"/>
                <w:sz w:val="26"/>
                <w:szCs w:val="26"/>
              </w:rPr>
              <w:t>no 01.03.</w:t>
            </w:r>
          </w:p>
          <w:p w:rsidR="00CE5EF7" w:rsidRPr="00B86E9B" w:rsidRDefault="00CE5EF7" w:rsidP="00F519F5">
            <w:pPr>
              <w:jc w:val="center"/>
              <w:rPr>
                <w:bCs/>
                <w:color w:val="000000"/>
                <w:sz w:val="26"/>
                <w:szCs w:val="26"/>
              </w:rPr>
            </w:pPr>
            <w:r w:rsidRPr="00B86E9B">
              <w:rPr>
                <w:bCs/>
                <w:color w:val="000000"/>
                <w:sz w:val="26"/>
                <w:szCs w:val="26"/>
              </w:rPr>
              <w:t>29,58</w:t>
            </w:r>
          </w:p>
          <w:p w:rsidR="00CE5EF7" w:rsidRPr="00B86E9B" w:rsidRDefault="008E2E41" w:rsidP="00F519F5">
            <w:pPr>
              <w:jc w:val="center"/>
              <w:rPr>
                <w:bCs/>
                <w:color w:val="000000"/>
                <w:sz w:val="26"/>
                <w:szCs w:val="26"/>
              </w:rPr>
            </w:pPr>
            <w:r w:rsidRPr="00B86E9B">
              <w:rPr>
                <w:bCs/>
                <w:color w:val="000000"/>
                <w:sz w:val="26"/>
                <w:szCs w:val="26"/>
              </w:rPr>
              <w:t>n</w:t>
            </w:r>
            <w:r w:rsidR="00CE5EF7" w:rsidRPr="00B86E9B">
              <w:rPr>
                <w:bCs/>
                <w:color w:val="000000"/>
                <w:sz w:val="26"/>
                <w:szCs w:val="26"/>
              </w:rPr>
              <w:t>o 01.07. 21,82</w:t>
            </w:r>
          </w:p>
        </w:tc>
        <w:tc>
          <w:tcPr>
            <w:tcW w:w="2021" w:type="dxa"/>
            <w:vAlign w:val="center"/>
          </w:tcPr>
          <w:p w:rsidR="00CE5EF7" w:rsidRPr="00B86E9B" w:rsidRDefault="00CE5EF7" w:rsidP="00F519F5">
            <w:pPr>
              <w:jc w:val="center"/>
              <w:rPr>
                <w:bCs/>
                <w:color w:val="000000"/>
                <w:sz w:val="26"/>
                <w:szCs w:val="26"/>
              </w:rPr>
            </w:pPr>
            <w:r w:rsidRPr="00B86E9B">
              <w:rPr>
                <w:sz w:val="26"/>
                <w:szCs w:val="26"/>
              </w:rPr>
              <w:t>24,32</w:t>
            </w:r>
          </w:p>
        </w:tc>
      </w:tr>
    </w:tbl>
    <w:p w:rsidR="00CE5EF7" w:rsidRPr="00B86E9B" w:rsidRDefault="00CE5EF7" w:rsidP="00CE5EF7">
      <w:pPr>
        <w:jc w:val="both"/>
        <w:rPr>
          <w:sz w:val="28"/>
          <w:szCs w:val="28"/>
          <w:lang w:eastAsia="lv-LV"/>
        </w:rPr>
      </w:pPr>
    </w:p>
    <w:p w:rsidR="00CE5EF7" w:rsidRPr="00B86E9B" w:rsidRDefault="00CE5EF7" w:rsidP="00CE5EF7">
      <w:pPr>
        <w:ind w:firstLine="720"/>
        <w:jc w:val="both"/>
        <w:rPr>
          <w:sz w:val="28"/>
          <w:szCs w:val="28"/>
        </w:rPr>
      </w:pPr>
      <w:r w:rsidRPr="00B86E9B">
        <w:rPr>
          <w:sz w:val="28"/>
          <w:szCs w:val="28"/>
        </w:rPr>
        <w:t>Arī 2013.gadā gultas</w:t>
      </w:r>
      <w:r w:rsidR="003F0148" w:rsidRPr="00B86E9B">
        <w:rPr>
          <w:sz w:val="28"/>
          <w:szCs w:val="28"/>
        </w:rPr>
        <w:t xml:space="preserve"> </w:t>
      </w:r>
      <w:r w:rsidRPr="00B86E9B">
        <w:rPr>
          <w:sz w:val="28"/>
          <w:szCs w:val="28"/>
        </w:rPr>
        <w:t xml:space="preserve">dienas tarifs saglabājās 24,32 LVL apmērā, bet 2014.gadā tas saistībā ar ārstniecības personu darba samaksas paaugstināšanu (tarifa elementi D un S) un citu tarifa elementu paaugstināšanu (E –izdevumi, kas saistīti ar pacientu ēdināšanu; U – pieskaitāmās un netiešās ražošanas izmaksas; A – administratīvie izdevumi) tiks palielināts par 11% un sasniegs 26,88 LVL (38,25 EUR), tomēr joprojām būs ievērojami mazākā apmērā kā pirmskrīzes laikā (73,5% apmērā). </w:t>
      </w:r>
    </w:p>
    <w:p w:rsidR="00CE5EF7" w:rsidRPr="00B86E9B" w:rsidRDefault="00CE5EF7" w:rsidP="00CE5EF7">
      <w:pPr>
        <w:ind w:firstLine="720"/>
        <w:jc w:val="both"/>
        <w:rPr>
          <w:sz w:val="28"/>
          <w:szCs w:val="28"/>
        </w:rPr>
      </w:pPr>
      <w:r w:rsidRPr="00B86E9B">
        <w:rPr>
          <w:sz w:val="28"/>
          <w:szCs w:val="28"/>
        </w:rPr>
        <w:t>Kā jau tika norādīts Veselības ministrijas Informatīvajā ziņojumā par Veselības ministrijas kapitālsabiedrībām, kas 2011.gadu ir noslēgušas ar zaudējumiem, arī pārējie stacionārās veselības aprūpes pakalpojumu tarifi krīzes laikā tika ievērojami samazināti un neatbilst pakalpojumu sniegšanas faktiskajām izmaksām un 2012.gadā tarifi netika mainīti. Arī 2013.gadā veselības aprūpes pakalpojumu tarifi netika mainīti, bet 2014.gadā tie</w:t>
      </w:r>
      <w:r w:rsidR="00C35FFC" w:rsidRPr="00B86E9B">
        <w:rPr>
          <w:sz w:val="28"/>
          <w:szCs w:val="28"/>
        </w:rPr>
        <w:t>,</w:t>
      </w:r>
      <w:r w:rsidRPr="00B86E9B">
        <w:rPr>
          <w:sz w:val="28"/>
          <w:szCs w:val="28"/>
        </w:rPr>
        <w:t xml:space="preserve"> saistībā ar ārstniecības personu darba samaksas paaugstināšanu (tarifa elementi D un S) un citu tarifa elementu paaugstināšanu (E –izdevumi, kas saistīti ar pacientu ēdināšanu; U – pieskaitāmās un netiešās ražošanas izmaksas; A – administratīvie izdevumi)</w:t>
      </w:r>
      <w:r w:rsidR="00C35FFC" w:rsidRPr="00B86E9B">
        <w:rPr>
          <w:sz w:val="28"/>
          <w:szCs w:val="28"/>
        </w:rPr>
        <w:t>,</w:t>
      </w:r>
      <w:r w:rsidR="00EA7EF5" w:rsidRPr="00B86E9B">
        <w:rPr>
          <w:sz w:val="28"/>
          <w:szCs w:val="28"/>
        </w:rPr>
        <w:t xml:space="preserve"> atbilstoši Ministru kabineta 2013.gada 17.decembra noteikumiem Nr.1529 „Veselības aprūpes organizēšanas un finansēšanas kārtība”</w:t>
      </w:r>
      <w:r w:rsidRPr="00B86E9B">
        <w:rPr>
          <w:sz w:val="28"/>
          <w:szCs w:val="28"/>
        </w:rPr>
        <w:t xml:space="preserve"> tiks palielināti vidēji par 5% - 6% (robežās no 1% līdz 16%, ko ietekmē tarifa elementu D un S īpatsvars</w:t>
      </w:r>
      <w:r w:rsidR="005C56F5" w:rsidRPr="00B86E9B">
        <w:rPr>
          <w:sz w:val="28"/>
          <w:szCs w:val="28"/>
        </w:rPr>
        <w:t xml:space="preserve"> konkrētā pakalpojuma vai programmas</w:t>
      </w:r>
      <w:r w:rsidRPr="00B86E9B">
        <w:rPr>
          <w:sz w:val="28"/>
          <w:szCs w:val="28"/>
        </w:rPr>
        <w:t xml:space="preserve"> tarifā).</w:t>
      </w:r>
    </w:p>
    <w:p w:rsidR="004B3F2B" w:rsidRPr="00B86E9B" w:rsidRDefault="004B3F2B" w:rsidP="004B3F2B">
      <w:pPr>
        <w:ind w:firstLine="720"/>
        <w:jc w:val="both"/>
        <w:rPr>
          <w:sz w:val="28"/>
          <w:szCs w:val="28"/>
        </w:rPr>
      </w:pPr>
      <w:r w:rsidRPr="00B86E9B">
        <w:rPr>
          <w:sz w:val="28"/>
          <w:szCs w:val="28"/>
        </w:rPr>
        <w:t>PSKUS izdevumi 2012.gadā bija 60 058 731 LVL, kas, salīdzinot ar 2012.gada plānu, bija lielāki par 5 759 443 LVL (10,6%), bet  salīdzinājumā ar 2011.gada faktiskajiem izdevumiem mazāki par 6 841 958 LVL (10,2%).</w:t>
      </w:r>
    </w:p>
    <w:p w:rsidR="004B3F2B" w:rsidRPr="00B86E9B" w:rsidRDefault="004B3F2B" w:rsidP="00123ABA">
      <w:pPr>
        <w:jc w:val="both"/>
        <w:rPr>
          <w:sz w:val="28"/>
          <w:szCs w:val="28"/>
        </w:rPr>
      </w:pPr>
      <w:r w:rsidRPr="00B86E9B">
        <w:rPr>
          <w:sz w:val="28"/>
          <w:szCs w:val="28"/>
        </w:rPr>
        <w:tab/>
        <w:t xml:space="preserve">PSKUS izdevumi personāla atlīdzībai 2012.gadā bija 24 400 847 LVL, kas bija par 1 971 292 LVL (8,8%) lielāki nekā plānots 2012.gadā un par 1 177 791 LVL (5,1%) lielāki nekā 2011.gadā. PSKUS izdevumi par precēm un pakalpojumiem 2012.gadā bija 29 411 737 LVL, kas bija par </w:t>
      </w:r>
      <w:r w:rsidR="00C26AD3" w:rsidRPr="00B86E9B">
        <w:rPr>
          <w:sz w:val="28"/>
          <w:szCs w:val="28"/>
        </w:rPr>
        <w:t>2 405 737</w:t>
      </w:r>
      <w:r w:rsidRPr="00B86E9B">
        <w:rPr>
          <w:sz w:val="28"/>
          <w:szCs w:val="28"/>
        </w:rPr>
        <w:t xml:space="preserve"> LVL </w:t>
      </w:r>
      <w:r w:rsidRPr="00B86E9B">
        <w:rPr>
          <w:sz w:val="28"/>
          <w:szCs w:val="28"/>
        </w:rPr>
        <w:lastRenderedPageBreak/>
        <w:t>(8,</w:t>
      </w:r>
      <w:r w:rsidR="00C26AD3" w:rsidRPr="00B86E9B">
        <w:rPr>
          <w:sz w:val="28"/>
          <w:szCs w:val="28"/>
        </w:rPr>
        <w:t>9</w:t>
      </w:r>
      <w:r w:rsidRPr="00B86E9B">
        <w:rPr>
          <w:sz w:val="28"/>
          <w:szCs w:val="28"/>
        </w:rPr>
        <w:t>%) lielāki nekā plānots, bet par 2 856 724 LVL (8,9%) mazāki nekā 2011.gadā, t.sk. izdevumi par medikamentiem un medicīniskiem materiāliem 2012.gadā bija 23 450 153 LVL, kas bija par 2 497 478 LVL (11,9%) lielāki nekā plānots, bet salīdzinājumā ar 2011.gadu mazāki par 2 988 586 LVL (11,3%).</w:t>
      </w:r>
    </w:p>
    <w:p w:rsidR="00123ABA" w:rsidRPr="00B86E9B" w:rsidRDefault="00123ABA" w:rsidP="00123ABA">
      <w:pPr>
        <w:jc w:val="both"/>
        <w:rPr>
          <w:sz w:val="28"/>
          <w:szCs w:val="28"/>
        </w:rPr>
      </w:pPr>
    </w:p>
    <w:p w:rsidR="002C0774" w:rsidRPr="00B86E9B" w:rsidRDefault="002C0774" w:rsidP="002C0774">
      <w:pPr>
        <w:tabs>
          <w:tab w:val="left" w:pos="851"/>
        </w:tabs>
        <w:jc w:val="right"/>
        <w:rPr>
          <w:i/>
          <w:sz w:val="28"/>
          <w:szCs w:val="28"/>
        </w:rPr>
      </w:pPr>
      <w:r w:rsidRPr="00B86E9B">
        <w:rPr>
          <w:rFonts w:eastAsia="Calibri"/>
          <w:i/>
          <w:sz w:val="28"/>
          <w:szCs w:val="28"/>
          <w:lang w:eastAsia="lv-LV"/>
        </w:rPr>
        <w:t>Tabula Nr.6:</w:t>
      </w:r>
      <w:r w:rsidR="00A510D2" w:rsidRPr="00B86E9B">
        <w:rPr>
          <w:i/>
          <w:sz w:val="28"/>
          <w:szCs w:val="28"/>
        </w:rPr>
        <w:t xml:space="preserve"> PSKUS pakalpojumu izmaksu apjoms un rādītāji</w:t>
      </w:r>
    </w:p>
    <w:tbl>
      <w:tblPr>
        <w:tblW w:w="8335" w:type="dxa"/>
        <w:jc w:val="center"/>
        <w:tblInd w:w="-745" w:type="dxa"/>
        <w:tblLayout w:type="fixed"/>
        <w:tblLook w:val="04A0"/>
      </w:tblPr>
      <w:tblGrid>
        <w:gridCol w:w="3720"/>
        <w:gridCol w:w="1528"/>
        <w:gridCol w:w="1420"/>
        <w:gridCol w:w="1667"/>
      </w:tblGrid>
      <w:tr w:rsidR="002C0774" w:rsidRPr="00B86E9B" w:rsidTr="00135730">
        <w:trPr>
          <w:trHeight w:val="300"/>
          <w:jc w:val="center"/>
        </w:trPr>
        <w:tc>
          <w:tcPr>
            <w:tcW w:w="372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2C0774" w:rsidRPr="00B86E9B" w:rsidRDefault="002C0774" w:rsidP="00F519F5">
            <w:pPr>
              <w:jc w:val="center"/>
              <w:rPr>
                <w:color w:val="000000" w:themeColor="text1"/>
                <w:sz w:val="26"/>
                <w:szCs w:val="26"/>
              </w:rPr>
            </w:pPr>
            <w:r w:rsidRPr="00B86E9B">
              <w:rPr>
                <w:color w:val="000000" w:themeColor="text1"/>
                <w:sz w:val="26"/>
                <w:szCs w:val="26"/>
              </w:rPr>
              <w:t>Rādītājs</w:t>
            </w: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C0774" w:rsidRPr="00B86E9B" w:rsidRDefault="002C0774" w:rsidP="00F519F5">
            <w:pPr>
              <w:jc w:val="center"/>
              <w:rPr>
                <w:color w:val="000000" w:themeColor="text1"/>
                <w:sz w:val="26"/>
                <w:szCs w:val="26"/>
              </w:rPr>
            </w:pPr>
            <w:r w:rsidRPr="00B86E9B">
              <w:rPr>
                <w:color w:val="000000" w:themeColor="text1"/>
                <w:sz w:val="26"/>
                <w:szCs w:val="26"/>
              </w:rPr>
              <w:t>2011.gads</w:t>
            </w:r>
          </w:p>
        </w:tc>
        <w:tc>
          <w:tcPr>
            <w:tcW w:w="308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C0774" w:rsidRPr="00B86E9B" w:rsidRDefault="002C0774" w:rsidP="00F519F5">
            <w:pPr>
              <w:jc w:val="center"/>
              <w:rPr>
                <w:color w:val="000000" w:themeColor="text1"/>
                <w:sz w:val="26"/>
                <w:szCs w:val="26"/>
              </w:rPr>
            </w:pPr>
            <w:r w:rsidRPr="00B86E9B">
              <w:rPr>
                <w:color w:val="000000" w:themeColor="text1"/>
                <w:sz w:val="26"/>
                <w:szCs w:val="26"/>
              </w:rPr>
              <w:t>2012.gads</w:t>
            </w:r>
          </w:p>
        </w:tc>
      </w:tr>
      <w:tr w:rsidR="002C0774" w:rsidRPr="00B86E9B" w:rsidTr="00135730">
        <w:trPr>
          <w:trHeight w:val="300"/>
          <w:jc w:val="center"/>
        </w:trPr>
        <w:tc>
          <w:tcPr>
            <w:tcW w:w="372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2C0774" w:rsidRPr="00B86E9B" w:rsidRDefault="002C0774" w:rsidP="00F519F5">
            <w:pPr>
              <w:jc w:val="center"/>
              <w:rPr>
                <w:color w:val="000000" w:themeColor="text1"/>
                <w:sz w:val="26"/>
                <w:szCs w:val="26"/>
              </w:rPr>
            </w:pP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C0774" w:rsidRPr="00B86E9B" w:rsidRDefault="002C0774" w:rsidP="00F519F5">
            <w:pPr>
              <w:jc w:val="center"/>
              <w:rPr>
                <w:color w:val="000000" w:themeColor="text1"/>
                <w:sz w:val="26"/>
                <w:szCs w:val="26"/>
              </w:rPr>
            </w:pPr>
            <w:r w:rsidRPr="00B86E9B">
              <w:rPr>
                <w:color w:val="000000" w:themeColor="text1"/>
                <w:sz w:val="26"/>
                <w:szCs w:val="26"/>
              </w:rPr>
              <w:t>Izpilde</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C0774" w:rsidRPr="00B86E9B" w:rsidRDefault="002C0774" w:rsidP="00F519F5">
            <w:pPr>
              <w:jc w:val="center"/>
              <w:rPr>
                <w:color w:val="000000" w:themeColor="text1"/>
                <w:sz w:val="26"/>
                <w:szCs w:val="26"/>
              </w:rPr>
            </w:pPr>
            <w:r w:rsidRPr="00B86E9B">
              <w:rPr>
                <w:color w:val="000000" w:themeColor="text1"/>
                <w:sz w:val="26"/>
                <w:szCs w:val="26"/>
              </w:rPr>
              <w:t>Plāns</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C0774" w:rsidRPr="00B86E9B" w:rsidRDefault="002C0774" w:rsidP="00F519F5">
            <w:pPr>
              <w:jc w:val="center"/>
              <w:rPr>
                <w:color w:val="000000" w:themeColor="text1"/>
                <w:sz w:val="26"/>
                <w:szCs w:val="26"/>
              </w:rPr>
            </w:pPr>
            <w:r w:rsidRPr="00B86E9B">
              <w:rPr>
                <w:color w:val="000000" w:themeColor="text1"/>
                <w:sz w:val="26"/>
                <w:szCs w:val="26"/>
              </w:rPr>
              <w:t>Izpilde</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0D629D">
            <w:pPr>
              <w:rPr>
                <w:sz w:val="26"/>
                <w:szCs w:val="26"/>
              </w:rPr>
            </w:pPr>
            <w:r w:rsidRPr="00B86E9B">
              <w:rPr>
                <w:sz w:val="26"/>
                <w:szCs w:val="26"/>
              </w:rPr>
              <w:t>Kopējie izdevumi [</w:t>
            </w:r>
            <w:r w:rsidR="009474D1" w:rsidRPr="00B86E9B">
              <w:rPr>
                <w:sz w:val="26"/>
                <w:szCs w:val="26"/>
              </w:rPr>
              <w:t xml:space="preserve">tūkst. </w:t>
            </w:r>
            <w:r w:rsidRPr="00B86E9B">
              <w:rPr>
                <w:sz w:val="26"/>
                <w:szCs w:val="26"/>
              </w:rPr>
              <w:t>LVL]</w:t>
            </w:r>
            <w:r w:rsidR="00570A9B" w:rsidRPr="00B86E9B">
              <w:rPr>
                <w:sz w:val="26"/>
                <w:szCs w:val="26"/>
              </w:rPr>
              <w:t>, t.sk.:</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jc w:val="center"/>
              <w:rPr>
                <w:color w:val="000000"/>
                <w:sz w:val="26"/>
                <w:szCs w:val="26"/>
              </w:rPr>
            </w:pPr>
            <w:r w:rsidRPr="00B86E9B">
              <w:rPr>
                <w:color w:val="000000"/>
                <w:sz w:val="26"/>
                <w:szCs w:val="26"/>
              </w:rPr>
              <w:t>66 90</w:t>
            </w:r>
            <w:r w:rsidR="009474D1" w:rsidRPr="00B86E9B">
              <w:rPr>
                <w:color w:val="000000"/>
                <w:sz w:val="26"/>
                <w:szCs w:val="26"/>
              </w:rPr>
              <w:t>1</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54 299</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9474D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60 05</w:t>
            </w:r>
            <w:r w:rsidR="009474D1" w:rsidRPr="00B86E9B">
              <w:rPr>
                <w:rFonts w:ascii="Times New Roman" w:hAnsi="Times New Roman"/>
                <w:sz w:val="26"/>
                <w:szCs w:val="26"/>
              </w:rPr>
              <w:t>9</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570A9B">
            <w:pPr>
              <w:ind w:left="124"/>
              <w:rPr>
                <w:sz w:val="26"/>
                <w:szCs w:val="26"/>
              </w:rPr>
            </w:pPr>
            <w:r w:rsidRPr="00B86E9B">
              <w:rPr>
                <w:sz w:val="26"/>
                <w:szCs w:val="26"/>
              </w:rPr>
              <w:t>Personāla atlīdzības izmaksas [</w:t>
            </w:r>
            <w:r w:rsidR="009474D1" w:rsidRPr="00B86E9B">
              <w:rPr>
                <w:sz w:val="26"/>
                <w:szCs w:val="26"/>
              </w:rPr>
              <w:t>tūkst. LVL</w:t>
            </w:r>
            <w:r w:rsidRPr="00B86E9B">
              <w:rPr>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jc w:val="center"/>
              <w:rPr>
                <w:color w:val="000000"/>
                <w:sz w:val="26"/>
                <w:szCs w:val="26"/>
              </w:rPr>
            </w:pPr>
            <w:r w:rsidRPr="00B86E9B">
              <w:rPr>
                <w:color w:val="000000"/>
                <w:sz w:val="26"/>
                <w:szCs w:val="26"/>
              </w:rPr>
              <w:t>23 223</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F52C0B">
            <w:pPr>
              <w:jc w:val="center"/>
              <w:rPr>
                <w:color w:val="000000"/>
                <w:sz w:val="26"/>
                <w:szCs w:val="26"/>
              </w:rPr>
            </w:pPr>
            <w:r w:rsidRPr="00B86E9B">
              <w:rPr>
                <w:color w:val="000000"/>
                <w:sz w:val="26"/>
                <w:szCs w:val="26"/>
              </w:rPr>
              <w:t>22</w:t>
            </w:r>
            <w:r w:rsidR="009474D1" w:rsidRPr="00B86E9B">
              <w:rPr>
                <w:color w:val="000000"/>
                <w:sz w:val="26"/>
                <w:szCs w:val="26"/>
              </w:rPr>
              <w:t> </w:t>
            </w:r>
            <w:r w:rsidRPr="00B86E9B">
              <w:rPr>
                <w:color w:val="000000"/>
                <w:sz w:val="26"/>
                <w:szCs w:val="26"/>
              </w:rPr>
              <w:t>4</w:t>
            </w:r>
            <w:r w:rsidR="009474D1" w:rsidRPr="00B86E9B">
              <w:rPr>
                <w:color w:val="000000"/>
                <w:sz w:val="26"/>
                <w:szCs w:val="26"/>
              </w:rPr>
              <w:t xml:space="preserve">30 </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9474D1">
            <w:pPr>
              <w:jc w:val="center"/>
              <w:rPr>
                <w:color w:val="000000"/>
                <w:sz w:val="26"/>
                <w:szCs w:val="26"/>
              </w:rPr>
            </w:pPr>
            <w:r w:rsidRPr="00B86E9B">
              <w:rPr>
                <w:color w:val="000000"/>
                <w:sz w:val="26"/>
                <w:szCs w:val="26"/>
              </w:rPr>
              <w:t>24 40</w:t>
            </w:r>
            <w:r w:rsidR="009474D1" w:rsidRPr="00B86E9B">
              <w:rPr>
                <w:color w:val="000000"/>
                <w:sz w:val="26"/>
                <w:szCs w:val="26"/>
              </w:rPr>
              <w:t>1</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570A9B">
            <w:pPr>
              <w:ind w:left="124"/>
              <w:rPr>
                <w:sz w:val="26"/>
                <w:szCs w:val="26"/>
              </w:rPr>
            </w:pPr>
            <w:r w:rsidRPr="00B86E9B">
              <w:rPr>
                <w:sz w:val="26"/>
                <w:szCs w:val="26"/>
              </w:rPr>
              <w:t>Preču un pakalpojumu izmaksas [</w:t>
            </w:r>
            <w:r w:rsidR="009474D1" w:rsidRPr="00B86E9B">
              <w:rPr>
                <w:sz w:val="26"/>
                <w:szCs w:val="26"/>
              </w:rPr>
              <w:t>tūkst. LVL</w:t>
            </w:r>
            <w:r w:rsidRPr="00B86E9B">
              <w:rPr>
                <w:sz w:val="26"/>
                <w:szCs w:val="26"/>
              </w:rPr>
              <w:t>], t.sk.:</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jc w:val="center"/>
              <w:rPr>
                <w:bCs/>
                <w:color w:val="000000"/>
                <w:sz w:val="26"/>
                <w:szCs w:val="26"/>
              </w:rPr>
            </w:pPr>
            <w:r w:rsidRPr="00B86E9B">
              <w:rPr>
                <w:bCs/>
                <w:color w:val="000000"/>
                <w:sz w:val="26"/>
                <w:szCs w:val="26"/>
              </w:rPr>
              <w:t xml:space="preserve">32 </w:t>
            </w:r>
            <w:r w:rsidR="009474D1" w:rsidRPr="00B86E9B">
              <w:rPr>
                <w:bCs/>
                <w:color w:val="000000"/>
                <w:sz w:val="26"/>
                <w:szCs w:val="26"/>
              </w:rPr>
              <w:t>268</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F52C0B" w:rsidP="009474D1">
            <w:pPr>
              <w:jc w:val="center"/>
              <w:rPr>
                <w:bCs/>
                <w:color w:val="000000"/>
                <w:sz w:val="26"/>
                <w:szCs w:val="26"/>
              </w:rPr>
            </w:pPr>
            <w:r w:rsidRPr="00B86E9B">
              <w:rPr>
                <w:bCs/>
                <w:color w:val="000000"/>
                <w:sz w:val="26"/>
                <w:szCs w:val="26"/>
              </w:rPr>
              <w:t>27 006</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9474D1">
            <w:pPr>
              <w:jc w:val="center"/>
              <w:rPr>
                <w:bCs/>
                <w:color w:val="000000"/>
                <w:sz w:val="26"/>
                <w:szCs w:val="26"/>
              </w:rPr>
            </w:pPr>
            <w:r w:rsidRPr="00B86E9B">
              <w:rPr>
                <w:bCs/>
                <w:color w:val="000000"/>
                <w:sz w:val="26"/>
                <w:szCs w:val="26"/>
              </w:rPr>
              <w:t>29 41</w:t>
            </w:r>
            <w:r w:rsidR="009474D1" w:rsidRPr="00B86E9B">
              <w:rPr>
                <w:bCs/>
                <w:color w:val="000000"/>
                <w:sz w:val="26"/>
                <w:szCs w:val="26"/>
              </w:rPr>
              <w:t>2</w:t>
            </w:r>
            <w:r w:rsidRPr="00B86E9B">
              <w:rPr>
                <w:bCs/>
                <w:color w:val="000000"/>
                <w:sz w:val="26"/>
                <w:szCs w:val="26"/>
              </w:rPr>
              <w:t xml:space="preserve"> </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570A9B">
            <w:pPr>
              <w:ind w:left="266"/>
              <w:rPr>
                <w:sz w:val="26"/>
                <w:szCs w:val="26"/>
              </w:rPr>
            </w:pPr>
            <w:r w:rsidRPr="00B86E9B">
              <w:rPr>
                <w:sz w:val="26"/>
                <w:szCs w:val="26"/>
              </w:rPr>
              <w:t>Medikamentu izmaksas [</w:t>
            </w:r>
            <w:r w:rsidR="009474D1" w:rsidRPr="00B86E9B">
              <w:rPr>
                <w:sz w:val="26"/>
                <w:szCs w:val="26"/>
              </w:rPr>
              <w:t>tūkst. LVL</w:t>
            </w:r>
            <w:r w:rsidRPr="00B86E9B">
              <w:rPr>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jc w:val="center"/>
              <w:rPr>
                <w:color w:val="000000"/>
                <w:sz w:val="26"/>
                <w:szCs w:val="26"/>
              </w:rPr>
            </w:pPr>
            <w:r w:rsidRPr="00B86E9B">
              <w:rPr>
                <w:color w:val="000000"/>
                <w:sz w:val="26"/>
                <w:szCs w:val="26"/>
              </w:rPr>
              <w:t>26 43</w:t>
            </w:r>
            <w:r w:rsidR="009474D1" w:rsidRPr="00B86E9B">
              <w:rPr>
                <w:color w:val="000000"/>
                <w:sz w:val="26"/>
                <w:szCs w:val="26"/>
              </w:rPr>
              <w:t>9</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jc w:val="center"/>
              <w:rPr>
                <w:bCs/>
                <w:iCs/>
                <w:color w:val="000000"/>
                <w:sz w:val="26"/>
                <w:szCs w:val="26"/>
              </w:rPr>
            </w:pPr>
            <w:r w:rsidRPr="00B86E9B">
              <w:rPr>
                <w:bCs/>
                <w:iCs/>
                <w:color w:val="000000"/>
                <w:sz w:val="26"/>
                <w:szCs w:val="26"/>
              </w:rPr>
              <w:t>20 95</w:t>
            </w:r>
            <w:r w:rsidR="009474D1" w:rsidRPr="00B86E9B">
              <w:rPr>
                <w:bCs/>
                <w:iCs/>
                <w:color w:val="000000"/>
                <w:sz w:val="26"/>
                <w:szCs w:val="26"/>
              </w:rPr>
              <w:t>3</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0D629D" w:rsidP="009474D1">
            <w:pPr>
              <w:jc w:val="center"/>
              <w:rPr>
                <w:bCs/>
                <w:iCs/>
                <w:color w:val="000000"/>
                <w:sz w:val="26"/>
                <w:szCs w:val="26"/>
              </w:rPr>
            </w:pPr>
            <w:r w:rsidRPr="00B86E9B">
              <w:rPr>
                <w:bCs/>
                <w:iCs/>
                <w:color w:val="000000"/>
                <w:sz w:val="26"/>
                <w:szCs w:val="26"/>
              </w:rPr>
              <w:t xml:space="preserve">23 450 </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570A9B">
            <w:pPr>
              <w:ind w:left="124"/>
              <w:rPr>
                <w:color w:val="000000"/>
                <w:sz w:val="26"/>
                <w:szCs w:val="26"/>
              </w:rPr>
            </w:pPr>
            <w:r w:rsidRPr="00B86E9B">
              <w:rPr>
                <w:color w:val="000000"/>
                <w:sz w:val="26"/>
                <w:szCs w:val="26"/>
              </w:rPr>
              <w:t>Procentu izdevumi [</w:t>
            </w:r>
            <w:r w:rsidR="00C26AD3" w:rsidRPr="00B86E9B">
              <w:rPr>
                <w:color w:val="000000"/>
                <w:sz w:val="26"/>
                <w:szCs w:val="26"/>
              </w:rPr>
              <w:t xml:space="preserve">tūkst. </w:t>
            </w:r>
            <w:r w:rsidRPr="00B86E9B">
              <w:rPr>
                <w:color w:val="000000"/>
                <w:sz w:val="26"/>
                <w:szCs w:val="26"/>
              </w:rPr>
              <w:t>LVL]</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C26AD3">
            <w:pPr>
              <w:jc w:val="center"/>
              <w:rPr>
                <w:sz w:val="26"/>
                <w:szCs w:val="26"/>
              </w:rPr>
            </w:pPr>
            <w:r w:rsidRPr="00B86E9B">
              <w:rPr>
                <w:sz w:val="26"/>
                <w:szCs w:val="26"/>
              </w:rPr>
              <w:t>84</w:t>
            </w:r>
            <w:r w:rsidR="00C26AD3" w:rsidRPr="00B86E9B">
              <w:rPr>
                <w:sz w:val="26"/>
                <w:szCs w:val="26"/>
              </w:rPr>
              <w:t>4</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C26AD3">
            <w:pPr>
              <w:jc w:val="center"/>
              <w:rPr>
                <w:sz w:val="26"/>
                <w:szCs w:val="26"/>
              </w:rPr>
            </w:pPr>
            <w:r w:rsidRPr="00B86E9B">
              <w:rPr>
                <w:sz w:val="26"/>
                <w:szCs w:val="26"/>
              </w:rPr>
              <w:t>850</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C26AD3">
            <w:pPr>
              <w:jc w:val="center"/>
              <w:rPr>
                <w:sz w:val="26"/>
                <w:szCs w:val="26"/>
              </w:rPr>
            </w:pPr>
            <w:r w:rsidRPr="00B86E9B">
              <w:rPr>
                <w:sz w:val="26"/>
                <w:szCs w:val="26"/>
              </w:rPr>
              <w:t>7</w:t>
            </w:r>
            <w:r w:rsidR="00C26AD3" w:rsidRPr="00B86E9B">
              <w:rPr>
                <w:sz w:val="26"/>
                <w:szCs w:val="26"/>
              </w:rPr>
              <w:t>30</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570A9B">
            <w:pPr>
              <w:ind w:left="124"/>
              <w:rPr>
                <w:color w:val="000000"/>
                <w:sz w:val="26"/>
                <w:szCs w:val="26"/>
              </w:rPr>
            </w:pPr>
            <w:r w:rsidRPr="00B86E9B">
              <w:rPr>
                <w:color w:val="000000"/>
                <w:sz w:val="26"/>
                <w:szCs w:val="26"/>
              </w:rPr>
              <w:t>Nolietojums [</w:t>
            </w:r>
            <w:r w:rsidR="009474D1" w:rsidRPr="00B86E9B">
              <w:rPr>
                <w:sz w:val="26"/>
                <w:szCs w:val="26"/>
              </w:rPr>
              <w:t>tūkst. LVL</w:t>
            </w:r>
            <w:r w:rsidRPr="00B86E9B">
              <w:rPr>
                <w:color w:val="000000"/>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jc w:val="center"/>
              <w:rPr>
                <w:sz w:val="26"/>
                <w:szCs w:val="26"/>
              </w:rPr>
            </w:pPr>
            <w:r w:rsidRPr="00B86E9B">
              <w:rPr>
                <w:sz w:val="26"/>
                <w:szCs w:val="26"/>
              </w:rPr>
              <w:t>3 707</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9474D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4 01</w:t>
            </w:r>
            <w:r w:rsidR="009474D1" w:rsidRPr="00B86E9B">
              <w:rPr>
                <w:rFonts w:ascii="Times New Roman" w:hAnsi="Times New Roman"/>
                <w:sz w:val="26"/>
                <w:szCs w:val="26"/>
              </w:rPr>
              <w:t>3</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9474D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3 78</w:t>
            </w:r>
            <w:r w:rsidR="006836BF" w:rsidRPr="00B86E9B">
              <w:rPr>
                <w:rFonts w:ascii="Times New Roman" w:hAnsi="Times New Roman"/>
                <w:sz w:val="26"/>
                <w:szCs w:val="26"/>
              </w:rPr>
              <w:t>2</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570A9B">
            <w:pPr>
              <w:ind w:left="124"/>
              <w:rPr>
                <w:color w:val="000000"/>
                <w:sz w:val="26"/>
                <w:szCs w:val="26"/>
              </w:rPr>
            </w:pPr>
            <w:r w:rsidRPr="00B86E9B">
              <w:rPr>
                <w:color w:val="000000"/>
                <w:sz w:val="26"/>
                <w:szCs w:val="26"/>
              </w:rPr>
              <w:t>Pārējās izmaksas [</w:t>
            </w:r>
            <w:r w:rsidR="009474D1" w:rsidRPr="00B86E9B">
              <w:rPr>
                <w:sz w:val="26"/>
                <w:szCs w:val="26"/>
              </w:rPr>
              <w:t>tūkst. LVL</w:t>
            </w:r>
            <w:r w:rsidRPr="00B86E9B">
              <w:rPr>
                <w:color w:val="000000"/>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1B5898" w:rsidP="009474D1">
            <w:pPr>
              <w:jc w:val="center"/>
              <w:rPr>
                <w:sz w:val="26"/>
                <w:szCs w:val="26"/>
              </w:rPr>
            </w:pPr>
            <w:r w:rsidRPr="00B86E9B">
              <w:rPr>
                <w:sz w:val="26"/>
                <w:szCs w:val="26"/>
              </w:rPr>
              <w:t>6 </w:t>
            </w:r>
            <w:r w:rsidR="009474D1" w:rsidRPr="00B86E9B">
              <w:rPr>
                <w:sz w:val="26"/>
                <w:szCs w:val="26"/>
              </w:rPr>
              <w:t>859</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9474D1" w:rsidP="000D629D">
            <w:pPr>
              <w:jc w:val="center"/>
              <w:rPr>
                <w:color w:val="FF0000"/>
                <w:sz w:val="26"/>
                <w:szCs w:val="26"/>
              </w:rPr>
            </w:pPr>
            <w:r w:rsidRPr="00B86E9B">
              <w:rPr>
                <w:sz w:val="26"/>
                <w:szCs w:val="26"/>
              </w:rPr>
              <w:t>0</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1B5898" w:rsidP="009474D1">
            <w:pPr>
              <w:jc w:val="center"/>
              <w:rPr>
                <w:color w:val="000000"/>
                <w:sz w:val="26"/>
                <w:szCs w:val="26"/>
              </w:rPr>
            </w:pPr>
            <w:r w:rsidRPr="00B86E9B">
              <w:rPr>
                <w:color w:val="000000"/>
                <w:sz w:val="26"/>
                <w:szCs w:val="26"/>
              </w:rPr>
              <w:t>1 7</w:t>
            </w:r>
            <w:r w:rsidR="009474D1" w:rsidRPr="00B86E9B">
              <w:rPr>
                <w:color w:val="000000"/>
                <w:sz w:val="26"/>
                <w:szCs w:val="26"/>
              </w:rPr>
              <w:t>3</w:t>
            </w:r>
            <w:r w:rsidR="006836BF" w:rsidRPr="00B86E9B">
              <w:rPr>
                <w:color w:val="000000"/>
                <w:sz w:val="26"/>
                <w:szCs w:val="26"/>
              </w:rPr>
              <w:t>4</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F519F5">
            <w:pPr>
              <w:rPr>
                <w:color w:val="000000"/>
                <w:sz w:val="26"/>
                <w:szCs w:val="26"/>
              </w:rPr>
            </w:pPr>
            <w:r w:rsidRPr="00B86E9B">
              <w:rPr>
                <w:color w:val="000000"/>
                <w:sz w:val="26"/>
                <w:szCs w:val="26"/>
              </w:rPr>
              <w:t>Pacientu skaits</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0D629D">
            <w:pPr>
              <w:jc w:val="center"/>
              <w:rPr>
                <w:sz w:val="26"/>
                <w:szCs w:val="26"/>
              </w:rPr>
            </w:pPr>
            <w:r w:rsidRPr="00B86E9B">
              <w:rPr>
                <w:sz w:val="26"/>
                <w:szCs w:val="26"/>
              </w:rPr>
              <w:t>301 017</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0D629D">
            <w:pPr>
              <w:jc w:val="center"/>
              <w:rPr>
                <w:sz w:val="26"/>
                <w:szCs w:val="26"/>
              </w:rPr>
            </w:pPr>
            <w:r w:rsidRPr="00B86E9B">
              <w:rPr>
                <w:sz w:val="26"/>
                <w:szCs w:val="26"/>
              </w:rPr>
              <w:t>301 090</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0D629D">
            <w:pPr>
              <w:jc w:val="center"/>
              <w:rPr>
                <w:sz w:val="26"/>
                <w:szCs w:val="26"/>
              </w:rPr>
            </w:pPr>
            <w:r w:rsidRPr="00B86E9B">
              <w:rPr>
                <w:sz w:val="26"/>
                <w:szCs w:val="26"/>
              </w:rPr>
              <w:t>318 427</w:t>
            </w:r>
          </w:p>
        </w:tc>
      </w:tr>
      <w:tr w:rsidR="00466C86"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466C86" w:rsidRPr="00B86E9B" w:rsidRDefault="00466C86" w:rsidP="00F519F5">
            <w:pPr>
              <w:rPr>
                <w:color w:val="000000"/>
                <w:sz w:val="26"/>
                <w:szCs w:val="26"/>
              </w:rPr>
            </w:pPr>
            <w:r w:rsidRPr="00B86E9B">
              <w:rPr>
                <w:color w:val="000000"/>
                <w:sz w:val="26"/>
                <w:szCs w:val="26"/>
              </w:rPr>
              <w:t>Izdarīto operāciju skaits</w:t>
            </w:r>
          </w:p>
        </w:tc>
        <w:tc>
          <w:tcPr>
            <w:tcW w:w="1528"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0D629D">
            <w:pPr>
              <w:jc w:val="center"/>
              <w:rPr>
                <w:bCs/>
                <w:sz w:val="26"/>
                <w:szCs w:val="26"/>
              </w:rPr>
            </w:pPr>
            <w:r w:rsidRPr="00B86E9B">
              <w:rPr>
                <w:bCs/>
                <w:sz w:val="26"/>
                <w:szCs w:val="26"/>
              </w:rPr>
              <w:t>53 626</w:t>
            </w:r>
          </w:p>
        </w:tc>
        <w:tc>
          <w:tcPr>
            <w:tcW w:w="1420" w:type="dxa"/>
            <w:tcBorders>
              <w:top w:val="nil"/>
              <w:left w:val="nil"/>
              <w:bottom w:val="single" w:sz="4" w:space="0" w:color="auto"/>
              <w:right w:val="single" w:sz="4" w:space="0" w:color="auto"/>
            </w:tcBorders>
            <w:shd w:val="clear" w:color="auto" w:fill="auto"/>
            <w:vAlign w:val="center"/>
            <w:hideMark/>
          </w:tcPr>
          <w:p w:rsidR="00466C86" w:rsidRPr="00B86E9B" w:rsidRDefault="00466C86" w:rsidP="000D629D">
            <w:pPr>
              <w:jc w:val="center"/>
              <w:rPr>
                <w:bCs/>
                <w:sz w:val="26"/>
                <w:szCs w:val="26"/>
              </w:rPr>
            </w:pPr>
            <w:r w:rsidRPr="00B86E9B">
              <w:rPr>
                <w:bCs/>
                <w:sz w:val="26"/>
                <w:szCs w:val="26"/>
              </w:rPr>
              <w:t>53 626</w:t>
            </w:r>
          </w:p>
        </w:tc>
        <w:tc>
          <w:tcPr>
            <w:tcW w:w="1667" w:type="dxa"/>
            <w:tcBorders>
              <w:top w:val="nil"/>
              <w:left w:val="nil"/>
              <w:bottom w:val="single" w:sz="4" w:space="0" w:color="auto"/>
              <w:right w:val="single" w:sz="4" w:space="0" w:color="auto"/>
            </w:tcBorders>
            <w:shd w:val="clear" w:color="auto" w:fill="auto"/>
            <w:vAlign w:val="center"/>
          </w:tcPr>
          <w:p w:rsidR="00466C86" w:rsidRPr="00B86E9B" w:rsidRDefault="00466C86" w:rsidP="000D629D">
            <w:pPr>
              <w:jc w:val="center"/>
              <w:rPr>
                <w:bCs/>
                <w:sz w:val="26"/>
                <w:szCs w:val="26"/>
              </w:rPr>
            </w:pPr>
            <w:r w:rsidRPr="00B86E9B">
              <w:rPr>
                <w:bCs/>
                <w:sz w:val="26"/>
                <w:szCs w:val="26"/>
              </w:rPr>
              <w:t>54 409</w:t>
            </w:r>
          </w:p>
        </w:tc>
      </w:tr>
      <w:tr w:rsidR="00466C86" w:rsidRPr="00B86E9B" w:rsidTr="00135730">
        <w:trPr>
          <w:trHeight w:val="300"/>
          <w:jc w:val="center"/>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C86" w:rsidRPr="00B86E9B" w:rsidRDefault="00466C86" w:rsidP="00F519F5">
            <w:pPr>
              <w:rPr>
                <w:color w:val="000000"/>
                <w:sz w:val="26"/>
                <w:szCs w:val="26"/>
              </w:rPr>
            </w:pPr>
            <w:r w:rsidRPr="00B86E9B">
              <w:rPr>
                <w:color w:val="000000"/>
                <w:sz w:val="26"/>
                <w:szCs w:val="26"/>
              </w:rPr>
              <w:t>Kopējās izmaksas uz vienu pacientu [LVL]</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466C86" w:rsidRPr="00B86E9B" w:rsidRDefault="00466C86" w:rsidP="000D629D">
            <w:pPr>
              <w:jc w:val="center"/>
              <w:rPr>
                <w:bCs/>
                <w:sz w:val="26"/>
                <w:szCs w:val="26"/>
              </w:rPr>
            </w:pPr>
            <w:r w:rsidRPr="00B86E9B">
              <w:rPr>
                <w:bCs/>
                <w:sz w:val="26"/>
                <w:szCs w:val="26"/>
              </w:rPr>
              <w:t>222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6C86" w:rsidRPr="00B86E9B" w:rsidRDefault="00466C86" w:rsidP="000D629D">
            <w:pPr>
              <w:jc w:val="center"/>
              <w:rPr>
                <w:bCs/>
                <w:sz w:val="26"/>
                <w:szCs w:val="26"/>
              </w:rPr>
            </w:pPr>
            <w:r w:rsidRPr="00B86E9B">
              <w:rPr>
                <w:bCs/>
                <w:sz w:val="26"/>
                <w:szCs w:val="26"/>
              </w:rPr>
              <w:t>180</w:t>
            </w:r>
          </w:p>
        </w:tc>
        <w:tc>
          <w:tcPr>
            <w:tcW w:w="1667" w:type="dxa"/>
            <w:tcBorders>
              <w:top w:val="single" w:sz="4" w:space="0" w:color="auto"/>
              <w:left w:val="nil"/>
              <w:bottom w:val="single" w:sz="4" w:space="0" w:color="auto"/>
              <w:right w:val="single" w:sz="4" w:space="0" w:color="auto"/>
            </w:tcBorders>
            <w:shd w:val="clear" w:color="auto" w:fill="auto"/>
            <w:vAlign w:val="center"/>
          </w:tcPr>
          <w:p w:rsidR="00466C86" w:rsidRPr="00B86E9B" w:rsidRDefault="00466C86" w:rsidP="000D629D">
            <w:pPr>
              <w:jc w:val="center"/>
              <w:rPr>
                <w:bCs/>
                <w:sz w:val="26"/>
                <w:szCs w:val="26"/>
              </w:rPr>
            </w:pPr>
            <w:r w:rsidRPr="00B86E9B">
              <w:rPr>
                <w:bCs/>
                <w:sz w:val="26"/>
                <w:szCs w:val="26"/>
              </w:rPr>
              <w:t>189</w:t>
            </w:r>
          </w:p>
        </w:tc>
      </w:tr>
    </w:tbl>
    <w:p w:rsidR="002C0774" w:rsidRPr="00B86E9B" w:rsidRDefault="002C0774" w:rsidP="002C0774">
      <w:pPr>
        <w:tabs>
          <w:tab w:val="left" w:pos="851"/>
        </w:tabs>
        <w:jc w:val="both"/>
        <w:rPr>
          <w:sz w:val="28"/>
          <w:szCs w:val="28"/>
        </w:rPr>
      </w:pPr>
      <w:r w:rsidRPr="00B86E9B">
        <w:rPr>
          <w:sz w:val="28"/>
          <w:szCs w:val="28"/>
        </w:rPr>
        <w:t xml:space="preserve"> </w:t>
      </w:r>
    </w:p>
    <w:p w:rsidR="002C0774" w:rsidRPr="00B86E9B" w:rsidRDefault="002C0774" w:rsidP="00F32369">
      <w:pPr>
        <w:tabs>
          <w:tab w:val="left" w:pos="-8364"/>
        </w:tabs>
        <w:jc w:val="both"/>
        <w:rPr>
          <w:sz w:val="28"/>
          <w:szCs w:val="28"/>
        </w:rPr>
      </w:pPr>
      <w:r w:rsidRPr="00B86E9B">
        <w:rPr>
          <w:sz w:val="28"/>
          <w:szCs w:val="28"/>
        </w:rPr>
        <w:tab/>
        <w:t>Izdevumu palielināšanās personāla atlīdzībai attiecībā pret 2012.gada plānu un salīdzinājumā ar 2011.gadu galvenokārt ir skaidrojama ar to, ka būtiski – par 17 337 (5,8%) – pieaudzis kopējais ārstēto pacientu skaits pret 2012.gadā plānoto un par 17 410 (5,8%) salīdzinājumā ar 2011.gada izpildi, kā arī PSKUS veikto operāciju skaits 2012.gadā palielinājies par 783 (1,5%) gan attiecībā pret 2012.gada plānu, gan arī salīdzinājumā ar 2011.gada izpildi. Neskatoties uz kopējo ārstēto pacientu  un veikto operāciju skaita palielināšanos, izdevumi par medikamentiem un medicīniskiem materiāliem salīdzinājumā ar 2011.gada izpildi samazinājās, un tas galvenokārt ir saistīts ar PSKUS 2012.gadā veikto zāļu un medikamentu uzskaites un norakstīšanas sistēmas pilnveidošanu, kas tika veikta saskaņā ar Veselības ministrijas ieteikumiem.</w:t>
      </w:r>
    </w:p>
    <w:p w:rsidR="002C0774" w:rsidRPr="00B86E9B" w:rsidRDefault="002C0774" w:rsidP="002C0774">
      <w:pPr>
        <w:jc w:val="both"/>
        <w:rPr>
          <w:sz w:val="28"/>
          <w:szCs w:val="28"/>
        </w:rPr>
      </w:pPr>
      <w:r w:rsidRPr="00B86E9B">
        <w:rPr>
          <w:sz w:val="28"/>
          <w:szCs w:val="28"/>
        </w:rPr>
        <w:tab/>
        <w:t>Viens no galvenajiem faktoriem, kas ietekmē izdevumu par medikamentiem un medicīniskiem materiāliem apjomu ir apkalpoto pacientu specifika, proti, PSKUS bieži nonāk pacienti ar smagām veselības problēmām, kuriem nav bijis iespējams sniegt palīdzību zemākā līmeņa stacionārās veselības aprūpes iestādēs, kā rezultātā pie vienādiem valsts apmaksāto stacionāro veselības aprūpes pakalpojumu tarifiem PSKUS pacientu ārstēšana izmaksā dārgāk nekā citā ārstniecības iestādē, ar ko arī izskaidrojams medikamentu un medicīnas preču izmaksu augstais īpatsvars kopējo izmaksu ietvaros.</w:t>
      </w:r>
    </w:p>
    <w:p w:rsidR="002C0774" w:rsidRPr="00B86E9B" w:rsidRDefault="002C0774" w:rsidP="002C0774">
      <w:pPr>
        <w:ind w:firstLine="720"/>
        <w:jc w:val="both"/>
        <w:rPr>
          <w:sz w:val="28"/>
          <w:szCs w:val="28"/>
        </w:rPr>
      </w:pPr>
      <w:r w:rsidRPr="00B86E9B">
        <w:rPr>
          <w:sz w:val="28"/>
          <w:szCs w:val="28"/>
        </w:rPr>
        <w:lastRenderedPageBreak/>
        <w:t>PSKUS naudas līdzekļu atlikums uz 31.12.2012. bija  37 201 077 LVL, tajā skait</w:t>
      </w:r>
      <w:r w:rsidR="006D1A7F" w:rsidRPr="00B86E9B">
        <w:rPr>
          <w:sz w:val="28"/>
          <w:szCs w:val="28"/>
        </w:rPr>
        <w:t>ā valsts galvotā aizdevuma līdzekļi</w:t>
      </w:r>
      <w:r w:rsidRPr="00B86E9B">
        <w:rPr>
          <w:sz w:val="28"/>
          <w:szCs w:val="28"/>
        </w:rPr>
        <w:t xml:space="preserve"> 29 514 167 LVL, Eiropas Savienības fon</w:t>
      </w:r>
      <w:r w:rsidR="00F07850" w:rsidRPr="00B86E9B">
        <w:rPr>
          <w:sz w:val="28"/>
          <w:szCs w:val="28"/>
        </w:rPr>
        <w:t>du projektu līdzfinansējuma līdzekļi</w:t>
      </w:r>
      <w:r w:rsidRPr="00B86E9B">
        <w:rPr>
          <w:sz w:val="28"/>
          <w:szCs w:val="28"/>
        </w:rPr>
        <w:t xml:space="preserve"> 434 152 LVL apmērā un PSKUS pašu līdzekļi 7 252 758 LVL apmērā. PSKUS atlikuma apmērs 2012.gadā salīdzinājumā ar 2012.gada plānu ir palielinājies par  2 959 194 LVL. Palielinājums bija saistīts ar piesardzīgas finanšu vadības politikas ievērošanu, kas ļautu izslēgt iespējamo finanšu sarežģījumu rašanos gadījumā, ja no PSKUS neatkarīgu iemeslu dēļ kavētos 2013.gada līguma noslēgšana ar Nacionālo veselības dienestu.</w:t>
      </w:r>
    </w:p>
    <w:p w:rsidR="002C0774" w:rsidRPr="00B86E9B" w:rsidRDefault="002C0774" w:rsidP="002C0774">
      <w:pPr>
        <w:ind w:firstLine="720"/>
        <w:jc w:val="both"/>
        <w:rPr>
          <w:sz w:val="28"/>
          <w:szCs w:val="28"/>
        </w:rPr>
      </w:pPr>
    </w:p>
    <w:p w:rsidR="002C0774" w:rsidRPr="00B86E9B" w:rsidRDefault="002C0774" w:rsidP="002C0774">
      <w:pPr>
        <w:tabs>
          <w:tab w:val="left" w:pos="851"/>
        </w:tabs>
        <w:jc w:val="right"/>
        <w:rPr>
          <w:sz w:val="28"/>
          <w:szCs w:val="28"/>
        </w:rPr>
      </w:pPr>
      <w:r w:rsidRPr="00B86E9B">
        <w:rPr>
          <w:i/>
          <w:sz w:val="28"/>
          <w:szCs w:val="28"/>
        </w:rPr>
        <w:t>Tabula Nr.7: PSKUS finanšu rādītāji 2012.gadā [LVL]</w:t>
      </w:r>
    </w:p>
    <w:tbl>
      <w:tblPr>
        <w:tblStyle w:val="Reatabula"/>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755"/>
        <w:gridCol w:w="1677"/>
        <w:gridCol w:w="1845"/>
        <w:gridCol w:w="1602"/>
      </w:tblGrid>
      <w:tr w:rsidR="002C0774" w:rsidRPr="00B86E9B" w:rsidTr="00F519F5">
        <w:trPr>
          <w:jc w:val="center"/>
        </w:trPr>
        <w:tc>
          <w:tcPr>
            <w:tcW w:w="2160" w:type="dxa"/>
            <w:shd w:val="clear" w:color="auto" w:fill="D9D9D9" w:themeFill="background1" w:themeFillShade="D9"/>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Rādītāji</w:t>
            </w:r>
          </w:p>
        </w:tc>
        <w:tc>
          <w:tcPr>
            <w:tcW w:w="1800" w:type="dxa"/>
            <w:shd w:val="clear" w:color="auto" w:fill="D9D9D9" w:themeFill="background1" w:themeFillShade="D9"/>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Plānotie</w:t>
            </w:r>
          </w:p>
        </w:tc>
        <w:tc>
          <w:tcPr>
            <w:tcW w:w="1710" w:type="dxa"/>
            <w:shd w:val="clear" w:color="auto" w:fill="D9D9D9" w:themeFill="background1" w:themeFillShade="D9"/>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Faktiskie</w:t>
            </w:r>
          </w:p>
        </w:tc>
        <w:tc>
          <w:tcPr>
            <w:tcW w:w="1890" w:type="dxa"/>
            <w:shd w:val="clear" w:color="auto" w:fill="D9D9D9" w:themeFill="background1" w:themeFillShade="D9"/>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skaitliski</w:t>
            </w:r>
          </w:p>
        </w:tc>
        <w:tc>
          <w:tcPr>
            <w:tcW w:w="1616" w:type="dxa"/>
            <w:shd w:val="clear" w:color="auto" w:fill="D9D9D9" w:themeFill="background1" w:themeFillShade="D9"/>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procentuāli</w:t>
            </w:r>
          </w:p>
        </w:tc>
      </w:tr>
      <w:tr w:rsidR="002C0774" w:rsidRPr="00B86E9B" w:rsidTr="00F519F5">
        <w:trPr>
          <w:jc w:val="center"/>
        </w:trPr>
        <w:tc>
          <w:tcPr>
            <w:tcW w:w="216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ieņēmumi</w:t>
            </w:r>
          </w:p>
        </w:tc>
        <w:tc>
          <w:tcPr>
            <w:tcW w:w="180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51 944 339</w:t>
            </w:r>
          </w:p>
        </w:tc>
        <w:tc>
          <w:tcPr>
            <w:tcW w:w="171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57 576 612</w:t>
            </w:r>
          </w:p>
        </w:tc>
        <w:tc>
          <w:tcPr>
            <w:tcW w:w="189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+ 5 632 273</w:t>
            </w:r>
          </w:p>
        </w:tc>
        <w:tc>
          <w:tcPr>
            <w:tcW w:w="1616"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+ 10,8 %</w:t>
            </w:r>
          </w:p>
        </w:tc>
      </w:tr>
      <w:tr w:rsidR="002C0774" w:rsidRPr="00B86E9B" w:rsidTr="00F519F5">
        <w:trPr>
          <w:jc w:val="center"/>
        </w:trPr>
        <w:tc>
          <w:tcPr>
            <w:tcW w:w="216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izdevumi</w:t>
            </w:r>
          </w:p>
        </w:tc>
        <w:tc>
          <w:tcPr>
            <w:tcW w:w="180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54 299 288</w:t>
            </w:r>
          </w:p>
        </w:tc>
        <w:tc>
          <w:tcPr>
            <w:tcW w:w="171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60 058 731</w:t>
            </w:r>
          </w:p>
        </w:tc>
        <w:tc>
          <w:tcPr>
            <w:tcW w:w="189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+ 5 759 443</w:t>
            </w:r>
          </w:p>
        </w:tc>
        <w:tc>
          <w:tcPr>
            <w:tcW w:w="1616"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+ 10.6 %</w:t>
            </w:r>
          </w:p>
        </w:tc>
      </w:tr>
      <w:tr w:rsidR="002C0774" w:rsidRPr="00B86E9B" w:rsidTr="00F519F5">
        <w:trPr>
          <w:jc w:val="center"/>
        </w:trPr>
        <w:tc>
          <w:tcPr>
            <w:tcW w:w="216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Nolietojums</w:t>
            </w:r>
          </w:p>
        </w:tc>
        <w:tc>
          <w:tcPr>
            <w:tcW w:w="180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4 012 728</w:t>
            </w:r>
          </w:p>
        </w:tc>
        <w:tc>
          <w:tcPr>
            <w:tcW w:w="171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3 781 577</w:t>
            </w:r>
          </w:p>
        </w:tc>
        <w:tc>
          <w:tcPr>
            <w:tcW w:w="189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- 231 151</w:t>
            </w:r>
          </w:p>
        </w:tc>
        <w:tc>
          <w:tcPr>
            <w:tcW w:w="1616" w:type="dxa"/>
            <w:vAlign w:val="center"/>
          </w:tcPr>
          <w:p w:rsidR="002C0774" w:rsidRPr="00B86E9B" w:rsidRDefault="002C0774" w:rsidP="00F519F5">
            <w:pPr>
              <w:jc w:val="center"/>
              <w:rPr>
                <w:sz w:val="26"/>
                <w:szCs w:val="26"/>
              </w:rPr>
            </w:pPr>
            <w:r w:rsidRPr="00B86E9B">
              <w:rPr>
                <w:sz w:val="26"/>
                <w:szCs w:val="26"/>
              </w:rPr>
              <w:t>- 5,8 %</w:t>
            </w:r>
          </w:p>
        </w:tc>
      </w:tr>
      <w:tr w:rsidR="002C0774" w:rsidRPr="00B86E9B" w:rsidTr="00F519F5">
        <w:trPr>
          <w:jc w:val="center"/>
        </w:trPr>
        <w:tc>
          <w:tcPr>
            <w:tcW w:w="216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Zaudējumi</w:t>
            </w:r>
          </w:p>
        </w:tc>
        <w:tc>
          <w:tcPr>
            <w:tcW w:w="180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- 2 354 949</w:t>
            </w:r>
          </w:p>
        </w:tc>
        <w:tc>
          <w:tcPr>
            <w:tcW w:w="1710" w:type="dxa"/>
            <w:vAlign w:val="center"/>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- 2 482 119</w:t>
            </w:r>
          </w:p>
        </w:tc>
        <w:tc>
          <w:tcPr>
            <w:tcW w:w="1890" w:type="dxa"/>
            <w:vAlign w:val="bottom"/>
          </w:tcPr>
          <w:p w:rsidR="002C0774" w:rsidRPr="00B86E9B" w:rsidRDefault="002C0774"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+ 127 170</w:t>
            </w:r>
          </w:p>
        </w:tc>
        <w:tc>
          <w:tcPr>
            <w:tcW w:w="1616" w:type="dxa"/>
            <w:vAlign w:val="center"/>
          </w:tcPr>
          <w:p w:rsidR="002C0774" w:rsidRPr="00B86E9B" w:rsidRDefault="002C0774" w:rsidP="00F519F5">
            <w:pPr>
              <w:jc w:val="center"/>
              <w:rPr>
                <w:sz w:val="26"/>
                <w:szCs w:val="26"/>
              </w:rPr>
            </w:pPr>
            <w:r w:rsidRPr="00B86E9B">
              <w:rPr>
                <w:sz w:val="26"/>
                <w:szCs w:val="26"/>
              </w:rPr>
              <w:t>5,4 %</w:t>
            </w:r>
          </w:p>
        </w:tc>
      </w:tr>
    </w:tbl>
    <w:p w:rsidR="002C0774" w:rsidRPr="00B86E9B" w:rsidRDefault="002C0774" w:rsidP="002C0774">
      <w:pPr>
        <w:ind w:firstLine="720"/>
        <w:jc w:val="both"/>
        <w:rPr>
          <w:sz w:val="28"/>
          <w:szCs w:val="28"/>
        </w:rPr>
      </w:pPr>
    </w:p>
    <w:p w:rsidR="002C0774" w:rsidRPr="00B86E9B" w:rsidRDefault="002C0774" w:rsidP="002C0774">
      <w:pPr>
        <w:ind w:firstLine="720"/>
        <w:jc w:val="both"/>
        <w:rPr>
          <w:sz w:val="28"/>
        </w:rPr>
      </w:pPr>
      <w:r w:rsidRPr="00B86E9B">
        <w:rPr>
          <w:sz w:val="28"/>
          <w:szCs w:val="28"/>
        </w:rPr>
        <w:t xml:space="preserve">PSKUS zaudējumi 2012.gadā </w:t>
      </w:r>
      <w:r w:rsidRPr="00B86E9B">
        <w:rPr>
          <w:sz w:val="28"/>
          <w:szCs w:val="28"/>
          <w:lang w:eastAsia="lv-LV"/>
        </w:rPr>
        <w:t>bija 2 482 119 LVL un</w:t>
      </w:r>
      <w:r w:rsidRPr="00B86E9B">
        <w:rPr>
          <w:sz w:val="28"/>
          <w:szCs w:val="28"/>
        </w:rPr>
        <w:t xml:space="preserve"> salīdzinājumā ar 2011.gadu samazinājušies par </w:t>
      </w:r>
      <w:r w:rsidRPr="00B86E9B">
        <w:rPr>
          <w:sz w:val="28"/>
          <w:szCs w:val="28"/>
          <w:lang w:eastAsia="lv-LV"/>
        </w:rPr>
        <w:t xml:space="preserve">6 428 944 LVL (72,1%), kas vērtējams pozitīvi. Zaudējumi galvenokārt ir skaidrojami ar to, ka PSKUS </w:t>
      </w:r>
      <w:r w:rsidRPr="00B86E9B">
        <w:rPr>
          <w:sz w:val="28"/>
        </w:rPr>
        <w:t>faktiskie izdevumi par sniegtajiem veselības aprūpes pakalpojumiem ir augstāki par Ministru kabineta 2006.gada 19.decembra noteikumos Nr.1046 „Veselības aprūpes organizēšanas un finansēšanas kārtība” atsevišķām veselības aprūpes programmām un pakalpojumiem noteiktajiem tarifiem, jo:</w:t>
      </w:r>
    </w:p>
    <w:p w:rsidR="002C0774" w:rsidRPr="00B86E9B" w:rsidRDefault="007440B9" w:rsidP="002C0774">
      <w:pPr>
        <w:pStyle w:val="Sarakstarindkopa"/>
        <w:numPr>
          <w:ilvl w:val="0"/>
          <w:numId w:val="10"/>
        </w:numPr>
        <w:spacing w:after="0" w:line="240" w:lineRule="auto"/>
        <w:ind w:left="1134"/>
        <w:jc w:val="both"/>
        <w:rPr>
          <w:rFonts w:ascii="Times New Roman" w:eastAsia="Times New Roman" w:hAnsi="Times New Roman"/>
          <w:sz w:val="28"/>
          <w:szCs w:val="28"/>
          <w:lang w:eastAsia="lv-LV"/>
        </w:rPr>
      </w:pPr>
      <w:r w:rsidRPr="00B86E9B">
        <w:rPr>
          <w:rFonts w:ascii="Times New Roman" w:eastAsia="Times New Roman" w:hAnsi="Times New Roman"/>
          <w:sz w:val="28"/>
          <w:szCs w:val="28"/>
          <w:lang w:eastAsia="lv-LV"/>
        </w:rPr>
        <w:t xml:space="preserve">valsts budžeta ierobežoto iespēju dēļ </w:t>
      </w:r>
      <w:r w:rsidR="002C0774" w:rsidRPr="00B86E9B">
        <w:rPr>
          <w:rFonts w:ascii="Times New Roman" w:eastAsia="Times New Roman" w:hAnsi="Times New Roman"/>
          <w:sz w:val="28"/>
          <w:szCs w:val="28"/>
          <w:lang w:eastAsia="lv-LV"/>
        </w:rPr>
        <w:t>jau ilgstoši nav aktualizēti</w:t>
      </w:r>
      <w:r w:rsidR="0018690A" w:rsidRPr="00B86E9B">
        <w:rPr>
          <w:rFonts w:ascii="Times New Roman" w:eastAsia="Times New Roman" w:hAnsi="Times New Roman"/>
          <w:sz w:val="28"/>
          <w:szCs w:val="28"/>
          <w:lang w:eastAsia="lv-LV"/>
        </w:rPr>
        <w:t xml:space="preserve"> tarifi</w:t>
      </w:r>
      <w:r w:rsidR="002C0774" w:rsidRPr="00B86E9B">
        <w:rPr>
          <w:rFonts w:ascii="Times New Roman" w:eastAsia="Times New Roman" w:hAnsi="Times New Roman"/>
          <w:sz w:val="28"/>
          <w:szCs w:val="28"/>
          <w:lang w:eastAsia="lv-LV"/>
        </w:rPr>
        <w:t>, lai iekļautu pakalpojumu sniegšanai nepieciešamo resursu sadārdzināšanos;</w:t>
      </w:r>
    </w:p>
    <w:p w:rsidR="002C0774" w:rsidRPr="00B86E9B" w:rsidRDefault="002C0774" w:rsidP="002C0774">
      <w:pPr>
        <w:pStyle w:val="Sarakstarindkopa"/>
        <w:numPr>
          <w:ilvl w:val="0"/>
          <w:numId w:val="10"/>
        </w:numPr>
        <w:spacing w:after="0" w:line="240" w:lineRule="auto"/>
        <w:ind w:left="1134"/>
        <w:jc w:val="both"/>
        <w:rPr>
          <w:rFonts w:ascii="Times New Roman" w:eastAsia="Times New Roman" w:hAnsi="Times New Roman"/>
          <w:sz w:val="28"/>
          <w:szCs w:val="28"/>
          <w:lang w:eastAsia="lv-LV"/>
        </w:rPr>
      </w:pPr>
      <w:r w:rsidRPr="00B86E9B">
        <w:rPr>
          <w:rFonts w:ascii="Times New Roman" w:eastAsia="Times New Roman" w:hAnsi="Times New Roman"/>
          <w:sz w:val="28"/>
          <w:szCs w:val="28"/>
          <w:lang w:eastAsia="lv-LV"/>
        </w:rPr>
        <w:t>2009.gadā</w:t>
      </w:r>
      <w:r w:rsidR="00F1542D" w:rsidRPr="00B86E9B">
        <w:rPr>
          <w:rFonts w:ascii="Times New Roman" w:eastAsia="Times New Roman" w:hAnsi="Times New Roman"/>
          <w:sz w:val="28"/>
          <w:szCs w:val="28"/>
          <w:lang w:eastAsia="lv-LV"/>
        </w:rPr>
        <w:t>, lai nodrošinātu valsts budžeta konsolidācijas pasākumus,</w:t>
      </w:r>
      <w:r w:rsidRPr="00B86E9B">
        <w:rPr>
          <w:rFonts w:ascii="Times New Roman" w:eastAsia="Times New Roman" w:hAnsi="Times New Roman"/>
          <w:sz w:val="28"/>
          <w:szCs w:val="28"/>
          <w:lang w:eastAsia="lv-LV"/>
        </w:rPr>
        <w:t xml:space="preserve"> tika samazināti tarifa elementi U (pieskaitāmās un netiešās ražošanas izmaksas) u</w:t>
      </w:r>
      <w:r w:rsidR="00F1542D" w:rsidRPr="00B86E9B">
        <w:rPr>
          <w:rFonts w:ascii="Times New Roman" w:eastAsia="Times New Roman" w:hAnsi="Times New Roman"/>
          <w:sz w:val="28"/>
          <w:szCs w:val="28"/>
          <w:lang w:eastAsia="lv-LV"/>
        </w:rPr>
        <w:t xml:space="preserve">n A (administratīvās izmaksas) </w:t>
      </w:r>
      <w:r w:rsidRPr="00B86E9B">
        <w:rPr>
          <w:rFonts w:ascii="Times New Roman" w:eastAsia="Times New Roman" w:hAnsi="Times New Roman"/>
          <w:sz w:val="28"/>
          <w:szCs w:val="28"/>
          <w:lang w:eastAsia="lv-LV"/>
        </w:rPr>
        <w:t>un ārstniecības iestādēm nebija līdzekļu iekārtu nomaiņai un līdz ar to ir pieaugušas esošo iekārtu uzturēšanas izmaksas.</w:t>
      </w:r>
    </w:p>
    <w:p w:rsidR="002C0774" w:rsidRPr="00B86E9B" w:rsidRDefault="002C0774" w:rsidP="002C0774">
      <w:pPr>
        <w:ind w:firstLine="720"/>
        <w:jc w:val="both"/>
        <w:rPr>
          <w:sz w:val="28"/>
          <w:szCs w:val="28"/>
          <w:lang w:eastAsia="lv-LV"/>
        </w:rPr>
      </w:pPr>
      <w:r w:rsidRPr="00B86E9B">
        <w:rPr>
          <w:sz w:val="28"/>
          <w:szCs w:val="28"/>
          <w:lang w:eastAsia="lv-LV"/>
        </w:rPr>
        <w:t>Ņemot vērā 2013.gada beigās papildus piešķirto valsts budžeta finansējumu veselības aprūpes pakalpojumu pieejamības uzlabošanai 4 633 448 LVL apmērā (Ministru kabineta 2013.gada 4.oktobra rīkojums Nr.459) un stacionāro ārstniecības iestāžu infrastruktūra</w:t>
      </w:r>
      <w:r w:rsidR="002D3DF6" w:rsidRPr="00B86E9B">
        <w:rPr>
          <w:sz w:val="28"/>
          <w:szCs w:val="28"/>
          <w:lang w:eastAsia="lv-LV"/>
        </w:rPr>
        <w:t xml:space="preserve">s uzturēšanas izdevumu </w:t>
      </w:r>
      <w:r w:rsidRPr="00B86E9B">
        <w:rPr>
          <w:sz w:val="28"/>
          <w:szCs w:val="28"/>
          <w:lang w:eastAsia="lv-LV"/>
        </w:rPr>
        <w:t>segšanai 5 332 132 LVL apmērā (Ministru kabineta 2013.gada 20.decembra rīkojums Nr.674) plānojams, ka arī 2013.gadā PSKUS</w:t>
      </w:r>
      <w:r w:rsidR="00E2509E" w:rsidRPr="00B86E9B">
        <w:rPr>
          <w:sz w:val="28"/>
          <w:szCs w:val="28"/>
          <w:lang w:eastAsia="lv-LV"/>
        </w:rPr>
        <w:t xml:space="preserve"> darbības </w:t>
      </w:r>
      <w:r w:rsidR="00CC52E2" w:rsidRPr="00B86E9B">
        <w:rPr>
          <w:sz w:val="28"/>
          <w:szCs w:val="28"/>
          <w:lang w:eastAsia="lv-LV"/>
        </w:rPr>
        <w:t>rādītāji</w:t>
      </w:r>
      <w:r w:rsidR="00E2509E" w:rsidRPr="00B86E9B">
        <w:rPr>
          <w:sz w:val="28"/>
          <w:szCs w:val="28"/>
          <w:lang w:eastAsia="lv-LV"/>
        </w:rPr>
        <w:t xml:space="preserve"> uzlabosies</w:t>
      </w:r>
      <w:r w:rsidRPr="00B86E9B">
        <w:rPr>
          <w:sz w:val="28"/>
          <w:szCs w:val="28"/>
          <w:lang w:eastAsia="lv-LV"/>
        </w:rPr>
        <w:t>.</w:t>
      </w:r>
    </w:p>
    <w:p w:rsidR="002C0774" w:rsidRPr="00B86E9B" w:rsidRDefault="002C0774" w:rsidP="002C0774">
      <w:pPr>
        <w:ind w:firstLine="706"/>
        <w:jc w:val="both"/>
        <w:rPr>
          <w:sz w:val="28"/>
          <w:szCs w:val="28"/>
        </w:rPr>
      </w:pPr>
      <w:r w:rsidRPr="00B86E9B">
        <w:rPr>
          <w:sz w:val="28"/>
          <w:szCs w:val="28"/>
        </w:rPr>
        <w:t xml:space="preserve">Saistībā ar to, ka krīzes laikā samazinātais valsts finansējums veselības aprūpes pakalpojumu apmaksai radīja PSKUS finanšu deficītu, finanšu situācija līdz 2012.gada vidum bija vērtējama kā smaga, kā rezultātā PSKUS bija grūtības </w:t>
      </w:r>
      <w:r w:rsidRPr="00B86E9B">
        <w:rPr>
          <w:sz w:val="28"/>
          <w:szCs w:val="28"/>
        </w:rPr>
        <w:lastRenderedPageBreak/>
        <w:t xml:space="preserve">norēķināties ar preču piegādātājiem un pakalpojumu sniedzējiem, tādējādi palielinoties gan kopējo saistību, gan kavēto maksājumu apjomam. </w:t>
      </w:r>
    </w:p>
    <w:p w:rsidR="0062138D" w:rsidRPr="00B86E9B" w:rsidRDefault="0062138D" w:rsidP="00270598">
      <w:pPr>
        <w:jc w:val="both"/>
        <w:rPr>
          <w:sz w:val="28"/>
          <w:szCs w:val="28"/>
        </w:rPr>
      </w:pPr>
    </w:p>
    <w:p w:rsidR="002C0774" w:rsidRPr="00B86E9B" w:rsidRDefault="002C0774" w:rsidP="002C0774">
      <w:pPr>
        <w:ind w:firstLine="562"/>
        <w:jc w:val="right"/>
        <w:rPr>
          <w:i/>
          <w:sz w:val="28"/>
          <w:szCs w:val="28"/>
        </w:rPr>
      </w:pPr>
      <w:r w:rsidRPr="00B86E9B">
        <w:rPr>
          <w:i/>
          <w:sz w:val="28"/>
          <w:szCs w:val="28"/>
        </w:rPr>
        <w:t>Tabula Nr.8: PSKUS īstermiņa kreditoru saistību struktūra [LVL]</w:t>
      </w:r>
    </w:p>
    <w:tbl>
      <w:tblPr>
        <w:tblW w:w="815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1417"/>
        <w:gridCol w:w="1418"/>
        <w:gridCol w:w="1559"/>
        <w:gridCol w:w="1433"/>
      </w:tblGrid>
      <w:tr w:rsidR="002C0774" w:rsidRPr="00B86E9B" w:rsidTr="00F519F5">
        <w:trPr>
          <w:trHeight w:val="645"/>
          <w:jc w:val="center"/>
        </w:trPr>
        <w:tc>
          <w:tcPr>
            <w:tcW w:w="2326" w:type="dxa"/>
            <w:shd w:val="clear" w:color="auto" w:fill="D9D9D9" w:themeFill="background1" w:themeFillShade="D9"/>
            <w:vAlign w:val="center"/>
            <w:hideMark/>
          </w:tcPr>
          <w:p w:rsidR="002C0774" w:rsidRPr="00B86E9B" w:rsidRDefault="002C0774" w:rsidP="00F519F5">
            <w:pPr>
              <w:jc w:val="center"/>
              <w:rPr>
                <w:bCs/>
                <w:color w:val="000000"/>
                <w:sz w:val="26"/>
                <w:szCs w:val="26"/>
              </w:rPr>
            </w:pPr>
          </w:p>
        </w:tc>
        <w:tc>
          <w:tcPr>
            <w:tcW w:w="1417" w:type="dxa"/>
            <w:shd w:val="clear" w:color="auto" w:fill="D9D9D9" w:themeFill="background1" w:themeFillShade="D9"/>
            <w:vAlign w:val="center"/>
            <w:hideMark/>
          </w:tcPr>
          <w:p w:rsidR="002C0774" w:rsidRPr="00B86E9B" w:rsidRDefault="002C0774" w:rsidP="00F519F5">
            <w:pPr>
              <w:jc w:val="center"/>
              <w:rPr>
                <w:bCs/>
                <w:color w:val="000000"/>
                <w:sz w:val="26"/>
                <w:szCs w:val="26"/>
              </w:rPr>
            </w:pPr>
            <w:r w:rsidRPr="00B86E9B">
              <w:rPr>
                <w:bCs/>
                <w:color w:val="000000"/>
                <w:sz w:val="26"/>
                <w:szCs w:val="26"/>
              </w:rPr>
              <w:t>2009.gads</w:t>
            </w:r>
          </w:p>
        </w:tc>
        <w:tc>
          <w:tcPr>
            <w:tcW w:w="1418" w:type="dxa"/>
            <w:shd w:val="clear" w:color="auto" w:fill="D9D9D9" w:themeFill="background1" w:themeFillShade="D9"/>
            <w:vAlign w:val="center"/>
            <w:hideMark/>
          </w:tcPr>
          <w:p w:rsidR="002C0774" w:rsidRPr="00B86E9B" w:rsidRDefault="002C0774" w:rsidP="00F519F5">
            <w:pPr>
              <w:jc w:val="center"/>
              <w:rPr>
                <w:bCs/>
                <w:color w:val="000000"/>
                <w:sz w:val="26"/>
                <w:szCs w:val="26"/>
              </w:rPr>
            </w:pPr>
            <w:r w:rsidRPr="00B86E9B">
              <w:rPr>
                <w:bCs/>
                <w:color w:val="000000"/>
                <w:sz w:val="26"/>
                <w:szCs w:val="26"/>
              </w:rPr>
              <w:t>2010.gads</w:t>
            </w:r>
          </w:p>
        </w:tc>
        <w:tc>
          <w:tcPr>
            <w:tcW w:w="1559" w:type="dxa"/>
            <w:shd w:val="clear" w:color="auto" w:fill="D9D9D9" w:themeFill="background1" w:themeFillShade="D9"/>
            <w:vAlign w:val="center"/>
            <w:hideMark/>
          </w:tcPr>
          <w:p w:rsidR="002C0774" w:rsidRPr="00B86E9B" w:rsidRDefault="002C0774" w:rsidP="00F519F5">
            <w:pPr>
              <w:jc w:val="center"/>
              <w:rPr>
                <w:bCs/>
                <w:color w:val="000000"/>
                <w:sz w:val="26"/>
                <w:szCs w:val="26"/>
              </w:rPr>
            </w:pPr>
            <w:r w:rsidRPr="00B86E9B">
              <w:rPr>
                <w:bCs/>
                <w:color w:val="000000"/>
                <w:sz w:val="26"/>
                <w:szCs w:val="26"/>
              </w:rPr>
              <w:t>2011.gads</w:t>
            </w:r>
          </w:p>
        </w:tc>
        <w:tc>
          <w:tcPr>
            <w:tcW w:w="1433" w:type="dxa"/>
            <w:shd w:val="clear" w:color="auto" w:fill="D9D9D9" w:themeFill="background1" w:themeFillShade="D9"/>
            <w:vAlign w:val="center"/>
          </w:tcPr>
          <w:p w:rsidR="002C0774" w:rsidRPr="00B86E9B" w:rsidRDefault="002C0774" w:rsidP="00F519F5">
            <w:pPr>
              <w:jc w:val="center"/>
              <w:rPr>
                <w:bCs/>
                <w:color w:val="000000"/>
                <w:sz w:val="26"/>
                <w:szCs w:val="26"/>
              </w:rPr>
            </w:pPr>
            <w:r w:rsidRPr="00B86E9B">
              <w:rPr>
                <w:bCs/>
                <w:color w:val="000000"/>
                <w:sz w:val="26"/>
                <w:szCs w:val="26"/>
              </w:rPr>
              <w:t>2012.gads</w:t>
            </w:r>
          </w:p>
        </w:tc>
      </w:tr>
      <w:tr w:rsidR="002C0774" w:rsidRPr="00B86E9B" w:rsidTr="00F519F5">
        <w:trPr>
          <w:trHeight w:val="645"/>
          <w:jc w:val="center"/>
        </w:trPr>
        <w:tc>
          <w:tcPr>
            <w:tcW w:w="2326" w:type="dxa"/>
            <w:shd w:val="clear" w:color="auto" w:fill="auto"/>
            <w:vAlign w:val="center"/>
            <w:hideMark/>
          </w:tcPr>
          <w:p w:rsidR="002C0774" w:rsidRPr="00B86E9B" w:rsidRDefault="002C0774" w:rsidP="00F519F5">
            <w:pPr>
              <w:rPr>
                <w:color w:val="000000"/>
                <w:sz w:val="26"/>
                <w:szCs w:val="26"/>
              </w:rPr>
            </w:pPr>
            <w:r w:rsidRPr="00B86E9B">
              <w:rPr>
                <w:color w:val="000000"/>
                <w:sz w:val="26"/>
                <w:szCs w:val="26"/>
              </w:rPr>
              <w:t>Īstermiņa kreditori</w:t>
            </w:r>
            <w:r w:rsidRPr="00B86E9B" w:rsidDel="00507F08">
              <w:rPr>
                <w:color w:val="000000"/>
                <w:sz w:val="26"/>
                <w:szCs w:val="26"/>
              </w:rPr>
              <w:t xml:space="preserve"> </w:t>
            </w:r>
            <w:r w:rsidRPr="00B86E9B">
              <w:rPr>
                <w:color w:val="000000"/>
                <w:sz w:val="26"/>
                <w:szCs w:val="26"/>
              </w:rPr>
              <w:t>kopā</w:t>
            </w:r>
          </w:p>
        </w:tc>
        <w:tc>
          <w:tcPr>
            <w:tcW w:w="1417" w:type="dxa"/>
            <w:shd w:val="clear" w:color="auto" w:fill="auto"/>
            <w:vAlign w:val="center"/>
            <w:hideMark/>
          </w:tcPr>
          <w:p w:rsidR="002C0774" w:rsidRPr="00B86E9B" w:rsidRDefault="002C0774" w:rsidP="00F519F5">
            <w:pPr>
              <w:jc w:val="center"/>
              <w:rPr>
                <w:bCs/>
                <w:color w:val="000000"/>
                <w:sz w:val="26"/>
                <w:szCs w:val="26"/>
              </w:rPr>
            </w:pPr>
            <w:r w:rsidRPr="00B86E9B">
              <w:rPr>
                <w:bCs/>
                <w:color w:val="000000"/>
                <w:sz w:val="26"/>
                <w:szCs w:val="26"/>
              </w:rPr>
              <w:t>12 502 504</w:t>
            </w:r>
          </w:p>
        </w:tc>
        <w:tc>
          <w:tcPr>
            <w:tcW w:w="1418" w:type="dxa"/>
            <w:shd w:val="clear" w:color="auto" w:fill="auto"/>
            <w:vAlign w:val="center"/>
            <w:hideMark/>
          </w:tcPr>
          <w:p w:rsidR="002C0774" w:rsidRPr="00B86E9B" w:rsidRDefault="002C0774" w:rsidP="00F519F5">
            <w:pPr>
              <w:rPr>
                <w:bCs/>
                <w:color w:val="000000"/>
                <w:sz w:val="26"/>
                <w:szCs w:val="26"/>
              </w:rPr>
            </w:pPr>
            <w:r w:rsidRPr="00B86E9B">
              <w:rPr>
                <w:bCs/>
                <w:color w:val="000000"/>
                <w:sz w:val="26"/>
                <w:szCs w:val="26"/>
              </w:rPr>
              <w:t>12 089 356</w:t>
            </w:r>
          </w:p>
        </w:tc>
        <w:tc>
          <w:tcPr>
            <w:tcW w:w="1559" w:type="dxa"/>
            <w:shd w:val="clear" w:color="auto" w:fill="auto"/>
            <w:vAlign w:val="center"/>
            <w:hideMark/>
          </w:tcPr>
          <w:p w:rsidR="002C0774" w:rsidRPr="00B86E9B" w:rsidRDefault="002C0774" w:rsidP="00F519F5">
            <w:pPr>
              <w:jc w:val="center"/>
              <w:rPr>
                <w:bCs/>
                <w:color w:val="000000"/>
                <w:sz w:val="26"/>
                <w:szCs w:val="26"/>
              </w:rPr>
            </w:pPr>
            <w:r w:rsidRPr="00B86E9B">
              <w:rPr>
                <w:bCs/>
                <w:color w:val="000000"/>
                <w:sz w:val="26"/>
                <w:szCs w:val="26"/>
              </w:rPr>
              <w:t>16 720 722</w:t>
            </w:r>
          </w:p>
        </w:tc>
        <w:tc>
          <w:tcPr>
            <w:tcW w:w="1433" w:type="dxa"/>
            <w:vAlign w:val="center"/>
          </w:tcPr>
          <w:p w:rsidR="002C0774" w:rsidRPr="00B86E9B" w:rsidRDefault="002C0774" w:rsidP="00F519F5">
            <w:pPr>
              <w:jc w:val="center"/>
              <w:rPr>
                <w:iCs/>
                <w:sz w:val="26"/>
                <w:szCs w:val="26"/>
              </w:rPr>
            </w:pPr>
            <w:r w:rsidRPr="00B86E9B">
              <w:rPr>
                <w:iCs/>
                <w:sz w:val="26"/>
                <w:szCs w:val="26"/>
              </w:rPr>
              <w:t>13 687 967</w:t>
            </w:r>
          </w:p>
        </w:tc>
      </w:tr>
      <w:tr w:rsidR="002C0774" w:rsidRPr="00B86E9B" w:rsidTr="00F519F5">
        <w:trPr>
          <w:trHeight w:val="645"/>
          <w:jc w:val="center"/>
        </w:trPr>
        <w:tc>
          <w:tcPr>
            <w:tcW w:w="2326" w:type="dxa"/>
            <w:shd w:val="clear" w:color="auto" w:fill="auto"/>
            <w:vAlign w:val="center"/>
            <w:hideMark/>
          </w:tcPr>
          <w:p w:rsidR="002C0774" w:rsidRPr="00B86E9B" w:rsidRDefault="002C0774" w:rsidP="00F519F5">
            <w:pPr>
              <w:rPr>
                <w:color w:val="000000"/>
                <w:sz w:val="26"/>
                <w:szCs w:val="26"/>
              </w:rPr>
            </w:pPr>
            <w:r w:rsidRPr="00B86E9B">
              <w:rPr>
                <w:color w:val="000000"/>
                <w:sz w:val="26"/>
                <w:szCs w:val="26"/>
              </w:rPr>
              <w:t>Parādi piegādātājiem un darbuzņēmējiem</w:t>
            </w:r>
            <w:r w:rsidRPr="00B86E9B" w:rsidDel="00507F08">
              <w:rPr>
                <w:color w:val="000000"/>
                <w:sz w:val="26"/>
                <w:szCs w:val="26"/>
              </w:rPr>
              <w:t xml:space="preserve"> </w:t>
            </w:r>
            <w:r w:rsidRPr="00B86E9B">
              <w:rPr>
                <w:color w:val="000000"/>
                <w:sz w:val="26"/>
                <w:szCs w:val="26"/>
              </w:rPr>
              <w:t>kopā, t.sk.:</w:t>
            </w:r>
          </w:p>
        </w:tc>
        <w:tc>
          <w:tcPr>
            <w:tcW w:w="1417"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9 347 362</w:t>
            </w:r>
          </w:p>
        </w:tc>
        <w:tc>
          <w:tcPr>
            <w:tcW w:w="1418"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6 941 575</w:t>
            </w:r>
          </w:p>
        </w:tc>
        <w:tc>
          <w:tcPr>
            <w:tcW w:w="1559"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12 169 866</w:t>
            </w:r>
          </w:p>
        </w:tc>
        <w:tc>
          <w:tcPr>
            <w:tcW w:w="1433" w:type="dxa"/>
            <w:vAlign w:val="center"/>
          </w:tcPr>
          <w:p w:rsidR="002C0774" w:rsidRPr="00B86E9B" w:rsidRDefault="002C0774" w:rsidP="00F519F5">
            <w:pPr>
              <w:jc w:val="center"/>
              <w:rPr>
                <w:color w:val="000000"/>
                <w:sz w:val="26"/>
                <w:szCs w:val="26"/>
              </w:rPr>
            </w:pPr>
            <w:r w:rsidRPr="00B86E9B">
              <w:rPr>
                <w:color w:val="000000"/>
                <w:sz w:val="26"/>
                <w:szCs w:val="26"/>
              </w:rPr>
              <w:t>9 268 661</w:t>
            </w:r>
          </w:p>
        </w:tc>
      </w:tr>
      <w:tr w:rsidR="002C0774" w:rsidRPr="00B86E9B" w:rsidTr="00F519F5">
        <w:trPr>
          <w:trHeight w:val="645"/>
          <w:jc w:val="center"/>
        </w:trPr>
        <w:tc>
          <w:tcPr>
            <w:tcW w:w="2326" w:type="dxa"/>
            <w:shd w:val="clear" w:color="auto" w:fill="auto"/>
            <w:vAlign w:val="center"/>
            <w:hideMark/>
          </w:tcPr>
          <w:p w:rsidR="002C0774" w:rsidRPr="00B86E9B" w:rsidRDefault="002C0774" w:rsidP="00F519F5">
            <w:pPr>
              <w:ind w:left="279"/>
              <w:rPr>
                <w:color w:val="000000"/>
                <w:sz w:val="26"/>
                <w:szCs w:val="26"/>
              </w:rPr>
            </w:pPr>
            <w:r w:rsidRPr="00B86E9B">
              <w:rPr>
                <w:color w:val="000000"/>
                <w:sz w:val="26"/>
                <w:szCs w:val="26"/>
              </w:rPr>
              <w:t xml:space="preserve">pret medikamentu un medicīnas preču piegādātājiem </w:t>
            </w:r>
          </w:p>
        </w:tc>
        <w:tc>
          <w:tcPr>
            <w:tcW w:w="1417"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9 060 254</w:t>
            </w:r>
          </w:p>
        </w:tc>
        <w:tc>
          <w:tcPr>
            <w:tcW w:w="1418"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6 498 735</w:t>
            </w:r>
          </w:p>
        </w:tc>
        <w:tc>
          <w:tcPr>
            <w:tcW w:w="1559"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10 913 734</w:t>
            </w:r>
          </w:p>
        </w:tc>
        <w:tc>
          <w:tcPr>
            <w:tcW w:w="1433" w:type="dxa"/>
            <w:vAlign w:val="center"/>
          </w:tcPr>
          <w:p w:rsidR="002C0774" w:rsidRPr="00B86E9B" w:rsidRDefault="002C0774" w:rsidP="00F519F5">
            <w:pPr>
              <w:jc w:val="center"/>
              <w:rPr>
                <w:sz w:val="26"/>
                <w:szCs w:val="26"/>
              </w:rPr>
            </w:pPr>
            <w:r w:rsidRPr="00B86E9B">
              <w:rPr>
                <w:sz w:val="26"/>
                <w:szCs w:val="26"/>
              </w:rPr>
              <w:t>8 718 721</w:t>
            </w:r>
          </w:p>
        </w:tc>
      </w:tr>
      <w:tr w:rsidR="002C0774" w:rsidRPr="00B86E9B" w:rsidTr="00F519F5">
        <w:trPr>
          <w:trHeight w:val="645"/>
          <w:jc w:val="center"/>
        </w:trPr>
        <w:tc>
          <w:tcPr>
            <w:tcW w:w="2326" w:type="dxa"/>
            <w:shd w:val="clear" w:color="auto" w:fill="auto"/>
            <w:vAlign w:val="center"/>
            <w:hideMark/>
          </w:tcPr>
          <w:p w:rsidR="002C0774" w:rsidRPr="00B86E9B" w:rsidRDefault="002C0774" w:rsidP="00F519F5">
            <w:pPr>
              <w:ind w:left="279"/>
              <w:rPr>
                <w:color w:val="000000"/>
                <w:sz w:val="26"/>
                <w:szCs w:val="26"/>
              </w:rPr>
            </w:pPr>
            <w:r w:rsidRPr="00B86E9B">
              <w:rPr>
                <w:color w:val="000000"/>
                <w:sz w:val="26"/>
                <w:szCs w:val="26"/>
              </w:rPr>
              <w:t>pret pārējiem piegādātājiem</w:t>
            </w:r>
          </w:p>
        </w:tc>
        <w:tc>
          <w:tcPr>
            <w:tcW w:w="1417"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286 520</w:t>
            </w:r>
          </w:p>
        </w:tc>
        <w:tc>
          <w:tcPr>
            <w:tcW w:w="1418"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442 840</w:t>
            </w:r>
          </w:p>
        </w:tc>
        <w:tc>
          <w:tcPr>
            <w:tcW w:w="1559"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1 256 132</w:t>
            </w:r>
          </w:p>
        </w:tc>
        <w:tc>
          <w:tcPr>
            <w:tcW w:w="1433" w:type="dxa"/>
            <w:vAlign w:val="center"/>
          </w:tcPr>
          <w:p w:rsidR="002C0774" w:rsidRPr="00B86E9B" w:rsidRDefault="002C0774" w:rsidP="00F519F5">
            <w:pPr>
              <w:jc w:val="center"/>
              <w:rPr>
                <w:sz w:val="26"/>
                <w:szCs w:val="26"/>
              </w:rPr>
            </w:pPr>
            <w:r w:rsidRPr="00B86E9B">
              <w:rPr>
                <w:sz w:val="26"/>
                <w:szCs w:val="26"/>
              </w:rPr>
              <w:t>506 335</w:t>
            </w:r>
          </w:p>
        </w:tc>
      </w:tr>
      <w:tr w:rsidR="002C0774" w:rsidRPr="00B86E9B" w:rsidTr="00F519F5">
        <w:trPr>
          <w:trHeight w:val="645"/>
          <w:jc w:val="center"/>
        </w:trPr>
        <w:tc>
          <w:tcPr>
            <w:tcW w:w="2326" w:type="dxa"/>
            <w:shd w:val="clear" w:color="auto" w:fill="auto"/>
            <w:vAlign w:val="center"/>
            <w:hideMark/>
          </w:tcPr>
          <w:p w:rsidR="002C0774" w:rsidRPr="00B86E9B" w:rsidRDefault="002C0774" w:rsidP="00F519F5">
            <w:pPr>
              <w:rPr>
                <w:color w:val="000000"/>
                <w:sz w:val="26"/>
                <w:szCs w:val="26"/>
              </w:rPr>
            </w:pPr>
            <w:r w:rsidRPr="00B86E9B">
              <w:rPr>
                <w:color w:val="000000"/>
                <w:sz w:val="26"/>
                <w:szCs w:val="26"/>
              </w:rPr>
              <w:t>Kavētie maksājumi</w:t>
            </w:r>
          </w:p>
        </w:tc>
        <w:tc>
          <w:tcPr>
            <w:tcW w:w="1417"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 xml:space="preserve">1,3 milj. </w:t>
            </w:r>
          </w:p>
        </w:tc>
        <w:tc>
          <w:tcPr>
            <w:tcW w:w="1418"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 xml:space="preserve">0,2 milj. </w:t>
            </w:r>
          </w:p>
        </w:tc>
        <w:tc>
          <w:tcPr>
            <w:tcW w:w="1559" w:type="dxa"/>
            <w:shd w:val="clear" w:color="auto" w:fill="auto"/>
            <w:vAlign w:val="center"/>
            <w:hideMark/>
          </w:tcPr>
          <w:p w:rsidR="002C0774" w:rsidRPr="00B86E9B" w:rsidRDefault="002C0774" w:rsidP="00F519F5">
            <w:pPr>
              <w:jc w:val="center"/>
              <w:rPr>
                <w:color w:val="000000"/>
                <w:sz w:val="26"/>
                <w:szCs w:val="26"/>
              </w:rPr>
            </w:pPr>
            <w:r w:rsidRPr="00B86E9B">
              <w:rPr>
                <w:color w:val="000000"/>
                <w:sz w:val="26"/>
                <w:szCs w:val="26"/>
              </w:rPr>
              <w:t>5,1 milj.</w:t>
            </w:r>
          </w:p>
        </w:tc>
        <w:tc>
          <w:tcPr>
            <w:tcW w:w="1433" w:type="dxa"/>
            <w:vAlign w:val="center"/>
          </w:tcPr>
          <w:p w:rsidR="002C0774" w:rsidRPr="00B86E9B" w:rsidRDefault="002C0774" w:rsidP="00F519F5">
            <w:pPr>
              <w:jc w:val="center"/>
              <w:rPr>
                <w:color w:val="000000"/>
                <w:sz w:val="26"/>
                <w:szCs w:val="26"/>
              </w:rPr>
            </w:pPr>
            <w:r w:rsidRPr="00B86E9B">
              <w:rPr>
                <w:color w:val="000000"/>
                <w:sz w:val="26"/>
                <w:szCs w:val="26"/>
              </w:rPr>
              <w:t>3,0 milj.</w:t>
            </w:r>
          </w:p>
        </w:tc>
      </w:tr>
    </w:tbl>
    <w:p w:rsidR="002C0774" w:rsidRPr="00B86E9B" w:rsidRDefault="002C0774" w:rsidP="002C0774">
      <w:pPr>
        <w:jc w:val="both"/>
        <w:rPr>
          <w:sz w:val="28"/>
          <w:szCs w:val="28"/>
        </w:rPr>
      </w:pPr>
    </w:p>
    <w:p w:rsidR="002C0774" w:rsidRPr="00B86E9B" w:rsidRDefault="002C0774" w:rsidP="002C0774">
      <w:pPr>
        <w:ind w:firstLine="706"/>
        <w:jc w:val="both"/>
        <w:rPr>
          <w:sz w:val="28"/>
          <w:szCs w:val="28"/>
        </w:rPr>
      </w:pPr>
      <w:r w:rsidRPr="00B86E9B">
        <w:rPr>
          <w:sz w:val="28"/>
          <w:szCs w:val="28"/>
        </w:rPr>
        <w:t xml:space="preserve">Lai nodrošinātu nepārtrauktu veselības aprūpes pakalpojumu sniegšanu pacientiem, 2012.gadā ar likumu „Grozījumi likumā „Par valsts budžetu 2012.gadam”” PSKUS tika piešķirts papildus finansējums pamatkapitāla palielināšanai 10 000 000 LVL apmērā, atbilstoši 2012.gada 14.augusta Ministru kabineta sēdes protokola Nr.45 41.§ (TA-1748-IP, SAN-750) noteiktajam, kas tika novirzīts kreditoru saistību segšanai, kas veidojušās saistībā ar valsts apmaksāto veselības aprūpes pakalpojumu sniegšanu. </w:t>
      </w:r>
      <w:r w:rsidRPr="00B86E9B">
        <w:rPr>
          <w:color w:val="000000" w:themeColor="text1"/>
          <w:sz w:val="28"/>
          <w:szCs w:val="28"/>
          <w:lang w:eastAsia="lv-LV"/>
        </w:rPr>
        <w:t>Veicot iepriekš minēto ieguldījumu PSKUS pamatkapitālā, tika stabilizēta PSKUS finanšu situācija, kas savukārt:</w:t>
      </w:r>
    </w:p>
    <w:p w:rsidR="002C0774" w:rsidRPr="00B86E9B" w:rsidRDefault="002C0774" w:rsidP="002C0774">
      <w:pPr>
        <w:pStyle w:val="Sarakstarindkopa"/>
        <w:numPr>
          <w:ilvl w:val="0"/>
          <w:numId w:val="9"/>
        </w:numPr>
        <w:tabs>
          <w:tab w:val="left" w:pos="284"/>
        </w:tabs>
        <w:spacing w:after="0" w:line="240" w:lineRule="auto"/>
        <w:ind w:left="993" w:hanging="284"/>
        <w:contextualSpacing w:val="0"/>
        <w:jc w:val="both"/>
        <w:rPr>
          <w:rFonts w:ascii="Times New Roman" w:hAnsi="Times New Roman"/>
          <w:sz w:val="28"/>
          <w:szCs w:val="28"/>
        </w:rPr>
      </w:pPr>
      <w:r w:rsidRPr="00B86E9B">
        <w:rPr>
          <w:rFonts w:ascii="Times New Roman" w:hAnsi="Times New Roman"/>
          <w:sz w:val="28"/>
          <w:szCs w:val="28"/>
        </w:rPr>
        <w:t>Nodrošināja pozitīvu pašu kapitālu un būtiski uzlaboja likviditātes rādītājus, tajā skaitā</w:t>
      </w:r>
      <w:r w:rsidR="00265E9D" w:rsidRPr="00B86E9B">
        <w:rPr>
          <w:rFonts w:ascii="Times New Roman" w:hAnsi="Times New Roman"/>
          <w:sz w:val="28"/>
          <w:szCs w:val="28"/>
        </w:rPr>
        <w:t>,</w:t>
      </w:r>
      <w:r w:rsidRPr="00B86E9B">
        <w:rPr>
          <w:rFonts w:ascii="Times New Roman" w:hAnsi="Times New Roman"/>
          <w:sz w:val="28"/>
          <w:szCs w:val="28"/>
        </w:rPr>
        <w:t xml:space="preserve"> PSKUS maksātspēju. </w:t>
      </w:r>
    </w:p>
    <w:p w:rsidR="002C0774" w:rsidRPr="00B86E9B" w:rsidRDefault="002C0774" w:rsidP="002C0774">
      <w:pPr>
        <w:pStyle w:val="Sarakstarindkopa"/>
        <w:numPr>
          <w:ilvl w:val="0"/>
          <w:numId w:val="9"/>
        </w:numPr>
        <w:tabs>
          <w:tab w:val="left" w:pos="284"/>
        </w:tabs>
        <w:spacing w:after="0" w:line="240" w:lineRule="auto"/>
        <w:ind w:left="993" w:hanging="284"/>
        <w:contextualSpacing w:val="0"/>
        <w:jc w:val="both"/>
        <w:rPr>
          <w:rFonts w:ascii="Times New Roman" w:hAnsi="Times New Roman"/>
          <w:sz w:val="28"/>
          <w:szCs w:val="28"/>
        </w:rPr>
      </w:pPr>
      <w:r w:rsidRPr="00B86E9B">
        <w:rPr>
          <w:rFonts w:ascii="Times New Roman" w:hAnsi="Times New Roman"/>
          <w:sz w:val="28"/>
          <w:szCs w:val="28"/>
        </w:rPr>
        <w:t xml:space="preserve">Deva iespēju norēķināties ar medikamentu un medicīnas preču piegādātājiem par kavētajiem maksājumiem, kas novērsa medikamentu un medicīnas preču savlaicīgas nepiegādāšanas draudus, līdz ar to tika garantēts nepārtraukts ārstniecības process. </w:t>
      </w:r>
    </w:p>
    <w:p w:rsidR="002C0774" w:rsidRPr="00B86E9B" w:rsidRDefault="002C0774" w:rsidP="002C0774">
      <w:pPr>
        <w:pStyle w:val="Sarakstarindkopa"/>
        <w:numPr>
          <w:ilvl w:val="0"/>
          <w:numId w:val="9"/>
        </w:numPr>
        <w:tabs>
          <w:tab w:val="left" w:pos="284"/>
        </w:tabs>
        <w:spacing w:after="0" w:line="240" w:lineRule="auto"/>
        <w:ind w:left="993" w:hanging="284"/>
        <w:contextualSpacing w:val="0"/>
        <w:jc w:val="both"/>
        <w:rPr>
          <w:rFonts w:ascii="Times New Roman" w:hAnsi="Times New Roman"/>
          <w:sz w:val="28"/>
          <w:szCs w:val="28"/>
        </w:rPr>
      </w:pPr>
      <w:r w:rsidRPr="00B86E9B">
        <w:rPr>
          <w:rFonts w:ascii="Times New Roman" w:hAnsi="Times New Roman"/>
          <w:sz w:val="28"/>
          <w:szCs w:val="28"/>
        </w:rPr>
        <w:t>Uzlaboja PSKUS stabilitāti, paaugstināja personāla psiholoģisko drošību un lojalitāti uzņēmumam, kas secīgi nākotnē samazinās augsti kvalificētu speciālistu aizbraukšanu uz ārvalstīm.</w:t>
      </w:r>
    </w:p>
    <w:p w:rsidR="002C0774" w:rsidRPr="00B86E9B" w:rsidRDefault="002C0774" w:rsidP="002C0774">
      <w:pPr>
        <w:pStyle w:val="Sarakstarindkopa"/>
        <w:numPr>
          <w:ilvl w:val="0"/>
          <w:numId w:val="9"/>
        </w:numPr>
        <w:tabs>
          <w:tab w:val="left" w:pos="284"/>
        </w:tabs>
        <w:spacing w:after="0" w:line="240" w:lineRule="auto"/>
        <w:ind w:left="993" w:hanging="284"/>
        <w:contextualSpacing w:val="0"/>
        <w:jc w:val="both"/>
        <w:rPr>
          <w:rFonts w:ascii="Times New Roman" w:hAnsi="Times New Roman"/>
          <w:sz w:val="28"/>
          <w:szCs w:val="28"/>
        </w:rPr>
      </w:pPr>
      <w:r w:rsidRPr="00B86E9B">
        <w:rPr>
          <w:rFonts w:ascii="Times New Roman" w:hAnsi="Times New Roman"/>
          <w:sz w:val="28"/>
          <w:szCs w:val="28"/>
        </w:rPr>
        <w:t xml:space="preserve">Nodrošināja piegādātāju un pakalpojumu sniedzēju uzticamību PSKUS, kas nākotnē būs par pamatu izdevīgākiem nosacījumiem un iepirkumu cenām. </w:t>
      </w:r>
    </w:p>
    <w:p w:rsidR="00F32369" w:rsidRPr="00B86E9B" w:rsidRDefault="00F32369" w:rsidP="00F32369">
      <w:pPr>
        <w:ind w:firstLine="709"/>
        <w:jc w:val="both"/>
        <w:rPr>
          <w:sz w:val="28"/>
          <w:szCs w:val="28"/>
        </w:rPr>
      </w:pPr>
      <w:r w:rsidRPr="00B86E9B">
        <w:rPr>
          <w:sz w:val="28"/>
          <w:szCs w:val="28"/>
        </w:rPr>
        <w:t xml:space="preserve">PSKUS 2012.gadā un 2013.gadā ir veikusi virkni pasākumu tās attīstībai, darba efektivitātes </w:t>
      </w:r>
      <w:r w:rsidR="000F46EF" w:rsidRPr="00B86E9B">
        <w:rPr>
          <w:sz w:val="28"/>
          <w:szCs w:val="28"/>
        </w:rPr>
        <w:t>palielināšanai, kā arī zaudējumu apmēra</w:t>
      </w:r>
      <w:r w:rsidRPr="00B86E9B">
        <w:rPr>
          <w:sz w:val="28"/>
          <w:szCs w:val="28"/>
        </w:rPr>
        <w:t xml:space="preserve"> samazināšanai: </w:t>
      </w:r>
    </w:p>
    <w:p w:rsidR="00F32369" w:rsidRPr="00B86E9B" w:rsidRDefault="00F32369" w:rsidP="00146289">
      <w:pPr>
        <w:pStyle w:val="Sarakstarindkopa"/>
        <w:numPr>
          <w:ilvl w:val="0"/>
          <w:numId w:val="11"/>
        </w:numPr>
        <w:spacing w:after="0" w:line="240" w:lineRule="auto"/>
        <w:ind w:left="993"/>
        <w:jc w:val="both"/>
        <w:rPr>
          <w:rFonts w:ascii="Times New Roman" w:hAnsi="Times New Roman"/>
          <w:sz w:val="28"/>
          <w:szCs w:val="28"/>
        </w:rPr>
      </w:pPr>
      <w:r w:rsidRPr="00B86E9B">
        <w:rPr>
          <w:rFonts w:ascii="Times New Roman" w:hAnsi="Times New Roman"/>
          <w:sz w:val="28"/>
          <w:szCs w:val="28"/>
        </w:rPr>
        <w:lastRenderedPageBreak/>
        <w:t xml:space="preserve">Veikta saimnieciskā un administratīvā personāla optimizācija, kā rezultātā administratīvie izdevumi 2012.gadā salīdzinājumā ar 2011.gadu ir samazinājušies par 180 747 LVL jeb aptuveni 20%. </w:t>
      </w:r>
    </w:p>
    <w:p w:rsidR="00F32369" w:rsidRPr="00B86E9B" w:rsidRDefault="00F32369" w:rsidP="00146289">
      <w:pPr>
        <w:pStyle w:val="Sarakstarindkopa"/>
        <w:numPr>
          <w:ilvl w:val="0"/>
          <w:numId w:val="11"/>
        </w:numPr>
        <w:spacing w:after="0" w:line="240" w:lineRule="auto"/>
        <w:ind w:left="993"/>
        <w:jc w:val="both"/>
        <w:rPr>
          <w:rFonts w:ascii="Times New Roman" w:hAnsi="Times New Roman"/>
          <w:sz w:val="28"/>
          <w:szCs w:val="28"/>
        </w:rPr>
      </w:pPr>
      <w:r w:rsidRPr="00B86E9B">
        <w:rPr>
          <w:rFonts w:ascii="Times New Roman" w:hAnsi="Times New Roman"/>
          <w:sz w:val="28"/>
          <w:szCs w:val="28"/>
        </w:rPr>
        <w:t>Samazināti saimnieciskie izdevumi. Likvidētas nerentablas struktūrvienības, pārtraucot vai pārslēdzot saimnieciski neizdevīgus līgumus. Līgumu par zemes un telpu nomas pārskatīšanas rezultātā turpmākajos septiņos gados plānots ietaupīt 1 386 587 LVL. 2013.gadā plānotais ietaupījums ir 51 2</w:t>
      </w:r>
      <w:r w:rsidR="0066136D" w:rsidRPr="00B86E9B">
        <w:rPr>
          <w:rFonts w:ascii="Times New Roman" w:hAnsi="Times New Roman"/>
          <w:sz w:val="28"/>
          <w:szCs w:val="28"/>
        </w:rPr>
        <w:t>36 LVL. Salīdzinot ar 2011.gadu</w:t>
      </w:r>
      <w:r w:rsidRPr="00B86E9B">
        <w:rPr>
          <w:rFonts w:ascii="Times New Roman" w:hAnsi="Times New Roman"/>
          <w:sz w:val="28"/>
          <w:szCs w:val="28"/>
        </w:rPr>
        <w:t xml:space="preserve">, saimnieciskie izdevumi 2012.gadā samazināti par 262 594 LVL jeb aptuveni 14%. </w:t>
      </w:r>
    </w:p>
    <w:p w:rsidR="00F32369" w:rsidRPr="00B86E9B" w:rsidRDefault="00F32369" w:rsidP="00146289">
      <w:pPr>
        <w:pStyle w:val="Sarakstarindkopa"/>
        <w:numPr>
          <w:ilvl w:val="0"/>
          <w:numId w:val="11"/>
        </w:numPr>
        <w:spacing w:after="0" w:line="240" w:lineRule="auto"/>
        <w:ind w:left="993"/>
        <w:jc w:val="both"/>
        <w:rPr>
          <w:rFonts w:ascii="Times New Roman" w:hAnsi="Times New Roman"/>
          <w:sz w:val="28"/>
          <w:szCs w:val="28"/>
        </w:rPr>
      </w:pPr>
      <w:r w:rsidRPr="00B86E9B">
        <w:rPr>
          <w:rFonts w:ascii="Times New Roman" w:hAnsi="Times New Roman"/>
          <w:sz w:val="28"/>
          <w:szCs w:val="28"/>
        </w:rPr>
        <w:t xml:space="preserve">Paaugstināta ārstnieciskā darba organizācijas efektivitāte. Ieviestas tādas jaunas terciārā līmeņa ārstniecības metodes un tehnoloģijas kā </w:t>
      </w:r>
      <w:proofErr w:type="spellStart"/>
      <w:r w:rsidRPr="00B86E9B">
        <w:rPr>
          <w:rFonts w:ascii="Times New Roman" w:hAnsi="Times New Roman"/>
          <w:sz w:val="28"/>
          <w:szCs w:val="28"/>
        </w:rPr>
        <w:t>mazinvazīvā</w:t>
      </w:r>
      <w:proofErr w:type="spellEnd"/>
      <w:r w:rsidRPr="00B86E9B">
        <w:rPr>
          <w:rFonts w:ascii="Times New Roman" w:hAnsi="Times New Roman"/>
          <w:sz w:val="28"/>
          <w:szCs w:val="28"/>
        </w:rPr>
        <w:t xml:space="preserve"> ķirurģija, </w:t>
      </w:r>
      <w:proofErr w:type="spellStart"/>
      <w:r w:rsidRPr="00B86E9B">
        <w:rPr>
          <w:rFonts w:ascii="Times New Roman" w:hAnsi="Times New Roman"/>
          <w:sz w:val="28"/>
          <w:szCs w:val="28"/>
        </w:rPr>
        <w:t>transplantoloģija</w:t>
      </w:r>
      <w:proofErr w:type="spellEnd"/>
      <w:r w:rsidRPr="00B86E9B">
        <w:rPr>
          <w:rFonts w:ascii="Times New Roman" w:hAnsi="Times New Roman"/>
          <w:sz w:val="28"/>
          <w:szCs w:val="28"/>
        </w:rPr>
        <w:t xml:space="preserve">, </w:t>
      </w:r>
      <w:proofErr w:type="spellStart"/>
      <w:r w:rsidRPr="00B86E9B">
        <w:rPr>
          <w:rFonts w:ascii="Times New Roman" w:hAnsi="Times New Roman"/>
          <w:sz w:val="28"/>
          <w:szCs w:val="28"/>
        </w:rPr>
        <w:t>bariatrija</w:t>
      </w:r>
      <w:proofErr w:type="spellEnd"/>
      <w:r w:rsidRPr="00B86E9B">
        <w:rPr>
          <w:rFonts w:ascii="Times New Roman" w:hAnsi="Times New Roman"/>
          <w:sz w:val="28"/>
          <w:szCs w:val="28"/>
        </w:rPr>
        <w:t xml:space="preserve"> u.c., kas ļaus turpmākajos gados gūt papildu peļņu, piesaistot jaunus pacientus. Ņemot vērā to, ka jaunu metožu ieviešana ir laika, finanšu līdzekļu un darba apjoma ziņā ir ietilpīgs process, tiešie ieguvumi sagaidāmi 2014.gadā. </w:t>
      </w:r>
    </w:p>
    <w:p w:rsidR="00F32369" w:rsidRPr="00B86E9B" w:rsidRDefault="00F32369" w:rsidP="00146289">
      <w:pPr>
        <w:pStyle w:val="Sarakstarindkopa"/>
        <w:numPr>
          <w:ilvl w:val="0"/>
          <w:numId w:val="11"/>
        </w:numPr>
        <w:spacing w:after="0" w:line="240" w:lineRule="auto"/>
        <w:ind w:left="993"/>
        <w:jc w:val="both"/>
        <w:rPr>
          <w:rFonts w:ascii="Times New Roman" w:hAnsi="Times New Roman"/>
          <w:sz w:val="28"/>
          <w:szCs w:val="28"/>
        </w:rPr>
      </w:pPr>
      <w:r w:rsidRPr="00B86E9B">
        <w:rPr>
          <w:rFonts w:ascii="Times New Roman" w:hAnsi="Times New Roman"/>
          <w:sz w:val="28"/>
          <w:szCs w:val="28"/>
        </w:rPr>
        <w:t xml:space="preserve">Veikta ārstniecības procesa optimizācija, kā rezultātā vidējais ārstēšanās laiks samazināts par 0,35 dienām un šobrīd sastāda 5,25 dienas. Mainīta darba organizācija, palielinot ambulatorās palīdzības pakalpojumu īpatsvaru. Lai samazinātu izdevumus, 2012.gadā atvērti trīs jauni dienas stacionāri, kā rezultātā </w:t>
      </w:r>
      <w:r w:rsidR="008C044D" w:rsidRPr="00B86E9B">
        <w:rPr>
          <w:rFonts w:ascii="Times New Roman" w:hAnsi="Times New Roman"/>
          <w:sz w:val="28"/>
          <w:szCs w:val="28"/>
        </w:rPr>
        <w:t>tiek samazināts hospitalizāciju</w:t>
      </w:r>
      <w:r w:rsidRPr="00B86E9B">
        <w:rPr>
          <w:rFonts w:ascii="Times New Roman" w:hAnsi="Times New Roman"/>
          <w:sz w:val="28"/>
          <w:szCs w:val="28"/>
        </w:rPr>
        <w:t xml:space="preserve"> daudzums slimnīcā.  Dienas stacionārā pacientu skaits 2012.gadā, salīdzinot ar 2011.gadu pieaudzis par 2 837 pacientiem jeb vairāk nekā par 15%. </w:t>
      </w:r>
    </w:p>
    <w:p w:rsidR="00D02D8F" w:rsidRPr="00B86E9B" w:rsidRDefault="00F32369" w:rsidP="00146289">
      <w:pPr>
        <w:pStyle w:val="Sarakstarindkopa"/>
        <w:numPr>
          <w:ilvl w:val="0"/>
          <w:numId w:val="11"/>
        </w:numPr>
        <w:spacing w:after="0" w:line="240" w:lineRule="auto"/>
        <w:ind w:left="993"/>
        <w:jc w:val="both"/>
        <w:rPr>
          <w:rFonts w:ascii="Times New Roman" w:hAnsi="Times New Roman"/>
          <w:sz w:val="28"/>
          <w:szCs w:val="28"/>
        </w:rPr>
      </w:pPr>
      <w:r w:rsidRPr="00B86E9B">
        <w:rPr>
          <w:rFonts w:ascii="Times New Roman" w:hAnsi="Times New Roman"/>
          <w:sz w:val="28"/>
          <w:szCs w:val="28"/>
        </w:rPr>
        <w:t xml:space="preserve">Samazināti zāļu un medicīnas preču limiti. Pilnveidota zāļu un medikamentu uzskaites un norakstīšanas sistēma, kā rezultātā 2012.gadā izdevumi samazināti par </w:t>
      </w:r>
      <w:r w:rsidR="000A785C" w:rsidRPr="00B86E9B">
        <w:rPr>
          <w:rFonts w:ascii="Times New Roman" w:hAnsi="Times New Roman"/>
          <w:sz w:val="28"/>
          <w:szCs w:val="28"/>
        </w:rPr>
        <w:t>2 988 586</w:t>
      </w:r>
      <w:r w:rsidRPr="00B86E9B">
        <w:rPr>
          <w:rFonts w:ascii="Times New Roman" w:hAnsi="Times New Roman"/>
          <w:sz w:val="28"/>
          <w:szCs w:val="28"/>
        </w:rPr>
        <w:t xml:space="preserve"> LVL jeb 11%, salīdzinot ar 2011.gadu.</w:t>
      </w:r>
    </w:p>
    <w:p w:rsidR="00E958A1" w:rsidRPr="00B86E9B" w:rsidRDefault="00E958A1" w:rsidP="00146289">
      <w:pPr>
        <w:pStyle w:val="Sarakstarindkopa"/>
        <w:numPr>
          <w:ilvl w:val="0"/>
          <w:numId w:val="11"/>
        </w:numPr>
        <w:spacing w:after="0" w:line="240" w:lineRule="auto"/>
        <w:ind w:left="993"/>
        <w:jc w:val="both"/>
        <w:rPr>
          <w:rFonts w:ascii="Times New Roman" w:hAnsi="Times New Roman"/>
          <w:sz w:val="28"/>
          <w:szCs w:val="28"/>
        </w:rPr>
      </w:pPr>
      <w:r w:rsidRPr="00B86E9B">
        <w:rPr>
          <w:rFonts w:ascii="Times New Roman" w:hAnsi="Times New Roman"/>
          <w:sz w:val="28"/>
          <w:szCs w:val="28"/>
        </w:rPr>
        <w:t>Samazināts kavēto maksājumu apjoms. Saskaņā ar 2013.gada operatīvo budžeta informāciju kavēto maksājumu apmērs līdz gada beigām nepārsniegs 1 miljonu latu.</w:t>
      </w:r>
    </w:p>
    <w:p w:rsidR="00BD0A55" w:rsidRPr="00B86E9B" w:rsidRDefault="00BD0A55" w:rsidP="00BD0A55">
      <w:pPr>
        <w:jc w:val="both"/>
        <w:rPr>
          <w:sz w:val="28"/>
          <w:szCs w:val="28"/>
        </w:rPr>
      </w:pPr>
    </w:p>
    <w:p w:rsidR="00F320E0" w:rsidRPr="00B86E9B" w:rsidRDefault="00F320E0" w:rsidP="00F320E0">
      <w:pPr>
        <w:pStyle w:val="Virsraksts3"/>
        <w:numPr>
          <w:ilvl w:val="2"/>
          <w:numId w:val="7"/>
        </w:numPr>
        <w:spacing w:before="0" w:after="0"/>
        <w:ind w:left="1418"/>
      </w:pPr>
      <w:r w:rsidRPr="00B86E9B">
        <w:t>Nākotnes attīstības plāni, kas nodrošinās stabilu un sekmīgu PSKUS turpmāko darbību</w:t>
      </w:r>
    </w:p>
    <w:p w:rsidR="00BD0A55" w:rsidRPr="00B86E9B" w:rsidRDefault="00BD0A55" w:rsidP="00BD0A55">
      <w:pPr>
        <w:jc w:val="both"/>
        <w:rPr>
          <w:sz w:val="28"/>
          <w:szCs w:val="28"/>
        </w:rPr>
      </w:pPr>
    </w:p>
    <w:p w:rsidR="006B4812" w:rsidRPr="00B86E9B" w:rsidRDefault="006B4812" w:rsidP="006B4812">
      <w:pPr>
        <w:ind w:firstLine="709"/>
        <w:jc w:val="both"/>
        <w:rPr>
          <w:rStyle w:val="Izteiksmgs"/>
          <w:b w:val="0"/>
          <w:sz w:val="28"/>
          <w:szCs w:val="28"/>
        </w:rPr>
      </w:pPr>
      <w:r w:rsidRPr="00B86E9B">
        <w:rPr>
          <w:rStyle w:val="Izteiksmgs"/>
          <w:b w:val="0"/>
          <w:sz w:val="28"/>
          <w:szCs w:val="28"/>
        </w:rPr>
        <w:t xml:space="preserve">Saskaņā ar nākotnes attīstības plāniem PSKUS: </w:t>
      </w:r>
    </w:p>
    <w:p w:rsidR="006B4812" w:rsidRPr="00B86E9B" w:rsidRDefault="006B4812" w:rsidP="006B4812">
      <w:pPr>
        <w:pStyle w:val="Sarakstarindkopa"/>
        <w:numPr>
          <w:ilvl w:val="1"/>
          <w:numId w:val="14"/>
        </w:numPr>
        <w:spacing w:after="0" w:line="240" w:lineRule="auto"/>
        <w:ind w:left="709" w:hanging="284"/>
        <w:contextualSpacing w:val="0"/>
        <w:jc w:val="both"/>
        <w:rPr>
          <w:rFonts w:ascii="Times New Roman" w:hAnsi="Times New Roman"/>
          <w:sz w:val="28"/>
          <w:szCs w:val="28"/>
        </w:rPr>
      </w:pPr>
      <w:r w:rsidRPr="00B86E9B">
        <w:rPr>
          <w:rFonts w:ascii="Times New Roman" w:hAnsi="Times New Roman"/>
          <w:sz w:val="28"/>
          <w:szCs w:val="28"/>
        </w:rPr>
        <w:t>Turpinās iesāktās slimnīcas administratīvo un saimniecisko, t.sk. procesu kontroles funkciju, reformas, lai nodrošinātu labas pārvaldības praksi.</w:t>
      </w:r>
    </w:p>
    <w:p w:rsidR="006B4812" w:rsidRPr="00B86E9B" w:rsidRDefault="006B4812" w:rsidP="006B4812">
      <w:pPr>
        <w:pStyle w:val="Sarakstarindkopa"/>
        <w:numPr>
          <w:ilvl w:val="1"/>
          <w:numId w:val="14"/>
        </w:numPr>
        <w:spacing w:after="0" w:line="240" w:lineRule="auto"/>
        <w:ind w:left="709" w:hanging="284"/>
        <w:contextualSpacing w:val="0"/>
        <w:jc w:val="both"/>
        <w:rPr>
          <w:rFonts w:ascii="Times New Roman" w:hAnsi="Times New Roman"/>
          <w:sz w:val="28"/>
          <w:szCs w:val="28"/>
        </w:rPr>
      </w:pPr>
      <w:r w:rsidRPr="00B86E9B">
        <w:rPr>
          <w:rFonts w:ascii="Times New Roman" w:hAnsi="Times New Roman"/>
          <w:sz w:val="28"/>
          <w:szCs w:val="28"/>
        </w:rPr>
        <w:t xml:space="preserve">Turpinās slimnīcas procesu un informācijas plūsmu elektronizāciju, to pilnībā ieviešot līdz 2018.gadam. </w:t>
      </w:r>
    </w:p>
    <w:p w:rsidR="006B4812" w:rsidRPr="00B86E9B" w:rsidRDefault="006B4812" w:rsidP="006B4812">
      <w:pPr>
        <w:pStyle w:val="Sarakstarindkopa"/>
        <w:numPr>
          <w:ilvl w:val="1"/>
          <w:numId w:val="14"/>
        </w:numPr>
        <w:spacing w:after="0" w:line="240" w:lineRule="auto"/>
        <w:ind w:left="709" w:hanging="284"/>
        <w:contextualSpacing w:val="0"/>
        <w:jc w:val="both"/>
        <w:rPr>
          <w:rFonts w:ascii="Times New Roman" w:hAnsi="Times New Roman"/>
          <w:sz w:val="28"/>
          <w:szCs w:val="28"/>
        </w:rPr>
      </w:pPr>
      <w:r w:rsidRPr="00B86E9B">
        <w:rPr>
          <w:rFonts w:ascii="Times New Roman" w:hAnsi="Times New Roman"/>
          <w:sz w:val="28"/>
          <w:szCs w:val="28"/>
        </w:rPr>
        <w:t>Turpinās pilnveidot un attīstīt ārstniecības procesu, lai piesaistītu slimnīcai jaunus pacientus un gūtu papildu ienākumus darbīb</w:t>
      </w:r>
      <w:r w:rsidR="00AA786B" w:rsidRPr="00B86E9B">
        <w:rPr>
          <w:rFonts w:ascii="Times New Roman" w:hAnsi="Times New Roman"/>
          <w:sz w:val="28"/>
          <w:szCs w:val="28"/>
        </w:rPr>
        <w:t>as nodrošināšanai. Paplašinās</w:t>
      </w:r>
      <w:r w:rsidRPr="00B86E9B">
        <w:rPr>
          <w:rFonts w:ascii="Times New Roman" w:hAnsi="Times New Roman"/>
          <w:sz w:val="28"/>
          <w:szCs w:val="28"/>
        </w:rPr>
        <w:t xml:space="preserve"> darbības profilu par labu rentablajiem un </w:t>
      </w:r>
      <w:r w:rsidRPr="00B86E9B">
        <w:rPr>
          <w:rFonts w:ascii="Times New Roman" w:hAnsi="Times New Roman"/>
          <w:sz w:val="28"/>
          <w:szCs w:val="28"/>
        </w:rPr>
        <w:lastRenderedPageBreak/>
        <w:t>maksas pakalpojumiem. Plānota atsevišķas maksas pakalpojumu nodaļas izveide paaugstināta komforta apstākļos. Plānots izveidot mārketinga departamentu, kura galvenais uzdevums būtu maksas pacientu piesaiste (gan vietējo, gan ārvalstu), kas ļaus palielināt pašu nopelnīto līdzekļu īpatsvaru ieņēmumos līdz 2018.gadam par 10% gadā.</w:t>
      </w:r>
    </w:p>
    <w:p w:rsidR="006B4812" w:rsidRPr="00B86E9B" w:rsidRDefault="006B4812" w:rsidP="006B4812">
      <w:pPr>
        <w:pStyle w:val="Sarakstarindkopa"/>
        <w:numPr>
          <w:ilvl w:val="1"/>
          <w:numId w:val="14"/>
        </w:numPr>
        <w:spacing w:after="0" w:line="240" w:lineRule="auto"/>
        <w:ind w:left="709" w:hanging="284"/>
        <w:contextualSpacing w:val="0"/>
        <w:jc w:val="both"/>
        <w:rPr>
          <w:rFonts w:ascii="Times New Roman" w:hAnsi="Times New Roman"/>
          <w:sz w:val="28"/>
          <w:szCs w:val="28"/>
        </w:rPr>
      </w:pPr>
      <w:r w:rsidRPr="00B86E9B">
        <w:rPr>
          <w:rFonts w:ascii="Times New Roman" w:hAnsi="Times New Roman"/>
          <w:sz w:val="28"/>
          <w:szCs w:val="28"/>
        </w:rPr>
        <w:t>Turpinās infrastruktūras attīstību, t.sk., jauna slimnīcas korpusa būvniecību, lai saskaņā ar Eiropas Savienības rekomendācijām nodrošinātu noteikt</w:t>
      </w:r>
      <w:r w:rsidR="00A5452C" w:rsidRPr="00B86E9B">
        <w:rPr>
          <w:rFonts w:ascii="Times New Roman" w:hAnsi="Times New Roman"/>
          <w:sz w:val="28"/>
          <w:szCs w:val="28"/>
        </w:rPr>
        <w:t>o platību uz vienu gultas vietu.</w:t>
      </w:r>
    </w:p>
    <w:p w:rsidR="006B4812" w:rsidRPr="00B86E9B" w:rsidRDefault="006B4812" w:rsidP="006B4812">
      <w:pPr>
        <w:pStyle w:val="Sarakstarindkopa"/>
        <w:numPr>
          <w:ilvl w:val="1"/>
          <w:numId w:val="14"/>
        </w:numPr>
        <w:spacing w:after="0" w:line="240" w:lineRule="auto"/>
        <w:ind w:left="709" w:hanging="284"/>
        <w:contextualSpacing w:val="0"/>
        <w:jc w:val="both"/>
        <w:rPr>
          <w:rFonts w:ascii="Times New Roman" w:hAnsi="Times New Roman"/>
          <w:sz w:val="28"/>
          <w:szCs w:val="28"/>
        </w:rPr>
      </w:pPr>
      <w:r w:rsidRPr="00B86E9B">
        <w:rPr>
          <w:rFonts w:ascii="Times New Roman" w:hAnsi="Times New Roman"/>
          <w:sz w:val="28"/>
          <w:szCs w:val="28"/>
        </w:rPr>
        <w:t>Turpinās stratēģisku partneru piesaisti (citas slimnīcas, sociālās nodaļas, augstskolas, privātā biznesa institūcijas, ministrijas un pašvaldības), lai piesaistītu finansējumu zinātniski pētnieciskajam un izglītības darbam.</w:t>
      </w:r>
    </w:p>
    <w:p w:rsidR="00BD0A55" w:rsidRPr="00B86E9B" w:rsidRDefault="006B4812" w:rsidP="006B4812">
      <w:pPr>
        <w:pStyle w:val="Sarakstarindkopa"/>
        <w:numPr>
          <w:ilvl w:val="1"/>
          <w:numId w:val="14"/>
        </w:numPr>
        <w:spacing w:after="0" w:line="240" w:lineRule="auto"/>
        <w:ind w:left="709" w:hanging="284"/>
        <w:contextualSpacing w:val="0"/>
        <w:jc w:val="both"/>
        <w:rPr>
          <w:rFonts w:ascii="Times New Roman" w:hAnsi="Times New Roman"/>
          <w:sz w:val="28"/>
          <w:szCs w:val="28"/>
        </w:rPr>
      </w:pPr>
      <w:r w:rsidRPr="00B86E9B">
        <w:rPr>
          <w:rFonts w:ascii="Times New Roman" w:hAnsi="Times New Roman"/>
          <w:sz w:val="28"/>
          <w:szCs w:val="28"/>
        </w:rPr>
        <w:t>Turpinās jaunu speciālistu piesaisti un apmācību, ar mērķi</w:t>
      </w:r>
      <w:r w:rsidRPr="00B86E9B">
        <w:rPr>
          <w:rFonts w:ascii="Times New Roman" w:hAnsi="Times New Roman"/>
          <w:color w:val="000000"/>
          <w:sz w:val="28"/>
          <w:szCs w:val="28"/>
        </w:rPr>
        <w:t xml:space="preserve"> nodrošināt ar</w:t>
      </w:r>
      <w:r w:rsidRPr="00B86E9B">
        <w:rPr>
          <w:rFonts w:ascii="Times New Roman" w:hAnsi="Times New Roman"/>
          <w:sz w:val="28"/>
          <w:szCs w:val="28"/>
        </w:rPr>
        <w:t xml:space="preserve"> darba vietām spējīgākos un talantīgākos jaunos speciālistus.</w:t>
      </w:r>
    </w:p>
    <w:p w:rsidR="000D4EEA" w:rsidRPr="00B86E9B" w:rsidRDefault="000D4EEA" w:rsidP="000D4EEA">
      <w:pPr>
        <w:jc w:val="both"/>
        <w:rPr>
          <w:sz w:val="28"/>
          <w:szCs w:val="28"/>
        </w:rPr>
      </w:pPr>
    </w:p>
    <w:p w:rsidR="000D4EEA" w:rsidRPr="00B86E9B" w:rsidRDefault="00F676C6" w:rsidP="00F676C6">
      <w:pPr>
        <w:pStyle w:val="Virsraksts2"/>
        <w:numPr>
          <w:ilvl w:val="1"/>
          <w:numId w:val="7"/>
        </w:numPr>
        <w:spacing w:before="0" w:after="0"/>
      </w:pPr>
      <w:r w:rsidRPr="00B86E9B">
        <w:t>SIA „Rīgas Austrumu klīniskā universitātes slimnīca”</w:t>
      </w:r>
    </w:p>
    <w:p w:rsidR="006B196A" w:rsidRPr="00B86E9B" w:rsidRDefault="006B196A" w:rsidP="006B196A">
      <w:pPr>
        <w:rPr>
          <w:sz w:val="28"/>
          <w:szCs w:val="28"/>
        </w:rPr>
      </w:pPr>
    </w:p>
    <w:p w:rsidR="006B196A" w:rsidRPr="00B86E9B" w:rsidRDefault="006B196A" w:rsidP="006B196A">
      <w:pPr>
        <w:pStyle w:val="Virsraksts3"/>
        <w:numPr>
          <w:ilvl w:val="2"/>
          <w:numId w:val="7"/>
        </w:numPr>
        <w:spacing w:before="0" w:after="0"/>
        <w:ind w:left="1418"/>
      </w:pPr>
      <w:r w:rsidRPr="00B86E9B">
        <w:t>Vispārēja informācija</w:t>
      </w:r>
    </w:p>
    <w:p w:rsidR="006B196A" w:rsidRPr="00B86E9B" w:rsidRDefault="006B196A" w:rsidP="006B196A">
      <w:pPr>
        <w:rPr>
          <w:sz w:val="28"/>
          <w:szCs w:val="28"/>
        </w:rPr>
      </w:pPr>
    </w:p>
    <w:p w:rsidR="00720E75" w:rsidRPr="00B86E9B" w:rsidRDefault="00224AAC" w:rsidP="00A15226">
      <w:pPr>
        <w:pStyle w:val="Virsraksts3"/>
        <w:numPr>
          <w:ilvl w:val="0"/>
          <w:numId w:val="0"/>
        </w:numPr>
        <w:spacing w:before="0" w:after="0"/>
        <w:ind w:firstLine="709"/>
        <w:jc w:val="both"/>
        <w:rPr>
          <w:b w:val="0"/>
          <w:i w:val="0"/>
        </w:rPr>
      </w:pPr>
      <w:r w:rsidRPr="00B86E9B">
        <w:rPr>
          <w:b w:val="0"/>
          <w:i w:val="0"/>
        </w:rPr>
        <w:t>SIA</w:t>
      </w:r>
      <w:r w:rsidR="00720E75" w:rsidRPr="00B86E9B">
        <w:rPr>
          <w:b w:val="0"/>
          <w:i w:val="0"/>
        </w:rPr>
        <w:t xml:space="preserve"> „Rīgas Austrumu klīniskā universitātes slimnīca” (turpmāk </w:t>
      </w:r>
      <w:r w:rsidR="00D67883" w:rsidRPr="00B86E9B">
        <w:rPr>
          <w:b w:val="0"/>
          <w:i w:val="0"/>
        </w:rPr>
        <w:t>– RAKUS) ir lielākā daudzprofilu</w:t>
      </w:r>
      <w:r w:rsidR="00720E75" w:rsidRPr="00B86E9B">
        <w:rPr>
          <w:b w:val="0"/>
          <w:i w:val="0"/>
        </w:rPr>
        <w:t xml:space="preserve"> ārstniecības iestāde Latvijā, kas nodrošina daudzpusīgu diagnostiku un ārstēšanu pacientiem, kā arī veic zinātniski pētniecisko darbu un attīsta inovācijas, nodrošina jauno speciālistu apmācību un īsteno pasākumus sabiedrības izglītošanai un veselības veicināšanai. RAKUS ietilpst seši stacionāri – „Gaiļezers”, „Linezers”, „Biķernieki”, „Latvijas Onkoloģijas centrs”, „Latvijas Infektoloģijas centrs” un „Tuberkulozes un plaušu slimību centrs”. RAKUS atsevišķās klīnikās stacionārā palīdzība tiek sniegta tādos profilos, kas nav pieejami citās Latvijas stacionārās iestādēs, piemēram, mikroķirurģijas, plastiskās un </w:t>
      </w:r>
      <w:proofErr w:type="spellStart"/>
      <w:r w:rsidR="00720E75" w:rsidRPr="00B86E9B">
        <w:rPr>
          <w:b w:val="0"/>
          <w:i w:val="0"/>
        </w:rPr>
        <w:t>rekonstruktīvās</w:t>
      </w:r>
      <w:proofErr w:type="spellEnd"/>
      <w:r w:rsidR="00720E75" w:rsidRPr="00B86E9B">
        <w:rPr>
          <w:b w:val="0"/>
          <w:i w:val="0"/>
        </w:rPr>
        <w:t xml:space="preserve"> ķirurģijas, izgulējumu ārstēšanas, toksikoloģijas un sepses, </w:t>
      </w:r>
      <w:proofErr w:type="spellStart"/>
      <w:r w:rsidR="00720E75" w:rsidRPr="00B86E9B">
        <w:rPr>
          <w:b w:val="0"/>
          <w:i w:val="0"/>
        </w:rPr>
        <w:t>politraumas</w:t>
      </w:r>
      <w:proofErr w:type="spellEnd"/>
      <w:r w:rsidR="00720E75" w:rsidRPr="00B86E9B">
        <w:rPr>
          <w:b w:val="0"/>
          <w:i w:val="0"/>
        </w:rPr>
        <w:t xml:space="preserve"> profilā, apdegumu un apsaldējumu ārstēšanā. </w:t>
      </w:r>
    </w:p>
    <w:p w:rsidR="00AC32CD" w:rsidRPr="00B86E9B" w:rsidRDefault="00720E75" w:rsidP="00A15226">
      <w:pPr>
        <w:ind w:firstLine="709"/>
        <w:jc w:val="both"/>
        <w:rPr>
          <w:bCs/>
          <w:sz w:val="28"/>
          <w:szCs w:val="28"/>
        </w:rPr>
      </w:pPr>
      <w:r w:rsidRPr="00B86E9B">
        <w:rPr>
          <w:bCs/>
          <w:sz w:val="28"/>
          <w:szCs w:val="28"/>
        </w:rPr>
        <w:t>RAKUS ir vienīgā slimnīca valstī, kura spēj ātri un atbilstošos apjomos reaģēt uz valstī notikušajām katastrofām.</w:t>
      </w:r>
    </w:p>
    <w:p w:rsidR="002564B6" w:rsidRPr="00B86E9B" w:rsidRDefault="002564B6" w:rsidP="00720E75">
      <w:pPr>
        <w:ind w:firstLine="709"/>
        <w:rPr>
          <w:bCs/>
          <w:sz w:val="28"/>
          <w:szCs w:val="28"/>
        </w:rPr>
      </w:pPr>
    </w:p>
    <w:p w:rsidR="009902F1" w:rsidRPr="00B86E9B" w:rsidRDefault="009902F1" w:rsidP="009902F1">
      <w:pPr>
        <w:pStyle w:val="Virsraksts3"/>
        <w:numPr>
          <w:ilvl w:val="2"/>
          <w:numId w:val="7"/>
        </w:numPr>
        <w:spacing w:before="0" w:after="0"/>
        <w:ind w:left="1418"/>
      </w:pPr>
      <w:r w:rsidRPr="00B86E9B">
        <w:t>Saimnieciskās darbības analīze</w:t>
      </w:r>
    </w:p>
    <w:p w:rsidR="002564B6" w:rsidRPr="00B86E9B" w:rsidRDefault="002564B6" w:rsidP="00720E75">
      <w:pPr>
        <w:ind w:firstLine="709"/>
        <w:rPr>
          <w:sz w:val="28"/>
          <w:szCs w:val="28"/>
        </w:rPr>
      </w:pPr>
    </w:p>
    <w:p w:rsidR="00861D81" w:rsidRPr="00B86E9B" w:rsidRDefault="00861D81" w:rsidP="00861D81">
      <w:pPr>
        <w:ind w:firstLine="720"/>
        <w:jc w:val="both"/>
        <w:rPr>
          <w:sz w:val="28"/>
          <w:szCs w:val="28"/>
        </w:rPr>
      </w:pPr>
      <w:r w:rsidRPr="00B86E9B">
        <w:rPr>
          <w:sz w:val="28"/>
          <w:szCs w:val="28"/>
        </w:rPr>
        <w:t>RAKUS galveno finanšu rādītāju tendences 2012.gadā salīdzinot ar 2011.gada rādītājiem nav pozitīvas:</w:t>
      </w:r>
    </w:p>
    <w:p w:rsidR="00861D81" w:rsidRPr="00B86E9B" w:rsidRDefault="00861D81" w:rsidP="00861D81">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apgrozījums ir palielinājies par 11 050 131 LVL (24,4%), ko galvenokārt var izskaidrot ar valsts aģentūras „Latvijas Infektoloģijas centrs” pievienošanu no 2012.gada 1.aprīļa;</w:t>
      </w:r>
    </w:p>
    <w:p w:rsidR="00861D81" w:rsidRPr="00B86E9B" w:rsidRDefault="00861D81" w:rsidP="00861D81">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zaudējumi ir palielinājušies par 611 873 LVL (20,9%);</w:t>
      </w:r>
    </w:p>
    <w:p w:rsidR="00861D81" w:rsidRPr="00B86E9B" w:rsidRDefault="00861D81" w:rsidP="00861D81">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pašu kapitāls ir samazinājies par 1 002 812 LVL (14,2%);</w:t>
      </w:r>
    </w:p>
    <w:p w:rsidR="00861D81" w:rsidRPr="00B86E9B" w:rsidRDefault="00861D81" w:rsidP="00861D81">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kreditoru saistības ir palielinājušās par 1 975 445 LVL (3,5%);</w:t>
      </w:r>
    </w:p>
    <w:p w:rsidR="00861D81" w:rsidRPr="00B86E9B" w:rsidRDefault="00861D81" w:rsidP="00861D81">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lastRenderedPageBreak/>
        <w:t>likviditāte (Vispārējais apgrozāmo līdzekļu koeficients) ir samazinājusies par 1,46 procentpunktiem;</w:t>
      </w:r>
    </w:p>
    <w:p w:rsidR="00861D81" w:rsidRPr="00B86E9B" w:rsidRDefault="00861D81" w:rsidP="00861D81">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rentabilitāte ir palielinājusies par 0,4 procentpunktiem.</w:t>
      </w:r>
    </w:p>
    <w:p w:rsidR="00861D81" w:rsidRPr="00B86E9B" w:rsidRDefault="00861D81" w:rsidP="00861D81">
      <w:pPr>
        <w:ind w:firstLine="720"/>
        <w:jc w:val="both"/>
        <w:rPr>
          <w:sz w:val="28"/>
          <w:szCs w:val="28"/>
        </w:rPr>
      </w:pPr>
    </w:p>
    <w:p w:rsidR="00861D81" w:rsidRPr="00B86E9B" w:rsidRDefault="00861D81" w:rsidP="00861D81">
      <w:pPr>
        <w:autoSpaceDE w:val="0"/>
        <w:autoSpaceDN w:val="0"/>
        <w:adjustRightInd w:val="0"/>
        <w:ind w:firstLine="720"/>
        <w:jc w:val="right"/>
        <w:rPr>
          <w:i/>
          <w:sz w:val="28"/>
          <w:szCs w:val="28"/>
        </w:rPr>
      </w:pPr>
      <w:r w:rsidRPr="00B86E9B">
        <w:rPr>
          <w:i/>
          <w:sz w:val="28"/>
          <w:szCs w:val="28"/>
        </w:rPr>
        <w:t>Tabula Nr.9: RAKUS galvenie finanšu rādītāji</w:t>
      </w:r>
    </w:p>
    <w:tbl>
      <w:tblPr>
        <w:tblStyle w:val="Reatabula"/>
        <w:tblW w:w="0" w:type="auto"/>
        <w:tblLook w:val="04A0"/>
      </w:tblPr>
      <w:tblGrid>
        <w:gridCol w:w="4993"/>
        <w:gridCol w:w="2240"/>
        <w:gridCol w:w="2054"/>
      </w:tblGrid>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2012.gads</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2011.gads</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Apgrozījums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56 302 913</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45 252 782</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Peļņa vai zaudējumi pēc nodokļiem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-3 544 981</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-2 933 108</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Pašu kapitāls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6 052 747</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7 055 559</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Uzkrājumi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984 830</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708 809</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Kreditori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58 730 130</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56 754 685</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Ilgtermiņa ieguldījumi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44 348 406</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37 966 391</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Apgrozāmie līdzekļi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21 419 301</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26 552 662</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Bilances kopsumma [LVL]</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65 767 707</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64 519 053</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Likviditāte (Vispārējais apgrozāmo līdzekļu koeficients)</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2,13</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3,59</w:t>
            </w:r>
          </w:p>
        </w:tc>
      </w:tr>
      <w:tr w:rsidR="00861D81" w:rsidRPr="00B86E9B" w:rsidTr="00F519F5">
        <w:tc>
          <w:tcPr>
            <w:tcW w:w="5215" w:type="dxa"/>
            <w:shd w:val="clear" w:color="auto" w:fill="D9D9D9" w:themeFill="background1" w:themeFillShade="D9"/>
          </w:tcPr>
          <w:p w:rsidR="00861D81" w:rsidRPr="00B86E9B" w:rsidRDefault="00861D81" w:rsidP="00F519F5">
            <w:pPr>
              <w:rPr>
                <w:sz w:val="26"/>
                <w:szCs w:val="26"/>
              </w:rPr>
            </w:pPr>
            <w:r w:rsidRPr="00B86E9B">
              <w:rPr>
                <w:sz w:val="26"/>
                <w:szCs w:val="26"/>
              </w:rPr>
              <w:t>Rentabilitāte (Bruto peļņas robeža)[%]</w:t>
            </w:r>
          </w:p>
        </w:tc>
        <w:tc>
          <w:tcPr>
            <w:tcW w:w="230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-8,5%</w:t>
            </w:r>
          </w:p>
        </w:tc>
        <w:tc>
          <w:tcPr>
            <w:tcW w:w="2104"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-8,9%</w:t>
            </w:r>
          </w:p>
        </w:tc>
      </w:tr>
    </w:tbl>
    <w:p w:rsidR="00861D81" w:rsidRPr="00B86E9B" w:rsidRDefault="00861D81" w:rsidP="00861D81">
      <w:pPr>
        <w:tabs>
          <w:tab w:val="left" w:pos="3390"/>
        </w:tabs>
        <w:autoSpaceDE w:val="0"/>
        <w:autoSpaceDN w:val="0"/>
        <w:adjustRightInd w:val="0"/>
        <w:rPr>
          <w:i/>
          <w:sz w:val="28"/>
          <w:szCs w:val="28"/>
        </w:rPr>
      </w:pPr>
    </w:p>
    <w:p w:rsidR="00861D81" w:rsidRPr="00B86E9B" w:rsidRDefault="00861D81" w:rsidP="00861D81">
      <w:pPr>
        <w:tabs>
          <w:tab w:val="left" w:pos="3390"/>
        </w:tabs>
        <w:autoSpaceDE w:val="0"/>
        <w:autoSpaceDN w:val="0"/>
        <w:adjustRightInd w:val="0"/>
        <w:ind w:firstLine="720"/>
        <w:jc w:val="right"/>
        <w:rPr>
          <w:i/>
          <w:sz w:val="28"/>
          <w:szCs w:val="28"/>
        </w:rPr>
      </w:pPr>
      <w:r w:rsidRPr="00B86E9B">
        <w:rPr>
          <w:i/>
          <w:sz w:val="28"/>
          <w:szCs w:val="28"/>
        </w:rPr>
        <w:t>Tabula Nr.10: RAKUS galvenie naturālie rādītāji</w:t>
      </w:r>
    </w:p>
    <w:tbl>
      <w:tblPr>
        <w:tblStyle w:val="Reatabula"/>
        <w:tblW w:w="0" w:type="auto"/>
        <w:tblLook w:val="04A0"/>
      </w:tblPr>
      <w:tblGrid>
        <w:gridCol w:w="4992"/>
        <w:gridCol w:w="2292"/>
        <w:gridCol w:w="2003"/>
      </w:tblGrid>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p>
        </w:tc>
        <w:tc>
          <w:tcPr>
            <w:tcW w:w="236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2012.gads</w:t>
            </w:r>
          </w:p>
        </w:tc>
        <w:tc>
          <w:tcPr>
            <w:tcW w:w="2053"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2011.gads</w:t>
            </w:r>
          </w:p>
        </w:tc>
      </w:tr>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r w:rsidRPr="00B86E9B">
              <w:rPr>
                <w:sz w:val="26"/>
                <w:szCs w:val="26"/>
              </w:rPr>
              <w:t>Darbinieku skaits [slodzes]</w:t>
            </w:r>
          </w:p>
        </w:tc>
        <w:tc>
          <w:tcPr>
            <w:tcW w:w="2362" w:type="dxa"/>
            <w:vAlign w:val="center"/>
          </w:tcPr>
          <w:p w:rsidR="00861D81" w:rsidRPr="00B86E9B" w:rsidRDefault="00861D81" w:rsidP="00F519F5">
            <w:pPr>
              <w:jc w:val="center"/>
              <w:rPr>
                <w:bCs/>
                <w:sz w:val="26"/>
                <w:szCs w:val="26"/>
              </w:rPr>
            </w:pPr>
            <w:r w:rsidRPr="00B86E9B">
              <w:rPr>
                <w:bCs/>
                <w:sz w:val="26"/>
                <w:szCs w:val="26"/>
              </w:rPr>
              <w:t>4 589</w:t>
            </w:r>
          </w:p>
        </w:tc>
        <w:tc>
          <w:tcPr>
            <w:tcW w:w="2053"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3 696</w:t>
            </w:r>
          </w:p>
        </w:tc>
      </w:tr>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r w:rsidRPr="00B86E9B">
              <w:rPr>
                <w:sz w:val="26"/>
                <w:szCs w:val="26"/>
              </w:rPr>
              <w:t>Ārstēto pacientu skaits [pacienti]</w:t>
            </w:r>
          </w:p>
        </w:tc>
        <w:tc>
          <w:tcPr>
            <w:tcW w:w="2362" w:type="dxa"/>
            <w:vAlign w:val="center"/>
          </w:tcPr>
          <w:p w:rsidR="00861D81" w:rsidRPr="00B86E9B" w:rsidRDefault="00861D81" w:rsidP="00F519F5">
            <w:pPr>
              <w:jc w:val="center"/>
              <w:rPr>
                <w:color w:val="000000"/>
                <w:sz w:val="26"/>
                <w:szCs w:val="26"/>
              </w:rPr>
            </w:pPr>
            <w:r w:rsidRPr="00B86E9B">
              <w:rPr>
                <w:color w:val="000000"/>
                <w:sz w:val="26"/>
                <w:szCs w:val="26"/>
              </w:rPr>
              <w:t>559 325</w:t>
            </w:r>
          </w:p>
        </w:tc>
        <w:tc>
          <w:tcPr>
            <w:tcW w:w="2053" w:type="dxa"/>
            <w:vAlign w:val="center"/>
          </w:tcPr>
          <w:p w:rsidR="00861D81" w:rsidRPr="00B86E9B" w:rsidRDefault="00861D81" w:rsidP="00F519F5">
            <w:pPr>
              <w:jc w:val="center"/>
              <w:rPr>
                <w:sz w:val="26"/>
                <w:szCs w:val="26"/>
              </w:rPr>
            </w:pPr>
            <w:r w:rsidRPr="00B86E9B">
              <w:rPr>
                <w:sz w:val="26"/>
                <w:szCs w:val="26"/>
              </w:rPr>
              <w:t>539 724</w:t>
            </w:r>
          </w:p>
        </w:tc>
      </w:tr>
      <w:tr w:rsidR="00861D81" w:rsidRPr="00B86E9B" w:rsidTr="00F519F5">
        <w:tc>
          <w:tcPr>
            <w:tcW w:w="5206" w:type="dxa"/>
            <w:shd w:val="clear" w:color="auto" w:fill="D9D9D9" w:themeFill="background1" w:themeFillShade="D9"/>
          </w:tcPr>
          <w:p w:rsidR="00861D81" w:rsidRPr="00B86E9B" w:rsidRDefault="00123ABA" w:rsidP="00F519F5">
            <w:pPr>
              <w:rPr>
                <w:sz w:val="26"/>
                <w:szCs w:val="26"/>
              </w:rPr>
            </w:pPr>
            <w:r w:rsidRPr="00B86E9B">
              <w:rPr>
                <w:sz w:val="26"/>
                <w:szCs w:val="26"/>
              </w:rPr>
              <w:t>G</w:t>
            </w:r>
            <w:r w:rsidR="00861D81" w:rsidRPr="00B86E9B">
              <w:rPr>
                <w:sz w:val="26"/>
                <w:szCs w:val="26"/>
              </w:rPr>
              <w:t>ultas dienu skaits [dienas]</w:t>
            </w:r>
          </w:p>
        </w:tc>
        <w:tc>
          <w:tcPr>
            <w:tcW w:w="2362" w:type="dxa"/>
            <w:vAlign w:val="center"/>
          </w:tcPr>
          <w:p w:rsidR="00861D81" w:rsidRPr="00B86E9B" w:rsidRDefault="00861D81" w:rsidP="00F519F5">
            <w:pPr>
              <w:jc w:val="center"/>
              <w:rPr>
                <w:bCs/>
                <w:sz w:val="26"/>
                <w:szCs w:val="26"/>
              </w:rPr>
            </w:pPr>
            <w:r w:rsidRPr="00B86E9B">
              <w:rPr>
                <w:bCs/>
                <w:sz w:val="26"/>
                <w:szCs w:val="26"/>
              </w:rPr>
              <w:t>564 905</w:t>
            </w:r>
          </w:p>
        </w:tc>
        <w:tc>
          <w:tcPr>
            <w:tcW w:w="2053" w:type="dxa"/>
            <w:vAlign w:val="center"/>
          </w:tcPr>
          <w:p w:rsidR="00861D81" w:rsidRPr="00B86E9B" w:rsidRDefault="00861D81" w:rsidP="00F519F5">
            <w:pPr>
              <w:jc w:val="center"/>
              <w:rPr>
                <w:bCs/>
                <w:color w:val="000000"/>
                <w:sz w:val="26"/>
                <w:szCs w:val="26"/>
              </w:rPr>
            </w:pPr>
            <w:r w:rsidRPr="00B86E9B">
              <w:rPr>
                <w:bCs/>
                <w:color w:val="000000"/>
                <w:sz w:val="26"/>
                <w:szCs w:val="26"/>
              </w:rPr>
              <w:t>469 082</w:t>
            </w:r>
          </w:p>
        </w:tc>
      </w:tr>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r w:rsidRPr="00B86E9B">
              <w:rPr>
                <w:sz w:val="26"/>
                <w:szCs w:val="26"/>
              </w:rPr>
              <w:t>Vidējais gultu skaits [gultas]</w:t>
            </w:r>
          </w:p>
        </w:tc>
        <w:tc>
          <w:tcPr>
            <w:tcW w:w="2362" w:type="dxa"/>
            <w:vAlign w:val="center"/>
          </w:tcPr>
          <w:p w:rsidR="00861D81" w:rsidRPr="00B86E9B" w:rsidRDefault="00861D81" w:rsidP="00F519F5">
            <w:pPr>
              <w:jc w:val="center"/>
              <w:rPr>
                <w:bCs/>
                <w:sz w:val="26"/>
                <w:szCs w:val="26"/>
              </w:rPr>
            </w:pPr>
            <w:r w:rsidRPr="00B86E9B">
              <w:rPr>
                <w:bCs/>
                <w:sz w:val="26"/>
                <w:szCs w:val="26"/>
              </w:rPr>
              <w:t>2 429</w:t>
            </w:r>
          </w:p>
        </w:tc>
        <w:tc>
          <w:tcPr>
            <w:tcW w:w="2053" w:type="dxa"/>
            <w:vAlign w:val="center"/>
          </w:tcPr>
          <w:p w:rsidR="00861D81" w:rsidRPr="00B86E9B" w:rsidRDefault="00861D81" w:rsidP="00F519F5">
            <w:pPr>
              <w:jc w:val="center"/>
              <w:rPr>
                <w:bCs/>
                <w:color w:val="000000"/>
                <w:sz w:val="26"/>
                <w:szCs w:val="26"/>
              </w:rPr>
            </w:pPr>
            <w:r w:rsidRPr="00B86E9B">
              <w:rPr>
                <w:bCs/>
                <w:color w:val="000000"/>
                <w:sz w:val="26"/>
                <w:szCs w:val="26"/>
              </w:rPr>
              <w:t>1 785</w:t>
            </w:r>
          </w:p>
        </w:tc>
      </w:tr>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r w:rsidRPr="00B86E9B">
              <w:rPr>
                <w:sz w:val="26"/>
                <w:szCs w:val="26"/>
              </w:rPr>
              <w:t>Gultu noslogojums [procentos]</w:t>
            </w:r>
          </w:p>
        </w:tc>
        <w:tc>
          <w:tcPr>
            <w:tcW w:w="236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68,6</w:t>
            </w:r>
          </w:p>
        </w:tc>
        <w:tc>
          <w:tcPr>
            <w:tcW w:w="2053"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72,2</w:t>
            </w:r>
          </w:p>
        </w:tc>
      </w:tr>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r w:rsidRPr="00B86E9B">
              <w:rPr>
                <w:sz w:val="26"/>
                <w:szCs w:val="26"/>
              </w:rPr>
              <w:t>Vidējais ārstēšanās ilgums [dienas]</w:t>
            </w:r>
          </w:p>
        </w:tc>
        <w:tc>
          <w:tcPr>
            <w:tcW w:w="2362"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8,1</w:t>
            </w:r>
          </w:p>
        </w:tc>
        <w:tc>
          <w:tcPr>
            <w:tcW w:w="2053"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7,8</w:t>
            </w:r>
          </w:p>
        </w:tc>
      </w:tr>
      <w:tr w:rsidR="00861D81" w:rsidRPr="00B86E9B" w:rsidTr="00F519F5">
        <w:tc>
          <w:tcPr>
            <w:tcW w:w="5206" w:type="dxa"/>
            <w:shd w:val="clear" w:color="auto" w:fill="D9D9D9" w:themeFill="background1" w:themeFillShade="D9"/>
          </w:tcPr>
          <w:p w:rsidR="00861D81" w:rsidRPr="00B86E9B" w:rsidRDefault="00861D81" w:rsidP="00F519F5">
            <w:pPr>
              <w:rPr>
                <w:sz w:val="26"/>
                <w:szCs w:val="26"/>
              </w:rPr>
            </w:pPr>
            <w:r w:rsidRPr="00B86E9B">
              <w:rPr>
                <w:sz w:val="26"/>
                <w:szCs w:val="26"/>
              </w:rPr>
              <w:t>Telpu kopējā platība [kvadrātmetros]</w:t>
            </w:r>
          </w:p>
        </w:tc>
        <w:tc>
          <w:tcPr>
            <w:tcW w:w="2362" w:type="dxa"/>
            <w:vAlign w:val="center"/>
          </w:tcPr>
          <w:p w:rsidR="00861D81" w:rsidRPr="00B86E9B" w:rsidRDefault="00861D81" w:rsidP="00F519F5">
            <w:pPr>
              <w:jc w:val="center"/>
              <w:rPr>
                <w:bCs/>
                <w:sz w:val="26"/>
                <w:szCs w:val="26"/>
              </w:rPr>
            </w:pPr>
            <w:r w:rsidRPr="00B86E9B">
              <w:rPr>
                <w:bCs/>
                <w:sz w:val="26"/>
                <w:szCs w:val="26"/>
              </w:rPr>
              <w:t>208 191,7</w:t>
            </w:r>
          </w:p>
        </w:tc>
        <w:tc>
          <w:tcPr>
            <w:tcW w:w="2053" w:type="dxa"/>
            <w:vAlign w:val="center"/>
          </w:tcPr>
          <w:p w:rsidR="00861D81" w:rsidRPr="00B86E9B" w:rsidRDefault="00861D81" w:rsidP="00F519F5">
            <w:pPr>
              <w:shd w:val="clear" w:color="auto" w:fill="FFFFFF" w:themeFill="background1"/>
              <w:jc w:val="center"/>
              <w:rPr>
                <w:sz w:val="26"/>
                <w:szCs w:val="26"/>
              </w:rPr>
            </w:pPr>
            <w:r w:rsidRPr="00B86E9B">
              <w:rPr>
                <w:sz w:val="26"/>
                <w:szCs w:val="26"/>
              </w:rPr>
              <w:t>139 209,5</w:t>
            </w:r>
          </w:p>
        </w:tc>
      </w:tr>
    </w:tbl>
    <w:p w:rsidR="00861D81" w:rsidRPr="00B86E9B" w:rsidRDefault="00861D81" w:rsidP="00861D81">
      <w:pPr>
        <w:jc w:val="both"/>
        <w:rPr>
          <w:rFonts w:eastAsia="Calibri"/>
          <w:sz w:val="28"/>
          <w:szCs w:val="28"/>
        </w:rPr>
      </w:pPr>
    </w:p>
    <w:p w:rsidR="00861D81" w:rsidRPr="00B86E9B" w:rsidRDefault="00861D81" w:rsidP="00861D81">
      <w:pPr>
        <w:ind w:firstLine="706"/>
        <w:jc w:val="both"/>
        <w:rPr>
          <w:rFonts w:eastAsia="Calibri"/>
          <w:sz w:val="28"/>
          <w:szCs w:val="28"/>
        </w:rPr>
      </w:pPr>
      <w:r w:rsidRPr="00B86E9B">
        <w:rPr>
          <w:rFonts w:eastAsia="Calibri"/>
          <w:sz w:val="28"/>
          <w:szCs w:val="28"/>
          <w:lang w:eastAsia="lv-LV"/>
        </w:rPr>
        <w:t xml:space="preserve">RAKUS kopējie ieņēmumi 2012.gadā bija </w:t>
      </w:r>
      <w:r w:rsidRPr="00B86E9B">
        <w:rPr>
          <w:color w:val="000000"/>
          <w:sz w:val="28"/>
          <w:szCs w:val="28"/>
        </w:rPr>
        <w:t>63 957 638 LVL, kas bija par 21 932 282 LVL (52,2%) lielāki nekā plānots un par 12 134 642 LVL (23,4%) lielāki nekā kopējie 2011.gada ieņēmumi</w:t>
      </w:r>
      <w:r w:rsidRPr="00B86E9B">
        <w:rPr>
          <w:sz w:val="28"/>
          <w:szCs w:val="28"/>
        </w:rPr>
        <w:t>.</w:t>
      </w:r>
      <w:r w:rsidR="000F0A07" w:rsidRPr="00B86E9B">
        <w:rPr>
          <w:sz w:val="28"/>
          <w:szCs w:val="28"/>
        </w:rPr>
        <w:t xml:space="preserve"> Ieņēmumu palielinājumu daļēji ietekmēja valsts aģentūras „Latvijas Infektoloģijas centrs”</w:t>
      </w:r>
      <w:r w:rsidR="00DA3E3C" w:rsidRPr="00B86E9B">
        <w:rPr>
          <w:sz w:val="28"/>
          <w:szCs w:val="28"/>
        </w:rPr>
        <w:t xml:space="preserve"> (turpmāk –LIC)</w:t>
      </w:r>
      <w:r w:rsidR="000F0A07" w:rsidRPr="00B86E9B">
        <w:rPr>
          <w:sz w:val="28"/>
          <w:szCs w:val="28"/>
        </w:rPr>
        <w:t xml:space="preserve"> pievienošana no 2012.gada 1.aprīļa.</w:t>
      </w:r>
    </w:p>
    <w:p w:rsidR="00106322" w:rsidRPr="00B86E9B" w:rsidRDefault="00962B09" w:rsidP="00123ABA">
      <w:pPr>
        <w:ind w:firstLine="706"/>
        <w:jc w:val="both"/>
        <w:rPr>
          <w:rFonts w:eastAsia="Calibri"/>
          <w:sz w:val="28"/>
          <w:szCs w:val="28"/>
        </w:rPr>
      </w:pPr>
      <w:r w:rsidRPr="00B86E9B">
        <w:rPr>
          <w:rFonts w:eastAsia="Calibri"/>
          <w:sz w:val="28"/>
          <w:szCs w:val="28"/>
        </w:rPr>
        <w:t xml:space="preserve">2012.gadā RAKUS ieņēmumi no valsts budžeta līdzekļiem ārstniecības pakalpojumiem bija 45 916 102 LVL, kas, salīdzinot ar 2012.gada plānu, bija lielāki par 12 338 510 LVL (36,7%), un, salīdzinot ar 2011.gadu, lielāki par 8 833 837 LVL (23,8%). Savukārt, 2012.gadā RAKUS ieņēmumi no maksas pakalpojumiem bija 3 009 939 LVL, kas, salīdzinot ar 2012.gada plānu, bija lielāki par 65 273 LVL (2,2%), un, salīdzinot ar </w:t>
      </w:r>
      <w:r w:rsidR="005924B4" w:rsidRPr="00B86E9B">
        <w:rPr>
          <w:rFonts w:eastAsia="Calibri"/>
          <w:sz w:val="28"/>
          <w:szCs w:val="28"/>
        </w:rPr>
        <w:t>2011.gadu, palielinājās par 788 </w:t>
      </w:r>
      <w:r w:rsidRPr="00B86E9B">
        <w:rPr>
          <w:rFonts w:eastAsia="Calibri"/>
          <w:sz w:val="28"/>
          <w:szCs w:val="28"/>
        </w:rPr>
        <w:t>865 LVL (35,5%), kas ir vērtējams pozitīvi.</w:t>
      </w:r>
      <w:r w:rsidR="00123ABA" w:rsidRPr="00B86E9B">
        <w:rPr>
          <w:rFonts w:eastAsia="Calibri"/>
          <w:sz w:val="28"/>
          <w:szCs w:val="28"/>
        </w:rPr>
        <w:t xml:space="preserve"> </w:t>
      </w:r>
    </w:p>
    <w:p w:rsidR="00123ABA" w:rsidRPr="00B86E9B" w:rsidRDefault="00106322" w:rsidP="00106322">
      <w:pPr>
        <w:ind w:firstLine="706"/>
        <w:jc w:val="both"/>
        <w:rPr>
          <w:rFonts w:eastAsia="Calibri"/>
          <w:sz w:val="28"/>
          <w:szCs w:val="28"/>
        </w:rPr>
      </w:pPr>
      <w:r w:rsidRPr="00B86E9B">
        <w:rPr>
          <w:sz w:val="28"/>
          <w:szCs w:val="28"/>
        </w:rPr>
        <w:t>Pārējie ieņēmumi 2012.gadā bija 15 031 597 LVL, kas, salīdzinot ar 2012.gada plānu, palielinājušies par  9 528 499 LVL (173,1%), un, salīdzinot ar 2011.gadu, palielinājušies par 2 511 940 LVL (20,1%).</w:t>
      </w:r>
      <w:r w:rsidRPr="00B86E9B">
        <w:rPr>
          <w:rFonts w:eastAsia="Calibri"/>
          <w:sz w:val="28"/>
          <w:szCs w:val="28"/>
        </w:rPr>
        <w:t xml:space="preserve"> </w:t>
      </w:r>
      <w:r w:rsidR="00123ABA" w:rsidRPr="00B86E9B">
        <w:rPr>
          <w:sz w:val="28"/>
          <w:szCs w:val="28"/>
        </w:rPr>
        <w:t xml:space="preserve">RAKUS pārējos ieņēmumus 15 031 597 LVL apmērā veido pašu nopelnītie līdzekļi no saimnieciskās darbības, kas nav tieši saistīta ar ārstniecību un citi ieņēmumi kā, </w:t>
      </w:r>
      <w:r w:rsidR="00123ABA" w:rsidRPr="00B86E9B">
        <w:rPr>
          <w:sz w:val="28"/>
          <w:szCs w:val="28"/>
        </w:rPr>
        <w:lastRenderedPageBreak/>
        <w:t xml:space="preserve">piemēram,  </w:t>
      </w:r>
      <w:r w:rsidR="009F0A69" w:rsidRPr="00B86E9B">
        <w:rPr>
          <w:sz w:val="28"/>
          <w:szCs w:val="28"/>
        </w:rPr>
        <w:t>ieņēmumi no depozītnoguldījumiem</w:t>
      </w:r>
      <w:r w:rsidR="00123ABA" w:rsidRPr="00B86E9B">
        <w:rPr>
          <w:sz w:val="28"/>
          <w:szCs w:val="28"/>
        </w:rPr>
        <w:t>, ieņēmumos ieskaitītās dotācijas, dāvinājumi, atbilstoši dāvināto pamatlīdzekļu nolietojumam par pārskata periodu, ieņēmumi no pārdotajiem materiāliem un pamatlīdzekļiem, bez atlīdzības saņemtās medicīnas preces (piem., asins komponenti), kas novērtētas naudas izteiksmē, ieņēm</w:t>
      </w:r>
      <w:r w:rsidRPr="00B86E9B">
        <w:rPr>
          <w:sz w:val="28"/>
          <w:szCs w:val="28"/>
        </w:rPr>
        <w:t>umi no īstenotajiem projektiem.</w:t>
      </w:r>
    </w:p>
    <w:p w:rsidR="00962B09" w:rsidRPr="00B86E9B" w:rsidRDefault="00962B09" w:rsidP="00387637">
      <w:pPr>
        <w:jc w:val="both"/>
        <w:rPr>
          <w:rFonts w:eastAsia="Calibri"/>
          <w:sz w:val="22"/>
          <w:szCs w:val="22"/>
        </w:rPr>
      </w:pPr>
    </w:p>
    <w:p w:rsidR="00962B09" w:rsidRPr="00B86E9B" w:rsidRDefault="00962B09" w:rsidP="00962B09">
      <w:pPr>
        <w:pStyle w:val="Virsraksts3"/>
        <w:numPr>
          <w:ilvl w:val="0"/>
          <w:numId w:val="0"/>
        </w:numPr>
        <w:spacing w:before="0" w:after="0"/>
        <w:ind w:left="706"/>
        <w:jc w:val="right"/>
        <w:rPr>
          <w:b w:val="0"/>
        </w:rPr>
      </w:pPr>
      <w:r w:rsidRPr="00B86E9B">
        <w:rPr>
          <w:rFonts w:eastAsia="Calibri"/>
          <w:b w:val="0"/>
          <w:lang w:eastAsia="lv-LV"/>
        </w:rPr>
        <w:t>Tabula Nr.11:</w:t>
      </w:r>
      <w:r w:rsidRPr="00B86E9B">
        <w:rPr>
          <w:b w:val="0"/>
        </w:rPr>
        <w:t xml:space="preserve"> RAKUS </w:t>
      </w:r>
      <w:r w:rsidR="001B5898" w:rsidRPr="00B86E9B">
        <w:rPr>
          <w:b w:val="0"/>
        </w:rPr>
        <w:t xml:space="preserve">ieņēmumu apjoms </w:t>
      </w:r>
      <w:r w:rsidRPr="00B86E9B">
        <w:rPr>
          <w:b w:val="0"/>
        </w:rPr>
        <w:t>[LVL]</w:t>
      </w:r>
    </w:p>
    <w:tbl>
      <w:tblPr>
        <w:tblStyle w:val="Reatabula"/>
        <w:tblW w:w="0" w:type="auto"/>
        <w:jc w:val="center"/>
        <w:tblLook w:val="04A0"/>
      </w:tblPr>
      <w:tblGrid>
        <w:gridCol w:w="2308"/>
        <w:gridCol w:w="1484"/>
        <w:gridCol w:w="1419"/>
        <w:gridCol w:w="1418"/>
      </w:tblGrid>
      <w:tr w:rsidR="00962B09" w:rsidRPr="00B86E9B" w:rsidTr="00F519F5">
        <w:trPr>
          <w:jc w:val="center"/>
        </w:trPr>
        <w:tc>
          <w:tcPr>
            <w:tcW w:w="2308" w:type="dxa"/>
            <w:shd w:val="clear" w:color="auto" w:fill="D9D9D9" w:themeFill="background1" w:themeFillShade="D9"/>
            <w:vAlign w:val="center"/>
          </w:tcPr>
          <w:p w:rsidR="00962B09" w:rsidRPr="00B86E9B" w:rsidRDefault="00962B09" w:rsidP="00F519F5">
            <w:pPr>
              <w:rPr>
                <w:sz w:val="26"/>
                <w:szCs w:val="26"/>
              </w:rPr>
            </w:pPr>
          </w:p>
        </w:tc>
        <w:tc>
          <w:tcPr>
            <w:tcW w:w="1484" w:type="dxa"/>
            <w:shd w:val="clear" w:color="auto" w:fill="D9D9D9" w:themeFill="background1" w:themeFillShade="D9"/>
            <w:vAlign w:val="center"/>
          </w:tcPr>
          <w:p w:rsidR="00962B09" w:rsidRPr="00B86E9B" w:rsidRDefault="00962B09" w:rsidP="00F519F5">
            <w:pPr>
              <w:jc w:val="center"/>
              <w:rPr>
                <w:sz w:val="26"/>
                <w:szCs w:val="26"/>
              </w:rPr>
            </w:pPr>
            <w:r w:rsidRPr="00B86E9B">
              <w:rPr>
                <w:sz w:val="26"/>
                <w:szCs w:val="26"/>
              </w:rPr>
              <w:t>2011.gads</w:t>
            </w:r>
          </w:p>
        </w:tc>
        <w:tc>
          <w:tcPr>
            <w:tcW w:w="2837" w:type="dxa"/>
            <w:gridSpan w:val="2"/>
            <w:shd w:val="clear" w:color="auto" w:fill="D9D9D9" w:themeFill="background1" w:themeFillShade="D9"/>
            <w:vAlign w:val="center"/>
          </w:tcPr>
          <w:p w:rsidR="00962B09" w:rsidRPr="00B86E9B" w:rsidRDefault="00962B09" w:rsidP="00F519F5">
            <w:pPr>
              <w:jc w:val="center"/>
              <w:rPr>
                <w:sz w:val="26"/>
                <w:szCs w:val="26"/>
              </w:rPr>
            </w:pPr>
            <w:r w:rsidRPr="00B86E9B">
              <w:rPr>
                <w:sz w:val="26"/>
                <w:szCs w:val="26"/>
              </w:rPr>
              <w:t>2012.gads</w:t>
            </w:r>
          </w:p>
        </w:tc>
      </w:tr>
      <w:tr w:rsidR="00962B09" w:rsidRPr="00B86E9B" w:rsidTr="00F519F5">
        <w:trPr>
          <w:jc w:val="center"/>
        </w:trPr>
        <w:tc>
          <w:tcPr>
            <w:tcW w:w="2308" w:type="dxa"/>
            <w:shd w:val="clear" w:color="auto" w:fill="D9D9D9" w:themeFill="background1" w:themeFillShade="D9"/>
            <w:vAlign w:val="center"/>
          </w:tcPr>
          <w:p w:rsidR="00962B09" w:rsidRPr="00B86E9B" w:rsidRDefault="00962B09" w:rsidP="00F519F5">
            <w:pPr>
              <w:rPr>
                <w:sz w:val="26"/>
                <w:szCs w:val="26"/>
              </w:rPr>
            </w:pPr>
            <w:r w:rsidRPr="00B86E9B">
              <w:rPr>
                <w:sz w:val="26"/>
                <w:szCs w:val="26"/>
              </w:rPr>
              <w:t>Ieņēmumi</w:t>
            </w:r>
          </w:p>
        </w:tc>
        <w:tc>
          <w:tcPr>
            <w:tcW w:w="1484" w:type="dxa"/>
            <w:shd w:val="clear" w:color="auto" w:fill="D9D9D9" w:themeFill="background1" w:themeFillShade="D9"/>
            <w:vAlign w:val="center"/>
          </w:tcPr>
          <w:p w:rsidR="00962B09" w:rsidRPr="00B86E9B" w:rsidRDefault="00962B09" w:rsidP="00F519F5">
            <w:pPr>
              <w:jc w:val="center"/>
              <w:rPr>
                <w:sz w:val="26"/>
                <w:szCs w:val="26"/>
              </w:rPr>
            </w:pPr>
            <w:r w:rsidRPr="00B86E9B">
              <w:rPr>
                <w:sz w:val="26"/>
                <w:szCs w:val="26"/>
              </w:rPr>
              <w:t>Izpilde</w:t>
            </w:r>
          </w:p>
        </w:tc>
        <w:tc>
          <w:tcPr>
            <w:tcW w:w="1419" w:type="dxa"/>
            <w:shd w:val="clear" w:color="auto" w:fill="D9D9D9" w:themeFill="background1" w:themeFillShade="D9"/>
            <w:vAlign w:val="center"/>
          </w:tcPr>
          <w:p w:rsidR="00962B09" w:rsidRPr="00B86E9B" w:rsidRDefault="00962B09" w:rsidP="00F519F5">
            <w:pPr>
              <w:jc w:val="center"/>
              <w:rPr>
                <w:sz w:val="26"/>
                <w:szCs w:val="26"/>
              </w:rPr>
            </w:pPr>
            <w:r w:rsidRPr="00B86E9B">
              <w:rPr>
                <w:sz w:val="26"/>
                <w:szCs w:val="26"/>
              </w:rPr>
              <w:t>Plāns</w:t>
            </w:r>
          </w:p>
        </w:tc>
        <w:tc>
          <w:tcPr>
            <w:tcW w:w="1418" w:type="dxa"/>
            <w:shd w:val="clear" w:color="auto" w:fill="D9D9D9" w:themeFill="background1" w:themeFillShade="D9"/>
          </w:tcPr>
          <w:p w:rsidR="00962B09" w:rsidRPr="00B86E9B" w:rsidRDefault="00962B09" w:rsidP="00F519F5">
            <w:pPr>
              <w:jc w:val="center"/>
              <w:rPr>
                <w:sz w:val="26"/>
                <w:szCs w:val="26"/>
              </w:rPr>
            </w:pPr>
            <w:r w:rsidRPr="00B86E9B">
              <w:rPr>
                <w:sz w:val="26"/>
                <w:szCs w:val="26"/>
              </w:rPr>
              <w:t>Izpilde</w:t>
            </w:r>
          </w:p>
        </w:tc>
      </w:tr>
      <w:tr w:rsidR="00570A9B" w:rsidRPr="00B86E9B" w:rsidTr="00F519F5">
        <w:trPr>
          <w:jc w:val="center"/>
        </w:trPr>
        <w:tc>
          <w:tcPr>
            <w:tcW w:w="2308" w:type="dxa"/>
            <w:vAlign w:val="center"/>
          </w:tcPr>
          <w:p w:rsidR="00570A9B" w:rsidRPr="00B86E9B" w:rsidRDefault="00570A9B" w:rsidP="00F519F5">
            <w:pPr>
              <w:rPr>
                <w:sz w:val="26"/>
                <w:szCs w:val="26"/>
              </w:rPr>
            </w:pPr>
            <w:r w:rsidRPr="00B86E9B">
              <w:rPr>
                <w:sz w:val="26"/>
                <w:szCs w:val="26"/>
              </w:rPr>
              <w:t>Kopējie ieņēmumi, t.sk.:</w:t>
            </w:r>
          </w:p>
        </w:tc>
        <w:tc>
          <w:tcPr>
            <w:tcW w:w="1484" w:type="dxa"/>
            <w:vAlign w:val="center"/>
          </w:tcPr>
          <w:p w:rsidR="00570A9B" w:rsidRPr="00B86E9B" w:rsidRDefault="00570A9B" w:rsidP="00F519F5">
            <w:pPr>
              <w:jc w:val="center"/>
              <w:rPr>
                <w:bCs/>
                <w:color w:val="000000"/>
                <w:sz w:val="26"/>
                <w:szCs w:val="26"/>
              </w:rPr>
            </w:pPr>
            <w:r w:rsidRPr="00B86E9B">
              <w:rPr>
                <w:color w:val="000000"/>
                <w:sz w:val="26"/>
                <w:szCs w:val="26"/>
              </w:rPr>
              <w:t>51 822 996</w:t>
            </w:r>
          </w:p>
        </w:tc>
        <w:tc>
          <w:tcPr>
            <w:tcW w:w="1419" w:type="dxa"/>
            <w:vAlign w:val="center"/>
          </w:tcPr>
          <w:p w:rsidR="00570A9B" w:rsidRPr="00B86E9B" w:rsidRDefault="00570A9B" w:rsidP="0042606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42 025 356</w:t>
            </w:r>
          </w:p>
        </w:tc>
        <w:tc>
          <w:tcPr>
            <w:tcW w:w="1418" w:type="dxa"/>
            <w:vAlign w:val="center"/>
          </w:tcPr>
          <w:p w:rsidR="00570A9B" w:rsidRPr="00B86E9B" w:rsidRDefault="00570A9B" w:rsidP="0042606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63 957 638</w:t>
            </w:r>
          </w:p>
        </w:tc>
      </w:tr>
      <w:tr w:rsidR="00570A9B" w:rsidRPr="00B86E9B" w:rsidTr="00F519F5">
        <w:trPr>
          <w:jc w:val="center"/>
        </w:trPr>
        <w:tc>
          <w:tcPr>
            <w:tcW w:w="2308" w:type="dxa"/>
            <w:vAlign w:val="center"/>
          </w:tcPr>
          <w:p w:rsidR="00570A9B" w:rsidRPr="00B86E9B" w:rsidRDefault="00570A9B" w:rsidP="00F519F5">
            <w:pPr>
              <w:rPr>
                <w:sz w:val="26"/>
                <w:szCs w:val="26"/>
              </w:rPr>
            </w:pPr>
            <w:r w:rsidRPr="00B86E9B">
              <w:rPr>
                <w:sz w:val="26"/>
                <w:szCs w:val="26"/>
              </w:rPr>
              <w:t xml:space="preserve">Maksas ārstniecības pakalpojumi </w:t>
            </w:r>
          </w:p>
        </w:tc>
        <w:tc>
          <w:tcPr>
            <w:tcW w:w="1484" w:type="dxa"/>
            <w:vAlign w:val="center"/>
          </w:tcPr>
          <w:p w:rsidR="00570A9B" w:rsidRPr="00B86E9B" w:rsidRDefault="00570A9B" w:rsidP="00F519F5">
            <w:pPr>
              <w:jc w:val="center"/>
              <w:rPr>
                <w:bCs/>
                <w:color w:val="000000"/>
                <w:sz w:val="26"/>
                <w:szCs w:val="26"/>
              </w:rPr>
            </w:pPr>
            <w:r w:rsidRPr="00B86E9B">
              <w:rPr>
                <w:bCs/>
                <w:color w:val="000000"/>
                <w:sz w:val="26"/>
                <w:szCs w:val="26"/>
              </w:rPr>
              <w:t>2 221 074</w:t>
            </w:r>
          </w:p>
        </w:tc>
        <w:tc>
          <w:tcPr>
            <w:tcW w:w="1419" w:type="dxa"/>
            <w:vAlign w:val="center"/>
          </w:tcPr>
          <w:p w:rsidR="00570A9B" w:rsidRPr="00B86E9B" w:rsidRDefault="00570A9B" w:rsidP="00F519F5">
            <w:pPr>
              <w:jc w:val="center"/>
              <w:rPr>
                <w:bCs/>
                <w:color w:val="000000"/>
                <w:sz w:val="26"/>
                <w:szCs w:val="26"/>
              </w:rPr>
            </w:pPr>
            <w:r w:rsidRPr="00B86E9B">
              <w:rPr>
                <w:bCs/>
                <w:color w:val="000000"/>
                <w:sz w:val="26"/>
                <w:szCs w:val="26"/>
              </w:rPr>
              <w:t>2 944 666</w:t>
            </w:r>
          </w:p>
        </w:tc>
        <w:tc>
          <w:tcPr>
            <w:tcW w:w="1418" w:type="dxa"/>
            <w:vAlign w:val="center"/>
          </w:tcPr>
          <w:p w:rsidR="00570A9B" w:rsidRPr="00B86E9B" w:rsidRDefault="00570A9B" w:rsidP="00F519F5">
            <w:pPr>
              <w:jc w:val="center"/>
              <w:rPr>
                <w:bCs/>
                <w:color w:val="000000"/>
                <w:sz w:val="26"/>
                <w:szCs w:val="26"/>
              </w:rPr>
            </w:pPr>
            <w:r w:rsidRPr="00B86E9B">
              <w:rPr>
                <w:bCs/>
                <w:color w:val="000000"/>
                <w:sz w:val="26"/>
                <w:szCs w:val="26"/>
              </w:rPr>
              <w:t>3 009 939</w:t>
            </w:r>
          </w:p>
        </w:tc>
      </w:tr>
      <w:tr w:rsidR="00570A9B" w:rsidRPr="00B86E9B" w:rsidTr="00F519F5">
        <w:trPr>
          <w:jc w:val="center"/>
        </w:trPr>
        <w:tc>
          <w:tcPr>
            <w:tcW w:w="2308" w:type="dxa"/>
            <w:vAlign w:val="center"/>
          </w:tcPr>
          <w:p w:rsidR="00570A9B" w:rsidRPr="00B86E9B" w:rsidRDefault="00570A9B" w:rsidP="00F519F5">
            <w:pPr>
              <w:rPr>
                <w:sz w:val="26"/>
                <w:szCs w:val="26"/>
              </w:rPr>
            </w:pPr>
            <w:r w:rsidRPr="00B86E9B">
              <w:rPr>
                <w:sz w:val="26"/>
                <w:szCs w:val="26"/>
              </w:rPr>
              <w:t>Valsts budžeta līdzekļi ārstniecības pakalpojumiem</w:t>
            </w:r>
          </w:p>
        </w:tc>
        <w:tc>
          <w:tcPr>
            <w:tcW w:w="1484" w:type="dxa"/>
            <w:vAlign w:val="center"/>
          </w:tcPr>
          <w:p w:rsidR="00570A9B" w:rsidRPr="00B86E9B" w:rsidRDefault="00570A9B" w:rsidP="00F519F5">
            <w:pPr>
              <w:jc w:val="center"/>
              <w:rPr>
                <w:bCs/>
                <w:color w:val="000000"/>
                <w:sz w:val="26"/>
                <w:szCs w:val="26"/>
              </w:rPr>
            </w:pPr>
            <w:r w:rsidRPr="00B86E9B">
              <w:rPr>
                <w:bCs/>
                <w:color w:val="000000"/>
                <w:sz w:val="26"/>
                <w:szCs w:val="26"/>
              </w:rPr>
              <w:t>37 082 265</w:t>
            </w:r>
          </w:p>
        </w:tc>
        <w:tc>
          <w:tcPr>
            <w:tcW w:w="1419" w:type="dxa"/>
            <w:vAlign w:val="center"/>
          </w:tcPr>
          <w:p w:rsidR="00570A9B" w:rsidRPr="00B86E9B" w:rsidRDefault="00570A9B" w:rsidP="00F519F5">
            <w:pPr>
              <w:jc w:val="center"/>
              <w:rPr>
                <w:bCs/>
                <w:color w:val="000000"/>
                <w:sz w:val="26"/>
                <w:szCs w:val="26"/>
              </w:rPr>
            </w:pPr>
            <w:r w:rsidRPr="00B86E9B">
              <w:rPr>
                <w:bCs/>
                <w:color w:val="000000"/>
                <w:sz w:val="26"/>
                <w:szCs w:val="26"/>
              </w:rPr>
              <w:t>33 577 592</w:t>
            </w:r>
          </w:p>
        </w:tc>
        <w:tc>
          <w:tcPr>
            <w:tcW w:w="1418" w:type="dxa"/>
            <w:vAlign w:val="center"/>
          </w:tcPr>
          <w:p w:rsidR="00570A9B" w:rsidRPr="00B86E9B" w:rsidRDefault="00570A9B" w:rsidP="00F519F5">
            <w:pPr>
              <w:jc w:val="center"/>
              <w:rPr>
                <w:bCs/>
                <w:color w:val="000000"/>
                <w:sz w:val="26"/>
                <w:szCs w:val="26"/>
              </w:rPr>
            </w:pPr>
            <w:r w:rsidRPr="00B86E9B">
              <w:rPr>
                <w:bCs/>
                <w:color w:val="000000"/>
                <w:sz w:val="26"/>
                <w:szCs w:val="26"/>
              </w:rPr>
              <w:t>45 916 102</w:t>
            </w:r>
          </w:p>
        </w:tc>
      </w:tr>
      <w:tr w:rsidR="00570A9B" w:rsidRPr="00B86E9B" w:rsidTr="00426065">
        <w:trPr>
          <w:jc w:val="center"/>
        </w:trPr>
        <w:tc>
          <w:tcPr>
            <w:tcW w:w="2308" w:type="dxa"/>
            <w:vAlign w:val="center"/>
          </w:tcPr>
          <w:p w:rsidR="00570A9B" w:rsidRPr="00B86E9B" w:rsidRDefault="00570A9B" w:rsidP="00F519F5">
            <w:pPr>
              <w:rPr>
                <w:sz w:val="26"/>
                <w:szCs w:val="26"/>
              </w:rPr>
            </w:pPr>
            <w:r w:rsidRPr="00B86E9B">
              <w:rPr>
                <w:sz w:val="26"/>
                <w:szCs w:val="26"/>
              </w:rPr>
              <w:t>Pārējie ieņēmumi</w:t>
            </w:r>
          </w:p>
        </w:tc>
        <w:tc>
          <w:tcPr>
            <w:tcW w:w="1484" w:type="dxa"/>
            <w:vAlign w:val="bottom"/>
          </w:tcPr>
          <w:p w:rsidR="00570A9B" w:rsidRPr="00B86E9B" w:rsidRDefault="00570A9B" w:rsidP="00570A9B">
            <w:pPr>
              <w:jc w:val="center"/>
              <w:rPr>
                <w:color w:val="000000"/>
                <w:sz w:val="26"/>
                <w:szCs w:val="26"/>
              </w:rPr>
            </w:pPr>
            <w:r w:rsidRPr="00B86E9B">
              <w:rPr>
                <w:color w:val="000000"/>
                <w:sz w:val="26"/>
                <w:szCs w:val="26"/>
              </w:rPr>
              <w:t>12 519 657</w:t>
            </w:r>
          </w:p>
        </w:tc>
        <w:tc>
          <w:tcPr>
            <w:tcW w:w="1419" w:type="dxa"/>
            <w:vAlign w:val="bottom"/>
          </w:tcPr>
          <w:p w:rsidR="00570A9B" w:rsidRPr="00B86E9B" w:rsidRDefault="00570A9B" w:rsidP="00570A9B">
            <w:pPr>
              <w:jc w:val="center"/>
              <w:rPr>
                <w:color w:val="000000"/>
                <w:sz w:val="26"/>
                <w:szCs w:val="26"/>
              </w:rPr>
            </w:pPr>
            <w:r w:rsidRPr="00B86E9B">
              <w:rPr>
                <w:color w:val="000000"/>
                <w:sz w:val="26"/>
                <w:szCs w:val="26"/>
              </w:rPr>
              <w:t>5 503 098</w:t>
            </w:r>
          </w:p>
        </w:tc>
        <w:tc>
          <w:tcPr>
            <w:tcW w:w="1418" w:type="dxa"/>
            <w:vAlign w:val="bottom"/>
          </w:tcPr>
          <w:p w:rsidR="00570A9B" w:rsidRPr="00B86E9B" w:rsidRDefault="00570A9B" w:rsidP="00570A9B">
            <w:pPr>
              <w:jc w:val="center"/>
              <w:rPr>
                <w:color w:val="000000"/>
                <w:sz w:val="26"/>
                <w:szCs w:val="26"/>
              </w:rPr>
            </w:pPr>
            <w:r w:rsidRPr="00B86E9B">
              <w:rPr>
                <w:color w:val="000000"/>
                <w:sz w:val="26"/>
                <w:szCs w:val="26"/>
              </w:rPr>
              <w:t>15 031 597</w:t>
            </w:r>
          </w:p>
        </w:tc>
      </w:tr>
    </w:tbl>
    <w:p w:rsidR="00962B09" w:rsidRPr="00B86E9B" w:rsidRDefault="00962B09" w:rsidP="00962B09">
      <w:pPr>
        <w:pStyle w:val="Virsraksts3"/>
        <w:numPr>
          <w:ilvl w:val="0"/>
          <w:numId w:val="0"/>
        </w:numPr>
        <w:spacing w:before="0" w:after="0"/>
        <w:jc w:val="both"/>
        <w:rPr>
          <w:b w:val="0"/>
          <w:i w:val="0"/>
        </w:rPr>
      </w:pPr>
    </w:p>
    <w:p w:rsidR="00962B09" w:rsidRPr="00B86E9B" w:rsidRDefault="00962B09" w:rsidP="00962B09">
      <w:pPr>
        <w:ind w:firstLine="720"/>
        <w:jc w:val="both"/>
        <w:rPr>
          <w:sz w:val="28"/>
          <w:szCs w:val="28"/>
        </w:rPr>
      </w:pPr>
      <w:r w:rsidRPr="00B86E9B">
        <w:rPr>
          <w:sz w:val="28"/>
          <w:szCs w:val="28"/>
        </w:rPr>
        <w:t xml:space="preserve">Pamatojoties uz samazināto veselības aprūpes budžetu, no 2009.gada RAKUS </w:t>
      </w:r>
      <w:r w:rsidRPr="00B86E9B">
        <w:rPr>
          <w:sz w:val="28"/>
        </w:rPr>
        <w:t xml:space="preserve">ieņēmumi </w:t>
      </w:r>
      <w:r w:rsidRPr="00B86E9B">
        <w:rPr>
          <w:sz w:val="28"/>
          <w:szCs w:val="28"/>
        </w:rPr>
        <w:t xml:space="preserve">no valsts budžeta </w:t>
      </w:r>
      <w:r w:rsidRPr="00B86E9B">
        <w:rPr>
          <w:sz w:val="28"/>
        </w:rPr>
        <w:t>būtiski samazinājās</w:t>
      </w:r>
      <w:r w:rsidRPr="00B86E9B">
        <w:rPr>
          <w:sz w:val="28"/>
          <w:szCs w:val="28"/>
        </w:rPr>
        <w:t xml:space="preserve">, līdz ar to arī izmaksu aprēķini (piešķirtais valsts budžeta finansējums) uz vienu gultas dienu proporcionāli samazinājās, kā rezultātā RAKUS radās grūtības segt faktiskos izdevumus par sniegtajiem pakalpojumiem, jo resursu </w:t>
      </w:r>
      <w:r w:rsidR="00AE600A" w:rsidRPr="00B86E9B">
        <w:rPr>
          <w:sz w:val="28"/>
          <w:szCs w:val="28"/>
        </w:rPr>
        <w:t>(piemēram, darba samaksas (dēļ minimālās mēneša darba algas palielināšanas</w:t>
      </w:r>
      <w:r w:rsidR="006D067A" w:rsidRPr="00B86E9B">
        <w:rPr>
          <w:sz w:val="28"/>
          <w:szCs w:val="28"/>
        </w:rPr>
        <w:t>)</w:t>
      </w:r>
      <w:r w:rsidR="00AE600A" w:rsidRPr="00B86E9B">
        <w:rPr>
          <w:sz w:val="28"/>
          <w:szCs w:val="28"/>
        </w:rPr>
        <w:t>, elektroenerģijas, gāzes, medikamentu)</w:t>
      </w:r>
      <w:r w:rsidRPr="00B86E9B">
        <w:rPr>
          <w:sz w:val="28"/>
          <w:szCs w:val="28"/>
        </w:rPr>
        <w:t xml:space="preserve"> izmaksas iepriekšminētajā periodā ir ievērojami pieaugušas.</w:t>
      </w:r>
    </w:p>
    <w:p w:rsidR="00962B09" w:rsidRPr="00B86E9B" w:rsidRDefault="00962B09" w:rsidP="00962B09">
      <w:pPr>
        <w:ind w:firstLine="720"/>
        <w:jc w:val="both"/>
        <w:rPr>
          <w:sz w:val="28"/>
          <w:szCs w:val="28"/>
        </w:rPr>
      </w:pPr>
    </w:p>
    <w:p w:rsidR="00962B09" w:rsidRPr="00B86E9B" w:rsidRDefault="00962B09" w:rsidP="00962B09">
      <w:pPr>
        <w:pStyle w:val="Virsraksts3"/>
        <w:numPr>
          <w:ilvl w:val="0"/>
          <w:numId w:val="0"/>
        </w:numPr>
        <w:spacing w:before="0" w:after="0"/>
        <w:ind w:left="706"/>
        <w:jc w:val="right"/>
        <w:rPr>
          <w:b w:val="0"/>
        </w:rPr>
      </w:pPr>
      <w:r w:rsidRPr="00B86E9B">
        <w:rPr>
          <w:rFonts w:eastAsia="Calibri"/>
          <w:b w:val="0"/>
          <w:lang w:eastAsia="lv-LV"/>
        </w:rPr>
        <w:t>Tabula Nr.12:RAKUS</w:t>
      </w:r>
      <w:r w:rsidRPr="00B86E9B">
        <w:rPr>
          <w:b w:val="0"/>
        </w:rPr>
        <w:t xml:space="preserve"> gultas</w:t>
      </w:r>
      <w:r w:rsidR="003F0148" w:rsidRPr="00B86E9B">
        <w:rPr>
          <w:b w:val="0"/>
        </w:rPr>
        <w:t xml:space="preserve"> </w:t>
      </w:r>
      <w:r w:rsidRPr="00B86E9B">
        <w:rPr>
          <w:b w:val="0"/>
        </w:rPr>
        <w:t>dienas tarifa izmaiņas pa gadiem [LVL]</w:t>
      </w:r>
    </w:p>
    <w:tbl>
      <w:tblPr>
        <w:tblStyle w:val="Reatabula"/>
        <w:tblW w:w="0" w:type="auto"/>
        <w:jc w:val="center"/>
        <w:tblInd w:w="-666" w:type="dxa"/>
        <w:tblLook w:val="04A0"/>
      </w:tblPr>
      <w:tblGrid>
        <w:gridCol w:w="2289"/>
        <w:gridCol w:w="1408"/>
        <w:gridCol w:w="1394"/>
        <w:gridCol w:w="2021"/>
      </w:tblGrid>
      <w:tr w:rsidR="00962B09" w:rsidRPr="00B86E9B" w:rsidTr="00F519F5">
        <w:trPr>
          <w:jc w:val="center"/>
        </w:trPr>
        <w:tc>
          <w:tcPr>
            <w:tcW w:w="2289" w:type="dxa"/>
            <w:shd w:val="clear" w:color="auto" w:fill="D9D9D9" w:themeFill="background1" w:themeFillShade="D9"/>
          </w:tcPr>
          <w:p w:rsidR="00962B09" w:rsidRPr="00B86E9B" w:rsidRDefault="00962B09" w:rsidP="00F519F5">
            <w:pPr>
              <w:jc w:val="center"/>
              <w:rPr>
                <w:sz w:val="26"/>
                <w:szCs w:val="26"/>
              </w:rPr>
            </w:pPr>
          </w:p>
        </w:tc>
        <w:tc>
          <w:tcPr>
            <w:tcW w:w="1408" w:type="dxa"/>
            <w:shd w:val="clear" w:color="auto" w:fill="D9D9D9" w:themeFill="background1" w:themeFillShade="D9"/>
          </w:tcPr>
          <w:p w:rsidR="00962B09" w:rsidRPr="00B86E9B" w:rsidRDefault="00962B09" w:rsidP="00F519F5">
            <w:pPr>
              <w:jc w:val="center"/>
              <w:rPr>
                <w:sz w:val="26"/>
                <w:szCs w:val="26"/>
              </w:rPr>
            </w:pPr>
            <w:r w:rsidRPr="00B86E9B">
              <w:rPr>
                <w:sz w:val="26"/>
                <w:szCs w:val="26"/>
              </w:rPr>
              <w:t>2008.gads</w:t>
            </w:r>
          </w:p>
        </w:tc>
        <w:tc>
          <w:tcPr>
            <w:tcW w:w="1394" w:type="dxa"/>
            <w:shd w:val="clear" w:color="auto" w:fill="D9D9D9" w:themeFill="background1" w:themeFillShade="D9"/>
          </w:tcPr>
          <w:p w:rsidR="00962B09" w:rsidRPr="00B86E9B" w:rsidRDefault="00962B09" w:rsidP="00F519F5">
            <w:pPr>
              <w:jc w:val="center"/>
              <w:rPr>
                <w:sz w:val="26"/>
                <w:szCs w:val="26"/>
              </w:rPr>
            </w:pPr>
            <w:r w:rsidRPr="00B86E9B">
              <w:rPr>
                <w:sz w:val="26"/>
                <w:szCs w:val="26"/>
              </w:rPr>
              <w:t>2009.gads</w:t>
            </w:r>
          </w:p>
        </w:tc>
        <w:tc>
          <w:tcPr>
            <w:tcW w:w="2021" w:type="dxa"/>
            <w:shd w:val="clear" w:color="auto" w:fill="D9D9D9" w:themeFill="background1" w:themeFillShade="D9"/>
          </w:tcPr>
          <w:p w:rsidR="00962B09" w:rsidRPr="00B86E9B" w:rsidRDefault="00962B09" w:rsidP="00F519F5">
            <w:pPr>
              <w:jc w:val="center"/>
              <w:rPr>
                <w:sz w:val="26"/>
                <w:szCs w:val="26"/>
              </w:rPr>
            </w:pPr>
            <w:r w:rsidRPr="00B86E9B">
              <w:rPr>
                <w:sz w:val="26"/>
                <w:szCs w:val="26"/>
              </w:rPr>
              <w:t xml:space="preserve">2010., 2011., </w:t>
            </w:r>
            <w:r w:rsidRPr="00B86E9B">
              <w:rPr>
                <w:b/>
                <w:sz w:val="26"/>
                <w:szCs w:val="26"/>
              </w:rPr>
              <w:t>2012.gadā</w:t>
            </w:r>
          </w:p>
        </w:tc>
      </w:tr>
      <w:tr w:rsidR="00962B09" w:rsidRPr="00B86E9B" w:rsidTr="00F519F5">
        <w:trPr>
          <w:jc w:val="center"/>
        </w:trPr>
        <w:tc>
          <w:tcPr>
            <w:tcW w:w="2289" w:type="dxa"/>
            <w:vAlign w:val="center"/>
          </w:tcPr>
          <w:p w:rsidR="00962B09" w:rsidRPr="00B86E9B" w:rsidRDefault="00962B09" w:rsidP="00F519F5">
            <w:pPr>
              <w:rPr>
                <w:sz w:val="26"/>
                <w:szCs w:val="26"/>
              </w:rPr>
            </w:pPr>
            <w:r w:rsidRPr="00B86E9B">
              <w:rPr>
                <w:sz w:val="26"/>
                <w:szCs w:val="26"/>
              </w:rPr>
              <w:t>Gultas</w:t>
            </w:r>
            <w:r w:rsidR="003F0148" w:rsidRPr="00B86E9B">
              <w:rPr>
                <w:sz w:val="26"/>
                <w:szCs w:val="26"/>
              </w:rPr>
              <w:t xml:space="preserve"> </w:t>
            </w:r>
            <w:r w:rsidRPr="00B86E9B">
              <w:rPr>
                <w:sz w:val="26"/>
                <w:szCs w:val="26"/>
              </w:rPr>
              <w:t>dienas tarifs</w:t>
            </w:r>
          </w:p>
        </w:tc>
        <w:tc>
          <w:tcPr>
            <w:tcW w:w="1408" w:type="dxa"/>
            <w:vAlign w:val="center"/>
          </w:tcPr>
          <w:p w:rsidR="00962B09" w:rsidRPr="00B86E9B" w:rsidRDefault="00962B09" w:rsidP="00F519F5">
            <w:pPr>
              <w:jc w:val="center"/>
              <w:rPr>
                <w:color w:val="000000"/>
                <w:sz w:val="26"/>
                <w:szCs w:val="26"/>
              </w:rPr>
            </w:pPr>
            <w:r w:rsidRPr="00B86E9B">
              <w:rPr>
                <w:color w:val="000000"/>
                <w:sz w:val="26"/>
                <w:szCs w:val="26"/>
              </w:rPr>
              <w:t>36,58</w:t>
            </w:r>
          </w:p>
        </w:tc>
        <w:tc>
          <w:tcPr>
            <w:tcW w:w="1394" w:type="dxa"/>
            <w:vAlign w:val="center"/>
          </w:tcPr>
          <w:p w:rsidR="004171C5" w:rsidRPr="00B86E9B" w:rsidRDefault="004171C5" w:rsidP="004171C5">
            <w:pPr>
              <w:jc w:val="center"/>
              <w:rPr>
                <w:bCs/>
                <w:color w:val="000000"/>
                <w:sz w:val="26"/>
                <w:szCs w:val="26"/>
              </w:rPr>
            </w:pPr>
            <w:r w:rsidRPr="00B86E9B">
              <w:rPr>
                <w:bCs/>
                <w:color w:val="000000"/>
                <w:sz w:val="26"/>
                <w:szCs w:val="26"/>
              </w:rPr>
              <w:t>no 01.03.</w:t>
            </w:r>
          </w:p>
          <w:p w:rsidR="004171C5" w:rsidRPr="00B86E9B" w:rsidRDefault="004171C5" w:rsidP="004171C5">
            <w:pPr>
              <w:jc w:val="center"/>
              <w:rPr>
                <w:bCs/>
                <w:color w:val="000000"/>
                <w:sz w:val="26"/>
                <w:szCs w:val="26"/>
              </w:rPr>
            </w:pPr>
            <w:r w:rsidRPr="00B86E9B">
              <w:rPr>
                <w:bCs/>
                <w:color w:val="000000"/>
                <w:sz w:val="26"/>
                <w:szCs w:val="26"/>
              </w:rPr>
              <w:t>29,58</w:t>
            </w:r>
          </w:p>
          <w:p w:rsidR="00962B09" w:rsidRPr="00B86E9B" w:rsidRDefault="004171C5" w:rsidP="004171C5">
            <w:pPr>
              <w:jc w:val="center"/>
              <w:rPr>
                <w:bCs/>
                <w:color w:val="000000"/>
                <w:sz w:val="26"/>
                <w:szCs w:val="26"/>
              </w:rPr>
            </w:pPr>
            <w:r w:rsidRPr="00B86E9B">
              <w:rPr>
                <w:bCs/>
                <w:color w:val="000000"/>
                <w:sz w:val="26"/>
                <w:szCs w:val="26"/>
              </w:rPr>
              <w:t>no 01.07. 21,82</w:t>
            </w:r>
          </w:p>
        </w:tc>
        <w:tc>
          <w:tcPr>
            <w:tcW w:w="2021" w:type="dxa"/>
            <w:vAlign w:val="center"/>
          </w:tcPr>
          <w:p w:rsidR="00962B09" w:rsidRPr="00B86E9B" w:rsidRDefault="00962B09" w:rsidP="00F519F5">
            <w:pPr>
              <w:jc w:val="center"/>
              <w:rPr>
                <w:bCs/>
                <w:color w:val="000000"/>
                <w:sz w:val="26"/>
                <w:szCs w:val="26"/>
              </w:rPr>
            </w:pPr>
            <w:r w:rsidRPr="00B86E9B">
              <w:rPr>
                <w:sz w:val="26"/>
                <w:szCs w:val="26"/>
              </w:rPr>
              <w:t>24,32</w:t>
            </w:r>
          </w:p>
        </w:tc>
      </w:tr>
    </w:tbl>
    <w:p w:rsidR="00962B09" w:rsidRPr="00B86E9B" w:rsidRDefault="00962B09" w:rsidP="00962B09">
      <w:pPr>
        <w:jc w:val="both"/>
        <w:rPr>
          <w:sz w:val="28"/>
          <w:szCs w:val="28"/>
          <w:lang w:eastAsia="lv-LV"/>
        </w:rPr>
      </w:pPr>
    </w:p>
    <w:p w:rsidR="00962B09" w:rsidRPr="00B86E9B" w:rsidRDefault="00962B09" w:rsidP="00962B09">
      <w:pPr>
        <w:ind w:firstLine="720"/>
        <w:jc w:val="both"/>
        <w:rPr>
          <w:sz w:val="28"/>
          <w:szCs w:val="28"/>
        </w:rPr>
      </w:pPr>
      <w:r w:rsidRPr="00B86E9B">
        <w:rPr>
          <w:sz w:val="28"/>
          <w:szCs w:val="28"/>
        </w:rPr>
        <w:t>Arī 2013.gadā gultas</w:t>
      </w:r>
      <w:r w:rsidR="003F0148" w:rsidRPr="00B86E9B">
        <w:rPr>
          <w:sz w:val="28"/>
          <w:szCs w:val="28"/>
        </w:rPr>
        <w:t xml:space="preserve"> </w:t>
      </w:r>
      <w:r w:rsidRPr="00B86E9B">
        <w:rPr>
          <w:sz w:val="28"/>
          <w:szCs w:val="28"/>
        </w:rPr>
        <w:t xml:space="preserve">dienas tarifs saglabājās 24,32 LVL apmērā, bet 2014.gadā tas saistībā ar ārstniecības personu darba samaksas paaugstināšanu (tarifa elementi D un S) un citu tarifa elementu paaugstināšanu (E –izdevumi, kas saistīti ar pacientu ēdināšanu; U – pieskaitāmās un netiešās ražošanas izmaksas; A – administratīvie izdevumi) tiks palielināts par 11% un sasniegs 26,88 LVL (38,25 EUR), tomēr joprojām būs ievērojami mazākā apmērā kā pirmskrīzes laikā (73,5% apmērā). </w:t>
      </w:r>
    </w:p>
    <w:p w:rsidR="009902F1" w:rsidRPr="00B86E9B" w:rsidRDefault="00C05A3D" w:rsidP="00962B09">
      <w:pPr>
        <w:ind w:firstLine="709"/>
        <w:jc w:val="both"/>
        <w:rPr>
          <w:sz w:val="28"/>
          <w:szCs w:val="28"/>
        </w:rPr>
      </w:pPr>
      <w:r w:rsidRPr="00B86E9B">
        <w:rPr>
          <w:sz w:val="28"/>
          <w:szCs w:val="28"/>
        </w:rPr>
        <w:t xml:space="preserve">Kā jau tika norādīts Veselības ministrijas Informatīvajā ziņojumā par Veselības ministrijas kapitālsabiedrībām, kas 2011.gadu ir noslēgušas ar zaudējumiem, arī pārējie stacionārās veselības aprūpes pakalpojumu tarifi krīzes </w:t>
      </w:r>
      <w:r w:rsidRPr="00B86E9B">
        <w:rPr>
          <w:sz w:val="28"/>
          <w:szCs w:val="28"/>
        </w:rPr>
        <w:lastRenderedPageBreak/>
        <w:t>laikā tika ievērojami samazināti un neatbilst pakalpojumu sniegšanas faktiskajām izmaksām un 2012.gadā tarifi netika mainīti. Arī 2013.gadā veselības aprūpes pakalpojumu tarifi netika mainīti, bet 2014.gadā tie</w:t>
      </w:r>
      <w:r w:rsidR="00F058C2" w:rsidRPr="00B86E9B">
        <w:rPr>
          <w:sz w:val="28"/>
          <w:szCs w:val="28"/>
        </w:rPr>
        <w:t>,</w:t>
      </w:r>
      <w:r w:rsidRPr="00B86E9B">
        <w:rPr>
          <w:sz w:val="28"/>
          <w:szCs w:val="28"/>
        </w:rPr>
        <w:t xml:space="preserve"> saistībā ar ārstniecības personu darba samaksas paaugstināšanu (tarifa elementi D un S) un citu tarifa elementu paaugstināšanu (E –izdevumi, kas saistīti ar pacientu ēdināšanu; U – pieskaitāmās un netiešās ražošanas izmaksas; A – administratīvie izdevumi)</w:t>
      </w:r>
      <w:r w:rsidR="00F058C2" w:rsidRPr="00B86E9B">
        <w:rPr>
          <w:sz w:val="28"/>
          <w:szCs w:val="28"/>
        </w:rPr>
        <w:t>,</w:t>
      </w:r>
      <w:r w:rsidRPr="00B86E9B">
        <w:rPr>
          <w:sz w:val="28"/>
          <w:szCs w:val="28"/>
        </w:rPr>
        <w:t xml:space="preserve"> </w:t>
      </w:r>
      <w:r w:rsidR="00EA7EF5" w:rsidRPr="00B86E9B">
        <w:rPr>
          <w:sz w:val="28"/>
          <w:szCs w:val="28"/>
        </w:rPr>
        <w:t xml:space="preserve">atbilstoši Ministru kabineta 2013.gada 17.decembra noteikumiem Nr.1529 „Veselības aprūpes organizēšanas un finansēšanas kārtība” </w:t>
      </w:r>
      <w:r w:rsidRPr="00B86E9B">
        <w:rPr>
          <w:sz w:val="28"/>
          <w:szCs w:val="28"/>
        </w:rPr>
        <w:t>tiks palielināti vidēji par 5% - 6% (robežās no 1% līdz 16%, ko ietekmē tarifa elementu D un S īpatsvars konkrētā pakalpojuma vai programmas tarifā)</w:t>
      </w:r>
      <w:r w:rsidR="00962B09" w:rsidRPr="00B86E9B">
        <w:rPr>
          <w:sz w:val="28"/>
          <w:szCs w:val="28"/>
        </w:rPr>
        <w:t>.</w:t>
      </w:r>
    </w:p>
    <w:p w:rsidR="00901099" w:rsidRPr="00B86E9B" w:rsidRDefault="00901099" w:rsidP="00901099">
      <w:pPr>
        <w:ind w:firstLine="706"/>
        <w:jc w:val="both"/>
        <w:rPr>
          <w:color w:val="000000"/>
          <w:sz w:val="28"/>
          <w:szCs w:val="28"/>
        </w:rPr>
      </w:pPr>
      <w:r w:rsidRPr="00B86E9B">
        <w:rPr>
          <w:rFonts w:eastAsia="Calibri"/>
          <w:sz w:val="28"/>
          <w:szCs w:val="28"/>
        </w:rPr>
        <w:t xml:space="preserve">RAKUS izdevumi 2012.gadā bija </w:t>
      </w:r>
      <w:r w:rsidRPr="00B86E9B">
        <w:rPr>
          <w:color w:val="000000"/>
          <w:sz w:val="28"/>
          <w:szCs w:val="28"/>
        </w:rPr>
        <w:t xml:space="preserve">67 502 620 LVL, kas, salīdzinot ar 2012.gada plānu, bija lielāki par 18 486 563 LVL (37,7%), un salīdzinājumā ar 2011.gadu  bija lielāki par 12 746 516 LVL (23,3%). </w:t>
      </w:r>
      <w:r w:rsidRPr="00B86E9B">
        <w:rPr>
          <w:sz w:val="28"/>
          <w:szCs w:val="28"/>
        </w:rPr>
        <w:t>Izdevumu palielinājumu daļēji ietekmēja LIC pievienošana no 2012.gada 1.aprīļa.</w:t>
      </w:r>
    </w:p>
    <w:p w:rsidR="00901099" w:rsidRPr="00135730" w:rsidRDefault="00901099" w:rsidP="00901099">
      <w:pPr>
        <w:ind w:firstLine="706"/>
        <w:jc w:val="both"/>
        <w:rPr>
          <w:color w:val="000000"/>
          <w:sz w:val="28"/>
          <w:szCs w:val="28"/>
        </w:rPr>
      </w:pPr>
      <w:r w:rsidRPr="00B86E9B">
        <w:rPr>
          <w:color w:val="000000"/>
          <w:sz w:val="28"/>
          <w:szCs w:val="28"/>
        </w:rPr>
        <w:t>RAKUS izdevumi personāla atlīdzībai 2012.gadā bija 29 976 633 LVL, kas bija par 5 162 568 LVL (20,8%) lielāki nekā plānots 2012.gadā un par 5 854 553 LVL (24,3%) lielāki nekā 2011.gadā. RAKUS izdevumi par precēm un pakalpojumiem 2012.gadā bija 27 723 611 LVL, kas ir par 9 163 904 LVL (49,4%) lielāki nekā plānots un salīdzinājumā ar 2011.gadu lielāki par 5 598 016 LVL (25,3%), t.sk., izdevumi par medikamentiem un medicīniskiem materiāliem 2012.gadā bija 16 313 057 LVL, kas ir par 7 062 415 LVL (</w:t>
      </w:r>
      <w:r w:rsidR="00752E00" w:rsidRPr="00B86E9B">
        <w:rPr>
          <w:color w:val="000000"/>
          <w:sz w:val="28"/>
          <w:szCs w:val="28"/>
        </w:rPr>
        <w:t>76</w:t>
      </w:r>
      <w:r w:rsidRPr="00B86E9B">
        <w:rPr>
          <w:color w:val="000000"/>
          <w:sz w:val="28"/>
          <w:szCs w:val="28"/>
        </w:rPr>
        <w:t>,3%) lielāki nekā plānots un salīdzinājumā ar 2011.gadu lielāki par 3 823 902 LVL (30,6%).</w:t>
      </w:r>
    </w:p>
    <w:p w:rsidR="00135730" w:rsidRPr="00135730" w:rsidRDefault="00135730">
      <w:pPr>
        <w:spacing w:after="200" w:line="276" w:lineRule="auto"/>
        <w:rPr>
          <w:color w:val="000000"/>
          <w:sz w:val="28"/>
          <w:szCs w:val="28"/>
        </w:rPr>
      </w:pPr>
    </w:p>
    <w:p w:rsidR="00CD616E" w:rsidRPr="00B86E9B" w:rsidRDefault="00CD616E" w:rsidP="00CD616E">
      <w:pPr>
        <w:pStyle w:val="Virsraksts3"/>
        <w:numPr>
          <w:ilvl w:val="0"/>
          <w:numId w:val="0"/>
        </w:numPr>
        <w:spacing w:before="0" w:after="0"/>
        <w:ind w:left="709" w:hanging="709"/>
        <w:jc w:val="right"/>
        <w:rPr>
          <w:b w:val="0"/>
        </w:rPr>
      </w:pPr>
      <w:r w:rsidRPr="00B86E9B">
        <w:rPr>
          <w:rFonts w:eastAsia="Calibri"/>
          <w:b w:val="0"/>
          <w:lang w:eastAsia="lv-LV"/>
        </w:rPr>
        <w:t>Tabula Nr.13:</w:t>
      </w:r>
      <w:r w:rsidRPr="00B86E9B">
        <w:rPr>
          <w:b w:val="0"/>
        </w:rPr>
        <w:t xml:space="preserve"> RAKUS </w:t>
      </w:r>
      <w:r w:rsidR="00A510D2" w:rsidRPr="00B86E9B">
        <w:rPr>
          <w:b w:val="0"/>
        </w:rPr>
        <w:t>pakalpojumu izmaksu apjoms un rādītāji</w:t>
      </w:r>
    </w:p>
    <w:tbl>
      <w:tblPr>
        <w:tblW w:w="8328" w:type="dxa"/>
        <w:jc w:val="center"/>
        <w:tblInd w:w="-793" w:type="dxa"/>
        <w:tblLook w:val="04A0"/>
      </w:tblPr>
      <w:tblGrid>
        <w:gridCol w:w="3816"/>
        <w:gridCol w:w="1516"/>
        <w:gridCol w:w="1417"/>
        <w:gridCol w:w="1579"/>
      </w:tblGrid>
      <w:tr w:rsidR="00CD616E" w:rsidRPr="00B86E9B" w:rsidTr="00135730">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p>
        </w:tc>
        <w:tc>
          <w:tcPr>
            <w:tcW w:w="15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r w:rsidRPr="00B86E9B">
              <w:rPr>
                <w:color w:val="000000" w:themeColor="text1"/>
                <w:sz w:val="26"/>
                <w:szCs w:val="26"/>
              </w:rPr>
              <w:t>2011.gads</w:t>
            </w:r>
          </w:p>
        </w:tc>
        <w:tc>
          <w:tcPr>
            <w:tcW w:w="2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r w:rsidRPr="00B86E9B">
              <w:rPr>
                <w:color w:val="000000" w:themeColor="text1"/>
                <w:sz w:val="26"/>
                <w:szCs w:val="26"/>
              </w:rPr>
              <w:t>2012.gads</w:t>
            </w:r>
          </w:p>
        </w:tc>
      </w:tr>
      <w:tr w:rsidR="00CD616E" w:rsidRPr="00B86E9B" w:rsidTr="00135730">
        <w:trPr>
          <w:trHeight w:val="300"/>
          <w:jc w:val="center"/>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r w:rsidRPr="00B86E9B">
              <w:rPr>
                <w:color w:val="000000" w:themeColor="text1"/>
                <w:sz w:val="26"/>
                <w:szCs w:val="26"/>
              </w:rPr>
              <w:t>Rādītājs</w:t>
            </w:r>
          </w:p>
        </w:tc>
        <w:tc>
          <w:tcPr>
            <w:tcW w:w="15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r w:rsidRPr="00B86E9B">
              <w:rPr>
                <w:color w:val="000000" w:themeColor="text1"/>
                <w:sz w:val="26"/>
                <w:szCs w:val="26"/>
              </w:rPr>
              <w:t>Izpilde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r w:rsidRPr="00B86E9B">
              <w:rPr>
                <w:color w:val="000000" w:themeColor="text1"/>
                <w:sz w:val="26"/>
                <w:szCs w:val="26"/>
              </w:rPr>
              <w:t>Plāns</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D616E" w:rsidRPr="00B86E9B" w:rsidRDefault="00CD616E" w:rsidP="00F519F5">
            <w:pPr>
              <w:jc w:val="center"/>
              <w:rPr>
                <w:color w:val="000000" w:themeColor="text1"/>
                <w:sz w:val="26"/>
                <w:szCs w:val="26"/>
              </w:rPr>
            </w:pPr>
            <w:r w:rsidRPr="00B86E9B">
              <w:rPr>
                <w:color w:val="000000" w:themeColor="text1"/>
                <w:sz w:val="26"/>
                <w:szCs w:val="26"/>
              </w:rPr>
              <w:t>Izpilde</w:t>
            </w:r>
          </w:p>
        </w:tc>
      </w:tr>
      <w:tr w:rsidR="009474D1"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rPr>
                <w:sz w:val="26"/>
                <w:szCs w:val="26"/>
              </w:rPr>
            </w:pPr>
            <w:r w:rsidRPr="00B86E9B">
              <w:rPr>
                <w:sz w:val="26"/>
                <w:szCs w:val="26"/>
              </w:rPr>
              <w:t>Kopējie izdevumi [tūkst. LVL], t.sk.:</w:t>
            </w:r>
          </w:p>
        </w:tc>
        <w:tc>
          <w:tcPr>
            <w:tcW w:w="1516"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color w:val="000000"/>
                <w:sz w:val="26"/>
                <w:szCs w:val="26"/>
              </w:rPr>
            </w:pPr>
            <w:r w:rsidRPr="00B86E9B">
              <w:rPr>
                <w:sz w:val="26"/>
                <w:szCs w:val="26"/>
              </w:rPr>
              <w:t xml:space="preserve">54 756 </w:t>
            </w:r>
          </w:p>
        </w:tc>
        <w:tc>
          <w:tcPr>
            <w:tcW w:w="141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 xml:space="preserve">49 016 </w:t>
            </w:r>
          </w:p>
        </w:tc>
        <w:tc>
          <w:tcPr>
            <w:tcW w:w="1579"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67 503</w:t>
            </w:r>
          </w:p>
        </w:tc>
      </w:tr>
      <w:tr w:rsidR="009474D1"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Personāla atlīdzības izmaksas [tūkst. LVL]</w:t>
            </w:r>
          </w:p>
        </w:tc>
        <w:tc>
          <w:tcPr>
            <w:tcW w:w="1516"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color w:val="000000"/>
                <w:sz w:val="26"/>
                <w:szCs w:val="26"/>
              </w:rPr>
            </w:pPr>
            <w:r w:rsidRPr="00B86E9B">
              <w:rPr>
                <w:color w:val="000000"/>
                <w:sz w:val="26"/>
                <w:szCs w:val="26"/>
              </w:rPr>
              <w:t xml:space="preserve">24 122 </w:t>
            </w:r>
          </w:p>
        </w:tc>
        <w:tc>
          <w:tcPr>
            <w:tcW w:w="141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603034">
            <w:pPr>
              <w:jc w:val="center"/>
              <w:rPr>
                <w:color w:val="000000"/>
                <w:sz w:val="26"/>
                <w:szCs w:val="26"/>
              </w:rPr>
            </w:pPr>
            <w:r w:rsidRPr="00B86E9B">
              <w:rPr>
                <w:color w:val="000000"/>
                <w:sz w:val="26"/>
                <w:szCs w:val="26"/>
              </w:rPr>
              <w:t xml:space="preserve">24 814 </w:t>
            </w:r>
          </w:p>
        </w:tc>
        <w:tc>
          <w:tcPr>
            <w:tcW w:w="1579"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color w:val="000000"/>
                <w:sz w:val="26"/>
                <w:szCs w:val="26"/>
              </w:rPr>
            </w:pPr>
            <w:r w:rsidRPr="00B86E9B">
              <w:rPr>
                <w:color w:val="000000"/>
                <w:sz w:val="26"/>
                <w:szCs w:val="26"/>
              </w:rPr>
              <w:t>29 977</w:t>
            </w:r>
          </w:p>
        </w:tc>
      </w:tr>
      <w:tr w:rsidR="009474D1"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Preču un pakalpojumu izmaksas [tūkst. LVL], t.sk.:</w:t>
            </w:r>
          </w:p>
        </w:tc>
        <w:tc>
          <w:tcPr>
            <w:tcW w:w="1516"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bCs/>
                <w:color w:val="000000"/>
                <w:sz w:val="26"/>
                <w:szCs w:val="26"/>
              </w:rPr>
            </w:pPr>
            <w:r w:rsidRPr="00B86E9B">
              <w:rPr>
                <w:bCs/>
                <w:color w:val="000000"/>
                <w:sz w:val="26"/>
                <w:szCs w:val="26"/>
              </w:rPr>
              <w:t>22 126</w:t>
            </w:r>
          </w:p>
        </w:tc>
        <w:tc>
          <w:tcPr>
            <w:tcW w:w="141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603034">
            <w:pPr>
              <w:jc w:val="center"/>
              <w:rPr>
                <w:bCs/>
                <w:color w:val="000000"/>
                <w:sz w:val="26"/>
                <w:szCs w:val="26"/>
              </w:rPr>
            </w:pPr>
            <w:r w:rsidRPr="00B86E9B">
              <w:rPr>
                <w:bCs/>
                <w:color w:val="000000"/>
                <w:sz w:val="26"/>
                <w:szCs w:val="26"/>
              </w:rPr>
              <w:t>18 560</w:t>
            </w:r>
          </w:p>
        </w:tc>
        <w:tc>
          <w:tcPr>
            <w:tcW w:w="1579"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bCs/>
                <w:color w:val="000000"/>
                <w:sz w:val="26"/>
                <w:szCs w:val="26"/>
              </w:rPr>
            </w:pPr>
            <w:r w:rsidRPr="00B86E9B">
              <w:rPr>
                <w:bCs/>
                <w:color w:val="000000"/>
                <w:sz w:val="26"/>
                <w:szCs w:val="26"/>
              </w:rPr>
              <w:t>27 724</w:t>
            </w:r>
          </w:p>
        </w:tc>
      </w:tr>
      <w:tr w:rsidR="009474D1" w:rsidRPr="00B86E9B" w:rsidTr="00135730">
        <w:trPr>
          <w:trHeight w:val="6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266"/>
              <w:rPr>
                <w:sz w:val="26"/>
                <w:szCs w:val="26"/>
              </w:rPr>
            </w:pPr>
            <w:r w:rsidRPr="00B86E9B">
              <w:rPr>
                <w:sz w:val="26"/>
                <w:szCs w:val="26"/>
              </w:rPr>
              <w:t>Medikamentu izmaksas [tūkst. LVL]</w:t>
            </w:r>
          </w:p>
        </w:tc>
        <w:tc>
          <w:tcPr>
            <w:tcW w:w="1516"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color w:val="000000"/>
                <w:sz w:val="26"/>
                <w:szCs w:val="26"/>
              </w:rPr>
            </w:pPr>
            <w:r w:rsidRPr="00B86E9B">
              <w:rPr>
                <w:color w:val="000000"/>
                <w:sz w:val="26"/>
                <w:szCs w:val="26"/>
              </w:rPr>
              <w:t xml:space="preserve">12 489 </w:t>
            </w:r>
          </w:p>
        </w:tc>
        <w:tc>
          <w:tcPr>
            <w:tcW w:w="141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color w:val="000000"/>
                <w:sz w:val="26"/>
                <w:szCs w:val="26"/>
              </w:rPr>
            </w:pPr>
            <w:r w:rsidRPr="00B86E9B">
              <w:rPr>
                <w:color w:val="000000"/>
                <w:sz w:val="26"/>
                <w:szCs w:val="26"/>
              </w:rPr>
              <w:t>9 251</w:t>
            </w:r>
          </w:p>
        </w:tc>
        <w:tc>
          <w:tcPr>
            <w:tcW w:w="1579"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color w:val="000000"/>
                <w:sz w:val="26"/>
                <w:szCs w:val="26"/>
              </w:rPr>
            </w:pPr>
            <w:r w:rsidRPr="00B86E9B">
              <w:rPr>
                <w:color w:val="000000"/>
                <w:sz w:val="26"/>
                <w:szCs w:val="26"/>
              </w:rPr>
              <w:t>16 313</w:t>
            </w:r>
          </w:p>
        </w:tc>
      </w:tr>
      <w:tr w:rsidR="009474D1"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Procentu izdevumi [</w:t>
            </w:r>
            <w:r w:rsidR="00135730" w:rsidRPr="00B86E9B">
              <w:rPr>
                <w:sz w:val="26"/>
                <w:szCs w:val="26"/>
              </w:rPr>
              <w:t>tūkst. LVL</w:t>
            </w:r>
            <w:r w:rsidRPr="00B86E9B">
              <w:rPr>
                <w:color w:val="000000"/>
                <w:sz w:val="26"/>
                <w:szCs w:val="26"/>
              </w:rPr>
              <w:t>]</w:t>
            </w:r>
          </w:p>
        </w:tc>
        <w:tc>
          <w:tcPr>
            <w:tcW w:w="1516"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752E00">
            <w:pPr>
              <w:jc w:val="center"/>
              <w:rPr>
                <w:color w:val="000000"/>
                <w:sz w:val="26"/>
                <w:szCs w:val="26"/>
              </w:rPr>
            </w:pPr>
            <w:r w:rsidRPr="00B86E9B">
              <w:rPr>
                <w:color w:val="000000"/>
                <w:sz w:val="26"/>
                <w:szCs w:val="26"/>
              </w:rPr>
              <w:t xml:space="preserve">480 </w:t>
            </w:r>
          </w:p>
        </w:tc>
        <w:tc>
          <w:tcPr>
            <w:tcW w:w="141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752E00">
            <w:pPr>
              <w:jc w:val="center"/>
              <w:rPr>
                <w:bCs/>
                <w:color w:val="000000"/>
                <w:sz w:val="26"/>
                <w:szCs w:val="26"/>
              </w:rPr>
            </w:pPr>
            <w:r w:rsidRPr="00B86E9B">
              <w:rPr>
                <w:bCs/>
                <w:color w:val="000000"/>
                <w:sz w:val="26"/>
                <w:szCs w:val="26"/>
              </w:rPr>
              <w:t xml:space="preserve">686 </w:t>
            </w:r>
          </w:p>
        </w:tc>
        <w:tc>
          <w:tcPr>
            <w:tcW w:w="1579"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752E00">
            <w:pPr>
              <w:jc w:val="center"/>
              <w:rPr>
                <w:bCs/>
                <w:color w:val="000000"/>
                <w:sz w:val="26"/>
                <w:szCs w:val="26"/>
              </w:rPr>
            </w:pPr>
            <w:r w:rsidRPr="00B86E9B">
              <w:rPr>
                <w:bCs/>
                <w:color w:val="000000"/>
                <w:sz w:val="26"/>
                <w:szCs w:val="26"/>
              </w:rPr>
              <w:t>34</w:t>
            </w:r>
            <w:r w:rsidR="00752E00" w:rsidRPr="00B86E9B">
              <w:rPr>
                <w:bCs/>
                <w:color w:val="000000"/>
                <w:sz w:val="26"/>
                <w:szCs w:val="26"/>
              </w:rPr>
              <w:t>8</w:t>
            </w:r>
          </w:p>
        </w:tc>
      </w:tr>
      <w:tr w:rsidR="009474D1"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Nolietojums [</w:t>
            </w:r>
            <w:r w:rsidRPr="00B86E9B">
              <w:rPr>
                <w:sz w:val="26"/>
                <w:szCs w:val="26"/>
              </w:rPr>
              <w:t>tūkst. LVL</w:t>
            </w:r>
            <w:r w:rsidRPr="00B86E9B">
              <w:rPr>
                <w:color w:val="000000"/>
                <w:sz w:val="26"/>
                <w:szCs w:val="26"/>
              </w:rPr>
              <w:t>]</w:t>
            </w:r>
          </w:p>
        </w:tc>
        <w:tc>
          <w:tcPr>
            <w:tcW w:w="1516"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jc w:val="center"/>
              <w:rPr>
                <w:bCs/>
                <w:color w:val="000000"/>
                <w:sz w:val="26"/>
                <w:szCs w:val="26"/>
              </w:rPr>
            </w:pPr>
            <w:r w:rsidRPr="00B86E9B">
              <w:rPr>
                <w:bCs/>
                <w:color w:val="000000"/>
                <w:sz w:val="26"/>
                <w:szCs w:val="26"/>
              </w:rPr>
              <w:t>3 942</w:t>
            </w:r>
          </w:p>
        </w:tc>
        <w:tc>
          <w:tcPr>
            <w:tcW w:w="1417" w:type="dxa"/>
            <w:tcBorders>
              <w:top w:val="nil"/>
              <w:left w:val="nil"/>
              <w:bottom w:val="single" w:sz="4" w:space="0" w:color="auto"/>
              <w:right w:val="single" w:sz="4" w:space="0" w:color="auto"/>
            </w:tcBorders>
            <w:shd w:val="clear" w:color="auto" w:fill="auto"/>
            <w:vAlign w:val="center"/>
            <w:hideMark/>
          </w:tcPr>
          <w:p w:rsidR="009474D1" w:rsidRPr="00B86E9B" w:rsidRDefault="00603034" w:rsidP="0029552B">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 4 </w:t>
            </w:r>
            <w:r w:rsidR="0029552B" w:rsidRPr="00B86E9B">
              <w:rPr>
                <w:rFonts w:ascii="Times New Roman" w:hAnsi="Times New Roman"/>
                <w:sz w:val="26"/>
                <w:szCs w:val="26"/>
              </w:rPr>
              <w:t>415</w:t>
            </w:r>
          </w:p>
        </w:tc>
        <w:tc>
          <w:tcPr>
            <w:tcW w:w="1579"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404B9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5 004</w:t>
            </w:r>
          </w:p>
        </w:tc>
      </w:tr>
      <w:tr w:rsidR="009474D1"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Pārējās izmaksas [</w:t>
            </w:r>
            <w:r w:rsidRPr="00B86E9B">
              <w:rPr>
                <w:sz w:val="26"/>
                <w:szCs w:val="26"/>
              </w:rPr>
              <w:t>tūkst. LVL</w:t>
            </w:r>
            <w:r w:rsidRPr="00B86E9B">
              <w:rPr>
                <w:color w:val="000000"/>
                <w:sz w:val="26"/>
                <w:szCs w:val="26"/>
              </w:rPr>
              <w:t>]</w:t>
            </w:r>
          </w:p>
        </w:tc>
        <w:tc>
          <w:tcPr>
            <w:tcW w:w="1516" w:type="dxa"/>
            <w:tcBorders>
              <w:top w:val="nil"/>
              <w:left w:val="nil"/>
              <w:bottom w:val="single" w:sz="4" w:space="0" w:color="auto"/>
              <w:right w:val="single" w:sz="4" w:space="0" w:color="auto"/>
            </w:tcBorders>
            <w:shd w:val="clear" w:color="auto" w:fill="auto"/>
            <w:vAlign w:val="bottom"/>
            <w:hideMark/>
          </w:tcPr>
          <w:p w:rsidR="009474D1" w:rsidRPr="00B86E9B" w:rsidRDefault="009474D1" w:rsidP="00404B95">
            <w:pPr>
              <w:jc w:val="center"/>
              <w:rPr>
                <w:color w:val="000000"/>
                <w:sz w:val="26"/>
                <w:szCs w:val="26"/>
              </w:rPr>
            </w:pPr>
            <w:r w:rsidRPr="00B86E9B">
              <w:rPr>
                <w:color w:val="000000"/>
                <w:sz w:val="26"/>
                <w:szCs w:val="26"/>
              </w:rPr>
              <w:t>4 086</w:t>
            </w:r>
          </w:p>
        </w:tc>
        <w:tc>
          <w:tcPr>
            <w:tcW w:w="1417" w:type="dxa"/>
            <w:tcBorders>
              <w:top w:val="nil"/>
              <w:left w:val="nil"/>
              <w:bottom w:val="single" w:sz="4" w:space="0" w:color="auto"/>
              <w:right w:val="single" w:sz="4" w:space="0" w:color="auto"/>
            </w:tcBorders>
            <w:shd w:val="clear" w:color="auto" w:fill="auto"/>
            <w:vAlign w:val="bottom"/>
            <w:hideMark/>
          </w:tcPr>
          <w:p w:rsidR="009474D1" w:rsidRPr="00B86E9B" w:rsidRDefault="0029552B" w:rsidP="00603034">
            <w:pPr>
              <w:jc w:val="center"/>
              <w:rPr>
                <w:sz w:val="26"/>
                <w:szCs w:val="26"/>
              </w:rPr>
            </w:pPr>
            <w:r w:rsidRPr="00B86E9B">
              <w:rPr>
                <w:sz w:val="26"/>
                <w:szCs w:val="26"/>
              </w:rPr>
              <w:t>541</w:t>
            </w:r>
          </w:p>
        </w:tc>
        <w:tc>
          <w:tcPr>
            <w:tcW w:w="1579" w:type="dxa"/>
            <w:tcBorders>
              <w:top w:val="nil"/>
              <w:left w:val="nil"/>
              <w:bottom w:val="single" w:sz="4" w:space="0" w:color="auto"/>
              <w:right w:val="single" w:sz="4" w:space="0" w:color="auto"/>
            </w:tcBorders>
            <w:shd w:val="clear" w:color="auto" w:fill="auto"/>
            <w:vAlign w:val="bottom"/>
            <w:hideMark/>
          </w:tcPr>
          <w:p w:rsidR="009474D1" w:rsidRPr="00B86E9B" w:rsidRDefault="009474D1" w:rsidP="00404B95">
            <w:pPr>
              <w:jc w:val="center"/>
              <w:rPr>
                <w:color w:val="000000"/>
                <w:sz w:val="26"/>
                <w:szCs w:val="26"/>
              </w:rPr>
            </w:pPr>
            <w:r w:rsidRPr="00B86E9B">
              <w:rPr>
                <w:color w:val="000000"/>
                <w:sz w:val="26"/>
                <w:szCs w:val="26"/>
              </w:rPr>
              <w:t>4 450</w:t>
            </w:r>
          </w:p>
        </w:tc>
      </w:tr>
      <w:tr w:rsidR="001B324B"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1B324B" w:rsidRPr="00B86E9B" w:rsidRDefault="001B324B" w:rsidP="00F519F5">
            <w:pPr>
              <w:rPr>
                <w:color w:val="000000"/>
                <w:sz w:val="26"/>
                <w:szCs w:val="26"/>
              </w:rPr>
            </w:pPr>
            <w:r w:rsidRPr="00B86E9B">
              <w:rPr>
                <w:color w:val="000000"/>
                <w:sz w:val="26"/>
                <w:szCs w:val="26"/>
              </w:rPr>
              <w:t>Pacientu skaits</w:t>
            </w:r>
          </w:p>
        </w:tc>
        <w:tc>
          <w:tcPr>
            <w:tcW w:w="1516"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sz w:val="26"/>
                <w:szCs w:val="26"/>
              </w:rPr>
            </w:pPr>
            <w:r w:rsidRPr="00B86E9B">
              <w:rPr>
                <w:sz w:val="26"/>
                <w:szCs w:val="26"/>
              </w:rPr>
              <w:t>539 724</w:t>
            </w:r>
          </w:p>
        </w:tc>
        <w:tc>
          <w:tcPr>
            <w:tcW w:w="1417"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sz w:val="26"/>
                <w:szCs w:val="26"/>
              </w:rPr>
            </w:pPr>
            <w:r w:rsidRPr="00B86E9B">
              <w:rPr>
                <w:sz w:val="26"/>
                <w:szCs w:val="26"/>
              </w:rPr>
              <w:t>457 348</w:t>
            </w:r>
          </w:p>
        </w:tc>
        <w:tc>
          <w:tcPr>
            <w:tcW w:w="1579"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sz w:val="26"/>
                <w:szCs w:val="26"/>
              </w:rPr>
            </w:pPr>
            <w:r w:rsidRPr="00B86E9B">
              <w:rPr>
                <w:sz w:val="26"/>
                <w:szCs w:val="26"/>
              </w:rPr>
              <w:t>559 325</w:t>
            </w:r>
          </w:p>
        </w:tc>
      </w:tr>
      <w:tr w:rsidR="001B324B"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1B324B" w:rsidRPr="00B86E9B" w:rsidRDefault="001B324B" w:rsidP="00F519F5">
            <w:pPr>
              <w:rPr>
                <w:color w:val="000000"/>
                <w:sz w:val="26"/>
                <w:szCs w:val="26"/>
              </w:rPr>
            </w:pPr>
            <w:r w:rsidRPr="00B86E9B">
              <w:rPr>
                <w:color w:val="000000"/>
                <w:sz w:val="26"/>
                <w:szCs w:val="26"/>
              </w:rPr>
              <w:t>Izdarīto operāciju skaits</w:t>
            </w:r>
          </w:p>
        </w:tc>
        <w:tc>
          <w:tcPr>
            <w:tcW w:w="1516"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bCs/>
                <w:color w:val="000000"/>
                <w:sz w:val="26"/>
                <w:szCs w:val="26"/>
              </w:rPr>
            </w:pPr>
            <w:r w:rsidRPr="00B86E9B">
              <w:rPr>
                <w:bCs/>
                <w:color w:val="000000"/>
                <w:sz w:val="26"/>
                <w:szCs w:val="26"/>
              </w:rPr>
              <w:t>42 304</w:t>
            </w:r>
          </w:p>
        </w:tc>
        <w:tc>
          <w:tcPr>
            <w:tcW w:w="1417"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bCs/>
                <w:sz w:val="26"/>
                <w:szCs w:val="26"/>
              </w:rPr>
            </w:pPr>
            <w:r w:rsidRPr="00B86E9B">
              <w:rPr>
                <w:bCs/>
                <w:sz w:val="26"/>
                <w:szCs w:val="26"/>
              </w:rPr>
              <w:t>56 187</w:t>
            </w:r>
          </w:p>
        </w:tc>
        <w:tc>
          <w:tcPr>
            <w:tcW w:w="1579"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bCs/>
                <w:sz w:val="26"/>
                <w:szCs w:val="26"/>
              </w:rPr>
            </w:pPr>
            <w:r w:rsidRPr="00B86E9B">
              <w:rPr>
                <w:bCs/>
                <w:sz w:val="26"/>
                <w:szCs w:val="26"/>
              </w:rPr>
              <w:t>46 024</w:t>
            </w:r>
          </w:p>
        </w:tc>
      </w:tr>
      <w:tr w:rsidR="001B324B" w:rsidRPr="00B86E9B" w:rsidTr="00135730">
        <w:trPr>
          <w:trHeight w:val="30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1B324B" w:rsidRPr="00B86E9B" w:rsidRDefault="001B324B" w:rsidP="00F519F5">
            <w:pPr>
              <w:rPr>
                <w:color w:val="000000"/>
                <w:sz w:val="26"/>
                <w:szCs w:val="26"/>
              </w:rPr>
            </w:pPr>
            <w:r w:rsidRPr="00B86E9B">
              <w:rPr>
                <w:color w:val="000000"/>
                <w:sz w:val="26"/>
                <w:szCs w:val="26"/>
              </w:rPr>
              <w:t>Kopējās izmaksas un vienu pacientu [LVL]</w:t>
            </w:r>
          </w:p>
        </w:tc>
        <w:tc>
          <w:tcPr>
            <w:tcW w:w="1516"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color w:val="000000"/>
                <w:sz w:val="26"/>
                <w:szCs w:val="26"/>
              </w:rPr>
            </w:pPr>
            <w:r w:rsidRPr="00B86E9B">
              <w:rPr>
                <w:color w:val="000000"/>
                <w:sz w:val="26"/>
                <w:szCs w:val="26"/>
              </w:rPr>
              <w:t>102</w:t>
            </w:r>
          </w:p>
        </w:tc>
        <w:tc>
          <w:tcPr>
            <w:tcW w:w="1417"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color w:val="000000"/>
                <w:sz w:val="26"/>
                <w:szCs w:val="26"/>
              </w:rPr>
            </w:pPr>
            <w:r w:rsidRPr="00B86E9B">
              <w:rPr>
                <w:color w:val="000000"/>
                <w:sz w:val="26"/>
                <w:szCs w:val="26"/>
              </w:rPr>
              <w:t>107</w:t>
            </w:r>
          </w:p>
        </w:tc>
        <w:tc>
          <w:tcPr>
            <w:tcW w:w="1579" w:type="dxa"/>
            <w:tcBorders>
              <w:top w:val="nil"/>
              <w:left w:val="nil"/>
              <w:bottom w:val="single" w:sz="4" w:space="0" w:color="auto"/>
              <w:right w:val="single" w:sz="4" w:space="0" w:color="auto"/>
            </w:tcBorders>
            <w:shd w:val="clear" w:color="auto" w:fill="auto"/>
            <w:vAlign w:val="center"/>
            <w:hideMark/>
          </w:tcPr>
          <w:p w:rsidR="001B324B" w:rsidRPr="00B86E9B" w:rsidRDefault="001B324B" w:rsidP="00F519F5">
            <w:pPr>
              <w:jc w:val="center"/>
              <w:rPr>
                <w:color w:val="000000"/>
                <w:sz w:val="26"/>
                <w:szCs w:val="26"/>
              </w:rPr>
            </w:pPr>
            <w:r w:rsidRPr="00B86E9B">
              <w:rPr>
                <w:color w:val="000000"/>
                <w:sz w:val="26"/>
                <w:szCs w:val="26"/>
              </w:rPr>
              <w:t>121</w:t>
            </w:r>
          </w:p>
        </w:tc>
      </w:tr>
    </w:tbl>
    <w:p w:rsidR="00CD616E" w:rsidRPr="00B86E9B" w:rsidRDefault="00CD616E" w:rsidP="00CD616E">
      <w:pPr>
        <w:tabs>
          <w:tab w:val="left" w:pos="851"/>
        </w:tabs>
        <w:jc w:val="both"/>
        <w:rPr>
          <w:sz w:val="28"/>
          <w:szCs w:val="28"/>
        </w:rPr>
      </w:pPr>
      <w:r w:rsidRPr="00B86E9B">
        <w:rPr>
          <w:sz w:val="28"/>
          <w:szCs w:val="28"/>
        </w:rPr>
        <w:tab/>
      </w:r>
    </w:p>
    <w:p w:rsidR="009312BE" w:rsidRPr="00B86E9B" w:rsidRDefault="00CD616E" w:rsidP="00846004">
      <w:pPr>
        <w:ind w:firstLine="709"/>
        <w:jc w:val="both"/>
        <w:rPr>
          <w:color w:val="548DD4" w:themeColor="text2" w:themeTint="99"/>
          <w:sz w:val="28"/>
          <w:szCs w:val="28"/>
        </w:rPr>
      </w:pPr>
      <w:r w:rsidRPr="00B86E9B">
        <w:rPr>
          <w:sz w:val="28"/>
          <w:szCs w:val="28"/>
        </w:rPr>
        <w:lastRenderedPageBreak/>
        <w:tab/>
        <w:t>Izdevumu palielināšanās personāla atlīdzībai 2012.gadā salīdzinājumā ar 2011.gadu galvenokārt ir skaidrojama ar darbinieku skaita palielināšanos par 893 štata vienībām saistībā ar valsts aģentūras „Latvijas Infektoloģijas centrs” pievienošanu no 2012.gada 1.aprīļa</w:t>
      </w:r>
      <w:r w:rsidR="005335D8" w:rsidRPr="00B86E9B">
        <w:rPr>
          <w:sz w:val="28"/>
          <w:szCs w:val="28"/>
        </w:rPr>
        <w:t xml:space="preserve">. </w:t>
      </w:r>
      <w:r w:rsidR="00C12BB3" w:rsidRPr="00B86E9B">
        <w:rPr>
          <w:sz w:val="28"/>
          <w:szCs w:val="28"/>
        </w:rPr>
        <w:t>LIC</w:t>
      </w:r>
      <w:r w:rsidR="005335D8" w:rsidRPr="00B86E9B">
        <w:rPr>
          <w:sz w:val="28"/>
          <w:szCs w:val="28"/>
        </w:rPr>
        <w:t xml:space="preserve"> pievienošan</w:t>
      </w:r>
      <w:r w:rsidR="00A02744" w:rsidRPr="00B86E9B">
        <w:rPr>
          <w:sz w:val="28"/>
          <w:szCs w:val="28"/>
        </w:rPr>
        <w:t>a</w:t>
      </w:r>
      <w:r w:rsidR="005335D8" w:rsidRPr="00B86E9B">
        <w:rPr>
          <w:sz w:val="28"/>
          <w:szCs w:val="28"/>
        </w:rPr>
        <w:t xml:space="preserve"> </w:t>
      </w:r>
      <w:r w:rsidR="00A02744" w:rsidRPr="00B86E9B">
        <w:rPr>
          <w:sz w:val="28"/>
          <w:szCs w:val="28"/>
        </w:rPr>
        <w:t>un ārstēto</w:t>
      </w:r>
      <w:r w:rsidR="005335D8" w:rsidRPr="00B86E9B">
        <w:rPr>
          <w:sz w:val="28"/>
          <w:szCs w:val="28"/>
        </w:rPr>
        <w:t xml:space="preserve"> pacientu skaita </w:t>
      </w:r>
      <w:r w:rsidR="00A02744" w:rsidRPr="00B86E9B">
        <w:rPr>
          <w:sz w:val="28"/>
          <w:szCs w:val="28"/>
        </w:rPr>
        <w:t>palielināšanās</w:t>
      </w:r>
      <w:r w:rsidR="005335D8" w:rsidRPr="00B86E9B">
        <w:rPr>
          <w:sz w:val="28"/>
          <w:szCs w:val="28"/>
        </w:rPr>
        <w:t xml:space="preserve"> </w:t>
      </w:r>
      <w:r w:rsidR="00A02744" w:rsidRPr="00B86E9B">
        <w:rPr>
          <w:sz w:val="28"/>
          <w:szCs w:val="28"/>
        </w:rPr>
        <w:t>ir izraisījusi</w:t>
      </w:r>
      <w:r w:rsidR="005335D8" w:rsidRPr="00B86E9B">
        <w:rPr>
          <w:sz w:val="28"/>
          <w:szCs w:val="28"/>
        </w:rPr>
        <w:t xml:space="preserve"> izdevumu pieaugum</w:t>
      </w:r>
      <w:r w:rsidR="00A02744" w:rsidRPr="00B86E9B">
        <w:rPr>
          <w:sz w:val="28"/>
          <w:szCs w:val="28"/>
        </w:rPr>
        <w:t>u</w:t>
      </w:r>
      <w:r w:rsidR="005335D8" w:rsidRPr="00B86E9B">
        <w:rPr>
          <w:sz w:val="28"/>
          <w:szCs w:val="28"/>
        </w:rPr>
        <w:t xml:space="preserve"> par precēm un pakalpojumiem.</w:t>
      </w:r>
    </w:p>
    <w:p w:rsidR="002F7E96" w:rsidRPr="00B86E9B" w:rsidRDefault="00C93333" w:rsidP="00846004">
      <w:pPr>
        <w:ind w:firstLine="706"/>
        <w:jc w:val="both"/>
        <w:rPr>
          <w:sz w:val="28"/>
          <w:szCs w:val="28"/>
        </w:rPr>
      </w:pPr>
      <w:r w:rsidRPr="00B86E9B">
        <w:rPr>
          <w:sz w:val="28"/>
          <w:szCs w:val="28"/>
        </w:rPr>
        <w:t xml:space="preserve">Ņemot vērā to, ka 2012gadā 1.aprīlī atbilstoši Ministru kabineta 2012.gada 21.februāra rīkojumam Nr.101 „Par Slimību profilakses un kontroles centra izveidošanu un Veselības ministrijas un Zemkopības ministrijas padotībā esošo valsts pārvaldes iestāžu reorganizāciju” RAKUS </w:t>
      </w:r>
      <w:r w:rsidRPr="00B86E9B">
        <w:rPr>
          <w:sz w:val="28"/>
          <w:szCs w:val="28"/>
          <w:shd w:val="clear" w:color="auto" w:fill="FFFFFF"/>
        </w:rPr>
        <w:t>tika nodotas</w:t>
      </w:r>
      <w:r w:rsidRPr="00B86E9B">
        <w:rPr>
          <w:sz w:val="28"/>
          <w:szCs w:val="28"/>
        </w:rPr>
        <w:t xml:space="preserve"> </w:t>
      </w:r>
      <w:r w:rsidRPr="00B86E9B">
        <w:rPr>
          <w:sz w:val="28"/>
          <w:szCs w:val="28"/>
          <w:shd w:val="clear" w:color="auto" w:fill="FFFFFF"/>
        </w:rPr>
        <w:t>LIC</w:t>
      </w:r>
      <w:r w:rsidRPr="00B86E9B">
        <w:rPr>
          <w:i/>
          <w:sz w:val="28"/>
          <w:szCs w:val="28"/>
          <w:shd w:val="clear" w:color="auto" w:fill="FFFFFF"/>
        </w:rPr>
        <w:t xml:space="preserve"> </w:t>
      </w:r>
      <w:r w:rsidRPr="00B86E9B">
        <w:rPr>
          <w:rStyle w:val="Izclums"/>
          <w:i w:val="0"/>
          <w:sz w:val="28"/>
          <w:szCs w:val="28"/>
        </w:rPr>
        <w:t>ar infekciju slimību ārstniecību saistītās</w:t>
      </w:r>
      <w:r w:rsidRPr="00B86E9B">
        <w:rPr>
          <w:rStyle w:val="Izclums"/>
          <w:sz w:val="28"/>
          <w:szCs w:val="28"/>
        </w:rPr>
        <w:t xml:space="preserve"> </w:t>
      </w:r>
      <w:r w:rsidRPr="00B86E9B">
        <w:rPr>
          <w:sz w:val="28"/>
          <w:szCs w:val="28"/>
        </w:rPr>
        <w:t>funkcijas, kā arī tiesības un saistības, par ko RAKUS</w:t>
      </w:r>
      <w:r w:rsidRPr="00B86E9B">
        <w:rPr>
          <w:sz w:val="28"/>
          <w:szCs w:val="28"/>
          <w:shd w:val="clear" w:color="auto" w:fill="FFFFFF"/>
        </w:rPr>
        <w:t xml:space="preserve">, gatavojot 2012.gada plānu rezultatīvajiem un finansiālajiem rādītājiem, vēl </w:t>
      </w:r>
      <w:r w:rsidRPr="00B86E9B">
        <w:rPr>
          <w:sz w:val="28"/>
          <w:szCs w:val="28"/>
        </w:rPr>
        <w:t xml:space="preserve">nebija zināms, 2012.gadā vidējais gultas dienu skaits palielinājās par 95 823 gultas dienām (20,4%), kā arī pacientu ārstēšanas ilgums stacionārā par 0,3 dienām (3,8%), kas ietekmēja kopējo izdevumu apmēru. </w:t>
      </w:r>
      <w:r w:rsidR="006E24EC" w:rsidRPr="00B86E9B">
        <w:rPr>
          <w:sz w:val="28"/>
          <w:szCs w:val="28"/>
        </w:rPr>
        <w:t>Turklāt j</w:t>
      </w:r>
      <w:r w:rsidRPr="00B86E9B">
        <w:rPr>
          <w:sz w:val="28"/>
          <w:szCs w:val="28"/>
        </w:rPr>
        <w:t>āatzīmē, ka LIC</w:t>
      </w:r>
      <w:r w:rsidRPr="00B86E9B">
        <w:rPr>
          <w:sz w:val="28"/>
          <w:szCs w:val="28"/>
          <w:shd w:val="clear" w:color="auto" w:fill="FFFFFF"/>
        </w:rPr>
        <w:t xml:space="preserve"> </w:t>
      </w:r>
      <w:r w:rsidRPr="00B86E9B">
        <w:rPr>
          <w:sz w:val="28"/>
          <w:szCs w:val="28"/>
        </w:rPr>
        <w:t xml:space="preserve">maksas pakalpojumi un citi pašu ieņēmumi </w:t>
      </w:r>
      <w:r w:rsidR="006E24EC" w:rsidRPr="00B86E9B">
        <w:rPr>
          <w:sz w:val="28"/>
          <w:szCs w:val="28"/>
        </w:rPr>
        <w:t xml:space="preserve">2012.gadā </w:t>
      </w:r>
      <w:r w:rsidRPr="00B86E9B">
        <w:rPr>
          <w:sz w:val="28"/>
          <w:szCs w:val="28"/>
        </w:rPr>
        <w:t xml:space="preserve">netika izpildīti plānotajā </w:t>
      </w:r>
      <w:r w:rsidR="006E24EC" w:rsidRPr="00B86E9B">
        <w:rPr>
          <w:sz w:val="28"/>
          <w:szCs w:val="28"/>
        </w:rPr>
        <w:t>apjomā</w:t>
      </w:r>
      <w:r w:rsidRPr="00B86E9B">
        <w:rPr>
          <w:sz w:val="28"/>
          <w:szCs w:val="28"/>
        </w:rPr>
        <w:t>. Papildus finansiālo slogu RAKUS radīja tas, ka LIC tika pārņemta ar lielākiem kreditoru parādiem nekā iepriekš bija plānots.</w:t>
      </w:r>
    </w:p>
    <w:p w:rsidR="00D91D80" w:rsidRPr="00B86E9B" w:rsidRDefault="00D91D80" w:rsidP="00D91D80">
      <w:pPr>
        <w:ind w:firstLine="720"/>
        <w:jc w:val="both"/>
        <w:rPr>
          <w:sz w:val="28"/>
          <w:szCs w:val="28"/>
        </w:rPr>
      </w:pPr>
      <w:r w:rsidRPr="00B86E9B">
        <w:rPr>
          <w:sz w:val="28"/>
          <w:szCs w:val="28"/>
        </w:rPr>
        <w:t xml:space="preserve">RAKUS finansiālo stāvokli ietekmējusi </w:t>
      </w:r>
      <w:r w:rsidR="004948AF" w:rsidRPr="00B86E9B">
        <w:rPr>
          <w:sz w:val="28"/>
          <w:szCs w:val="28"/>
        </w:rPr>
        <w:t xml:space="preserve">arī </w:t>
      </w:r>
      <w:r w:rsidRPr="00B86E9B">
        <w:rPr>
          <w:sz w:val="28"/>
          <w:szCs w:val="28"/>
        </w:rPr>
        <w:t>apkalpoto pacientu specifika, proti, RAKUS bieži nonāk pacienti ar smagām veselības problēmām, kuriem nav bijis iespējams sniegt palīdzību zemākā līmeņa stacionārās veselības aprūpes iestādēs, kā rezultātā pie vienādiem valsts apmaksāto stacionāro veselības aprūpes pakalpojumu tarifiem RAKUS pacientu ārstēšana izmaksā dārgāk nekā citā ārstniecības iestādē, ar ko izskaidrojams arī medikamentu un medicīnas preču izmaksu augstais īpatsvars kopējo izmaksu ietvaros.</w:t>
      </w:r>
    </w:p>
    <w:p w:rsidR="00D91D80" w:rsidRPr="00B86E9B" w:rsidRDefault="00D91D80" w:rsidP="00D91D80">
      <w:pPr>
        <w:ind w:firstLine="720"/>
        <w:jc w:val="both"/>
        <w:rPr>
          <w:sz w:val="28"/>
          <w:szCs w:val="28"/>
        </w:rPr>
      </w:pPr>
      <w:r w:rsidRPr="00B86E9B">
        <w:rPr>
          <w:sz w:val="28"/>
          <w:szCs w:val="28"/>
        </w:rPr>
        <w:t>RAKUS naudas līdzekļu atlikums uz 31.12.2012. bija 16 133 312 LVL, tajā skait</w:t>
      </w:r>
      <w:r w:rsidR="00A136EE" w:rsidRPr="00B86E9B">
        <w:rPr>
          <w:sz w:val="28"/>
          <w:szCs w:val="28"/>
        </w:rPr>
        <w:t>ā valsts galvotā aizdevuma līdzekļi</w:t>
      </w:r>
      <w:r w:rsidRPr="00B86E9B">
        <w:rPr>
          <w:sz w:val="28"/>
          <w:szCs w:val="28"/>
        </w:rPr>
        <w:t xml:space="preserve"> 12 463 245 LVL, ES fondu projektu lī</w:t>
      </w:r>
      <w:r w:rsidR="00A136EE" w:rsidRPr="00B86E9B">
        <w:rPr>
          <w:sz w:val="28"/>
          <w:szCs w:val="28"/>
        </w:rPr>
        <w:t>dzfinansējuma līdzekļi</w:t>
      </w:r>
      <w:r w:rsidRPr="00B86E9B">
        <w:rPr>
          <w:sz w:val="28"/>
          <w:szCs w:val="28"/>
        </w:rPr>
        <w:t xml:space="preserve"> 356 745 LVL un pašu līdzekļi 3 313 322 LVL apmērā. RAKUS naudas līdzekļu atlikuma apmērs 2012.gadā salīdzinājuma ar 2012.gada plānu ir palielinājies par </w:t>
      </w:r>
      <w:r w:rsidRPr="00B86E9B">
        <w:rPr>
          <w:sz w:val="28"/>
          <w:szCs w:val="28"/>
          <w:lang w:eastAsia="lv-LV"/>
        </w:rPr>
        <w:t>1 775</w:t>
      </w:r>
      <w:r w:rsidR="00B334DE" w:rsidRPr="00B86E9B">
        <w:rPr>
          <w:sz w:val="28"/>
          <w:szCs w:val="28"/>
          <w:lang w:eastAsia="lv-LV"/>
        </w:rPr>
        <w:t> </w:t>
      </w:r>
      <w:r w:rsidRPr="00B86E9B">
        <w:rPr>
          <w:sz w:val="28"/>
          <w:szCs w:val="28"/>
          <w:lang w:eastAsia="lv-LV"/>
        </w:rPr>
        <w:t>337</w:t>
      </w:r>
      <w:r w:rsidR="00B334DE" w:rsidRPr="00B86E9B">
        <w:rPr>
          <w:sz w:val="28"/>
          <w:szCs w:val="28"/>
          <w:lang w:eastAsia="lv-LV"/>
        </w:rPr>
        <w:t> </w:t>
      </w:r>
      <w:r w:rsidRPr="00B86E9B">
        <w:rPr>
          <w:sz w:val="28"/>
          <w:szCs w:val="28"/>
        </w:rPr>
        <w:t>LVL (12,4 %).</w:t>
      </w:r>
    </w:p>
    <w:p w:rsidR="00D91D80" w:rsidRPr="00B86E9B" w:rsidRDefault="00D91D80" w:rsidP="00D91D80">
      <w:pPr>
        <w:ind w:firstLine="720"/>
        <w:jc w:val="both"/>
        <w:rPr>
          <w:sz w:val="28"/>
          <w:szCs w:val="28"/>
        </w:rPr>
      </w:pPr>
    </w:p>
    <w:p w:rsidR="00D91D80" w:rsidRPr="00B86E9B" w:rsidRDefault="00D91D80" w:rsidP="00D91D80">
      <w:pPr>
        <w:tabs>
          <w:tab w:val="left" w:pos="851"/>
        </w:tabs>
        <w:jc w:val="right"/>
        <w:rPr>
          <w:sz w:val="28"/>
          <w:szCs w:val="28"/>
        </w:rPr>
      </w:pPr>
      <w:r w:rsidRPr="00B86E9B">
        <w:rPr>
          <w:i/>
          <w:sz w:val="28"/>
          <w:szCs w:val="28"/>
        </w:rPr>
        <w:t>Tabula Nr.14: RAKUS finanšu rādītāji 2012.gadā [LVL]</w:t>
      </w:r>
    </w:p>
    <w:tbl>
      <w:tblPr>
        <w:tblStyle w:val="Reatabula"/>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1749"/>
        <w:gridCol w:w="1672"/>
        <w:gridCol w:w="1865"/>
        <w:gridCol w:w="1600"/>
      </w:tblGrid>
      <w:tr w:rsidR="00D91D80" w:rsidRPr="00B86E9B" w:rsidTr="00F519F5">
        <w:trPr>
          <w:jc w:val="center"/>
        </w:trPr>
        <w:tc>
          <w:tcPr>
            <w:tcW w:w="2160" w:type="dxa"/>
            <w:shd w:val="clear" w:color="auto" w:fill="D9D9D9" w:themeFill="background1" w:themeFillShade="D9"/>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Rādītāji</w:t>
            </w:r>
          </w:p>
        </w:tc>
        <w:tc>
          <w:tcPr>
            <w:tcW w:w="1800" w:type="dxa"/>
            <w:shd w:val="clear" w:color="auto" w:fill="D9D9D9" w:themeFill="background1" w:themeFillShade="D9"/>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Plānotie</w:t>
            </w:r>
          </w:p>
        </w:tc>
        <w:tc>
          <w:tcPr>
            <w:tcW w:w="1710" w:type="dxa"/>
            <w:shd w:val="clear" w:color="auto" w:fill="D9D9D9" w:themeFill="background1" w:themeFillShade="D9"/>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Faktiskie</w:t>
            </w:r>
          </w:p>
        </w:tc>
        <w:tc>
          <w:tcPr>
            <w:tcW w:w="1890" w:type="dxa"/>
            <w:shd w:val="clear" w:color="auto" w:fill="D9D9D9" w:themeFill="background1" w:themeFillShade="D9"/>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skaitliski</w:t>
            </w:r>
          </w:p>
        </w:tc>
        <w:tc>
          <w:tcPr>
            <w:tcW w:w="1616" w:type="dxa"/>
            <w:shd w:val="clear" w:color="auto" w:fill="D9D9D9" w:themeFill="background1" w:themeFillShade="D9"/>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procentuāli</w:t>
            </w:r>
          </w:p>
        </w:tc>
      </w:tr>
      <w:tr w:rsidR="00D91D80" w:rsidRPr="00B86E9B" w:rsidTr="00F519F5">
        <w:trPr>
          <w:trHeight w:val="551"/>
          <w:jc w:val="center"/>
        </w:trPr>
        <w:tc>
          <w:tcPr>
            <w:tcW w:w="216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ieņēmumi</w:t>
            </w:r>
          </w:p>
        </w:tc>
        <w:tc>
          <w:tcPr>
            <w:tcW w:w="180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42 025 356</w:t>
            </w:r>
          </w:p>
        </w:tc>
        <w:tc>
          <w:tcPr>
            <w:tcW w:w="171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63 957 638</w:t>
            </w:r>
          </w:p>
        </w:tc>
        <w:tc>
          <w:tcPr>
            <w:tcW w:w="189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+21 932 282</w:t>
            </w:r>
          </w:p>
        </w:tc>
        <w:tc>
          <w:tcPr>
            <w:tcW w:w="1616"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+ 52,2 %</w:t>
            </w:r>
          </w:p>
        </w:tc>
      </w:tr>
      <w:tr w:rsidR="00D91D80" w:rsidRPr="00B86E9B" w:rsidTr="00F519F5">
        <w:trPr>
          <w:trHeight w:val="545"/>
          <w:jc w:val="center"/>
        </w:trPr>
        <w:tc>
          <w:tcPr>
            <w:tcW w:w="216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izdevumi</w:t>
            </w:r>
          </w:p>
        </w:tc>
        <w:tc>
          <w:tcPr>
            <w:tcW w:w="180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49 016 057</w:t>
            </w:r>
          </w:p>
        </w:tc>
        <w:tc>
          <w:tcPr>
            <w:tcW w:w="171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67 502 620</w:t>
            </w:r>
          </w:p>
        </w:tc>
        <w:tc>
          <w:tcPr>
            <w:tcW w:w="189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+18 486 563</w:t>
            </w:r>
          </w:p>
        </w:tc>
        <w:tc>
          <w:tcPr>
            <w:tcW w:w="1616"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+ 37,7 %</w:t>
            </w:r>
          </w:p>
        </w:tc>
      </w:tr>
      <w:tr w:rsidR="00D91D80" w:rsidRPr="00B86E9B" w:rsidTr="00F519F5">
        <w:trPr>
          <w:trHeight w:val="552"/>
          <w:jc w:val="center"/>
        </w:trPr>
        <w:tc>
          <w:tcPr>
            <w:tcW w:w="216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Nolietojums</w:t>
            </w:r>
          </w:p>
        </w:tc>
        <w:tc>
          <w:tcPr>
            <w:tcW w:w="1800" w:type="dxa"/>
            <w:vAlign w:val="center"/>
          </w:tcPr>
          <w:p w:rsidR="00D91D80" w:rsidRPr="00B86E9B" w:rsidRDefault="00A245BF" w:rsidP="004B2B3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 </w:t>
            </w:r>
            <w:r w:rsidR="004B2B31" w:rsidRPr="00B86E9B">
              <w:rPr>
                <w:rFonts w:ascii="Times New Roman" w:hAnsi="Times New Roman"/>
                <w:bCs/>
                <w:sz w:val="26"/>
                <w:szCs w:val="26"/>
              </w:rPr>
              <w:t>4 414 842</w:t>
            </w:r>
          </w:p>
        </w:tc>
        <w:tc>
          <w:tcPr>
            <w:tcW w:w="171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5 003 761</w:t>
            </w:r>
          </w:p>
        </w:tc>
        <w:tc>
          <w:tcPr>
            <w:tcW w:w="1890" w:type="dxa"/>
            <w:vAlign w:val="center"/>
          </w:tcPr>
          <w:p w:rsidR="00D91D80" w:rsidRPr="00B86E9B" w:rsidRDefault="004B2B31" w:rsidP="000C3DA3">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+ 588 919</w:t>
            </w:r>
          </w:p>
        </w:tc>
        <w:tc>
          <w:tcPr>
            <w:tcW w:w="1616" w:type="dxa"/>
            <w:vAlign w:val="center"/>
          </w:tcPr>
          <w:p w:rsidR="00D91D80" w:rsidRPr="00B86E9B" w:rsidRDefault="000C3DA3" w:rsidP="004B2B31">
            <w:pPr>
              <w:jc w:val="center"/>
              <w:rPr>
                <w:sz w:val="26"/>
                <w:szCs w:val="26"/>
              </w:rPr>
            </w:pPr>
            <w:r w:rsidRPr="00B86E9B">
              <w:rPr>
                <w:sz w:val="26"/>
                <w:szCs w:val="26"/>
              </w:rPr>
              <w:t>+1</w:t>
            </w:r>
            <w:r w:rsidR="004B2B31" w:rsidRPr="00B86E9B">
              <w:rPr>
                <w:sz w:val="26"/>
                <w:szCs w:val="26"/>
              </w:rPr>
              <w:t>3</w:t>
            </w:r>
            <w:r w:rsidRPr="00B86E9B">
              <w:rPr>
                <w:sz w:val="26"/>
                <w:szCs w:val="26"/>
              </w:rPr>
              <w:t>,</w:t>
            </w:r>
            <w:r w:rsidR="004B2B31" w:rsidRPr="00B86E9B">
              <w:rPr>
                <w:sz w:val="26"/>
                <w:szCs w:val="26"/>
              </w:rPr>
              <w:t>3</w:t>
            </w:r>
            <w:r w:rsidR="00D91D80" w:rsidRPr="00B86E9B">
              <w:rPr>
                <w:sz w:val="26"/>
                <w:szCs w:val="26"/>
              </w:rPr>
              <w:t xml:space="preserve"> %</w:t>
            </w:r>
          </w:p>
        </w:tc>
      </w:tr>
      <w:tr w:rsidR="00D91D80" w:rsidRPr="00B86E9B" w:rsidTr="00F519F5">
        <w:trPr>
          <w:trHeight w:val="562"/>
          <w:jc w:val="center"/>
        </w:trPr>
        <w:tc>
          <w:tcPr>
            <w:tcW w:w="216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Zaudējumi</w:t>
            </w:r>
          </w:p>
        </w:tc>
        <w:tc>
          <w:tcPr>
            <w:tcW w:w="180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-6 990 701</w:t>
            </w:r>
          </w:p>
        </w:tc>
        <w:tc>
          <w:tcPr>
            <w:tcW w:w="171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color w:val="000000"/>
                <w:sz w:val="26"/>
                <w:szCs w:val="26"/>
              </w:rPr>
              <w:t>-3 544 981</w:t>
            </w:r>
          </w:p>
        </w:tc>
        <w:tc>
          <w:tcPr>
            <w:tcW w:w="1890" w:type="dxa"/>
            <w:vAlign w:val="center"/>
          </w:tcPr>
          <w:p w:rsidR="00D91D80" w:rsidRPr="00B86E9B" w:rsidRDefault="00D91D80" w:rsidP="00F519F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+ 3 445 720</w:t>
            </w:r>
          </w:p>
        </w:tc>
        <w:tc>
          <w:tcPr>
            <w:tcW w:w="1616" w:type="dxa"/>
            <w:vAlign w:val="center"/>
          </w:tcPr>
          <w:p w:rsidR="00D91D80" w:rsidRPr="00B86E9B" w:rsidRDefault="00D91D80" w:rsidP="00F519F5">
            <w:pPr>
              <w:jc w:val="center"/>
              <w:rPr>
                <w:sz w:val="26"/>
                <w:szCs w:val="26"/>
              </w:rPr>
            </w:pPr>
            <w:r w:rsidRPr="00B86E9B">
              <w:rPr>
                <w:sz w:val="26"/>
                <w:szCs w:val="26"/>
              </w:rPr>
              <w:t>+ 49,3 %</w:t>
            </w:r>
          </w:p>
        </w:tc>
      </w:tr>
    </w:tbl>
    <w:p w:rsidR="00D91D80" w:rsidRPr="00B86E9B" w:rsidRDefault="00D91D80" w:rsidP="00D91D80">
      <w:pPr>
        <w:ind w:firstLine="720"/>
        <w:jc w:val="both"/>
        <w:rPr>
          <w:sz w:val="28"/>
          <w:szCs w:val="28"/>
        </w:rPr>
      </w:pPr>
    </w:p>
    <w:p w:rsidR="00D91D80" w:rsidRPr="00B86E9B" w:rsidRDefault="00D91D80" w:rsidP="00D91D80">
      <w:pPr>
        <w:ind w:firstLine="720"/>
        <w:jc w:val="both"/>
        <w:rPr>
          <w:sz w:val="28"/>
          <w:szCs w:val="28"/>
          <w:lang w:eastAsia="lv-LV"/>
        </w:rPr>
      </w:pPr>
      <w:r w:rsidRPr="00B86E9B">
        <w:rPr>
          <w:sz w:val="28"/>
          <w:szCs w:val="28"/>
        </w:rPr>
        <w:t xml:space="preserve">RAKUS zaudējumi 2012.gadā </w:t>
      </w:r>
      <w:r w:rsidRPr="00B86E9B">
        <w:rPr>
          <w:sz w:val="28"/>
          <w:szCs w:val="28"/>
          <w:lang w:eastAsia="lv-LV"/>
        </w:rPr>
        <w:t xml:space="preserve">bija </w:t>
      </w:r>
      <w:r w:rsidRPr="00B86E9B">
        <w:rPr>
          <w:color w:val="000000"/>
          <w:sz w:val="28"/>
          <w:szCs w:val="28"/>
        </w:rPr>
        <w:t>3 544 981</w:t>
      </w:r>
      <w:r w:rsidRPr="00B86E9B">
        <w:rPr>
          <w:sz w:val="28"/>
          <w:szCs w:val="28"/>
          <w:lang w:eastAsia="lv-LV"/>
        </w:rPr>
        <w:t xml:space="preserve"> LVL</w:t>
      </w:r>
      <w:r w:rsidR="00C469ED" w:rsidRPr="00B86E9B">
        <w:rPr>
          <w:sz w:val="28"/>
          <w:szCs w:val="28"/>
          <w:lang w:eastAsia="lv-LV"/>
        </w:rPr>
        <w:t xml:space="preserve">, kas salīdzinājumā ar plānu ir samazinājušies par 3 445 720 LVL (49,3%), bet </w:t>
      </w:r>
      <w:r w:rsidR="00C469ED" w:rsidRPr="00B86E9B">
        <w:rPr>
          <w:sz w:val="28"/>
          <w:szCs w:val="28"/>
        </w:rPr>
        <w:t>salīdzinot</w:t>
      </w:r>
      <w:r w:rsidRPr="00B86E9B">
        <w:rPr>
          <w:sz w:val="28"/>
          <w:szCs w:val="28"/>
        </w:rPr>
        <w:t xml:space="preserve"> ar 2011.gadu </w:t>
      </w:r>
      <w:r w:rsidRPr="00B86E9B">
        <w:rPr>
          <w:sz w:val="28"/>
          <w:szCs w:val="28"/>
        </w:rPr>
        <w:lastRenderedPageBreak/>
        <w:t xml:space="preserve">palielinājušies par </w:t>
      </w:r>
      <w:r w:rsidRPr="00B86E9B">
        <w:rPr>
          <w:sz w:val="28"/>
          <w:szCs w:val="28"/>
          <w:lang w:eastAsia="lv-LV"/>
        </w:rPr>
        <w:t>611 873 LVL (20,9%). Zaudējumi galvenokārt ir skaidrojami ar to, ka:</w:t>
      </w:r>
    </w:p>
    <w:p w:rsidR="00D91D80" w:rsidRPr="00B86E9B" w:rsidRDefault="00D91D80" w:rsidP="004C4D18">
      <w:pPr>
        <w:pStyle w:val="Sarakstarindkopa"/>
        <w:numPr>
          <w:ilvl w:val="0"/>
          <w:numId w:val="40"/>
        </w:numPr>
        <w:spacing w:after="0" w:line="240" w:lineRule="auto"/>
        <w:ind w:left="1134" w:hanging="357"/>
        <w:jc w:val="both"/>
        <w:rPr>
          <w:rFonts w:ascii="Times New Roman" w:eastAsia="Times New Roman" w:hAnsi="Times New Roman"/>
          <w:sz w:val="28"/>
          <w:szCs w:val="28"/>
        </w:rPr>
      </w:pPr>
      <w:r w:rsidRPr="00B86E9B">
        <w:rPr>
          <w:rFonts w:ascii="Times New Roman" w:eastAsia="Times New Roman" w:hAnsi="Times New Roman"/>
          <w:sz w:val="28"/>
          <w:szCs w:val="28"/>
        </w:rPr>
        <w:t>faktiskie izdevumi par sniegtajiem veselības aprūpes pakalpojumiem ir augstāki par Ministru kabineta 2006.gada 19.decembra noteikumos Nr.1046 „Veselības aprūpes organizēšanas un finansēšanas kārtība” atsevišķām veselības aprūpes programmām un pakalpojumiem noteiktajiem tarifiem, jo</w:t>
      </w:r>
      <w:r w:rsidR="00C32F2B" w:rsidRPr="00B86E9B">
        <w:rPr>
          <w:rFonts w:ascii="Times New Roman" w:eastAsia="Times New Roman" w:hAnsi="Times New Roman"/>
          <w:sz w:val="28"/>
          <w:szCs w:val="28"/>
        </w:rPr>
        <w:t xml:space="preserve"> valsts budžeta ierobežoto iespēju dēļ jau ilgstoši tarifi </w:t>
      </w:r>
      <w:r w:rsidRPr="00B86E9B">
        <w:rPr>
          <w:rFonts w:ascii="Times New Roman" w:eastAsia="Times New Roman" w:hAnsi="Times New Roman"/>
          <w:sz w:val="28"/>
          <w:szCs w:val="28"/>
        </w:rPr>
        <w:t>nav aktualizēti, lai iekļautu pakalpojumu sniegšanai nepieciešamo resursu sadārdzināšanos;</w:t>
      </w:r>
    </w:p>
    <w:p w:rsidR="00D91D80" w:rsidRPr="00B86E9B" w:rsidRDefault="00D91D80" w:rsidP="004C4D18">
      <w:pPr>
        <w:pStyle w:val="Sarakstarindkopa"/>
        <w:numPr>
          <w:ilvl w:val="0"/>
          <w:numId w:val="40"/>
        </w:numPr>
        <w:spacing w:after="0" w:line="240" w:lineRule="auto"/>
        <w:ind w:left="1134" w:hanging="357"/>
        <w:jc w:val="both"/>
        <w:rPr>
          <w:rFonts w:ascii="Times New Roman" w:eastAsia="Times New Roman" w:hAnsi="Times New Roman"/>
          <w:sz w:val="28"/>
          <w:szCs w:val="28"/>
        </w:rPr>
      </w:pPr>
      <w:r w:rsidRPr="00B86E9B">
        <w:rPr>
          <w:rFonts w:ascii="Times New Roman" w:eastAsia="Times New Roman" w:hAnsi="Times New Roman"/>
          <w:sz w:val="28"/>
          <w:szCs w:val="28"/>
        </w:rPr>
        <w:t>zaudējumu nesošu stacionāru pievienošanu struktūrā;</w:t>
      </w:r>
    </w:p>
    <w:p w:rsidR="00D91D80" w:rsidRPr="00B86E9B" w:rsidRDefault="00D91D80" w:rsidP="004C4D18">
      <w:pPr>
        <w:pStyle w:val="Sarakstarindkopa"/>
        <w:numPr>
          <w:ilvl w:val="0"/>
          <w:numId w:val="40"/>
        </w:numPr>
        <w:spacing w:after="0" w:line="240" w:lineRule="auto"/>
        <w:ind w:left="1134" w:hanging="357"/>
        <w:jc w:val="both"/>
        <w:rPr>
          <w:rFonts w:ascii="Times New Roman" w:eastAsia="Times New Roman" w:hAnsi="Times New Roman"/>
          <w:sz w:val="28"/>
          <w:szCs w:val="28"/>
        </w:rPr>
      </w:pPr>
      <w:r w:rsidRPr="00B86E9B">
        <w:rPr>
          <w:rFonts w:ascii="Times New Roman" w:eastAsia="Times New Roman" w:hAnsi="Times New Roman"/>
          <w:sz w:val="28"/>
          <w:szCs w:val="28"/>
        </w:rPr>
        <w:t>pārāk liela un smagnēja infrastruktūra, kas izvietota attālās lokācijas vietās</w:t>
      </w:r>
      <w:r w:rsidR="00F515ED" w:rsidRPr="00B86E9B">
        <w:rPr>
          <w:rFonts w:ascii="Times New Roman" w:eastAsia="Times New Roman" w:hAnsi="Times New Roman"/>
          <w:sz w:val="28"/>
          <w:szCs w:val="28"/>
        </w:rPr>
        <w:t>, jo struktūras un pārvaldes optimizācija ir laikietilpīga un prasa papildu resursus</w:t>
      </w:r>
      <w:r w:rsidRPr="00B86E9B">
        <w:rPr>
          <w:rFonts w:ascii="Times New Roman" w:eastAsia="Times New Roman" w:hAnsi="Times New Roman"/>
          <w:sz w:val="28"/>
          <w:szCs w:val="28"/>
        </w:rPr>
        <w:t>.</w:t>
      </w:r>
    </w:p>
    <w:p w:rsidR="00D91D80" w:rsidRPr="00B86E9B" w:rsidRDefault="00D91D80" w:rsidP="00D91D80">
      <w:pPr>
        <w:ind w:firstLine="706"/>
        <w:jc w:val="both"/>
        <w:rPr>
          <w:sz w:val="28"/>
          <w:szCs w:val="28"/>
        </w:rPr>
      </w:pPr>
      <w:r w:rsidRPr="00B86E9B">
        <w:rPr>
          <w:sz w:val="28"/>
          <w:szCs w:val="28"/>
          <w:lang w:eastAsia="lv-LV"/>
        </w:rPr>
        <w:t>Ņemot vērā 2013.gada beigās papildus piešķirto valsts budžeta finansējumu veselības aprūpes pakalpojumu pieejamības uzlabošanai 4 633 448 LVL apmērā (Ministru kabineta 2013.gada 4.oktobra rīkojums Nr.459) un stacionāro ārstniecības iestāžu infrastruktūra</w:t>
      </w:r>
      <w:r w:rsidR="006A5A26" w:rsidRPr="00B86E9B">
        <w:rPr>
          <w:sz w:val="28"/>
          <w:szCs w:val="28"/>
          <w:lang w:eastAsia="lv-LV"/>
        </w:rPr>
        <w:t xml:space="preserve">s uzturēšanas izdevumu </w:t>
      </w:r>
      <w:r w:rsidRPr="00B86E9B">
        <w:rPr>
          <w:sz w:val="28"/>
          <w:szCs w:val="28"/>
          <w:lang w:eastAsia="lv-LV"/>
        </w:rPr>
        <w:t xml:space="preserve">segšanai 5 332 132 LVL apmērā (Ministru kabineta 2013.gada 20.decembra rīkojums Nr.674) plānojams, ka 2013.gadā RAKUS </w:t>
      </w:r>
      <w:r w:rsidR="00413368" w:rsidRPr="00B86E9B">
        <w:rPr>
          <w:sz w:val="28"/>
          <w:szCs w:val="28"/>
          <w:lang w:eastAsia="lv-LV"/>
        </w:rPr>
        <w:t>darbības rentabilitāte uzlabosies</w:t>
      </w:r>
      <w:r w:rsidR="000370EE" w:rsidRPr="00B86E9B">
        <w:rPr>
          <w:sz w:val="28"/>
          <w:szCs w:val="28"/>
          <w:lang w:eastAsia="lv-LV"/>
        </w:rPr>
        <w:t>.</w:t>
      </w:r>
    </w:p>
    <w:p w:rsidR="0080585F" w:rsidRPr="00B86E9B" w:rsidRDefault="0080585F" w:rsidP="0080585F">
      <w:pPr>
        <w:ind w:firstLine="706"/>
        <w:jc w:val="both"/>
        <w:rPr>
          <w:sz w:val="28"/>
          <w:szCs w:val="28"/>
        </w:rPr>
      </w:pPr>
      <w:r w:rsidRPr="00B86E9B">
        <w:rPr>
          <w:sz w:val="28"/>
          <w:szCs w:val="28"/>
        </w:rPr>
        <w:t>Saistībā ar to, ka krīzes laikā samazinātais valsts finansējums veselības aprūpes pakalpojumu apmaksai radīja RAKUS finanšu deficītu, finanšu situācija līdz 2012.gada vidum bija vērtējama kā smaga, kā rezultātā, RAKUS bija grūtības norēķināties ar preču piegādātājiem un pakalpojumu sniedzējiem, tādējādi palielinoties kopējo saistību apjomam.</w:t>
      </w:r>
    </w:p>
    <w:p w:rsidR="0080585F" w:rsidRPr="00B86E9B" w:rsidRDefault="0080585F" w:rsidP="0062138D">
      <w:pPr>
        <w:jc w:val="both"/>
        <w:rPr>
          <w:sz w:val="28"/>
          <w:szCs w:val="28"/>
        </w:rPr>
      </w:pPr>
    </w:p>
    <w:p w:rsidR="0080585F" w:rsidRPr="00B86E9B" w:rsidRDefault="0080585F" w:rsidP="0080585F">
      <w:pPr>
        <w:ind w:firstLine="562"/>
        <w:jc w:val="right"/>
        <w:rPr>
          <w:i/>
          <w:sz w:val="28"/>
          <w:szCs w:val="28"/>
        </w:rPr>
      </w:pPr>
      <w:r w:rsidRPr="00B86E9B">
        <w:rPr>
          <w:i/>
          <w:sz w:val="28"/>
          <w:szCs w:val="28"/>
        </w:rPr>
        <w:t>Tabula Nr.15: RAKUS īstermiņa kreditoru saistību struktūra [LVL]</w:t>
      </w:r>
    </w:p>
    <w:tbl>
      <w:tblPr>
        <w:tblW w:w="7603"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1278"/>
        <w:gridCol w:w="1278"/>
        <w:gridCol w:w="1278"/>
        <w:gridCol w:w="1409"/>
      </w:tblGrid>
      <w:tr w:rsidR="0080585F" w:rsidRPr="00B86E9B" w:rsidTr="00F519F5">
        <w:trPr>
          <w:trHeight w:val="645"/>
          <w:jc w:val="center"/>
        </w:trPr>
        <w:tc>
          <w:tcPr>
            <w:tcW w:w="2360" w:type="dxa"/>
            <w:shd w:val="clear" w:color="auto" w:fill="D9D9D9" w:themeFill="background1" w:themeFillShade="D9"/>
            <w:vAlign w:val="center"/>
            <w:hideMark/>
          </w:tcPr>
          <w:p w:rsidR="0080585F" w:rsidRPr="00B86E9B" w:rsidRDefault="0080585F" w:rsidP="00F519F5">
            <w:pPr>
              <w:jc w:val="center"/>
              <w:rPr>
                <w:bCs/>
                <w:color w:val="000000"/>
                <w:sz w:val="26"/>
                <w:szCs w:val="26"/>
              </w:rPr>
            </w:pPr>
          </w:p>
        </w:tc>
        <w:tc>
          <w:tcPr>
            <w:tcW w:w="1278" w:type="dxa"/>
            <w:shd w:val="clear" w:color="auto" w:fill="D9D9D9" w:themeFill="background1" w:themeFillShade="D9"/>
            <w:vAlign w:val="center"/>
          </w:tcPr>
          <w:p w:rsidR="0080585F" w:rsidRPr="00B86E9B" w:rsidRDefault="0080585F" w:rsidP="00F519F5">
            <w:pPr>
              <w:jc w:val="center"/>
              <w:rPr>
                <w:bCs/>
                <w:color w:val="000000"/>
                <w:sz w:val="26"/>
                <w:szCs w:val="26"/>
              </w:rPr>
            </w:pPr>
            <w:r w:rsidRPr="00B86E9B">
              <w:rPr>
                <w:bCs/>
                <w:color w:val="000000"/>
                <w:sz w:val="26"/>
                <w:szCs w:val="26"/>
              </w:rPr>
              <w:t>2009.gads</w:t>
            </w:r>
          </w:p>
        </w:tc>
        <w:tc>
          <w:tcPr>
            <w:tcW w:w="1278" w:type="dxa"/>
            <w:shd w:val="clear" w:color="auto" w:fill="D9D9D9" w:themeFill="background1" w:themeFillShade="D9"/>
            <w:vAlign w:val="center"/>
          </w:tcPr>
          <w:p w:rsidR="0080585F" w:rsidRPr="00B86E9B" w:rsidRDefault="0080585F" w:rsidP="00F519F5">
            <w:pPr>
              <w:jc w:val="center"/>
              <w:rPr>
                <w:bCs/>
                <w:color w:val="000000"/>
                <w:sz w:val="26"/>
                <w:szCs w:val="26"/>
              </w:rPr>
            </w:pPr>
            <w:r w:rsidRPr="00B86E9B">
              <w:rPr>
                <w:bCs/>
                <w:color w:val="000000"/>
                <w:sz w:val="26"/>
                <w:szCs w:val="26"/>
              </w:rPr>
              <w:t>2010.gads</w:t>
            </w:r>
          </w:p>
        </w:tc>
        <w:tc>
          <w:tcPr>
            <w:tcW w:w="1278" w:type="dxa"/>
            <w:shd w:val="clear" w:color="auto" w:fill="D9D9D9" w:themeFill="background1" w:themeFillShade="D9"/>
            <w:vAlign w:val="center"/>
          </w:tcPr>
          <w:p w:rsidR="0080585F" w:rsidRPr="00B86E9B" w:rsidRDefault="0080585F" w:rsidP="00F519F5">
            <w:pPr>
              <w:jc w:val="center"/>
              <w:rPr>
                <w:bCs/>
                <w:color w:val="000000"/>
                <w:sz w:val="26"/>
                <w:szCs w:val="26"/>
              </w:rPr>
            </w:pPr>
            <w:r w:rsidRPr="00B86E9B">
              <w:rPr>
                <w:bCs/>
                <w:color w:val="000000"/>
                <w:sz w:val="26"/>
                <w:szCs w:val="26"/>
              </w:rPr>
              <w:t>2011.gads</w:t>
            </w:r>
          </w:p>
        </w:tc>
        <w:tc>
          <w:tcPr>
            <w:tcW w:w="1409" w:type="dxa"/>
            <w:shd w:val="clear" w:color="auto" w:fill="D9D9D9" w:themeFill="background1" w:themeFillShade="D9"/>
            <w:vAlign w:val="center"/>
            <w:hideMark/>
          </w:tcPr>
          <w:p w:rsidR="0080585F" w:rsidRPr="00B86E9B" w:rsidRDefault="0080585F" w:rsidP="00F519F5">
            <w:pPr>
              <w:jc w:val="center"/>
              <w:rPr>
                <w:bCs/>
                <w:color w:val="000000"/>
                <w:sz w:val="26"/>
                <w:szCs w:val="26"/>
              </w:rPr>
            </w:pPr>
            <w:r w:rsidRPr="00B86E9B">
              <w:rPr>
                <w:bCs/>
                <w:color w:val="000000"/>
                <w:sz w:val="26"/>
                <w:szCs w:val="26"/>
              </w:rPr>
              <w:t>2012.gads</w:t>
            </w:r>
          </w:p>
        </w:tc>
      </w:tr>
      <w:tr w:rsidR="0080585F" w:rsidRPr="00B86E9B" w:rsidTr="00F519F5">
        <w:trPr>
          <w:trHeight w:val="645"/>
          <w:jc w:val="center"/>
        </w:trPr>
        <w:tc>
          <w:tcPr>
            <w:tcW w:w="2360" w:type="dxa"/>
            <w:shd w:val="clear" w:color="auto" w:fill="auto"/>
            <w:vAlign w:val="center"/>
            <w:hideMark/>
          </w:tcPr>
          <w:p w:rsidR="0080585F" w:rsidRPr="00B86E9B" w:rsidRDefault="0080585F" w:rsidP="00F519F5">
            <w:pPr>
              <w:rPr>
                <w:color w:val="000000"/>
                <w:sz w:val="26"/>
                <w:szCs w:val="26"/>
              </w:rPr>
            </w:pPr>
            <w:r w:rsidRPr="00B86E9B">
              <w:rPr>
                <w:color w:val="000000"/>
                <w:sz w:val="26"/>
                <w:szCs w:val="26"/>
              </w:rPr>
              <w:t>Īstermiņa kreditori</w:t>
            </w:r>
            <w:r w:rsidRPr="00B86E9B" w:rsidDel="00507F08">
              <w:rPr>
                <w:color w:val="000000"/>
                <w:sz w:val="26"/>
                <w:szCs w:val="26"/>
              </w:rPr>
              <w:t xml:space="preserve"> </w:t>
            </w:r>
            <w:r w:rsidRPr="00B86E9B">
              <w:rPr>
                <w:color w:val="000000"/>
                <w:sz w:val="26"/>
                <w:szCs w:val="26"/>
              </w:rPr>
              <w:t>kopā</w:t>
            </w:r>
          </w:p>
        </w:tc>
        <w:tc>
          <w:tcPr>
            <w:tcW w:w="1278" w:type="dxa"/>
            <w:vAlign w:val="center"/>
          </w:tcPr>
          <w:p w:rsidR="0080585F" w:rsidRPr="00B86E9B" w:rsidRDefault="0080585F" w:rsidP="00F519F5">
            <w:pPr>
              <w:jc w:val="center"/>
              <w:rPr>
                <w:bCs/>
                <w:color w:val="000000"/>
                <w:sz w:val="26"/>
                <w:szCs w:val="26"/>
              </w:rPr>
            </w:pPr>
            <w:r w:rsidRPr="00B86E9B">
              <w:rPr>
                <w:bCs/>
                <w:color w:val="000000"/>
                <w:sz w:val="26"/>
                <w:szCs w:val="26"/>
              </w:rPr>
              <w:t>6 002 502</w:t>
            </w:r>
          </w:p>
        </w:tc>
        <w:tc>
          <w:tcPr>
            <w:tcW w:w="1278" w:type="dxa"/>
            <w:vAlign w:val="center"/>
          </w:tcPr>
          <w:p w:rsidR="0080585F" w:rsidRPr="00B86E9B" w:rsidRDefault="0080585F" w:rsidP="00F519F5">
            <w:pPr>
              <w:jc w:val="center"/>
              <w:rPr>
                <w:bCs/>
                <w:color w:val="000000"/>
                <w:sz w:val="26"/>
                <w:szCs w:val="26"/>
              </w:rPr>
            </w:pPr>
            <w:r w:rsidRPr="00B86E9B">
              <w:rPr>
                <w:bCs/>
                <w:color w:val="000000"/>
                <w:sz w:val="26"/>
                <w:szCs w:val="26"/>
              </w:rPr>
              <w:t>5 776 966</w:t>
            </w:r>
          </w:p>
        </w:tc>
        <w:tc>
          <w:tcPr>
            <w:tcW w:w="1278" w:type="dxa"/>
            <w:vAlign w:val="center"/>
          </w:tcPr>
          <w:p w:rsidR="0080585F" w:rsidRPr="00B86E9B" w:rsidRDefault="0080585F" w:rsidP="00F519F5">
            <w:pPr>
              <w:jc w:val="center"/>
              <w:rPr>
                <w:bCs/>
                <w:color w:val="000000"/>
                <w:sz w:val="26"/>
                <w:szCs w:val="26"/>
              </w:rPr>
            </w:pPr>
            <w:r w:rsidRPr="00B86E9B">
              <w:rPr>
                <w:bCs/>
                <w:color w:val="000000"/>
                <w:sz w:val="26"/>
                <w:szCs w:val="26"/>
              </w:rPr>
              <w:t>7 386 982</w:t>
            </w:r>
          </w:p>
        </w:tc>
        <w:tc>
          <w:tcPr>
            <w:tcW w:w="1409" w:type="dxa"/>
            <w:shd w:val="clear" w:color="auto" w:fill="auto"/>
            <w:vAlign w:val="center"/>
            <w:hideMark/>
          </w:tcPr>
          <w:p w:rsidR="0080585F" w:rsidRPr="00B86E9B" w:rsidRDefault="0080585F" w:rsidP="00F519F5">
            <w:pPr>
              <w:jc w:val="center"/>
              <w:rPr>
                <w:bCs/>
                <w:color w:val="000000"/>
                <w:sz w:val="26"/>
                <w:szCs w:val="26"/>
              </w:rPr>
            </w:pPr>
            <w:r w:rsidRPr="00B86E9B">
              <w:rPr>
                <w:bCs/>
                <w:color w:val="000000"/>
                <w:sz w:val="26"/>
                <w:szCs w:val="26"/>
              </w:rPr>
              <w:t>10 041 836</w:t>
            </w:r>
          </w:p>
        </w:tc>
      </w:tr>
      <w:tr w:rsidR="0080585F" w:rsidRPr="00B86E9B" w:rsidTr="00F519F5">
        <w:trPr>
          <w:trHeight w:val="645"/>
          <w:jc w:val="center"/>
        </w:trPr>
        <w:tc>
          <w:tcPr>
            <w:tcW w:w="2360" w:type="dxa"/>
            <w:shd w:val="clear" w:color="auto" w:fill="auto"/>
            <w:vAlign w:val="center"/>
            <w:hideMark/>
          </w:tcPr>
          <w:p w:rsidR="0080585F" w:rsidRPr="00B86E9B" w:rsidRDefault="0080585F" w:rsidP="00F519F5">
            <w:pPr>
              <w:rPr>
                <w:color w:val="000000"/>
                <w:sz w:val="26"/>
                <w:szCs w:val="26"/>
              </w:rPr>
            </w:pPr>
            <w:r w:rsidRPr="00B86E9B">
              <w:rPr>
                <w:color w:val="000000"/>
                <w:sz w:val="26"/>
                <w:szCs w:val="26"/>
              </w:rPr>
              <w:t>Parādi piegādātājiem un darbuzņēmējiem</w:t>
            </w:r>
            <w:r w:rsidRPr="00B86E9B" w:rsidDel="00507F08">
              <w:rPr>
                <w:color w:val="000000"/>
                <w:sz w:val="26"/>
                <w:szCs w:val="26"/>
              </w:rPr>
              <w:t xml:space="preserve"> </w:t>
            </w:r>
            <w:r w:rsidRPr="00B86E9B">
              <w:rPr>
                <w:color w:val="000000"/>
                <w:sz w:val="26"/>
                <w:szCs w:val="26"/>
              </w:rPr>
              <w:t>kopā</w:t>
            </w:r>
          </w:p>
        </w:tc>
        <w:tc>
          <w:tcPr>
            <w:tcW w:w="1278" w:type="dxa"/>
            <w:vAlign w:val="center"/>
          </w:tcPr>
          <w:p w:rsidR="0080585F" w:rsidRPr="00B86E9B" w:rsidRDefault="0080585F" w:rsidP="00F519F5">
            <w:pPr>
              <w:jc w:val="center"/>
              <w:rPr>
                <w:color w:val="000000"/>
                <w:sz w:val="26"/>
                <w:szCs w:val="26"/>
              </w:rPr>
            </w:pPr>
            <w:r w:rsidRPr="00B86E9B">
              <w:rPr>
                <w:color w:val="000000"/>
                <w:sz w:val="26"/>
                <w:szCs w:val="26"/>
              </w:rPr>
              <w:t>2 589 707</w:t>
            </w:r>
          </w:p>
        </w:tc>
        <w:tc>
          <w:tcPr>
            <w:tcW w:w="1278" w:type="dxa"/>
            <w:vAlign w:val="center"/>
          </w:tcPr>
          <w:p w:rsidR="0080585F" w:rsidRPr="00B86E9B" w:rsidRDefault="0080585F" w:rsidP="00F519F5">
            <w:pPr>
              <w:jc w:val="center"/>
              <w:rPr>
                <w:color w:val="000000"/>
                <w:sz w:val="26"/>
                <w:szCs w:val="26"/>
              </w:rPr>
            </w:pPr>
            <w:r w:rsidRPr="00B86E9B">
              <w:rPr>
                <w:color w:val="000000"/>
                <w:sz w:val="26"/>
                <w:szCs w:val="26"/>
              </w:rPr>
              <w:t>2 667 888</w:t>
            </w:r>
          </w:p>
        </w:tc>
        <w:tc>
          <w:tcPr>
            <w:tcW w:w="1278" w:type="dxa"/>
            <w:vAlign w:val="center"/>
          </w:tcPr>
          <w:p w:rsidR="0080585F" w:rsidRPr="00B86E9B" w:rsidRDefault="0080585F" w:rsidP="00F519F5">
            <w:pPr>
              <w:jc w:val="center"/>
              <w:rPr>
                <w:color w:val="000000"/>
                <w:sz w:val="26"/>
                <w:szCs w:val="26"/>
              </w:rPr>
            </w:pPr>
            <w:r w:rsidRPr="00B86E9B">
              <w:rPr>
                <w:color w:val="000000"/>
                <w:sz w:val="26"/>
                <w:szCs w:val="26"/>
              </w:rPr>
              <w:t>3 689 080</w:t>
            </w:r>
          </w:p>
        </w:tc>
        <w:tc>
          <w:tcPr>
            <w:tcW w:w="1409" w:type="dxa"/>
            <w:shd w:val="clear" w:color="auto" w:fill="auto"/>
            <w:vAlign w:val="center"/>
            <w:hideMark/>
          </w:tcPr>
          <w:p w:rsidR="0080585F" w:rsidRPr="00B86E9B" w:rsidRDefault="0080585F" w:rsidP="00F519F5">
            <w:pPr>
              <w:jc w:val="center"/>
              <w:rPr>
                <w:color w:val="000000"/>
                <w:sz w:val="26"/>
                <w:szCs w:val="26"/>
              </w:rPr>
            </w:pPr>
            <w:r w:rsidRPr="00B86E9B">
              <w:rPr>
                <w:color w:val="000000"/>
                <w:sz w:val="26"/>
                <w:szCs w:val="26"/>
              </w:rPr>
              <w:t>5 225 138</w:t>
            </w:r>
          </w:p>
        </w:tc>
      </w:tr>
    </w:tbl>
    <w:p w:rsidR="0080585F" w:rsidRPr="00B86E9B" w:rsidRDefault="0080585F" w:rsidP="0080585F">
      <w:pPr>
        <w:jc w:val="both"/>
        <w:rPr>
          <w:sz w:val="28"/>
          <w:szCs w:val="28"/>
        </w:rPr>
      </w:pPr>
    </w:p>
    <w:p w:rsidR="00D91D80" w:rsidRPr="00B86E9B" w:rsidRDefault="0080585F" w:rsidP="0080585F">
      <w:pPr>
        <w:ind w:firstLine="706"/>
        <w:jc w:val="both"/>
        <w:rPr>
          <w:sz w:val="28"/>
          <w:szCs w:val="28"/>
        </w:rPr>
      </w:pPr>
      <w:r w:rsidRPr="00B86E9B">
        <w:rPr>
          <w:sz w:val="28"/>
          <w:szCs w:val="28"/>
        </w:rPr>
        <w:t xml:space="preserve">Lai nodrošinātu nepārtrauktu veselības aprūpes pakalpojumu sniegšanu pacientiem, 2012.gadā ar likumu „Grozījumi likumā „Par valsts budžetu 2012.gadam”” RAKUS tika piešķirts papildus finansējums pamatkapitāla palielināšanai 2 558 104 latu apmērā.  RAKUS piešķirtais papildus finansējums, atbilstoši 2012.gada 28.augusta Ministru kabineta sēdes protokola Nr.49 58.§ (TA-1999-IP) noteiktajam, tika novirzīts izdevumu segšanai, kas veidojušies saistībā ar valsts apmaksāto veselības aprūpes pakalpojumu sniegšanu, lai nodrošinātu nepārtrauktu veselības aprūpes pakalpojumu sniegšanu pacientiem. </w:t>
      </w:r>
      <w:r w:rsidRPr="00B86E9B">
        <w:rPr>
          <w:sz w:val="28"/>
          <w:szCs w:val="28"/>
        </w:rPr>
        <w:lastRenderedPageBreak/>
        <w:t>Veicot iepriekš minēto ieguldījumu 2 558 104 latu apmērā RAKUS pamatkapitālā, tika nedaudz stabilizēta RAKUS finanšu situācija, un tas deva iespēju savlaicīgi norēķināties ar medikamentu un medicīnas preču piegādātājiem.</w:t>
      </w:r>
    </w:p>
    <w:p w:rsidR="00A628F3" w:rsidRPr="00B86E9B" w:rsidRDefault="00A628F3" w:rsidP="00A628F3">
      <w:pPr>
        <w:ind w:firstLine="706"/>
        <w:jc w:val="both"/>
        <w:rPr>
          <w:sz w:val="28"/>
          <w:szCs w:val="28"/>
        </w:rPr>
      </w:pPr>
      <w:r w:rsidRPr="00B86E9B">
        <w:rPr>
          <w:sz w:val="28"/>
          <w:szCs w:val="28"/>
        </w:rPr>
        <w:t xml:space="preserve">RAKUS 2012.gadā un 2013.gadā ir veikusi virkni pasākumu tās attīstībai, darba efektivitātes palielināšanai, kā arī zaudējuma apmērā samazināšanai: </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Krājumu kontroles uzraudzības ieviešana (ieviests no 2013.gada 1.novembra, iespējamais vienreizēj</w:t>
      </w:r>
      <w:r w:rsidR="00917C69" w:rsidRPr="00B86E9B">
        <w:rPr>
          <w:rFonts w:ascii="Times New Roman" w:hAnsi="Times New Roman"/>
          <w:sz w:val="28"/>
          <w:szCs w:val="28"/>
        </w:rPr>
        <w:t>ai</w:t>
      </w:r>
      <w:r w:rsidRPr="00B86E9B">
        <w:rPr>
          <w:rFonts w:ascii="Times New Roman" w:hAnsi="Times New Roman"/>
          <w:sz w:val="28"/>
          <w:szCs w:val="28"/>
        </w:rPr>
        <w:t>s efekts līdz 1 miljonam</w:t>
      </w:r>
      <w:r w:rsidR="00663EC4" w:rsidRPr="00B86E9B">
        <w:rPr>
          <w:rFonts w:ascii="Times New Roman" w:hAnsi="Times New Roman"/>
          <w:sz w:val="28"/>
          <w:szCs w:val="28"/>
        </w:rPr>
        <w:t xml:space="preserve"> latu</w:t>
      </w:r>
      <w:r w:rsidRPr="00B86E9B">
        <w:rPr>
          <w:rFonts w:ascii="Times New Roman" w:hAnsi="Times New Roman"/>
          <w:sz w:val="28"/>
          <w:szCs w:val="28"/>
        </w:rPr>
        <w:t xml:space="preserve"> naudas plūsmā gada laikā, pirmā mēneša laikā krājumu apjoms samaz</w:t>
      </w:r>
      <w:r w:rsidR="006A5A26" w:rsidRPr="00B86E9B">
        <w:rPr>
          <w:rFonts w:ascii="Times New Roman" w:hAnsi="Times New Roman"/>
          <w:sz w:val="28"/>
          <w:szCs w:val="28"/>
        </w:rPr>
        <w:t>inājies no 3 </w:t>
      </w:r>
      <w:r w:rsidRPr="00B86E9B">
        <w:rPr>
          <w:rFonts w:ascii="Times New Roman" w:hAnsi="Times New Roman"/>
          <w:sz w:val="28"/>
          <w:szCs w:val="28"/>
        </w:rPr>
        <w:t>586 416 LVL līdz 3 257 985 LVL, t.i., par 328 431 LVL jeb 9,2%).</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Medikamentu un medicīnas preču samazinājums no 12,5 LVL uz gultas dienu 2012.gadā līdz 11,6 LVL uz gultas dienu 2013.gadā (jeb par 7%). Gadā ekonomijas prognoze pret 2012.gadu ir 944 000 LVL.</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Galveno ārstu piesaiste. Lai iesaistītu vidējo ārstniecības vadības personālu (galvenos ārstus un direktorus) tiek organizētas ikmēneša sapulces, lai analizētu un salīdzinātu produktivitātes rādītājus, konstatētu atkāpes un veiktu pasākumus rādītāju uzlabošanai. Rezultatīvo rādītāju sasniegumi:</w:t>
      </w:r>
    </w:p>
    <w:p w:rsidR="00A628F3" w:rsidRPr="00B86E9B" w:rsidRDefault="00A628F3" w:rsidP="00A628F3">
      <w:pPr>
        <w:pStyle w:val="Sarakstarindkopa"/>
        <w:numPr>
          <w:ilvl w:val="0"/>
          <w:numId w:val="16"/>
        </w:numPr>
        <w:spacing w:after="0" w:line="240" w:lineRule="auto"/>
        <w:jc w:val="both"/>
        <w:rPr>
          <w:rFonts w:ascii="Times New Roman" w:hAnsi="Times New Roman"/>
          <w:sz w:val="28"/>
          <w:szCs w:val="28"/>
        </w:rPr>
      </w:pPr>
      <w:r w:rsidRPr="00B86E9B">
        <w:rPr>
          <w:rFonts w:ascii="Times New Roman" w:hAnsi="Times New Roman"/>
          <w:sz w:val="28"/>
          <w:szCs w:val="28"/>
        </w:rPr>
        <w:t>Hospitalizācijas % samazinājums no 65% uz 57% (ja skaita tikai neatliekamās palīdzības slimnīcu uzņemšanas struktūrvienības, uzņemto pacientu skaits ir 48%);</w:t>
      </w:r>
    </w:p>
    <w:p w:rsidR="00A628F3" w:rsidRPr="00B86E9B" w:rsidRDefault="00A628F3" w:rsidP="00A628F3">
      <w:pPr>
        <w:pStyle w:val="Sarakstarindkopa"/>
        <w:numPr>
          <w:ilvl w:val="0"/>
          <w:numId w:val="16"/>
        </w:numPr>
        <w:spacing w:after="0" w:line="240" w:lineRule="auto"/>
        <w:jc w:val="both"/>
        <w:rPr>
          <w:rFonts w:ascii="Times New Roman" w:hAnsi="Times New Roman"/>
          <w:sz w:val="28"/>
          <w:szCs w:val="28"/>
        </w:rPr>
      </w:pPr>
      <w:r w:rsidRPr="00B86E9B">
        <w:rPr>
          <w:rFonts w:ascii="Times New Roman" w:hAnsi="Times New Roman"/>
          <w:sz w:val="28"/>
          <w:szCs w:val="28"/>
        </w:rPr>
        <w:t>Ārstēšanās ilguma samazinājums no 8,7 dienām uz 8,5 dienām 2013.gadā;</w:t>
      </w:r>
    </w:p>
    <w:p w:rsidR="00A628F3" w:rsidRPr="00B86E9B" w:rsidRDefault="00A628F3" w:rsidP="00A628F3">
      <w:pPr>
        <w:pStyle w:val="Sarakstarindkopa"/>
        <w:numPr>
          <w:ilvl w:val="0"/>
          <w:numId w:val="16"/>
        </w:numPr>
        <w:spacing w:after="0" w:line="240" w:lineRule="auto"/>
        <w:jc w:val="both"/>
        <w:rPr>
          <w:rFonts w:ascii="Times New Roman" w:hAnsi="Times New Roman"/>
          <w:sz w:val="28"/>
          <w:szCs w:val="28"/>
        </w:rPr>
      </w:pPr>
      <w:r w:rsidRPr="00B86E9B">
        <w:rPr>
          <w:rFonts w:ascii="Times New Roman" w:hAnsi="Times New Roman"/>
          <w:sz w:val="28"/>
          <w:szCs w:val="28"/>
        </w:rPr>
        <w:t>Uzņemšanas nodaļu reorganizācija un apvienošana (stacionārā „Gaiļezers” samazinājies hospitalizācijas %, ārstēšanās ilgums);</w:t>
      </w:r>
    </w:p>
    <w:p w:rsidR="00A628F3" w:rsidRPr="00B86E9B" w:rsidRDefault="00A628F3" w:rsidP="00A628F3">
      <w:pPr>
        <w:pStyle w:val="Sarakstarindkopa"/>
        <w:numPr>
          <w:ilvl w:val="0"/>
          <w:numId w:val="16"/>
        </w:numPr>
        <w:spacing w:after="0" w:line="240" w:lineRule="auto"/>
        <w:jc w:val="both"/>
        <w:rPr>
          <w:rFonts w:ascii="Times New Roman" w:hAnsi="Times New Roman"/>
          <w:sz w:val="28"/>
          <w:szCs w:val="28"/>
        </w:rPr>
      </w:pPr>
      <w:r w:rsidRPr="00B86E9B">
        <w:rPr>
          <w:rFonts w:ascii="Times New Roman" w:hAnsi="Times New Roman"/>
          <w:sz w:val="28"/>
          <w:szCs w:val="28"/>
        </w:rPr>
        <w:t>Pacientu uzņemšanas nodrošināšana svētdienās Latvijas Onkoloģijas centrā (uzlabos darba efektivitāti, jo operācijas varēs veikt arī pirmdienu rītos);</w:t>
      </w:r>
    </w:p>
    <w:p w:rsidR="00A628F3" w:rsidRPr="00B86E9B" w:rsidRDefault="00A628F3" w:rsidP="00A628F3">
      <w:pPr>
        <w:pStyle w:val="Sarakstarindkopa"/>
        <w:numPr>
          <w:ilvl w:val="0"/>
          <w:numId w:val="16"/>
        </w:numPr>
        <w:spacing w:after="0" w:line="240" w:lineRule="auto"/>
        <w:jc w:val="both"/>
        <w:rPr>
          <w:rFonts w:ascii="Times New Roman" w:hAnsi="Times New Roman"/>
          <w:sz w:val="28"/>
          <w:szCs w:val="28"/>
        </w:rPr>
      </w:pPr>
      <w:r w:rsidRPr="00B86E9B">
        <w:rPr>
          <w:rFonts w:ascii="Times New Roman" w:hAnsi="Times New Roman"/>
          <w:sz w:val="28"/>
          <w:szCs w:val="28"/>
        </w:rPr>
        <w:t>Gultu ska</w:t>
      </w:r>
      <w:r w:rsidR="00B03616" w:rsidRPr="00B86E9B">
        <w:rPr>
          <w:rFonts w:ascii="Times New Roman" w:hAnsi="Times New Roman"/>
          <w:sz w:val="28"/>
          <w:szCs w:val="28"/>
        </w:rPr>
        <w:t>ita samazināšana par 235 gultām.</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Darbinieku samazinājums. Kopš 2010.gada Sabiedrības slodžu skaits samazināts par 124 slodzēm (eko</w:t>
      </w:r>
      <w:r w:rsidR="0009027B" w:rsidRPr="00B86E9B">
        <w:rPr>
          <w:rFonts w:ascii="Times New Roman" w:hAnsi="Times New Roman"/>
          <w:sz w:val="28"/>
          <w:szCs w:val="28"/>
        </w:rPr>
        <w:t>nomiskais efekts 842 tūkstoši latu</w:t>
      </w:r>
      <w:r w:rsidRPr="00B86E9B">
        <w:rPr>
          <w:rFonts w:ascii="Times New Roman" w:hAnsi="Times New Roman"/>
          <w:sz w:val="28"/>
          <w:szCs w:val="28"/>
        </w:rPr>
        <w:t xml:space="preserve"> gadā).</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Normu izstrāde un uzraudzība. Sabiedrība, lai samazinātu iestādes uzturēšanas izdevumus, izstrādāja saimniecības un kancelejas preču izlietojuma normas pa struktūrvienībām, kuras apstiprinot un noliktavām kontrolējot, ir izdevies panākt būtisku izdevumu samazinājumu aptuveni 35% apmērā (239 000 LVL gadā), salīdzinot pirms normas un pēc normas periodus.</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Ārpakalpojumu piesaiste. Nododot stacionāru „Latvijas infektoloģijas centrs” un „Tuberkulozes un plaušu slimību centrs” veļas mazgāšanas un ēdināšanas pakalpojumu ārpakalpojumā, pamatojoties uz faktiskiem rezultātiem ir aprēķināts potenciālais ieguvums 133 800 LVL gadā.</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Rēzeknes ambulatorās daļas slēgšana (2013.gada 1.jūlijā, ekonomiskais efekts 10 000 LVL gadā).</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lastRenderedPageBreak/>
        <w:t>Nīcgales ielas ambulatorās daļas slēgšanas organizēšana (paredzētā pārvietošana 2014.gada 1.aprīlis, ekonomiskais efekts 64 000 LVL gadā).</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TPSC filiāles „Ceplīši” slēgšanas organizēšana (izstrādāts slēgšanas plāns 12 mēnešu periodam, ekonomiskais efekts</w:t>
      </w:r>
      <w:r w:rsidR="002E2D62" w:rsidRPr="00B86E9B">
        <w:rPr>
          <w:rFonts w:ascii="Times New Roman" w:hAnsi="Times New Roman"/>
          <w:sz w:val="28"/>
          <w:szCs w:val="28"/>
        </w:rPr>
        <w:t xml:space="preserve"> –</w:t>
      </w:r>
      <w:r w:rsidRPr="00B86E9B">
        <w:rPr>
          <w:rFonts w:ascii="Times New Roman" w:hAnsi="Times New Roman"/>
          <w:sz w:val="28"/>
          <w:szCs w:val="28"/>
        </w:rPr>
        <w:t xml:space="preserve"> </w:t>
      </w:r>
      <w:r w:rsidR="007372EE" w:rsidRPr="00B86E9B">
        <w:rPr>
          <w:rFonts w:ascii="Times New Roman" w:hAnsi="Times New Roman"/>
          <w:sz w:val="28"/>
          <w:szCs w:val="28"/>
        </w:rPr>
        <w:t>pēc filiāles slēgšanas izmaksu samazinājums paredzams 250 000 LVL gadā, papildu resursi nepieciešami, lai nodrošinātu filiāles slēgšanu)</w:t>
      </w:r>
      <w:r w:rsidRPr="00B86E9B">
        <w:rPr>
          <w:rFonts w:ascii="Times New Roman" w:hAnsi="Times New Roman"/>
          <w:sz w:val="28"/>
          <w:szCs w:val="28"/>
        </w:rPr>
        <w:t>.</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Laboratorijas reorganizācija (notikusi laboratoriju apvienošana un notiek darbs pie kopējas laboratoriju reorganizācijas, termiņš 18-24 mēneši, laboratorijas izdevumu apjoms gadā 5,2 miljoni LVL, gaidāmā ekonomija līdz 35%). </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Perspektīvā telpu uzkopšanas nodošana ārpakalpojumā (konkursa dokumentācija izstrādes stadijā, prognozētais ekonomiskais efekts 125 000 LVL gadā).</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Administrācijas apvienošana pēc reorganizācijas ar </w:t>
      </w:r>
      <w:r w:rsidR="004F71BD" w:rsidRPr="00B86E9B">
        <w:rPr>
          <w:rFonts w:ascii="Times New Roman" w:hAnsi="Times New Roman"/>
          <w:sz w:val="28"/>
          <w:szCs w:val="28"/>
        </w:rPr>
        <w:t>LIC</w:t>
      </w:r>
      <w:r w:rsidR="00E262AB" w:rsidRPr="00B86E9B">
        <w:rPr>
          <w:rFonts w:ascii="Times New Roman" w:hAnsi="Times New Roman"/>
          <w:sz w:val="28"/>
          <w:szCs w:val="28"/>
        </w:rPr>
        <w:t>, administrācijas izmaksas</w:t>
      </w:r>
      <w:r w:rsidRPr="00B86E9B">
        <w:rPr>
          <w:rFonts w:ascii="Times New Roman" w:hAnsi="Times New Roman"/>
          <w:sz w:val="28"/>
          <w:szCs w:val="28"/>
        </w:rPr>
        <w:t xml:space="preserve"> ir samazinājušās un saglabājas 2,2% apmērā (līdz apvienošanai 2,4%), gada ekonomija 112 000 LVL.</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Stac</w:t>
      </w:r>
      <w:r w:rsidR="00D1704B" w:rsidRPr="00B86E9B">
        <w:rPr>
          <w:rFonts w:ascii="Times New Roman" w:hAnsi="Times New Roman"/>
          <w:sz w:val="28"/>
          <w:szCs w:val="28"/>
        </w:rPr>
        <w:t>ionāro m</w:t>
      </w:r>
      <w:r w:rsidRPr="00B86E9B">
        <w:rPr>
          <w:rFonts w:ascii="Times New Roman" w:hAnsi="Times New Roman"/>
          <w:sz w:val="28"/>
          <w:szCs w:val="28"/>
        </w:rPr>
        <w:t>aksas pakalpojumu pieaugums 2013.gadā pret 2012.gadu ir 1.3% (notiek darbs pie medicīnas eksporta veicināšanas).</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Pāreja uz elektronisko dokumentu apriti. </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Ēdināšanas daļas slēgšana (ar 2013.gada 1.decembri, ekonomiskais efekts 30 000 LVL gadā, atlaisti 29 darbinieki).</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Ķirurģisko dārgo tehnoloģiju samazināj</w:t>
      </w:r>
      <w:r w:rsidR="00C32C9F" w:rsidRPr="00B86E9B">
        <w:rPr>
          <w:rFonts w:ascii="Times New Roman" w:hAnsi="Times New Roman"/>
          <w:sz w:val="28"/>
          <w:szCs w:val="28"/>
        </w:rPr>
        <w:t>ums (ekonomiskais efekts 45 047 </w:t>
      </w:r>
      <w:r w:rsidRPr="00B86E9B">
        <w:rPr>
          <w:rFonts w:ascii="Times New Roman" w:hAnsi="Times New Roman"/>
          <w:sz w:val="28"/>
          <w:szCs w:val="28"/>
        </w:rPr>
        <w:t xml:space="preserve">LVL gadā, </w:t>
      </w:r>
      <w:proofErr w:type="spellStart"/>
      <w:r w:rsidRPr="00B86E9B">
        <w:rPr>
          <w:rFonts w:ascii="Times New Roman" w:hAnsi="Times New Roman"/>
          <w:sz w:val="28"/>
          <w:szCs w:val="28"/>
        </w:rPr>
        <w:t>Ligasure</w:t>
      </w:r>
      <w:proofErr w:type="spellEnd"/>
      <w:r w:rsidRPr="00B86E9B">
        <w:rPr>
          <w:rFonts w:ascii="Times New Roman" w:hAnsi="Times New Roman"/>
          <w:sz w:val="28"/>
          <w:szCs w:val="28"/>
        </w:rPr>
        <w:t xml:space="preserve"> audu pārdalīšanas sistēmu, </w:t>
      </w:r>
      <w:proofErr w:type="spellStart"/>
      <w:r w:rsidRPr="00B86E9B">
        <w:rPr>
          <w:rFonts w:ascii="Times New Roman" w:hAnsi="Times New Roman"/>
          <w:sz w:val="28"/>
          <w:szCs w:val="28"/>
        </w:rPr>
        <w:t>monopolārās</w:t>
      </w:r>
      <w:proofErr w:type="spellEnd"/>
      <w:r w:rsidRPr="00B86E9B">
        <w:rPr>
          <w:rFonts w:ascii="Times New Roman" w:hAnsi="Times New Roman"/>
          <w:sz w:val="28"/>
          <w:szCs w:val="28"/>
        </w:rPr>
        <w:t xml:space="preserve"> koagulācijas elektrodu un harmonisko skalpeļu pielietošanas ierobežošana par 27%).</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Jaunu, izmaksu samazinošu, ārstniecības protokolu ieviešana, laboratorijas regulu ieviešana un apstiprināšana.</w:t>
      </w:r>
    </w:p>
    <w:p w:rsidR="00A628F3" w:rsidRPr="00B86E9B" w:rsidRDefault="00A628F3" w:rsidP="00A628F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Izpēte par PVN atmaksu no valsts budžeta (konkurss noslēdzies, noslēgts līgums, izpildes laiks 3 mēneši, vienreizējs ekonomiskais efekts līdz 50 000 LVL).</w:t>
      </w:r>
    </w:p>
    <w:p w:rsidR="00863618" w:rsidRPr="00B86E9B" w:rsidRDefault="00863618" w:rsidP="00863618">
      <w:pPr>
        <w:jc w:val="both"/>
        <w:rPr>
          <w:sz w:val="28"/>
          <w:szCs w:val="28"/>
        </w:rPr>
      </w:pPr>
    </w:p>
    <w:p w:rsidR="00D763C7" w:rsidRPr="00B86E9B" w:rsidRDefault="00D763C7" w:rsidP="00D763C7">
      <w:pPr>
        <w:pStyle w:val="Virsraksts3"/>
        <w:numPr>
          <w:ilvl w:val="2"/>
          <w:numId w:val="7"/>
        </w:numPr>
        <w:spacing w:before="0" w:after="0"/>
        <w:ind w:left="1418"/>
      </w:pPr>
      <w:r w:rsidRPr="00B86E9B">
        <w:t>Nākotnes attīstības plāni, kas nodrošinās stabilu un sekmīgu RAKUS turpmāko darbību</w:t>
      </w:r>
    </w:p>
    <w:p w:rsidR="00863618" w:rsidRPr="00B86E9B" w:rsidRDefault="00863618" w:rsidP="00863618">
      <w:pPr>
        <w:jc w:val="both"/>
        <w:rPr>
          <w:sz w:val="28"/>
          <w:szCs w:val="28"/>
        </w:rPr>
      </w:pPr>
    </w:p>
    <w:p w:rsidR="00361348" w:rsidRPr="00B86E9B" w:rsidRDefault="00361348" w:rsidP="00361348">
      <w:pPr>
        <w:ind w:firstLine="709"/>
        <w:jc w:val="both"/>
        <w:rPr>
          <w:rStyle w:val="Izteiksmgs"/>
          <w:b w:val="0"/>
          <w:sz w:val="28"/>
          <w:szCs w:val="28"/>
        </w:rPr>
      </w:pPr>
      <w:r w:rsidRPr="00B86E9B">
        <w:rPr>
          <w:rStyle w:val="Izteiksmgs"/>
          <w:b w:val="0"/>
          <w:sz w:val="28"/>
          <w:szCs w:val="28"/>
        </w:rPr>
        <w:t xml:space="preserve">Saskaņā ar nākotnes attīstības plāniem RAKUS: </w:t>
      </w:r>
    </w:p>
    <w:p w:rsidR="00361348" w:rsidRPr="00B86E9B" w:rsidRDefault="00361348" w:rsidP="00D548AC">
      <w:pPr>
        <w:pStyle w:val="Sarakstarindkopa"/>
        <w:numPr>
          <w:ilvl w:val="0"/>
          <w:numId w:val="20"/>
        </w:numPr>
        <w:shd w:val="clear" w:color="auto" w:fill="FFFFFF" w:themeFill="background1"/>
        <w:spacing w:after="0" w:line="240" w:lineRule="auto"/>
        <w:ind w:left="709"/>
        <w:jc w:val="both"/>
        <w:rPr>
          <w:rFonts w:ascii="Times New Roman" w:hAnsi="Times New Roman"/>
          <w:sz w:val="28"/>
          <w:szCs w:val="28"/>
        </w:rPr>
      </w:pPr>
      <w:r w:rsidRPr="00B86E9B">
        <w:rPr>
          <w:rFonts w:ascii="Times New Roman" w:hAnsi="Times New Roman"/>
          <w:sz w:val="28"/>
          <w:szCs w:val="28"/>
        </w:rPr>
        <w:t>Turpinās vienotas pārvaldības sistēmas izveidošanu stacionāros, nosakot vienotas kvalitātes, personāla, mārketinga un citas politikas. Vienādas nozīmes struktūrvienību koordinācija, struktūras un pārvaldes optimizācija, darbības nodrošināšanai nepieciešamo telpu platības un ēku skaita samazināšana. Līdzīga profila ārstniecības nodaļu apvienošana klīnikās, vai atbalsta nodaļu konsolidācija vienoto dienestu sastāvā, kas ļauj optimizēt resursu izmantošanu un nodrošināt vienotu struktūrvienību darbībai noteikto prasību līmeni.</w:t>
      </w:r>
    </w:p>
    <w:p w:rsidR="00361348" w:rsidRPr="00B86E9B" w:rsidRDefault="00361348" w:rsidP="00D548AC">
      <w:pPr>
        <w:pStyle w:val="Sarakstarindkopa"/>
        <w:numPr>
          <w:ilvl w:val="0"/>
          <w:numId w:val="20"/>
        </w:numPr>
        <w:shd w:val="clear" w:color="auto" w:fill="FFFFFF" w:themeFill="background1"/>
        <w:spacing w:after="0" w:line="240" w:lineRule="auto"/>
        <w:ind w:left="709"/>
        <w:jc w:val="both"/>
        <w:rPr>
          <w:rFonts w:ascii="Times New Roman" w:hAnsi="Times New Roman"/>
          <w:sz w:val="28"/>
          <w:szCs w:val="28"/>
        </w:rPr>
      </w:pPr>
      <w:r w:rsidRPr="00B86E9B">
        <w:rPr>
          <w:rFonts w:ascii="Times New Roman" w:hAnsi="Times New Roman"/>
          <w:sz w:val="28"/>
          <w:szCs w:val="28"/>
        </w:rPr>
        <w:lastRenderedPageBreak/>
        <w:t xml:space="preserve">Turpinās nepārtraukta augsti kvalificēta medicīniskā procesa nodrošināšanu un pārraudzību. Tiek radīta struktūra (galveno speciālistu institūcija, ārstniecības padome) un ieviesti procesi uz pierādījumiem balstīto ārstniecības metožu, klīnisko vadlīniju ieviešanai un darbībai un ārstniecības rezultātu izvērtēšanai un pārraudzībai. </w:t>
      </w:r>
    </w:p>
    <w:p w:rsidR="00361348" w:rsidRPr="00B86E9B" w:rsidRDefault="00361348" w:rsidP="00D548AC">
      <w:pPr>
        <w:pStyle w:val="Sarakstarindkopa"/>
        <w:numPr>
          <w:ilvl w:val="0"/>
          <w:numId w:val="20"/>
        </w:numPr>
        <w:shd w:val="clear" w:color="auto" w:fill="FFFFFF" w:themeFill="background1"/>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Turpinās darbinieku lojalitātes veicināšanu un nodrošināšanu. RAKUS darbības nepieciešamo cilvēkresursu nodrošināšanas nolūkā nepieciešams veicināt ne tikai personāla kvalifikācijas nepārtrauktu paaugstināšanu, bet arī citu personāla vajadzību izvērtēšanu un nodrošināšanu.  </w:t>
      </w:r>
    </w:p>
    <w:p w:rsidR="00361348" w:rsidRPr="00B86E9B" w:rsidRDefault="00361348" w:rsidP="00D548AC">
      <w:pPr>
        <w:pStyle w:val="Sarakstarindkopa"/>
        <w:numPr>
          <w:ilvl w:val="0"/>
          <w:numId w:val="20"/>
        </w:numPr>
        <w:shd w:val="clear" w:color="auto" w:fill="FFFFFF" w:themeFill="background1"/>
        <w:spacing w:after="0" w:line="240" w:lineRule="auto"/>
        <w:ind w:left="709"/>
        <w:jc w:val="both"/>
        <w:rPr>
          <w:rFonts w:ascii="Times New Roman" w:hAnsi="Times New Roman"/>
          <w:sz w:val="28"/>
          <w:szCs w:val="28"/>
        </w:rPr>
      </w:pPr>
      <w:r w:rsidRPr="00B86E9B">
        <w:rPr>
          <w:rFonts w:ascii="Times New Roman" w:hAnsi="Times New Roman"/>
          <w:sz w:val="28"/>
          <w:szCs w:val="28"/>
        </w:rPr>
        <w:t>Sekmēs stacionārā līmeņa un vienas dienas</w:t>
      </w:r>
      <w:r w:rsidR="00003903" w:rsidRPr="00B86E9B">
        <w:rPr>
          <w:rFonts w:ascii="Times New Roman" w:hAnsi="Times New Roman"/>
          <w:sz w:val="28"/>
          <w:szCs w:val="28"/>
        </w:rPr>
        <w:t xml:space="preserve"> stacionāra ķirurģijas attīstību un koncentrēšanu</w:t>
      </w:r>
      <w:r w:rsidRPr="00B86E9B">
        <w:rPr>
          <w:rFonts w:ascii="Times New Roman" w:hAnsi="Times New Roman"/>
          <w:sz w:val="28"/>
          <w:szCs w:val="28"/>
        </w:rPr>
        <w:t>. Apvienojot vairākus stacionārus, plānots optimizēt resursu izmantošanu ķirurģisko pakalpojumu sniegšanai, koncentrējot līdzīgu jomu palīdzību, optimizējot operāciju bloku darbīb</w:t>
      </w:r>
      <w:r w:rsidR="00AD03B2" w:rsidRPr="00B86E9B">
        <w:rPr>
          <w:rFonts w:ascii="Times New Roman" w:hAnsi="Times New Roman"/>
          <w:sz w:val="28"/>
          <w:szCs w:val="28"/>
        </w:rPr>
        <w:t>u un ieviešot izmaksu efektīvāka</w:t>
      </w:r>
      <w:r w:rsidRPr="00B86E9B">
        <w:rPr>
          <w:rFonts w:ascii="Times New Roman" w:hAnsi="Times New Roman"/>
          <w:sz w:val="28"/>
          <w:szCs w:val="28"/>
        </w:rPr>
        <w:t xml:space="preserve">s ārstniecības metodes, palielinot dienas stacionārā sniedzamo pakalpojumu īpatsvaru. </w:t>
      </w:r>
    </w:p>
    <w:p w:rsidR="00D548AC" w:rsidRPr="00B86E9B" w:rsidRDefault="00361348" w:rsidP="00D548AC">
      <w:pPr>
        <w:pStyle w:val="Sarakstarindkopa"/>
        <w:numPr>
          <w:ilvl w:val="0"/>
          <w:numId w:val="20"/>
        </w:numPr>
        <w:shd w:val="clear" w:color="auto" w:fill="FFFFFF" w:themeFill="background1"/>
        <w:spacing w:after="0" w:line="240" w:lineRule="auto"/>
        <w:ind w:left="709"/>
        <w:jc w:val="both"/>
        <w:rPr>
          <w:rFonts w:ascii="Times New Roman" w:hAnsi="Times New Roman"/>
          <w:sz w:val="28"/>
          <w:szCs w:val="28"/>
        </w:rPr>
      </w:pPr>
      <w:r w:rsidRPr="00B86E9B">
        <w:rPr>
          <w:rFonts w:ascii="Times New Roman" w:hAnsi="Times New Roman"/>
          <w:sz w:val="28"/>
          <w:szCs w:val="28"/>
        </w:rPr>
        <w:t>Turpinās dalību starptautiskos projektos. RAKUS sniegto pakalpojumu kvalitātes pilnveidošanas un izmaksu efektivitātes palielināšanas nolūkā plānots turpināt un attīstīt līdzdalību starptautiskos projektos, kas saistīti ar kvalifikācijas paaugstināšanas, jaunu tehnoloģiju ieviešanas, infrastruktūras uzlabošanas, pētniecības attīstības jautājumiem, izmantojot iespējas piesaistīt papildu finanšu un citus resursus, tajā skaitā paplašināt iespējas palielināt maksas pakalpojumus.</w:t>
      </w:r>
    </w:p>
    <w:p w:rsidR="00361348" w:rsidRPr="00B86E9B" w:rsidRDefault="00361348" w:rsidP="00D548AC">
      <w:pPr>
        <w:pStyle w:val="Sarakstarindkopa"/>
        <w:numPr>
          <w:ilvl w:val="0"/>
          <w:numId w:val="20"/>
        </w:numPr>
        <w:shd w:val="clear" w:color="auto" w:fill="FFFFFF" w:themeFill="background1"/>
        <w:spacing w:after="0" w:line="240" w:lineRule="auto"/>
        <w:ind w:left="709"/>
        <w:jc w:val="both"/>
        <w:rPr>
          <w:rFonts w:ascii="Times New Roman" w:hAnsi="Times New Roman"/>
          <w:sz w:val="28"/>
          <w:szCs w:val="28"/>
        </w:rPr>
      </w:pPr>
      <w:r w:rsidRPr="00B86E9B">
        <w:rPr>
          <w:rFonts w:ascii="Times New Roman" w:hAnsi="Times New Roman"/>
          <w:sz w:val="28"/>
          <w:szCs w:val="28"/>
        </w:rPr>
        <w:t>Sekmēs valsts nozīmes centru un zinātni</w:t>
      </w:r>
      <w:r w:rsidR="00177CDD" w:rsidRPr="00B86E9B">
        <w:rPr>
          <w:rFonts w:ascii="Times New Roman" w:hAnsi="Times New Roman"/>
          <w:sz w:val="28"/>
          <w:szCs w:val="28"/>
        </w:rPr>
        <w:t>ski pētnieciskās bāzes attīstību</w:t>
      </w:r>
      <w:r w:rsidRPr="00B86E9B">
        <w:rPr>
          <w:rFonts w:ascii="Times New Roman" w:hAnsi="Times New Roman"/>
          <w:sz w:val="28"/>
          <w:szCs w:val="28"/>
        </w:rPr>
        <w:t xml:space="preserve"> un pr</w:t>
      </w:r>
      <w:r w:rsidR="004C16F9" w:rsidRPr="00B86E9B">
        <w:rPr>
          <w:rFonts w:ascii="Times New Roman" w:hAnsi="Times New Roman"/>
          <w:sz w:val="28"/>
          <w:szCs w:val="28"/>
        </w:rPr>
        <w:t>ogrammu realizācijas pārraudzību</w:t>
      </w:r>
      <w:r w:rsidRPr="00B86E9B">
        <w:rPr>
          <w:rFonts w:ascii="Times New Roman" w:hAnsi="Times New Roman"/>
          <w:sz w:val="28"/>
          <w:szCs w:val="28"/>
        </w:rPr>
        <w:t>. Nozīmīgāko un unikālo ārstniecības pakalpojumu sniegšanas kvalitātes pilnveidošanai paredzēts attīstīt metodisko un pētniecības darbu, ņemot vērā valsts iedzīvotāju vajadzības un valsts pasūtījumu minētajās jomās.</w:t>
      </w:r>
    </w:p>
    <w:p w:rsidR="000D35FF" w:rsidRPr="00B86E9B" w:rsidRDefault="000D35FF" w:rsidP="000D35FF">
      <w:pPr>
        <w:shd w:val="clear" w:color="auto" w:fill="FFFFFF" w:themeFill="background1"/>
        <w:jc w:val="both"/>
        <w:rPr>
          <w:sz w:val="28"/>
          <w:szCs w:val="28"/>
        </w:rPr>
      </w:pPr>
    </w:p>
    <w:p w:rsidR="000D35FF" w:rsidRPr="00B86E9B" w:rsidRDefault="00F34DB1" w:rsidP="00F34DB1">
      <w:pPr>
        <w:pStyle w:val="Virsraksts2"/>
        <w:numPr>
          <w:ilvl w:val="1"/>
          <w:numId w:val="7"/>
        </w:numPr>
        <w:spacing w:before="0" w:after="0"/>
      </w:pPr>
      <w:r w:rsidRPr="00B86E9B">
        <w:t>VSIA „Bērnu klīniskā universitātes slimnīca”</w:t>
      </w:r>
    </w:p>
    <w:p w:rsidR="007D6F88" w:rsidRPr="00B86E9B" w:rsidRDefault="007D6F88" w:rsidP="007D6F88">
      <w:pPr>
        <w:rPr>
          <w:sz w:val="28"/>
          <w:szCs w:val="28"/>
        </w:rPr>
      </w:pPr>
    </w:p>
    <w:p w:rsidR="00AB1D9B" w:rsidRPr="00B86E9B" w:rsidRDefault="00AB1D9B" w:rsidP="00AB1D9B">
      <w:pPr>
        <w:pStyle w:val="Virsraksts3"/>
        <w:numPr>
          <w:ilvl w:val="2"/>
          <w:numId w:val="7"/>
        </w:numPr>
        <w:spacing w:before="0" w:after="0"/>
        <w:ind w:left="1418"/>
      </w:pPr>
      <w:r w:rsidRPr="00B86E9B">
        <w:t>Vispārēja informācija</w:t>
      </w:r>
    </w:p>
    <w:p w:rsidR="007D6F88" w:rsidRPr="00B86E9B" w:rsidRDefault="007D6F88" w:rsidP="007D6F88">
      <w:pPr>
        <w:rPr>
          <w:sz w:val="28"/>
          <w:szCs w:val="28"/>
        </w:rPr>
      </w:pPr>
    </w:p>
    <w:p w:rsidR="00AB1D9B" w:rsidRPr="00B86E9B" w:rsidRDefault="00A4613E" w:rsidP="00A15226">
      <w:pPr>
        <w:ind w:firstLine="698"/>
        <w:jc w:val="both"/>
        <w:rPr>
          <w:sz w:val="28"/>
          <w:szCs w:val="28"/>
        </w:rPr>
      </w:pPr>
      <w:r w:rsidRPr="00B86E9B">
        <w:rPr>
          <w:color w:val="333333"/>
          <w:sz w:val="28"/>
          <w:szCs w:val="28"/>
        </w:rPr>
        <w:t>VSIA</w:t>
      </w:r>
      <w:r w:rsidR="001F1DD1" w:rsidRPr="00B86E9B">
        <w:rPr>
          <w:color w:val="333333"/>
          <w:sz w:val="28"/>
          <w:szCs w:val="28"/>
        </w:rPr>
        <w:t xml:space="preserve"> “Bērnu klīniskā universitātes slimnīca” (turpmāk – BKUS) ir lielākā specializētā bērnu daudzprofilu ārstniecības iestāde Latvijā. </w:t>
      </w:r>
      <w:r w:rsidR="001F1DD1" w:rsidRPr="00B86E9B">
        <w:rPr>
          <w:sz w:val="28"/>
          <w:szCs w:val="28"/>
        </w:rPr>
        <w:t xml:space="preserve">BKUS sniedz ārstniecības pakalpojumus trijās novietnēs - novietnē </w:t>
      </w:r>
      <w:proofErr w:type="spellStart"/>
      <w:r w:rsidR="001F1DD1" w:rsidRPr="00B86E9B">
        <w:rPr>
          <w:sz w:val="28"/>
          <w:szCs w:val="28"/>
        </w:rPr>
        <w:t>Torņkalnā</w:t>
      </w:r>
      <w:proofErr w:type="spellEnd"/>
      <w:r w:rsidR="001F1DD1" w:rsidRPr="00B86E9B">
        <w:rPr>
          <w:sz w:val="28"/>
          <w:szCs w:val="28"/>
        </w:rPr>
        <w:t>, novietnē Gaiļezerā un novietnē Ogrē.</w:t>
      </w:r>
    </w:p>
    <w:p w:rsidR="001B054F" w:rsidRPr="00B86E9B" w:rsidRDefault="001B054F" w:rsidP="00A15226">
      <w:pPr>
        <w:ind w:firstLine="698"/>
        <w:jc w:val="both"/>
        <w:rPr>
          <w:sz w:val="28"/>
          <w:szCs w:val="28"/>
        </w:rPr>
      </w:pPr>
    </w:p>
    <w:p w:rsidR="001B054F" w:rsidRPr="00B86E9B" w:rsidRDefault="001B054F" w:rsidP="001B054F">
      <w:pPr>
        <w:pStyle w:val="Virsraksts3"/>
        <w:numPr>
          <w:ilvl w:val="2"/>
          <w:numId w:val="7"/>
        </w:numPr>
        <w:spacing w:before="0" w:after="0"/>
        <w:ind w:left="1418"/>
      </w:pPr>
      <w:r w:rsidRPr="00B86E9B">
        <w:t>Saimnieciskās darbības analīze</w:t>
      </w:r>
    </w:p>
    <w:p w:rsidR="001B054F" w:rsidRPr="00B86E9B" w:rsidRDefault="001B054F" w:rsidP="00A15226">
      <w:pPr>
        <w:ind w:firstLine="698"/>
        <w:jc w:val="both"/>
        <w:rPr>
          <w:sz w:val="28"/>
          <w:szCs w:val="28"/>
        </w:rPr>
      </w:pPr>
    </w:p>
    <w:p w:rsidR="009C1F7A" w:rsidRPr="00B86E9B" w:rsidRDefault="009C1F7A" w:rsidP="009C1F7A">
      <w:pPr>
        <w:ind w:firstLine="720"/>
        <w:jc w:val="both"/>
        <w:rPr>
          <w:sz w:val="28"/>
          <w:szCs w:val="28"/>
        </w:rPr>
      </w:pPr>
      <w:r w:rsidRPr="00B86E9B">
        <w:rPr>
          <w:sz w:val="28"/>
          <w:szCs w:val="28"/>
        </w:rPr>
        <w:t>BKUS galveno finanšu rādītāju tendences 2012.gadā salīdzinot ar 2011.gada rādītājiem nav pozitīvas:</w:t>
      </w:r>
    </w:p>
    <w:p w:rsidR="009C1F7A" w:rsidRPr="00B86E9B" w:rsidRDefault="009C1F7A" w:rsidP="009C1F7A">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apgrozījums ir palielinājies par 1 575 934 LVL (8,9%);</w:t>
      </w:r>
    </w:p>
    <w:p w:rsidR="009C1F7A" w:rsidRPr="00B86E9B" w:rsidRDefault="009C1F7A" w:rsidP="009C1F7A">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zaudējumi ir palielinājušies par 1 135 079 LVL;</w:t>
      </w:r>
    </w:p>
    <w:p w:rsidR="009C1F7A" w:rsidRPr="00B86E9B" w:rsidRDefault="009C1F7A" w:rsidP="009C1F7A">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pašu kapitāls ir samazinājies par 1 143 939 LVL (17,8%);</w:t>
      </w:r>
    </w:p>
    <w:p w:rsidR="009C1F7A" w:rsidRPr="00B86E9B" w:rsidRDefault="009C1F7A" w:rsidP="009C1F7A">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lastRenderedPageBreak/>
        <w:t>kreditoru saistības ir palielinājušās par 5 851 772 LVL (19,5%);</w:t>
      </w:r>
    </w:p>
    <w:p w:rsidR="009C1F7A" w:rsidRPr="00B86E9B" w:rsidRDefault="009C1F7A" w:rsidP="009C1F7A">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likviditāte (Vispārējais apgrozāmo līdzekļu koeficients) ir samazinājusies par 0,99 procentpunktiem;</w:t>
      </w:r>
    </w:p>
    <w:p w:rsidR="00A33E20" w:rsidRPr="00B86E9B" w:rsidRDefault="009C1F7A" w:rsidP="009C1F7A">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rentabilitāte ir palielinājusies par 0,6 procentpunktiem.</w:t>
      </w:r>
    </w:p>
    <w:p w:rsidR="0062138D" w:rsidRPr="00B86E9B" w:rsidRDefault="0062138D" w:rsidP="009C1F7A">
      <w:pPr>
        <w:rPr>
          <w:sz w:val="28"/>
          <w:szCs w:val="28"/>
        </w:rPr>
      </w:pPr>
    </w:p>
    <w:p w:rsidR="009C1F7A" w:rsidRPr="00B86E9B" w:rsidRDefault="009C1F7A" w:rsidP="009C1F7A">
      <w:pPr>
        <w:autoSpaceDE w:val="0"/>
        <w:autoSpaceDN w:val="0"/>
        <w:adjustRightInd w:val="0"/>
        <w:ind w:firstLine="720"/>
        <w:jc w:val="right"/>
        <w:rPr>
          <w:i/>
          <w:sz w:val="28"/>
          <w:szCs w:val="28"/>
        </w:rPr>
      </w:pPr>
      <w:r w:rsidRPr="00B86E9B">
        <w:rPr>
          <w:i/>
          <w:sz w:val="28"/>
          <w:szCs w:val="28"/>
        </w:rPr>
        <w:t>Tabula Nr.16:BKUS galvenie finanšu rādītāji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2240"/>
        <w:gridCol w:w="2054"/>
      </w:tblGrid>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p>
        </w:tc>
        <w:tc>
          <w:tcPr>
            <w:tcW w:w="2302" w:type="dxa"/>
            <w:shd w:val="clear" w:color="auto" w:fill="auto"/>
          </w:tcPr>
          <w:p w:rsidR="009C1F7A" w:rsidRPr="00B86E9B" w:rsidRDefault="009C1F7A" w:rsidP="00F519F5">
            <w:pPr>
              <w:shd w:val="clear" w:color="auto" w:fill="FFFFFF"/>
              <w:jc w:val="center"/>
              <w:rPr>
                <w:sz w:val="26"/>
                <w:szCs w:val="26"/>
              </w:rPr>
            </w:pPr>
            <w:r w:rsidRPr="00B86E9B">
              <w:rPr>
                <w:sz w:val="26"/>
                <w:szCs w:val="26"/>
              </w:rPr>
              <w:t>2012.gads</w:t>
            </w:r>
          </w:p>
        </w:tc>
        <w:tc>
          <w:tcPr>
            <w:tcW w:w="2104" w:type="dxa"/>
            <w:shd w:val="clear" w:color="auto" w:fill="auto"/>
          </w:tcPr>
          <w:p w:rsidR="009C1F7A" w:rsidRPr="00B86E9B" w:rsidRDefault="009C1F7A" w:rsidP="00F519F5">
            <w:pPr>
              <w:shd w:val="clear" w:color="auto" w:fill="FFFFFF"/>
              <w:jc w:val="center"/>
              <w:rPr>
                <w:sz w:val="26"/>
                <w:szCs w:val="26"/>
              </w:rPr>
            </w:pPr>
            <w:r w:rsidRPr="00B86E9B">
              <w:rPr>
                <w:sz w:val="26"/>
                <w:szCs w:val="26"/>
              </w:rPr>
              <w:t>2011.gads</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Apgrozījums [LVL]</w:t>
            </w:r>
          </w:p>
        </w:tc>
        <w:tc>
          <w:tcPr>
            <w:tcW w:w="2302" w:type="dxa"/>
          </w:tcPr>
          <w:p w:rsidR="009C1F7A" w:rsidRPr="00B86E9B" w:rsidRDefault="009C1F7A" w:rsidP="00F519F5">
            <w:pPr>
              <w:shd w:val="clear" w:color="auto" w:fill="FFFFFF"/>
              <w:jc w:val="center"/>
              <w:rPr>
                <w:sz w:val="26"/>
                <w:szCs w:val="26"/>
              </w:rPr>
            </w:pPr>
            <w:r w:rsidRPr="00B86E9B">
              <w:rPr>
                <w:sz w:val="26"/>
                <w:szCs w:val="26"/>
              </w:rPr>
              <w:t>19 234 671</w:t>
            </w:r>
          </w:p>
        </w:tc>
        <w:tc>
          <w:tcPr>
            <w:tcW w:w="2104" w:type="dxa"/>
          </w:tcPr>
          <w:p w:rsidR="009C1F7A" w:rsidRPr="00B86E9B" w:rsidRDefault="009C1F7A" w:rsidP="00F519F5">
            <w:pPr>
              <w:jc w:val="center"/>
              <w:rPr>
                <w:sz w:val="26"/>
                <w:szCs w:val="26"/>
              </w:rPr>
            </w:pPr>
            <w:r w:rsidRPr="00B86E9B">
              <w:rPr>
                <w:sz w:val="26"/>
                <w:szCs w:val="26"/>
              </w:rPr>
              <w:t>17 658 737</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Peļņa vai zaudējumi pēc nodokļiem [LVL]</w:t>
            </w:r>
          </w:p>
        </w:tc>
        <w:tc>
          <w:tcPr>
            <w:tcW w:w="2302" w:type="dxa"/>
          </w:tcPr>
          <w:p w:rsidR="009C1F7A" w:rsidRPr="00B86E9B" w:rsidRDefault="009C1F7A" w:rsidP="00F519F5">
            <w:pPr>
              <w:shd w:val="clear" w:color="auto" w:fill="FFFFFF"/>
              <w:jc w:val="center"/>
              <w:rPr>
                <w:sz w:val="26"/>
                <w:szCs w:val="26"/>
              </w:rPr>
            </w:pPr>
            <w:r w:rsidRPr="00B86E9B">
              <w:rPr>
                <w:sz w:val="26"/>
                <w:szCs w:val="26"/>
              </w:rPr>
              <w:t>- 1 116 271</w:t>
            </w:r>
          </w:p>
        </w:tc>
        <w:tc>
          <w:tcPr>
            <w:tcW w:w="2104" w:type="dxa"/>
          </w:tcPr>
          <w:p w:rsidR="009C1F7A" w:rsidRPr="00B86E9B" w:rsidRDefault="009C1F7A" w:rsidP="00F519F5">
            <w:pPr>
              <w:tabs>
                <w:tab w:val="left" w:pos="315"/>
                <w:tab w:val="center" w:pos="944"/>
              </w:tabs>
              <w:jc w:val="center"/>
              <w:rPr>
                <w:sz w:val="26"/>
                <w:szCs w:val="26"/>
              </w:rPr>
            </w:pPr>
            <w:r w:rsidRPr="00B86E9B">
              <w:rPr>
                <w:sz w:val="26"/>
                <w:szCs w:val="26"/>
              </w:rPr>
              <w:t>18 808</w:t>
            </w:r>
          </w:p>
        </w:tc>
      </w:tr>
      <w:tr w:rsidR="009C1F7A" w:rsidRPr="00B86E9B" w:rsidTr="00556048">
        <w:trPr>
          <w:trHeight w:val="337"/>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Pašu kapitāls [LVL]</w:t>
            </w:r>
          </w:p>
        </w:tc>
        <w:tc>
          <w:tcPr>
            <w:tcW w:w="2302" w:type="dxa"/>
          </w:tcPr>
          <w:p w:rsidR="009C1F7A" w:rsidRPr="00B86E9B" w:rsidRDefault="009C1F7A" w:rsidP="00F519F5">
            <w:pPr>
              <w:jc w:val="center"/>
              <w:rPr>
                <w:rFonts w:cs="Calibri"/>
                <w:bCs/>
                <w:sz w:val="26"/>
                <w:szCs w:val="26"/>
              </w:rPr>
            </w:pPr>
            <w:r w:rsidRPr="00B86E9B">
              <w:rPr>
                <w:rFonts w:cs="Calibri"/>
                <w:bCs/>
                <w:sz w:val="26"/>
                <w:szCs w:val="26"/>
              </w:rPr>
              <w:t>5 293 113</w:t>
            </w:r>
          </w:p>
        </w:tc>
        <w:tc>
          <w:tcPr>
            <w:tcW w:w="2104" w:type="dxa"/>
          </w:tcPr>
          <w:p w:rsidR="009C1F7A" w:rsidRPr="00B86E9B" w:rsidRDefault="009C1F7A" w:rsidP="00F519F5">
            <w:pPr>
              <w:jc w:val="center"/>
              <w:rPr>
                <w:sz w:val="26"/>
                <w:szCs w:val="26"/>
              </w:rPr>
            </w:pPr>
            <w:r w:rsidRPr="00B86E9B">
              <w:rPr>
                <w:sz w:val="26"/>
                <w:szCs w:val="26"/>
              </w:rPr>
              <w:t>6 437 052</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Uzkrājumi [LVL]</w:t>
            </w:r>
          </w:p>
        </w:tc>
        <w:tc>
          <w:tcPr>
            <w:tcW w:w="2302" w:type="dxa"/>
          </w:tcPr>
          <w:p w:rsidR="009C1F7A" w:rsidRPr="00B86E9B" w:rsidRDefault="009C1F7A" w:rsidP="00F519F5">
            <w:pPr>
              <w:shd w:val="clear" w:color="auto" w:fill="FFFFFF"/>
              <w:jc w:val="center"/>
              <w:rPr>
                <w:sz w:val="26"/>
                <w:szCs w:val="26"/>
              </w:rPr>
            </w:pPr>
            <w:r w:rsidRPr="00B86E9B">
              <w:rPr>
                <w:sz w:val="26"/>
                <w:szCs w:val="26"/>
              </w:rPr>
              <w:t>381 397</w:t>
            </w:r>
          </w:p>
        </w:tc>
        <w:tc>
          <w:tcPr>
            <w:tcW w:w="2104" w:type="dxa"/>
          </w:tcPr>
          <w:p w:rsidR="009C1F7A" w:rsidRPr="00B86E9B" w:rsidRDefault="009C1F7A" w:rsidP="00F519F5">
            <w:pPr>
              <w:jc w:val="center"/>
              <w:rPr>
                <w:iCs/>
                <w:sz w:val="26"/>
                <w:szCs w:val="26"/>
              </w:rPr>
            </w:pPr>
            <w:r w:rsidRPr="00B86E9B">
              <w:rPr>
                <w:iCs/>
                <w:sz w:val="26"/>
                <w:szCs w:val="26"/>
              </w:rPr>
              <w:t>317 242</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Kreditori [LVL]</w:t>
            </w:r>
          </w:p>
        </w:tc>
        <w:tc>
          <w:tcPr>
            <w:tcW w:w="2302" w:type="dxa"/>
          </w:tcPr>
          <w:p w:rsidR="009C1F7A" w:rsidRPr="00B86E9B" w:rsidRDefault="009C1F7A" w:rsidP="00F519F5">
            <w:pPr>
              <w:shd w:val="clear" w:color="auto" w:fill="FFFFFF"/>
              <w:jc w:val="center"/>
              <w:rPr>
                <w:sz w:val="26"/>
                <w:szCs w:val="26"/>
              </w:rPr>
            </w:pPr>
            <w:r w:rsidRPr="00B86E9B">
              <w:rPr>
                <w:sz w:val="26"/>
                <w:szCs w:val="26"/>
              </w:rPr>
              <w:t>35 789 091</w:t>
            </w:r>
          </w:p>
        </w:tc>
        <w:tc>
          <w:tcPr>
            <w:tcW w:w="2104" w:type="dxa"/>
          </w:tcPr>
          <w:p w:rsidR="009C1F7A" w:rsidRPr="00B86E9B" w:rsidRDefault="009C1F7A" w:rsidP="00F519F5">
            <w:pPr>
              <w:jc w:val="center"/>
              <w:rPr>
                <w:sz w:val="26"/>
                <w:szCs w:val="26"/>
              </w:rPr>
            </w:pPr>
            <w:r w:rsidRPr="00B86E9B">
              <w:rPr>
                <w:sz w:val="26"/>
                <w:szCs w:val="26"/>
              </w:rPr>
              <w:t>29 937 319</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Ilgtermiņa ieguldījumi [LVL]</w:t>
            </w:r>
          </w:p>
        </w:tc>
        <w:tc>
          <w:tcPr>
            <w:tcW w:w="2302" w:type="dxa"/>
          </w:tcPr>
          <w:p w:rsidR="009C1F7A" w:rsidRPr="00B86E9B" w:rsidRDefault="009C1F7A" w:rsidP="00F519F5">
            <w:pPr>
              <w:jc w:val="center"/>
              <w:rPr>
                <w:rFonts w:cs="Calibri"/>
                <w:bCs/>
                <w:sz w:val="26"/>
                <w:szCs w:val="26"/>
              </w:rPr>
            </w:pPr>
            <w:r w:rsidRPr="00B86E9B">
              <w:rPr>
                <w:sz w:val="26"/>
                <w:szCs w:val="26"/>
              </w:rPr>
              <w:t>32 606 577</w:t>
            </w:r>
          </w:p>
        </w:tc>
        <w:tc>
          <w:tcPr>
            <w:tcW w:w="2104" w:type="dxa"/>
          </w:tcPr>
          <w:p w:rsidR="009C1F7A" w:rsidRPr="00B86E9B" w:rsidRDefault="009C1F7A" w:rsidP="00F519F5">
            <w:pPr>
              <w:jc w:val="center"/>
              <w:rPr>
                <w:sz w:val="26"/>
                <w:szCs w:val="26"/>
              </w:rPr>
            </w:pPr>
            <w:r w:rsidRPr="00B86E9B">
              <w:rPr>
                <w:sz w:val="26"/>
                <w:szCs w:val="26"/>
              </w:rPr>
              <w:t>24 539 228</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Apgrozāmie līdzekļi [LVL]</w:t>
            </w:r>
          </w:p>
        </w:tc>
        <w:tc>
          <w:tcPr>
            <w:tcW w:w="2302" w:type="dxa"/>
          </w:tcPr>
          <w:p w:rsidR="009C1F7A" w:rsidRPr="00B86E9B" w:rsidRDefault="009C1F7A" w:rsidP="00F519F5">
            <w:pPr>
              <w:shd w:val="clear" w:color="auto" w:fill="FFFFFF"/>
              <w:jc w:val="center"/>
              <w:rPr>
                <w:sz w:val="26"/>
                <w:szCs w:val="26"/>
              </w:rPr>
            </w:pPr>
            <w:r w:rsidRPr="00B86E9B">
              <w:rPr>
                <w:sz w:val="26"/>
                <w:szCs w:val="26"/>
              </w:rPr>
              <w:t>8 857 024</w:t>
            </w:r>
          </w:p>
        </w:tc>
        <w:tc>
          <w:tcPr>
            <w:tcW w:w="2104" w:type="dxa"/>
          </w:tcPr>
          <w:p w:rsidR="009C1F7A" w:rsidRPr="00B86E9B" w:rsidRDefault="009C1F7A" w:rsidP="00F519F5">
            <w:pPr>
              <w:jc w:val="center"/>
              <w:rPr>
                <w:sz w:val="26"/>
                <w:szCs w:val="26"/>
              </w:rPr>
            </w:pPr>
            <w:r w:rsidRPr="00B86E9B">
              <w:rPr>
                <w:sz w:val="26"/>
                <w:szCs w:val="26"/>
              </w:rPr>
              <w:t>12 152 385</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Bilances kopsumma [LVL]</w:t>
            </w:r>
          </w:p>
        </w:tc>
        <w:tc>
          <w:tcPr>
            <w:tcW w:w="2302" w:type="dxa"/>
          </w:tcPr>
          <w:p w:rsidR="009C1F7A" w:rsidRPr="00B86E9B" w:rsidRDefault="009C1F7A" w:rsidP="00F519F5">
            <w:pPr>
              <w:shd w:val="clear" w:color="auto" w:fill="FFFFFF"/>
              <w:jc w:val="center"/>
              <w:rPr>
                <w:sz w:val="26"/>
                <w:szCs w:val="26"/>
              </w:rPr>
            </w:pPr>
            <w:r w:rsidRPr="00B86E9B">
              <w:rPr>
                <w:sz w:val="26"/>
                <w:szCs w:val="26"/>
              </w:rPr>
              <w:t>41 463 601</w:t>
            </w:r>
          </w:p>
        </w:tc>
        <w:tc>
          <w:tcPr>
            <w:tcW w:w="2104" w:type="dxa"/>
          </w:tcPr>
          <w:p w:rsidR="009C1F7A" w:rsidRPr="00B86E9B" w:rsidRDefault="009C1F7A" w:rsidP="00F519F5">
            <w:pPr>
              <w:jc w:val="center"/>
              <w:rPr>
                <w:sz w:val="26"/>
                <w:szCs w:val="26"/>
              </w:rPr>
            </w:pPr>
            <w:r w:rsidRPr="00B86E9B">
              <w:rPr>
                <w:sz w:val="26"/>
                <w:szCs w:val="26"/>
              </w:rPr>
              <w:t>36 691 613</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Likviditāte (Vispārējais apgrozāmo līdzekļu koeficients)</w:t>
            </w:r>
          </w:p>
        </w:tc>
        <w:tc>
          <w:tcPr>
            <w:tcW w:w="2302" w:type="dxa"/>
            <w:vAlign w:val="center"/>
          </w:tcPr>
          <w:p w:rsidR="009C1F7A" w:rsidRPr="00B86E9B" w:rsidRDefault="009C1F7A" w:rsidP="00F519F5">
            <w:pPr>
              <w:jc w:val="center"/>
              <w:rPr>
                <w:sz w:val="26"/>
                <w:szCs w:val="26"/>
              </w:rPr>
            </w:pPr>
            <w:r w:rsidRPr="00B86E9B">
              <w:rPr>
                <w:sz w:val="26"/>
                <w:szCs w:val="26"/>
              </w:rPr>
              <w:t>1,94</w:t>
            </w:r>
          </w:p>
        </w:tc>
        <w:tc>
          <w:tcPr>
            <w:tcW w:w="2104" w:type="dxa"/>
            <w:vAlign w:val="center"/>
          </w:tcPr>
          <w:p w:rsidR="009C1F7A" w:rsidRPr="00B86E9B" w:rsidRDefault="009C1F7A" w:rsidP="00F519F5">
            <w:pPr>
              <w:jc w:val="center"/>
              <w:rPr>
                <w:sz w:val="26"/>
                <w:szCs w:val="26"/>
              </w:rPr>
            </w:pPr>
            <w:r w:rsidRPr="00B86E9B">
              <w:rPr>
                <w:sz w:val="26"/>
                <w:szCs w:val="26"/>
              </w:rPr>
              <w:t>2,93</w:t>
            </w:r>
          </w:p>
        </w:tc>
      </w:tr>
      <w:tr w:rsidR="009C1F7A" w:rsidRPr="00B86E9B" w:rsidTr="00556048">
        <w:trPr>
          <w:jc w:val="center"/>
        </w:trPr>
        <w:tc>
          <w:tcPr>
            <w:tcW w:w="5215" w:type="dxa"/>
            <w:shd w:val="clear" w:color="auto" w:fill="D9D9D9" w:themeFill="background1" w:themeFillShade="D9"/>
          </w:tcPr>
          <w:p w:rsidR="009C1F7A" w:rsidRPr="00B86E9B" w:rsidRDefault="009C1F7A" w:rsidP="00F519F5">
            <w:pPr>
              <w:rPr>
                <w:sz w:val="26"/>
                <w:szCs w:val="26"/>
              </w:rPr>
            </w:pPr>
            <w:r w:rsidRPr="00B86E9B">
              <w:rPr>
                <w:sz w:val="26"/>
                <w:szCs w:val="26"/>
              </w:rPr>
              <w:t xml:space="preserve">Rentabilitāte (Bruto peļņas robeža)[%] </w:t>
            </w:r>
          </w:p>
        </w:tc>
        <w:tc>
          <w:tcPr>
            <w:tcW w:w="2302" w:type="dxa"/>
          </w:tcPr>
          <w:p w:rsidR="009C1F7A" w:rsidRPr="00B86E9B" w:rsidRDefault="009C1F7A" w:rsidP="00F519F5">
            <w:pPr>
              <w:jc w:val="center"/>
              <w:rPr>
                <w:sz w:val="26"/>
                <w:szCs w:val="26"/>
              </w:rPr>
            </w:pPr>
            <w:r w:rsidRPr="00B86E9B">
              <w:rPr>
                <w:sz w:val="26"/>
                <w:szCs w:val="26"/>
              </w:rPr>
              <w:t>-5,8%</w:t>
            </w:r>
          </w:p>
        </w:tc>
        <w:tc>
          <w:tcPr>
            <w:tcW w:w="2104" w:type="dxa"/>
          </w:tcPr>
          <w:p w:rsidR="009C1F7A" w:rsidRPr="00B86E9B" w:rsidRDefault="009C1F7A" w:rsidP="00F519F5">
            <w:pPr>
              <w:jc w:val="center"/>
              <w:rPr>
                <w:sz w:val="26"/>
                <w:szCs w:val="26"/>
              </w:rPr>
            </w:pPr>
            <w:r w:rsidRPr="00B86E9B">
              <w:rPr>
                <w:sz w:val="26"/>
                <w:szCs w:val="26"/>
              </w:rPr>
              <w:t>-6,4%</w:t>
            </w:r>
          </w:p>
        </w:tc>
      </w:tr>
    </w:tbl>
    <w:p w:rsidR="00135730" w:rsidRDefault="00135730">
      <w:pPr>
        <w:spacing w:after="200" w:line="276" w:lineRule="auto"/>
        <w:rPr>
          <w:i/>
          <w:sz w:val="28"/>
          <w:szCs w:val="28"/>
        </w:rPr>
      </w:pPr>
    </w:p>
    <w:p w:rsidR="009C1F7A" w:rsidRPr="00B86E9B" w:rsidRDefault="009C1F7A" w:rsidP="009C1F7A">
      <w:pPr>
        <w:tabs>
          <w:tab w:val="left" w:pos="3390"/>
        </w:tabs>
        <w:autoSpaceDE w:val="0"/>
        <w:autoSpaceDN w:val="0"/>
        <w:adjustRightInd w:val="0"/>
        <w:ind w:firstLine="720"/>
        <w:jc w:val="right"/>
        <w:rPr>
          <w:i/>
          <w:sz w:val="28"/>
          <w:szCs w:val="28"/>
        </w:rPr>
      </w:pPr>
      <w:r w:rsidRPr="00B86E9B">
        <w:rPr>
          <w:i/>
          <w:sz w:val="28"/>
          <w:szCs w:val="28"/>
        </w:rPr>
        <w:t>Tabula Nr.17: BKUS galvenie naturālie rādītāji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6"/>
        <w:gridCol w:w="2022"/>
        <w:gridCol w:w="2239"/>
      </w:tblGrid>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p>
        </w:tc>
        <w:tc>
          <w:tcPr>
            <w:tcW w:w="2022" w:type="dxa"/>
          </w:tcPr>
          <w:p w:rsidR="009C1F7A" w:rsidRPr="00B86E9B" w:rsidRDefault="009C1F7A" w:rsidP="00F519F5">
            <w:pPr>
              <w:shd w:val="clear" w:color="auto" w:fill="FFFFFF"/>
              <w:jc w:val="center"/>
              <w:rPr>
                <w:sz w:val="26"/>
                <w:szCs w:val="26"/>
              </w:rPr>
            </w:pPr>
            <w:r w:rsidRPr="00B86E9B">
              <w:rPr>
                <w:sz w:val="26"/>
                <w:szCs w:val="26"/>
              </w:rPr>
              <w:t>2012.gads</w:t>
            </w:r>
          </w:p>
        </w:tc>
        <w:tc>
          <w:tcPr>
            <w:tcW w:w="2239" w:type="dxa"/>
          </w:tcPr>
          <w:p w:rsidR="009C1F7A" w:rsidRPr="00B86E9B" w:rsidRDefault="009C1F7A" w:rsidP="00F519F5">
            <w:pPr>
              <w:shd w:val="clear" w:color="auto" w:fill="FFFFFF"/>
              <w:jc w:val="center"/>
              <w:rPr>
                <w:sz w:val="26"/>
                <w:szCs w:val="26"/>
              </w:rPr>
            </w:pPr>
            <w:r w:rsidRPr="00B86E9B">
              <w:rPr>
                <w:sz w:val="26"/>
                <w:szCs w:val="26"/>
              </w:rPr>
              <w:t>2011.gads</w:t>
            </w:r>
          </w:p>
        </w:tc>
      </w:tr>
      <w:tr w:rsidR="00455E48" w:rsidRPr="00B86E9B" w:rsidTr="00455E48">
        <w:trPr>
          <w:jc w:val="center"/>
        </w:trPr>
        <w:tc>
          <w:tcPr>
            <w:tcW w:w="5026" w:type="dxa"/>
            <w:shd w:val="clear" w:color="auto" w:fill="D9D9D9" w:themeFill="background1" w:themeFillShade="D9"/>
          </w:tcPr>
          <w:p w:rsidR="00455E48" w:rsidRPr="00B86E9B" w:rsidRDefault="00455E48" w:rsidP="00F519F5">
            <w:pPr>
              <w:rPr>
                <w:sz w:val="26"/>
                <w:szCs w:val="26"/>
              </w:rPr>
            </w:pPr>
            <w:r w:rsidRPr="00B86E9B">
              <w:rPr>
                <w:sz w:val="26"/>
                <w:szCs w:val="26"/>
              </w:rPr>
              <w:t>Darbinieku skaits [slodzes]</w:t>
            </w:r>
          </w:p>
        </w:tc>
        <w:tc>
          <w:tcPr>
            <w:tcW w:w="2022" w:type="dxa"/>
          </w:tcPr>
          <w:p w:rsidR="00455E48" w:rsidRPr="00B86E9B" w:rsidRDefault="00455E48" w:rsidP="00E958A1">
            <w:pPr>
              <w:jc w:val="center"/>
              <w:rPr>
                <w:bCs/>
                <w:sz w:val="26"/>
                <w:szCs w:val="26"/>
              </w:rPr>
            </w:pPr>
            <w:r w:rsidRPr="00B86E9B">
              <w:rPr>
                <w:bCs/>
                <w:sz w:val="26"/>
                <w:szCs w:val="26"/>
              </w:rPr>
              <w:t>2 007</w:t>
            </w:r>
          </w:p>
        </w:tc>
        <w:tc>
          <w:tcPr>
            <w:tcW w:w="2239" w:type="dxa"/>
          </w:tcPr>
          <w:p w:rsidR="00455E48" w:rsidRPr="00B86E9B" w:rsidRDefault="00455E48" w:rsidP="00E958A1">
            <w:pPr>
              <w:shd w:val="clear" w:color="auto" w:fill="FFFFFF"/>
              <w:jc w:val="center"/>
              <w:rPr>
                <w:sz w:val="26"/>
                <w:szCs w:val="26"/>
              </w:rPr>
            </w:pPr>
            <w:r w:rsidRPr="00B86E9B">
              <w:rPr>
                <w:sz w:val="26"/>
                <w:szCs w:val="26"/>
              </w:rPr>
              <w:t>2 320</w:t>
            </w:r>
          </w:p>
        </w:tc>
      </w:tr>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r w:rsidRPr="00B86E9B">
              <w:rPr>
                <w:sz w:val="26"/>
                <w:szCs w:val="26"/>
              </w:rPr>
              <w:t>Ambulatoro pacientu skaits [pacienti]</w:t>
            </w:r>
          </w:p>
        </w:tc>
        <w:tc>
          <w:tcPr>
            <w:tcW w:w="2022" w:type="dxa"/>
          </w:tcPr>
          <w:p w:rsidR="009C1F7A" w:rsidRPr="00B86E9B" w:rsidRDefault="009C1F7A" w:rsidP="00F519F5">
            <w:pPr>
              <w:shd w:val="clear" w:color="auto" w:fill="FFFFFF"/>
              <w:jc w:val="center"/>
              <w:rPr>
                <w:sz w:val="26"/>
                <w:szCs w:val="26"/>
              </w:rPr>
            </w:pPr>
            <w:r w:rsidRPr="00B86E9B">
              <w:rPr>
                <w:sz w:val="26"/>
                <w:szCs w:val="26"/>
              </w:rPr>
              <w:t>156 323</w:t>
            </w:r>
          </w:p>
        </w:tc>
        <w:tc>
          <w:tcPr>
            <w:tcW w:w="2239" w:type="dxa"/>
          </w:tcPr>
          <w:p w:rsidR="009C1F7A" w:rsidRPr="00B86E9B" w:rsidRDefault="009C1F7A" w:rsidP="00F519F5">
            <w:pPr>
              <w:shd w:val="clear" w:color="auto" w:fill="FFFFFF"/>
              <w:jc w:val="center"/>
              <w:rPr>
                <w:sz w:val="26"/>
                <w:szCs w:val="26"/>
              </w:rPr>
            </w:pPr>
            <w:r w:rsidRPr="00B86E9B">
              <w:rPr>
                <w:sz w:val="26"/>
                <w:szCs w:val="26"/>
              </w:rPr>
              <w:t>149 639</w:t>
            </w:r>
          </w:p>
        </w:tc>
      </w:tr>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r w:rsidRPr="00B86E9B">
              <w:rPr>
                <w:sz w:val="26"/>
                <w:szCs w:val="26"/>
              </w:rPr>
              <w:t>Stacionāro pacientu skaits [pacienti]</w:t>
            </w:r>
          </w:p>
        </w:tc>
        <w:tc>
          <w:tcPr>
            <w:tcW w:w="2022" w:type="dxa"/>
          </w:tcPr>
          <w:p w:rsidR="009C1F7A" w:rsidRPr="00B86E9B" w:rsidRDefault="009C1F7A" w:rsidP="00F519F5">
            <w:pPr>
              <w:jc w:val="center"/>
              <w:rPr>
                <w:sz w:val="26"/>
                <w:szCs w:val="26"/>
              </w:rPr>
            </w:pPr>
            <w:r w:rsidRPr="00B86E9B">
              <w:rPr>
                <w:sz w:val="26"/>
                <w:szCs w:val="26"/>
              </w:rPr>
              <w:t>29 605</w:t>
            </w:r>
          </w:p>
        </w:tc>
        <w:tc>
          <w:tcPr>
            <w:tcW w:w="2239" w:type="dxa"/>
          </w:tcPr>
          <w:p w:rsidR="009C1F7A" w:rsidRPr="00B86E9B" w:rsidRDefault="009C1F7A" w:rsidP="00F519F5">
            <w:pPr>
              <w:shd w:val="clear" w:color="auto" w:fill="FFFFFF"/>
              <w:jc w:val="center"/>
              <w:rPr>
                <w:sz w:val="26"/>
                <w:szCs w:val="26"/>
              </w:rPr>
            </w:pPr>
            <w:r w:rsidRPr="00B86E9B">
              <w:rPr>
                <w:sz w:val="26"/>
                <w:szCs w:val="26"/>
              </w:rPr>
              <w:t>32 102</w:t>
            </w:r>
          </w:p>
        </w:tc>
      </w:tr>
      <w:tr w:rsidR="009C1F7A" w:rsidRPr="00B86E9B" w:rsidTr="00455E48">
        <w:trPr>
          <w:jc w:val="center"/>
        </w:trPr>
        <w:tc>
          <w:tcPr>
            <w:tcW w:w="5026" w:type="dxa"/>
            <w:shd w:val="clear" w:color="auto" w:fill="D9D9D9" w:themeFill="background1" w:themeFillShade="D9"/>
          </w:tcPr>
          <w:p w:rsidR="009C1F7A" w:rsidRPr="00B86E9B" w:rsidRDefault="00FA3733" w:rsidP="00F519F5">
            <w:pPr>
              <w:rPr>
                <w:sz w:val="26"/>
                <w:szCs w:val="26"/>
              </w:rPr>
            </w:pPr>
            <w:r w:rsidRPr="00B86E9B">
              <w:rPr>
                <w:sz w:val="26"/>
                <w:szCs w:val="26"/>
              </w:rPr>
              <w:t>G</w:t>
            </w:r>
            <w:r w:rsidR="009C1F7A" w:rsidRPr="00B86E9B">
              <w:rPr>
                <w:sz w:val="26"/>
                <w:szCs w:val="26"/>
              </w:rPr>
              <w:t>ultas dienu skaits [dienas]</w:t>
            </w:r>
          </w:p>
        </w:tc>
        <w:tc>
          <w:tcPr>
            <w:tcW w:w="2022" w:type="dxa"/>
          </w:tcPr>
          <w:p w:rsidR="009C1F7A" w:rsidRPr="00B86E9B" w:rsidRDefault="009C1F7A" w:rsidP="00F519F5">
            <w:pPr>
              <w:jc w:val="center"/>
              <w:rPr>
                <w:bCs/>
                <w:sz w:val="26"/>
                <w:szCs w:val="26"/>
              </w:rPr>
            </w:pPr>
            <w:r w:rsidRPr="00B86E9B">
              <w:rPr>
                <w:bCs/>
                <w:sz w:val="26"/>
                <w:szCs w:val="26"/>
              </w:rPr>
              <w:t>140 925</w:t>
            </w:r>
          </w:p>
        </w:tc>
        <w:tc>
          <w:tcPr>
            <w:tcW w:w="2239" w:type="dxa"/>
          </w:tcPr>
          <w:p w:rsidR="009C1F7A" w:rsidRPr="00B86E9B" w:rsidRDefault="009C1F7A" w:rsidP="00F519F5">
            <w:pPr>
              <w:shd w:val="clear" w:color="auto" w:fill="FFFFFF"/>
              <w:jc w:val="center"/>
              <w:rPr>
                <w:sz w:val="26"/>
                <w:szCs w:val="26"/>
              </w:rPr>
            </w:pPr>
            <w:r w:rsidRPr="00B86E9B">
              <w:rPr>
                <w:sz w:val="26"/>
                <w:szCs w:val="26"/>
              </w:rPr>
              <w:t>161 829</w:t>
            </w:r>
          </w:p>
        </w:tc>
      </w:tr>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r w:rsidRPr="00B86E9B">
              <w:rPr>
                <w:sz w:val="26"/>
                <w:szCs w:val="26"/>
              </w:rPr>
              <w:t>Vidējais gultu skaits [gultas]</w:t>
            </w:r>
          </w:p>
        </w:tc>
        <w:tc>
          <w:tcPr>
            <w:tcW w:w="2022" w:type="dxa"/>
          </w:tcPr>
          <w:p w:rsidR="009C1F7A" w:rsidRPr="00B86E9B" w:rsidRDefault="009C1F7A" w:rsidP="00F519F5">
            <w:pPr>
              <w:jc w:val="center"/>
              <w:rPr>
                <w:bCs/>
                <w:sz w:val="26"/>
                <w:szCs w:val="26"/>
              </w:rPr>
            </w:pPr>
            <w:r w:rsidRPr="00B86E9B">
              <w:rPr>
                <w:bCs/>
                <w:sz w:val="26"/>
                <w:szCs w:val="26"/>
              </w:rPr>
              <w:t>511</w:t>
            </w:r>
          </w:p>
        </w:tc>
        <w:tc>
          <w:tcPr>
            <w:tcW w:w="2239" w:type="dxa"/>
          </w:tcPr>
          <w:p w:rsidR="009C1F7A" w:rsidRPr="00B86E9B" w:rsidRDefault="009C1F7A" w:rsidP="00F519F5">
            <w:pPr>
              <w:shd w:val="clear" w:color="auto" w:fill="FFFFFF"/>
              <w:jc w:val="center"/>
              <w:rPr>
                <w:sz w:val="26"/>
                <w:szCs w:val="26"/>
              </w:rPr>
            </w:pPr>
            <w:r w:rsidRPr="00B86E9B">
              <w:rPr>
                <w:sz w:val="26"/>
                <w:szCs w:val="26"/>
              </w:rPr>
              <w:t>614</w:t>
            </w:r>
          </w:p>
        </w:tc>
      </w:tr>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r w:rsidRPr="00B86E9B">
              <w:rPr>
                <w:sz w:val="26"/>
                <w:szCs w:val="26"/>
              </w:rPr>
              <w:t>Gultu noslogojums [procentos]</w:t>
            </w:r>
          </w:p>
        </w:tc>
        <w:tc>
          <w:tcPr>
            <w:tcW w:w="2022" w:type="dxa"/>
          </w:tcPr>
          <w:p w:rsidR="009C1F7A" w:rsidRPr="00B86E9B" w:rsidRDefault="009C1F7A" w:rsidP="00F519F5">
            <w:pPr>
              <w:jc w:val="center"/>
              <w:rPr>
                <w:bCs/>
                <w:sz w:val="26"/>
                <w:szCs w:val="26"/>
              </w:rPr>
            </w:pPr>
            <w:r w:rsidRPr="00B86E9B">
              <w:rPr>
                <w:bCs/>
                <w:sz w:val="26"/>
                <w:szCs w:val="26"/>
              </w:rPr>
              <w:t>75,56%</w:t>
            </w:r>
          </w:p>
        </w:tc>
        <w:tc>
          <w:tcPr>
            <w:tcW w:w="2239" w:type="dxa"/>
          </w:tcPr>
          <w:p w:rsidR="009C1F7A" w:rsidRPr="00B86E9B" w:rsidRDefault="009C1F7A" w:rsidP="00F519F5">
            <w:pPr>
              <w:shd w:val="clear" w:color="auto" w:fill="FFFFFF"/>
              <w:jc w:val="center"/>
              <w:rPr>
                <w:sz w:val="26"/>
                <w:szCs w:val="26"/>
              </w:rPr>
            </w:pPr>
            <w:r w:rsidRPr="00B86E9B">
              <w:rPr>
                <w:sz w:val="26"/>
                <w:szCs w:val="26"/>
              </w:rPr>
              <w:t>72,21%</w:t>
            </w:r>
          </w:p>
        </w:tc>
      </w:tr>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r w:rsidRPr="00B86E9B">
              <w:rPr>
                <w:sz w:val="26"/>
                <w:szCs w:val="26"/>
              </w:rPr>
              <w:t>Vidējais ārstēšanās ilgums [dienas]</w:t>
            </w:r>
          </w:p>
        </w:tc>
        <w:tc>
          <w:tcPr>
            <w:tcW w:w="2022" w:type="dxa"/>
          </w:tcPr>
          <w:p w:rsidR="009C1F7A" w:rsidRPr="00B86E9B" w:rsidRDefault="009C1F7A" w:rsidP="00F519F5">
            <w:pPr>
              <w:jc w:val="center"/>
              <w:rPr>
                <w:sz w:val="26"/>
                <w:szCs w:val="26"/>
              </w:rPr>
            </w:pPr>
            <w:r w:rsidRPr="00B86E9B">
              <w:rPr>
                <w:sz w:val="26"/>
                <w:szCs w:val="26"/>
              </w:rPr>
              <w:t>4,8</w:t>
            </w:r>
          </w:p>
        </w:tc>
        <w:tc>
          <w:tcPr>
            <w:tcW w:w="2239" w:type="dxa"/>
          </w:tcPr>
          <w:p w:rsidR="009C1F7A" w:rsidRPr="00B86E9B" w:rsidRDefault="009C1F7A" w:rsidP="00F519F5">
            <w:pPr>
              <w:shd w:val="clear" w:color="auto" w:fill="FFFFFF"/>
              <w:jc w:val="center"/>
              <w:rPr>
                <w:sz w:val="26"/>
                <w:szCs w:val="26"/>
              </w:rPr>
            </w:pPr>
            <w:r w:rsidRPr="00B86E9B">
              <w:rPr>
                <w:sz w:val="26"/>
                <w:szCs w:val="26"/>
              </w:rPr>
              <w:t>5,04</w:t>
            </w:r>
          </w:p>
        </w:tc>
      </w:tr>
      <w:tr w:rsidR="009C1F7A" w:rsidRPr="00B86E9B" w:rsidTr="00455E48">
        <w:trPr>
          <w:jc w:val="center"/>
        </w:trPr>
        <w:tc>
          <w:tcPr>
            <w:tcW w:w="5026" w:type="dxa"/>
            <w:shd w:val="clear" w:color="auto" w:fill="D9D9D9" w:themeFill="background1" w:themeFillShade="D9"/>
          </w:tcPr>
          <w:p w:rsidR="009C1F7A" w:rsidRPr="00B86E9B" w:rsidRDefault="009C1F7A" w:rsidP="00F519F5">
            <w:pPr>
              <w:rPr>
                <w:sz w:val="26"/>
                <w:szCs w:val="26"/>
              </w:rPr>
            </w:pPr>
            <w:r w:rsidRPr="00B86E9B">
              <w:rPr>
                <w:sz w:val="26"/>
                <w:szCs w:val="26"/>
              </w:rPr>
              <w:t>Telpu kopējā platība [kvadrātmetros]</w:t>
            </w:r>
          </w:p>
        </w:tc>
        <w:tc>
          <w:tcPr>
            <w:tcW w:w="2022" w:type="dxa"/>
          </w:tcPr>
          <w:p w:rsidR="009C1F7A" w:rsidRPr="00B86E9B" w:rsidRDefault="009C1F7A" w:rsidP="00F519F5">
            <w:pPr>
              <w:jc w:val="center"/>
              <w:rPr>
                <w:bCs/>
                <w:sz w:val="26"/>
                <w:szCs w:val="26"/>
              </w:rPr>
            </w:pPr>
            <w:r w:rsidRPr="00B86E9B">
              <w:rPr>
                <w:bCs/>
                <w:sz w:val="26"/>
                <w:szCs w:val="26"/>
              </w:rPr>
              <w:t>70 405</w:t>
            </w:r>
          </w:p>
        </w:tc>
        <w:tc>
          <w:tcPr>
            <w:tcW w:w="2239" w:type="dxa"/>
          </w:tcPr>
          <w:p w:rsidR="009C1F7A" w:rsidRPr="00B86E9B" w:rsidRDefault="009C1F7A" w:rsidP="00F519F5">
            <w:pPr>
              <w:shd w:val="clear" w:color="auto" w:fill="FFFFFF"/>
              <w:jc w:val="center"/>
              <w:rPr>
                <w:sz w:val="26"/>
                <w:szCs w:val="26"/>
              </w:rPr>
            </w:pPr>
            <w:r w:rsidRPr="00B86E9B">
              <w:rPr>
                <w:sz w:val="26"/>
                <w:szCs w:val="26"/>
              </w:rPr>
              <w:t>67 996</w:t>
            </w:r>
          </w:p>
        </w:tc>
      </w:tr>
    </w:tbl>
    <w:p w:rsidR="009C1F7A" w:rsidRPr="00B86E9B" w:rsidRDefault="009C1F7A" w:rsidP="009C1F7A">
      <w:pPr>
        <w:jc w:val="both"/>
        <w:rPr>
          <w:sz w:val="28"/>
          <w:szCs w:val="28"/>
        </w:rPr>
      </w:pPr>
    </w:p>
    <w:p w:rsidR="009C1F7A" w:rsidRPr="00B86E9B" w:rsidRDefault="009C1F7A" w:rsidP="009C1F7A">
      <w:pPr>
        <w:ind w:firstLine="720"/>
        <w:jc w:val="both"/>
        <w:rPr>
          <w:sz w:val="28"/>
          <w:szCs w:val="28"/>
        </w:rPr>
      </w:pPr>
      <w:r w:rsidRPr="00B86E9B">
        <w:rPr>
          <w:sz w:val="28"/>
          <w:szCs w:val="28"/>
        </w:rPr>
        <w:t xml:space="preserve">BKUS kopējie ieņēmumi 2012.gadā bija 20 567 257 LVL, kas </w:t>
      </w:r>
      <w:r w:rsidR="00E02FF3" w:rsidRPr="00B86E9B">
        <w:rPr>
          <w:sz w:val="28"/>
          <w:szCs w:val="28"/>
        </w:rPr>
        <w:t xml:space="preserve">bija </w:t>
      </w:r>
      <w:r w:rsidRPr="00B86E9B">
        <w:rPr>
          <w:sz w:val="28"/>
          <w:szCs w:val="28"/>
        </w:rPr>
        <w:t xml:space="preserve">par </w:t>
      </w:r>
      <w:r w:rsidR="00E02FF3" w:rsidRPr="00B86E9B">
        <w:rPr>
          <w:sz w:val="28"/>
          <w:szCs w:val="28"/>
        </w:rPr>
        <w:t>1 659 </w:t>
      </w:r>
      <w:r w:rsidRPr="00B86E9B">
        <w:rPr>
          <w:sz w:val="28"/>
          <w:szCs w:val="28"/>
        </w:rPr>
        <w:t xml:space="preserve">114 LVL (7,5%) mazāki nekā plānots, bet par 330 046 LVL (1,6%) </w:t>
      </w:r>
      <w:r w:rsidR="00DA1CDA" w:rsidRPr="00B86E9B">
        <w:rPr>
          <w:sz w:val="28"/>
          <w:szCs w:val="28"/>
        </w:rPr>
        <w:t xml:space="preserve">lielāki </w:t>
      </w:r>
      <w:r w:rsidRPr="00B86E9B">
        <w:rPr>
          <w:sz w:val="28"/>
          <w:szCs w:val="28"/>
        </w:rPr>
        <w:t xml:space="preserve">nekā kopējie ieņēmumi 2011.gadā. </w:t>
      </w:r>
    </w:p>
    <w:p w:rsidR="00FA3733" w:rsidRPr="00B86E9B" w:rsidRDefault="009C1F7A" w:rsidP="00966CBD">
      <w:pPr>
        <w:ind w:firstLine="720"/>
        <w:jc w:val="both"/>
        <w:rPr>
          <w:sz w:val="28"/>
          <w:szCs w:val="28"/>
        </w:rPr>
      </w:pPr>
      <w:r w:rsidRPr="00B86E9B">
        <w:rPr>
          <w:sz w:val="28"/>
          <w:szCs w:val="28"/>
        </w:rPr>
        <w:t>2012.gadā BKUS ieņēmumi no valsts budžeta līdzekļiem ārstniecības pakalpojumiem bija 18 803 574 LVL, kas, salīdzinot ar 2012.gada plānu, bija par 663 295 LVL (3,7%)</w:t>
      </w:r>
      <w:r w:rsidR="00A852ED" w:rsidRPr="00B86E9B">
        <w:rPr>
          <w:sz w:val="28"/>
          <w:szCs w:val="28"/>
        </w:rPr>
        <w:t xml:space="preserve"> lielāki</w:t>
      </w:r>
      <w:r w:rsidRPr="00B86E9B">
        <w:rPr>
          <w:sz w:val="28"/>
          <w:szCs w:val="28"/>
        </w:rPr>
        <w:t xml:space="preserve">, un salīdzinot ar 2011.gadu, bija par </w:t>
      </w:r>
      <w:r w:rsidRPr="00B86E9B">
        <w:rPr>
          <w:sz w:val="28"/>
          <w:szCs w:val="28"/>
        </w:rPr>
        <w:br/>
        <w:t>1 495 074 LVL (8,6%)</w:t>
      </w:r>
      <w:r w:rsidR="00A852ED" w:rsidRPr="00B86E9B">
        <w:rPr>
          <w:sz w:val="28"/>
          <w:szCs w:val="28"/>
        </w:rPr>
        <w:t xml:space="preserve"> lielāki</w:t>
      </w:r>
      <w:r w:rsidRPr="00B86E9B">
        <w:rPr>
          <w:sz w:val="28"/>
          <w:szCs w:val="28"/>
        </w:rPr>
        <w:t>. Savukārt, ieņēmumi no maksas pakalpojumiem 2012.gadā bija 425 461 LVL, kas, salīdzinot ar 2012.gada plānu, bija par 1 154 539 LVL (73,1%)</w:t>
      </w:r>
      <w:r w:rsidR="00EA001F" w:rsidRPr="00B86E9B">
        <w:rPr>
          <w:sz w:val="28"/>
          <w:szCs w:val="28"/>
        </w:rPr>
        <w:t xml:space="preserve"> mazāki</w:t>
      </w:r>
      <w:r w:rsidRPr="00B86E9B">
        <w:rPr>
          <w:sz w:val="28"/>
          <w:szCs w:val="28"/>
        </w:rPr>
        <w:t xml:space="preserve">, bet, salīdzinot ar 2011.gadu, palielinājās par </w:t>
      </w:r>
      <w:r w:rsidRPr="00B86E9B">
        <w:rPr>
          <w:sz w:val="28"/>
          <w:szCs w:val="28"/>
        </w:rPr>
        <w:br/>
        <w:t>80 652 LVL (23,4%), kas ir vērtējams pozitīvi.</w:t>
      </w:r>
      <w:r w:rsidR="00FA3733" w:rsidRPr="00B86E9B">
        <w:rPr>
          <w:sz w:val="28"/>
          <w:szCs w:val="28"/>
        </w:rPr>
        <w:t xml:space="preserve"> Maksas pakalpojumu neizpilde pret plānoto ir skaidrojama ar visai zemo iedzīvotāju maksātspēju un nevēlēšanos maksāt par bērnu veselības aprūpi valsts ārstniecības iestādē. Maksas pakalpojumu ieņēmumus īstenot plānotā apmērā traucējuši arī īstenotie ēku būvniecības un renovācijas pasākumi, kas ierobežojuši iespēj</w:t>
      </w:r>
      <w:r w:rsidR="00AE2951" w:rsidRPr="00B86E9B">
        <w:rPr>
          <w:sz w:val="28"/>
          <w:szCs w:val="28"/>
        </w:rPr>
        <w:t xml:space="preserve">as sniegt </w:t>
      </w:r>
      <w:r w:rsidR="00AE2951" w:rsidRPr="00B86E9B">
        <w:rPr>
          <w:sz w:val="28"/>
          <w:szCs w:val="28"/>
        </w:rPr>
        <w:lastRenderedPageBreak/>
        <w:t>servisa pakalpojumus.</w:t>
      </w:r>
      <w:r w:rsidR="00966CBD" w:rsidRPr="00B86E9B">
        <w:rPr>
          <w:sz w:val="28"/>
          <w:szCs w:val="28"/>
        </w:rPr>
        <w:t xml:space="preserve"> </w:t>
      </w:r>
      <w:r w:rsidR="00106322" w:rsidRPr="00B86E9B">
        <w:rPr>
          <w:sz w:val="28"/>
          <w:szCs w:val="28"/>
        </w:rPr>
        <w:t xml:space="preserve">Pārējie ieņēmumi 2012.gadā bija 1 338 222 LVL, kas, salīdzinot ar 2012.gada plānu, samazinājušies par  1 167 870 LVL (46,6%), un, salīdzinot ar 2011.gadu, samazinājušies par 1 245 680 LVL (48,2%). </w:t>
      </w:r>
      <w:r w:rsidR="00FA3733" w:rsidRPr="00B86E9B">
        <w:rPr>
          <w:sz w:val="28"/>
          <w:szCs w:val="28"/>
        </w:rPr>
        <w:t>BKUS pārējos ieņēmumus 1 338 222 LVL apmērā veido pašu nopelnītie līdzekļi no saimnieciskās darbības, kas nav tieši saistīta ar ārstniecību, kā arī citi ieņēmumi kā, piemēram,  ieņēmumos ieskaitītās dotācijas, dāvinājumi, atbilstoši dāvināto pamatlīdzekļu nolietojumam par pārskata periodu, soda naudas, ieņēmumi no līdzdalības projektos.</w:t>
      </w:r>
    </w:p>
    <w:p w:rsidR="009C1F7A" w:rsidRPr="00B86E9B" w:rsidRDefault="009C1F7A" w:rsidP="00FA3733">
      <w:pPr>
        <w:jc w:val="both"/>
        <w:rPr>
          <w:sz w:val="28"/>
          <w:szCs w:val="28"/>
        </w:rPr>
      </w:pPr>
    </w:p>
    <w:p w:rsidR="009C1F7A" w:rsidRPr="00B86E9B" w:rsidRDefault="00BC21F9" w:rsidP="009C1F7A">
      <w:pPr>
        <w:tabs>
          <w:tab w:val="left" w:pos="3390"/>
        </w:tabs>
        <w:autoSpaceDE w:val="0"/>
        <w:autoSpaceDN w:val="0"/>
        <w:adjustRightInd w:val="0"/>
        <w:ind w:firstLine="720"/>
        <w:jc w:val="right"/>
        <w:rPr>
          <w:i/>
          <w:sz w:val="28"/>
          <w:szCs w:val="28"/>
        </w:rPr>
      </w:pPr>
      <w:r w:rsidRPr="00B86E9B">
        <w:rPr>
          <w:i/>
          <w:sz w:val="28"/>
          <w:szCs w:val="28"/>
        </w:rPr>
        <w:t xml:space="preserve">Tabula Nr.18: BKUS ieņēmumu </w:t>
      </w:r>
      <w:r w:rsidR="00EA734D" w:rsidRPr="00B86E9B">
        <w:rPr>
          <w:i/>
          <w:sz w:val="28"/>
          <w:szCs w:val="28"/>
        </w:rPr>
        <w:t>apjoms</w:t>
      </w:r>
      <w:r w:rsidR="009C1F7A" w:rsidRPr="00B86E9B">
        <w:rPr>
          <w:i/>
          <w:sz w:val="28"/>
          <w:szCs w:val="28"/>
        </w:rPr>
        <w:t xml:space="preserve"> [LVL]</w:t>
      </w:r>
    </w:p>
    <w:tbl>
      <w:tblPr>
        <w:tblStyle w:val="Reatabula"/>
        <w:tblW w:w="0" w:type="auto"/>
        <w:jc w:val="center"/>
        <w:tblInd w:w="-671" w:type="dxa"/>
        <w:tblLook w:val="04A0"/>
      </w:tblPr>
      <w:tblGrid>
        <w:gridCol w:w="2505"/>
        <w:gridCol w:w="1459"/>
        <w:gridCol w:w="1531"/>
        <w:gridCol w:w="1623"/>
      </w:tblGrid>
      <w:tr w:rsidR="009C1F7A" w:rsidRPr="00B86E9B" w:rsidTr="00F519F5">
        <w:trPr>
          <w:jc w:val="center"/>
        </w:trPr>
        <w:tc>
          <w:tcPr>
            <w:tcW w:w="2505" w:type="dxa"/>
            <w:shd w:val="clear" w:color="auto" w:fill="D9D9D9" w:themeFill="background1" w:themeFillShade="D9"/>
            <w:vAlign w:val="center"/>
          </w:tcPr>
          <w:p w:rsidR="009C1F7A" w:rsidRPr="00B86E9B" w:rsidRDefault="009C1F7A" w:rsidP="00F519F5">
            <w:pPr>
              <w:rPr>
                <w:sz w:val="26"/>
                <w:szCs w:val="26"/>
              </w:rPr>
            </w:pPr>
          </w:p>
        </w:tc>
        <w:tc>
          <w:tcPr>
            <w:tcW w:w="1459" w:type="dxa"/>
            <w:shd w:val="clear" w:color="auto" w:fill="D9D9D9" w:themeFill="background1" w:themeFillShade="D9"/>
            <w:vAlign w:val="center"/>
          </w:tcPr>
          <w:p w:rsidR="009C1F7A" w:rsidRPr="00B86E9B" w:rsidRDefault="009C1F7A" w:rsidP="00F519F5">
            <w:pPr>
              <w:jc w:val="center"/>
              <w:rPr>
                <w:sz w:val="26"/>
                <w:szCs w:val="26"/>
              </w:rPr>
            </w:pPr>
            <w:r w:rsidRPr="00B86E9B">
              <w:rPr>
                <w:sz w:val="26"/>
                <w:szCs w:val="26"/>
              </w:rPr>
              <w:t>2011.gads</w:t>
            </w:r>
          </w:p>
        </w:tc>
        <w:tc>
          <w:tcPr>
            <w:tcW w:w="3154" w:type="dxa"/>
            <w:gridSpan w:val="2"/>
            <w:shd w:val="clear" w:color="auto" w:fill="D9D9D9" w:themeFill="background1" w:themeFillShade="D9"/>
          </w:tcPr>
          <w:p w:rsidR="009C1F7A" w:rsidRPr="00B86E9B" w:rsidRDefault="009C1F7A" w:rsidP="00F519F5">
            <w:pPr>
              <w:jc w:val="center"/>
              <w:rPr>
                <w:sz w:val="26"/>
                <w:szCs w:val="26"/>
              </w:rPr>
            </w:pPr>
            <w:r w:rsidRPr="00B86E9B">
              <w:rPr>
                <w:sz w:val="26"/>
                <w:szCs w:val="26"/>
              </w:rPr>
              <w:t>2012.gads</w:t>
            </w:r>
          </w:p>
        </w:tc>
      </w:tr>
      <w:tr w:rsidR="009C1F7A" w:rsidRPr="00B86E9B" w:rsidTr="00F519F5">
        <w:trPr>
          <w:jc w:val="center"/>
        </w:trPr>
        <w:tc>
          <w:tcPr>
            <w:tcW w:w="2505" w:type="dxa"/>
            <w:shd w:val="clear" w:color="auto" w:fill="D9D9D9" w:themeFill="background1" w:themeFillShade="D9"/>
            <w:vAlign w:val="center"/>
          </w:tcPr>
          <w:p w:rsidR="009C1F7A" w:rsidRPr="00B86E9B" w:rsidRDefault="009C1F7A" w:rsidP="00F519F5">
            <w:pPr>
              <w:rPr>
                <w:sz w:val="26"/>
                <w:szCs w:val="26"/>
              </w:rPr>
            </w:pPr>
            <w:r w:rsidRPr="00B86E9B">
              <w:rPr>
                <w:sz w:val="26"/>
                <w:szCs w:val="26"/>
              </w:rPr>
              <w:t>Ieņēmumi</w:t>
            </w:r>
          </w:p>
        </w:tc>
        <w:tc>
          <w:tcPr>
            <w:tcW w:w="1459" w:type="dxa"/>
            <w:shd w:val="clear" w:color="auto" w:fill="D9D9D9" w:themeFill="background1" w:themeFillShade="D9"/>
            <w:vAlign w:val="center"/>
          </w:tcPr>
          <w:p w:rsidR="009C1F7A" w:rsidRPr="00B86E9B" w:rsidRDefault="009C1F7A" w:rsidP="00F519F5">
            <w:pPr>
              <w:jc w:val="center"/>
              <w:rPr>
                <w:sz w:val="26"/>
                <w:szCs w:val="26"/>
              </w:rPr>
            </w:pPr>
            <w:r w:rsidRPr="00B86E9B">
              <w:rPr>
                <w:sz w:val="26"/>
                <w:szCs w:val="26"/>
              </w:rPr>
              <w:t>Izpilde</w:t>
            </w:r>
          </w:p>
        </w:tc>
        <w:tc>
          <w:tcPr>
            <w:tcW w:w="1531" w:type="dxa"/>
            <w:shd w:val="clear" w:color="auto" w:fill="D9D9D9" w:themeFill="background1" w:themeFillShade="D9"/>
          </w:tcPr>
          <w:p w:rsidR="009C1F7A" w:rsidRPr="00B86E9B" w:rsidRDefault="009C1F7A" w:rsidP="00F519F5">
            <w:pPr>
              <w:jc w:val="center"/>
              <w:rPr>
                <w:sz w:val="26"/>
                <w:szCs w:val="26"/>
              </w:rPr>
            </w:pPr>
            <w:r w:rsidRPr="00B86E9B">
              <w:rPr>
                <w:sz w:val="26"/>
                <w:szCs w:val="26"/>
              </w:rPr>
              <w:t>Plāns</w:t>
            </w:r>
          </w:p>
        </w:tc>
        <w:tc>
          <w:tcPr>
            <w:tcW w:w="1623" w:type="dxa"/>
            <w:shd w:val="clear" w:color="auto" w:fill="D9D9D9" w:themeFill="background1" w:themeFillShade="D9"/>
          </w:tcPr>
          <w:p w:rsidR="009C1F7A" w:rsidRPr="00B86E9B" w:rsidRDefault="009C1F7A" w:rsidP="00F519F5">
            <w:pPr>
              <w:jc w:val="center"/>
              <w:rPr>
                <w:sz w:val="26"/>
                <w:szCs w:val="26"/>
              </w:rPr>
            </w:pPr>
            <w:r w:rsidRPr="00B86E9B">
              <w:rPr>
                <w:sz w:val="26"/>
                <w:szCs w:val="26"/>
              </w:rPr>
              <w:t>Izpilde</w:t>
            </w:r>
          </w:p>
        </w:tc>
      </w:tr>
      <w:tr w:rsidR="0042158E" w:rsidRPr="00B86E9B" w:rsidTr="0042158E">
        <w:trPr>
          <w:jc w:val="center"/>
        </w:trPr>
        <w:tc>
          <w:tcPr>
            <w:tcW w:w="2505" w:type="dxa"/>
            <w:vAlign w:val="center"/>
          </w:tcPr>
          <w:p w:rsidR="0042158E" w:rsidRPr="00B86E9B" w:rsidRDefault="0042158E" w:rsidP="00CD38DA">
            <w:pPr>
              <w:rPr>
                <w:sz w:val="26"/>
                <w:szCs w:val="26"/>
              </w:rPr>
            </w:pPr>
            <w:r w:rsidRPr="00B86E9B">
              <w:rPr>
                <w:sz w:val="26"/>
                <w:szCs w:val="26"/>
              </w:rPr>
              <w:t>Kopējie ieņēmumi, t.sk.:</w:t>
            </w:r>
          </w:p>
        </w:tc>
        <w:tc>
          <w:tcPr>
            <w:tcW w:w="1459" w:type="dxa"/>
            <w:vAlign w:val="center"/>
          </w:tcPr>
          <w:p w:rsidR="0042158E" w:rsidRPr="00B86E9B" w:rsidRDefault="0042158E" w:rsidP="0042158E">
            <w:pPr>
              <w:jc w:val="center"/>
              <w:rPr>
                <w:color w:val="000000"/>
                <w:sz w:val="26"/>
                <w:szCs w:val="26"/>
              </w:rPr>
            </w:pPr>
            <w:r w:rsidRPr="00B86E9B">
              <w:rPr>
                <w:color w:val="000000"/>
                <w:sz w:val="26"/>
                <w:szCs w:val="26"/>
              </w:rPr>
              <w:t>20 237 211</w:t>
            </w:r>
          </w:p>
        </w:tc>
        <w:tc>
          <w:tcPr>
            <w:tcW w:w="1531" w:type="dxa"/>
            <w:vAlign w:val="center"/>
          </w:tcPr>
          <w:p w:rsidR="0042158E" w:rsidRPr="00B86E9B" w:rsidRDefault="0042158E" w:rsidP="0042158E">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22 226 371</w:t>
            </w:r>
          </w:p>
        </w:tc>
        <w:tc>
          <w:tcPr>
            <w:tcW w:w="1623" w:type="dxa"/>
            <w:vAlign w:val="center"/>
          </w:tcPr>
          <w:p w:rsidR="0042158E" w:rsidRPr="00B86E9B" w:rsidRDefault="0042158E" w:rsidP="0042158E">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20 567 257</w:t>
            </w:r>
          </w:p>
        </w:tc>
      </w:tr>
      <w:tr w:rsidR="0042158E" w:rsidRPr="00B86E9B" w:rsidTr="0042158E">
        <w:trPr>
          <w:jc w:val="center"/>
        </w:trPr>
        <w:tc>
          <w:tcPr>
            <w:tcW w:w="2505" w:type="dxa"/>
            <w:vAlign w:val="center"/>
          </w:tcPr>
          <w:p w:rsidR="0042158E" w:rsidRPr="00B86E9B" w:rsidRDefault="0042158E" w:rsidP="00CD38DA">
            <w:pPr>
              <w:rPr>
                <w:sz w:val="26"/>
                <w:szCs w:val="26"/>
              </w:rPr>
            </w:pPr>
            <w:r w:rsidRPr="00B86E9B">
              <w:rPr>
                <w:sz w:val="26"/>
                <w:szCs w:val="26"/>
              </w:rPr>
              <w:t xml:space="preserve">Maksas ārstniecības pakalpojumi </w:t>
            </w:r>
          </w:p>
        </w:tc>
        <w:tc>
          <w:tcPr>
            <w:tcW w:w="1459" w:type="dxa"/>
            <w:vAlign w:val="center"/>
          </w:tcPr>
          <w:p w:rsidR="0042158E" w:rsidRPr="00B86E9B" w:rsidRDefault="0042158E" w:rsidP="0042158E">
            <w:pPr>
              <w:jc w:val="center"/>
              <w:rPr>
                <w:color w:val="000000"/>
                <w:sz w:val="26"/>
                <w:szCs w:val="26"/>
              </w:rPr>
            </w:pPr>
            <w:r w:rsidRPr="00B86E9B">
              <w:rPr>
                <w:color w:val="000000"/>
                <w:sz w:val="26"/>
                <w:szCs w:val="26"/>
              </w:rPr>
              <w:t>344 809</w:t>
            </w:r>
          </w:p>
        </w:tc>
        <w:tc>
          <w:tcPr>
            <w:tcW w:w="1531" w:type="dxa"/>
            <w:vAlign w:val="center"/>
          </w:tcPr>
          <w:p w:rsidR="0042158E" w:rsidRPr="00B86E9B" w:rsidRDefault="0042158E" w:rsidP="0042158E">
            <w:pPr>
              <w:jc w:val="center"/>
              <w:rPr>
                <w:bCs/>
                <w:color w:val="000000"/>
                <w:sz w:val="26"/>
                <w:szCs w:val="26"/>
              </w:rPr>
            </w:pPr>
            <w:r w:rsidRPr="00B86E9B">
              <w:rPr>
                <w:bCs/>
                <w:color w:val="000000"/>
                <w:sz w:val="26"/>
                <w:szCs w:val="26"/>
              </w:rPr>
              <w:t>1 580 000</w:t>
            </w:r>
          </w:p>
        </w:tc>
        <w:tc>
          <w:tcPr>
            <w:tcW w:w="1623" w:type="dxa"/>
            <w:vAlign w:val="center"/>
          </w:tcPr>
          <w:p w:rsidR="0042158E" w:rsidRPr="00B86E9B" w:rsidRDefault="0042158E" w:rsidP="0042158E">
            <w:pPr>
              <w:jc w:val="center"/>
              <w:rPr>
                <w:bCs/>
                <w:color w:val="000000"/>
                <w:sz w:val="26"/>
                <w:szCs w:val="26"/>
              </w:rPr>
            </w:pPr>
            <w:r w:rsidRPr="00B86E9B">
              <w:rPr>
                <w:sz w:val="26"/>
                <w:szCs w:val="26"/>
              </w:rPr>
              <w:t>425 461</w:t>
            </w:r>
          </w:p>
        </w:tc>
      </w:tr>
      <w:tr w:rsidR="0042158E" w:rsidRPr="00B86E9B" w:rsidTr="0042158E">
        <w:trPr>
          <w:jc w:val="center"/>
        </w:trPr>
        <w:tc>
          <w:tcPr>
            <w:tcW w:w="2505" w:type="dxa"/>
            <w:vAlign w:val="center"/>
          </w:tcPr>
          <w:p w:rsidR="0042158E" w:rsidRPr="00B86E9B" w:rsidRDefault="0042158E" w:rsidP="00CD38DA">
            <w:pPr>
              <w:rPr>
                <w:sz w:val="26"/>
                <w:szCs w:val="26"/>
              </w:rPr>
            </w:pPr>
            <w:r w:rsidRPr="00B86E9B">
              <w:rPr>
                <w:sz w:val="26"/>
                <w:szCs w:val="26"/>
              </w:rPr>
              <w:t>Valsts budžeta līdzekļi ārstniecības pakalpojumiem</w:t>
            </w:r>
          </w:p>
        </w:tc>
        <w:tc>
          <w:tcPr>
            <w:tcW w:w="1459" w:type="dxa"/>
            <w:vAlign w:val="center"/>
          </w:tcPr>
          <w:p w:rsidR="0042158E" w:rsidRPr="00B86E9B" w:rsidRDefault="0042158E" w:rsidP="0042158E">
            <w:pPr>
              <w:jc w:val="center"/>
              <w:rPr>
                <w:bCs/>
                <w:color w:val="000000"/>
                <w:sz w:val="26"/>
                <w:szCs w:val="26"/>
              </w:rPr>
            </w:pPr>
            <w:r w:rsidRPr="00B86E9B">
              <w:rPr>
                <w:bCs/>
                <w:color w:val="000000"/>
                <w:sz w:val="26"/>
                <w:szCs w:val="26"/>
              </w:rPr>
              <w:t>17 308 500</w:t>
            </w:r>
          </w:p>
        </w:tc>
        <w:tc>
          <w:tcPr>
            <w:tcW w:w="1531" w:type="dxa"/>
            <w:vAlign w:val="center"/>
          </w:tcPr>
          <w:p w:rsidR="0042158E" w:rsidRPr="00B86E9B" w:rsidRDefault="0042158E" w:rsidP="0042158E">
            <w:pPr>
              <w:jc w:val="center"/>
              <w:rPr>
                <w:bCs/>
                <w:color w:val="000000"/>
                <w:sz w:val="26"/>
                <w:szCs w:val="26"/>
              </w:rPr>
            </w:pPr>
            <w:r w:rsidRPr="00B86E9B">
              <w:rPr>
                <w:bCs/>
                <w:color w:val="000000"/>
                <w:sz w:val="26"/>
                <w:szCs w:val="26"/>
              </w:rPr>
              <w:t>18 140 279</w:t>
            </w:r>
          </w:p>
        </w:tc>
        <w:tc>
          <w:tcPr>
            <w:tcW w:w="1623" w:type="dxa"/>
            <w:vAlign w:val="center"/>
          </w:tcPr>
          <w:p w:rsidR="0042158E" w:rsidRPr="00B86E9B" w:rsidRDefault="0042158E" w:rsidP="0042158E">
            <w:pPr>
              <w:jc w:val="center"/>
              <w:rPr>
                <w:bCs/>
                <w:color w:val="000000"/>
                <w:sz w:val="26"/>
                <w:szCs w:val="26"/>
              </w:rPr>
            </w:pPr>
            <w:r w:rsidRPr="00B86E9B">
              <w:rPr>
                <w:sz w:val="26"/>
                <w:szCs w:val="26"/>
              </w:rPr>
              <w:t>18 803 574</w:t>
            </w:r>
          </w:p>
        </w:tc>
      </w:tr>
      <w:tr w:rsidR="0042158E" w:rsidRPr="00B86E9B" w:rsidTr="0042158E">
        <w:trPr>
          <w:jc w:val="center"/>
        </w:trPr>
        <w:tc>
          <w:tcPr>
            <w:tcW w:w="2505" w:type="dxa"/>
            <w:vAlign w:val="center"/>
          </w:tcPr>
          <w:p w:rsidR="0042158E" w:rsidRPr="00B86E9B" w:rsidRDefault="0042158E" w:rsidP="00CD38DA">
            <w:pPr>
              <w:rPr>
                <w:sz w:val="26"/>
                <w:szCs w:val="26"/>
              </w:rPr>
            </w:pPr>
            <w:r w:rsidRPr="00B86E9B">
              <w:rPr>
                <w:sz w:val="26"/>
                <w:szCs w:val="26"/>
              </w:rPr>
              <w:t>Pārējie ieņēmumi</w:t>
            </w:r>
          </w:p>
        </w:tc>
        <w:tc>
          <w:tcPr>
            <w:tcW w:w="1459" w:type="dxa"/>
            <w:vAlign w:val="center"/>
          </w:tcPr>
          <w:p w:rsidR="0042158E" w:rsidRPr="00B86E9B" w:rsidRDefault="0042158E" w:rsidP="0042158E">
            <w:pPr>
              <w:jc w:val="center"/>
              <w:rPr>
                <w:color w:val="000000"/>
                <w:sz w:val="26"/>
                <w:szCs w:val="26"/>
              </w:rPr>
            </w:pPr>
            <w:r w:rsidRPr="00B86E9B">
              <w:rPr>
                <w:color w:val="000000"/>
                <w:sz w:val="26"/>
                <w:szCs w:val="26"/>
              </w:rPr>
              <w:t>2 583 902</w:t>
            </w:r>
          </w:p>
        </w:tc>
        <w:tc>
          <w:tcPr>
            <w:tcW w:w="1531" w:type="dxa"/>
            <w:vAlign w:val="center"/>
          </w:tcPr>
          <w:p w:rsidR="0042158E" w:rsidRPr="00B86E9B" w:rsidRDefault="0042158E" w:rsidP="0042158E">
            <w:pPr>
              <w:jc w:val="center"/>
              <w:rPr>
                <w:color w:val="000000"/>
                <w:sz w:val="26"/>
                <w:szCs w:val="26"/>
              </w:rPr>
            </w:pPr>
            <w:r w:rsidRPr="00B86E9B">
              <w:rPr>
                <w:color w:val="000000"/>
                <w:sz w:val="26"/>
                <w:szCs w:val="26"/>
              </w:rPr>
              <w:t>2 506 092</w:t>
            </w:r>
          </w:p>
        </w:tc>
        <w:tc>
          <w:tcPr>
            <w:tcW w:w="1623" w:type="dxa"/>
            <w:vAlign w:val="center"/>
          </w:tcPr>
          <w:p w:rsidR="0042158E" w:rsidRPr="00B86E9B" w:rsidRDefault="0042158E" w:rsidP="0042158E">
            <w:pPr>
              <w:jc w:val="center"/>
              <w:rPr>
                <w:color w:val="000000"/>
                <w:sz w:val="26"/>
                <w:szCs w:val="26"/>
              </w:rPr>
            </w:pPr>
            <w:r w:rsidRPr="00B86E9B">
              <w:rPr>
                <w:color w:val="000000"/>
                <w:sz w:val="26"/>
                <w:szCs w:val="26"/>
              </w:rPr>
              <w:t>1 338 222</w:t>
            </w:r>
          </w:p>
        </w:tc>
      </w:tr>
    </w:tbl>
    <w:p w:rsidR="009C1F7A" w:rsidRPr="00B86E9B" w:rsidRDefault="009C1F7A" w:rsidP="009C1F7A">
      <w:pPr>
        <w:jc w:val="both"/>
        <w:rPr>
          <w:sz w:val="28"/>
          <w:szCs w:val="28"/>
        </w:rPr>
      </w:pPr>
    </w:p>
    <w:p w:rsidR="009C1F7A" w:rsidRPr="00B86E9B" w:rsidRDefault="009C1F7A" w:rsidP="009C1F7A">
      <w:pPr>
        <w:ind w:firstLine="720"/>
        <w:jc w:val="both"/>
        <w:rPr>
          <w:sz w:val="28"/>
          <w:szCs w:val="28"/>
        </w:rPr>
      </w:pPr>
      <w:r w:rsidRPr="00B86E9B">
        <w:rPr>
          <w:sz w:val="28"/>
          <w:szCs w:val="28"/>
        </w:rPr>
        <w:t xml:space="preserve">Pamatojoties uz samazināto veselības aprūpes budžetu, no 2009.gada BKUS </w:t>
      </w:r>
      <w:r w:rsidRPr="00B86E9B">
        <w:rPr>
          <w:sz w:val="28"/>
        </w:rPr>
        <w:t xml:space="preserve">ieņēmumi </w:t>
      </w:r>
      <w:r w:rsidRPr="00B86E9B">
        <w:rPr>
          <w:sz w:val="28"/>
          <w:szCs w:val="28"/>
        </w:rPr>
        <w:t xml:space="preserve">no valsts budžeta </w:t>
      </w:r>
      <w:r w:rsidRPr="00B86E9B">
        <w:rPr>
          <w:sz w:val="28"/>
        </w:rPr>
        <w:t>būtiski samazinājās</w:t>
      </w:r>
      <w:r w:rsidRPr="00B86E9B">
        <w:rPr>
          <w:sz w:val="28"/>
          <w:szCs w:val="28"/>
        </w:rPr>
        <w:t xml:space="preserve">, līdz ar to arī izmaksu aprēķini (piešķirtais valsts budžeta finansējums) uz vienu gultas dienu proporcionāli samazinājās, kā rezultātā BKUS radās grūtības segt faktiskos izdevumus par sniegtajiem pakalpojumiem, jo resursu </w:t>
      </w:r>
      <w:r w:rsidR="00AE600A" w:rsidRPr="00B86E9B">
        <w:rPr>
          <w:sz w:val="28"/>
          <w:szCs w:val="28"/>
        </w:rPr>
        <w:t>(piemēram, darba samaksas (dēļ minimālās mēneša darba algas palielināšanas), elektroenerģijas, gāzes, medikamentu)</w:t>
      </w:r>
      <w:r w:rsidRPr="00B86E9B">
        <w:rPr>
          <w:sz w:val="28"/>
          <w:szCs w:val="28"/>
        </w:rPr>
        <w:t xml:space="preserve"> izmaksas iepriekšminētajā periodā ir ievērojami pieaugušas.</w:t>
      </w:r>
    </w:p>
    <w:p w:rsidR="009C1F7A" w:rsidRPr="00B86E9B" w:rsidRDefault="009C1F7A" w:rsidP="0062138D">
      <w:pPr>
        <w:jc w:val="both"/>
        <w:rPr>
          <w:sz w:val="28"/>
          <w:szCs w:val="28"/>
        </w:rPr>
      </w:pPr>
    </w:p>
    <w:p w:rsidR="009C1F7A" w:rsidRPr="00B86E9B" w:rsidRDefault="009C1F7A" w:rsidP="009C1F7A">
      <w:pPr>
        <w:tabs>
          <w:tab w:val="left" w:pos="3390"/>
        </w:tabs>
        <w:autoSpaceDE w:val="0"/>
        <w:autoSpaceDN w:val="0"/>
        <w:adjustRightInd w:val="0"/>
        <w:ind w:firstLine="720"/>
        <w:jc w:val="right"/>
        <w:rPr>
          <w:i/>
          <w:sz w:val="28"/>
          <w:szCs w:val="28"/>
        </w:rPr>
      </w:pPr>
      <w:r w:rsidRPr="00B86E9B">
        <w:rPr>
          <w:i/>
          <w:sz w:val="28"/>
          <w:szCs w:val="28"/>
        </w:rPr>
        <w:t>Tabula Nr.19:BKUS gultas</w:t>
      </w:r>
      <w:r w:rsidR="003F0148" w:rsidRPr="00B86E9B">
        <w:rPr>
          <w:i/>
          <w:sz w:val="28"/>
          <w:szCs w:val="28"/>
        </w:rPr>
        <w:t xml:space="preserve"> </w:t>
      </w:r>
      <w:r w:rsidRPr="00B86E9B">
        <w:rPr>
          <w:i/>
          <w:sz w:val="28"/>
          <w:szCs w:val="28"/>
        </w:rPr>
        <w:t>dienas tarifa izmaiņas pa gadiem [LVL]</w:t>
      </w:r>
    </w:p>
    <w:tbl>
      <w:tblPr>
        <w:tblStyle w:val="Reatabula"/>
        <w:tblW w:w="0" w:type="auto"/>
        <w:jc w:val="center"/>
        <w:tblInd w:w="-666" w:type="dxa"/>
        <w:tblLook w:val="04A0"/>
      </w:tblPr>
      <w:tblGrid>
        <w:gridCol w:w="2289"/>
        <w:gridCol w:w="1408"/>
        <w:gridCol w:w="1394"/>
        <w:gridCol w:w="2021"/>
      </w:tblGrid>
      <w:tr w:rsidR="009C1F7A" w:rsidRPr="00B86E9B" w:rsidTr="00F519F5">
        <w:trPr>
          <w:jc w:val="center"/>
        </w:trPr>
        <w:tc>
          <w:tcPr>
            <w:tcW w:w="2289" w:type="dxa"/>
            <w:shd w:val="clear" w:color="auto" w:fill="D9D9D9" w:themeFill="background1" w:themeFillShade="D9"/>
          </w:tcPr>
          <w:p w:rsidR="009C1F7A" w:rsidRPr="00B86E9B" w:rsidRDefault="009C1F7A" w:rsidP="00F519F5">
            <w:pPr>
              <w:jc w:val="center"/>
              <w:rPr>
                <w:sz w:val="26"/>
                <w:szCs w:val="26"/>
              </w:rPr>
            </w:pPr>
          </w:p>
        </w:tc>
        <w:tc>
          <w:tcPr>
            <w:tcW w:w="1408" w:type="dxa"/>
            <w:shd w:val="clear" w:color="auto" w:fill="D9D9D9" w:themeFill="background1" w:themeFillShade="D9"/>
          </w:tcPr>
          <w:p w:rsidR="009C1F7A" w:rsidRPr="00B86E9B" w:rsidRDefault="009C1F7A" w:rsidP="00F519F5">
            <w:pPr>
              <w:jc w:val="center"/>
              <w:rPr>
                <w:sz w:val="26"/>
                <w:szCs w:val="26"/>
              </w:rPr>
            </w:pPr>
            <w:r w:rsidRPr="00B86E9B">
              <w:rPr>
                <w:sz w:val="26"/>
                <w:szCs w:val="26"/>
              </w:rPr>
              <w:t>2008.gads</w:t>
            </w:r>
          </w:p>
        </w:tc>
        <w:tc>
          <w:tcPr>
            <w:tcW w:w="1394" w:type="dxa"/>
            <w:shd w:val="clear" w:color="auto" w:fill="D9D9D9" w:themeFill="background1" w:themeFillShade="D9"/>
          </w:tcPr>
          <w:p w:rsidR="009C1F7A" w:rsidRPr="00B86E9B" w:rsidRDefault="009C1F7A" w:rsidP="00F519F5">
            <w:pPr>
              <w:jc w:val="center"/>
              <w:rPr>
                <w:sz w:val="26"/>
                <w:szCs w:val="26"/>
              </w:rPr>
            </w:pPr>
            <w:r w:rsidRPr="00B86E9B">
              <w:rPr>
                <w:sz w:val="26"/>
                <w:szCs w:val="26"/>
              </w:rPr>
              <w:t>2009.gads</w:t>
            </w:r>
          </w:p>
        </w:tc>
        <w:tc>
          <w:tcPr>
            <w:tcW w:w="2021" w:type="dxa"/>
            <w:shd w:val="clear" w:color="auto" w:fill="D9D9D9" w:themeFill="background1" w:themeFillShade="D9"/>
          </w:tcPr>
          <w:p w:rsidR="009C1F7A" w:rsidRPr="00B86E9B" w:rsidRDefault="009C1F7A" w:rsidP="00F519F5">
            <w:pPr>
              <w:jc w:val="center"/>
              <w:rPr>
                <w:sz w:val="26"/>
                <w:szCs w:val="26"/>
              </w:rPr>
            </w:pPr>
            <w:r w:rsidRPr="00B86E9B">
              <w:rPr>
                <w:sz w:val="26"/>
                <w:szCs w:val="26"/>
              </w:rPr>
              <w:t xml:space="preserve">2010., 2011., </w:t>
            </w:r>
            <w:r w:rsidRPr="00B86E9B">
              <w:rPr>
                <w:b/>
                <w:sz w:val="26"/>
                <w:szCs w:val="26"/>
              </w:rPr>
              <w:t>2012.gadā</w:t>
            </w:r>
          </w:p>
        </w:tc>
      </w:tr>
      <w:tr w:rsidR="009C1F7A" w:rsidRPr="00B86E9B" w:rsidTr="00F519F5">
        <w:trPr>
          <w:jc w:val="center"/>
        </w:trPr>
        <w:tc>
          <w:tcPr>
            <w:tcW w:w="2289" w:type="dxa"/>
            <w:vAlign w:val="center"/>
          </w:tcPr>
          <w:p w:rsidR="009C1F7A" w:rsidRPr="00B86E9B" w:rsidRDefault="009C1F7A" w:rsidP="00F519F5">
            <w:pPr>
              <w:rPr>
                <w:sz w:val="26"/>
                <w:szCs w:val="26"/>
              </w:rPr>
            </w:pPr>
            <w:r w:rsidRPr="00B86E9B">
              <w:rPr>
                <w:sz w:val="26"/>
                <w:szCs w:val="26"/>
              </w:rPr>
              <w:t>Gultas</w:t>
            </w:r>
            <w:r w:rsidR="003F0148" w:rsidRPr="00B86E9B">
              <w:rPr>
                <w:sz w:val="26"/>
                <w:szCs w:val="26"/>
              </w:rPr>
              <w:t xml:space="preserve"> </w:t>
            </w:r>
            <w:r w:rsidRPr="00B86E9B">
              <w:rPr>
                <w:sz w:val="26"/>
                <w:szCs w:val="26"/>
              </w:rPr>
              <w:t>dienas tarifs</w:t>
            </w:r>
          </w:p>
        </w:tc>
        <w:tc>
          <w:tcPr>
            <w:tcW w:w="1408" w:type="dxa"/>
            <w:vAlign w:val="center"/>
          </w:tcPr>
          <w:p w:rsidR="009C1F7A" w:rsidRPr="00B86E9B" w:rsidRDefault="009C1F7A" w:rsidP="00F519F5">
            <w:pPr>
              <w:jc w:val="center"/>
              <w:rPr>
                <w:sz w:val="26"/>
                <w:szCs w:val="26"/>
              </w:rPr>
            </w:pPr>
            <w:r w:rsidRPr="00B86E9B">
              <w:rPr>
                <w:sz w:val="26"/>
                <w:szCs w:val="26"/>
              </w:rPr>
              <w:t>44,85</w:t>
            </w:r>
          </w:p>
        </w:tc>
        <w:tc>
          <w:tcPr>
            <w:tcW w:w="1394" w:type="dxa"/>
            <w:vAlign w:val="center"/>
          </w:tcPr>
          <w:p w:rsidR="00556048" w:rsidRPr="00B86E9B" w:rsidRDefault="00556048" w:rsidP="00F519F5">
            <w:pPr>
              <w:jc w:val="center"/>
              <w:rPr>
                <w:bCs/>
                <w:sz w:val="26"/>
                <w:szCs w:val="26"/>
              </w:rPr>
            </w:pPr>
          </w:p>
          <w:p w:rsidR="009C1F7A" w:rsidRPr="00B86E9B" w:rsidRDefault="00556048" w:rsidP="00556048">
            <w:pPr>
              <w:jc w:val="center"/>
              <w:rPr>
                <w:bCs/>
                <w:color w:val="000000"/>
                <w:sz w:val="26"/>
                <w:szCs w:val="26"/>
              </w:rPr>
            </w:pPr>
            <w:r w:rsidRPr="00B86E9B">
              <w:rPr>
                <w:bCs/>
                <w:color w:val="000000"/>
                <w:sz w:val="26"/>
                <w:szCs w:val="26"/>
              </w:rPr>
              <w:t xml:space="preserve">no 01.03. </w:t>
            </w:r>
            <w:r w:rsidR="009C1F7A" w:rsidRPr="00B86E9B">
              <w:rPr>
                <w:bCs/>
                <w:sz w:val="26"/>
                <w:szCs w:val="26"/>
              </w:rPr>
              <w:t>43,98</w:t>
            </w:r>
          </w:p>
          <w:p w:rsidR="009C1F7A" w:rsidRPr="00B86E9B" w:rsidRDefault="009C1F7A" w:rsidP="00F519F5">
            <w:pPr>
              <w:jc w:val="center"/>
              <w:rPr>
                <w:bCs/>
                <w:color w:val="FF0000"/>
                <w:sz w:val="26"/>
                <w:szCs w:val="26"/>
              </w:rPr>
            </w:pPr>
            <w:r w:rsidRPr="00B86E9B">
              <w:rPr>
                <w:bCs/>
                <w:sz w:val="26"/>
                <w:szCs w:val="26"/>
              </w:rPr>
              <w:t>No 01.07. 32,26</w:t>
            </w:r>
          </w:p>
        </w:tc>
        <w:tc>
          <w:tcPr>
            <w:tcW w:w="2021" w:type="dxa"/>
            <w:vAlign w:val="center"/>
          </w:tcPr>
          <w:p w:rsidR="009C1F7A" w:rsidRPr="00B86E9B" w:rsidRDefault="009C1F7A" w:rsidP="00F519F5">
            <w:pPr>
              <w:jc w:val="center"/>
              <w:rPr>
                <w:bCs/>
                <w:color w:val="000000"/>
                <w:sz w:val="26"/>
                <w:szCs w:val="26"/>
              </w:rPr>
            </w:pPr>
            <w:r w:rsidRPr="00B86E9B">
              <w:rPr>
                <w:sz w:val="26"/>
                <w:szCs w:val="26"/>
              </w:rPr>
              <w:t>34,76</w:t>
            </w:r>
          </w:p>
        </w:tc>
      </w:tr>
    </w:tbl>
    <w:p w:rsidR="009C1F7A" w:rsidRPr="00B86E9B" w:rsidRDefault="009C1F7A" w:rsidP="009C1F7A">
      <w:pPr>
        <w:jc w:val="both"/>
        <w:rPr>
          <w:sz w:val="28"/>
          <w:szCs w:val="28"/>
          <w:lang w:eastAsia="lv-LV"/>
        </w:rPr>
      </w:pPr>
    </w:p>
    <w:p w:rsidR="009C1F7A" w:rsidRPr="00B86E9B" w:rsidRDefault="009C1F7A" w:rsidP="009C1F7A">
      <w:pPr>
        <w:ind w:firstLine="720"/>
        <w:jc w:val="both"/>
        <w:rPr>
          <w:sz w:val="28"/>
          <w:szCs w:val="28"/>
        </w:rPr>
      </w:pPr>
      <w:r w:rsidRPr="00B86E9B">
        <w:rPr>
          <w:sz w:val="28"/>
          <w:szCs w:val="28"/>
        </w:rPr>
        <w:t>Arī 2013.gadā gultas</w:t>
      </w:r>
      <w:r w:rsidR="003F0148" w:rsidRPr="00B86E9B">
        <w:rPr>
          <w:sz w:val="28"/>
          <w:szCs w:val="28"/>
        </w:rPr>
        <w:t xml:space="preserve"> </w:t>
      </w:r>
      <w:r w:rsidRPr="00B86E9B">
        <w:rPr>
          <w:sz w:val="28"/>
          <w:szCs w:val="28"/>
        </w:rPr>
        <w:t xml:space="preserve">dienas tarifs saglabājās 34,76 LVL apmērā, bet 2014.gadā tas saistībā ar ārstniecības personu darba samaksas paaugstināšanu (tarifa elementi D un S) un citu tarifa elementu paaugstināšanu (E –izdevumi, kas saistīti ar pacientu ēdināšanu; U – pieskaitāmās un netiešās ražošanas izmaksas; A – administratīvie izdevumi) tiks palielināts par 11% un sasniegs </w:t>
      </w:r>
      <w:r w:rsidRPr="00B86E9B">
        <w:rPr>
          <w:sz w:val="28"/>
          <w:szCs w:val="28"/>
        </w:rPr>
        <w:lastRenderedPageBreak/>
        <w:t xml:space="preserve">38,56 LVL (54,87 EUR), tomēr joprojām būs ievērojami mazākā apmērā kā pirmskrīzes laikā (86,0% apmērā). </w:t>
      </w:r>
    </w:p>
    <w:p w:rsidR="009C1F7A" w:rsidRPr="00B86E9B" w:rsidRDefault="00C05A3D" w:rsidP="009C1F7A">
      <w:pPr>
        <w:ind w:firstLine="720"/>
        <w:jc w:val="both"/>
        <w:rPr>
          <w:color w:val="FF0000"/>
          <w:sz w:val="28"/>
          <w:szCs w:val="28"/>
        </w:rPr>
      </w:pPr>
      <w:r w:rsidRPr="00B86E9B">
        <w:rPr>
          <w:sz w:val="28"/>
          <w:szCs w:val="28"/>
        </w:rPr>
        <w:t>Kā jau tika norādīts Veselības ministrijas Informatīvajā ziņojumā par Veselības ministrijas kapitālsabiedrībām, kas 2011.gadu ir noslēgušas ar zaudējumiem, arī pārējie stacionārās veselības aprūpes pakalpojumu tarifi krīzes laikā tika ievērojami samazināti un neatbilst pakalpojumu sniegšanas faktiskajām izmaksām un 2012.gadā tarifi netika mainīti. Arī 2013.gadā veselības aprūpes pakalpojumu tarifi netika mainīti, bet 2014.gadā tie</w:t>
      </w:r>
      <w:r w:rsidR="00CF18F0" w:rsidRPr="00B86E9B">
        <w:rPr>
          <w:sz w:val="28"/>
          <w:szCs w:val="28"/>
        </w:rPr>
        <w:t>,</w:t>
      </w:r>
      <w:r w:rsidRPr="00B86E9B">
        <w:rPr>
          <w:sz w:val="28"/>
          <w:szCs w:val="28"/>
        </w:rPr>
        <w:t xml:space="preserve"> saistībā ar ārstniecības personu darba samaksas paaugstināšanu (tarifa elementi D un S) un citu tarifa elementu paaugstināšanu (E –izdevumi, kas saistīti ar pacientu ēdināšanu; U – pieskaitāmās un netiešās ražošanas izmaksas; A – administratīvie izdevumi)</w:t>
      </w:r>
      <w:r w:rsidR="00CF18F0" w:rsidRPr="00B86E9B">
        <w:rPr>
          <w:sz w:val="28"/>
          <w:szCs w:val="28"/>
        </w:rPr>
        <w:t>,</w:t>
      </w:r>
      <w:r w:rsidRPr="00B86E9B">
        <w:rPr>
          <w:sz w:val="28"/>
          <w:szCs w:val="28"/>
        </w:rPr>
        <w:t xml:space="preserve"> </w:t>
      </w:r>
      <w:r w:rsidR="00EA7EF5" w:rsidRPr="00B86E9B">
        <w:rPr>
          <w:sz w:val="28"/>
          <w:szCs w:val="28"/>
        </w:rPr>
        <w:t xml:space="preserve">atbilstoši Ministru kabineta 2013.gada 17.decembra noteikumiem Nr.1529 „Veselības aprūpes organizēšanas un finansēšanas kārtība” </w:t>
      </w:r>
      <w:r w:rsidRPr="00B86E9B">
        <w:rPr>
          <w:sz w:val="28"/>
          <w:szCs w:val="28"/>
        </w:rPr>
        <w:t>tiks palielināti vidēji par 5% - 6% (robežās no 1% līdz 16%, ko ietekmē tarifa elementu D un S īpatsvars konkrētā pakalpojuma vai programmas tarifā)</w:t>
      </w:r>
      <w:r w:rsidR="009C1F7A" w:rsidRPr="00B86E9B">
        <w:rPr>
          <w:sz w:val="28"/>
          <w:szCs w:val="28"/>
        </w:rPr>
        <w:t>.</w:t>
      </w:r>
    </w:p>
    <w:p w:rsidR="00752E00" w:rsidRPr="00B86E9B" w:rsidRDefault="00752E00" w:rsidP="00752E00">
      <w:pPr>
        <w:ind w:firstLine="720"/>
        <w:jc w:val="both"/>
        <w:rPr>
          <w:sz w:val="28"/>
          <w:szCs w:val="28"/>
        </w:rPr>
      </w:pPr>
      <w:r w:rsidRPr="00B86E9B">
        <w:rPr>
          <w:sz w:val="28"/>
          <w:szCs w:val="28"/>
        </w:rPr>
        <w:t>BKUS izdevumi 2012.gadā bija 21 683 528 LVL, kas, salīdzinot ar 2012.gada plānu, bija mazāki par 542 084 LVL (2,4%), bet  salīdzinājumā ar 2011.gada izdevumiem bija lielāki par 1 465 125 LVL (7,2%).</w:t>
      </w:r>
    </w:p>
    <w:p w:rsidR="00752E00" w:rsidRPr="00B86E9B" w:rsidRDefault="00752E00" w:rsidP="00752E00">
      <w:pPr>
        <w:ind w:firstLine="720"/>
        <w:jc w:val="both"/>
        <w:rPr>
          <w:sz w:val="28"/>
          <w:szCs w:val="28"/>
        </w:rPr>
      </w:pPr>
      <w:r w:rsidRPr="00B86E9B">
        <w:rPr>
          <w:sz w:val="28"/>
          <w:szCs w:val="28"/>
        </w:rPr>
        <w:t xml:space="preserve">BKUS izdevumi personāla atlīdzībai 2012.gadā bija </w:t>
      </w:r>
      <w:r w:rsidRPr="00B86E9B">
        <w:rPr>
          <w:color w:val="000000"/>
          <w:sz w:val="28"/>
          <w:szCs w:val="28"/>
        </w:rPr>
        <w:t>11 760 540</w:t>
      </w:r>
      <w:r w:rsidRPr="00B86E9B">
        <w:rPr>
          <w:sz w:val="28"/>
          <w:szCs w:val="28"/>
        </w:rPr>
        <w:t xml:space="preserve"> LVL, kas bija par 403 909 LVL (3,6%) lielāki nekā plānots 2012.gadā un par </w:t>
      </w:r>
      <w:r w:rsidRPr="00B86E9B">
        <w:rPr>
          <w:sz w:val="28"/>
          <w:szCs w:val="28"/>
        </w:rPr>
        <w:br/>
        <w:t>1 429 480 LVL (13,8%) lielāki nekā 2011.gadā. BKUS izdevumi par precēm un pakalpojumiem 2012.gadā bija 6 227 042 LVL, kas bija par 381 864 LVL (5,8%) mazāki nekā plānots un par 141 398 LVL (2,2%) mazāki nekā 2011.gadā, t.sk. izdevumi par medikamentiem un medicīniskiem materiāliem 2012.gadā bija 4 083 217 LVL, kas bija par 102 711 LVL (2,6%) lielāki nekā plānots, bet salīdzinājumā ar 2011.gadu mazāki par 108 051 LVL (2,6%).</w:t>
      </w:r>
    </w:p>
    <w:p w:rsidR="001A1B24" w:rsidRPr="00B86E9B" w:rsidRDefault="001A1B24" w:rsidP="0062138D">
      <w:pPr>
        <w:jc w:val="both"/>
        <w:rPr>
          <w:sz w:val="28"/>
          <w:szCs w:val="28"/>
        </w:rPr>
      </w:pPr>
    </w:p>
    <w:p w:rsidR="00B03144" w:rsidRPr="00B86E9B" w:rsidRDefault="00B03144" w:rsidP="00B03144">
      <w:pPr>
        <w:tabs>
          <w:tab w:val="left" w:pos="851"/>
        </w:tabs>
        <w:jc w:val="right"/>
        <w:rPr>
          <w:i/>
          <w:sz w:val="28"/>
          <w:szCs w:val="28"/>
        </w:rPr>
      </w:pPr>
      <w:r w:rsidRPr="00B86E9B">
        <w:rPr>
          <w:rFonts w:eastAsia="Calibri"/>
          <w:i/>
          <w:sz w:val="28"/>
          <w:szCs w:val="28"/>
          <w:lang w:eastAsia="lv-LV"/>
        </w:rPr>
        <w:t>Tabula Nr.20:</w:t>
      </w:r>
      <w:r w:rsidRPr="00B86E9B">
        <w:rPr>
          <w:i/>
          <w:sz w:val="28"/>
          <w:szCs w:val="28"/>
        </w:rPr>
        <w:t xml:space="preserve"> BKUS </w:t>
      </w:r>
      <w:r w:rsidR="00A510D2" w:rsidRPr="00B86E9B">
        <w:rPr>
          <w:i/>
          <w:sz w:val="28"/>
          <w:szCs w:val="28"/>
        </w:rPr>
        <w:t>pakalpojumu izmaksu apjoms un rādītāji</w:t>
      </w:r>
    </w:p>
    <w:tbl>
      <w:tblPr>
        <w:tblW w:w="8262" w:type="dxa"/>
        <w:jc w:val="center"/>
        <w:tblInd w:w="-812" w:type="dxa"/>
        <w:tblLayout w:type="fixed"/>
        <w:tblLook w:val="04A0"/>
      </w:tblPr>
      <w:tblGrid>
        <w:gridCol w:w="3787"/>
        <w:gridCol w:w="1528"/>
        <w:gridCol w:w="1387"/>
        <w:gridCol w:w="1560"/>
      </w:tblGrid>
      <w:tr w:rsidR="00B03144" w:rsidRPr="00B86E9B" w:rsidTr="00135730">
        <w:trPr>
          <w:trHeight w:val="300"/>
          <w:jc w:val="center"/>
        </w:trPr>
        <w:tc>
          <w:tcPr>
            <w:tcW w:w="3787"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B03144" w:rsidRPr="00B86E9B" w:rsidRDefault="00B03144" w:rsidP="00E958A1">
            <w:pPr>
              <w:jc w:val="center"/>
              <w:rPr>
                <w:color w:val="000000" w:themeColor="text1"/>
                <w:sz w:val="26"/>
                <w:szCs w:val="26"/>
              </w:rPr>
            </w:pPr>
            <w:r w:rsidRPr="00B86E9B">
              <w:rPr>
                <w:color w:val="000000" w:themeColor="text1"/>
                <w:sz w:val="26"/>
                <w:szCs w:val="26"/>
              </w:rPr>
              <w:t>Rādītājs</w:t>
            </w: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3144" w:rsidRPr="00B86E9B" w:rsidRDefault="00B03144" w:rsidP="00E958A1">
            <w:pPr>
              <w:jc w:val="center"/>
              <w:rPr>
                <w:color w:val="000000" w:themeColor="text1"/>
                <w:sz w:val="26"/>
                <w:szCs w:val="26"/>
              </w:rPr>
            </w:pPr>
            <w:r w:rsidRPr="00B86E9B">
              <w:rPr>
                <w:color w:val="000000" w:themeColor="text1"/>
                <w:sz w:val="26"/>
                <w:szCs w:val="26"/>
              </w:rPr>
              <w:t>2011.gads</w:t>
            </w:r>
          </w:p>
        </w:tc>
        <w:tc>
          <w:tcPr>
            <w:tcW w:w="2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3144" w:rsidRPr="00B86E9B" w:rsidRDefault="00B03144" w:rsidP="00E958A1">
            <w:pPr>
              <w:jc w:val="center"/>
              <w:rPr>
                <w:color w:val="000000" w:themeColor="text1"/>
                <w:sz w:val="26"/>
                <w:szCs w:val="26"/>
              </w:rPr>
            </w:pPr>
            <w:r w:rsidRPr="00B86E9B">
              <w:rPr>
                <w:color w:val="000000" w:themeColor="text1"/>
                <w:sz w:val="26"/>
                <w:szCs w:val="26"/>
              </w:rPr>
              <w:t>2012.gads</w:t>
            </w:r>
          </w:p>
        </w:tc>
      </w:tr>
      <w:tr w:rsidR="00B03144" w:rsidRPr="00B86E9B" w:rsidTr="00135730">
        <w:trPr>
          <w:trHeight w:val="300"/>
          <w:jc w:val="center"/>
        </w:trPr>
        <w:tc>
          <w:tcPr>
            <w:tcW w:w="3787"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B03144" w:rsidRPr="00B86E9B" w:rsidRDefault="00B03144" w:rsidP="00E958A1">
            <w:pPr>
              <w:jc w:val="center"/>
              <w:rPr>
                <w:color w:val="000000" w:themeColor="text1"/>
                <w:sz w:val="26"/>
                <w:szCs w:val="26"/>
              </w:rPr>
            </w:pP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3144" w:rsidRPr="00B86E9B" w:rsidRDefault="00B03144" w:rsidP="00E958A1">
            <w:pPr>
              <w:jc w:val="center"/>
              <w:rPr>
                <w:color w:val="000000" w:themeColor="text1"/>
                <w:sz w:val="26"/>
                <w:szCs w:val="26"/>
              </w:rPr>
            </w:pPr>
            <w:r w:rsidRPr="00B86E9B">
              <w:rPr>
                <w:color w:val="000000" w:themeColor="text1"/>
                <w:sz w:val="26"/>
                <w:szCs w:val="26"/>
              </w:rPr>
              <w:t>Izpilde</w:t>
            </w:r>
          </w:p>
        </w:tc>
        <w:tc>
          <w:tcPr>
            <w:tcW w:w="1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3144" w:rsidRPr="00B86E9B" w:rsidRDefault="00B03144" w:rsidP="00E958A1">
            <w:pPr>
              <w:jc w:val="center"/>
              <w:rPr>
                <w:color w:val="000000" w:themeColor="text1"/>
                <w:sz w:val="26"/>
                <w:szCs w:val="26"/>
              </w:rPr>
            </w:pPr>
            <w:r w:rsidRPr="00B86E9B">
              <w:rPr>
                <w:color w:val="000000" w:themeColor="text1"/>
                <w:sz w:val="26"/>
                <w:szCs w:val="26"/>
              </w:rPr>
              <w:t>Plāns</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3144" w:rsidRPr="00B86E9B" w:rsidRDefault="00B03144" w:rsidP="00E958A1">
            <w:pPr>
              <w:jc w:val="center"/>
              <w:rPr>
                <w:color w:val="000000" w:themeColor="text1"/>
                <w:sz w:val="26"/>
                <w:szCs w:val="26"/>
              </w:rPr>
            </w:pPr>
            <w:r w:rsidRPr="00B86E9B">
              <w:rPr>
                <w:color w:val="000000" w:themeColor="text1"/>
                <w:sz w:val="26"/>
                <w:szCs w:val="26"/>
              </w:rPr>
              <w:t>Izpilde</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rPr>
                <w:sz w:val="26"/>
                <w:szCs w:val="26"/>
              </w:rPr>
            </w:pPr>
            <w:r w:rsidRPr="00B86E9B">
              <w:rPr>
                <w:sz w:val="26"/>
                <w:szCs w:val="26"/>
              </w:rPr>
              <w:t>Kopējie izdevumi [tūkst. LVL], t.sk.:</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20 218</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22 22</w:t>
            </w:r>
            <w:r w:rsidR="000F6BDF" w:rsidRPr="00B86E9B">
              <w:rPr>
                <w:color w:val="000000"/>
                <w:sz w:val="26"/>
                <w:szCs w:val="26"/>
              </w:rPr>
              <w:t>6</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FE295C">
            <w:pPr>
              <w:jc w:val="center"/>
              <w:rPr>
                <w:color w:val="000000"/>
                <w:sz w:val="26"/>
                <w:szCs w:val="26"/>
              </w:rPr>
            </w:pPr>
            <w:r w:rsidRPr="00B86E9B">
              <w:rPr>
                <w:color w:val="000000"/>
                <w:sz w:val="26"/>
                <w:szCs w:val="26"/>
              </w:rPr>
              <w:t>21 68</w:t>
            </w:r>
            <w:r w:rsidR="00FE295C" w:rsidRPr="00B86E9B">
              <w:rPr>
                <w:color w:val="000000"/>
                <w:sz w:val="26"/>
                <w:szCs w:val="26"/>
              </w:rPr>
              <w:t>4</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Personāla atlīdzības izmaksas [tūkst. LVL]</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 xml:space="preserve">10 331 </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11 35</w:t>
            </w:r>
            <w:r w:rsidR="000F6BDF" w:rsidRPr="00B86E9B">
              <w:rPr>
                <w:color w:val="000000"/>
                <w:sz w:val="26"/>
                <w:szCs w:val="26"/>
              </w:rPr>
              <w:t>7</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FE295C">
            <w:pPr>
              <w:jc w:val="center"/>
              <w:rPr>
                <w:color w:val="000000"/>
                <w:sz w:val="26"/>
                <w:szCs w:val="26"/>
              </w:rPr>
            </w:pPr>
            <w:r w:rsidRPr="00B86E9B">
              <w:rPr>
                <w:color w:val="000000"/>
                <w:sz w:val="26"/>
                <w:szCs w:val="26"/>
              </w:rPr>
              <w:t>11 76</w:t>
            </w:r>
            <w:r w:rsidR="00FE295C" w:rsidRPr="00B86E9B">
              <w:rPr>
                <w:color w:val="000000"/>
                <w:sz w:val="26"/>
                <w:szCs w:val="26"/>
              </w:rPr>
              <w:t>1</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Preču un pakalpojumu izmaksas [tūkst. LVL], t.sk.:</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bCs/>
                <w:color w:val="000000"/>
                <w:sz w:val="26"/>
                <w:szCs w:val="26"/>
              </w:rPr>
            </w:pPr>
            <w:r w:rsidRPr="00B86E9B">
              <w:rPr>
                <w:bCs/>
                <w:color w:val="000000"/>
                <w:sz w:val="26"/>
                <w:szCs w:val="26"/>
              </w:rPr>
              <w:t>6 368 </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bCs/>
                <w:color w:val="000000"/>
                <w:sz w:val="26"/>
                <w:szCs w:val="26"/>
              </w:rPr>
            </w:pPr>
            <w:r w:rsidRPr="00B86E9B">
              <w:rPr>
                <w:bCs/>
                <w:color w:val="000000"/>
                <w:sz w:val="26"/>
                <w:szCs w:val="26"/>
              </w:rPr>
              <w:t>6 60</w:t>
            </w:r>
            <w:r w:rsidR="000F6BDF" w:rsidRPr="00B86E9B">
              <w:rPr>
                <w:bCs/>
                <w:color w:val="000000"/>
                <w:sz w:val="26"/>
                <w:szCs w:val="26"/>
              </w:rPr>
              <w:t>9</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FE295C">
            <w:pPr>
              <w:jc w:val="center"/>
              <w:rPr>
                <w:bCs/>
                <w:color w:val="000000"/>
                <w:sz w:val="26"/>
                <w:szCs w:val="26"/>
              </w:rPr>
            </w:pPr>
            <w:r w:rsidRPr="00B86E9B">
              <w:rPr>
                <w:bCs/>
                <w:color w:val="000000"/>
                <w:sz w:val="26"/>
                <w:szCs w:val="26"/>
              </w:rPr>
              <w:t>6 227</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266"/>
              <w:rPr>
                <w:sz w:val="26"/>
                <w:szCs w:val="26"/>
              </w:rPr>
            </w:pPr>
            <w:r w:rsidRPr="00B86E9B">
              <w:rPr>
                <w:sz w:val="26"/>
                <w:szCs w:val="26"/>
              </w:rPr>
              <w:t>Medikamentu izmaksas [tūkst. LVL]</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 xml:space="preserve">4 191 </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bCs/>
                <w:iCs/>
                <w:color w:val="000000"/>
                <w:sz w:val="26"/>
                <w:szCs w:val="26"/>
              </w:rPr>
            </w:pPr>
            <w:r w:rsidRPr="00B86E9B">
              <w:rPr>
                <w:bCs/>
                <w:iCs/>
                <w:color w:val="000000"/>
                <w:sz w:val="26"/>
                <w:szCs w:val="26"/>
              </w:rPr>
              <w:t>3 98</w:t>
            </w:r>
            <w:r w:rsidR="000F6BDF" w:rsidRPr="00B86E9B">
              <w:rPr>
                <w:bCs/>
                <w:iCs/>
                <w:color w:val="000000"/>
                <w:sz w:val="26"/>
                <w:szCs w:val="26"/>
              </w:rPr>
              <w:t>1</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FE295C">
            <w:pPr>
              <w:jc w:val="center"/>
              <w:rPr>
                <w:bCs/>
                <w:iCs/>
                <w:color w:val="000000"/>
                <w:sz w:val="26"/>
                <w:szCs w:val="26"/>
              </w:rPr>
            </w:pPr>
            <w:r w:rsidRPr="00B86E9B">
              <w:rPr>
                <w:bCs/>
                <w:iCs/>
                <w:color w:val="000000"/>
                <w:sz w:val="26"/>
                <w:szCs w:val="26"/>
              </w:rPr>
              <w:t>4 083</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Procentu izdevumi [</w:t>
            </w:r>
            <w:r w:rsidR="00135730" w:rsidRPr="00B86E9B">
              <w:rPr>
                <w:sz w:val="26"/>
                <w:szCs w:val="26"/>
              </w:rPr>
              <w:t>tūkst. LVL</w:t>
            </w:r>
            <w:r w:rsidRPr="00B86E9B">
              <w:rPr>
                <w:color w:val="000000"/>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A57D25">
            <w:pPr>
              <w:jc w:val="center"/>
              <w:rPr>
                <w:sz w:val="26"/>
                <w:szCs w:val="26"/>
              </w:rPr>
            </w:pPr>
            <w:r w:rsidRPr="00B86E9B">
              <w:rPr>
                <w:bCs/>
                <w:color w:val="000000"/>
                <w:sz w:val="26"/>
                <w:szCs w:val="26"/>
              </w:rPr>
              <w:t>300</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A57D25">
            <w:pPr>
              <w:jc w:val="center"/>
              <w:rPr>
                <w:sz w:val="26"/>
                <w:szCs w:val="26"/>
              </w:rPr>
            </w:pPr>
            <w:r w:rsidRPr="00B86E9B">
              <w:rPr>
                <w:bCs/>
                <w:color w:val="000000"/>
                <w:sz w:val="26"/>
                <w:szCs w:val="26"/>
              </w:rPr>
              <w:t>220</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A57D25">
            <w:pPr>
              <w:jc w:val="center"/>
              <w:rPr>
                <w:sz w:val="26"/>
                <w:szCs w:val="26"/>
              </w:rPr>
            </w:pPr>
            <w:r w:rsidRPr="00B86E9B">
              <w:rPr>
                <w:bCs/>
                <w:color w:val="000000"/>
                <w:sz w:val="26"/>
                <w:szCs w:val="26"/>
              </w:rPr>
              <w:t>219</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Nolietojums [</w:t>
            </w:r>
            <w:r w:rsidRPr="00B86E9B">
              <w:rPr>
                <w:sz w:val="26"/>
                <w:szCs w:val="26"/>
              </w:rPr>
              <w:t>tūkst. LVL</w:t>
            </w:r>
            <w:r w:rsidRPr="00B86E9B">
              <w:rPr>
                <w:color w:val="000000"/>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sz w:val="26"/>
                <w:szCs w:val="26"/>
              </w:rPr>
            </w:pPr>
            <w:r w:rsidRPr="00B86E9B">
              <w:rPr>
                <w:sz w:val="26"/>
                <w:szCs w:val="26"/>
              </w:rPr>
              <w:t>2 34</w:t>
            </w:r>
            <w:r w:rsidR="000F6BDF" w:rsidRPr="00B86E9B">
              <w:rPr>
                <w:sz w:val="26"/>
                <w:szCs w:val="26"/>
              </w:rPr>
              <w:t>6</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2 330 </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2 840 </w:t>
            </w:r>
          </w:p>
        </w:tc>
      </w:tr>
      <w:tr w:rsidR="009474D1"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Pārējās izmaksas [</w:t>
            </w:r>
            <w:r w:rsidRPr="00B86E9B">
              <w:rPr>
                <w:sz w:val="26"/>
                <w:szCs w:val="26"/>
              </w:rPr>
              <w:t>tūkst. LVL</w:t>
            </w:r>
            <w:r w:rsidRPr="00B86E9B">
              <w:rPr>
                <w:color w:val="000000"/>
                <w:sz w:val="26"/>
                <w:szCs w:val="26"/>
              </w:rPr>
              <w:t>]</w:t>
            </w:r>
          </w:p>
        </w:tc>
        <w:tc>
          <w:tcPr>
            <w:tcW w:w="152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87</w:t>
            </w:r>
            <w:r w:rsidR="000F6BDF" w:rsidRPr="00B86E9B">
              <w:rPr>
                <w:color w:val="000000"/>
                <w:sz w:val="26"/>
                <w:szCs w:val="26"/>
              </w:rPr>
              <w:t>3</w:t>
            </w:r>
          </w:p>
        </w:tc>
        <w:tc>
          <w:tcPr>
            <w:tcW w:w="1387"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1 7</w:t>
            </w:r>
            <w:r w:rsidR="00FE295C" w:rsidRPr="00B86E9B">
              <w:rPr>
                <w:color w:val="000000"/>
                <w:sz w:val="26"/>
                <w:szCs w:val="26"/>
              </w:rPr>
              <w:t>1</w:t>
            </w:r>
            <w:r w:rsidR="000F6BDF" w:rsidRPr="00B86E9B">
              <w:rPr>
                <w:color w:val="000000"/>
                <w:sz w:val="26"/>
                <w:szCs w:val="26"/>
              </w:rPr>
              <w:t>0</w:t>
            </w:r>
          </w:p>
        </w:tc>
        <w:tc>
          <w:tcPr>
            <w:tcW w:w="1560" w:type="dxa"/>
            <w:tcBorders>
              <w:top w:val="nil"/>
              <w:left w:val="nil"/>
              <w:bottom w:val="single" w:sz="4" w:space="0" w:color="auto"/>
              <w:right w:val="single" w:sz="4" w:space="0" w:color="auto"/>
            </w:tcBorders>
            <w:shd w:val="clear" w:color="auto" w:fill="auto"/>
            <w:vAlign w:val="center"/>
          </w:tcPr>
          <w:p w:rsidR="009474D1" w:rsidRPr="00B86E9B" w:rsidRDefault="009474D1" w:rsidP="000F6BDF">
            <w:pPr>
              <w:jc w:val="center"/>
              <w:rPr>
                <w:color w:val="000000"/>
                <w:sz w:val="26"/>
                <w:szCs w:val="26"/>
              </w:rPr>
            </w:pPr>
            <w:r w:rsidRPr="00B86E9B">
              <w:rPr>
                <w:color w:val="000000"/>
                <w:sz w:val="26"/>
                <w:szCs w:val="26"/>
              </w:rPr>
              <w:t>63</w:t>
            </w:r>
            <w:r w:rsidR="000F6BDF" w:rsidRPr="00B86E9B">
              <w:rPr>
                <w:color w:val="000000"/>
                <w:sz w:val="26"/>
                <w:szCs w:val="26"/>
              </w:rPr>
              <w:t>7</w:t>
            </w:r>
          </w:p>
        </w:tc>
      </w:tr>
      <w:tr w:rsidR="00CD38DA"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CD38DA" w:rsidRPr="00B86E9B" w:rsidRDefault="00CD38DA" w:rsidP="00CD38DA">
            <w:pPr>
              <w:rPr>
                <w:color w:val="000000"/>
                <w:sz w:val="26"/>
                <w:szCs w:val="26"/>
              </w:rPr>
            </w:pPr>
            <w:r w:rsidRPr="00B86E9B">
              <w:rPr>
                <w:color w:val="000000"/>
                <w:sz w:val="26"/>
                <w:szCs w:val="26"/>
              </w:rPr>
              <w:t>Pacientu skaits</w:t>
            </w:r>
          </w:p>
        </w:tc>
        <w:tc>
          <w:tcPr>
            <w:tcW w:w="1528" w:type="dxa"/>
            <w:tcBorders>
              <w:top w:val="nil"/>
              <w:left w:val="nil"/>
              <w:bottom w:val="single" w:sz="4" w:space="0" w:color="auto"/>
              <w:right w:val="single" w:sz="4" w:space="0" w:color="auto"/>
            </w:tcBorders>
            <w:shd w:val="clear" w:color="auto" w:fill="auto"/>
            <w:vAlign w:val="center"/>
            <w:hideMark/>
          </w:tcPr>
          <w:p w:rsidR="00CD38DA" w:rsidRPr="00B86E9B" w:rsidRDefault="00CD38DA" w:rsidP="00EA734D">
            <w:pPr>
              <w:jc w:val="center"/>
              <w:rPr>
                <w:sz w:val="26"/>
                <w:szCs w:val="26"/>
              </w:rPr>
            </w:pPr>
            <w:r w:rsidRPr="00B86E9B">
              <w:rPr>
                <w:sz w:val="26"/>
                <w:szCs w:val="26"/>
              </w:rPr>
              <w:t>181 741</w:t>
            </w:r>
          </w:p>
        </w:tc>
        <w:tc>
          <w:tcPr>
            <w:tcW w:w="1387" w:type="dxa"/>
            <w:tcBorders>
              <w:top w:val="nil"/>
              <w:left w:val="nil"/>
              <w:bottom w:val="single" w:sz="4" w:space="0" w:color="auto"/>
              <w:right w:val="single" w:sz="4" w:space="0" w:color="auto"/>
            </w:tcBorders>
            <w:shd w:val="clear" w:color="auto" w:fill="auto"/>
            <w:vAlign w:val="center"/>
            <w:hideMark/>
          </w:tcPr>
          <w:p w:rsidR="00CD38DA" w:rsidRPr="00B86E9B" w:rsidRDefault="00CD38DA" w:rsidP="00EA734D">
            <w:pPr>
              <w:jc w:val="center"/>
              <w:rPr>
                <w:sz w:val="26"/>
                <w:szCs w:val="26"/>
              </w:rPr>
            </w:pPr>
            <w:r w:rsidRPr="00B86E9B">
              <w:rPr>
                <w:sz w:val="26"/>
                <w:szCs w:val="26"/>
              </w:rPr>
              <w:t>181 150</w:t>
            </w:r>
          </w:p>
        </w:tc>
        <w:tc>
          <w:tcPr>
            <w:tcW w:w="1560" w:type="dxa"/>
            <w:tcBorders>
              <w:top w:val="nil"/>
              <w:left w:val="nil"/>
              <w:bottom w:val="single" w:sz="4" w:space="0" w:color="auto"/>
              <w:right w:val="single" w:sz="4" w:space="0" w:color="auto"/>
            </w:tcBorders>
            <w:shd w:val="clear" w:color="auto" w:fill="auto"/>
            <w:vAlign w:val="center"/>
          </w:tcPr>
          <w:p w:rsidR="00CD38DA" w:rsidRPr="00B86E9B" w:rsidRDefault="00CD38DA" w:rsidP="00EA734D">
            <w:pPr>
              <w:jc w:val="center"/>
              <w:rPr>
                <w:sz w:val="26"/>
                <w:szCs w:val="26"/>
              </w:rPr>
            </w:pPr>
            <w:r w:rsidRPr="00B86E9B">
              <w:rPr>
                <w:sz w:val="26"/>
                <w:szCs w:val="26"/>
              </w:rPr>
              <w:t>185 928</w:t>
            </w:r>
          </w:p>
        </w:tc>
      </w:tr>
      <w:tr w:rsidR="00CD38DA" w:rsidRPr="00B86E9B" w:rsidTr="00135730">
        <w:trPr>
          <w:trHeight w:val="300"/>
          <w:jc w:val="center"/>
        </w:trPr>
        <w:tc>
          <w:tcPr>
            <w:tcW w:w="3787" w:type="dxa"/>
            <w:tcBorders>
              <w:top w:val="nil"/>
              <w:left w:val="single" w:sz="4" w:space="0" w:color="auto"/>
              <w:bottom w:val="single" w:sz="4" w:space="0" w:color="auto"/>
              <w:right w:val="single" w:sz="4" w:space="0" w:color="auto"/>
            </w:tcBorders>
            <w:shd w:val="clear" w:color="auto" w:fill="auto"/>
            <w:vAlign w:val="center"/>
            <w:hideMark/>
          </w:tcPr>
          <w:p w:rsidR="00CD38DA" w:rsidRPr="00B86E9B" w:rsidRDefault="00CD38DA" w:rsidP="00CD38DA">
            <w:pPr>
              <w:rPr>
                <w:color w:val="000000"/>
                <w:sz w:val="26"/>
                <w:szCs w:val="26"/>
              </w:rPr>
            </w:pPr>
            <w:r w:rsidRPr="00B86E9B">
              <w:rPr>
                <w:color w:val="000000"/>
                <w:sz w:val="26"/>
                <w:szCs w:val="26"/>
              </w:rPr>
              <w:t>Izdarīto operāciju skaits</w:t>
            </w:r>
          </w:p>
        </w:tc>
        <w:tc>
          <w:tcPr>
            <w:tcW w:w="1528" w:type="dxa"/>
            <w:tcBorders>
              <w:top w:val="nil"/>
              <w:left w:val="nil"/>
              <w:bottom w:val="single" w:sz="4" w:space="0" w:color="auto"/>
              <w:right w:val="single" w:sz="4" w:space="0" w:color="auto"/>
            </w:tcBorders>
            <w:shd w:val="clear" w:color="auto" w:fill="auto"/>
            <w:vAlign w:val="center"/>
            <w:hideMark/>
          </w:tcPr>
          <w:p w:rsidR="00CD38DA" w:rsidRPr="00B86E9B" w:rsidRDefault="00CD38DA" w:rsidP="00EA734D">
            <w:pPr>
              <w:jc w:val="center"/>
              <w:rPr>
                <w:bCs/>
                <w:sz w:val="26"/>
                <w:szCs w:val="26"/>
              </w:rPr>
            </w:pPr>
            <w:r w:rsidRPr="00B86E9B">
              <w:rPr>
                <w:bCs/>
                <w:sz w:val="26"/>
                <w:szCs w:val="26"/>
              </w:rPr>
              <w:t>8 588</w:t>
            </w:r>
          </w:p>
        </w:tc>
        <w:tc>
          <w:tcPr>
            <w:tcW w:w="1387" w:type="dxa"/>
            <w:tcBorders>
              <w:top w:val="nil"/>
              <w:left w:val="nil"/>
              <w:bottom w:val="single" w:sz="4" w:space="0" w:color="auto"/>
              <w:right w:val="single" w:sz="4" w:space="0" w:color="auto"/>
            </w:tcBorders>
            <w:shd w:val="clear" w:color="auto" w:fill="auto"/>
            <w:vAlign w:val="center"/>
            <w:hideMark/>
          </w:tcPr>
          <w:p w:rsidR="00CD38DA" w:rsidRPr="00B86E9B" w:rsidRDefault="00CD38DA" w:rsidP="00EA734D">
            <w:pPr>
              <w:jc w:val="center"/>
              <w:rPr>
                <w:bCs/>
                <w:sz w:val="26"/>
                <w:szCs w:val="26"/>
              </w:rPr>
            </w:pPr>
            <w:r w:rsidRPr="00B86E9B">
              <w:rPr>
                <w:bCs/>
                <w:sz w:val="26"/>
                <w:szCs w:val="26"/>
              </w:rPr>
              <w:t>8 500</w:t>
            </w:r>
          </w:p>
        </w:tc>
        <w:tc>
          <w:tcPr>
            <w:tcW w:w="1560" w:type="dxa"/>
            <w:tcBorders>
              <w:top w:val="nil"/>
              <w:left w:val="nil"/>
              <w:bottom w:val="single" w:sz="4" w:space="0" w:color="auto"/>
              <w:right w:val="single" w:sz="4" w:space="0" w:color="auto"/>
            </w:tcBorders>
            <w:shd w:val="clear" w:color="auto" w:fill="auto"/>
            <w:vAlign w:val="center"/>
          </w:tcPr>
          <w:p w:rsidR="00CD38DA" w:rsidRPr="00B86E9B" w:rsidRDefault="00CD38DA" w:rsidP="00EA734D">
            <w:pPr>
              <w:jc w:val="center"/>
              <w:rPr>
                <w:bCs/>
                <w:sz w:val="26"/>
                <w:szCs w:val="26"/>
              </w:rPr>
            </w:pPr>
            <w:r w:rsidRPr="00B86E9B">
              <w:rPr>
                <w:bCs/>
                <w:sz w:val="26"/>
                <w:szCs w:val="26"/>
              </w:rPr>
              <w:t>9 114</w:t>
            </w:r>
          </w:p>
        </w:tc>
      </w:tr>
      <w:tr w:rsidR="00CD38DA" w:rsidRPr="00B86E9B" w:rsidTr="00135730">
        <w:trPr>
          <w:trHeight w:val="300"/>
          <w:jc w:val="center"/>
        </w:trPr>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8DA" w:rsidRPr="00B86E9B" w:rsidRDefault="00CD38DA" w:rsidP="00CD38DA">
            <w:pPr>
              <w:rPr>
                <w:color w:val="000000"/>
                <w:sz w:val="26"/>
                <w:szCs w:val="26"/>
              </w:rPr>
            </w:pPr>
            <w:r w:rsidRPr="00B86E9B">
              <w:rPr>
                <w:color w:val="000000"/>
                <w:sz w:val="26"/>
                <w:szCs w:val="26"/>
              </w:rPr>
              <w:t>Kopējās izmaksas un vienu pacientu [LVL]</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D38DA" w:rsidRPr="00B86E9B" w:rsidRDefault="00CD38DA" w:rsidP="00EA734D">
            <w:pPr>
              <w:jc w:val="center"/>
              <w:rPr>
                <w:bCs/>
                <w:sz w:val="26"/>
                <w:szCs w:val="26"/>
              </w:rPr>
            </w:pPr>
            <w:r w:rsidRPr="00B86E9B">
              <w:rPr>
                <w:bCs/>
                <w:sz w:val="26"/>
                <w:szCs w:val="26"/>
              </w:rPr>
              <w:t>111</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CD38DA" w:rsidRPr="00B86E9B" w:rsidRDefault="00CD38DA" w:rsidP="00EA734D">
            <w:pPr>
              <w:jc w:val="center"/>
              <w:rPr>
                <w:bCs/>
                <w:sz w:val="26"/>
                <w:szCs w:val="26"/>
              </w:rPr>
            </w:pPr>
            <w:r w:rsidRPr="00B86E9B">
              <w:rPr>
                <w:bCs/>
                <w:sz w:val="26"/>
                <w:szCs w:val="26"/>
              </w:rPr>
              <w:t>123</w:t>
            </w:r>
          </w:p>
        </w:tc>
        <w:tc>
          <w:tcPr>
            <w:tcW w:w="1560" w:type="dxa"/>
            <w:tcBorders>
              <w:top w:val="single" w:sz="4" w:space="0" w:color="auto"/>
              <w:left w:val="nil"/>
              <w:bottom w:val="single" w:sz="4" w:space="0" w:color="auto"/>
              <w:right w:val="single" w:sz="4" w:space="0" w:color="auto"/>
            </w:tcBorders>
            <w:shd w:val="clear" w:color="auto" w:fill="auto"/>
            <w:vAlign w:val="center"/>
          </w:tcPr>
          <w:p w:rsidR="00CD38DA" w:rsidRPr="00B86E9B" w:rsidRDefault="00CD38DA" w:rsidP="00EA734D">
            <w:pPr>
              <w:jc w:val="center"/>
              <w:rPr>
                <w:bCs/>
                <w:sz w:val="26"/>
                <w:szCs w:val="26"/>
              </w:rPr>
            </w:pPr>
            <w:r w:rsidRPr="00B86E9B">
              <w:rPr>
                <w:bCs/>
                <w:sz w:val="26"/>
                <w:szCs w:val="26"/>
              </w:rPr>
              <w:t>117</w:t>
            </w:r>
          </w:p>
        </w:tc>
      </w:tr>
    </w:tbl>
    <w:p w:rsidR="00B03144" w:rsidRPr="00B86E9B" w:rsidRDefault="00B03144" w:rsidP="00B03144">
      <w:pPr>
        <w:tabs>
          <w:tab w:val="left" w:pos="851"/>
        </w:tabs>
        <w:jc w:val="both"/>
        <w:rPr>
          <w:sz w:val="28"/>
          <w:szCs w:val="28"/>
        </w:rPr>
      </w:pPr>
      <w:r w:rsidRPr="00B86E9B">
        <w:rPr>
          <w:sz w:val="28"/>
          <w:szCs w:val="28"/>
        </w:rPr>
        <w:lastRenderedPageBreak/>
        <w:t xml:space="preserve"> </w:t>
      </w:r>
    </w:p>
    <w:p w:rsidR="00B03144" w:rsidRPr="00B86E9B" w:rsidRDefault="00B03144" w:rsidP="00C51DDA">
      <w:pPr>
        <w:tabs>
          <w:tab w:val="left" w:pos="851"/>
        </w:tabs>
        <w:jc w:val="both"/>
        <w:rPr>
          <w:sz w:val="28"/>
          <w:szCs w:val="28"/>
        </w:rPr>
      </w:pPr>
      <w:r w:rsidRPr="00B86E9B">
        <w:rPr>
          <w:sz w:val="28"/>
          <w:szCs w:val="28"/>
        </w:rPr>
        <w:tab/>
        <w:t>Izdevumu palielināšanās personāla atlīdzībai attiecībā pret 2012.gada plā</w:t>
      </w:r>
      <w:r w:rsidR="00104C50" w:rsidRPr="00B86E9B">
        <w:rPr>
          <w:sz w:val="28"/>
          <w:szCs w:val="28"/>
        </w:rPr>
        <w:t>nu un salīdzinājumā ar 2011.gada izdevumiem</w:t>
      </w:r>
      <w:r w:rsidRPr="00B86E9B">
        <w:rPr>
          <w:sz w:val="28"/>
          <w:szCs w:val="28"/>
        </w:rPr>
        <w:t xml:space="preserve"> galvenokārt ir skaidrojama ar to, ka pieaudzis ārstēto pacientu skaits par 4 778 (2,6%) pret 2012.gadā plānoto un par 4 187 (2,3%) salīdzinājumā ar 2011.gada izpildi</w:t>
      </w:r>
      <w:r w:rsidR="002E121E" w:rsidRPr="00B86E9B">
        <w:rPr>
          <w:sz w:val="28"/>
          <w:szCs w:val="28"/>
        </w:rPr>
        <w:t>, kā arī</w:t>
      </w:r>
      <w:r w:rsidRPr="00B86E9B">
        <w:rPr>
          <w:sz w:val="28"/>
          <w:szCs w:val="28"/>
        </w:rPr>
        <w:t xml:space="preserve"> </w:t>
      </w:r>
      <w:r w:rsidR="009735F7" w:rsidRPr="00B86E9B">
        <w:rPr>
          <w:sz w:val="28"/>
          <w:szCs w:val="28"/>
        </w:rPr>
        <w:t xml:space="preserve">palielinājies </w:t>
      </w:r>
      <w:r w:rsidRPr="00B86E9B">
        <w:rPr>
          <w:sz w:val="28"/>
          <w:szCs w:val="28"/>
        </w:rPr>
        <w:t>veikto operāciju skaits par 614 (7,2%) attiecībā pret 2012.gada plānu un par 526 (6,1%) salīdzinājumā ar 2011.gada izpildi</w:t>
      </w:r>
      <w:r w:rsidR="002D193C" w:rsidRPr="00B86E9B">
        <w:rPr>
          <w:sz w:val="28"/>
          <w:szCs w:val="28"/>
        </w:rPr>
        <w:t xml:space="preserve">. Turklāt, </w:t>
      </w:r>
      <w:r w:rsidRPr="00B86E9B">
        <w:rPr>
          <w:sz w:val="28"/>
          <w:szCs w:val="28"/>
        </w:rPr>
        <w:t>lai novērstu personāla aizpl</w:t>
      </w:r>
      <w:r w:rsidR="002D193C" w:rsidRPr="00B86E9B">
        <w:rPr>
          <w:sz w:val="28"/>
          <w:szCs w:val="28"/>
        </w:rPr>
        <w:t>ūšanas uz privāto sektoru risku</w:t>
      </w:r>
      <w:r w:rsidRPr="00B86E9B">
        <w:rPr>
          <w:sz w:val="28"/>
          <w:szCs w:val="28"/>
        </w:rPr>
        <w:t xml:space="preserve"> nekonkurētspējīga ārstniecības personāla atalgojuma dēļ</w:t>
      </w:r>
      <w:r w:rsidR="002D193C" w:rsidRPr="00B86E9B">
        <w:rPr>
          <w:sz w:val="28"/>
          <w:szCs w:val="28"/>
        </w:rPr>
        <w:t>,</w:t>
      </w:r>
      <w:r w:rsidRPr="00B86E9B">
        <w:rPr>
          <w:sz w:val="28"/>
          <w:szCs w:val="28"/>
        </w:rPr>
        <w:t xml:space="preserve"> tika palielināta ārstniecības personāla atlīdzība. Neskatoties uz kopējo ārstēto pacientu  un veikto operāciju skaita palielināšanos, izdevumi par medikamentiem un medicīniskiem materiāliem salīdzinājumā ar 2011.gada izpildi samazinājās.</w:t>
      </w:r>
    </w:p>
    <w:p w:rsidR="00B03144" w:rsidRPr="00B86E9B" w:rsidRDefault="00B03144" w:rsidP="00C51DDA">
      <w:pPr>
        <w:ind w:firstLine="720"/>
        <w:jc w:val="both"/>
        <w:rPr>
          <w:sz w:val="28"/>
          <w:szCs w:val="28"/>
        </w:rPr>
      </w:pPr>
      <w:r w:rsidRPr="00B86E9B">
        <w:rPr>
          <w:sz w:val="28"/>
          <w:szCs w:val="28"/>
        </w:rPr>
        <w:t>BKUS naudas līdzekļu atlikums uz 31.12.2012. bija  8 141 393 L</w:t>
      </w:r>
      <w:r w:rsidR="00B87B3F" w:rsidRPr="00B86E9B">
        <w:rPr>
          <w:sz w:val="28"/>
          <w:szCs w:val="28"/>
        </w:rPr>
        <w:t>VL, tajā skaitā valsts galvotā aizdevuma līdzekļi</w:t>
      </w:r>
      <w:r w:rsidRPr="00B86E9B">
        <w:rPr>
          <w:sz w:val="28"/>
          <w:szCs w:val="28"/>
        </w:rPr>
        <w:t xml:space="preserve"> 356 920 LVL, Eiropas Savienība</w:t>
      </w:r>
      <w:r w:rsidR="00B87B3F" w:rsidRPr="00B86E9B">
        <w:rPr>
          <w:sz w:val="28"/>
          <w:szCs w:val="28"/>
        </w:rPr>
        <w:t>s fondu projektu līdzfinansējuma līdzekļi</w:t>
      </w:r>
      <w:r w:rsidRPr="00B86E9B">
        <w:rPr>
          <w:sz w:val="28"/>
          <w:szCs w:val="28"/>
        </w:rPr>
        <w:t xml:space="preserve"> 4 620 493 LVL apmērā un valsts budžeta līdzekļi 3 163 980 LVL apmērā. BKUS atlikuma apmērs 2012.gadā salīdzinājumā ar 2012.gada plānu ir samazinājies par  376 229 LVL (4,4%). </w:t>
      </w:r>
    </w:p>
    <w:p w:rsidR="0062138D" w:rsidRPr="00B86E9B" w:rsidRDefault="0062138D" w:rsidP="00B03144">
      <w:pPr>
        <w:jc w:val="both"/>
        <w:rPr>
          <w:sz w:val="28"/>
          <w:szCs w:val="28"/>
        </w:rPr>
      </w:pPr>
    </w:p>
    <w:p w:rsidR="00B03144" w:rsidRPr="00B86E9B" w:rsidRDefault="00B03144" w:rsidP="00B03144">
      <w:pPr>
        <w:tabs>
          <w:tab w:val="left" w:pos="851"/>
        </w:tabs>
        <w:jc w:val="right"/>
        <w:rPr>
          <w:sz w:val="28"/>
          <w:szCs w:val="28"/>
        </w:rPr>
      </w:pPr>
      <w:r w:rsidRPr="00B86E9B">
        <w:rPr>
          <w:i/>
          <w:sz w:val="28"/>
          <w:szCs w:val="28"/>
        </w:rPr>
        <w:t>Tabula Nr.21: BKUS finanšu rādītāji 2012.gadā [LVL]</w:t>
      </w:r>
    </w:p>
    <w:tbl>
      <w:tblPr>
        <w:tblStyle w:val="Reatabula"/>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752"/>
        <w:gridCol w:w="1689"/>
        <w:gridCol w:w="1691"/>
        <w:gridCol w:w="1751"/>
      </w:tblGrid>
      <w:tr w:rsidR="00B03144" w:rsidRPr="00B86E9B" w:rsidTr="00E958A1">
        <w:trPr>
          <w:jc w:val="center"/>
        </w:trPr>
        <w:tc>
          <w:tcPr>
            <w:tcW w:w="2160" w:type="dxa"/>
            <w:shd w:val="clear" w:color="auto" w:fill="D9D9D9" w:themeFill="background1" w:themeFillShade="D9"/>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Rādītāji</w:t>
            </w:r>
          </w:p>
        </w:tc>
        <w:tc>
          <w:tcPr>
            <w:tcW w:w="1800" w:type="dxa"/>
            <w:shd w:val="clear" w:color="auto" w:fill="D9D9D9" w:themeFill="background1" w:themeFillShade="D9"/>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Plānotie</w:t>
            </w:r>
          </w:p>
        </w:tc>
        <w:tc>
          <w:tcPr>
            <w:tcW w:w="1710" w:type="dxa"/>
            <w:shd w:val="clear" w:color="auto" w:fill="D9D9D9" w:themeFill="background1" w:themeFillShade="D9"/>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Faktiskie</w:t>
            </w:r>
          </w:p>
        </w:tc>
        <w:tc>
          <w:tcPr>
            <w:tcW w:w="1729" w:type="dxa"/>
            <w:shd w:val="clear" w:color="auto" w:fill="D9D9D9" w:themeFill="background1" w:themeFillShade="D9"/>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skaitliski</w:t>
            </w:r>
          </w:p>
        </w:tc>
        <w:tc>
          <w:tcPr>
            <w:tcW w:w="1777" w:type="dxa"/>
            <w:shd w:val="clear" w:color="auto" w:fill="D9D9D9" w:themeFill="background1" w:themeFillShade="D9"/>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procentuāli</w:t>
            </w:r>
          </w:p>
        </w:tc>
      </w:tr>
      <w:tr w:rsidR="00B03144" w:rsidRPr="00B86E9B" w:rsidTr="00E958A1">
        <w:trPr>
          <w:jc w:val="center"/>
        </w:trPr>
        <w:tc>
          <w:tcPr>
            <w:tcW w:w="216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ieņēmumi</w:t>
            </w:r>
          </w:p>
        </w:tc>
        <w:tc>
          <w:tcPr>
            <w:tcW w:w="180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22 226 371</w:t>
            </w:r>
          </w:p>
        </w:tc>
        <w:tc>
          <w:tcPr>
            <w:tcW w:w="171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20 567 257</w:t>
            </w:r>
          </w:p>
        </w:tc>
        <w:tc>
          <w:tcPr>
            <w:tcW w:w="1729"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-1 659 114</w:t>
            </w:r>
          </w:p>
        </w:tc>
        <w:tc>
          <w:tcPr>
            <w:tcW w:w="1777"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-7,5 %</w:t>
            </w:r>
          </w:p>
        </w:tc>
      </w:tr>
      <w:tr w:rsidR="00B03144" w:rsidRPr="00B86E9B" w:rsidTr="00E958A1">
        <w:trPr>
          <w:jc w:val="center"/>
        </w:trPr>
        <w:tc>
          <w:tcPr>
            <w:tcW w:w="216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izdevumi</w:t>
            </w:r>
          </w:p>
        </w:tc>
        <w:tc>
          <w:tcPr>
            <w:tcW w:w="1800" w:type="dxa"/>
            <w:vAlign w:val="center"/>
          </w:tcPr>
          <w:p w:rsidR="00B03144" w:rsidRPr="00B86E9B" w:rsidRDefault="00B03144" w:rsidP="00E958A1">
            <w:pPr>
              <w:ind w:left="28"/>
              <w:jc w:val="center"/>
              <w:rPr>
                <w:sz w:val="26"/>
                <w:szCs w:val="26"/>
              </w:rPr>
            </w:pPr>
            <w:r w:rsidRPr="00B86E9B">
              <w:rPr>
                <w:sz w:val="26"/>
                <w:szCs w:val="26"/>
              </w:rPr>
              <w:t>22 225 612</w:t>
            </w:r>
          </w:p>
        </w:tc>
        <w:tc>
          <w:tcPr>
            <w:tcW w:w="1710" w:type="dxa"/>
            <w:vAlign w:val="center"/>
          </w:tcPr>
          <w:p w:rsidR="00B03144" w:rsidRPr="00B86E9B" w:rsidRDefault="00B03144" w:rsidP="00E958A1">
            <w:pPr>
              <w:jc w:val="center"/>
              <w:rPr>
                <w:sz w:val="26"/>
                <w:szCs w:val="26"/>
              </w:rPr>
            </w:pPr>
            <w:r w:rsidRPr="00B86E9B">
              <w:rPr>
                <w:sz w:val="26"/>
                <w:szCs w:val="26"/>
              </w:rPr>
              <w:t>21 683 528</w:t>
            </w:r>
          </w:p>
        </w:tc>
        <w:tc>
          <w:tcPr>
            <w:tcW w:w="1729" w:type="dxa"/>
            <w:vAlign w:val="center"/>
          </w:tcPr>
          <w:p w:rsidR="00B03144" w:rsidRPr="00B86E9B" w:rsidRDefault="00B03144" w:rsidP="00E958A1">
            <w:pPr>
              <w:pStyle w:val="Sarakstarindkopa"/>
              <w:spacing w:after="0" w:line="240" w:lineRule="auto"/>
              <w:ind w:left="-80"/>
              <w:jc w:val="center"/>
              <w:rPr>
                <w:rFonts w:ascii="Times New Roman" w:hAnsi="Times New Roman"/>
                <w:sz w:val="26"/>
                <w:szCs w:val="26"/>
              </w:rPr>
            </w:pPr>
            <w:r w:rsidRPr="00B86E9B">
              <w:rPr>
                <w:rFonts w:ascii="Times New Roman" w:hAnsi="Times New Roman"/>
                <w:sz w:val="26"/>
                <w:szCs w:val="26"/>
              </w:rPr>
              <w:t>-542 084</w:t>
            </w:r>
          </w:p>
        </w:tc>
        <w:tc>
          <w:tcPr>
            <w:tcW w:w="1777"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- 2,4 %</w:t>
            </w:r>
          </w:p>
        </w:tc>
      </w:tr>
      <w:tr w:rsidR="00B03144" w:rsidRPr="00B86E9B" w:rsidTr="00E958A1">
        <w:trPr>
          <w:jc w:val="center"/>
        </w:trPr>
        <w:tc>
          <w:tcPr>
            <w:tcW w:w="216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Nolietojums</w:t>
            </w:r>
          </w:p>
        </w:tc>
        <w:tc>
          <w:tcPr>
            <w:tcW w:w="1800" w:type="dxa"/>
            <w:vAlign w:val="center"/>
          </w:tcPr>
          <w:p w:rsidR="00B03144" w:rsidRPr="00B86E9B" w:rsidRDefault="00F2202D"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2 330 135</w:t>
            </w:r>
          </w:p>
        </w:tc>
        <w:tc>
          <w:tcPr>
            <w:tcW w:w="171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2 840 335</w:t>
            </w:r>
          </w:p>
        </w:tc>
        <w:tc>
          <w:tcPr>
            <w:tcW w:w="1729" w:type="dxa"/>
            <w:vAlign w:val="center"/>
          </w:tcPr>
          <w:p w:rsidR="00B03144" w:rsidRPr="00B86E9B" w:rsidRDefault="00020772"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-510</w:t>
            </w:r>
            <w:r w:rsidR="00B03144" w:rsidRPr="00B86E9B">
              <w:rPr>
                <w:rFonts w:ascii="Times New Roman" w:hAnsi="Times New Roman"/>
                <w:sz w:val="26"/>
                <w:szCs w:val="26"/>
              </w:rPr>
              <w:t xml:space="preserve"> </w:t>
            </w:r>
            <w:r w:rsidRPr="00B86E9B">
              <w:rPr>
                <w:rFonts w:ascii="Times New Roman" w:hAnsi="Times New Roman"/>
                <w:sz w:val="26"/>
                <w:szCs w:val="26"/>
              </w:rPr>
              <w:t>200</w:t>
            </w:r>
          </w:p>
        </w:tc>
        <w:tc>
          <w:tcPr>
            <w:tcW w:w="1777" w:type="dxa"/>
            <w:vAlign w:val="center"/>
          </w:tcPr>
          <w:p w:rsidR="00B03144" w:rsidRPr="00B86E9B" w:rsidRDefault="00B03144" w:rsidP="00E958A1">
            <w:pPr>
              <w:jc w:val="center"/>
              <w:rPr>
                <w:sz w:val="26"/>
                <w:szCs w:val="26"/>
              </w:rPr>
            </w:pPr>
            <w:r w:rsidRPr="00B86E9B">
              <w:rPr>
                <w:sz w:val="26"/>
                <w:szCs w:val="26"/>
              </w:rPr>
              <w:t>- 47,7 %</w:t>
            </w:r>
          </w:p>
        </w:tc>
      </w:tr>
      <w:tr w:rsidR="00B03144" w:rsidRPr="00B86E9B" w:rsidTr="00E958A1">
        <w:trPr>
          <w:jc w:val="center"/>
        </w:trPr>
        <w:tc>
          <w:tcPr>
            <w:tcW w:w="216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Zaudējumi</w:t>
            </w:r>
          </w:p>
        </w:tc>
        <w:tc>
          <w:tcPr>
            <w:tcW w:w="180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759</w:t>
            </w:r>
          </w:p>
        </w:tc>
        <w:tc>
          <w:tcPr>
            <w:tcW w:w="1710"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- 1 116 271</w:t>
            </w:r>
          </w:p>
        </w:tc>
        <w:tc>
          <w:tcPr>
            <w:tcW w:w="1729" w:type="dxa"/>
            <w:vAlign w:val="center"/>
          </w:tcPr>
          <w:p w:rsidR="00B03144" w:rsidRPr="00B86E9B" w:rsidRDefault="00B03144"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-1 117 030</w:t>
            </w:r>
          </w:p>
        </w:tc>
        <w:tc>
          <w:tcPr>
            <w:tcW w:w="1777" w:type="dxa"/>
            <w:vAlign w:val="center"/>
          </w:tcPr>
          <w:p w:rsidR="00B03144" w:rsidRPr="00B86E9B" w:rsidRDefault="00B03144" w:rsidP="00E958A1">
            <w:pPr>
              <w:jc w:val="center"/>
              <w:rPr>
                <w:sz w:val="26"/>
                <w:szCs w:val="26"/>
              </w:rPr>
            </w:pPr>
            <w:r w:rsidRPr="00B86E9B">
              <w:rPr>
                <w:sz w:val="26"/>
                <w:szCs w:val="26"/>
              </w:rPr>
              <w:t>-147 171,3 %</w:t>
            </w:r>
          </w:p>
        </w:tc>
      </w:tr>
    </w:tbl>
    <w:p w:rsidR="001A1B24" w:rsidRPr="00B86E9B" w:rsidRDefault="001A1B24" w:rsidP="00B03144">
      <w:pPr>
        <w:ind w:firstLine="720"/>
        <w:jc w:val="both"/>
        <w:rPr>
          <w:sz w:val="28"/>
          <w:szCs w:val="28"/>
        </w:rPr>
      </w:pPr>
    </w:p>
    <w:p w:rsidR="00B03144" w:rsidRPr="00B86E9B" w:rsidRDefault="00B03144" w:rsidP="00B03144">
      <w:pPr>
        <w:ind w:firstLine="720"/>
        <w:jc w:val="both"/>
        <w:rPr>
          <w:sz w:val="28"/>
          <w:szCs w:val="28"/>
          <w:lang w:eastAsia="lv-LV"/>
        </w:rPr>
      </w:pPr>
      <w:r w:rsidRPr="00B86E9B">
        <w:rPr>
          <w:sz w:val="28"/>
          <w:szCs w:val="28"/>
        </w:rPr>
        <w:t xml:space="preserve">BKUS zaudējumi 2012.gadā </w:t>
      </w:r>
      <w:r w:rsidRPr="00B86E9B">
        <w:rPr>
          <w:sz w:val="28"/>
          <w:szCs w:val="28"/>
          <w:lang w:eastAsia="lv-LV"/>
        </w:rPr>
        <w:t>bija 1 116 271 LVL, kas galvenokārt ir skaidrojami ar to, ka:</w:t>
      </w:r>
    </w:p>
    <w:p w:rsidR="00B03144" w:rsidRPr="00B86E9B" w:rsidRDefault="00B03144" w:rsidP="00B03144">
      <w:pPr>
        <w:pStyle w:val="Sarakstarindkopa"/>
        <w:numPr>
          <w:ilvl w:val="0"/>
          <w:numId w:val="40"/>
        </w:numPr>
        <w:spacing w:after="0" w:line="240" w:lineRule="auto"/>
        <w:ind w:left="1134"/>
        <w:jc w:val="both"/>
        <w:rPr>
          <w:rFonts w:ascii="Times New Roman" w:eastAsia="Times New Roman" w:hAnsi="Times New Roman"/>
          <w:sz w:val="28"/>
          <w:szCs w:val="28"/>
        </w:rPr>
      </w:pPr>
      <w:r w:rsidRPr="00B86E9B">
        <w:rPr>
          <w:rFonts w:ascii="Times New Roman" w:eastAsia="Times New Roman" w:hAnsi="Times New Roman"/>
          <w:sz w:val="28"/>
          <w:szCs w:val="28"/>
        </w:rPr>
        <w:t xml:space="preserve">faktiskie izdevumi par sniegtajiem veselības aprūpes pakalpojumiem ir augstāki par Ministru kabineta 2006.gada 19.decembra noteikumos Nr.1046 „Veselības aprūpes organizēšanas un finansēšanas kārtība” atsevišķām veselības aprūpes programmām un pakalpojumiem noteiktajiem tarifiem, jo </w:t>
      </w:r>
      <w:r w:rsidR="00AC5C95" w:rsidRPr="00B86E9B">
        <w:rPr>
          <w:rFonts w:ascii="Times New Roman" w:eastAsia="Times New Roman" w:hAnsi="Times New Roman"/>
          <w:sz w:val="28"/>
          <w:szCs w:val="28"/>
        </w:rPr>
        <w:t xml:space="preserve">valsts budžeta ierobežoto iespēju dēļ </w:t>
      </w:r>
      <w:r w:rsidRPr="00B86E9B">
        <w:rPr>
          <w:rFonts w:ascii="Times New Roman" w:eastAsia="Times New Roman" w:hAnsi="Times New Roman"/>
          <w:sz w:val="28"/>
          <w:szCs w:val="28"/>
        </w:rPr>
        <w:t>jau ilgstoši tarifi nav aktualizēti, lai iekļautu pakalpojumu sniegšanai nepieciešamo resursu sadārdzināšanos;;</w:t>
      </w:r>
    </w:p>
    <w:p w:rsidR="00B03144" w:rsidRPr="00B86E9B" w:rsidRDefault="00B03144" w:rsidP="00B03144">
      <w:pPr>
        <w:pStyle w:val="Sarakstarindkopa"/>
        <w:numPr>
          <w:ilvl w:val="0"/>
          <w:numId w:val="40"/>
        </w:numPr>
        <w:spacing w:after="0" w:line="240" w:lineRule="auto"/>
        <w:ind w:left="1134"/>
        <w:jc w:val="both"/>
        <w:rPr>
          <w:rFonts w:ascii="Times New Roman" w:eastAsia="Times New Roman" w:hAnsi="Times New Roman"/>
          <w:sz w:val="28"/>
          <w:szCs w:val="28"/>
        </w:rPr>
      </w:pPr>
      <w:r w:rsidRPr="00B86E9B">
        <w:rPr>
          <w:rFonts w:ascii="Times New Roman" w:eastAsia="Times New Roman" w:hAnsi="Times New Roman"/>
          <w:sz w:val="28"/>
          <w:szCs w:val="28"/>
        </w:rPr>
        <w:t>pārskata periodā ievērojami pieauga amortizācijas izmaksas, kuras 2013.gadā plānots samazināt, ieviešot Veselības ministrijas norādījumus par pamatlīdzekļu kategoriju derīgās lietošanas laiku un nolietojuma normām;</w:t>
      </w:r>
    </w:p>
    <w:p w:rsidR="00B03144" w:rsidRPr="00B86E9B" w:rsidRDefault="00B03144" w:rsidP="00B03144">
      <w:pPr>
        <w:pStyle w:val="Sarakstarindkopa"/>
        <w:numPr>
          <w:ilvl w:val="0"/>
          <w:numId w:val="40"/>
        </w:numPr>
        <w:spacing w:after="0" w:line="240" w:lineRule="auto"/>
        <w:ind w:left="1134"/>
        <w:jc w:val="both"/>
        <w:rPr>
          <w:rFonts w:ascii="Times New Roman" w:eastAsia="Times New Roman" w:hAnsi="Times New Roman"/>
          <w:sz w:val="28"/>
          <w:szCs w:val="28"/>
        </w:rPr>
      </w:pPr>
      <w:r w:rsidRPr="00B86E9B">
        <w:rPr>
          <w:rFonts w:ascii="Times New Roman" w:eastAsia="Times New Roman" w:hAnsi="Times New Roman"/>
          <w:sz w:val="28"/>
          <w:szCs w:val="28"/>
        </w:rPr>
        <w:t>2012.gadā pieauga personāla izmaksas, lai novērstu personāla aizplūšanas uz privāto sektoru risku, nekonkurētspējīga ārstniecības personāla atalgojuma dēļ.</w:t>
      </w:r>
    </w:p>
    <w:p w:rsidR="005F3EA8" w:rsidRPr="00B86E9B" w:rsidRDefault="00B03144" w:rsidP="00A93B9B">
      <w:pPr>
        <w:ind w:firstLine="720"/>
        <w:jc w:val="both"/>
        <w:rPr>
          <w:sz w:val="28"/>
          <w:szCs w:val="28"/>
        </w:rPr>
      </w:pPr>
      <w:r w:rsidRPr="00B86E9B">
        <w:rPr>
          <w:sz w:val="28"/>
          <w:szCs w:val="28"/>
          <w:lang w:eastAsia="lv-LV"/>
        </w:rPr>
        <w:lastRenderedPageBreak/>
        <w:t xml:space="preserve"> Ņemot vērā 2013.gada beigās papildus piešķirto valsts budžeta finansējumu veselības aprūpes pakalpojumu pieejamības uzlabošanai 4 633 448 LVL apmērā (Ministru kabineta 2013.gada 4.oktobra rīkojums Nr.459) un stacionāro ārstniecības iestāžu infrastruktūra</w:t>
      </w:r>
      <w:r w:rsidR="00292719" w:rsidRPr="00B86E9B">
        <w:rPr>
          <w:sz w:val="28"/>
          <w:szCs w:val="28"/>
          <w:lang w:eastAsia="lv-LV"/>
        </w:rPr>
        <w:t xml:space="preserve">s uzturēšanas izdevumu </w:t>
      </w:r>
      <w:r w:rsidRPr="00B86E9B">
        <w:rPr>
          <w:sz w:val="28"/>
          <w:szCs w:val="28"/>
          <w:lang w:eastAsia="lv-LV"/>
        </w:rPr>
        <w:t>segšanai 5 332 132 LVL apmērā (Ministru kabineta 2013.gada 20.decembra rīkojums Nr.674) plānojams, ka 2013.gadā BKUS darbība būs bijusi rentabla.</w:t>
      </w:r>
    </w:p>
    <w:p w:rsidR="001B054F" w:rsidRPr="00B86E9B" w:rsidRDefault="001B054F" w:rsidP="001B054F">
      <w:pPr>
        <w:ind w:firstLine="720"/>
        <w:jc w:val="both"/>
        <w:rPr>
          <w:sz w:val="28"/>
          <w:szCs w:val="28"/>
        </w:rPr>
      </w:pPr>
      <w:r w:rsidRPr="00B86E9B">
        <w:rPr>
          <w:sz w:val="28"/>
          <w:szCs w:val="28"/>
        </w:rPr>
        <w:t xml:space="preserve">BKUS 2012.gadā un 2013.gadā ir veikusi virkni pasākumu tās attīstībai, darba efektivitātes palielināšanai, kā arī zaudējuma apmērā samazināšanai: </w:t>
      </w:r>
    </w:p>
    <w:p w:rsidR="001B054F" w:rsidRPr="00B86E9B" w:rsidRDefault="001B054F" w:rsidP="001B054F">
      <w:pPr>
        <w:pStyle w:val="Virsraksts1"/>
        <w:numPr>
          <w:ilvl w:val="0"/>
          <w:numId w:val="22"/>
        </w:numPr>
        <w:spacing w:before="0" w:after="0"/>
        <w:ind w:left="709"/>
        <w:jc w:val="both"/>
        <w:rPr>
          <w:b w:val="0"/>
        </w:rPr>
      </w:pPr>
      <w:r w:rsidRPr="00B86E9B">
        <w:rPr>
          <w:b w:val="0"/>
        </w:rPr>
        <w:t>Pārskatīta</w:t>
      </w:r>
      <w:r w:rsidR="00093699" w:rsidRPr="00B86E9B">
        <w:rPr>
          <w:b w:val="0"/>
        </w:rPr>
        <w:t>s</w:t>
      </w:r>
      <w:r w:rsidRPr="00B86E9B">
        <w:rPr>
          <w:b w:val="0"/>
        </w:rPr>
        <w:t xml:space="preserve"> pamatlīdzekļu nolietojuma amortizācijas normas un sinhronizācija atbilstoši Veselības ministrijas rekomendācijām. Prognozējamais efekts 2013.gadā 700 000 LVL. </w:t>
      </w:r>
    </w:p>
    <w:p w:rsidR="001B054F" w:rsidRPr="00B86E9B" w:rsidRDefault="001B054F" w:rsidP="001B054F">
      <w:pPr>
        <w:pStyle w:val="Virsraksts1"/>
        <w:spacing w:before="0" w:after="0"/>
        <w:ind w:left="709"/>
        <w:jc w:val="both"/>
        <w:rPr>
          <w:b w:val="0"/>
        </w:rPr>
      </w:pPr>
      <w:r w:rsidRPr="00B86E9B">
        <w:rPr>
          <w:b w:val="0"/>
        </w:rPr>
        <w:t>Ieviesti resursu vadības sistēmas HORIZON pamatdarbības moduļi, izmantojot vienotu programmnodrošinājumu un atsakoties no atsevišķu, savā starpā grūti integrējamu programmu pielietojuma grāmatvedības uzskaitē.</w:t>
      </w:r>
    </w:p>
    <w:p w:rsidR="001B054F" w:rsidRPr="00B86E9B" w:rsidRDefault="0047424B" w:rsidP="001B054F">
      <w:pPr>
        <w:pStyle w:val="Virsraksts1"/>
        <w:spacing w:before="0" w:after="0"/>
        <w:ind w:left="709" w:hanging="357"/>
        <w:jc w:val="both"/>
        <w:rPr>
          <w:b w:val="0"/>
        </w:rPr>
      </w:pPr>
      <w:r w:rsidRPr="00B86E9B">
        <w:rPr>
          <w:b w:val="0"/>
        </w:rPr>
        <w:t>Uzsākta</w:t>
      </w:r>
      <w:r w:rsidR="001B054F" w:rsidRPr="00B86E9B">
        <w:rPr>
          <w:b w:val="0"/>
        </w:rPr>
        <w:t xml:space="preserve"> izdevumu uzskaites un pakalpojumu pašizmaksas aprēķināšanas kārtības noteikšana, to algoritmu izstrāde, kā arī struktūrvienību izmaksu monitorings.</w:t>
      </w:r>
    </w:p>
    <w:p w:rsidR="001B054F" w:rsidRPr="00B86E9B" w:rsidRDefault="001B054F" w:rsidP="001B054F">
      <w:pPr>
        <w:pStyle w:val="Virsraksts1"/>
        <w:spacing w:before="0" w:after="0"/>
        <w:ind w:left="709" w:hanging="357"/>
        <w:jc w:val="both"/>
        <w:rPr>
          <w:b w:val="0"/>
        </w:rPr>
      </w:pPr>
      <w:r w:rsidRPr="00B86E9B">
        <w:rPr>
          <w:b w:val="0"/>
        </w:rPr>
        <w:t xml:space="preserve">Veiktas strukturālās reformas, ar mērķi pārskatīt ārstniecības, aprūpes un administratīvi saimnieciskos procesus, definējot izmērāmus personāla noslogojuma rādītājus un ieviešot ar produktivitāti saistītus atalgojuma apmaksas nosacījumus. Ekonomiskais efekts 270 000 LVL. </w:t>
      </w:r>
    </w:p>
    <w:p w:rsidR="001B054F" w:rsidRPr="00B86E9B" w:rsidRDefault="001B054F" w:rsidP="001B054F">
      <w:pPr>
        <w:pStyle w:val="Virsraksts1"/>
        <w:spacing w:before="0" w:after="0"/>
        <w:ind w:left="709" w:hanging="357"/>
        <w:jc w:val="both"/>
        <w:rPr>
          <w:b w:val="0"/>
        </w:rPr>
      </w:pPr>
      <w:r w:rsidRPr="00B86E9B">
        <w:rPr>
          <w:b w:val="0"/>
        </w:rPr>
        <w:t>Uzsākta vadlīniju, protokolu un iekšējo algoritmu izstrāde, kas nodrošinās vienotu un vienādu pieeju pacientu ārstēšanas un aprūpes procesa nodrošināšanā un ir vērsta uz pakalpojumu izmaksu plānošanu un efektīvu resursu izmantošanu.</w:t>
      </w:r>
    </w:p>
    <w:p w:rsidR="001B054F" w:rsidRPr="00B86E9B" w:rsidRDefault="001B054F" w:rsidP="001B054F">
      <w:pPr>
        <w:pStyle w:val="Virsraksts1"/>
        <w:spacing w:before="0" w:after="0"/>
        <w:ind w:left="709" w:hanging="357"/>
        <w:jc w:val="both"/>
        <w:rPr>
          <w:b w:val="0"/>
        </w:rPr>
      </w:pPr>
      <w:r w:rsidRPr="00B86E9B">
        <w:rPr>
          <w:b w:val="0"/>
        </w:rPr>
        <w:t>Uzsākta programmatūras izstrāde, kas nodrošinās elektronisku ārstniecības līdzekļu pasūtīšanu, apriti un uzskaiti uz konkrētu pacientu slimnīcas struktūrvienībā, kas ļaus pārskatāmāk kontrolēt ārstniecības līdzekļu atlikumus nodaļās,</w:t>
      </w:r>
      <w:r w:rsidR="00D161FD" w:rsidRPr="00B86E9B">
        <w:rPr>
          <w:b w:val="0"/>
        </w:rPr>
        <w:t xml:space="preserve"> samazinās krājumus un atbrīvos</w:t>
      </w:r>
      <w:r w:rsidRPr="00B86E9B">
        <w:rPr>
          <w:b w:val="0"/>
        </w:rPr>
        <w:t xml:space="preserve"> „iesaldētos” finanšu līdzekļus. Prognozējamais ie</w:t>
      </w:r>
      <w:r w:rsidR="00F01FD7" w:rsidRPr="00B86E9B">
        <w:rPr>
          <w:b w:val="0"/>
        </w:rPr>
        <w:t>taupījums aptuveni 5</w:t>
      </w:r>
      <w:r w:rsidR="00A52E6A" w:rsidRPr="00B86E9B">
        <w:rPr>
          <w:b w:val="0"/>
        </w:rPr>
        <w:t>% jeb 1</w:t>
      </w:r>
      <w:r w:rsidR="00F01FD7" w:rsidRPr="00B86E9B">
        <w:rPr>
          <w:b w:val="0"/>
        </w:rPr>
        <w:t>20</w:t>
      </w:r>
      <w:r w:rsidR="00A52E6A" w:rsidRPr="00B86E9B">
        <w:rPr>
          <w:b w:val="0"/>
        </w:rPr>
        <w:t> 00</w:t>
      </w:r>
      <w:r w:rsidR="00F01FD7" w:rsidRPr="00B86E9B">
        <w:rPr>
          <w:b w:val="0"/>
        </w:rPr>
        <w:t>0 </w:t>
      </w:r>
      <w:r w:rsidRPr="00B86E9B">
        <w:rPr>
          <w:b w:val="0"/>
        </w:rPr>
        <w:t>LVL gadā no līdzekļiem ārstniecības līdzekļu nodrošināšanai.</w:t>
      </w:r>
    </w:p>
    <w:p w:rsidR="007A376B" w:rsidRPr="00B86E9B" w:rsidRDefault="007A376B" w:rsidP="007A376B">
      <w:pPr>
        <w:rPr>
          <w:sz w:val="28"/>
          <w:szCs w:val="28"/>
        </w:rPr>
      </w:pPr>
    </w:p>
    <w:p w:rsidR="00981FE5" w:rsidRPr="00B86E9B" w:rsidRDefault="00981FE5" w:rsidP="00981FE5">
      <w:pPr>
        <w:pStyle w:val="Virsraksts3"/>
        <w:numPr>
          <w:ilvl w:val="2"/>
          <w:numId w:val="7"/>
        </w:numPr>
        <w:spacing w:before="0" w:after="0"/>
        <w:ind w:left="1418"/>
      </w:pPr>
      <w:r w:rsidRPr="00B86E9B">
        <w:t>Nākotnes attīstības plāni, kas nodrošinās stabilu un sekmīgu BKUS turpmāko darbību</w:t>
      </w:r>
    </w:p>
    <w:p w:rsidR="007A376B" w:rsidRPr="00B86E9B" w:rsidRDefault="007A376B" w:rsidP="007A376B">
      <w:pPr>
        <w:rPr>
          <w:sz w:val="28"/>
          <w:szCs w:val="28"/>
        </w:rPr>
      </w:pPr>
    </w:p>
    <w:p w:rsidR="00201675" w:rsidRPr="00B86E9B" w:rsidRDefault="00201675" w:rsidP="00201675">
      <w:pPr>
        <w:ind w:firstLine="709"/>
        <w:jc w:val="both"/>
        <w:rPr>
          <w:rStyle w:val="Izteiksmgs"/>
          <w:b w:val="0"/>
          <w:sz w:val="28"/>
          <w:szCs w:val="28"/>
        </w:rPr>
      </w:pPr>
      <w:r w:rsidRPr="00B86E9B">
        <w:rPr>
          <w:rStyle w:val="Izteiksmgs"/>
          <w:b w:val="0"/>
          <w:sz w:val="28"/>
          <w:szCs w:val="28"/>
        </w:rPr>
        <w:t xml:space="preserve">Saskaņā ar nākotnes attīstības plāniem BKUS: </w:t>
      </w:r>
    </w:p>
    <w:p w:rsidR="00D53C42" w:rsidRPr="00B86E9B" w:rsidRDefault="00201675" w:rsidP="00D53C42">
      <w:pPr>
        <w:pStyle w:val="Vienkrsteksts"/>
        <w:numPr>
          <w:ilvl w:val="0"/>
          <w:numId w:val="26"/>
        </w:numPr>
        <w:jc w:val="both"/>
        <w:rPr>
          <w:rFonts w:ascii="Times New Roman" w:hAnsi="Times New Roman"/>
          <w:sz w:val="28"/>
          <w:szCs w:val="28"/>
        </w:rPr>
      </w:pPr>
      <w:r w:rsidRPr="00B86E9B">
        <w:rPr>
          <w:rFonts w:ascii="Times New Roman" w:hAnsi="Times New Roman"/>
          <w:sz w:val="28"/>
          <w:szCs w:val="28"/>
        </w:rPr>
        <w:t>Turpinās attīstīt ambulatorā pakalpojuma pieejamību, aktivizējot dienas stacionāru darbu un palielinot to sniegto pakalpojumu izmaksu efektivitāti.</w:t>
      </w:r>
    </w:p>
    <w:p w:rsidR="00D53C42" w:rsidRPr="00B86E9B" w:rsidRDefault="00201675" w:rsidP="00D53C42">
      <w:pPr>
        <w:pStyle w:val="Vienkrsteksts"/>
        <w:numPr>
          <w:ilvl w:val="0"/>
          <w:numId w:val="26"/>
        </w:numPr>
        <w:jc w:val="both"/>
        <w:rPr>
          <w:rFonts w:ascii="Times New Roman" w:hAnsi="Times New Roman"/>
          <w:sz w:val="28"/>
          <w:szCs w:val="28"/>
        </w:rPr>
      </w:pPr>
      <w:r w:rsidRPr="00B86E9B">
        <w:rPr>
          <w:rFonts w:ascii="Times New Roman" w:hAnsi="Times New Roman"/>
          <w:sz w:val="28"/>
          <w:szCs w:val="28"/>
        </w:rPr>
        <w:t>Turpinās veidot vienotu darba izpildes plānošanas un novērtēšanas modeli un ieviest skaidri definētu atalgojuma un motivācijas sistēmu.</w:t>
      </w:r>
    </w:p>
    <w:p w:rsidR="00D53C42" w:rsidRPr="00B86E9B" w:rsidRDefault="00201675" w:rsidP="00D53C42">
      <w:pPr>
        <w:pStyle w:val="Vienkrsteksts"/>
        <w:numPr>
          <w:ilvl w:val="0"/>
          <w:numId w:val="26"/>
        </w:numPr>
        <w:jc w:val="both"/>
        <w:rPr>
          <w:rFonts w:ascii="Times New Roman" w:hAnsi="Times New Roman"/>
          <w:sz w:val="28"/>
          <w:szCs w:val="28"/>
        </w:rPr>
      </w:pPr>
      <w:r w:rsidRPr="00B86E9B">
        <w:rPr>
          <w:rFonts w:ascii="Times New Roman" w:hAnsi="Times New Roman"/>
          <w:sz w:val="28"/>
          <w:szCs w:val="28"/>
        </w:rPr>
        <w:t xml:space="preserve">Turpinās stabilu un kvalificētu atbalsta un servisa darbinieku vienību izveidi. </w:t>
      </w:r>
    </w:p>
    <w:p w:rsidR="00D53C42" w:rsidRPr="00B86E9B" w:rsidRDefault="00201675" w:rsidP="00D53C42">
      <w:pPr>
        <w:pStyle w:val="Vienkrsteksts"/>
        <w:numPr>
          <w:ilvl w:val="0"/>
          <w:numId w:val="26"/>
        </w:numPr>
        <w:jc w:val="both"/>
        <w:rPr>
          <w:rFonts w:ascii="Times New Roman" w:hAnsi="Times New Roman"/>
          <w:sz w:val="28"/>
          <w:szCs w:val="28"/>
        </w:rPr>
      </w:pPr>
      <w:r w:rsidRPr="00B86E9B">
        <w:rPr>
          <w:rFonts w:ascii="Times New Roman" w:hAnsi="Times New Roman"/>
          <w:sz w:val="28"/>
          <w:szCs w:val="28"/>
        </w:rPr>
        <w:lastRenderedPageBreak/>
        <w:t>Turpinās resursu pārvaldības uzlabošanu, nodrošinot pastāvīgu pakalpojumu un procesu attīstību atbilstoši izvirzītajiem darbības mērķiem.</w:t>
      </w:r>
    </w:p>
    <w:p w:rsidR="00D53C42" w:rsidRPr="00B86E9B" w:rsidRDefault="00201675" w:rsidP="00D53C42">
      <w:pPr>
        <w:pStyle w:val="Vienkrsteksts"/>
        <w:numPr>
          <w:ilvl w:val="0"/>
          <w:numId w:val="26"/>
        </w:numPr>
        <w:jc w:val="both"/>
        <w:rPr>
          <w:rFonts w:ascii="Times New Roman" w:hAnsi="Times New Roman"/>
          <w:sz w:val="28"/>
          <w:szCs w:val="28"/>
        </w:rPr>
      </w:pPr>
      <w:r w:rsidRPr="00B86E9B">
        <w:rPr>
          <w:rFonts w:ascii="Times New Roman" w:hAnsi="Times New Roman"/>
          <w:sz w:val="28"/>
          <w:szCs w:val="28"/>
        </w:rPr>
        <w:t>Turpinās pašu ieņēmumu (maksas pakalpojumu) īpatsvara palielināšanu, attīstot esošos un ieviešot jaunus maksas pakalpojumus – medicīnas tūrisms, neizmantoto telpu noma, ārstnieciskie un servisa pakalpojumi.</w:t>
      </w:r>
    </w:p>
    <w:p w:rsidR="00201675" w:rsidRPr="00B86E9B" w:rsidRDefault="00201675" w:rsidP="007A376B">
      <w:pPr>
        <w:pStyle w:val="Vienkrsteksts"/>
        <w:numPr>
          <w:ilvl w:val="0"/>
          <w:numId w:val="26"/>
        </w:numPr>
        <w:jc w:val="both"/>
        <w:rPr>
          <w:rFonts w:ascii="Times New Roman" w:hAnsi="Times New Roman"/>
          <w:sz w:val="28"/>
          <w:szCs w:val="28"/>
        </w:rPr>
      </w:pPr>
      <w:r w:rsidRPr="00B86E9B">
        <w:rPr>
          <w:rFonts w:ascii="Times New Roman" w:hAnsi="Times New Roman"/>
          <w:sz w:val="28"/>
          <w:szCs w:val="28"/>
          <w:lang w:bidi="lo-LA"/>
        </w:rPr>
        <w:t>Turpinās esošo kvalitātes vadības sistēmu pilnveidošanu, ārstniecības un aprūpes procesu  aprakstu pilnveidošanu, pacientu drošības sistēmas izveidošana un tās darbības nepārtraukta uzraudzība.</w:t>
      </w:r>
    </w:p>
    <w:p w:rsidR="00CF18F0" w:rsidRDefault="00CF18F0" w:rsidP="007A376B">
      <w:pPr>
        <w:rPr>
          <w:sz w:val="28"/>
          <w:szCs w:val="28"/>
        </w:rPr>
      </w:pPr>
    </w:p>
    <w:p w:rsidR="00135730" w:rsidRPr="00B86E9B" w:rsidRDefault="00135730" w:rsidP="007A376B">
      <w:pPr>
        <w:rPr>
          <w:sz w:val="28"/>
          <w:szCs w:val="28"/>
        </w:rPr>
      </w:pPr>
    </w:p>
    <w:p w:rsidR="00F36831" w:rsidRPr="00B86E9B" w:rsidRDefault="004E3524" w:rsidP="004E3524">
      <w:pPr>
        <w:pStyle w:val="Virsraksts2"/>
        <w:numPr>
          <w:ilvl w:val="1"/>
          <w:numId w:val="7"/>
        </w:numPr>
        <w:spacing w:before="0" w:after="0"/>
      </w:pPr>
      <w:r w:rsidRPr="00B86E9B">
        <w:t>VSIA „Aknīstes psihoneiroloģiskā slimnīca”</w:t>
      </w:r>
    </w:p>
    <w:p w:rsidR="00F36831" w:rsidRPr="00B86E9B" w:rsidRDefault="00F36831" w:rsidP="007A376B">
      <w:pPr>
        <w:rPr>
          <w:sz w:val="28"/>
          <w:szCs w:val="28"/>
        </w:rPr>
      </w:pPr>
    </w:p>
    <w:p w:rsidR="00806F5C" w:rsidRPr="00B86E9B" w:rsidRDefault="00806F5C" w:rsidP="00806F5C">
      <w:pPr>
        <w:pStyle w:val="Virsraksts3"/>
        <w:numPr>
          <w:ilvl w:val="2"/>
          <w:numId w:val="7"/>
        </w:numPr>
        <w:spacing w:before="0" w:after="0"/>
        <w:ind w:left="1418"/>
      </w:pPr>
      <w:r w:rsidRPr="00B86E9B">
        <w:t>Vispārēja informācija</w:t>
      </w:r>
    </w:p>
    <w:p w:rsidR="00806F5C" w:rsidRPr="00B86E9B" w:rsidRDefault="00806F5C" w:rsidP="007A376B">
      <w:pPr>
        <w:rPr>
          <w:sz w:val="28"/>
          <w:szCs w:val="28"/>
        </w:rPr>
      </w:pPr>
    </w:p>
    <w:p w:rsidR="00806F5C" w:rsidRPr="00B86E9B" w:rsidRDefault="00A63F28" w:rsidP="00AC378D">
      <w:pPr>
        <w:ind w:firstLine="698"/>
        <w:jc w:val="both"/>
        <w:rPr>
          <w:sz w:val="28"/>
          <w:szCs w:val="28"/>
        </w:rPr>
      </w:pPr>
      <w:r w:rsidRPr="00B86E9B">
        <w:rPr>
          <w:sz w:val="28"/>
          <w:szCs w:val="28"/>
        </w:rPr>
        <w:t>VSIA</w:t>
      </w:r>
      <w:r w:rsidR="00806F5C" w:rsidRPr="00B86E9B">
        <w:rPr>
          <w:sz w:val="28"/>
          <w:szCs w:val="28"/>
        </w:rPr>
        <w:t xml:space="preserve"> „Aknīstes psihoneiroloģiskā slimnīca” (turpmāk – Aknīstes PNS) ir specializējusies </w:t>
      </w:r>
      <w:r w:rsidR="00806F5C" w:rsidRPr="00B86E9B">
        <w:rPr>
          <w:rFonts w:eastAsiaTheme="majorEastAsia"/>
          <w:sz w:val="28"/>
          <w:szCs w:val="28"/>
        </w:rPr>
        <w:t xml:space="preserve">ilgstoši garīgi slimojošu, terapeitiski </w:t>
      </w:r>
      <w:proofErr w:type="spellStart"/>
      <w:r w:rsidR="00806F5C" w:rsidRPr="00B86E9B">
        <w:rPr>
          <w:rFonts w:eastAsiaTheme="majorEastAsia"/>
          <w:sz w:val="28"/>
          <w:szCs w:val="28"/>
        </w:rPr>
        <w:t>rezistentu</w:t>
      </w:r>
      <w:proofErr w:type="spellEnd"/>
      <w:r w:rsidR="00806F5C" w:rsidRPr="00B86E9B">
        <w:rPr>
          <w:rFonts w:eastAsiaTheme="majorEastAsia"/>
          <w:sz w:val="28"/>
          <w:szCs w:val="28"/>
        </w:rPr>
        <w:t xml:space="preserve"> pacientu no visas Latvijas ārstēšanā un rehabilitācijā.</w:t>
      </w:r>
    </w:p>
    <w:p w:rsidR="00806F5C" w:rsidRPr="00B86E9B" w:rsidRDefault="00806F5C" w:rsidP="007A376B">
      <w:pPr>
        <w:rPr>
          <w:sz w:val="28"/>
          <w:szCs w:val="28"/>
        </w:rPr>
      </w:pPr>
    </w:p>
    <w:p w:rsidR="007D5321" w:rsidRPr="00B86E9B" w:rsidRDefault="007D5321" w:rsidP="007D5321">
      <w:pPr>
        <w:pStyle w:val="Virsraksts3"/>
        <w:numPr>
          <w:ilvl w:val="2"/>
          <w:numId w:val="7"/>
        </w:numPr>
        <w:spacing w:before="0" w:after="0"/>
        <w:ind w:left="1418"/>
      </w:pPr>
      <w:r w:rsidRPr="00B86E9B">
        <w:t>Saimnieciskās darbības analīze</w:t>
      </w:r>
    </w:p>
    <w:p w:rsidR="007D5321" w:rsidRPr="00B86E9B" w:rsidRDefault="007D5321" w:rsidP="007A376B">
      <w:pPr>
        <w:rPr>
          <w:sz w:val="28"/>
          <w:szCs w:val="28"/>
        </w:rPr>
      </w:pPr>
    </w:p>
    <w:p w:rsidR="006C2F0F" w:rsidRPr="00B86E9B" w:rsidRDefault="006C2F0F" w:rsidP="006C2F0F">
      <w:pPr>
        <w:ind w:firstLine="720"/>
        <w:jc w:val="both"/>
        <w:rPr>
          <w:sz w:val="28"/>
          <w:szCs w:val="28"/>
        </w:rPr>
      </w:pPr>
      <w:r w:rsidRPr="00B86E9B">
        <w:rPr>
          <w:sz w:val="28"/>
          <w:szCs w:val="28"/>
        </w:rPr>
        <w:t>Aknīstes PNS galveno finanšu rādītāju tendences 2012.gadā salīdzinot ar 2011.gada rādītājiem nav pozitīvas:</w:t>
      </w:r>
    </w:p>
    <w:p w:rsidR="006C2F0F" w:rsidRPr="00B86E9B" w:rsidRDefault="006C2F0F" w:rsidP="006C2F0F">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apgrozījums ir palielinājies par 28 094 LVL (1,4%);</w:t>
      </w:r>
    </w:p>
    <w:p w:rsidR="006C2F0F" w:rsidRPr="00B86E9B" w:rsidRDefault="006C2F0F" w:rsidP="006C2F0F">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zaudējumi ir palielinājušies par 102 945 LVL;</w:t>
      </w:r>
    </w:p>
    <w:p w:rsidR="006C2F0F" w:rsidRPr="00B86E9B" w:rsidRDefault="006C2F0F" w:rsidP="006C2F0F">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pašu kapitāls ir samazinājies par 201 240 LVL (49,9%);</w:t>
      </w:r>
    </w:p>
    <w:p w:rsidR="006C2F0F" w:rsidRPr="00B86E9B" w:rsidRDefault="006C2F0F" w:rsidP="006C2F0F">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kreditoru saistības ir samazinājušās par 12 945 LVL (0,3%);</w:t>
      </w:r>
    </w:p>
    <w:p w:rsidR="006C2F0F" w:rsidRPr="00B86E9B" w:rsidRDefault="006C2F0F" w:rsidP="006C2F0F">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likviditāte (Vispārējais apgrozāmo līdzekļu koeficients) ir palielinājusies par 0,26 procentpunktiem;</w:t>
      </w:r>
    </w:p>
    <w:p w:rsidR="006C2F0F" w:rsidRPr="00B86E9B" w:rsidRDefault="006C2F0F" w:rsidP="006C2F0F">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rentabilitāte ir samazinājusies par 4,8 procentpunktiem.</w:t>
      </w:r>
    </w:p>
    <w:p w:rsidR="006C2F0F" w:rsidRPr="00B86E9B" w:rsidRDefault="006C2F0F" w:rsidP="006C2F0F">
      <w:pPr>
        <w:ind w:firstLine="561"/>
        <w:jc w:val="both"/>
        <w:rPr>
          <w:b/>
          <w:i/>
          <w:sz w:val="28"/>
          <w:szCs w:val="28"/>
        </w:rPr>
      </w:pPr>
    </w:p>
    <w:p w:rsidR="006C2F0F" w:rsidRPr="00B86E9B" w:rsidRDefault="006C2F0F" w:rsidP="006C2F0F">
      <w:pPr>
        <w:autoSpaceDE w:val="0"/>
        <w:autoSpaceDN w:val="0"/>
        <w:adjustRightInd w:val="0"/>
        <w:ind w:firstLine="720"/>
        <w:jc w:val="right"/>
        <w:rPr>
          <w:i/>
          <w:sz w:val="28"/>
          <w:szCs w:val="28"/>
        </w:rPr>
      </w:pPr>
      <w:r w:rsidRPr="00B86E9B">
        <w:rPr>
          <w:i/>
          <w:sz w:val="28"/>
          <w:szCs w:val="28"/>
        </w:rPr>
        <w:t>Tabula Nr.22: Aknīstes PNS</w:t>
      </w:r>
      <w:r w:rsidRPr="00B86E9B">
        <w:rPr>
          <w:rStyle w:val="Izteiksmgs"/>
          <w:sz w:val="28"/>
          <w:szCs w:val="28"/>
        </w:rPr>
        <w:t xml:space="preserve"> </w:t>
      </w:r>
      <w:r w:rsidRPr="00B86E9B">
        <w:rPr>
          <w:i/>
          <w:sz w:val="28"/>
          <w:szCs w:val="28"/>
        </w:rPr>
        <w:t>galvenie finanšu rādītāji</w:t>
      </w:r>
    </w:p>
    <w:tbl>
      <w:tblPr>
        <w:tblStyle w:val="Reatabula"/>
        <w:tblW w:w="0" w:type="auto"/>
        <w:tblLook w:val="04A0"/>
      </w:tblPr>
      <w:tblGrid>
        <w:gridCol w:w="5011"/>
        <w:gridCol w:w="2213"/>
        <w:gridCol w:w="2063"/>
      </w:tblGrid>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p>
        </w:tc>
        <w:tc>
          <w:tcPr>
            <w:tcW w:w="2274" w:type="dxa"/>
          </w:tcPr>
          <w:p w:rsidR="006C2F0F" w:rsidRPr="00B86E9B" w:rsidRDefault="006C2F0F" w:rsidP="00E958A1">
            <w:pPr>
              <w:shd w:val="clear" w:color="auto" w:fill="FFFFFF" w:themeFill="background1"/>
              <w:jc w:val="center"/>
              <w:rPr>
                <w:sz w:val="26"/>
                <w:szCs w:val="26"/>
              </w:rPr>
            </w:pPr>
            <w:r w:rsidRPr="00B86E9B">
              <w:rPr>
                <w:sz w:val="26"/>
                <w:szCs w:val="26"/>
              </w:rPr>
              <w:t>2012.gads</w:t>
            </w:r>
          </w:p>
        </w:tc>
        <w:tc>
          <w:tcPr>
            <w:tcW w:w="2114" w:type="dxa"/>
          </w:tcPr>
          <w:p w:rsidR="006C2F0F" w:rsidRPr="00B86E9B" w:rsidRDefault="006C2F0F" w:rsidP="00E958A1">
            <w:pPr>
              <w:shd w:val="clear" w:color="auto" w:fill="FFFFFF" w:themeFill="background1"/>
              <w:jc w:val="center"/>
              <w:rPr>
                <w:sz w:val="26"/>
                <w:szCs w:val="26"/>
              </w:rPr>
            </w:pPr>
            <w:r w:rsidRPr="00B86E9B">
              <w:rPr>
                <w:sz w:val="26"/>
                <w:szCs w:val="26"/>
              </w:rPr>
              <w:t>2011.gads</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Apgrozījums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1 989 679</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1 961 585</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Peļņa vai zaudējumi pēc nodokļiem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-201 240</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- 98 295</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Pašu kapitāls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201 696</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402 936</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Uzkrājumi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58 113</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57 039</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Kreditori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4 866 566</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4 879 511</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Ilgtermiņa ieguldījumi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3 914 910</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3 091 142</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Apgrozāmie līdzekļi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1 211 465</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2 248 344</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Bilances kopsumma [LVL]</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5 126 375</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5 339 486</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Likviditāte (Vispārējais apgrozāmo līdzekļu koeficients)</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2,53</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2,27</w:t>
            </w:r>
          </w:p>
        </w:tc>
      </w:tr>
      <w:tr w:rsidR="006C2F0F" w:rsidRPr="00B86E9B" w:rsidTr="00E958A1">
        <w:tc>
          <w:tcPr>
            <w:tcW w:w="5233" w:type="dxa"/>
            <w:shd w:val="clear" w:color="auto" w:fill="D9D9D9" w:themeFill="background1" w:themeFillShade="D9"/>
          </w:tcPr>
          <w:p w:rsidR="006C2F0F" w:rsidRPr="00B86E9B" w:rsidRDefault="006C2F0F" w:rsidP="00E958A1">
            <w:pPr>
              <w:rPr>
                <w:sz w:val="26"/>
                <w:szCs w:val="26"/>
              </w:rPr>
            </w:pPr>
            <w:r w:rsidRPr="00B86E9B">
              <w:rPr>
                <w:sz w:val="26"/>
                <w:szCs w:val="26"/>
              </w:rPr>
              <w:t>Rentabilitāte (Bruto peļņas robeža)[%]</w:t>
            </w:r>
          </w:p>
        </w:tc>
        <w:tc>
          <w:tcPr>
            <w:tcW w:w="227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-3,8</w:t>
            </w:r>
          </w:p>
        </w:tc>
        <w:tc>
          <w:tcPr>
            <w:tcW w:w="2114" w:type="dxa"/>
            <w:vAlign w:val="center"/>
          </w:tcPr>
          <w:p w:rsidR="006C2F0F" w:rsidRPr="00B86E9B" w:rsidRDefault="006C2F0F" w:rsidP="00E958A1">
            <w:pPr>
              <w:shd w:val="clear" w:color="auto" w:fill="FFFFFF" w:themeFill="background1"/>
              <w:jc w:val="center"/>
              <w:rPr>
                <w:sz w:val="26"/>
                <w:szCs w:val="26"/>
              </w:rPr>
            </w:pPr>
            <w:r w:rsidRPr="00B86E9B">
              <w:rPr>
                <w:sz w:val="26"/>
                <w:szCs w:val="26"/>
              </w:rPr>
              <w:t>0,9</w:t>
            </w:r>
          </w:p>
        </w:tc>
      </w:tr>
    </w:tbl>
    <w:p w:rsidR="006C2F0F" w:rsidRPr="00B86E9B" w:rsidRDefault="006C2F0F" w:rsidP="006C2F0F">
      <w:pPr>
        <w:autoSpaceDE w:val="0"/>
        <w:autoSpaceDN w:val="0"/>
        <w:adjustRightInd w:val="0"/>
        <w:rPr>
          <w:i/>
          <w:sz w:val="28"/>
          <w:szCs w:val="28"/>
        </w:rPr>
      </w:pPr>
    </w:p>
    <w:p w:rsidR="006C2F0F" w:rsidRPr="00B86E9B" w:rsidRDefault="006C2F0F" w:rsidP="006C2F0F">
      <w:pPr>
        <w:tabs>
          <w:tab w:val="left" w:pos="3390"/>
        </w:tabs>
        <w:autoSpaceDE w:val="0"/>
        <w:autoSpaceDN w:val="0"/>
        <w:adjustRightInd w:val="0"/>
        <w:ind w:firstLine="720"/>
        <w:jc w:val="right"/>
        <w:rPr>
          <w:i/>
          <w:sz w:val="28"/>
          <w:szCs w:val="28"/>
        </w:rPr>
      </w:pPr>
      <w:r w:rsidRPr="00B86E9B">
        <w:rPr>
          <w:i/>
          <w:sz w:val="28"/>
          <w:szCs w:val="28"/>
        </w:rPr>
        <w:t>Tabula Nr.23: Aknīstes PNS galvenie naturālie rādītāji</w:t>
      </w:r>
    </w:p>
    <w:tbl>
      <w:tblPr>
        <w:tblStyle w:val="Reatabula"/>
        <w:tblW w:w="0" w:type="auto"/>
        <w:tblLook w:val="04A0"/>
      </w:tblPr>
      <w:tblGrid>
        <w:gridCol w:w="5081"/>
        <w:gridCol w:w="2153"/>
        <w:gridCol w:w="2053"/>
      </w:tblGrid>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2012.gads</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2011.gads</w:t>
            </w:r>
          </w:p>
        </w:tc>
      </w:tr>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r w:rsidRPr="00B86E9B">
              <w:rPr>
                <w:sz w:val="26"/>
                <w:szCs w:val="26"/>
              </w:rPr>
              <w:t>Darbinieku skaits [slodzes]</w:t>
            </w: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275</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271</w:t>
            </w:r>
          </w:p>
        </w:tc>
      </w:tr>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r w:rsidRPr="00B86E9B">
              <w:rPr>
                <w:sz w:val="26"/>
                <w:szCs w:val="26"/>
              </w:rPr>
              <w:t>Ārstējamo pacientu skaits [pacienti]</w:t>
            </w: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437</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430</w:t>
            </w:r>
          </w:p>
        </w:tc>
      </w:tr>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r w:rsidRPr="00B86E9B">
              <w:rPr>
                <w:sz w:val="26"/>
                <w:szCs w:val="26"/>
              </w:rPr>
              <w:t>Vidējais gultu skaits [gultas]</w:t>
            </w: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340</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332</w:t>
            </w:r>
          </w:p>
        </w:tc>
      </w:tr>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r w:rsidRPr="00B86E9B">
              <w:rPr>
                <w:sz w:val="26"/>
                <w:szCs w:val="26"/>
              </w:rPr>
              <w:t>Gultu noslogojums [procentos]</w:t>
            </w: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97</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95</w:t>
            </w:r>
          </w:p>
        </w:tc>
      </w:tr>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r w:rsidRPr="00B86E9B">
              <w:rPr>
                <w:sz w:val="26"/>
                <w:szCs w:val="26"/>
              </w:rPr>
              <w:t>Vidējais ārstēšanās ilgums [dienas]</w:t>
            </w: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286,9</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284,0</w:t>
            </w:r>
          </w:p>
        </w:tc>
      </w:tr>
      <w:tr w:rsidR="006C2F0F" w:rsidRPr="00B86E9B" w:rsidTr="00E958A1">
        <w:tc>
          <w:tcPr>
            <w:tcW w:w="5302" w:type="dxa"/>
            <w:shd w:val="clear" w:color="auto" w:fill="D9D9D9" w:themeFill="background1" w:themeFillShade="D9"/>
          </w:tcPr>
          <w:p w:rsidR="006C2F0F" w:rsidRPr="00B86E9B" w:rsidRDefault="006C2F0F" w:rsidP="00E958A1">
            <w:pPr>
              <w:rPr>
                <w:sz w:val="26"/>
                <w:szCs w:val="26"/>
              </w:rPr>
            </w:pPr>
            <w:r w:rsidRPr="00B86E9B">
              <w:rPr>
                <w:sz w:val="26"/>
                <w:szCs w:val="26"/>
              </w:rPr>
              <w:t>Telpu kopējā platība [kvadrātmetros]</w:t>
            </w:r>
          </w:p>
        </w:tc>
        <w:tc>
          <w:tcPr>
            <w:tcW w:w="2213" w:type="dxa"/>
          </w:tcPr>
          <w:p w:rsidR="006C2F0F" w:rsidRPr="00B86E9B" w:rsidRDefault="006C2F0F" w:rsidP="00E958A1">
            <w:pPr>
              <w:shd w:val="clear" w:color="auto" w:fill="FFFFFF" w:themeFill="background1"/>
              <w:jc w:val="center"/>
              <w:rPr>
                <w:sz w:val="26"/>
                <w:szCs w:val="26"/>
              </w:rPr>
            </w:pPr>
            <w:r w:rsidRPr="00B86E9B">
              <w:rPr>
                <w:sz w:val="26"/>
                <w:szCs w:val="26"/>
              </w:rPr>
              <w:t>14 271</w:t>
            </w:r>
          </w:p>
        </w:tc>
        <w:tc>
          <w:tcPr>
            <w:tcW w:w="2106" w:type="dxa"/>
          </w:tcPr>
          <w:p w:rsidR="006C2F0F" w:rsidRPr="00B86E9B" w:rsidRDefault="006C2F0F" w:rsidP="00E958A1">
            <w:pPr>
              <w:shd w:val="clear" w:color="auto" w:fill="FFFFFF" w:themeFill="background1"/>
              <w:jc w:val="center"/>
              <w:rPr>
                <w:sz w:val="26"/>
                <w:szCs w:val="26"/>
              </w:rPr>
            </w:pPr>
            <w:r w:rsidRPr="00B86E9B">
              <w:rPr>
                <w:sz w:val="26"/>
                <w:szCs w:val="26"/>
              </w:rPr>
              <w:t>12 176</w:t>
            </w:r>
          </w:p>
        </w:tc>
      </w:tr>
    </w:tbl>
    <w:p w:rsidR="006C2F0F" w:rsidRPr="00B86E9B" w:rsidRDefault="006C2F0F" w:rsidP="006C2F0F">
      <w:pPr>
        <w:pStyle w:val="Virsraksts3"/>
        <w:numPr>
          <w:ilvl w:val="0"/>
          <w:numId w:val="0"/>
        </w:numPr>
        <w:spacing w:before="0" w:after="0"/>
        <w:ind w:firstLine="706"/>
        <w:jc w:val="both"/>
        <w:rPr>
          <w:rFonts w:eastAsia="Calibri"/>
          <w:b w:val="0"/>
          <w:i w:val="0"/>
          <w:lang w:eastAsia="lv-LV"/>
        </w:rPr>
      </w:pPr>
    </w:p>
    <w:p w:rsidR="006C2F0F" w:rsidRPr="00B86E9B" w:rsidRDefault="006C2F0F" w:rsidP="006C2F0F">
      <w:pPr>
        <w:pStyle w:val="Virsraksts3"/>
        <w:numPr>
          <w:ilvl w:val="0"/>
          <w:numId w:val="0"/>
        </w:numPr>
        <w:spacing w:before="0" w:after="0"/>
        <w:ind w:firstLine="706"/>
        <w:jc w:val="both"/>
        <w:rPr>
          <w:b w:val="0"/>
          <w:i w:val="0"/>
          <w:color w:val="000000"/>
        </w:rPr>
      </w:pPr>
      <w:r w:rsidRPr="00B86E9B">
        <w:rPr>
          <w:b w:val="0"/>
          <w:i w:val="0"/>
        </w:rPr>
        <w:t>Aknīstes PNS</w:t>
      </w:r>
      <w:r w:rsidRPr="00B86E9B">
        <w:rPr>
          <w:rStyle w:val="Izteiksmgs"/>
        </w:rPr>
        <w:t xml:space="preserve"> </w:t>
      </w:r>
      <w:r w:rsidRPr="00B86E9B">
        <w:rPr>
          <w:rFonts w:eastAsia="Calibri"/>
          <w:b w:val="0"/>
          <w:i w:val="0"/>
          <w:lang w:eastAsia="lv-LV"/>
        </w:rPr>
        <w:t xml:space="preserve">kopējie ieņēmumi 2012.gadā bija </w:t>
      </w:r>
      <w:r w:rsidRPr="00B86E9B">
        <w:rPr>
          <w:b w:val="0"/>
          <w:i w:val="0"/>
          <w:color w:val="000000"/>
        </w:rPr>
        <w:t>2 076 119 LVL, kas bija par 31 976 LVL (1,6%) lielāki nekā plānots un par 11 208 LVL (0,5%) lielāki nekā kopējie 2011.gada ieņēmumi.</w:t>
      </w:r>
    </w:p>
    <w:p w:rsidR="006C2F0F" w:rsidRPr="00B86E9B" w:rsidRDefault="006C2F0F" w:rsidP="00106322">
      <w:pPr>
        <w:ind w:firstLine="720"/>
        <w:jc w:val="both"/>
        <w:rPr>
          <w:rFonts w:eastAsia="Calibri"/>
          <w:sz w:val="28"/>
          <w:szCs w:val="28"/>
        </w:rPr>
      </w:pPr>
      <w:r w:rsidRPr="00B86E9B">
        <w:rPr>
          <w:rFonts w:eastAsia="Calibri"/>
          <w:sz w:val="28"/>
          <w:szCs w:val="28"/>
        </w:rPr>
        <w:t xml:space="preserve">2012.gadā </w:t>
      </w:r>
      <w:r w:rsidRPr="00B86E9B">
        <w:rPr>
          <w:sz w:val="28"/>
          <w:szCs w:val="28"/>
        </w:rPr>
        <w:t>Aknīstes PNS</w:t>
      </w:r>
      <w:r w:rsidRPr="00B86E9B">
        <w:rPr>
          <w:rStyle w:val="Izteiksmgs"/>
          <w:sz w:val="28"/>
          <w:szCs w:val="28"/>
        </w:rPr>
        <w:t xml:space="preserve"> </w:t>
      </w:r>
      <w:r w:rsidRPr="00B86E9B">
        <w:rPr>
          <w:rFonts w:eastAsia="Calibri"/>
          <w:sz w:val="28"/>
          <w:szCs w:val="28"/>
        </w:rPr>
        <w:t>ieņēmumi no valsts budžeta līdzekļiem ārstniecības pakalpojumiem bija 1 989 679 LVL, kas, salīdzinot ar 2012.gada plānu, bija lielāki par 35 536 LVL (1,8%), un, salīdzinot ar 2011.gadu, lielāki par 28 094 LVL (1,4%).</w:t>
      </w:r>
      <w:r w:rsidR="003F346E" w:rsidRPr="00B86E9B">
        <w:rPr>
          <w:rFonts w:eastAsia="Calibri"/>
          <w:sz w:val="28"/>
          <w:szCs w:val="28"/>
        </w:rPr>
        <w:t xml:space="preserve"> </w:t>
      </w:r>
      <w:r w:rsidR="00106322" w:rsidRPr="00B86E9B">
        <w:rPr>
          <w:sz w:val="28"/>
          <w:szCs w:val="28"/>
        </w:rPr>
        <w:t>Pārējie ieņēmumi 2012.gadā bija 86 440 LVL, kas, salīdzinot ar 2012.gada plānu, samazinājušies par  3 560 LVL (4,0%), un, salīdzinot ar 2011.gadu, samazinājušies par 16 886 LVL (13,3%).</w:t>
      </w:r>
      <w:r w:rsidR="00106322" w:rsidRPr="00B86E9B">
        <w:rPr>
          <w:rFonts w:eastAsia="Calibri"/>
          <w:sz w:val="28"/>
          <w:szCs w:val="28"/>
        </w:rPr>
        <w:t xml:space="preserve"> </w:t>
      </w:r>
      <w:r w:rsidR="003F346E" w:rsidRPr="00B86E9B">
        <w:rPr>
          <w:sz w:val="28"/>
          <w:szCs w:val="28"/>
        </w:rPr>
        <w:t xml:space="preserve">Aknīstes PNS pārējos ieņēmumus 86 440 LVL apmērā veido pašu nopelnītie līdzekļi no saimnieciskās darbības, kas nav tieši saistīta ar ārstniecību, un citi ieņēmumi, kā piemēram,  ieņēmumos ieskaitītās dotācijas, dāvinājumi, atbilstoši dāvināto pamatlīdzekļu nolietojumam par pārskata periodu, </w:t>
      </w:r>
      <w:r w:rsidR="009F0A69" w:rsidRPr="00B86E9B">
        <w:rPr>
          <w:sz w:val="28"/>
          <w:szCs w:val="28"/>
        </w:rPr>
        <w:t>ieņēmumi no depozītnoguldījumiem</w:t>
      </w:r>
      <w:r w:rsidR="00106322" w:rsidRPr="00B86E9B">
        <w:rPr>
          <w:sz w:val="28"/>
          <w:szCs w:val="28"/>
        </w:rPr>
        <w:t>.</w:t>
      </w:r>
    </w:p>
    <w:p w:rsidR="006C2F0F" w:rsidRPr="00B86E9B" w:rsidRDefault="006C2F0F" w:rsidP="006C2F0F">
      <w:pPr>
        <w:pStyle w:val="Virsraksts3"/>
        <w:numPr>
          <w:ilvl w:val="0"/>
          <w:numId w:val="0"/>
        </w:numPr>
        <w:spacing w:before="0" w:after="0"/>
        <w:ind w:left="709" w:hanging="709"/>
        <w:rPr>
          <w:rFonts w:eastAsia="Calibri"/>
          <w:b w:val="0"/>
          <w:lang w:eastAsia="lv-LV"/>
        </w:rPr>
      </w:pPr>
    </w:p>
    <w:p w:rsidR="006C2F0F" w:rsidRPr="00B86E9B" w:rsidRDefault="006C2F0F" w:rsidP="006C2F0F">
      <w:pPr>
        <w:tabs>
          <w:tab w:val="left" w:pos="3390"/>
        </w:tabs>
        <w:autoSpaceDE w:val="0"/>
        <w:autoSpaceDN w:val="0"/>
        <w:adjustRightInd w:val="0"/>
        <w:ind w:firstLine="720"/>
        <w:jc w:val="right"/>
        <w:rPr>
          <w:i/>
          <w:sz w:val="28"/>
          <w:szCs w:val="28"/>
        </w:rPr>
      </w:pPr>
      <w:r w:rsidRPr="00B86E9B">
        <w:rPr>
          <w:i/>
          <w:sz w:val="28"/>
          <w:szCs w:val="28"/>
        </w:rPr>
        <w:t>Tabula Nr.24: Aknīstes PNS</w:t>
      </w:r>
      <w:r w:rsidRPr="00B86E9B">
        <w:rPr>
          <w:bCs/>
          <w:i/>
          <w:sz w:val="28"/>
          <w:szCs w:val="28"/>
        </w:rPr>
        <w:t xml:space="preserve"> </w:t>
      </w:r>
      <w:r w:rsidRPr="00B86E9B">
        <w:rPr>
          <w:i/>
          <w:sz w:val="28"/>
          <w:szCs w:val="28"/>
        </w:rPr>
        <w:t>ieņēmum</w:t>
      </w:r>
      <w:r w:rsidR="00387637" w:rsidRPr="00B86E9B">
        <w:rPr>
          <w:i/>
          <w:sz w:val="28"/>
          <w:szCs w:val="28"/>
        </w:rPr>
        <w:t>u apjoms</w:t>
      </w:r>
      <w:r w:rsidRPr="00B86E9B">
        <w:rPr>
          <w:i/>
          <w:sz w:val="28"/>
          <w:szCs w:val="28"/>
        </w:rPr>
        <w:t xml:space="preserve"> [LVL]</w:t>
      </w:r>
    </w:p>
    <w:tbl>
      <w:tblPr>
        <w:tblStyle w:val="Reatabula"/>
        <w:tblW w:w="0" w:type="auto"/>
        <w:jc w:val="center"/>
        <w:tblLayout w:type="fixed"/>
        <w:tblLook w:val="04A0"/>
      </w:tblPr>
      <w:tblGrid>
        <w:gridCol w:w="2627"/>
        <w:gridCol w:w="1309"/>
        <w:gridCol w:w="1598"/>
        <w:gridCol w:w="1331"/>
      </w:tblGrid>
      <w:tr w:rsidR="006C2F0F" w:rsidRPr="00B86E9B" w:rsidTr="00E958A1">
        <w:trPr>
          <w:trHeight w:val="264"/>
          <w:jc w:val="center"/>
        </w:trPr>
        <w:tc>
          <w:tcPr>
            <w:tcW w:w="2627" w:type="dxa"/>
            <w:shd w:val="clear" w:color="auto" w:fill="D9D9D9" w:themeFill="background1" w:themeFillShade="D9"/>
            <w:vAlign w:val="center"/>
          </w:tcPr>
          <w:p w:rsidR="006C2F0F" w:rsidRPr="00B86E9B" w:rsidRDefault="006C2F0F" w:rsidP="00E958A1">
            <w:pPr>
              <w:rPr>
                <w:sz w:val="26"/>
                <w:szCs w:val="26"/>
              </w:rPr>
            </w:pPr>
          </w:p>
        </w:tc>
        <w:tc>
          <w:tcPr>
            <w:tcW w:w="1309" w:type="dxa"/>
            <w:shd w:val="clear" w:color="auto" w:fill="D9D9D9" w:themeFill="background1" w:themeFillShade="D9"/>
            <w:vAlign w:val="center"/>
          </w:tcPr>
          <w:p w:rsidR="006C2F0F" w:rsidRPr="00B86E9B" w:rsidRDefault="006C2F0F" w:rsidP="00E958A1">
            <w:pPr>
              <w:jc w:val="center"/>
              <w:rPr>
                <w:sz w:val="26"/>
                <w:szCs w:val="26"/>
              </w:rPr>
            </w:pPr>
            <w:r w:rsidRPr="00B86E9B">
              <w:rPr>
                <w:sz w:val="26"/>
                <w:szCs w:val="26"/>
              </w:rPr>
              <w:t>2011.gads</w:t>
            </w:r>
          </w:p>
        </w:tc>
        <w:tc>
          <w:tcPr>
            <w:tcW w:w="2929" w:type="dxa"/>
            <w:gridSpan w:val="2"/>
            <w:shd w:val="clear" w:color="auto" w:fill="D9D9D9" w:themeFill="background1" w:themeFillShade="D9"/>
            <w:vAlign w:val="center"/>
          </w:tcPr>
          <w:p w:rsidR="006C2F0F" w:rsidRPr="00B86E9B" w:rsidRDefault="006C2F0F" w:rsidP="00E958A1">
            <w:pPr>
              <w:jc w:val="center"/>
              <w:rPr>
                <w:sz w:val="26"/>
                <w:szCs w:val="26"/>
              </w:rPr>
            </w:pPr>
            <w:r w:rsidRPr="00B86E9B">
              <w:rPr>
                <w:sz w:val="26"/>
                <w:szCs w:val="26"/>
              </w:rPr>
              <w:t>2012.gads</w:t>
            </w:r>
          </w:p>
        </w:tc>
      </w:tr>
      <w:tr w:rsidR="006C2F0F" w:rsidRPr="00B86E9B" w:rsidTr="00E958A1">
        <w:trPr>
          <w:jc w:val="center"/>
        </w:trPr>
        <w:tc>
          <w:tcPr>
            <w:tcW w:w="2627" w:type="dxa"/>
            <w:shd w:val="clear" w:color="auto" w:fill="D9D9D9" w:themeFill="background1" w:themeFillShade="D9"/>
            <w:vAlign w:val="center"/>
          </w:tcPr>
          <w:p w:rsidR="006C2F0F" w:rsidRPr="00B86E9B" w:rsidRDefault="006C2F0F" w:rsidP="00E958A1">
            <w:pPr>
              <w:rPr>
                <w:sz w:val="26"/>
                <w:szCs w:val="26"/>
              </w:rPr>
            </w:pPr>
            <w:r w:rsidRPr="00B86E9B">
              <w:rPr>
                <w:sz w:val="26"/>
                <w:szCs w:val="26"/>
              </w:rPr>
              <w:t>Ieņēmumi</w:t>
            </w:r>
          </w:p>
        </w:tc>
        <w:tc>
          <w:tcPr>
            <w:tcW w:w="1309" w:type="dxa"/>
            <w:shd w:val="clear" w:color="auto" w:fill="D9D9D9" w:themeFill="background1" w:themeFillShade="D9"/>
            <w:vAlign w:val="center"/>
          </w:tcPr>
          <w:p w:rsidR="006C2F0F" w:rsidRPr="00B86E9B" w:rsidRDefault="006C2F0F" w:rsidP="00E958A1">
            <w:pPr>
              <w:jc w:val="center"/>
              <w:rPr>
                <w:sz w:val="26"/>
                <w:szCs w:val="26"/>
              </w:rPr>
            </w:pPr>
            <w:r w:rsidRPr="00B86E9B">
              <w:rPr>
                <w:sz w:val="26"/>
                <w:szCs w:val="26"/>
              </w:rPr>
              <w:t>Izpilde</w:t>
            </w:r>
          </w:p>
        </w:tc>
        <w:tc>
          <w:tcPr>
            <w:tcW w:w="1598" w:type="dxa"/>
            <w:shd w:val="clear" w:color="auto" w:fill="D9D9D9" w:themeFill="background1" w:themeFillShade="D9"/>
            <w:vAlign w:val="center"/>
          </w:tcPr>
          <w:p w:rsidR="006C2F0F" w:rsidRPr="00B86E9B" w:rsidRDefault="006C2F0F" w:rsidP="00E958A1">
            <w:pPr>
              <w:jc w:val="center"/>
              <w:rPr>
                <w:sz w:val="26"/>
                <w:szCs w:val="26"/>
              </w:rPr>
            </w:pPr>
            <w:r w:rsidRPr="00B86E9B">
              <w:rPr>
                <w:sz w:val="26"/>
                <w:szCs w:val="26"/>
              </w:rPr>
              <w:t>Plāns</w:t>
            </w:r>
          </w:p>
        </w:tc>
        <w:tc>
          <w:tcPr>
            <w:tcW w:w="1331" w:type="dxa"/>
            <w:shd w:val="clear" w:color="auto" w:fill="D9D9D9" w:themeFill="background1" w:themeFillShade="D9"/>
            <w:vAlign w:val="center"/>
          </w:tcPr>
          <w:p w:rsidR="006C2F0F" w:rsidRPr="00B86E9B" w:rsidRDefault="006C2F0F" w:rsidP="00E958A1">
            <w:pPr>
              <w:jc w:val="center"/>
              <w:rPr>
                <w:sz w:val="26"/>
                <w:szCs w:val="26"/>
              </w:rPr>
            </w:pPr>
            <w:r w:rsidRPr="00B86E9B">
              <w:rPr>
                <w:sz w:val="26"/>
                <w:szCs w:val="26"/>
              </w:rPr>
              <w:t>Izpilde</w:t>
            </w:r>
          </w:p>
        </w:tc>
      </w:tr>
      <w:tr w:rsidR="00A71BB5" w:rsidRPr="00B86E9B" w:rsidTr="00A71BB5">
        <w:trPr>
          <w:jc w:val="center"/>
        </w:trPr>
        <w:tc>
          <w:tcPr>
            <w:tcW w:w="2627" w:type="dxa"/>
            <w:vAlign w:val="center"/>
          </w:tcPr>
          <w:p w:rsidR="00A71BB5" w:rsidRPr="00B86E9B" w:rsidRDefault="00A71BB5" w:rsidP="00A71BB5">
            <w:pPr>
              <w:rPr>
                <w:sz w:val="26"/>
                <w:szCs w:val="26"/>
              </w:rPr>
            </w:pPr>
            <w:r w:rsidRPr="00B86E9B">
              <w:rPr>
                <w:sz w:val="26"/>
                <w:szCs w:val="26"/>
              </w:rPr>
              <w:t>Kopējie ieņēmumi, t.sk.:</w:t>
            </w:r>
          </w:p>
        </w:tc>
        <w:tc>
          <w:tcPr>
            <w:tcW w:w="1309" w:type="dxa"/>
            <w:vAlign w:val="center"/>
          </w:tcPr>
          <w:p w:rsidR="00A71BB5" w:rsidRPr="00B86E9B" w:rsidRDefault="00A71BB5" w:rsidP="00A71BB5">
            <w:pPr>
              <w:jc w:val="center"/>
              <w:rPr>
                <w:sz w:val="26"/>
                <w:szCs w:val="26"/>
              </w:rPr>
            </w:pPr>
            <w:r w:rsidRPr="00B86E9B">
              <w:rPr>
                <w:bCs/>
                <w:color w:val="000000"/>
                <w:sz w:val="26"/>
                <w:szCs w:val="26"/>
              </w:rPr>
              <w:t>2 064 911</w:t>
            </w:r>
          </w:p>
        </w:tc>
        <w:tc>
          <w:tcPr>
            <w:tcW w:w="1598" w:type="dxa"/>
            <w:vAlign w:val="center"/>
          </w:tcPr>
          <w:p w:rsidR="00A71BB5" w:rsidRPr="00B86E9B" w:rsidRDefault="00A71BB5" w:rsidP="00A71BB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2 044 143</w:t>
            </w:r>
          </w:p>
        </w:tc>
        <w:tc>
          <w:tcPr>
            <w:tcW w:w="1331" w:type="dxa"/>
            <w:vAlign w:val="center"/>
          </w:tcPr>
          <w:p w:rsidR="00A71BB5" w:rsidRPr="00B86E9B" w:rsidRDefault="00A71BB5" w:rsidP="00A71BB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2 076 119</w:t>
            </w:r>
          </w:p>
        </w:tc>
      </w:tr>
      <w:tr w:rsidR="00A71BB5" w:rsidRPr="00B86E9B" w:rsidTr="00A71BB5">
        <w:trPr>
          <w:jc w:val="center"/>
        </w:trPr>
        <w:tc>
          <w:tcPr>
            <w:tcW w:w="2627" w:type="dxa"/>
            <w:vAlign w:val="center"/>
          </w:tcPr>
          <w:p w:rsidR="00A71BB5" w:rsidRPr="00B86E9B" w:rsidRDefault="00A71BB5" w:rsidP="00A71BB5">
            <w:pPr>
              <w:rPr>
                <w:sz w:val="26"/>
                <w:szCs w:val="26"/>
              </w:rPr>
            </w:pPr>
            <w:r w:rsidRPr="00B86E9B">
              <w:rPr>
                <w:sz w:val="26"/>
                <w:szCs w:val="26"/>
              </w:rPr>
              <w:t xml:space="preserve">Maksas ārstniecības pakalpojumi </w:t>
            </w:r>
          </w:p>
        </w:tc>
        <w:tc>
          <w:tcPr>
            <w:tcW w:w="1309" w:type="dxa"/>
            <w:vAlign w:val="center"/>
          </w:tcPr>
          <w:p w:rsidR="00A71BB5" w:rsidRPr="00B86E9B" w:rsidRDefault="00A71BB5" w:rsidP="00A71BB5">
            <w:pPr>
              <w:jc w:val="center"/>
              <w:rPr>
                <w:sz w:val="26"/>
                <w:szCs w:val="26"/>
              </w:rPr>
            </w:pPr>
            <w:r w:rsidRPr="00B86E9B">
              <w:rPr>
                <w:sz w:val="26"/>
                <w:szCs w:val="26"/>
              </w:rPr>
              <w:t>0</w:t>
            </w:r>
          </w:p>
        </w:tc>
        <w:tc>
          <w:tcPr>
            <w:tcW w:w="1598" w:type="dxa"/>
            <w:vAlign w:val="center"/>
          </w:tcPr>
          <w:p w:rsidR="00A71BB5" w:rsidRPr="00B86E9B" w:rsidRDefault="00A71BB5" w:rsidP="00A71BB5">
            <w:pPr>
              <w:jc w:val="center"/>
              <w:rPr>
                <w:sz w:val="26"/>
                <w:szCs w:val="26"/>
              </w:rPr>
            </w:pPr>
            <w:r w:rsidRPr="00B86E9B">
              <w:rPr>
                <w:sz w:val="26"/>
                <w:szCs w:val="26"/>
              </w:rPr>
              <w:t>0</w:t>
            </w:r>
          </w:p>
        </w:tc>
        <w:tc>
          <w:tcPr>
            <w:tcW w:w="1331" w:type="dxa"/>
            <w:vAlign w:val="center"/>
          </w:tcPr>
          <w:p w:rsidR="00A71BB5" w:rsidRPr="00B86E9B" w:rsidRDefault="00A71BB5" w:rsidP="00A71BB5">
            <w:pPr>
              <w:jc w:val="center"/>
              <w:rPr>
                <w:sz w:val="26"/>
                <w:szCs w:val="26"/>
              </w:rPr>
            </w:pPr>
            <w:r w:rsidRPr="00B86E9B">
              <w:rPr>
                <w:sz w:val="26"/>
                <w:szCs w:val="26"/>
              </w:rPr>
              <w:t>0</w:t>
            </w:r>
          </w:p>
        </w:tc>
      </w:tr>
      <w:tr w:rsidR="00A71BB5" w:rsidRPr="00B86E9B" w:rsidTr="00A71BB5">
        <w:trPr>
          <w:jc w:val="center"/>
        </w:trPr>
        <w:tc>
          <w:tcPr>
            <w:tcW w:w="2627" w:type="dxa"/>
            <w:vAlign w:val="center"/>
          </w:tcPr>
          <w:p w:rsidR="00A71BB5" w:rsidRPr="00B86E9B" w:rsidRDefault="00A71BB5" w:rsidP="00A71BB5">
            <w:pPr>
              <w:rPr>
                <w:sz w:val="26"/>
                <w:szCs w:val="26"/>
              </w:rPr>
            </w:pPr>
            <w:r w:rsidRPr="00B86E9B">
              <w:rPr>
                <w:sz w:val="26"/>
                <w:szCs w:val="26"/>
              </w:rPr>
              <w:t>Valsts budžeta līdzekļi ārstniecības pakalpojumiem</w:t>
            </w:r>
          </w:p>
        </w:tc>
        <w:tc>
          <w:tcPr>
            <w:tcW w:w="1309" w:type="dxa"/>
            <w:vAlign w:val="center"/>
          </w:tcPr>
          <w:p w:rsidR="00A71BB5" w:rsidRPr="00B86E9B" w:rsidRDefault="00A71BB5" w:rsidP="00A71BB5">
            <w:pPr>
              <w:jc w:val="center"/>
              <w:rPr>
                <w:sz w:val="26"/>
                <w:szCs w:val="26"/>
              </w:rPr>
            </w:pPr>
            <w:r w:rsidRPr="00B86E9B">
              <w:rPr>
                <w:sz w:val="26"/>
                <w:szCs w:val="26"/>
              </w:rPr>
              <w:t>1 961 585</w:t>
            </w:r>
          </w:p>
        </w:tc>
        <w:tc>
          <w:tcPr>
            <w:tcW w:w="1598" w:type="dxa"/>
            <w:vAlign w:val="center"/>
          </w:tcPr>
          <w:p w:rsidR="00A71BB5" w:rsidRPr="00B86E9B" w:rsidRDefault="00A71BB5" w:rsidP="00A71BB5">
            <w:pPr>
              <w:jc w:val="center"/>
              <w:rPr>
                <w:sz w:val="26"/>
                <w:szCs w:val="26"/>
              </w:rPr>
            </w:pPr>
            <w:r w:rsidRPr="00B86E9B">
              <w:rPr>
                <w:sz w:val="26"/>
                <w:szCs w:val="26"/>
              </w:rPr>
              <w:t>1 954  143</w:t>
            </w:r>
          </w:p>
        </w:tc>
        <w:tc>
          <w:tcPr>
            <w:tcW w:w="1331" w:type="dxa"/>
            <w:vAlign w:val="center"/>
          </w:tcPr>
          <w:p w:rsidR="00A71BB5" w:rsidRPr="00B86E9B" w:rsidRDefault="00A71BB5" w:rsidP="00A71BB5">
            <w:pPr>
              <w:jc w:val="center"/>
              <w:rPr>
                <w:sz w:val="26"/>
                <w:szCs w:val="26"/>
              </w:rPr>
            </w:pPr>
            <w:r w:rsidRPr="00B86E9B">
              <w:rPr>
                <w:sz w:val="26"/>
                <w:szCs w:val="26"/>
              </w:rPr>
              <w:t>1 989 679</w:t>
            </w:r>
          </w:p>
        </w:tc>
      </w:tr>
      <w:tr w:rsidR="00A71BB5" w:rsidRPr="00B86E9B" w:rsidTr="00A71BB5">
        <w:trPr>
          <w:jc w:val="center"/>
        </w:trPr>
        <w:tc>
          <w:tcPr>
            <w:tcW w:w="2627" w:type="dxa"/>
            <w:vAlign w:val="center"/>
          </w:tcPr>
          <w:p w:rsidR="00A71BB5" w:rsidRPr="00B86E9B" w:rsidRDefault="00A71BB5" w:rsidP="00A71BB5">
            <w:pPr>
              <w:rPr>
                <w:sz w:val="26"/>
                <w:szCs w:val="26"/>
              </w:rPr>
            </w:pPr>
            <w:r w:rsidRPr="00B86E9B">
              <w:rPr>
                <w:sz w:val="26"/>
                <w:szCs w:val="26"/>
              </w:rPr>
              <w:t>Pārējie ieņēmumi</w:t>
            </w:r>
          </w:p>
        </w:tc>
        <w:tc>
          <w:tcPr>
            <w:tcW w:w="1309" w:type="dxa"/>
            <w:vAlign w:val="center"/>
          </w:tcPr>
          <w:p w:rsidR="00A71BB5" w:rsidRPr="00B86E9B" w:rsidRDefault="00A71BB5" w:rsidP="00A71BB5">
            <w:pPr>
              <w:jc w:val="center"/>
              <w:rPr>
                <w:color w:val="000000"/>
                <w:sz w:val="26"/>
                <w:szCs w:val="26"/>
              </w:rPr>
            </w:pPr>
            <w:r w:rsidRPr="00B86E9B">
              <w:rPr>
                <w:color w:val="000000"/>
                <w:sz w:val="26"/>
                <w:szCs w:val="26"/>
              </w:rPr>
              <w:t>103 326</w:t>
            </w:r>
          </w:p>
        </w:tc>
        <w:tc>
          <w:tcPr>
            <w:tcW w:w="1598" w:type="dxa"/>
            <w:vAlign w:val="center"/>
          </w:tcPr>
          <w:p w:rsidR="00A71BB5" w:rsidRPr="00B86E9B" w:rsidRDefault="00A71BB5" w:rsidP="00A71BB5">
            <w:pPr>
              <w:jc w:val="center"/>
              <w:rPr>
                <w:color w:val="000000"/>
                <w:sz w:val="26"/>
                <w:szCs w:val="26"/>
              </w:rPr>
            </w:pPr>
            <w:r w:rsidRPr="00B86E9B">
              <w:rPr>
                <w:color w:val="000000"/>
                <w:sz w:val="26"/>
                <w:szCs w:val="26"/>
              </w:rPr>
              <w:t>90 000</w:t>
            </w:r>
          </w:p>
        </w:tc>
        <w:tc>
          <w:tcPr>
            <w:tcW w:w="1331" w:type="dxa"/>
            <w:vAlign w:val="center"/>
          </w:tcPr>
          <w:p w:rsidR="00A71BB5" w:rsidRPr="00B86E9B" w:rsidRDefault="00A71BB5" w:rsidP="00A71BB5">
            <w:pPr>
              <w:jc w:val="center"/>
              <w:rPr>
                <w:color w:val="000000"/>
                <w:sz w:val="26"/>
                <w:szCs w:val="26"/>
              </w:rPr>
            </w:pPr>
            <w:r w:rsidRPr="00B86E9B">
              <w:rPr>
                <w:color w:val="000000"/>
                <w:sz w:val="26"/>
                <w:szCs w:val="26"/>
              </w:rPr>
              <w:t>86 440</w:t>
            </w:r>
          </w:p>
        </w:tc>
      </w:tr>
    </w:tbl>
    <w:p w:rsidR="006C2F0F" w:rsidRPr="00B86E9B" w:rsidRDefault="006C2F0F" w:rsidP="006C2F0F">
      <w:pPr>
        <w:ind w:firstLine="706"/>
        <w:jc w:val="both"/>
        <w:rPr>
          <w:rFonts w:eastAsia="Calibri"/>
          <w:sz w:val="28"/>
          <w:szCs w:val="28"/>
        </w:rPr>
      </w:pPr>
    </w:p>
    <w:p w:rsidR="006C2F0F" w:rsidRPr="00B86E9B" w:rsidRDefault="006C2F0F" w:rsidP="006C2F0F">
      <w:pPr>
        <w:ind w:firstLine="720"/>
        <w:jc w:val="both"/>
        <w:rPr>
          <w:sz w:val="28"/>
          <w:szCs w:val="28"/>
        </w:rPr>
      </w:pPr>
      <w:r w:rsidRPr="00B86E9B">
        <w:rPr>
          <w:sz w:val="28"/>
          <w:szCs w:val="28"/>
        </w:rPr>
        <w:t xml:space="preserve">Pamatojoties uz samazināto veselības aprūpes budžetu, no 2009.gada Aknīstes PNS </w:t>
      </w:r>
      <w:r w:rsidRPr="00B86E9B">
        <w:rPr>
          <w:sz w:val="28"/>
        </w:rPr>
        <w:t xml:space="preserve">ieņēmumi </w:t>
      </w:r>
      <w:r w:rsidRPr="00B86E9B">
        <w:rPr>
          <w:sz w:val="28"/>
          <w:szCs w:val="28"/>
        </w:rPr>
        <w:t xml:space="preserve">no valsts budžeta </w:t>
      </w:r>
      <w:r w:rsidRPr="00B86E9B">
        <w:rPr>
          <w:sz w:val="28"/>
        </w:rPr>
        <w:t>būtiski samazinājās</w:t>
      </w:r>
      <w:r w:rsidRPr="00B86E9B">
        <w:rPr>
          <w:sz w:val="28"/>
          <w:szCs w:val="28"/>
        </w:rPr>
        <w:t xml:space="preserve">, līdz ar to arī izmaksu aprēķini (piešķirtais valsts budžeta finansējums) uz vienu gultas dienu proporcionāli samazinājās, kā rezultātā Aknīstes PNS radās grūtības segt faktiskos izdevumus par sniegtajiem pakalpojumiem, jo resursu </w:t>
      </w:r>
      <w:r w:rsidR="00AE600A" w:rsidRPr="00B86E9B">
        <w:rPr>
          <w:sz w:val="28"/>
          <w:szCs w:val="28"/>
        </w:rPr>
        <w:t>(piemēram, darba samaksas (dēļ minimālās mēneša darba algas palielināšanas</w:t>
      </w:r>
      <w:r w:rsidR="006D067A" w:rsidRPr="00B86E9B">
        <w:rPr>
          <w:sz w:val="28"/>
          <w:szCs w:val="28"/>
        </w:rPr>
        <w:t>)</w:t>
      </w:r>
      <w:r w:rsidR="00AE600A" w:rsidRPr="00B86E9B">
        <w:rPr>
          <w:sz w:val="28"/>
          <w:szCs w:val="28"/>
        </w:rPr>
        <w:t>, elektroenerģijas, gāzes, medikamentu)</w:t>
      </w:r>
      <w:r w:rsidRPr="00B86E9B">
        <w:rPr>
          <w:sz w:val="28"/>
          <w:szCs w:val="28"/>
        </w:rPr>
        <w:t xml:space="preserve"> izmaksas iepriekšminētajā periodā ir ievērojami pieaugušas.</w:t>
      </w:r>
    </w:p>
    <w:p w:rsidR="005F686B" w:rsidRPr="00B86E9B" w:rsidRDefault="005F686B" w:rsidP="006C2F0F">
      <w:pPr>
        <w:ind w:firstLine="720"/>
        <w:jc w:val="both"/>
        <w:rPr>
          <w:sz w:val="28"/>
          <w:szCs w:val="28"/>
        </w:rPr>
      </w:pPr>
    </w:p>
    <w:p w:rsidR="00D87DAC" w:rsidRPr="00B86E9B" w:rsidRDefault="00D87DAC" w:rsidP="00D87DAC">
      <w:pPr>
        <w:tabs>
          <w:tab w:val="left" w:pos="3390"/>
        </w:tabs>
        <w:autoSpaceDE w:val="0"/>
        <w:autoSpaceDN w:val="0"/>
        <w:adjustRightInd w:val="0"/>
        <w:ind w:firstLine="720"/>
        <w:jc w:val="right"/>
        <w:rPr>
          <w:i/>
          <w:sz w:val="28"/>
          <w:szCs w:val="28"/>
        </w:rPr>
      </w:pPr>
      <w:r w:rsidRPr="00B86E9B">
        <w:rPr>
          <w:i/>
          <w:sz w:val="28"/>
          <w:szCs w:val="28"/>
        </w:rPr>
        <w:t>Tabula Nr.25:Aknīstes PNS gultas</w:t>
      </w:r>
      <w:r w:rsidR="003F0148" w:rsidRPr="00B86E9B">
        <w:rPr>
          <w:i/>
          <w:sz w:val="28"/>
          <w:szCs w:val="28"/>
        </w:rPr>
        <w:t xml:space="preserve"> </w:t>
      </w:r>
      <w:r w:rsidRPr="00B86E9B">
        <w:rPr>
          <w:i/>
          <w:sz w:val="28"/>
          <w:szCs w:val="28"/>
        </w:rPr>
        <w:t>dienas tarifa izmaiņas pa gadiem [LVL]</w:t>
      </w:r>
    </w:p>
    <w:tbl>
      <w:tblPr>
        <w:tblStyle w:val="Reatabula"/>
        <w:tblW w:w="0" w:type="auto"/>
        <w:jc w:val="center"/>
        <w:tblInd w:w="-666" w:type="dxa"/>
        <w:tblLook w:val="04A0"/>
      </w:tblPr>
      <w:tblGrid>
        <w:gridCol w:w="2289"/>
        <w:gridCol w:w="1408"/>
        <w:gridCol w:w="1394"/>
        <w:gridCol w:w="2021"/>
      </w:tblGrid>
      <w:tr w:rsidR="00D87DAC" w:rsidRPr="00B86E9B" w:rsidTr="00E958A1">
        <w:trPr>
          <w:jc w:val="center"/>
        </w:trPr>
        <w:tc>
          <w:tcPr>
            <w:tcW w:w="2289" w:type="dxa"/>
            <w:shd w:val="clear" w:color="auto" w:fill="D9D9D9" w:themeFill="background1" w:themeFillShade="D9"/>
          </w:tcPr>
          <w:p w:rsidR="00D87DAC" w:rsidRPr="00B86E9B" w:rsidRDefault="00D87DAC" w:rsidP="00E958A1">
            <w:pPr>
              <w:jc w:val="center"/>
              <w:rPr>
                <w:sz w:val="26"/>
                <w:szCs w:val="26"/>
              </w:rPr>
            </w:pPr>
          </w:p>
        </w:tc>
        <w:tc>
          <w:tcPr>
            <w:tcW w:w="1408" w:type="dxa"/>
            <w:shd w:val="clear" w:color="auto" w:fill="D9D9D9" w:themeFill="background1" w:themeFillShade="D9"/>
          </w:tcPr>
          <w:p w:rsidR="00D87DAC" w:rsidRPr="00B86E9B" w:rsidRDefault="00D87DAC" w:rsidP="00E958A1">
            <w:pPr>
              <w:jc w:val="center"/>
              <w:rPr>
                <w:sz w:val="26"/>
                <w:szCs w:val="26"/>
              </w:rPr>
            </w:pPr>
            <w:r w:rsidRPr="00B86E9B">
              <w:rPr>
                <w:sz w:val="26"/>
                <w:szCs w:val="26"/>
              </w:rPr>
              <w:t>2008.gads</w:t>
            </w:r>
          </w:p>
        </w:tc>
        <w:tc>
          <w:tcPr>
            <w:tcW w:w="1394" w:type="dxa"/>
            <w:shd w:val="clear" w:color="auto" w:fill="D9D9D9" w:themeFill="background1" w:themeFillShade="D9"/>
          </w:tcPr>
          <w:p w:rsidR="00D87DAC" w:rsidRPr="00B86E9B" w:rsidRDefault="00D87DAC" w:rsidP="00E958A1">
            <w:pPr>
              <w:jc w:val="center"/>
              <w:rPr>
                <w:sz w:val="26"/>
                <w:szCs w:val="26"/>
              </w:rPr>
            </w:pPr>
            <w:r w:rsidRPr="00B86E9B">
              <w:rPr>
                <w:sz w:val="26"/>
                <w:szCs w:val="26"/>
              </w:rPr>
              <w:t>2009.gads</w:t>
            </w:r>
          </w:p>
        </w:tc>
        <w:tc>
          <w:tcPr>
            <w:tcW w:w="2021" w:type="dxa"/>
            <w:shd w:val="clear" w:color="auto" w:fill="D9D9D9" w:themeFill="background1" w:themeFillShade="D9"/>
          </w:tcPr>
          <w:p w:rsidR="00D87DAC" w:rsidRPr="00B86E9B" w:rsidRDefault="00D87DAC" w:rsidP="00E958A1">
            <w:pPr>
              <w:jc w:val="center"/>
              <w:rPr>
                <w:sz w:val="26"/>
                <w:szCs w:val="26"/>
              </w:rPr>
            </w:pPr>
            <w:r w:rsidRPr="00B86E9B">
              <w:rPr>
                <w:sz w:val="26"/>
                <w:szCs w:val="26"/>
              </w:rPr>
              <w:t xml:space="preserve">2010., 2011., </w:t>
            </w:r>
            <w:r w:rsidRPr="00B86E9B">
              <w:rPr>
                <w:b/>
                <w:sz w:val="26"/>
                <w:szCs w:val="26"/>
              </w:rPr>
              <w:t>2012.gadā</w:t>
            </w:r>
          </w:p>
        </w:tc>
      </w:tr>
      <w:tr w:rsidR="00D87DAC" w:rsidRPr="00B86E9B" w:rsidTr="00E958A1">
        <w:trPr>
          <w:jc w:val="center"/>
        </w:trPr>
        <w:tc>
          <w:tcPr>
            <w:tcW w:w="2289" w:type="dxa"/>
            <w:vAlign w:val="center"/>
          </w:tcPr>
          <w:p w:rsidR="00D87DAC" w:rsidRPr="00B86E9B" w:rsidRDefault="00D87DAC" w:rsidP="00E958A1">
            <w:pPr>
              <w:rPr>
                <w:sz w:val="26"/>
                <w:szCs w:val="26"/>
              </w:rPr>
            </w:pPr>
            <w:r w:rsidRPr="00B86E9B">
              <w:rPr>
                <w:sz w:val="26"/>
                <w:szCs w:val="26"/>
              </w:rPr>
              <w:t>Gultas</w:t>
            </w:r>
            <w:r w:rsidR="003F0148" w:rsidRPr="00B86E9B">
              <w:rPr>
                <w:sz w:val="26"/>
                <w:szCs w:val="26"/>
              </w:rPr>
              <w:t xml:space="preserve"> </w:t>
            </w:r>
            <w:r w:rsidRPr="00B86E9B">
              <w:rPr>
                <w:sz w:val="26"/>
                <w:szCs w:val="26"/>
              </w:rPr>
              <w:t>dienas tarifs</w:t>
            </w:r>
          </w:p>
        </w:tc>
        <w:tc>
          <w:tcPr>
            <w:tcW w:w="1408" w:type="dxa"/>
            <w:vAlign w:val="center"/>
          </w:tcPr>
          <w:p w:rsidR="00D87DAC" w:rsidRPr="00B86E9B" w:rsidRDefault="00D87DAC" w:rsidP="00E958A1">
            <w:pPr>
              <w:jc w:val="center"/>
              <w:rPr>
                <w:sz w:val="26"/>
                <w:szCs w:val="26"/>
              </w:rPr>
            </w:pPr>
            <w:r w:rsidRPr="00B86E9B">
              <w:rPr>
                <w:sz w:val="26"/>
                <w:szCs w:val="26"/>
              </w:rPr>
              <w:t>17,60</w:t>
            </w:r>
          </w:p>
        </w:tc>
        <w:tc>
          <w:tcPr>
            <w:tcW w:w="1394" w:type="dxa"/>
            <w:vAlign w:val="center"/>
          </w:tcPr>
          <w:p w:rsidR="00F42659" w:rsidRPr="00B86E9B" w:rsidRDefault="00F42659" w:rsidP="00E958A1">
            <w:pPr>
              <w:jc w:val="center"/>
              <w:rPr>
                <w:bCs/>
                <w:sz w:val="26"/>
                <w:szCs w:val="26"/>
              </w:rPr>
            </w:pPr>
            <w:r w:rsidRPr="00B86E9B">
              <w:rPr>
                <w:bCs/>
                <w:sz w:val="26"/>
                <w:szCs w:val="26"/>
              </w:rPr>
              <w:t>no 01.03.</w:t>
            </w:r>
          </w:p>
          <w:p w:rsidR="00D87DAC" w:rsidRPr="00B86E9B" w:rsidRDefault="00436F6D" w:rsidP="00E958A1">
            <w:pPr>
              <w:jc w:val="center"/>
              <w:rPr>
                <w:bCs/>
                <w:sz w:val="26"/>
                <w:szCs w:val="26"/>
              </w:rPr>
            </w:pPr>
            <w:r w:rsidRPr="00B86E9B">
              <w:rPr>
                <w:bCs/>
                <w:sz w:val="26"/>
                <w:szCs w:val="26"/>
              </w:rPr>
              <w:t>7,10</w:t>
            </w:r>
          </w:p>
          <w:p w:rsidR="00D87DAC" w:rsidRPr="00B86E9B" w:rsidRDefault="00F42659" w:rsidP="00E958A1">
            <w:pPr>
              <w:jc w:val="center"/>
              <w:rPr>
                <w:bCs/>
                <w:sz w:val="26"/>
                <w:szCs w:val="26"/>
              </w:rPr>
            </w:pPr>
            <w:r w:rsidRPr="00B86E9B">
              <w:rPr>
                <w:bCs/>
                <w:sz w:val="26"/>
                <w:szCs w:val="26"/>
              </w:rPr>
              <w:t>n</w:t>
            </w:r>
            <w:r w:rsidR="00D87DAC" w:rsidRPr="00B86E9B">
              <w:rPr>
                <w:bCs/>
                <w:sz w:val="26"/>
                <w:szCs w:val="26"/>
              </w:rPr>
              <w:t xml:space="preserve">o 01.07. </w:t>
            </w:r>
            <w:r w:rsidR="00436F6D" w:rsidRPr="00B86E9B">
              <w:rPr>
                <w:bCs/>
                <w:sz w:val="26"/>
                <w:szCs w:val="26"/>
              </w:rPr>
              <w:t>5,21</w:t>
            </w:r>
          </w:p>
        </w:tc>
        <w:tc>
          <w:tcPr>
            <w:tcW w:w="2021" w:type="dxa"/>
            <w:vAlign w:val="center"/>
          </w:tcPr>
          <w:p w:rsidR="00D87DAC" w:rsidRPr="00B86E9B" w:rsidRDefault="00D87DAC" w:rsidP="00E958A1">
            <w:pPr>
              <w:jc w:val="center"/>
              <w:rPr>
                <w:bCs/>
                <w:color w:val="000000"/>
                <w:sz w:val="26"/>
                <w:szCs w:val="26"/>
              </w:rPr>
            </w:pPr>
            <w:r w:rsidRPr="00B86E9B">
              <w:rPr>
                <w:sz w:val="26"/>
                <w:szCs w:val="26"/>
              </w:rPr>
              <w:t>7,71</w:t>
            </w:r>
          </w:p>
        </w:tc>
      </w:tr>
    </w:tbl>
    <w:p w:rsidR="00881987" w:rsidRPr="00B86E9B" w:rsidRDefault="00881987" w:rsidP="00D87DAC">
      <w:pPr>
        <w:jc w:val="both"/>
        <w:rPr>
          <w:sz w:val="28"/>
          <w:szCs w:val="28"/>
          <w:lang w:eastAsia="lv-LV"/>
        </w:rPr>
      </w:pPr>
    </w:p>
    <w:p w:rsidR="00D87DAC" w:rsidRPr="00B86E9B" w:rsidRDefault="00D87DAC" w:rsidP="00D87DAC">
      <w:pPr>
        <w:ind w:firstLine="720"/>
        <w:jc w:val="both"/>
        <w:rPr>
          <w:sz w:val="28"/>
          <w:szCs w:val="28"/>
        </w:rPr>
      </w:pPr>
      <w:r w:rsidRPr="00B86E9B">
        <w:rPr>
          <w:sz w:val="28"/>
          <w:szCs w:val="28"/>
        </w:rPr>
        <w:t>Arī 2013.gadā gultas</w:t>
      </w:r>
      <w:r w:rsidR="003F0148" w:rsidRPr="00B86E9B">
        <w:rPr>
          <w:sz w:val="28"/>
          <w:szCs w:val="28"/>
        </w:rPr>
        <w:t xml:space="preserve"> </w:t>
      </w:r>
      <w:r w:rsidRPr="00B86E9B">
        <w:rPr>
          <w:sz w:val="28"/>
          <w:szCs w:val="28"/>
        </w:rPr>
        <w:t>dienas tarifs saglabājās 7,71 LVL apmērā, bet 2014.gadā tas saistībā ar ārstniecības personu darba samaksas paaugstināšanu (tarifa elementi D un S) un citu tarifa elementu paaugstināšanu (E –izdevumi, kas saistīti ar pacientu ēdināšanu; U – pieskaitāmās un netiešās ražošanas izmaksas; A – administratīvie izdevumi) tiks pali</w:t>
      </w:r>
      <w:r w:rsidR="00A802BD" w:rsidRPr="00B86E9B">
        <w:rPr>
          <w:sz w:val="28"/>
          <w:szCs w:val="28"/>
        </w:rPr>
        <w:t>elināts par 9% un sasniegs 8,41 </w:t>
      </w:r>
      <w:r w:rsidRPr="00B86E9B">
        <w:rPr>
          <w:sz w:val="28"/>
          <w:szCs w:val="28"/>
        </w:rPr>
        <w:t xml:space="preserve">LVL (11,97 EUR), tomēr joprojām būs ievērojami mazākā apmērā kā pirmskrīzes laikā </w:t>
      </w:r>
      <w:r w:rsidR="00043491" w:rsidRPr="00B86E9B">
        <w:rPr>
          <w:sz w:val="28"/>
          <w:szCs w:val="28"/>
        </w:rPr>
        <w:t>(47,8</w:t>
      </w:r>
      <w:r w:rsidRPr="00B86E9B">
        <w:rPr>
          <w:sz w:val="28"/>
          <w:szCs w:val="28"/>
        </w:rPr>
        <w:t xml:space="preserve">% apmērā). </w:t>
      </w:r>
    </w:p>
    <w:p w:rsidR="00D87DAC" w:rsidRPr="00B86E9B" w:rsidRDefault="00C05A3D" w:rsidP="00D87DAC">
      <w:pPr>
        <w:ind w:firstLine="720"/>
        <w:jc w:val="both"/>
        <w:rPr>
          <w:sz w:val="28"/>
          <w:szCs w:val="28"/>
        </w:rPr>
      </w:pPr>
      <w:r w:rsidRPr="00B86E9B">
        <w:rPr>
          <w:sz w:val="28"/>
          <w:szCs w:val="28"/>
        </w:rPr>
        <w:t>Kā jau tika norādīts Veselības ministrijas Informatīvajā ziņojumā par Veselības ministrijas kapitālsabiedrībām, kas 2011.gadu ir noslēgušas ar zaudējumiem, arī pārējie stacionārās veselības aprūpes pakalpojumu tarifi krīzes laikā tika ievērojami samazināti un neatbilst pakalpojumu sniegšanas faktiskajām izmaksām un 2012.gadā tarifi netika mainīti. Arī 2013.gadā veselības aprūpes pakalpojumu tarifi netika mainīti, bet 2014.gadā tie</w:t>
      </w:r>
      <w:r w:rsidR="00CF18F0" w:rsidRPr="00B86E9B">
        <w:rPr>
          <w:sz w:val="28"/>
          <w:szCs w:val="28"/>
        </w:rPr>
        <w:t>,</w:t>
      </w:r>
      <w:r w:rsidRPr="00B86E9B">
        <w:rPr>
          <w:sz w:val="28"/>
          <w:szCs w:val="28"/>
        </w:rPr>
        <w:t xml:space="preserve"> saistībā ar ārstniecības personu darba samaksas paaugstināšanu (tarifa elementi D un S) un citu tarifa elementu paaugstināšanu (E –izdevumi, kas saistīti ar pacientu ēdināšanu; U – pieskaitāmās un netiešās ražošanas izmaksas; A – administratīvie izdevumi)</w:t>
      </w:r>
      <w:r w:rsidR="00CF18F0" w:rsidRPr="00B86E9B">
        <w:rPr>
          <w:sz w:val="28"/>
          <w:szCs w:val="28"/>
        </w:rPr>
        <w:t>,</w:t>
      </w:r>
      <w:r w:rsidR="00EA7EF5" w:rsidRPr="00B86E9B">
        <w:rPr>
          <w:sz w:val="28"/>
          <w:szCs w:val="28"/>
        </w:rPr>
        <w:t xml:space="preserve"> atbilstoši Ministru kabineta 2013.gada 17.decembra noteikumiem Nr.1529 „Veselības aprūpes organizēšanas un finansēšanas kārtība”</w:t>
      </w:r>
      <w:r w:rsidRPr="00B86E9B">
        <w:rPr>
          <w:sz w:val="28"/>
          <w:szCs w:val="28"/>
        </w:rPr>
        <w:t xml:space="preserve"> tiks palielināti vidēji par 5% - 6% (robežās no 1% līdz 16%, ko ietekmē tarifa elementu D un S īpatsvars konkrētā pakalpojuma vai programmas tarifā)</w:t>
      </w:r>
      <w:r w:rsidR="00D87DAC" w:rsidRPr="00B86E9B">
        <w:rPr>
          <w:sz w:val="28"/>
          <w:szCs w:val="28"/>
        </w:rPr>
        <w:t>.</w:t>
      </w:r>
    </w:p>
    <w:p w:rsidR="000102CE" w:rsidRPr="00B86E9B" w:rsidRDefault="000102CE" w:rsidP="000102CE">
      <w:pPr>
        <w:ind w:firstLine="706"/>
        <w:jc w:val="both"/>
        <w:rPr>
          <w:color w:val="000000"/>
          <w:sz w:val="28"/>
          <w:szCs w:val="28"/>
        </w:rPr>
      </w:pPr>
      <w:r w:rsidRPr="00B86E9B">
        <w:rPr>
          <w:sz w:val="28"/>
          <w:szCs w:val="28"/>
        </w:rPr>
        <w:t>Aknīstes PNS</w:t>
      </w:r>
      <w:r w:rsidRPr="00B86E9B">
        <w:rPr>
          <w:rStyle w:val="Izteiksmgs"/>
          <w:sz w:val="28"/>
          <w:szCs w:val="28"/>
        </w:rPr>
        <w:t xml:space="preserve"> </w:t>
      </w:r>
      <w:r w:rsidRPr="00B86E9B">
        <w:rPr>
          <w:rFonts w:eastAsia="Calibri"/>
          <w:sz w:val="28"/>
          <w:szCs w:val="28"/>
        </w:rPr>
        <w:t xml:space="preserve">izdevumi 2012.gadā bija </w:t>
      </w:r>
      <w:r w:rsidRPr="00B86E9B">
        <w:rPr>
          <w:color w:val="000000"/>
          <w:sz w:val="28"/>
          <w:szCs w:val="28"/>
        </w:rPr>
        <w:t xml:space="preserve">2 277 359 LVL, kas, salīdzinot ar 2012.gada plānu, bija lielāki par 66 359 LVL (3,0%), un salīdzinājumā ar 2011.gadu  bija lielāki par 114 154 LVL (5,3%). </w:t>
      </w:r>
    </w:p>
    <w:p w:rsidR="00D87DAC" w:rsidRPr="00B86E9B" w:rsidRDefault="000102CE" w:rsidP="000102CE">
      <w:pPr>
        <w:ind w:firstLine="706"/>
        <w:jc w:val="both"/>
        <w:rPr>
          <w:rFonts w:eastAsia="Calibri"/>
          <w:sz w:val="28"/>
          <w:szCs w:val="28"/>
        </w:rPr>
      </w:pPr>
      <w:r w:rsidRPr="00B86E9B">
        <w:rPr>
          <w:sz w:val="28"/>
          <w:szCs w:val="28"/>
        </w:rPr>
        <w:t>Aknīstes PNS</w:t>
      </w:r>
      <w:r w:rsidRPr="00B86E9B">
        <w:rPr>
          <w:color w:val="000000"/>
          <w:sz w:val="28"/>
          <w:szCs w:val="28"/>
        </w:rPr>
        <w:t xml:space="preserve"> izdevumi personāla atlīdzībai 2012.gadā bija 1 314 910 LVL, kas bija par 43 790 LVL (3,2%) mazāki nekā plānots 2012.gadā un par 17 681 LVL (1,4%) lielāki nekā izdevumi 2011.gadā. </w:t>
      </w:r>
      <w:r w:rsidRPr="00B86E9B">
        <w:rPr>
          <w:sz w:val="28"/>
          <w:szCs w:val="28"/>
        </w:rPr>
        <w:t>Aknīstes PNS</w:t>
      </w:r>
      <w:r w:rsidRPr="00B86E9B">
        <w:rPr>
          <w:rStyle w:val="Izteiksmgs"/>
          <w:sz w:val="28"/>
          <w:szCs w:val="28"/>
        </w:rPr>
        <w:t xml:space="preserve"> </w:t>
      </w:r>
      <w:r w:rsidRPr="00B86E9B">
        <w:rPr>
          <w:color w:val="000000"/>
          <w:sz w:val="28"/>
          <w:szCs w:val="28"/>
        </w:rPr>
        <w:t>izdevumi par precēm un pakalpojumiem 2012.gadā bija 690 476 LVL, kas bija par 126 476 LVL (22,4%) lielāki nekā plānots un salīdzinājumā ar 2011.gadu lielāki par 104 353 LVL (17,8%), t.sk. izdevumi par medikamentiem un medicīniskiem materiāliem 2012.gadā bija 127 841 LVL, kas bija par 5 627 LVL (4,6%) lielāki nekā plānots un salīdzināj</w:t>
      </w:r>
      <w:r w:rsidR="007B3203" w:rsidRPr="00B86E9B">
        <w:rPr>
          <w:color w:val="000000"/>
          <w:sz w:val="28"/>
          <w:szCs w:val="28"/>
        </w:rPr>
        <w:t>umā ar 2011.gadu lielāki par 11 </w:t>
      </w:r>
      <w:r w:rsidRPr="00B86E9B">
        <w:rPr>
          <w:color w:val="000000"/>
          <w:sz w:val="28"/>
          <w:szCs w:val="28"/>
        </w:rPr>
        <w:t>204 LVL (9,6%).</w:t>
      </w:r>
      <w:r w:rsidRPr="00B86E9B">
        <w:rPr>
          <w:rFonts w:eastAsia="Calibri"/>
          <w:sz w:val="28"/>
          <w:szCs w:val="28"/>
        </w:rPr>
        <w:t xml:space="preserve"> </w:t>
      </w:r>
    </w:p>
    <w:p w:rsidR="00D87DAC" w:rsidRPr="00B86E9B" w:rsidRDefault="00D87DAC" w:rsidP="00D87DAC">
      <w:pPr>
        <w:pStyle w:val="Virsraksts3"/>
        <w:numPr>
          <w:ilvl w:val="0"/>
          <w:numId w:val="0"/>
        </w:numPr>
        <w:spacing w:before="0" w:after="0"/>
        <w:ind w:left="706"/>
        <w:jc w:val="right"/>
        <w:rPr>
          <w:rFonts w:eastAsia="Calibri"/>
          <w:b w:val="0"/>
          <w:lang w:eastAsia="lv-LV"/>
        </w:rPr>
      </w:pPr>
    </w:p>
    <w:p w:rsidR="00135730" w:rsidRDefault="00135730">
      <w:pPr>
        <w:spacing w:after="200" w:line="276" w:lineRule="auto"/>
        <w:rPr>
          <w:i/>
          <w:sz w:val="28"/>
          <w:szCs w:val="28"/>
        </w:rPr>
      </w:pPr>
      <w:r>
        <w:rPr>
          <w:i/>
          <w:sz w:val="28"/>
          <w:szCs w:val="28"/>
        </w:rPr>
        <w:br w:type="page"/>
      </w:r>
    </w:p>
    <w:p w:rsidR="00D87DAC" w:rsidRPr="00B86E9B" w:rsidRDefault="00D87DAC" w:rsidP="00D87DAC">
      <w:pPr>
        <w:tabs>
          <w:tab w:val="left" w:pos="3390"/>
        </w:tabs>
        <w:autoSpaceDE w:val="0"/>
        <w:autoSpaceDN w:val="0"/>
        <w:adjustRightInd w:val="0"/>
        <w:ind w:firstLine="720"/>
        <w:jc w:val="right"/>
        <w:rPr>
          <w:i/>
          <w:sz w:val="28"/>
          <w:szCs w:val="28"/>
        </w:rPr>
      </w:pPr>
      <w:r w:rsidRPr="00B86E9B">
        <w:rPr>
          <w:i/>
          <w:sz w:val="28"/>
          <w:szCs w:val="28"/>
        </w:rPr>
        <w:lastRenderedPageBreak/>
        <w:t>Tabula Nr.26: Aknīstes PNS</w:t>
      </w:r>
      <w:r w:rsidRPr="00B86E9B">
        <w:rPr>
          <w:bCs/>
          <w:i/>
          <w:sz w:val="28"/>
          <w:szCs w:val="28"/>
        </w:rPr>
        <w:t xml:space="preserve"> </w:t>
      </w:r>
      <w:r w:rsidRPr="00B86E9B">
        <w:rPr>
          <w:i/>
          <w:sz w:val="28"/>
          <w:szCs w:val="28"/>
        </w:rPr>
        <w:t xml:space="preserve"> </w:t>
      </w:r>
      <w:r w:rsidR="00116047" w:rsidRPr="00B86E9B">
        <w:rPr>
          <w:i/>
          <w:sz w:val="28"/>
          <w:szCs w:val="28"/>
        </w:rPr>
        <w:t>pakalpojumu izmaksu apjoms un rādītāji</w:t>
      </w:r>
    </w:p>
    <w:tbl>
      <w:tblPr>
        <w:tblW w:w="7861" w:type="dxa"/>
        <w:jc w:val="center"/>
        <w:tblInd w:w="-697" w:type="dxa"/>
        <w:tblLook w:val="04A0"/>
      </w:tblPr>
      <w:tblGrid>
        <w:gridCol w:w="3720"/>
        <w:gridCol w:w="1333"/>
        <w:gridCol w:w="1374"/>
        <w:gridCol w:w="1434"/>
      </w:tblGrid>
      <w:tr w:rsidR="00D87DAC" w:rsidRPr="00B86E9B" w:rsidTr="00135730">
        <w:trPr>
          <w:trHeight w:val="300"/>
          <w:jc w:val="center"/>
        </w:trPr>
        <w:tc>
          <w:tcPr>
            <w:tcW w:w="3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r w:rsidRPr="00B86E9B">
              <w:rPr>
                <w:color w:val="000000" w:themeColor="text1"/>
                <w:sz w:val="26"/>
                <w:szCs w:val="26"/>
              </w:rPr>
              <w:t>2011.gads</w:t>
            </w:r>
          </w:p>
        </w:tc>
        <w:tc>
          <w:tcPr>
            <w:tcW w:w="280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r w:rsidRPr="00B86E9B">
              <w:rPr>
                <w:color w:val="000000" w:themeColor="text1"/>
                <w:sz w:val="26"/>
                <w:szCs w:val="26"/>
              </w:rPr>
              <w:t>2012.gads</w:t>
            </w:r>
          </w:p>
        </w:tc>
      </w:tr>
      <w:tr w:rsidR="00D87DAC" w:rsidRPr="00B86E9B" w:rsidTr="00135730">
        <w:trPr>
          <w:trHeight w:val="300"/>
          <w:jc w:val="center"/>
        </w:trPr>
        <w:tc>
          <w:tcPr>
            <w:tcW w:w="3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r w:rsidRPr="00B86E9B">
              <w:rPr>
                <w:color w:val="000000" w:themeColor="text1"/>
                <w:sz w:val="26"/>
                <w:szCs w:val="26"/>
              </w:rPr>
              <w:t>Rādītājs</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r w:rsidRPr="00B86E9B">
              <w:rPr>
                <w:color w:val="000000" w:themeColor="text1"/>
                <w:sz w:val="26"/>
                <w:szCs w:val="26"/>
              </w:rPr>
              <w:t>Izpilde</w:t>
            </w:r>
          </w:p>
        </w:tc>
        <w:tc>
          <w:tcPr>
            <w:tcW w:w="13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r w:rsidRPr="00B86E9B">
              <w:rPr>
                <w:color w:val="000000" w:themeColor="text1"/>
                <w:sz w:val="26"/>
                <w:szCs w:val="26"/>
              </w:rPr>
              <w:t>Plāns</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7DAC" w:rsidRPr="00B86E9B" w:rsidRDefault="00D87DAC" w:rsidP="00E958A1">
            <w:pPr>
              <w:jc w:val="center"/>
              <w:rPr>
                <w:color w:val="000000" w:themeColor="text1"/>
                <w:sz w:val="26"/>
                <w:szCs w:val="26"/>
              </w:rPr>
            </w:pPr>
            <w:r w:rsidRPr="00B86E9B">
              <w:rPr>
                <w:color w:val="000000" w:themeColor="text1"/>
                <w:sz w:val="26"/>
                <w:szCs w:val="26"/>
              </w:rPr>
              <w:t>Izpilde</w:t>
            </w:r>
          </w:p>
        </w:tc>
      </w:tr>
      <w:tr w:rsidR="009474D1"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rPr>
                <w:sz w:val="26"/>
                <w:szCs w:val="26"/>
              </w:rPr>
            </w:pPr>
            <w:r w:rsidRPr="00B86E9B">
              <w:rPr>
                <w:sz w:val="26"/>
                <w:szCs w:val="26"/>
              </w:rPr>
              <w:t>Kopējie izdevumi [tūkst. LVL], t.sk.:</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bCs/>
                <w:color w:val="000000"/>
                <w:sz w:val="26"/>
                <w:szCs w:val="26"/>
              </w:rPr>
            </w:pPr>
            <w:r w:rsidRPr="00B86E9B">
              <w:rPr>
                <w:bCs/>
                <w:color w:val="000000"/>
                <w:sz w:val="26"/>
                <w:szCs w:val="26"/>
              </w:rPr>
              <w:t xml:space="preserve">2 163 </w:t>
            </w:r>
          </w:p>
        </w:tc>
        <w:tc>
          <w:tcPr>
            <w:tcW w:w="137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2 211 </w:t>
            </w:r>
          </w:p>
        </w:tc>
        <w:tc>
          <w:tcPr>
            <w:tcW w:w="143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2 277 </w:t>
            </w:r>
          </w:p>
        </w:tc>
      </w:tr>
      <w:tr w:rsidR="009474D1"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Personāla atlīdzības izmaksas [tūkst. LVL]</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bCs/>
                <w:color w:val="000000"/>
                <w:sz w:val="26"/>
                <w:szCs w:val="26"/>
              </w:rPr>
              <w:t xml:space="preserve">1 297 </w:t>
            </w:r>
          </w:p>
        </w:tc>
        <w:tc>
          <w:tcPr>
            <w:tcW w:w="137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1 35</w:t>
            </w:r>
            <w:r w:rsidR="00FE295C" w:rsidRPr="00B86E9B">
              <w:rPr>
                <w:color w:val="000000"/>
                <w:sz w:val="26"/>
                <w:szCs w:val="26"/>
              </w:rPr>
              <w:t>9</w:t>
            </w:r>
          </w:p>
        </w:tc>
        <w:tc>
          <w:tcPr>
            <w:tcW w:w="143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1 31</w:t>
            </w:r>
            <w:r w:rsidR="00FE295C" w:rsidRPr="00B86E9B">
              <w:rPr>
                <w:color w:val="000000"/>
                <w:sz w:val="26"/>
                <w:szCs w:val="26"/>
              </w:rPr>
              <w:t>5</w:t>
            </w:r>
          </w:p>
        </w:tc>
      </w:tr>
      <w:tr w:rsidR="009474D1"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Preču un pakalpojumu izmaksas [tūkst. LVL], t.sk.:</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FE295C">
            <w:pPr>
              <w:jc w:val="center"/>
              <w:rPr>
                <w:bCs/>
                <w:color w:val="000000"/>
                <w:sz w:val="26"/>
                <w:szCs w:val="26"/>
              </w:rPr>
            </w:pPr>
            <w:r w:rsidRPr="00B86E9B">
              <w:rPr>
                <w:bCs/>
                <w:color w:val="000000"/>
                <w:sz w:val="26"/>
                <w:szCs w:val="26"/>
              </w:rPr>
              <w:t>586</w:t>
            </w:r>
          </w:p>
        </w:tc>
        <w:tc>
          <w:tcPr>
            <w:tcW w:w="1374"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FE295C">
            <w:pPr>
              <w:jc w:val="center"/>
              <w:rPr>
                <w:bCs/>
                <w:color w:val="000000"/>
                <w:sz w:val="26"/>
                <w:szCs w:val="26"/>
              </w:rPr>
            </w:pPr>
            <w:r w:rsidRPr="00B86E9B">
              <w:rPr>
                <w:bCs/>
                <w:color w:val="000000"/>
                <w:sz w:val="26"/>
                <w:szCs w:val="26"/>
              </w:rPr>
              <w:t>564</w:t>
            </w:r>
          </w:p>
        </w:tc>
        <w:tc>
          <w:tcPr>
            <w:tcW w:w="1434"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FE295C">
            <w:pPr>
              <w:jc w:val="center"/>
              <w:rPr>
                <w:bCs/>
                <w:color w:val="000000"/>
                <w:sz w:val="26"/>
                <w:szCs w:val="26"/>
              </w:rPr>
            </w:pPr>
            <w:r w:rsidRPr="00B86E9B">
              <w:rPr>
                <w:bCs/>
                <w:color w:val="000000"/>
                <w:sz w:val="26"/>
                <w:szCs w:val="26"/>
              </w:rPr>
              <w:t>690</w:t>
            </w:r>
          </w:p>
        </w:tc>
      </w:tr>
      <w:tr w:rsidR="009474D1"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266"/>
              <w:rPr>
                <w:sz w:val="26"/>
                <w:szCs w:val="26"/>
              </w:rPr>
            </w:pPr>
            <w:r w:rsidRPr="00B86E9B">
              <w:rPr>
                <w:sz w:val="26"/>
                <w:szCs w:val="26"/>
              </w:rPr>
              <w:t>Medikamentu izmaksas [tūkst. LVL]</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11</w:t>
            </w:r>
            <w:r w:rsidR="00FE295C" w:rsidRPr="00B86E9B">
              <w:rPr>
                <w:color w:val="000000"/>
                <w:sz w:val="26"/>
                <w:szCs w:val="26"/>
              </w:rPr>
              <w:t>7</w:t>
            </w:r>
          </w:p>
        </w:tc>
        <w:tc>
          <w:tcPr>
            <w:tcW w:w="137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122 </w:t>
            </w:r>
          </w:p>
        </w:tc>
        <w:tc>
          <w:tcPr>
            <w:tcW w:w="143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12</w:t>
            </w:r>
            <w:r w:rsidR="00FE295C" w:rsidRPr="00B86E9B">
              <w:rPr>
                <w:color w:val="000000"/>
                <w:sz w:val="26"/>
                <w:szCs w:val="26"/>
              </w:rPr>
              <w:t>8</w:t>
            </w:r>
          </w:p>
        </w:tc>
      </w:tr>
      <w:tr w:rsidR="009474D1"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Procentu izdevumi [</w:t>
            </w:r>
            <w:r w:rsidR="00135730"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102CE">
            <w:pPr>
              <w:jc w:val="center"/>
              <w:rPr>
                <w:color w:val="000000"/>
                <w:sz w:val="26"/>
                <w:szCs w:val="26"/>
              </w:rPr>
            </w:pPr>
            <w:r w:rsidRPr="00B86E9B">
              <w:rPr>
                <w:color w:val="000000"/>
                <w:sz w:val="26"/>
                <w:szCs w:val="26"/>
              </w:rPr>
              <w:t>56</w:t>
            </w:r>
          </w:p>
        </w:tc>
        <w:tc>
          <w:tcPr>
            <w:tcW w:w="137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102CE">
            <w:pPr>
              <w:jc w:val="center"/>
              <w:rPr>
                <w:bCs/>
                <w:color w:val="000000"/>
                <w:sz w:val="26"/>
                <w:szCs w:val="26"/>
              </w:rPr>
            </w:pPr>
            <w:r w:rsidRPr="00B86E9B">
              <w:rPr>
                <w:bCs/>
                <w:color w:val="000000"/>
                <w:sz w:val="26"/>
                <w:szCs w:val="26"/>
              </w:rPr>
              <w:t>64</w:t>
            </w:r>
          </w:p>
        </w:tc>
        <w:tc>
          <w:tcPr>
            <w:tcW w:w="143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102CE">
            <w:pPr>
              <w:jc w:val="center"/>
              <w:rPr>
                <w:bCs/>
                <w:color w:val="000000"/>
                <w:sz w:val="26"/>
                <w:szCs w:val="26"/>
              </w:rPr>
            </w:pPr>
            <w:r w:rsidRPr="00B86E9B">
              <w:rPr>
                <w:bCs/>
                <w:color w:val="000000"/>
                <w:sz w:val="26"/>
                <w:szCs w:val="26"/>
              </w:rPr>
              <w:t>4</w:t>
            </w:r>
            <w:r w:rsidR="000102CE" w:rsidRPr="00B86E9B">
              <w:rPr>
                <w:bCs/>
                <w:color w:val="000000"/>
                <w:sz w:val="26"/>
                <w:szCs w:val="26"/>
              </w:rPr>
              <w:t>3</w:t>
            </w:r>
          </w:p>
        </w:tc>
      </w:tr>
      <w:tr w:rsidR="009474D1"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Nolietojums [</w:t>
            </w:r>
            <w:r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sz w:val="26"/>
                <w:szCs w:val="26"/>
              </w:rPr>
            </w:pPr>
            <w:r w:rsidRPr="00B86E9B">
              <w:rPr>
                <w:sz w:val="26"/>
                <w:szCs w:val="26"/>
              </w:rPr>
              <w:t>223 </w:t>
            </w:r>
          </w:p>
        </w:tc>
        <w:tc>
          <w:tcPr>
            <w:tcW w:w="137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224 </w:t>
            </w:r>
          </w:p>
        </w:tc>
        <w:tc>
          <w:tcPr>
            <w:tcW w:w="1434"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229 </w:t>
            </w:r>
          </w:p>
        </w:tc>
      </w:tr>
      <w:tr w:rsidR="00A71BB5"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A71BB5" w:rsidRPr="00B86E9B" w:rsidRDefault="00A71BB5" w:rsidP="00A71BB5">
            <w:pPr>
              <w:rPr>
                <w:color w:val="000000"/>
                <w:sz w:val="26"/>
                <w:szCs w:val="26"/>
              </w:rPr>
            </w:pPr>
            <w:r w:rsidRPr="00B86E9B">
              <w:rPr>
                <w:color w:val="000000"/>
                <w:sz w:val="26"/>
                <w:szCs w:val="26"/>
              </w:rPr>
              <w:t>Pacientu skaits</w:t>
            </w:r>
          </w:p>
        </w:tc>
        <w:tc>
          <w:tcPr>
            <w:tcW w:w="1333" w:type="dxa"/>
            <w:tcBorders>
              <w:top w:val="nil"/>
              <w:left w:val="nil"/>
              <w:bottom w:val="single" w:sz="4" w:space="0" w:color="auto"/>
              <w:right w:val="single" w:sz="4" w:space="0" w:color="auto"/>
            </w:tcBorders>
            <w:shd w:val="clear" w:color="auto" w:fill="auto"/>
            <w:vAlign w:val="center"/>
            <w:hideMark/>
          </w:tcPr>
          <w:p w:rsidR="00A71BB5" w:rsidRPr="00B86E9B" w:rsidRDefault="00A71BB5" w:rsidP="007802C6">
            <w:pPr>
              <w:jc w:val="center"/>
              <w:rPr>
                <w:color w:val="000000"/>
                <w:sz w:val="26"/>
                <w:szCs w:val="26"/>
              </w:rPr>
            </w:pPr>
            <w:r w:rsidRPr="00B86E9B">
              <w:rPr>
                <w:color w:val="000000"/>
                <w:sz w:val="26"/>
                <w:szCs w:val="26"/>
              </w:rPr>
              <w:t>430</w:t>
            </w:r>
          </w:p>
        </w:tc>
        <w:tc>
          <w:tcPr>
            <w:tcW w:w="1374" w:type="dxa"/>
            <w:tcBorders>
              <w:top w:val="nil"/>
              <w:left w:val="nil"/>
              <w:bottom w:val="single" w:sz="4" w:space="0" w:color="auto"/>
              <w:right w:val="single" w:sz="4" w:space="0" w:color="auto"/>
            </w:tcBorders>
            <w:shd w:val="clear" w:color="auto" w:fill="auto"/>
            <w:vAlign w:val="center"/>
            <w:hideMark/>
          </w:tcPr>
          <w:p w:rsidR="00A71BB5" w:rsidRPr="00B86E9B" w:rsidRDefault="00A71BB5" w:rsidP="007802C6">
            <w:pPr>
              <w:jc w:val="center"/>
              <w:rPr>
                <w:sz w:val="26"/>
                <w:szCs w:val="26"/>
              </w:rPr>
            </w:pPr>
            <w:r w:rsidRPr="00B86E9B">
              <w:rPr>
                <w:sz w:val="26"/>
                <w:szCs w:val="26"/>
              </w:rPr>
              <w:t>378</w:t>
            </w:r>
          </w:p>
        </w:tc>
        <w:tc>
          <w:tcPr>
            <w:tcW w:w="1434" w:type="dxa"/>
            <w:tcBorders>
              <w:top w:val="nil"/>
              <w:left w:val="nil"/>
              <w:bottom w:val="single" w:sz="4" w:space="0" w:color="auto"/>
              <w:right w:val="single" w:sz="4" w:space="0" w:color="auto"/>
            </w:tcBorders>
            <w:shd w:val="clear" w:color="auto" w:fill="auto"/>
            <w:vAlign w:val="center"/>
            <w:hideMark/>
          </w:tcPr>
          <w:p w:rsidR="00A71BB5" w:rsidRPr="00B86E9B" w:rsidRDefault="00A71BB5" w:rsidP="007802C6">
            <w:pPr>
              <w:jc w:val="center"/>
              <w:rPr>
                <w:sz w:val="26"/>
                <w:szCs w:val="26"/>
              </w:rPr>
            </w:pPr>
            <w:r w:rsidRPr="00B86E9B">
              <w:rPr>
                <w:sz w:val="26"/>
                <w:szCs w:val="26"/>
              </w:rPr>
              <w:t>437</w:t>
            </w:r>
          </w:p>
        </w:tc>
      </w:tr>
      <w:tr w:rsidR="00A71BB5" w:rsidRPr="00B86E9B" w:rsidTr="00135730">
        <w:trPr>
          <w:trHeight w:val="30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A71BB5" w:rsidRPr="00B86E9B" w:rsidRDefault="00226243" w:rsidP="00A71BB5">
            <w:pPr>
              <w:rPr>
                <w:color w:val="000000"/>
                <w:sz w:val="26"/>
                <w:szCs w:val="26"/>
              </w:rPr>
            </w:pPr>
            <w:r w:rsidRPr="00B86E9B">
              <w:rPr>
                <w:color w:val="000000"/>
                <w:sz w:val="26"/>
                <w:szCs w:val="26"/>
              </w:rPr>
              <w:t>Kopējās izmaksas uz vienu pacientu [LVL]</w:t>
            </w:r>
          </w:p>
        </w:tc>
        <w:tc>
          <w:tcPr>
            <w:tcW w:w="1333" w:type="dxa"/>
            <w:tcBorders>
              <w:top w:val="nil"/>
              <w:left w:val="nil"/>
              <w:bottom w:val="single" w:sz="4" w:space="0" w:color="auto"/>
              <w:right w:val="single" w:sz="4" w:space="0" w:color="auto"/>
            </w:tcBorders>
            <w:shd w:val="clear" w:color="auto" w:fill="auto"/>
            <w:vAlign w:val="center"/>
            <w:hideMark/>
          </w:tcPr>
          <w:p w:rsidR="00A71BB5" w:rsidRPr="00B86E9B" w:rsidRDefault="00A71BB5" w:rsidP="007802C6">
            <w:pPr>
              <w:jc w:val="center"/>
              <w:rPr>
                <w:color w:val="000000"/>
                <w:sz w:val="26"/>
                <w:szCs w:val="26"/>
              </w:rPr>
            </w:pPr>
            <w:r w:rsidRPr="00B86E9B">
              <w:rPr>
                <w:color w:val="000000"/>
                <w:sz w:val="26"/>
                <w:szCs w:val="26"/>
              </w:rPr>
              <w:t>5 031</w:t>
            </w:r>
          </w:p>
        </w:tc>
        <w:tc>
          <w:tcPr>
            <w:tcW w:w="1374" w:type="dxa"/>
            <w:tcBorders>
              <w:top w:val="nil"/>
              <w:left w:val="nil"/>
              <w:bottom w:val="single" w:sz="4" w:space="0" w:color="auto"/>
              <w:right w:val="single" w:sz="4" w:space="0" w:color="auto"/>
            </w:tcBorders>
            <w:shd w:val="clear" w:color="auto" w:fill="auto"/>
            <w:vAlign w:val="center"/>
            <w:hideMark/>
          </w:tcPr>
          <w:p w:rsidR="00A71BB5" w:rsidRPr="00B86E9B" w:rsidRDefault="00A71BB5" w:rsidP="007802C6">
            <w:pPr>
              <w:jc w:val="center"/>
              <w:rPr>
                <w:color w:val="000000"/>
                <w:sz w:val="26"/>
                <w:szCs w:val="26"/>
              </w:rPr>
            </w:pPr>
            <w:r w:rsidRPr="00B86E9B">
              <w:rPr>
                <w:color w:val="000000"/>
                <w:sz w:val="26"/>
                <w:szCs w:val="26"/>
              </w:rPr>
              <w:t>5 849</w:t>
            </w:r>
          </w:p>
        </w:tc>
        <w:tc>
          <w:tcPr>
            <w:tcW w:w="1434" w:type="dxa"/>
            <w:tcBorders>
              <w:top w:val="nil"/>
              <w:left w:val="nil"/>
              <w:bottom w:val="single" w:sz="4" w:space="0" w:color="auto"/>
              <w:right w:val="single" w:sz="4" w:space="0" w:color="auto"/>
            </w:tcBorders>
            <w:shd w:val="clear" w:color="auto" w:fill="auto"/>
            <w:vAlign w:val="center"/>
            <w:hideMark/>
          </w:tcPr>
          <w:p w:rsidR="00A71BB5" w:rsidRPr="00B86E9B" w:rsidRDefault="00A71BB5" w:rsidP="007802C6">
            <w:pPr>
              <w:jc w:val="center"/>
              <w:rPr>
                <w:color w:val="000000"/>
                <w:sz w:val="26"/>
                <w:szCs w:val="26"/>
              </w:rPr>
            </w:pPr>
            <w:r w:rsidRPr="00B86E9B">
              <w:rPr>
                <w:color w:val="000000"/>
                <w:sz w:val="26"/>
                <w:szCs w:val="26"/>
              </w:rPr>
              <w:t>5 211</w:t>
            </w:r>
          </w:p>
        </w:tc>
      </w:tr>
    </w:tbl>
    <w:p w:rsidR="00D87DAC" w:rsidRPr="00B86E9B" w:rsidRDefault="00D87DAC" w:rsidP="00D87DAC">
      <w:pPr>
        <w:pStyle w:val="Virsraksts3"/>
        <w:numPr>
          <w:ilvl w:val="0"/>
          <w:numId w:val="0"/>
        </w:numPr>
        <w:spacing w:before="0" w:after="0"/>
        <w:ind w:firstLine="709"/>
        <w:jc w:val="both"/>
        <w:rPr>
          <w:b w:val="0"/>
          <w:i w:val="0"/>
        </w:rPr>
      </w:pPr>
    </w:p>
    <w:p w:rsidR="00D702FF" w:rsidRPr="00B86E9B" w:rsidRDefault="00D702FF" w:rsidP="00D702FF">
      <w:pPr>
        <w:pStyle w:val="Virsraksts3"/>
        <w:numPr>
          <w:ilvl w:val="0"/>
          <w:numId w:val="0"/>
        </w:numPr>
        <w:spacing w:before="0" w:after="0"/>
        <w:ind w:firstLine="709"/>
        <w:jc w:val="both"/>
        <w:rPr>
          <w:b w:val="0"/>
          <w:i w:val="0"/>
        </w:rPr>
      </w:pPr>
      <w:r w:rsidRPr="00B86E9B">
        <w:rPr>
          <w:b w:val="0"/>
          <w:i w:val="0"/>
        </w:rPr>
        <w:t xml:space="preserve">Izdevumu precēm un pakalpojumiem, salīdzinot ar 2011.gadu, palielinājums galvenokārt skaidrojams </w:t>
      </w:r>
      <w:r w:rsidR="00511A2B" w:rsidRPr="00B86E9B">
        <w:rPr>
          <w:b w:val="0"/>
          <w:i w:val="0"/>
          <w:color w:val="000000"/>
        </w:rPr>
        <w:t>ar Eiropas Reģionālās attīstības fonda ietvaros īstenotās jaunās psihiatrijas nodaļas būvniecību un aprīkošanu, kā rezultātā palielinājusies kopējā slimnīcas telpu platība par 2 095 m</w:t>
      </w:r>
      <w:r w:rsidR="00511A2B" w:rsidRPr="00B86E9B">
        <w:rPr>
          <w:b w:val="0"/>
          <w:i w:val="0"/>
          <w:color w:val="000000"/>
          <w:vertAlign w:val="superscript"/>
        </w:rPr>
        <w:t>2</w:t>
      </w:r>
      <w:r w:rsidR="00511A2B" w:rsidRPr="00B86E9B">
        <w:rPr>
          <w:b w:val="0"/>
          <w:i w:val="0"/>
          <w:color w:val="000000"/>
        </w:rPr>
        <w:t>, un palielinājušies izdevumi iekārtu, inventāra un aparatūras iegādei un uzturēšanai, telpu uzturēšanai un komunālajiem pakalpojumiem.</w:t>
      </w:r>
      <w:r w:rsidR="00511A2B" w:rsidRPr="00B86E9B">
        <w:rPr>
          <w:b w:val="0"/>
          <w:i w:val="0"/>
        </w:rPr>
        <w:t xml:space="preserve"> </w:t>
      </w:r>
      <w:r w:rsidRPr="00B86E9B">
        <w:rPr>
          <w:b w:val="0"/>
          <w:i w:val="0"/>
        </w:rPr>
        <w:t>2012.gadā ir palielinājušies izdevumi medikamentiem un medicīniskiem materiāliem par 11 204 LVL (9,6%), izdevumi elektroenerģijai un apkurei par 12 374 LVL (13,9%), saimniecisko un remonta materiālu izmaksas par 7 420 LVL (21,9%) un izdevumi biroja precēm un mazvērtīgajam inventāram par 42 100 LVL (162,3%).</w:t>
      </w:r>
    </w:p>
    <w:p w:rsidR="00D87DAC" w:rsidRPr="00B86E9B" w:rsidRDefault="00D87DAC" w:rsidP="00D87DAC">
      <w:pPr>
        <w:pStyle w:val="Virsraksts3"/>
        <w:numPr>
          <w:ilvl w:val="0"/>
          <w:numId w:val="0"/>
        </w:numPr>
        <w:spacing w:before="0" w:after="0"/>
        <w:ind w:firstLine="709"/>
        <w:jc w:val="both"/>
        <w:rPr>
          <w:b w:val="0"/>
          <w:i w:val="0"/>
        </w:rPr>
      </w:pPr>
      <w:r w:rsidRPr="00B86E9B">
        <w:rPr>
          <w:b w:val="0"/>
          <w:i w:val="0"/>
        </w:rPr>
        <w:t>Aknīstes PNS</w:t>
      </w:r>
      <w:r w:rsidRPr="00B86E9B">
        <w:rPr>
          <w:rStyle w:val="Izteiksmgs"/>
        </w:rPr>
        <w:t xml:space="preserve"> </w:t>
      </w:r>
      <w:r w:rsidRPr="00B86E9B">
        <w:rPr>
          <w:b w:val="0"/>
          <w:i w:val="0"/>
        </w:rPr>
        <w:t xml:space="preserve">naudas līdzekļu atlikums uz 31.12.2012. bija  </w:t>
      </w:r>
      <w:r w:rsidR="0056755B" w:rsidRPr="00B86E9B">
        <w:rPr>
          <w:b w:val="0"/>
          <w:i w:val="0"/>
        </w:rPr>
        <w:t>1 129 332 </w:t>
      </w:r>
      <w:r w:rsidRPr="00B86E9B">
        <w:rPr>
          <w:b w:val="0"/>
          <w:i w:val="0"/>
        </w:rPr>
        <w:t xml:space="preserve">LVL, </w:t>
      </w:r>
      <w:r w:rsidR="0056755B" w:rsidRPr="00B86E9B">
        <w:rPr>
          <w:b w:val="0"/>
          <w:i w:val="0"/>
        </w:rPr>
        <w:t>tajā skaitā valsts galvotā</w:t>
      </w:r>
      <w:r w:rsidRPr="00B86E9B">
        <w:rPr>
          <w:b w:val="0"/>
          <w:i w:val="0"/>
        </w:rPr>
        <w:t xml:space="preserve"> aizdevum</w:t>
      </w:r>
      <w:r w:rsidR="0056755B" w:rsidRPr="00B86E9B">
        <w:rPr>
          <w:b w:val="0"/>
          <w:i w:val="0"/>
        </w:rPr>
        <w:t>a līdzekļi</w:t>
      </w:r>
      <w:r w:rsidRPr="00B86E9B">
        <w:rPr>
          <w:b w:val="0"/>
          <w:i w:val="0"/>
        </w:rPr>
        <w:t xml:space="preserve"> 312 557 LVL, pašu līdzekļi 39 314 LVL apmērā, valsts budžeta līdzekļi 549 004 LVL un pacientu personīgie līdzekļi 228 457 LVL apmērā. VSIA „Aknīstes psihoneiroloģiskā s</w:t>
      </w:r>
      <w:r w:rsidRPr="00B86E9B">
        <w:rPr>
          <w:rStyle w:val="Izteiksmgs"/>
        </w:rPr>
        <w:t xml:space="preserve">limnīca” </w:t>
      </w:r>
      <w:r w:rsidRPr="00B86E9B">
        <w:rPr>
          <w:b w:val="0"/>
          <w:i w:val="0"/>
        </w:rPr>
        <w:t>atlikuma apmērs 2012.gadā salīdzinājumā ar 2012.gada plānu ir palielinājies par  596 932 LVL (112,1%).</w:t>
      </w:r>
    </w:p>
    <w:p w:rsidR="00135730" w:rsidRPr="00135730" w:rsidRDefault="00135730">
      <w:pPr>
        <w:spacing w:after="200" w:line="276" w:lineRule="auto"/>
        <w:rPr>
          <w:sz w:val="28"/>
          <w:szCs w:val="28"/>
        </w:rPr>
      </w:pPr>
    </w:p>
    <w:p w:rsidR="00D87DAC" w:rsidRPr="00B86E9B" w:rsidRDefault="00D87DAC" w:rsidP="00D87DAC">
      <w:pPr>
        <w:tabs>
          <w:tab w:val="left" w:pos="851"/>
        </w:tabs>
        <w:jc w:val="right"/>
        <w:rPr>
          <w:sz w:val="28"/>
          <w:szCs w:val="28"/>
        </w:rPr>
      </w:pPr>
      <w:r w:rsidRPr="00B86E9B">
        <w:rPr>
          <w:i/>
          <w:sz w:val="28"/>
          <w:szCs w:val="28"/>
        </w:rPr>
        <w:t>Tabula Nr.27: Aknīstes PNS finanšu rādītāji 2012.gadā [LVL]</w:t>
      </w:r>
    </w:p>
    <w:tbl>
      <w:tblPr>
        <w:tblStyle w:val="Reatabula"/>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755"/>
        <w:gridCol w:w="1677"/>
        <w:gridCol w:w="1694"/>
        <w:gridCol w:w="1753"/>
      </w:tblGrid>
      <w:tr w:rsidR="00D87DAC" w:rsidRPr="00B86E9B" w:rsidTr="00E958A1">
        <w:trPr>
          <w:jc w:val="center"/>
        </w:trPr>
        <w:tc>
          <w:tcPr>
            <w:tcW w:w="2160" w:type="dxa"/>
            <w:shd w:val="clear" w:color="auto" w:fill="D9D9D9" w:themeFill="background1" w:themeFillShade="D9"/>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Rādītāji</w:t>
            </w:r>
          </w:p>
        </w:tc>
        <w:tc>
          <w:tcPr>
            <w:tcW w:w="1800" w:type="dxa"/>
            <w:shd w:val="clear" w:color="auto" w:fill="D9D9D9" w:themeFill="background1" w:themeFillShade="D9"/>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Plānotie</w:t>
            </w:r>
          </w:p>
        </w:tc>
        <w:tc>
          <w:tcPr>
            <w:tcW w:w="1710" w:type="dxa"/>
            <w:shd w:val="clear" w:color="auto" w:fill="D9D9D9" w:themeFill="background1" w:themeFillShade="D9"/>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Faktiskie</w:t>
            </w:r>
          </w:p>
        </w:tc>
        <w:tc>
          <w:tcPr>
            <w:tcW w:w="1729" w:type="dxa"/>
            <w:shd w:val="clear" w:color="auto" w:fill="D9D9D9" w:themeFill="background1" w:themeFillShade="D9"/>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skaitliski</w:t>
            </w:r>
          </w:p>
        </w:tc>
        <w:tc>
          <w:tcPr>
            <w:tcW w:w="1777" w:type="dxa"/>
            <w:shd w:val="clear" w:color="auto" w:fill="D9D9D9" w:themeFill="background1" w:themeFillShade="D9"/>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procentuāli</w:t>
            </w:r>
          </w:p>
        </w:tc>
      </w:tr>
      <w:tr w:rsidR="00D87DAC" w:rsidRPr="00B86E9B" w:rsidTr="00A71BB5">
        <w:trPr>
          <w:jc w:val="center"/>
        </w:trPr>
        <w:tc>
          <w:tcPr>
            <w:tcW w:w="216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ieņēmumi</w:t>
            </w:r>
          </w:p>
        </w:tc>
        <w:tc>
          <w:tcPr>
            <w:tcW w:w="1800" w:type="dxa"/>
            <w:vAlign w:val="center"/>
          </w:tcPr>
          <w:p w:rsidR="00D87DAC" w:rsidRPr="00B86E9B" w:rsidRDefault="00D87DAC" w:rsidP="00A71BB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2 044 143</w:t>
            </w:r>
          </w:p>
        </w:tc>
        <w:tc>
          <w:tcPr>
            <w:tcW w:w="1710" w:type="dxa"/>
            <w:vAlign w:val="center"/>
          </w:tcPr>
          <w:p w:rsidR="00D87DAC" w:rsidRPr="00B86E9B" w:rsidRDefault="00D87DAC" w:rsidP="00A71BB5">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2 076 119</w:t>
            </w:r>
          </w:p>
        </w:tc>
        <w:tc>
          <w:tcPr>
            <w:tcW w:w="1729"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+31 976</w:t>
            </w:r>
          </w:p>
        </w:tc>
        <w:tc>
          <w:tcPr>
            <w:tcW w:w="1777"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+1,6%</w:t>
            </w:r>
          </w:p>
        </w:tc>
      </w:tr>
      <w:tr w:rsidR="00D87DAC" w:rsidRPr="00B86E9B" w:rsidTr="00E958A1">
        <w:trPr>
          <w:jc w:val="center"/>
        </w:trPr>
        <w:tc>
          <w:tcPr>
            <w:tcW w:w="216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izdevumi</w:t>
            </w:r>
          </w:p>
        </w:tc>
        <w:tc>
          <w:tcPr>
            <w:tcW w:w="1800" w:type="dxa"/>
            <w:vAlign w:val="bottom"/>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2 211 000</w:t>
            </w:r>
          </w:p>
        </w:tc>
        <w:tc>
          <w:tcPr>
            <w:tcW w:w="1710" w:type="dxa"/>
            <w:vAlign w:val="bottom"/>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2 277 359</w:t>
            </w:r>
          </w:p>
        </w:tc>
        <w:tc>
          <w:tcPr>
            <w:tcW w:w="1729" w:type="dxa"/>
            <w:vAlign w:val="center"/>
          </w:tcPr>
          <w:p w:rsidR="00D87DAC" w:rsidRPr="00B86E9B" w:rsidRDefault="00D87DAC" w:rsidP="00E958A1">
            <w:pPr>
              <w:pStyle w:val="Sarakstarindkopa"/>
              <w:spacing w:after="0" w:line="240" w:lineRule="auto"/>
              <w:ind w:left="-80"/>
              <w:jc w:val="center"/>
              <w:rPr>
                <w:rFonts w:ascii="Times New Roman" w:hAnsi="Times New Roman"/>
                <w:sz w:val="26"/>
                <w:szCs w:val="26"/>
              </w:rPr>
            </w:pPr>
            <w:r w:rsidRPr="00B86E9B">
              <w:rPr>
                <w:rFonts w:ascii="Times New Roman" w:hAnsi="Times New Roman"/>
                <w:sz w:val="26"/>
                <w:szCs w:val="26"/>
              </w:rPr>
              <w:t>+66 359</w:t>
            </w:r>
          </w:p>
        </w:tc>
        <w:tc>
          <w:tcPr>
            <w:tcW w:w="1777"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+3,0 %</w:t>
            </w:r>
          </w:p>
        </w:tc>
      </w:tr>
      <w:tr w:rsidR="00D87DAC" w:rsidRPr="00B86E9B" w:rsidTr="00E958A1">
        <w:trPr>
          <w:jc w:val="center"/>
        </w:trPr>
        <w:tc>
          <w:tcPr>
            <w:tcW w:w="216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Nolietojums</w:t>
            </w:r>
          </w:p>
        </w:tc>
        <w:tc>
          <w:tcPr>
            <w:tcW w:w="180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224 327</w:t>
            </w:r>
          </w:p>
        </w:tc>
        <w:tc>
          <w:tcPr>
            <w:tcW w:w="171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229 329</w:t>
            </w:r>
          </w:p>
        </w:tc>
        <w:tc>
          <w:tcPr>
            <w:tcW w:w="1729"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+5 002</w:t>
            </w:r>
          </w:p>
        </w:tc>
        <w:tc>
          <w:tcPr>
            <w:tcW w:w="1777" w:type="dxa"/>
            <w:vAlign w:val="center"/>
          </w:tcPr>
          <w:p w:rsidR="00D87DAC" w:rsidRPr="00B86E9B" w:rsidRDefault="00D87DAC" w:rsidP="00E958A1">
            <w:pPr>
              <w:jc w:val="center"/>
              <w:rPr>
                <w:sz w:val="26"/>
                <w:szCs w:val="26"/>
              </w:rPr>
            </w:pPr>
            <w:r w:rsidRPr="00B86E9B">
              <w:rPr>
                <w:sz w:val="26"/>
                <w:szCs w:val="26"/>
              </w:rPr>
              <w:t>+2,2 %</w:t>
            </w:r>
          </w:p>
        </w:tc>
      </w:tr>
      <w:tr w:rsidR="00D87DAC" w:rsidRPr="00B86E9B" w:rsidTr="00E958A1">
        <w:trPr>
          <w:jc w:val="center"/>
        </w:trPr>
        <w:tc>
          <w:tcPr>
            <w:tcW w:w="216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Zaudējumi</w:t>
            </w:r>
          </w:p>
        </w:tc>
        <w:tc>
          <w:tcPr>
            <w:tcW w:w="180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-166 857</w:t>
            </w:r>
          </w:p>
        </w:tc>
        <w:tc>
          <w:tcPr>
            <w:tcW w:w="1710"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-201 240</w:t>
            </w:r>
          </w:p>
        </w:tc>
        <w:tc>
          <w:tcPr>
            <w:tcW w:w="1729" w:type="dxa"/>
            <w:vAlign w:val="center"/>
          </w:tcPr>
          <w:p w:rsidR="00D87DAC" w:rsidRPr="00B86E9B" w:rsidRDefault="00D87DA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-34 383</w:t>
            </w:r>
          </w:p>
        </w:tc>
        <w:tc>
          <w:tcPr>
            <w:tcW w:w="1777" w:type="dxa"/>
            <w:vAlign w:val="center"/>
          </w:tcPr>
          <w:p w:rsidR="00D87DAC" w:rsidRPr="00B86E9B" w:rsidRDefault="00D87DAC" w:rsidP="00E958A1">
            <w:pPr>
              <w:jc w:val="center"/>
              <w:rPr>
                <w:sz w:val="26"/>
                <w:szCs w:val="26"/>
              </w:rPr>
            </w:pPr>
            <w:r w:rsidRPr="00B86E9B">
              <w:rPr>
                <w:sz w:val="26"/>
                <w:szCs w:val="26"/>
              </w:rPr>
              <w:t>-20,6%</w:t>
            </w:r>
          </w:p>
        </w:tc>
      </w:tr>
    </w:tbl>
    <w:p w:rsidR="00D87DAC" w:rsidRPr="00B86E9B" w:rsidRDefault="00D87DAC" w:rsidP="00D87DAC">
      <w:pPr>
        <w:rPr>
          <w:sz w:val="28"/>
          <w:szCs w:val="28"/>
        </w:rPr>
      </w:pPr>
    </w:p>
    <w:p w:rsidR="00D87DAC" w:rsidRPr="00B86E9B" w:rsidRDefault="007E24F5" w:rsidP="007314C3">
      <w:pPr>
        <w:ind w:firstLine="709"/>
        <w:jc w:val="both"/>
        <w:rPr>
          <w:sz w:val="28"/>
          <w:szCs w:val="28"/>
        </w:rPr>
      </w:pPr>
      <w:r w:rsidRPr="00B86E9B">
        <w:rPr>
          <w:sz w:val="28"/>
          <w:szCs w:val="28"/>
        </w:rPr>
        <w:lastRenderedPageBreak/>
        <w:t>Aknīstes PNS 2012.gadā</w:t>
      </w:r>
      <w:r w:rsidR="00D87DAC" w:rsidRPr="00B86E9B">
        <w:rPr>
          <w:sz w:val="28"/>
          <w:szCs w:val="28"/>
        </w:rPr>
        <w:t xml:space="preserve"> zaudējumi</w:t>
      </w:r>
      <w:r w:rsidR="007314C3" w:rsidRPr="00B86E9B">
        <w:rPr>
          <w:sz w:val="28"/>
          <w:szCs w:val="28"/>
        </w:rPr>
        <w:t xml:space="preserve"> bija plānoti, pamatojoties uz to, ka faktiskie izdevumi par sniegtajiem veselības aprūpes pakalpojumiem ir augstāki nekā Ministru kabineta 2006.gada 19.decembra noteikumos Nr.1046 „Veselības aprūpes organizēšanas un finansēšanas kārtība” atsevišķām veselības aprūpes programmām un pakalpojumiem noteiktie tarifi, jo valsts budžeta ierobežoto iespēju dēļ jau ilgstoši tarifi nav aktualizēti, lai iekļautu pakalpojumu sniegšanai nepieciešamo resursu sadārdzināšanos.</w:t>
      </w:r>
      <w:r w:rsidR="00D87DAC" w:rsidRPr="00B86E9B">
        <w:rPr>
          <w:sz w:val="28"/>
          <w:szCs w:val="28"/>
        </w:rPr>
        <w:t xml:space="preserve"> Zaudējumi, salīdzinot ar 2012.gada plānu, ir palielinājušies par 34 383 LVL (20,6%), un tas ir skaidrojams ar to, ka 2012.gadā pieauga slimnīcas </w:t>
      </w:r>
      <w:r w:rsidR="00D87DAC" w:rsidRPr="00B86E9B">
        <w:rPr>
          <w:color w:val="000000"/>
          <w:sz w:val="28"/>
          <w:szCs w:val="28"/>
        </w:rPr>
        <w:t>infrastruktūras uzturēšanas izmaksas. 2012.gadā tika aprīkota  jaunā psihiatrijas nodaļa, veikti kosmētiskie remontdarbi slimnīcas nodaļās, lai uzlabotu un uzturētu nodaļu iekšējo pozitīvo terapeitisko vidi, kā arī veikta slimn</w:t>
      </w:r>
      <w:r w:rsidR="00B45F5B" w:rsidRPr="00B86E9B">
        <w:rPr>
          <w:color w:val="000000"/>
          <w:sz w:val="28"/>
          <w:szCs w:val="28"/>
        </w:rPr>
        <w:t>īcas teritorijas labiekārtošana</w:t>
      </w:r>
      <w:r w:rsidR="00D87DAC" w:rsidRPr="00B86E9B">
        <w:rPr>
          <w:color w:val="000000"/>
          <w:sz w:val="28"/>
          <w:szCs w:val="28"/>
        </w:rPr>
        <w:t>.</w:t>
      </w:r>
    </w:p>
    <w:p w:rsidR="00027D4C" w:rsidRPr="00B86E9B" w:rsidRDefault="00D87DAC" w:rsidP="00D87DAC">
      <w:pPr>
        <w:ind w:firstLine="720"/>
        <w:jc w:val="both"/>
        <w:rPr>
          <w:sz w:val="28"/>
          <w:szCs w:val="28"/>
        </w:rPr>
      </w:pPr>
      <w:r w:rsidRPr="00B86E9B">
        <w:rPr>
          <w:sz w:val="28"/>
          <w:szCs w:val="28"/>
          <w:lang w:eastAsia="lv-LV"/>
        </w:rPr>
        <w:t>Ņemot vērā 2013.gada beigās papildus piešķirto valsts budžeta finansējumu veselības aprūpes pakalpojumu pieejamības uzlabošanai 4 633 448 LVL apmērā (Ministru kabineta 2013.gada 4.oktobra rīkojums Nr.459) un stacionāro ārstniecības iestāžu infrastruktūra</w:t>
      </w:r>
      <w:r w:rsidR="002F6980" w:rsidRPr="00B86E9B">
        <w:rPr>
          <w:sz w:val="28"/>
          <w:szCs w:val="28"/>
          <w:lang w:eastAsia="lv-LV"/>
        </w:rPr>
        <w:t xml:space="preserve">s uzturēšanas izdevumu </w:t>
      </w:r>
      <w:r w:rsidRPr="00B86E9B">
        <w:rPr>
          <w:sz w:val="28"/>
          <w:szCs w:val="28"/>
          <w:lang w:eastAsia="lv-LV"/>
        </w:rPr>
        <w:t>segšanai 5 332 132 LVL apmērā (Ministru kabineta 2013.gada 20.decembra rīkojums Nr.674) plānojams, ka 2013.gadā Aknīstes PNS finansiālā situācija uzlabosies.</w:t>
      </w:r>
    </w:p>
    <w:p w:rsidR="00B6045C" w:rsidRPr="00B86E9B" w:rsidRDefault="00B6045C" w:rsidP="00B6045C">
      <w:pPr>
        <w:ind w:firstLine="720"/>
        <w:jc w:val="both"/>
        <w:rPr>
          <w:sz w:val="28"/>
          <w:szCs w:val="28"/>
        </w:rPr>
      </w:pPr>
      <w:r w:rsidRPr="00B86E9B">
        <w:rPr>
          <w:sz w:val="28"/>
          <w:szCs w:val="28"/>
        </w:rPr>
        <w:t xml:space="preserve">Aknīstes PNS veikusi virkni pasākumu tās attīstībai, darba efektivitātes palielināšanai, kā arī zaudējuma apmērā samazināšanai: </w:t>
      </w:r>
    </w:p>
    <w:p w:rsidR="00B6045C" w:rsidRPr="00B86E9B" w:rsidRDefault="00B6045C" w:rsidP="00A47820">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Izveidojusi sabalansētu 2013.gada budžetu, kas saskaņā ar operatīvo informāciju tiek sekmīgi īstenots.</w:t>
      </w:r>
    </w:p>
    <w:p w:rsidR="00B6045C" w:rsidRPr="00B86E9B" w:rsidRDefault="00B6045C" w:rsidP="00A47820">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Salīdzinot ar 2012.gadu, optimizējusi preču un pakalpojumu izdevumus (remontdarbiem un iestāžu uzturēšanas pakalpojumiem, biroja precēm un inventāram, kārtējiem remonta un iestāžu uzturēšanas materiāliem). Prognozētais efekts 2013.gadā 14 826 LVL. </w:t>
      </w:r>
    </w:p>
    <w:p w:rsidR="00B6045C" w:rsidRPr="00B86E9B" w:rsidRDefault="00B6045C" w:rsidP="00A47820">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Pārskatījusi pamatlīdzekļu nolietojuma amortizācijas normas, atbilstoši Veselības ministrijas rekomendācijām. Prognozējamais efekts 2013.gadā 960 LVL.</w:t>
      </w:r>
    </w:p>
    <w:p w:rsidR="00003A4E" w:rsidRPr="00B86E9B" w:rsidRDefault="00003A4E" w:rsidP="007A376B">
      <w:pPr>
        <w:rPr>
          <w:sz w:val="28"/>
          <w:szCs w:val="28"/>
        </w:rPr>
      </w:pPr>
    </w:p>
    <w:p w:rsidR="00EC3D8D" w:rsidRPr="00B86E9B" w:rsidRDefault="00EC3D8D" w:rsidP="00EC3D8D">
      <w:pPr>
        <w:pStyle w:val="Virsraksts3"/>
        <w:numPr>
          <w:ilvl w:val="2"/>
          <w:numId w:val="7"/>
        </w:numPr>
        <w:spacing w:before="0" w:after="0"/>
        <w:ind w:left="1418"/>
      </w:pPr>
      <w:r w:rsidRPr="00B86E9B">
        <w:t>Nākotnes attīstības plāni, kas nodrošinās stabilu un sekmīgu Aknīstes PNS turpmāko darbību</w:t>
      </w:r>
    </w:p>
    <w:p w:rsidR="00EC3D8D" w:rsidRPr="00B86E9B" w:rsidRDefault="00EC3D8D" w:rsidP="007A376B">
      <w:pPr>
        <w:rPr>
          <w:sz w:val="28"/>
          <w:szCs w:val="28"/>
        </w:rPr>
      </w:pPr>
    </w:p>
    <w:p w:rsidR="00CE1D3F" w:rsidRPr="00B86E9B" w:rsidRDefault="00CE1D3F" w:rsidP="00CE1D3F">
      <w:pPr>
        <w:ind w:firstLine="709"/>
        <w:jc w:val="both"/>
        <w:rPr>
          <w:rStyle w:val="Izteiksmgs"/>
          <w:b w:val="0"/>
          <w:sz w:val="28"/>
          <w:szCs w:val="28"/>
        </w:rPr>
      </w:pPr>
      <w:r w:rsidRPr="00B86E9B">
        <w:rPr>
          <w:rStyle w:val="Izteiksmgs"/>
          <w:b w:val="0"/>
          <w:sz w:val="28"/>
          <w:szCs w:val="28"/>
        </w:rPr>
        <w:t>Saskaņā ar nākotnes attīstības plāniem Aknīstes PNS:</w:t>
      </w:r>
    </w:p>
    <w:p w:rsidR="00CE1D3F" w:rsidRPr="00B86E9B" w:rsidRDefault="00CE1D3F" w:rsidP="00CE1D3F">
      <w:pPr>
        <w:pStyle w:val="Sarakstarindkopa"/>
        <w:numPr>
          <w:ilvl w:val="0"/>
          <w:numId w:val="31"/>
        </w:numPr>
        <w:spacing w:after="0" w:line="240" w:lineRule="auto"/>
        <w:jc w:val="both"/>
        <w:rPr>
          <w:rFonts w:ascii="Times New Roman" w:hAnsi="Times New Roman"/>
          <w:sz w:val="28"/>
          <w:szCs w:val="28"/>
        </w:rPr>
      </w:pPr>
      <w:r w:rsidRPr="00B86E9B">
        <w:rPr>
          <w:rStyle w:val="Izteiksmgs"/>
          <w:rFonts w:ascii="Times New Roman" w:hAnsi="Times New Roman"/>
          <w:b w:val="0"/>
          <w:sz w:val="28"/>
          <w:szCs w:val="28"/>
        </w:rPr>
        <w:t>T</w:t>
      </w:r>
      <w:r w:rsidRPr="00B86E9B">
        <w:rPr>
          <w:rFonts w:ascii="Times New Roman" w:hAnsi="Times New Roman"/>
          <w:sz w:val="28"/>
          <w:szCs w:val="28"/>
        </w:rPr>
        <w:t xml:space="preserve">urpinās uzlabot stacionārās palīdzības sniegšanas kvalitāti, veidojot </w:t>
      </w:r>
      <w:proofErr w:type="spellStart"/>
      <w:r w:rsidRPr="00B86E9B">
        <w:rPr>
          <w:rFonts w:ascii="Times New Roman" w:hAnsi="Times New Roman"/>
          <w:sz w:val="28"/>
          <w:szCs w:val="28"/>
        </w:rPr>
        <w:t>multidisciplināru</w:t>
      </w:r>
      <w:proofErr w:type="spellEnd"/>
      <w:r w:rsidRPr="00B86E9B">
        <w:rPr>
          <w:rFonts w:ascii="Times New Roman" w:hAnsi="Times New Roman"/>
          <w:sz w:val="28"/>
          <w:szCs w:val="28"/>
        </w:rPr>
        <w:t xml:space="preserve"> komandu, koncentrējoties uz izmaksu samazināšanu un jauniem finansējuma avotiem.</w:t>
      </w:r>
    </w:p>
    <w:p w:rsidR="00135CA6" w:rsidRPr="00B86E9B" w:rsidRDefault="00CE1D3F" w:rsidP="00CE1D3F">
      <w:pPr>
        <w:numPr>
          <w:ilvl w:val="0"/>
          <w:numId w:val="31"/>
        </w:numPr>
        <w:ind w:right="-119"/>
        <w:jc w:val="both"/>
        <w:rPr>
          <w:sz w:val="28"/>
          <w:szCs w:val="28"/>
        </w:rPr>
      </w:pPr>
      <w:r w:rsidRPr="00B86E9B">
        <w:rPr>
          <w:sz w:val="28"/>
          <w:szCs w:val="28"/>
        </w:rPr>
        <w:t xml:space="preserve">Sekmēs starpinstitūciju un starpnozaru sadarbību garīgās veselības aprūpes jomā (primārās aprūpes speciālisti, sociālie dienesti, izglītības iestādes, tiesībsargājošās institūcijas, citi speciālisti), izvērtējot papildu finanšu līdzekļu piesaisti ilgstoši ārstēto pacientu nodrošināšanai un sabiedrības iesaistīšanai garīgās veselības aprūpes nodrošināšanā un uzlabošanā. </w:t>
      </w:r>
    </w:p>
    <w:p w:rsidR="00EC3D8D" w:rsidRPr="00B86E9B" w:rsidRDefault="00CE1D3F" w:rsidP="00CE1D3F">
      <w:pPr>
        <w:numPr>
          <w:ilvl w:val="0"/>
          <w:numId w:val="31"/>
        </w:numPr>
        <w:ind w:right="-119"/>
        <w:jc w:val="both"/>
        <w:rPr>
          <w:sz w:val="28"/>
          <w:szCs w:val="28"/>
        </w:rPr>
      </w:pPr>
      <w:r w:rsidRPr="00B86E9B">
        <w:rPr>
          <w:sz w:val="28"/>
          <w:szCs w:val="28"/>
        </w:rPr>
        <w:t>Turpinās efektīvi apsaimniekot esošās ēkas un teritoriju.</w:t>
      </w:r>
    </w:p>
    <w:p w:rsidR="004A7D92" w:rsidRPr="00B86E9B" w:rsidRDefault="004A7D92" w:rsidP="004A7D92">
      <w:pPr>
        <w:ind w:right="-119"/>
        <w:jc w:val="both"/>
        <w:rPr>
          <w:sz w:val="28"/>
          <w:szCs w:val="28"/>
        </w:rPr>
      </w:pPr>
    </w:p>
    <w:p w:rsidR="004A7D92" w:rsidRPr="00B86E9B" w:rsidRDefault="004A7D92" w:rsidP="00E30119">
      <w:pPr>
        <w:pStyle w:val="Virsraksts2"/>
        <w:numPr>
          <w:ilvl w:val="1"/>
          <w:numId w:val="7"/>
        </w:numPr>
        <w:spacing w:before="0" w:after="0"/>
      </w:pPr>
      <w:r w:rsidRPr="00B86E9B">
        <w:t>VSIA „</w:t>
      </w:r>
      <w:r w:rsidR="00E30119" w:rsidRPr="00B86E9B">
        <w:t>Bērnu psihoneiroloģiskā slimnīca „Ainaži”</w:t>
      </w:r>
      <w:r w:rsidRPr="00B86E9B">
        <w:t>”</w:t>
      </w:r>
    </w:p>
    <w:p w:rsidR="004A7D92" w:rsidRPr="00B86E9B" w:rsidRDefault="004A7D92" w:rsidP="004A7D92">
      <w:pPr>
        <w:ind w:right="-119"/>
        <w:jc w:val="both"/>
        <w:rPr>
          <w:sz w:val="28"/>
          <w:szCs w:val="28"/>
        </w:rPr>
      </w:pPr>
    </w:p>
    <w:p w:rsidR="00580D3D" w:rsidRPr="00B86E9B" w:rsidRDefault="00580D3D" w:rsidP="00580D3D">
      <w:pPr>
        <w:pStyle w:val="Virsraksts3"/>
        <w:numPr>
          <w:ilvl w:val="2"/>
          <w:numId w:val="7"/>
        </w:numPr>
        <w:spacing w:before="0" w:after="0"/>
        <w:ind w:left="1418"/>
      </w:pPr>
      <w:r w:rsidRPr="00B86E9B">
        <w:t>Vispārēja informācija</w:t>
      </w:r>
    </w:p>
    <w:p w:rsidR="003E5217" w:rsidRPr="00B86E9B" w:rsidRDefault="003E5217" w:rsidP="004A7D92">
      <w:pPr>
        <w:ind w:right="-119"/>
        <w:jc w:val="both"/>
        <w:rPr>
          <w:sz w:val="28"/>
          <w:szCs w:val="28"/>
        </w:rPr>
      </w:pPr>
    </w:p>
    <w:p w:rsidR="003E5217" w:rsidRPr="00B86E9B" w:rsidRDefault="00CD20E6" w:rsidP="00425672">
      <w:pPr>
        <w:ind w:right="-119" w:firstLine="698"/>
        <w:jc w:val="both"/>
        <w:rPr>
          <w:rStyle w:val="Izteiksmgs"/>
          <w:b w:val="0"/>
          <w:sz w:val="28"/>
          <w:szCs w:val="28"/>
        </w:rPr>
      </w:pPr>
      <w:r w:rsidRPr="00B86E9B">
        <w:rPr>
          <w:rStyle w:val="Izteiksmgs"/>
          <w:b w:val="0"/>
          <w:sz w:val="28"/>
          <w:szCs w:val="28"/>
        </w:rPr>
        <w:t>VSIA</w:t>
      </w:r>
      <w:r w:rsidR="00E43778" w:rsidRPr="00B86E9B">
        <w:rPr>
          <w:rStyle w:val="Izteiksmgs"/>
          <w:sz w:val="28"/>
          <w:szCs w:val="28"/>
        </w:rPr>
        <w:t xml:space="preserve"> </w:t>
      </w:r>
      <w:r w:rsidR="00E43778" w:rsidRPr="00B86E9B">
        <w:rPr>
          <w:sz w:val="28"/>
          <w:szCs w:val="28"/>
        </w:rPr>
        <w:t>„Bērnu psihoneiroloģiskā slimnīca „Ain</w:t>
      </w:r>
      <w:r w:rsidR="00F72BE3" w:rsidRPr="00B86E9B">
        <w:rPr>
          <w:sz w:val="28"/>
          <w:szCs w:val="28"/>
        </w:rPr>
        <w:t>aži”” (turpmāk –  BPNS „Ainaži”</w:t>
      </w:r>
      <w:r w:rsidR="00E43778" w:rsidRPr="00B86E9B">
        <w:rPr>
          <w:sz w:val="28"/>
          <w:szCs w:val="28"/>
        </w:rPr>
        <w:t>) ir vienīgais specializētais stacionārs valstī, kurš sniedz kvalificētu un profesionālu psihiatrisko palīdzību bērniem un pusaudžiem ar ieilgušiem psihiskiem traucējumiem un saslimšanām. BPNS „Ainaži” nodrošina</w:t>
      </w:r>
      <w:r w:rsidR="00E43778" w:rsidRPr="00B86E9B">
        <w:rPr>
          <w:b/>
          <w:sz w:val="28"/>
          <w:szCs w:val="28"/>
        </w:rPr>
        <w:t xml:space="preserve"> </w:t>
      </w:r>
      <w:r w:rsidR="00E43778" w:rsidRPr="00B86E9B">
        <w:rPr>
          <w:rStyle w:val="Izteiksmgs"/>
          <w:b w:val="0"/>
          <w:sz w:val="28"/>
          <w:szCs w:val="28"/>
        </w:rPr>
        <w:t xml:space="preserve">sekundārās ambulatorās rehabilitācijas pakalpojumu sniegšanu Vidzemes reģionā klientiem bez vecuma ierobežojuma ar psihiskiem un </w:t>
      </w:r>
      <w:proofErr w:type="spellStart"/>
      <w:r w:rsidR="00E43778" w:rsidRPr="00B86E9B">
        <w:rPr>
          <w:rStyle w:val="Izteiksmgs"/>
          <w:b w:val="0"/>
          <w:sz w:val="28"/>
          <w:szCs w:val="28"/>
        </w:rPr>
        <w:t>somatiskiem</w:t>
      </w:r>
      <w:proofErr w:type="spellEnd"/>
      <w:r w:rsidR="00E43778" w:rsidRPr="00B86E9B">
        <w:rPr>
          <w:rStyle w:val="Izteiksmgs"/>
          <w:b w:val="0"/>
          <w:sz w:val="28"/>
          <w:szCs w:val="28"/>
        </w:rPr>
        <w:t xml:space="preserve"> traucējumiem.</w:t>
      </w:r>
    </w:p>
    <w:p w:rsidR="007B05DC" w:rsidRPr="00B86E9B" w:rsidRDefault="007B05DC" w:rsidP="00425672">
      <w:pPr>
        <w:ind w:right="-119" w:firstLine="698"/>
        <w:jc w:val="both"/>
        <w:rPr>
          <w:rStyle w:val="Izteiksmgs"/>
          <w:b w:val="0"/>
          <w:sz w:val="28"/>
          <w:szCs w:val="28"/>
        </w:rPr>
      </w:pPr>
    </w:p>
    <w:p w:rsidR="001163A2" w:rsidRPr="00B86E9B" w:rsidRDefault="001163A2" w:rsidP="001163A2">
      <w:pPr>
        <w:pStyle w:val="Virsraksts3"/>
        <w:numPr>
          <w:ilvl w:val="2"/>
          <w:numId w:val="7"/>
        </w:numPr>
        <w:spacing w:before="0" w:after="0"/>
        <w:ind w:left="1418"/>
      </w:pPr>
      <w:r w:rsidRPr="00B86E9B">
        <w:t>Saimnieciskās darbības analīze</w:t>
      </w:r>
    </w:p>
    <w:p w:rsidR="007B05DC" w:rsidRPr="00B86E9B" w:rsidRDefault="007B05DC" w:rsidP="00425672">
      <w:pPr>
        <w:ind w:right="-119" w:firstLine="698"/>
        <w:jc w:val="both"/>
        <w:rPr>
          <w:rStyle w:val="Izteiksmgs"/>
          <w:b w:val="0"/>
          <w:sz w:val="28"/>
          <w:szCs w:val="28"/>
        </w:rPr>
      </w:pPr>
    </w:p>
    <w:p w:rsidR="00B5525C" w:rsidRPr="00B86E9B" w:rsidRDefault="00F72BE3" w:rsidP="005F686B">
      <w:pPr>
        <w:ind w:firstLine="720"/>
        <w:jc w:val="both"/>
        <w:rPr>
          <w:sz w:val="28"/>
          <w:szCs w:val="28"/>
        </w:rPr>
      </w:pPr>
      <w:r w:rsidRPr="00B86E9B">
        <w:rPr>
          <w:sz w:val="28"/>
          <w:szCs w:val="28"/>
        </w:rPr>
        <w:t>BPNS „Ainaži”</w:t>
      </w:r>
      <w:r w:rsidR="00B5525C" w:rsidRPr="00B86E9B">
        <w:rPr>
          <w:sz w:val="28"/>
          <w:szCs w:val="28"/>
        </w:rPr>
        <w:t xml:space="preserve"> galveno finanšu rādītāju tendences 2012.gadā salīdzinot ar 2011.gada rādītājiem ir pozitīvas:</w:t>
      </w:r>
    </w:p>
    <w:p w:rsidR="00B5525C" w:rsidRPr="00B86E9B" w:rsidRDefault="00B5525C" w:rsidP="005F686B">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apgrozījums ir samazinājies par 25 843 LVL (3,6%);</w:t>
      </w:r>
    </w:p>
    <w:p w:rsidR="00B5525C" w:rsidRPr="00B86E9B" w:rsidRDefault="00B5525C" w:rsidP="005F686B">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zaudējumi ir samazinājušies par 26 854 LVL</w:t>
      </w:r>
      <w:r w:rsidR="00374F14" w:rsidRPr="00B86E9B">
        <w:rPr>
          <w:rFonts w:ascii="Times New Roman" w:hAnsi="Times New Roman"/>
          <w:sz w:val="28"/>
          <w:szCs w:val="28"/>
        </w:rPr>
        <w:t xml:space="preserve"> (94,0%)</w:t>
      </w:r>
      <w:r w:rsidRPr="00B86E9B">
        <w:rPr>
          <w:rFonts w:ascii="Times New Roman" w:hAnsi="Times New Roman"/>
          <w:sz w:val="28"/>
          <w:szCs w:val="28"/>
        </w:rPr>
        <w:t>;</w:t>
      </w:r>
    </w:p>
    <w:p w:rsidR="00B5525C" w:rsidRPr="00B86E9B" w:rsidRDefault="00B5525C" w:rsidP="005F686B">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pašu kapitāls ir samazinājies par 1 716 LVL (0,4%);</w:t>
      </w:r>
    </w:p>
    <w:p w:rsidR="00B5525C" w:rsidRPr="00B86E9B" w:rsidRDefault="00B5525C" w:rsidP="005F686B">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kreditoru saistības ir samazinājušās par 19 750 LVL (0,7%);</w:t>
      </w:r>
    </w:p>
    <w:p w:rsidR="00477548" w:rsidRPr="00B86E9B" w:rsidRDefault="00B5525C" w:rsidP="00477548">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likviditāte (Vispārējais apgrozāmo līdzekļu koeficients) ir palielinājusies par 2,49 procentpunktiem;</w:t>
      </w:r>
    </w:p>
    <w:p w:rsidR="00477548" w:rsidRPr="00B86E9B" w:rsidRDefault="00B5525C" w:rsidP="00477548">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rentabilitāte ir palielinājusies par 15,5 procentpunktiem.</w:t>
      </w:r>
    </w:p>
    <w:p w:rsidR="00135730" w:rsidRDefault="00135730">
      <w:pPr>
        <w:spacing w:after="200" w:line="276" w:lineRule="auto"/>
        <w:rPr>
          <w:i/>
          <w:sz w:val="28"/>
          <w:szCs w:val="28"/>
        </w:rPr>
      </w:pPr>
    </w:p>
    <w:p w:rsidR="005F686B" w:rsidRPr="00B86E9B" w:rsidRDefault="005F686B" w:rsidP="005F686B">
      <w:pPr>
        <w:shd w:val="clear" w:color="auto" w:fill="FFFFFF"/>
        <w:ind w:firstLine="720"/>
        <w:jc w:val="right"/>
      </w:pPr>
      <w:r w:rsidRPr="00B86E9B">
        <w:rPr>
          <w:i/>
          <w:sz w:val="28"/>
          <w:szCs w:val="28"/>
        </w:rPr>
        <w:t>Tabula Nr.28: BPNS „Ainaži” galvenie finanšu rādītāj</w:t>
      </w:r>
      <w:r w:rsidR="00B005B2" w:rsidRPr="00B86E9B">
        <w:rPr>
          <w:i/>
          <w:sz w:val="28"/>
          <w:szCs w:val="28"/>
        </w:rPr>
        <w:t>i</w:t>
      </w:r>
    </w:p>
    <w:tbl>
      <w:tblPr>
        <w:tblStyle w:val="Reatabula"/>
        <w:tblW w:w="0" w:type="auto"/>
        <w:jc w:val="center"/>
        <w:tblLook w:val="04A0"/>
      </w:tblPr>
      <w:tblGrid>
        <w:gridCol w:w="5011"/>
        <w:gridCol w:w="2213"/>
        <w:gridCol w:w="2063"/>
      </w:tblGrid>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2012.gads</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2011.gads</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Apgrozījums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695 178</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721 021</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Peļņa vai zaudējumi pēc nodokļiem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-1 716</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-28 570</w:t>
            </w:r>
          </w:p>
        </w:tc>
      </w:tr>
      <w:tr w:rsidR="003434E1" w:rsidRPr="00B86E9B" w:rsidTr="003434E1">
        <w:trPr>
          <w:jc w:val="center"/>
        </w:trPr>
        <w:tc>
          <w:tcPr>
            <w:tcW w:w="5011" w:type="dxa"/>
            <w:shd w:val="clear" w:color="auto" w:fill="D9D9D9" w:themeFill="background1" w:themeFillShade="D9"/>
          </w:tcPr>
          <w:p w:rsidR="003434E1" w:rsidRPr="00B86E9B" w:rsidRDefault="003434E1" w:rsidP="005F686B">
            <w:pPr>
              <w:rPr>
                <w:sz w:val="26"/>
                <w:szCs w:val="26"/>
              </w:rPr>
            </w:pPr>
            <w:r w:rsidRPr="00B86E9B">
              <w:rPr>
                <w:sz w:val="26"/>
                <w:szCs w:val="26"/>
              </w:rPr>
              <w:t>Pašu kapitāls [LVL]</w:t>
            </w:r>
          </w:p>
        </w:tc>
        <w:tc>
          <w:tcPr>
            <w:tcW w:w="2213" w:type="dxa"/>
          </w:tcPr>
          <w:p w:rsidR="003434E1" w:rsidRPr="00B86E9B" w:rsidRDefault="003434E1" w:rsidP="00E958A1">
            <w:pPr>
              <w:shd w:val="clear" w:color="auto" w:fill="FFFFFF" w:themeFill="background1"/>
              <w:jc w:val="center"/>
              <w:rPr>
                <w:sz w:val="26"/>
                <w:szCs w:val="26"/>
              </w:rPr>
            </w:pPr>
            <w:r w:rsidRPr="00B86E9B">
              <w:rPr>
                <w:sz w:val="26"/>
                <w:szCs w:val="26"/>
              </w:rPr>
              <w:t>382 438</w:t>
            </w:r>
          </w:p>
        </w:tc>
        <w:tc>
          <w:tcPr>
            <w:tcW w:w="2063" w:type="dxa"/>
          </w:tcPr>
          <w:p w:rsidR="003434E1" w:rsidRPr="00B86E9B" w:rsidRDefault="003434E1" w:rsidP="00E958A1">
            <w:pPr>
              <w:shd w:val="clear" w:color="auto" w:fill="FFFFFF" w:themeFill="background1"/>
              <w:jc w:val="center"/>
              <w:rPr>
                <w:sz w:val="26"/>
                <w:szCs w:val="26"/>
              </w:rPr>
            </w:pPr>
            <w:r w:rsidRPr="00B86E9B">
              <w:rPr>
                <w:sz w:val="26"/>
                <w:szCs w:val="26"/>
              </w:rPr>
              <w:t>384 154</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Uzkrājumi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17 422</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18 576</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Kreditori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2 908 306</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2 928 056</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Ilgtermiņa ieguldījumi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2 901 926</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2 949 781</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Apgrozāmie līdzekļi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406 240</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380 996</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Bilances kopsumma [LVL]</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3 308 166</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3 330 777</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Likviditāte (Vispārējais apgrozāmo līdzekļu koeficients)</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5,19</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2,70</w:t>
            </w:r>
          </w:p>
        </w:tc>
      </w:tr>
      <w:tr w:rsidR="005F686B" w:rsidRPr="00B86E9B" w:rsidTr="003434E1">
        <w:trPr>
          <w:jc w:val="center"/>
        </w:trPr>
        <w:tc>
          <w:tcPr>
            <w:tcW w:w="5011" w:type="dxa"/>
            <w:shd w:val="clear" w:color="auto" w:fill="D9D9D9" w:themeFill="background1" w:themeFillShade="D9"/>
          </w:tcPr>
          <w:p w:rsidR="005F686B" w:rsidRPr="00B86E9B" w:rsidRDefault="005F686B" w:rsidP="005F686B">
            <w:pPr>
              <w:rPr>
                <w:sz w:val="26"/>
                <w:szCs w:val="26"/>
              </w:rPr>
            </w:pPr>
            <w:r w:rsidRPr="00B86E9B">
              <w:rPr>
                <w:sz w:val="26"/>
                <w:szCs w:val="26"/>
              </w:rPr>
              <w:t>Rentabilitāte (Bruto peļņas robeža)[%]</w:t>
            </w:r>
          </w:p>
        </w:tc>
        <w:tc>
          <w:tcPr>
            <w:tcW w:w="2213" w:type="dxa"/>
          </w:tcPr>
          <w:p w:rsidR="005F686B" w:rsidRPr="00B86E9B" w:rsidRDefault="005F686B" w:rsidP="005F686B">
            <w:pPr>
              <w:shd w:val="clear" w:color="auto" w:fill="FFFFFF" w:themeFill="background1"/>
              <w:jc w:val="center"/>
              <w:rPr>
                <w:sz w:val="26"/>
                <w:szCs w:val="26"/>
              </w:rPr>
            </w:pPr>
            <w:r w:rsidRPr="00B86E9B">
              <w:rPr>
                <w:sz w:val="26"/>
                <w:szCs w:val="26"/>
              </w:rPr>
              <w:t>4,00</w:t>
            </w:r>
          </w:p>
        </w:tc>
        <w:tc>
          <w:tcPr>
            <w:tcW w:w="2063" w:type="dxa"/>
          </w:tcPr>
          <w:p w:rsidR="005F686B" w:rsidRPr="00B86E9B" w:rsidRDefault="005F686B" w:rsidP="005F686B">
            <w:pPr>
              <w:shd w:val="clear" w:color="auto" w:fill="FFFFFF" w:themeFill="background1"/>
              <w:jc w:val="center"/>
              <w:rPr>
                <w:sz w:val="26"/>
                <w:szCs w:val="26"/>
              </w:rPr>
            </w:pPr>
            <w:r w:rsidRPr="00B86E9B">
              <w:rPr>
                <w:sz w:val="26"/>
                <w:szCs w:val="26"/>
              </w:rPr>
              <w:t>-11,49</w:t>
            </w:r>
          </w:p>
        </w:tc>
      </w:tr>
    </w:tbl>
    <w:p w:rsidR="001A1B24" w:rsidRPr="00B86E9B" w:rsidRDefault="001A1B24" w:rsidP="005F686B">
      <w:pPr>
        <w:tabs>
          <w:tab w:val="left" w:pos="3390"/>
        </w:tabs>
        <w:autoSpaceDE w:val="0"/>
        <w:autoSpaceDN w:val="0"/>
        <w:adjustRightInd w:val="0"/>
        <w:ind w:firstLine="720"/>
        <w:jc w:val="right"/>
        <w:rPr>
          <w:i/>
          <w:sz w:val="28"/>
          <w:szCs w:val="28"/>
        </w:rPr>
      </w:pPr>
    </w:p>
    <w:p w:rsidR="00135730" w:rsidRDefault="00135730">
      <w:pPr>
        <w:spacing w:after="200" w:line="276" w:lineRule="auto"/>
        <w:rPr>
          <w:i/>
          <w:sz w:val="28"/>
          <w:szCs w:val="28"/>
        </w:rPr>
      </w:pPr>
      <w:r>
        <w:rPr>
          <w:i/>
          <w:sz w:val="28"/>
          <w:szCs w:val="28"/>
        </w:rPr>
        <w:br w:type="page"/>
      </w:r>
    </w:p>
    <w:p w:rsidR="005F686B" w:rsidRPr="00B86E9B" w:rsidRDefault="005F686B" w:rsidP="005F686B">
      <w:pPr>
        <w:tabs>
          <w:tab w:val="left" w:pos="3390"/>
        </w:tabs>
        <w:autoSpaceDE w:val="0"/>
        <w:autoSpaceDN w:val="0"/>
        <w:adjustRightInd w:val="0"/>
        <w:ind w:firstLine="720"/>
        <w:jc w:val="right"/>
        <w:rPr>
          <w:i/>
          <w:sz w:val="28"/>
          <w:szCs w:val="28"/>
        </w:rPr>
      </w:pPr>
      <w:r w:rsidRPr="00B86E9B">
        <w:rPr>
          <w:i/>
          <w:sz w:val="28"/>
          <w:szCs w:val="28"/>
        </w:rPr>
        <w:lastRenderedPageBreak/>
        <w:t xml:space="preserve">Tabula Nr.29: BPNS „Ainaži” galvenie </w:t>
      </w:r>
      <w:r w:rsidR="00BA70F0" w:rsidRPr="00B86E9B">
        <w:rPr>
          <w:i/>
          <w:sz w:val="28"/>
          <w:szCs w:val="28"/>
        </w:rPr>
        <w:t>naturālie rādītāji</w:t>
      </w:r>
    </w:p>
    <w:tbl>
      <w:tblPr>
        <w:tblStyle w:val="Reatabula"/>
        <w:tblW w:w="0" w:type="auto"/>
        <w:jc w:val="center"/>
        <w:tblLook w:val="04A0"/>
      </w:tblPr>
      <w:tblGrid>
        <w:gridCol w:w="5021"/>
        <w:gridCol w:w="2248"/>
        <w:gridCol w:w="2018"/>
      </w:tblGrid>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2012.gads</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2011.gads</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Darbinieku skaits [slodzes]</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96</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92</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Ambulatoro pacientu skaits [pacienti]</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1 554</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1 216</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Stacionāro pacientu skaits [pacienti]</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203</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167</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Vidējais gultu skaits [gultas]</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80</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80</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Gultu noslogojums [procentos]</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81</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79</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Vidējais ārstēšanās ilgums [dienas]</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172</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235</w:t>
            </w:r>
          </w:p>
        </w:tc>
      </w:tr>
      <w:tr w:rsidR="005F686B" w:rsidRPr="00B86E9B" w:rsidTr="005F686B">
        <w:trPr>
          <w:jc w:val="center"/>
        </w:trPr>
        <w:tc>
          <w:tcPr>
            <w:tcW w:w="5237" w:type="dxa"/>
            <w:shd w:val="clear" w:color="auto" w:fill="D9D9D9" w:themeFill="background1" w:themeFillShade="D9"/>
          </w:tcPr>
          <w:p w:rsidR="005F686B" w:rsidRPr="00B86E9B" w:rsidRDefault="005F686B" w:rsidP="005F686B">
            <w:pPr>
              <w:rPr>
                <w:sz w:val="26"/>
                <w:szCs w:val="26"/>
              </w:rPr>
            </w:pPr>
            <w:r w:rsidRPr="00B86E9B">
              <w:rPr>
                <w:sz w:val="26"/>
                <w:szCs w:val="26"/>
              </w:rPr>
              <w:t>Telpu kopējā platība [kvadrātmetros]</w:t>
            </w:r>
          </w:p>
        </w:tc>
        <w:tc>
          <w:tcPr>
            <w:tcW w:w="2315" w:type="dxa"/>
          </w:tcPr>
          <w:p w:rsidR="005F686B" w:rsidRPr="00B86E9B" w:rsidRDefault="005F686B" w:rsidP="005F686B">
            <w:pPr>
              <w:shd w:val="clear" w:color="auto" w:fill="FFFFFF" w:themeFill="background1"/>
              <w:jc w:val="center"/>
              <w:rPr>
                <w:sz w:val="26"/>
                <w:szCs w:val="26"/>
              </w:rPr>
            </w:pPr>
            <w:r w:rsidRPr="00B86E9B">
              <w:rPr>
                <w:sz w:val="26"/>
                <w:szCs w:val="26"/>
              </w:rPr>
              <w:t>3063</w:t>
            </w:r>
          </w:p>
        </w:tc>
        <w:tc>
          <w:tcPr>
            <w:tcW w:w="2069" w:type="dxa"/>
          </w:tcPr>
          <w:p w:rsidR="005F686B" w:rsidRPr="00B86E9B" w:rsidRDefault="005F686B" w:rsidP="005F686B">
            <w:pPr>
              <w:shd w:val="clear" w:color="auto" w:fill="FFFFFF" w:themeFill="background1"/>
              <w:jc w:val="center"/>
              <w:rPr>
                <w:sz w:val="26"/>
                <w:szCs w:val="26"/>
              </w:rPr>
            </w:pPr>
            <w:r w:rsidRPr="00B86E9B">
              <w:rPr>
                <w:sz w:val="26"/>
                <w:szCs w:val="26"/>
              </w:rPr>
              <w:t>3 063</w:t>
            </w:r>
          </w:p>
        </w:tc>
      </w:tr>
    </w:tbl>
    <w:p w:rsidR="005F686B" w:rsidRPr="00B86E9B" w:rsidRDefault="005F686B" w:rsidP="005F686B">
      <w:pPr>
        <w:ind w:right="-119" w:firstLine="698"/>
        <w:jc w:val="both"/>
        <w:rPr>
          <w:rStyle w:val="Izteiksmgs"/>
          <w:b w:val="0"/>
          <w:sz w:val="28"/>
          <w:szCs w:val="28"/>
        </w:rPr>
      </w:pPr>
    </w:p>
    <w:p w:rsidR="003D35C8" w:rsidRPr="00B86E9B" w:rsidRDefault="003D35C8" w:rsidP="003D35C8">
      <w:pPr>
        <w:pStyle w:val="Virsraksts3"/>
        <w:numPr>
          <w:ilvl w:val="0"/>
          <w:numId w:val="0"/>
        </w:numPr>
        <w:spacing w:before="0" w:after="0"/>
        <w:ind w:firstLine="706"/>
        <w:jc w:val="both"/>
        <w:rPr>
          <w:b w:val="0"/>
          <w:i w:val="0"/>
          <w:color w:val="000000"/>
        </w:rPr>
      </w:pPr>
      <w:r w:rsidRPr="00B86E9B">
        <w:rPr>
          <w:b w:val="0"/>
          <w:i w:val="0"/>
        </w:rPr>
        <w:t>BPNS „Ainaži”</w:t>
      </w:r>
      <w:r w:rsidRPr="00B86E9B">
        <w:t xml:space="preserve"> </w:t>
      </w:r>
      <w:r w:rsidRPr="00B86E9B">
        <w:rPr>
          <w:rStyle w:val="Izteiksmgs"/>
        </w:rPr>
        <w:t xml:space="preserve"> </w:t>
      </w:r>
      <w:r w:rsidRPr="00B86E9B">
        <w:rPr>
          <w:rFonts w:eastAsia="Calibri"/>
          <w:b w:val="0"/>
          <w:i w:val="0"/>
          <w:lang w:eastAsia="lv-LV"/>
        </w:rPr>
        <w:t xml:space="preserve">kopējie ieņēmumi 2012.gadā bija </w:t>
      </w:r>
      <w:r w:rsidRPr="00B86E9B">
        <w:rPr>
          <w:b w:val="0"/>
          <w:i w:val="0"/>
          <w:color w:val="000000"/>
        </w:rPr>
        <w:t>729 514 LVL, kas ir par 34 558 LVL (5,0%) lielāki nekā plānots un par 108 005 LVL (12,9%) mazāki nekā kopējie 2011.gada ieņēmumi.</w:t>
      </w:r>
    </w:p>
    <w:p w:rsidR="003D35C8" w:rsidRPr="00B86E9B" w:rsidRDefault="003D35C8" w:rsidP="00106322">
      <w:pPr>
        <w:ind w:firstLine="706"/>
        <w:jc w:val="both"/>
        <w:rPr>
          <w:sz w:val="28"/>
          <w:szCs w:val="28"/>
        </w:rPr>
      </w:pPr>
      <w:r w:rsidRPr="00B86E9B">
        <w:rPr>
          <w:rFonts w:eastAsia="Calibri"/>
          <w:sz w:val="28"/>
          <w:szCs w:val="28"/>
        </w:rPr>
        <w:t xml:space="preserve">2012.gadā </w:t>
      </w:r>
      <w:r w:rsidRPr="00B86E9B">
        <w:rPr>
          <w:sz w:val="28"/>
          <w:szCs w:val="28"/>
        </w:rPr>
        <w:t>BPNS „Ainaži”</w:t>
      </w:r>
      <w:r w:rsidRPr="00B86E9B">
        <w:rPr>
          <w:rStyle w:val="Izteiksmgs"/>
          <w:sz w:val="28"/>
          <w:szCs w:val="28"/>
        </w:rPr>
        <w:t xml:space="preserve"> </w:t>
      </w:r>
      <w:r w:rsidRPr="00B86E9B">
        <w:rPr>
          <w:rFonts w:eastAsia="Calibri"/>
          <w:sz w:val="28"/>
          <w:szCs w:val="28"/>
        </w:rPr>
        <w:t>ieņēmumi no valsts budžeta līdzekļiem ārstniecības pakalpojumiem bija 695 178 LVL, kas, salīdzinot ar 2012.gada plānu, bija lielāki par 4 323 LVL (0,6%), un, salīdzinot ar 2011.gadu, mazāki par 25 843 LVL (3,6%).</w:t>
      </w:r>
      <w:r w:rsidR="003F346E" w:rsidRPr="00B86E9B">
        <w:rPr>
          <w:sz w:val="28"/>
          <w:szCs w:val="28"/>
        </w:rPr>
        <w:t xml:space="preserve"> </w:t>
      </w:r>
      <w:r w:rsidR="00106322" w:rsidRPr="00B86E9B">
        <w:rPr>
          <w:sz w:val="28"/>
          <w:szCs w:val="28"/>
        </w:rPr>
        <w:t xml:space="preserve">Pārējie ieņēmumi 2012.gadā bija 34 336 LVL, kas, salīdzinot ar 2012.gada plānu, palielinājušies par  30 235 LVL (737,3%), un, salīdzinot ar 2011.gadu, samazinājušies par 82 162 LVL (70,5%). </w:t>
      </w:r>
      <w:r w:rsidR="003F346E" w:rsidRPr="00B86E9B">
        <w:rPr>
          <w:sz w:val="28"/>
          <w:szCs w:val="28"/>
        </w:rPr>
        <w:t>BPNS „Ainaži” pārējos ieņēmumus 34 336 LVL apmērā veido pašu nopelnītie līdzekļi no saimnieciskās darbības, kas nav tieši saistīta ar ārstniecību, ziedojumi un ieņēmumos ieskaitītās dotācijas, dāvinājumi, atbilstoši dāvināto pamatlīdzekļu nol</w:t>
      </w:r>
      <w:r w:rsidR="00106322" w:rsidRPr="00B86E9B">
        <w:rPr>
          <w:sz w:val="28"/>
          <w:szCs w:val="28"/>
        </w:rPr>
        <w:t>ietojumam par pārskata periodu.</w:t>
      </w:r>
    </w:p>
    <w:p w:rsidR="00135730" w:rsidRDefault="00135730">
      <w:pPr>
        <w:spacing w:after="200" w:line="276" w:lineRule="auto"/>
        <w:rPr>
          <w:rFonts w:eastAsia="Calibri"/>
          <w:i/>
          <w:sz w:val="28"/>
          <w:szCs w:val="28"/>
          <w:lang w:eastAsia="lv-LV"/>
        </w:rPr>
      </w:pPr>
    </w:p>
    <w:p w:rsidR="003D35C8" w:rsidRPr="00B86E9B" w:rsidRDefault="002027D6" w:rsidP="003D35C8">
      <w:pPr>
        <w:pStyle w:val="Virsraksts3"/>
        <w:numPr>
          <w:ilvl w:val="0"/>
          <w:numId w:val="0"/>
        </w:numPr>
        <w:spacing w:before="0" w:after="0"/>
        <w:ind w:left="709" w:hanging="709"/>
        <w:jc w:val="right"/>
        <w:rPr>
          <w:b w:val="0"/>
        </w:rPr>
      </w:pPr>
      <w:r w:rsidRPr="00B86E9B">
        <w:rPr>
          <w:rFonts w:eastAsia="Calibri"/>
          <w:b w:val="0"/>
          <w:lang w:eastAsia="lv-LV"/>
        </w:rPr>
        <w:t>Tabula Nr.30</w:t>
      </w:r>
      <w:r w:rsidR="003D35C8" w:rsidRPr="00B86E9B">
        <w:rPr>
          <w:rFonts w:eastAsia="Calibri"/>
          <w:b w:val="0"/>
          <w:lang w:eastAsia="lv-LV"/>
        </w:rPr>
        <w:t>:</w:t>
      </w:r>
      <w:r w:rsidR="003D35C8" w:rsidRPr="00B86E9B">
        <w:rPr>
          <w:b w:val="0"/>
        </w:rPr>
        <w:t xml:space="preserve"> BPNS „Ainaži”</w:t>
      </w:r>
      <w:r w:rsidR="003D35C8" w:rsidRPr="00B86E9B">
        <w:rPr>
          <w:rStyle w:val="Izteiksmgs"/>
        </w:rPr>
        <w:t xml:space="preserve"> </w:t>
      </w:r>
      <w:r w:rsidR="00286BA2" w:rsidRPr="00B86E9B">
        <w:rPr>
          <w:b w:val="0"/>
        </w:rPr>
        <w:t xml:space="preserve">ieņēmumu apjoms </w:t>
      </w:r>
      <w:r w:rsidR="003D35C8" w:rsidRPr="00B86E9B">
        <w:rPr>
          <w:b w:val="0"/>
        </w:rPr>
        <w:t>[LVL]</w:t>
      </w:r>
    </w:p>
    <w:tbl>
      <w:tblPr>
        <w:tblStyle w:val="Reatabula"/>
        <w:tblW w:w="0" w:type="auto"/>
        <w:jc w:val="center"/>
        <w:tblLayout w:type="fixed"/>
        <w:tblLook w:val="04A0"/>
      </w:tblPr>
      <w:tblGrid>
        <w:gridCol w:w="2627"/>
        <w:gridCol w:w="1309"/>
        <w:gridCol w:w="1414"/>
        <w:gridCol w:w="1341"/>
      </w:tblGrid>
      <w:tr w:rsidR="003D35C8" w:rsidRPr="00B86E9B" w:rsidTr="00E958A1">
        <w:trPr>
          <w:trHeight w:val="264"/>
          <w:jc w:val="center"/>
        </w:trPr>
        <w:tc>
          <w:tcPr>
            <w:tcW w:w="2627" w:type="dxa"/>
            <w:shd w:val="clear" w:color="auto" w:fill="D9D9D9" w:themeFill="background1" w:themeFillShade="D9"/>
            <w:vAlign w:val="center"/>
          </w:tcPr>
          <w:p w:rsidR="003D35C8" w:rsidRPr="00B86E9B" w:rsidRDefault="003D35C8" w:rsidP="00E958A1">
            <w:pPr>
              <w:rPr>
                <w:sz w:val="26"/>
                <w:szCs w:val="26"/>
              </w:rPr>
            </w:pPr>
          </w:p>
        </w:tc>
        <w:tc>
          <w:tcPr>
            <w:tcW w:w="1309" w:type="dxa"/>
            <w:shd w:val="clear" w:color="auto" w:fill="D9D9D9" w:themeFill="background1" w:themeFillShade="D9"/>
            <w:vAlign w:val="center"/>
          </w:tcPr>
          <w:p w:rsidR="003D35C8" w:rsidRPr="00B86E9B" w:rsidRDefault="003D35C8" w:rsidP="00E958A1">
            <w:pPr>
              <w:jc w:val="center"/>
              <w:rPr>
                <w:sz w:val="26"/>
                <w:szCs w:val="26"/>
              </w:rPr>
            </w:pPr>
            <w:r w:rsidRPr="00B86E9B">
              <w:rPr>
                <w:sz w:val="26"/>
                <w:szCs w:val="26"/>
              </w:rPr>
              <w:t>2011.gads</w:t>
            </w:r>
          </w:p>
        </w:tc>
        <w:tc>
          <w:tcPr>
            <w:tcW w:w="2755" w:type="dxa"/>
            <w:gridSpan w:val="2"/>
            <w:shd w:val="clear" w:color="auto" w:fill="D9D9D9" w:themeFill="background1" w:themeFillShade="D9"/>
            <w:vAlign w:val="center"/>
          </w:tcPr>
          <w:p w:rsidR="003D35C8" w:rsidRPr="00B86E9B" w:rsidRDefault="003D35C8" w:rsidP="00E958A1">
            <w:pPr>
              <w:jc w:val="center"/>
              <w:rPr>
                <w:sz w:val="26"/>
                <w:szCs w:val="26"/>
              </w:rPr>
            </w:pPr>
            <w:r w:rsidRPr="00B86E9B">
              <w:rPr>
                <w:sz w:val="26"/>
                <w:szCs w:val="26"/>
              </w:rPr>
              <w:t>2012.gads</w:t>
            </w:r>
          </w:p>
        </w:tc>
      </w:tr>
      <w:tr w:rsidR="003D35C8" w:rsidRPr="00B86E9B" w:rsidTr="00E958A1">
        <w:trPr>
          <w:jc w:val="center"/>
        </w:trPr>
        <w:tc>
          <w:tcPr>
            <w:tcW w:w="2627" w:type="dxa"/>
            <w:shd w:val="clear" w:color="auto" w:fill="D9D9D9" w:themeFill="background1" w:themeFillShade="D9"/>
            <w:vAlign w:val="center"/>
          </w:tcPr>
          <w:p w:rsidR="003D35C8" w:rsidRPr="00B86E9B" w:rsidRDefault="003D35C8" w:rsidP="00E958A1">
            <w:pPr>
              <w:rPr>
                <w:sz w:val="26"/>
                <w:szCs w:val="26"/>
              </w:rPr>
            </w:pPr>
            <w:r w:rsidRPr="00B86E9B">
              <w:rPr>
                <w:sz w:val="26"/>
                <w:szCs w:val="26"/>
              </w:rPr>
              <w:t>Ieņēmumi</w:t>
            </w:r>
          </w:p>
        </w:tc>
        <w:tc>
          <w:tcPr>
            <w:tcW w:w="1309" w:type="dxa"/>
            <w:shd w:val="clear" w:color="auto" w:fill="D9D9D9" w:themeFill="background1" w:themeFillShade="D9"/>
            <w:vAlign w:val="center"/>
          </w:tcPr>
          <w:p w:rsidR="003D35C8" w:rsidRPr="00B86E9B" w:rsidRDefault="003D35C8" w:rsidP="00E958A1">
            <w:pPr>
              <w:jc w:val="center"/>
              <w:rPr>
                <w:sz w:val="26"/>
                <w:szCs w:val="26"/>
              </w:rPr>
            </w:pPr>
            <w:r w:rsidRPr="00B86E9B">
              <w:rPr>
                <w:sz w:val="26"/>
                <w:szCs w:val="26"/>
              </w:rPr>
              <w:t>Izpilde</w:t>
            </w:r>
          </w:p>
        </w:tc>
        <w:tc>
          <w:tcPr>
            <w:tcW w:w="1414" w:type="dxa"/>
            <w:shd w:val="clear" w:color="auto" w:fill="D9D9D9" w:themeFill="background1" w:themeFillShade="D9"/>
            <w:vAlign w:val="center"/>
          </w:tcPr>
          <w:p w:rsidR="003D35C8" w:rsidRPr="00B86E9B" w:rsidRDefault="003D35C8" w:rsidP="00E958A1">
            <w:pPr>
              <w:jc w:val="center"/>
              <w:rPr>
                <w:sz w:val="26"/>
                <w:szCs w:val="26"/>
              </w:rPr>
            </w:pPr>
            <w:r w:rsidRPr="00B86E9B">
              <w:rPr>
                <w:sz w:val="26"/>
                <w:szCs w:val="26"/>
              </w:rPr>
              <w:t>Plāns</w:t>
            </w:r>
          </w:p>
        </w:tc>
        <w:tc>
          <w:tcPr>
            <w:tcW w:w="1341" w:type="dxa"/>
            <w:shd w:val="clear" w:color="auto" w:fill="D9D9D9" w:themeFill="background1" w:themeFillShade="D9"/>
            <w:vAlign w:val="center"/>
          </w:tcPr>
          <w:p w:rsidR="003D35C8" w:rsidRPr="00B86E9B" w:rsidRDefault="003D35C8" w:rsidP="00E958A1">
            <w:pPr>
              <w:jc w:val="center"/>
              <w:rPr>
                <w:sz w:val="26"/>
                <w:szCs w:val="26"/>
              </w:rPr>
            </w:pPr>
            <w:r w:rsidRPr="00B86E9B">
              <w:rPr>
                <w:sz w:val="26"/>
                <w:szCs w:val="26"/>
              </w:rPr>
              <w:t>Izpilde</w:t>
            </w:r>
          </w:p>
        </w:tc>
      </w:tr>
      <w:tr w:rsidR="00286BA2" w:rsidRPr="00B86E9B" w:rsidTr="00286BA2">
        <w:trPr>
          <w:jc w:val="center"/>
        </w:trPr>
        <w:tc>
          <w:tcPr>
            <w:tcW w:w="2627" w:type="dxa"/>
            <w:vAlign w:val="center"/>
          </w:tcPr>
          <w:p w:rsidR="00286BA2" w:rsidRPr="00B86E9B" w:rsidRDefault="00286BA2" w:rsidP="00286BA2">
            <w:pPr>
              <w:rPr>
                <w:sz w:val="26"/>
                <w:szCs w:val="26"/>
              </w:rPr>
            </w:pPr>
            <w:r w:rsidRPr="00B86E9B">
              <w:rPr>
                <w:sz w:val="26"/>
                <w:szCs w:val="26"/>
              </w:rPr>
              <w:t>Kopējie ieņēmumi, t.sk.:</w:t>
            </w:r>
          </w:p>
        </w:tc>
        <w:tc>
          <w:tcPr>
            <w:tcW w:w="1309" w:type="dxa"/>
            <w:vAlign w:val="center"/>
          </w:tcPr>
          <w:p w:rsidR="00286BA2" w:rsidRPr="00B86E9B" w:rsidRDefault="00286BA2" w:rsidP="00286BA2">
            <w:pPr>
              <w:jc w:val="center"/>
              <w:rPr>
                <w:sz w:val="26"/>
                <w:szCs w:val="26"/>
              </w:rPr>
            </w:pPr>
            <w:r w:rsidRPr="00B86E9B">
              <w:rPr>
                <w:bCs/>
                <w:sz w:val="26"/>
                <w:szCs w:val="26"/>
              </w:rPr>
              <w:t>837 519</w:t>
            </w:r>
          </w:p>
        </w:tc>
        <w:tc>
          <w:tcPr>
            <w:tcW w:w="1414" w:type="dxa"/>
            <w:vAlign w:val="center"/>
          </w:tcPr>
          <w:p w:rsidR="00286BA2" w:rsidRPr="00B86E9B" w:rsidRDefault="00286BA2" w:rsidP="00286BA2">
            <w:pPr>
              <w:jc w:val="center"/>
              <w:rPr>
                <w:color w:val="000000"/>
                <w:sz w:val="26"/>
                <w:szCs w:val="26"/>
              </w:rPr>
            </w:pPr>
            <w:r w:rsidRPr="00B86E9B">
              <w:rPr>
                <w:color w:val="000000"/>
                <w:sz w:val="26"/>
                <w:szCs w:val="26"/>
              </w:rPr>
              <w:t>694 956</w:t>
            </w:r>
          </w:p>
        </w:tc>
        <w:tc>
          <w:tcPr>
            <w:tcW w:w="1341" w:type="dxa"/>
            <w:vAlign w:val="center"/>
          </w:tcPr>
          <w:p w:rsidR="00286BA2" w:rsidRPr="00B86E9B" w:rsidRDefault="00286BA2" w:rsidP="00286BA2">
            <w:pPr>
              <w:jc w:val="center"/>
              <w:rPr>
                <w:color w:val="000000"/>
                <w:sz w:val="26"/>
                <w:szCs w:val="26"/>
              </w:rPr>
            </w:pPr>
            <w:r w:rsidRPr="00B86E9B">
              <w:rPr>
                <w:color w:val="000000"/>
                <w:sz w:val="26"/>
                <w:szCs w:val="26"/>
              </w:rPr>
              <w:t>729 514</w:t>
            </w:r>
          </w:p>
        </w:tc>
      </w:tr>
      <w:tr w:rsidR="00286BA2" w:rsidRPr="00B86E9B" w:rsidTr="00286BA2">
        <w:trPr>
          <w:jc w:val="center"/>
        </w:trPr>
        <w:tc>
          <w:tcPr>
            <w:tcW w:w="2627" w:type="dxa"/>
            <w:vAlign w:val="center"/>
          </w:tcPr>
          <w:p w:rsidR="00286BA2" w:rsidRPr="00B86E9B" w:rsidRDefault="00286BA2" w:rsidP="00286BA2">
            <w:pPr>
              <w:rPr>
                <w:sz w:val="26"/>
                <w:szCs w:val="26"/>
              </w:rPr>
            </w:pPr>
            <w:r w:rsidRPr="00B86E9B">
              <w:rPr>
                <w:sz w:val="26"/>
                <w:szCs w:val="26"/>
              </w:rPr>
              <w:t xml:space="preserve">Maksas ārstniecības pakalpojumi </w:t>
            </w:r>
          </w:p>
        </w:tc>
        <w:tc>
          <w:tcPr>
            <w:tcW w:w="1309" w:type="dxa"/>
            <w:vAlign w:val="center"/>
          </w:tcPr>
          <w:p w:rsidR="00286BA2" w:rsidRPr="00B86E9B" w:rsidRDefault="00286BA2" w:rsidP="00286BA2">
            <w:pPr>
              <w:jc w:val="center"/>
              <w:rPr>
                <w:sz w:val="26"/>
                <w:szCs w:val="26"/>
              </w:rPr>
            </w:pPr>
            <w:r w:rsidRPr="00B86E9B">
              <w:rPr>
                <w:sz w:val="26"/>
                <w:szCs w:val="26"/>
              </w:rPr>
              <w:t>0</w:t>
            </w:r>
          </w:p>
        </w:tc>
        <w:tc>
          <w:tcPr>
            <w:tcW w:w="1414" w:type="dxa"/>
            <w:vAlign w:val="center"/>
          </w:tcPr>
          <w:p w:rsidR="00286BA2" w:rsidRPr="00B86E9B" w:rsidRDefault="00286BA2" w:rsidP="00286BA2">
            <w:pPr>
              <w:jc w:val="center"/>
              <w:rPr>
                <w:sz w:val="26"/>
                <w:szCs w:val="26"/>
              </w:rPr>
            </w:pPr>
            <w:r w:rsidRPr="00B86E9B">
              <w:rPr>
                <w:sz w:val="26"/>
                <w:szCs w:val="26"/>
              </w:rPr>
              <w:t>0</w:t>
            </w:r>
          </w:p>
        </w:tc>
        <w:tc>
          <w:tcPr>
            <w:tcW w:w="1341" w:type="dxa"/>
            <w:vAlign w:val="center"/>
          </w:tcPr>
          <w:p w:rsidR="00286BA2" w:rsidRPr="00B86E9B" w:rsidRDefault="00286BA2" w:rsidP="00286BA2">
            <w:pPr>
              <w:jc w:val="center"/>
              <w:rPr>
                <w:sz w:val="26"/>
                <w:szCs w:val="26"/>
              </w:rPr>
            </w:pPr>
            <w:r w:rsidRPr="00B86E9B">
              <w:rPr>
                <w:sz w:val="26"/>
                <w:szCs w:val="26"/>
              </w:rPr>
              <w:t>0</w:t>
            </w:r>
          </w:p>
        </w:tc>
      </w:tr>
      <w:tr w:rsidR="00286BA2" w:rsidRPr="00B86E9B" w:rsidTr="00286BA2">
        <w:trPr>
          <w:jc w:val="center"/>
        </w:trPr>
        <w:tc>
          <w:tcPr>
            <w:tcW w:w="2627" w:type="dxa"/>
            <w:vAlign w:val="center"/>
          </w:tcPr>
          <w:p w:rsidR="00286BA2" w:rsidRPr="00B86E9B" w:rsidRDefault="00286BA2" w:rsidP="00286BA2">
            <w:pPr>
              <w:rPr>
                <w:sz w:val="26"/>
                <w:szCs w:val="26"/>
              </w:rPr>
            </w:pPr>
            <w:r w:rsidRPr="00B86E9B">
              <w:rPr>
                <w:sz w:val="26"/>
                <w:szCs w:val="26"/>
              </w:rPr>
              <w:t>Valsts budžeta līdzekļi ārstniecības pakalpojumiem</w:t>
            </w:r>
          </w:p>
        </w:tc>
        <w:tc>
          <w:tcPr>
            <w:tcW w:w="1309" w:type="dxa"/>
            <w:vAlign w:val="center"/>
          </w:tcPr>
          <w:p w:rsidR="00286BA2" w:rsidRPr="00B86E9B" w:rsidRDefault="00286BA2" w:rsidP="00286BA2">
            <w:pPr>
              <w:jc w:val="center"/>
              <w:rPr>
                <w:sz w:val="26"/>
                <w:szCs w:val="26"/>
              </w:rPr>
            </w:pPr>
            <w:r w:rsidRPr="00B86E9B">
              <w:rPr>
                <w:sz w:val="26"/>
                <w:szCs w:val="26"/>
              </w:rPr>
              <w:t>721 021</w:t>
            </w:r>
          </w:p>
        </w:tc>
        <w:tc>
          <w:tcPr>
            <w:tcW w:w="1414" w:type="dxa"/>
            <w:vAlign w:val="center"/>
          </w:tcPr>
          <w:p w:rsidR="00286BA2" w:rsidRPr="00B86E9B" w:rsidRDefault="00286BA2" w:rsidP="00286BA2">
            <w:pPr>
              <w:jc w:val="center"/>
              <w:rPr>
                <w:sz w:val="26"/>
                <w:szCs w:val="26"/>
              </w:rPr>
            </w:pPr>
            <w:r w:rsidRPr="00B86E9B">
              <w:rPr>
                <w:sz w:val="26"/>
                <w:szCs w:val="26"/>
              </w:rPr>
              <w:t>690 855</w:t>
            </w:r>
          </w:p>
        </w:tc>
        <w:tc>
          <w:tcPr>
            <w:tcW w:w="1341" w:type="dxa"/>
            <w:vAlign w:val="center"/>
          </w:tcPr>
          <w:p w:rsidR="00286BA2" w:rsidRPr="00B86E9B" w:rsidRDefault="00286BA2" w:rsidP="00286BA2">
            <w:pPr>
              <w:jc w:val="center"/>
              <w:rPr>
                <w:sz w:val="26"/>
                <w:szCs w:val="26"/>
              </w:rPr>
            </w:pPr>
            <w:r w:rsidRPr="00B86E9B">
              <w:rPr>
                <w:sz w:val="26"/>
                <w:szCs w:val="26"/>
              </w:rPr>
              <w:t>695 178</w:t>
            </w:r>
          </w:p>
        </w:tc>
      </w:tr>
      <w:tr w:rsidR="00286BA2" w:rsidRPr="00B86E9B" w:rsidTr="00286BA2">
        <w:trPr>
          <w:jc w:val="center"/>
        </w:trPr>
        <w:tc>
          <w:tcPr>
            <w:tcW w:w="2627" w:type="dxa"/>
            <w:vAlign w:val="center"/>
          </w:tcPr>
          <w:p w:rsidR="00286BA2" w:rsidRPr="00B86E9B" w:rsidRDefault="00286BA2" w:rsidP="00286BA2">
            <w:pPr>
              <w:rPr>
                <w:sz w:val="26"/>
                <w:szCs w:val="26"/>
              </w:rPr>
            </w:pPr>
            <w:r w:rsidRPr="00B86E9B">
              <w:rPr>
                <w:sz w:val="26"/>
                <w:szCs w:val="26"/>
              </w:rPr>
              <w:t>Pārējie ieņēmumi</w:t>
            </w:r>
          </w:p>
        </w:tc>
        <w:tc>
          <w:tcPr>
            <w:tcW w:w="1309" w:type="dxa"/>
            <w:vAlign w:val="center"/>
          </w:tcPr>
          <w:p w:rsidR="00286BA2" w:rsidRPr="00B86E9B" w:rsidRDefault="00286BA2" w:rsidP="00286BA2">
            <w:pPr>
              <w:jc w:val="center"/>
              <w:rPr>
                <w:color w:val="000000"/>
                <w:sz w:val="26"/>
                <w:szCs w:val="26"/>
              </w:rPr>
            </w:pPr>
            <w:r w:rsidRPr="00B86E9B">
              <w:rPr>
                <w:color w:val="000000"/>
                <w:sz w:val="26"/>
                <w:szCs w:val="26"/>
              </w:rPr>
              <w:t>116 498</w:t>
            </w:r>
          </w:p>
        </w:tc>
        <w:tc>
          <w:tcPr>
            <w:tcW w:w="1414" w:type="dxa"/>
            <w:vAlign w:val="center"/>
          </w:tcPr>
          <w:p w:rsidR="00286BA2" w:rsidRPr="00B86E9B" w:rsidRDefault="00286BA2" w:rsidP="00286BA2">
            <w:pPr>
              <w:jc w:val="center"/>
              <w:rPr>
                <w:color w:val="000000"/>
                <w:sz w:val="26"/>
                <w:szCs w:val="26"/>
              </w:rPr>
            </w:pPr>
            <w:r w:rsidRPr="00B86E9B">
              <w:rPr>
                <w:color w:val="000000"/>
                <w:sz w:val="26"/>
                <w:szCs w:val="26"/>
              </w:rPr>
              <w:t>4 101</w:t>
            </w:r>
          </w:p>
        </w:tc>
        <w:tc>
          <w:tcPr>
            <w:tcW w:w="1341" w:type="dxa"/>
            <w:vAlign w:val="center"/>
          </w:tcPr>
          <w:p w:rsidR="00286BA2" w:rsidRPr="00B86E9B" w:rsidRDefault="00286BA2" w:rsidP="00286BA2">
            <w:pPr>
              <w:jc w:val="center"/>
              <w:rPr>
                <w:color w:val="000000"/>
                <w:sz w:val="26"/>
                <w:szCs w:val="26"/>
              </w:rPr>
            </w:pPr>
            <w:r w:rsidRPr="00B86E9B">
              <w:rPr>
                <w:color w:val="000000"/>
                <w:sz w:val="26"/>
                <w:szCs w:val="26"/>
              </w:rPr>
              <w:t>34 336</w:t>
            </w:r>
          </w:p>
        </w:tc>
      </w:tr>
    </w:tbl>
    <w:p w:rsidR="005F686B" w:rsidRPr="00B86E9B" w:rsidRDefault="005F686B" w:rsidP="00B5525C">
      <w:pPr>
        <w:ind w:right="-119" w:firstLine="698"/>
        <w:jc w:val="both"/>
        <w:rPr>
          <w:rStyle w:val="Izteiksmgs"/>
          <w:b w:val="0"/>
          <w:sz w:val="28"/>
          <w:szCs w:val="28"/>
        </w:rPr>
      </w:pPr>
    </w:p>
    <w:p w:rsidR="004D1C24" w:rsidRPr="00B86E9B" w:rsidRDefault="004D1C24" w:rsidP="004D1C24">
      <w:pPr>
        <w:ind w:firstLine="720"/>
        <w:jc w:val="both"/>
        <w:rPr>
          <w:sz w:val="28"/>
          <w:szCs w:val="28"/>
        </w:rPr>
      </w:pPr>
      <w:r w:rsidRPr="00B86E9B">
        <w:rPr>
          <w:sz w:val="28"/>
          <w:szCs w:val="28"/>
        </w:rPr>
        <w:t xml:space="preserve">Pamatojoties uz samazināto veselības aprūpes budžetu, no 2009.gada BPNS „Ainaži” </w:t>
      </w:r>
      <w:r w:rsidRPr="00B86E9B">
        <w:rPr>
          <w:sz w:val="28"/>
        </w:rPr>
        <w:t xml:space="preserve">ieņēmumi </w:t>
      </w:r>
      <w:r w:rsidRPr="00B86E9B">
        <w:rPr>
          <w:sz w:val="28"/>
          <w:szCs w:val="28"/>
        </w:rPr>
        <w:t xml:space="preserve">no valsts budžeta </w:t>
      </w:r>
      <w:r w:rsidRPr="00B86E9B">
        <w:rPr>
          <w:sz w:val="28"/>
        </w:rPr>
        <w:t>būtiski samazinājās</w:t>
      </w:r>
      <w:r w:rsidRPr="00B86E9B">
        <w:rPr>
          <w:sz w:val="28"/>
          <w:szCs w:val="28"/>
        </w:rPr>
        <w:t xml:space="preserve">, līdz ar to arī izmaksu aprēķini (piešķirtais valsts budžeta finansējums) uz vienu gultas dienu proporcionāli samazinājās, kā rezultātā BPNS „Ainaži” radās grūtības segt faktiskos izdevumus par sniegtajiem pakalpojumiem, jo resursu </w:t>
      </w:r>
      <w:r w:rsidR="00AE600A" w:rsidRPr="00B86E9B">
        <w:rPr>
          <w:sz w:val="28"/>
          <w:szCs w:val="28"/>
        </w:rPr>
        <w:t>(piemēram, darba samaksas (dēļ minimālās mēneša darba algas palielināšanas</w:t>
      </w:r>
      <w:r w:rsidR="006D067A" w:rsidRPr="00B86E9B">
        <w:rPr>
          <w:sz w:val="28"/>
          <w:szCs w:val="28"/>
        </w:rPr>
        <w:t>)</w:t>
      </w:r>
      <w:r w:rsidR="00AE600A" w:rsidRPr="00B86E9B">
        <w:rPr>
          <w:sz w:val="28"/>
          <w:szCs w:val="28"/>
        </w:rPr>
        <w:t>, elektroenerģijas, gāzes, medikamentu)</w:t>
      </w:r>
      <w:r w:rsidRPr="00B86E9B">
        <w:rPr>
          <w:sz w:val="28"/>
          <w:szCs w:val="28"/>
        </w:rPr>
        <w:t xml:space="preserve"> izmaksas iepriekšminētajā periodā ir ievērojami pieaugušas.</w:t>
      </w:r>
    </w:p>
    <w:p w:rsidR="004D1C24" w:rsidRPr="00B86E9B" w:rsidRDefault="004D1C24" w:rsidP="004D1C24">
      <w:pPr>
        <w:ind w:firstLine="720"/>
        <w:jc w:val="both"/>
        <w:rPr>
          <w:sz w:val="28"/>
          <w:szCs w:val="28"/>
        </w:rPr>
      </w:pPr>
    </w:p>
    <w:p w:rsidR="004D1C24" w:rsidRPr="00B86E9B" w:rsidRDefault="004D1C24" w:rsidP="004D1C24">
      <w:pPr>
        <w:tabs>
          <w:tab w:val="left" w:pos="3390"/>
        </w:tabs>
        <w:autoSpaceDE w:val="0"/>
        <w:autoSpaceDN w:val="0"/>
        <w:adjustRightInd w:val="0"/>
        <w:ind w:firstLine="720"/>
        <w:jc w:val="right"/>
        <w:rPr>
          <w:i/>
          <w:sz w:val="28"/>
          <w:szCs w:val="28"/>
        </w:rPr>
      </w:pPr>
      <w:r w:rsidRPr="00B86E9B">
        <w:rPr>
          <w:i/>
          <w:sz w:val="28"/>
          <w:szCs w:val="28"/>
        </w:rPr>
        <w:t>Tabula Nr.</w:t>
      </w:r>
      <w:r w:rsidR="008276C3" w:rsidRPr="00B86E9B">
        <w:rPr>
          <w:i/>
          <w:sz w:val="28"/>
          <w:szCs w:val="28"/>
        </w:rPr>
        <w:t>31</w:t>
      </w:r>
      <w:r w:rsidRPr="00B86E9B">
        <w:rPr>
          <w:i/>
          <w:sz w:val="28"/>
          <w:szCs w:val="28"/>
        </w:rPr>
        <w:t>:</w:t>
      </w:r>
      <w:r w:rsidR="00BC607C" w:rsidRPr="00B86E9B">
        <w:rPr>
          <w:i/>
          <w:sz w:val="28"/>
          <w:szCs w:val="28"/>
        </w:rPr>
        <w:t>BPNS „Ainaži”</w:t>
      </w:r>
      <w:r w:rsidRPr="00B86E9B">
        <w:rPr>
          <w:i/>
          <w:sz w:val="28"/>
          <w:szCs w:val="28"/>
        </w:rPr>
        <w:t xml:space="preserve"> gultas</w:t>
      </w:r>
      <w:r w:rsidR="003F0148" w:rsidRPr="00B86E9B">
        <w:rPr>
          <w:i/>
          <w:sz w:val="28"/>
          <w:szCs w:val="28"/>
        </w:rPr>
        <w:t xml:space="preserve"> </w:t>
      </w:r>
      <w:r w:rsidRPr="00B86E9B">
        <w:rPr>
          <w:i/>
          <w:sz w:val="28"/>
          <w:szCs w:val="28"/>
        </w:rPr>
        <w:t>dienas tarifa izmaiņas pa gadiem [LVL]</w:t>
      </w:r>
    </w:p>
    <w:tbl>
      <w:tblPr>
        <w:tblStyle w:val="Reatabula"/>
        <w:tblW w:w="0" w:type="auto"/>
        <w:jc w:val="center"/>
        <w:tblInd w:w="-666" w:type="dxa"/>
        <w:tblLook w:val="04A0"/>
      </w:tblPr>
      <w:tblGrid>
        <w:gridCol w:w="2289"/>
        <w:gridCol w:w="1408"/>
        <w:gridCol w:w="1394"/>
        <w:gridCol w:w="2021"/>
        <w:gridCol w:w="2021"/>
      </w:tblGrid>
      <w:tr w:rsidR="00C60E81" w:rsidRPr="00B86E9B" w:rsidTr="00E958A1">
        <w:trPr>
          <w:jc w:val="center"/>
        </w:trPr>
        <w:tc>
          <w:tcPr>
            <w:tcW w:w="2289" w:type="dxa"/>
            <w:shd w:val="clear" w:color="auto" w:fill="D9D9D9" w:themeFill="background1" w:themeFillShade="D9"/>
          </w:tcPr>
          <w:p w:rsidR="00C60E81" w:rsidRPr="00B86E9B" w:rsidRDefault="00C60E81" w:rsidP="00E958A1">
            <w:pPr>
              <w:jc w:val="center"/>
              <w:rPr>
                <w:sz w:val="26"/>
                <w:szCs w:val="26"/>
              </w:rPr>
            </w:pPr>
          </w:p>
        </w:tc>
        <w:tc>
          <w:tcPr>
            <w:tcW w:w="1408" w:type="dxa"/>
            <w:shd w:val="clear" w:color="auto" w:fill="D9D9D9" w:themeFill="background1" w:themeFillShade="D9"/>
          </w:tcPr>
          <w:p w:rsidR="00C60E81" w:rsidRPr="00B86E9B" w:rsidRDefault="00C60E81" w:rsidP="00E958A1">
            <w:pPr>
              <w:jc w:val="center"/>
              <w:rPr>
                <w:sz w:val="26"/>
                <w:szCs w:val="26"/>
              </w:rPr>
            </w:pPr>
            <w:r w:rsidRPr="00B86E9B">
              <w:rPr>
                <w:sz w:val="26"/>
                <w:szCs w:val="26"/>
              </w:rPr>
              <w:t>2008.gads</w:t>
            </w:r>
          </w:p>
        </w:tc>
        <w:tc>
          <w:tcPr>
            <w:tcW w:w="1394" w:type="dxa"/>
            <w:shd w:val="clear" w:color="auto" w:fill="D9D9D9" w:themeFill="background1" w:themeFillShade="D9"/>
          </w:tcPr>
          <w:p w:rsidR="00C60E81" w:rsidRPr="00B86E9B" w:rsidRDefault="00C60E81" w:rsidP="00E958A1">
            <w:pPr>
              <w:jc w:val="center"/>
              <w:rPr>
                <w:sz w:val="26"/>
                <w:szCs w:val="26"/>
              </w:rPr>
            </w:pPr>
            <w:r w:rsidRPr="00B86E9B">
              <w:rPr>
                <w:sz w:val="26"/>
                <w:szCs w:val="26"/>
              </w:rPr>
              <w:t>2009.gads</w:t>
            </w:r>
          </w:p>
        </w:tc>
        <w:tc>
          <w:tcPr>
            <w:tcW w:w="2021" w:type="dxa"/>
            <w:shd w:val="clear" w:color="auto" w:fill="D9D9D9" w:themeFill="background1" w:themeFillShade="D9"/>
          </w:tcPr>
          <w:p w:rsidR="00C60E81" w:rsidRPr="00B86E9B" w:rsidRDefault="00C60E81" w:rsidP="00E958A1">
            <w:pPr>
              <w:jc w:val="center"/>
              <w:rPr>
                <w:sz w:val="26"/>
                <w:szCs w:val="26"/>
              </w:rPr>
            </w:pPr>
            <w:r w:rsidRPr="00B86E9B">
              <w:rPr>
                <w:sz w:val="26"/>
                <w:szCs w:val="26"/>
              </w:rPr>
              <w:t>2010., 2011.gadā</w:t>
            </w:r>
          </w:p>
        </w:tc>
        <w:tc>
          <w:tcPr>
            <w:tcW w:w="2021" w:type="dxa"/>
            <w:shd w:val="clear" w:color="auto" w:fill="D9D9D9" w:themeFill="background1" w:themeFillShade="D9"/>
          </w:tcPr>
          <w:p w:rsidR="00C60E81" w:rsidRPr="00B86E9B" w:rsidRDefault="006975CF" w:rsidP="00E958A1">
            <w:pPr>
              <w:jc w:val="center"/>
              <w:rPr>
                <w:sz w:val="26"/>
                <w:szCs w:val="26"/>
              </w:rPr>
            </w:pPr>
            <w:r w:rsidRPr="00B86E9B">
              <w:rPr>
                <w:sz w:val="26"/>
                <w:szCs w:val="26"/>
              </w:rPr>
              <w:t>no 2012.gada 28.jūnija</w:t>
            </w:r>
          </w:p>
        </w:tc>
      </w:tr>
      <w:tr w:rsidR="00C60E81" w:rsidRPr="00B86E9B" w:rsidTr="000F07AA">
        <w:trPr>
          <w:jc w:val="center"/>
        </w:trPr>
        <w:tc>
          <w:tcPr>
            <w:tcW w:w="2289" w:type="dxa"/>
            <w:vAlign w:val="center"/>
          </w:tcPr>
          <w:p w:rsidR="00C60E81" w:rsidRPr="00B86E9B" w:rsidRDefault="00C60E81" w:rsidP="00E958A1">
            <w:pPr>
              <w:rPr>
                <w:sz w:val="26"/>
                <w:szCs w:val="26"/>
              </w:rPr>
            </w:pPr>
            <w:r w:rsidRPr="00B86E9B">
              <w:rPr>
                <w:sz w:val="26"/>
                <w:szCs w:val="26"/>
              </w:rPr>
              <w:t>Gultas</w:t>
            </w:r>
            <w:r w:rsidR="003F0148" w:rsidRPr="00B86E9B">
              <w:rPr>
                <w:sz w:val="26"/>
                <w:szCs w:val="26"/>
              </w:rPr>
              <w:t xml:space="preserve"> </w:t>
            </w:r>
            <w:r w:rsidRPr="00B86E9B">
              <w:rPr>
                <w:sz w:val="26"/>
                <w:szCs w:val="26"/>
              </w:rPr>
              <w:t>dienas tarifs</w:t>
            </w:r>
          </w:p>
        </w:tc>
        <w:tc>
          <w:tcPr>
            <w:tcW w:w="1408" w:type="dxa"/>
            <w:vAlign w:val="center"/>
          </w:tcPr>
          <w:p w:rsidR="00C60E81" w:rsidRPr="00B86E9B" w:rsidRDefault="00C60E81" w:rsidP="00E958A1">
            <w:pPr>
              <w:jc w:val="center"/>
              <w:rPr>
                <w:sz w:val="26"/>
                <w:szCs w:val="26"/>
              </w:rPr>
            </w:pPr>
            <w:r w:rsidRPr="00B86E9B">
              <w:rPr>
                <w:sz w:val="26"/>
                <w:szCs w:val="26"/>
              </w:rPr>
              <w:t>17,60</w:t>
            </w:r>
          </w:p>
        </w:tc>
        <w:tc>
          <w:tcPr>
            <w:tcW w:w="1394" w:type="dxa"/>
            <w:vAlign w:val="center"/>
          </w:tcPr>
          <w:p w:rsidR="00C60E81" w:rsidRPr="00B86E9B" w:rsidRDefault="00C60E81" w:rsidP="00E958A1">
            <w:pPr>
              <w:jc w:val="center"/>
              <w:rPr>
                <w:bCs/>
                <w:sz w:val="26"/>
                <w:szCs w:val="26"/>
              </w:rPr>
            </w:pPr>
            <w:r w:rsidRPr="00B86E9B">
              <w:rPr>
                <w:bCs/>
                <w:sz w:val="26"/>
                <w:szCs w:val="26"/>
              </w:rPr>
              <w:t>no 01.03.</w:t>
            </w:r>
          </w:p>
          <w:p w:rsidR="00C60E81" w:rsidRPr="00B86E9B" w:rsidRDefault="00C60E81" w:rsidP="00E958A1">
            <w:pPr>
              <w:jc w:val="center"/>
              <w:rPr>
                <w:bCs/>
                <w:sz w:val="26"/>
                <w:szCs w:val="26"/>
              </w:rPr>
            </w:pPr>
            <w:r w:rsidRPr="00B86E9B">
              <w:rPr>
                <w:bCs/>
                <w:sz w:val="26"/>
                <w:szCs w:val="26"/>
              </w:rPr>
              <w:t>7,10</w:t>
            </w:r>
          </w:p>
          <w:p w:rsidR="00C60E81" w:rsidRPr="00B86E9B" w:rsidRDefault="00C60E81" w:rsidP="00E958A1">
            <w:pPr>
              <w:jc w:val="center"/>
              <w:rPr>
                <w:bCs/>
                <w:sz w:val="26"/>
                <w:szCs w:val="26"/>
              </w:rPr>
            </w:pPr>
            <w:r w:rsidRPr="00B86E9B">
              <w:rPr>
                <w:bCs/>
                <w:sz w:val="26"/>
                <w:szCs w:val="26"/>
              </w:rPr>
              <w:t>no 01.07. 5,21</w:t>
            </w:r>
          </w:p>
        </w:tc>
        <w:tc>
          <w:tcPr>
            <w:tcW w:w="2021" w:type="dxa"/>
            <w:vAlign w:val="center"/>
          </w:tcPr>
          <w:p w:rsidR="00C60E81" w:rsidRPr="00B86E9B" w:rsidRDefault="00C60E81" w:rsidP="00E958A1">
            <w:pPr>
              <w:jc w:val="center"/>
              <w:rPr>
                <w:bCs/>
                <w:color w:val="000000"/>
                <w:sz w:val="26"/>
                <w:szCs w:val="26"/>
              </w:rPr>
            </w:pPr>
            <w:r w:rsidRPr="00B86E9B">
              <w:rPr>
                <w:sz w:val="26"/>
                <w:szCs w:val="26"/>
              </w:rPr>
              <w:t>7,71</w:t>
            </w:r>
          </w:p>
        </w:tc>
        <w:tc>
          <w:tcPr>
            <w:tcW w:w="2021" w:type="dxa"/>
            <w:vAlign w:val="center"/>
          </w:tcPr>
          <w:p w:rsidR="00C60E81" w:rsidRPr="00B86E9B" w:rsidRDefault="000F07AA" w:rsidP="000F07AA">
            <w:pPr>
              <w:jc w:val="center"/>
              <w:rPr>
                <w:sz w:val="26"/>
                <w:szCs w:val="26"/>
              </w:rPr>
            </w:pPr>
            <w:r w:rsidRPr="00B86E9B">
              <w:rPr>
                <w:sz w:val="26"/>
                <w:szCs w:val="26"/>
              </w:rPr>
              <w:t>10,02</w:t>
            </w:r>
          </w:p>
        </w:tc>
      </w:tr>
    </w:tbl>
    <w:p w:rsidR="004D1C24" w:rsidRPr="00B86E9B" w:rsidRDefault="004D1C24" w:rsidP="004D1C24">
      <w:pPr>
        <w:jc w:val="both"/>
        <w:rPr>
          <w:sz w:val="28"/>
          <w:szCs w:val="28"/>
          <w:lang w:eastAsia="lv-LV"/>
        </w:rPr>
      </w:pPr>
    </w:p>
    <w:p w:rsidR="004D1C24" w:rsidRPr="00B86E9B" w:rsidRDefault="004D1C24" w:rsidP="004D1C24">
      <w:pPr>
        <w:ind w:firstLine="720"/>
        <w:jc w:val="both"/>
        <w:rPr>
          <w:sz w:val="28"/>
          <w:szCs w:val="28"/>
        </w:rPr>
      </w:pPr>
      <w:r w:rsidRPr="00B86E9B">
        <w:rPr>
          <w:sz w:val="28"/>
          <w:szCs w:val="28"/>
        </w:rPr>
        <w:t>Arī 2013.gadā gultas</w:t>
      </w:r>
      <w:r w:rsidR="003F0148" w:rsidRPr="00B86E9B">
        <w:rPr>
          <w:sz w:val="28"/>
          <w:szCs w:val="28"/>
        </w:rPr>
        <w:t xml:space="preserve"> </w:t>
      </w:r>
      <w:r w:rsidRPr="00B86E9B">
        <w:rPr>
          <w:sz w:val="28"/>
          <w:szCs w:val="28"/>
        </w:rPr>
        <w:t xml:space="preserve">dienas tarifs saglabājās </w:t>
      </w:r>
      <w:r w:rsidR="00CA6C11" w:rsidRPr="00B86E9B">
        <w:rPr>
          <w:sz w:val="28"/>
          <w:szCs w:val="28"/>
        </w:rPr>
        <w:t>10,02</w:t>
      </w:r>
      <w:r w:rsidRPr="00B86E9B">
        <w:rPr>
          <w:sz w:val="28"/>
          <w:szCs w:val="28"/>
        </w:rPr>
        <w:t xml:space="preserve"> LVL apmērā, bet 2014.gadā tas saistībā ar ārstniecības personu darba samaksas paaugstināšanu (tarifa elementi D un S) un citu tarifa elementu paaugstināšanu (E –izdevumi, kas saistīti ar pacientu ēdināšanu; U – pieskaitāmās un netiešās ražošanas izmaksas; A – administratīvie izdevumi) tiks palielināts par 9</w:t>
      </w:r>
      <w:r w:rsidR="003E21FD" w:rsidRPr="00B86E9B">
        <w:rPr>
          <w:sz w:val="28"/>
          <w:szCs w:val="28"/>
        </w:rPr>
        <w:t>% un sasniegs 10,97 </w:t>
      </w:r>
      <w:r w:rsidRPr="00B86E9B">
        <w:rPr>
          <w:sz w:val="28"/>
          <w:szCs w:val="28"/>
        </w:rPr>
        <w:t>LVL (</w:t>
      </w:r>
      <w:r w:rsidR="003E21FD" w:rsidRPr="00B86E9B">
        <w:rPr>
          <w:sz w:val="28"/>
          <w:szCs w:val="28"/>
        </w:rPr>
        <w:t>15,61</w:t>
      </w:r>
      <w:r w:rsidRPr="00B86E9B">
        <w:rPr>
          <w:sz w:val="28"/>
          <w:szCs w:val="28"/>
        </w:rPr>
        <w:t> EUR), tomēr joprojām būs ievērojami mazākā apmērā kā pirmskrīzes laikā (</w:t>
      </w:r>
      <w:r w:rsidR="00F227C7" w:rsidRPr="00B86E9B">
        <w:rPr>
          <w:sz w:val="28"/>
          <w:szCs w:val="28"/>
        </w:rPr>
        <w:t>62,3</w:t>
      </w:r>
      <w:r w:rsidRPr="00B86E9B">
        <w:rPr>
          <w:sz w:val="28"/>
          <w:szCs w:val="28"/>
        </w:rPr>
        <w:t xml:space="preserve">% apmērā). </w:t>
      </w:r>
    </w:p>
    <w:p w:rsidR="003D35C8" w:rsidRPr="00B86E9B" w:rsidRDefault="00C05A3D" w:rsidP="00C05A3D">
      <w:pPr>
        <w:ind w:right="-1" w:firstLine="698"/>
        <w:jc w:val="both"/>
        <w:rPr>
          <w:rStyle w:val="Izteiksmgs"/>
          <w:b w:val="0"/>
          <w:sz w:val="28"/>
          <w:szCs w:val="28"/>
        </w:rPr>
      </w:pPr>
      <w:r w:rsidRPr="00B86E9B">
        <w:rPr>
          <w:sz w:val="28"/>
          <w:szCs w:val="28"/>
        </w:rPr>
        <w:t>Kā jau tika norādīts Veselības ministrijas Informatīvajā ziņojumā par Veselības ministrijas kapitālsabiedrībām, kas 2011.gadu ir noslēgušas ar zaudējumiem, arī pārējie stacionārās veselības aprūpes pakalpojumu tarifi krīzes laikā tika ievērojami samazināti un neatbilst pakalpojumu sniegšanas faktiskajām izmaksām un 2012.gadā tarifi netika mainīti. Arī 2013.gadā veselības aprūpes pakalpojumu tarifi netika mainīti, bet 2014.gadā tie</w:t>
      </w:r>
      <w:r w:rsidR="00AA19FC" w:rsidRPr="00B86E9B">
        <w:rPr>
          <w:sz w:val="28"/>
          <w:szCs w:val="28"/>
        </w:rPr>
        <w:t>,</w:t>
      </w:r>
      <w:r w:rsidRPr="00B86E9B">
        <w:rPr>
          <w:sz w:val="28"/>
          <w:szCs w:val="28"/>
        </w:rPr>
        <w:t xml:space="preserve"> saistībā ar ārstniecības personu darba samaksas paaugstināšanu (tarifa elementi D un S) un citu tarifa elementu paaugstināšanu (E –izdevumi, kas saistīti ar pacientu ēdināšanu; U – pieskaitāmās un netiešās ražošanas izmaksas; A – administratīvie izdevumi)</w:t>
      </w:r>
      <w:r w:rsidR="00AA19FC" w:rsidRPr="00B86E9B">
        <w:rPr>
          <w:sz w:val="28"/>
          <w:szCs w:val="28"/>
        </w:rPr>
        <w:t>,</w:t>
      </w:r>
      <w:r w:rsidR="00EA7EF5" w:rsidRPr="00B86E9B">
        <w:rPr>
          <w:sz w:val="28"/>
          <w:szCs w:val="28"/>
        </w:rPr>
        <w:t xml:space="preserve"> atbilstoši Ministru kabineta 2013.gada 17.decembra noteikumiem Nr.1529 „Veselības aprūpes organizēšanas un finansēšanas kārtība”</w:t>
      </w:r>
      <w:r w:rsidRPr="00B86E9B">
        <w:rPr>
          <w:sz w:val="28"/>
          <w:szCs w:val="28"/>
        </w:rPr>
        <w:t xml:space="preserve"> tiks palielināti vidēji par 5% - 6% (robežās no 1% līdz 16%, ko ietekmē tarifa elementu D un S īpatsvars konkrētā pakalpojuma vai programmas tarifā)</w:t>
      </w:r>
      <w:r w:rsidR="004D1C24" w:rsidRPr="00B86E9B">
        <w:rPr>
          <w:sz w:val="28"/>
          <w:szCs w:val="28"/>
        </w:rPr>
        <w:t>.</w:t>
      </w:r>
    </w:p>
    <w:p w:rsidR="00EE64DB" w:rsidRPr="00B86E9B" w:rsidRDefault="00EE64DB" w:rsidP="00EE64DB">
      <w:pPr>
        <w:ind w:firstLine="706"/>
        <w:jc w:val="both"/>
        <w:rPr>
          <w:color w:val="000000"/>
          <w:sz w:val="28"/>
          <w:szCs w:val="28"/>
        </w:rPr>
      </w:pPr>
      <w:r w:rsidRPr="00B86E9B">
        <w:rPr>
          <w:sz w:val="28"/>
          <w:szCs w:val="28"/>
        </w:rPr>
        <w:t>BPNS „Ainaži”</w:t>
      </w:r>
      <w:r w:rsidRPr="00B86E9B">
        <w:rPr>
          <w:rStyle w:val="Izteiksmgs"/>
          <w:sz w:val="28"/>
          <w:szCs w:val="28"/>
        </w:rPr>
        <w:t xml:space="preserve"> </w:t>
      </w:r>
      <w:r w:rsidRPr="00B86E9B">
        <w:rPr>
          <w:rFonts w:eastAsia="Calibri"/>
          <w:sz w:val="28"/>
          <w:szCs w:val="28"/>
        </w:rPr>
        <w:t xml:space="preserve">izdevumi 2012.gadā bija </w:t>
      </w:r>
      <w:r w:rsidRPr="00B86E9B">
        <w:rPr>
          <w:color w:val="000000"/>
          <w:sz w:val="28"/>
          <w:szCs w:val="28"/>
        </w:rPr>
        <w:t xml:space="preserve">731 230 LVL, kas, salīdzinot ar 2012.gada plānu, bija mazāki par 115 770 LVL (13,7%), un salīdzinājumā ar 2011.gadu  bija mazāki par 134 859 LVL (15,6%). </w:t>
      </w:r>
    </w:p>
    <w:p w:rsidR="00EC0F76" w:rsidRPr="00B86E9B" w:rsidRDefault="00EE64DB" w:rsidP="00876914">
      <w:pPr>
        <w:ind w:firstLine="706"/>
        <w:jc w:val="both"/>
        <w:rPr>
          <w:color w:val="000000"/>
          <w:sz w:val="28"/>
          <w:szCs w:val="28"/>
        </w:rPr>
      </w:pPr>
      <w:r w:rsidRPr="00B86E9B">
        <w:rPr>
          <w:sz w:val="28"/>
          <w:szCs w:val="28"/>
        </w:rPr>
        <w:t xml:space="preserve">BPNS „Ainaži” </w:t>
      </w:r>
      <w:r w:rsidRPr="00B86E9B">
        <w:rPr>
          <w:color w:val="000000"/>
          <w:sz w:val="28"/>
          <w:szCs w:val="28"/>
        </w:rPr>
        <w:t>izdevumi personāla atlīdzībai 2012.gadā bija 533 295 LVL, kas bija par 53 195 LVL (11,1%) lielāki nekā plānots 2012.gadā un par 53 181 LVL (11,1%) lielāki nekā 2011.gadā. Izdevumi par precēm un pakalpojumiem 2012.gadā bija 126 475 LVL, kas bija par 40 032 LVL (24,1%) mazāki nekā plānots un salīdzinājumā ar 2011.gadu mazāki par 53 958 LVL (29,9%), t.sk. izdevumi par medikamentiem un medicīniskiem materiāliem 2012.gadā bija 21 716 LVL, kas bija par 334 LVL (1,7%) mazāki nekā plānots un salīdzinājumā ar 2011.gadu mazāki par 296 LVL (1,3%).</w:t>
      </w:r>
      <w:r w:rsidR="00876914" w:rsidRPr="00B86E9B">
        <w:rPr>
          <w:color w:val="000000"/>
          <w:sz w:val="28"/>
          <w:szCs w:val="28"/>
        </w:rPr>
        <w:t xml:space="preserve"> </w:t>
      </w:r>
      <w:r w:rsidR="003F346E" w:rsidRPr="00B86E9B">
        <w:rPr>
          <w:color w:val="000000"/>
          <w:sz w:val="28"/>
          <w:szCs w:val="28"/>
        </w:rPr>
        <w:t xml:space="preserve">Lai maksimāli sabalansētu budžetu BPNS „Ainaži” 2012.gadā ir veikusi kārtējo izdevumu optimizāciju, maksimāli ierobežojot plānotos izdevumus, kā arī neveicot daļu ieplānoto pasākumu. Salīdzinot ar 2011.gadu, samazināti izdevumi tādās preču </w:t>
      </w:r>
      <w:r w:rsidR="003F346E" w:rsidRPr="00B86E9B">
        <w:rPr>
          <w:color w:val="000000"/>
          <w:sz w:val="28"/>
          <w:szCs w:val="28"/>
        </w:rPr>
        <w:lastRenderedPageBreak/>
        <w:t>un pakalpojumu izdevumu pozīcijās kā sakaru pakalpojumi par 215 LVL (9%), komunālie pakalpojumi par 1 849 LVL (6%) (samazinot elektroenerģijas patēriņu), remontdarbi un iestāžu uzturēšanas pakalpojumi par 3 005 LVL (29%) (samazinot plānotos remontdarbus ēku un telpu uzturēšanai), biroja preces un inventārs par 4 230 LVL (36%) un valsts un pašvaldību aprūpē un apgādē esošo personu uzturēšana par 114 LVL (0,3%) (samazinot plānotā inventāra iegādi, kā arī neiepērkot citas plānotās preces un pakalpojumus).</w:t>
      </w:r>
    </w:p>
    <w:p w:rsidR="001A1B24" w:rsidRPr="00B86E9B" w:rsidRDefault="001A1B24" w:rsidP="0055264D">
      <w:pPr>
        <w:rPr>
          <w:rFonts w:eastAsia="Calibri"/>
          <w:sz w:val="28"/>
          <w:szCs w:val="28"/>
          <w:lang w:eastAsia="lv-LV"/>
        </w:rPr>
      </w:pPr>
    </w:p>
    <w:p w:rsidR="00EC0F76" w:rsidRPr="00B86E9B" w:rsidRDefault="00EC0F76" w:rsidP="00EC0F76">
      <w:pPr>
        <w:pStyle w:val="Virsraksts3"/>
        <w:numPr>
          <w:ilvl w:val="0"/>
          <w:numId w:val="0"/>
        </w:numPr>
        <w:spacing w:before="0" w:after="0"/>
        <w:jc w:val="right"/>
        <w:rPr>
          <w:b w:val="0"/>
        </w:rPr>
      </w:pPr>
      <w:r w:rsidRPr="00B86E9B">
        <w:rPr>
          <w:rFonts w:eastAsia="Calibri"/>
          <w:b w:val="0"/>
          <w:lang w:eastAsia="lv-LV"/>
        </w:rPr>
        <w:t>Tabula Nr.32:</w:t>
      </w:r>
      <w:r w:rsidRPr="00B86E9B">
        <w:rPr>
          <w:b w:val="0"/>
        </w:rPr>
        <w:t xml:space="preserve"> BPNS „Ainaži”</w:t>
      </w:r>
      <w:r w:rsidRPr="00B86E9B">
        <w:rPr>
          <w:rStyle w:val="Izteiksmgs"/>
        </w:rPr>
        <w:t xml:space="preserve"> </w:t>
      </w:r>
      <w:r w:rsidRPr="00B86E9B">
        <w:rPr>
          <w:b w:val="0"/>
        </w:rPr>
        <w:t xml:space="preserve"> </w:t>
      </w:r>
      <w:r w:rsidR="00AA24D6" w:rsidRPr="00B86E9B">
        <w:rPr>
          <w:b w:val="0"/>
        </w:rPr>
        <w:t>pakalpojumu izmaksu apjoms un rādītāji</w:t>
      </w:r>
    </w:p>
    <w:tbl>
      <w:tblPr>
        <w:tblW w:w="7586" w:type="dxa"/>
        <w:jc w:val="center"/>
        <w:tblInd w:w="-674" w:type="dxa"/>
        <w:tblLook w:val="04A0"/>
      </w:tblPr>
      <w:tblGrid>
        <w:gridCol w:w="3697"/>
        <w:gridCol w:w="1333"/>
        <w:gridCol w:w="1278"/>
        <w:gridCol w:w="1278"/>
      </w:tblGrid>
      <w:tr w:rsidR="00EC0F76" w:rsidRPr="00B86E9B" w:rsidTr="00135730">
        <w:trPr>
          <w:trHeight w:val="300"/>
          <w:jc w:val="center"/>
        </w:trPr>
        <w:tc>
          <w:tcPr>
            <w:tcW w:w="3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r w:rsidRPr="00B86E9B">
              <w:rPr>
                <w:color w:val="000000" w:themeColor="text1"/>
                <w:sz w:val="26"/>
                <w:szCs w:val="26"/>
              </w:rPr>
              <w:t>2011.gads</w:t>
            </w:r>
          </w:p>
        </w:tc>
        <w:tc>
          <w:tcPr>
            <w:tcW w:w="255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r w:rsidRPr="00B86E9B">
              <w:rPr>
                <w:color w:val="000000" w:themeColor="text1"/>
                <w:sz w:val="26"/>
                <w:szCs w:val="26"/>
              </w:rPr>
              <w:t>2012.gads</w:t>
            </w:r>
          </w:p>
        </w:tc>
      </w:tr>
      <w:tr w:rsidR="00EC0F76" w:rsidRPr="00B86E9B" w:rsidTr="00135730">
        <w:trPr>
          <w:trHeight w:val="300"/>
          <w:jc w:val="center"/>
        </w:trPr>
        <w:tc>
          <w:tcPr>
            <w:tcW w:w="3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r w:rsidRPr="00B86E9B">
              <w:rPr>
                <w:color w:val="000000" w:themeColor="text1"/>
                <w:sz w:val="26"/>
                <w:szCs w:val="26"/>
              </w:rPr>
              <w:t>Rādītājs</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r w:rsidRPr="00B86E9B">
              <w:rPr>
                <w:color w:val="000000" w:themeColor="text1"/>
                <w:sz w:val="26"/>
                <w:szCs w:val="26"/>
              </w:rPr>
              <w:t>Izpilde</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r w:rsidRPr="00B86E9B">
              <w:rPr>
                <w:color w:val="000000" w:themeColor="text1"/>
                <w:sz w:val="26"/>
                <w:szCs w:val="26"/>
              </w:rPr>
              <w:t>Plāns</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0F76" w:rsidRPr="00B86E9B" w:rsidRDefault="00EC0F76" w:rsidP="00E958A1">
            <w:pPr>
              <w:jc w:val="center"/>
              <w:rPr>
                <w:color w:val="000000" w:themeColor="text1"/>
                <w:sz w:val="26"/>
                <w:szCs w:val="26"/>
              </w:rPr>
            </w:pPr>
            <w:r w:rsidRPr="00B86E9B">
              <w:rPr>
                <w:color w:val="000000" w:themeColor="text1"/>
                <w:sz w:val="26"/>
                <w:szCs w:val="26"/>
              </w:rPr>
              <w:t>Izpilde</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rPr>
                <w:sz w:val="26"/>
                <w:szCs w:val="26"/>
              </w:rPr>
            </w:pPr>
            <w:r w:rsidRPr="00B86E9B">
              <w:rPr>
                <w:sz w:val="26"/>
                <w:szCs w:val="26"/>
              </w:rPr>
              <w:t>Kopējie izdevumi [tūkst. LVL], t.sk.:</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bCs/>
                <w:color w:val="000000"/>
                <w:sz w:val="26"/>
                <w:szCs w:val="26"/>
              </w:rPr>
              <w:t xml:space="preserve">866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847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731 </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Personāla atlīdzības izmaksas [tūkst. LVL]</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bCs/>
                <w:color w:val="000000"/>
                <w:sz w:val="26"/>
                <w:szCs w:val="26"/>
              </w:rPr>
              <w:t xml:space="preserve">480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480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sz w:val="26"/>
                <w:szCs w:val="26"/>
              </w:rPr>
            </w:pPr>
            <w:r w:rsidRPr="00B86E9B">
              <w:rPr>
                <w:sz w:val="26"/>
                <w:szCs w:val="26"/>
              </w:rPr>
              <w:t xml:space="preserve">533 </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Preču un pakalpojumu izmaksas [tūkst. LVL], t.sk.:</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bCs/>
                <w:color w:val="000000"/>
                <w:sz w:val="26"/>
                <w:szCs w:val="26"/>
              </w:rPr>
            </w:pPr>
            <w:r w:rsidRPr="00B86E9B">
              <w:rPr>
                <w:bCs/>
                <w:color w:val="000000"/>
                <w:sz w:val="26"/>
                <w:szCs w:val="26"/>
              </w:rPr>
              <w:t xml:space="preserve">180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FE295C">
            <w:pPr>
              <w:jc w:val="center"/>
              <w:rPr>
                <w:bCs/>
                <w:color w:val="000000"/>
                <w:sz w:val="26"/>
                <w:szCs w:val="26"/>
              </w:rPr>
            </w:pPr>
            <w:r w:rsidRPr="00B86E9B">
              <w:rPr>
                <w:bCs/>
                <w:color w:val="000000"/>
                <w:sz w:val="26"/>
                <w:szCs w:val="26"/>
              </w:rPr>
              <w:t>166</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bCs/>
                <w:color w:val="000000"/>
                <w:sz w:val="26"/>
                <w:szCs w:val="26"/>
              </w:rPr>
            </w:pPr>
            <w:r w:rsidRPr="00B86E9B">
              <w:rPr>
                <w:bCs/>
                <w:color w:val="000000"/>
                <w:sz w:val="26"/>
                <w:szCs w:val="26"/>
              </w:rPr>
              <w:t>126</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266"/>
              <w:rPr>
                <w:sz w:val="26"/>
                <w:szCs w:val="26"/>
              </w:rPr>
            </w:pPr>
            <w:r w:rsidRPr="00B86E9B">
              <w:rPr>
                <w:sz w:val="26"/>
                <w:szCs w:val="26"/>
              </w:rPr>
              <w:t>Medikamentu izmaksas [tūkst. LVL]</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22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22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2</w:t>
            </w:r>
            <w:r w:rsidR="00FE295C" w:rsidRPr="00B86E9B">
              <w:rPr>
                <w:color w:val="000000"/>
                <w:sz w:val="26"/>
                <w:szCs w:val="26"/>
              </w:rPr>
              <w:t>2</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Procentu izdevumi [</w:t>
            </w:r>
            <w:r w:rsidR="00135730"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EE64DB">
            <w:pPr>
              <w:jc w:val="center"/>
              <w:rPr>
                <w:color w:val="000000"/>
                <w:sz w:val="26"/>
                <w:szCs w:val="26"/>
              </w:rPr>
            </w:pPr>
            <w:r w:rsidRPr="00B86E9B">
              <w:rPr>
                <w:color w:val="000000"/>
                <w:sz w:val="26"/>
                <w:szCs w:val="26"/>
              </w:rPr>
              <w:t>20</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EE64DB">
            <w:pPr>
              <w:jc w:val="center"/>
              <w:rPr>
                <w:bCs/>
                <w:color w:val="000000"/>
                <w:sz w:val="26"/>
                <w:szCs w:val="26"/>
              </w:rPr>
            </w:pPr>
            <w:r w:rsidRPr="00B86E9B">
              <w:rPr>
                <w:bCs/>
                <w:color w:val="000000"/>
                <w:sz w:val="26"/>
                <w:szCs w:val="26"/>
              </w:rPr>
              <w:t>26</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EE64DB">
            <w:pPr>
              <w:jc w:val="center"/>
              <w:rPr>
                <w:bCs/>
                <w:color w:val="000000"/>
                <w:sz w:val="26"/>
                <w:szCs w:val="26"/>
              </w:rPr>
            </w:pPr>
            <w:r w:rsidRPr="00B86E9B">
              <w:rPr>
                <w:bCs/>
                <w:color w:val="000000"/>
                <w:sz w:val="26"/>
                <w:szCs w:val="26"/>
              </w:rPr>
              <w:t>2</w:t>
            </w:r>
            <w:r w:rsidR="00EE64DB" w:rsidRPr="00B86E9B">
              <w:rPr>
                <w:bCs/>
                <w:color w:val="000000"/>
                <w:sz w:val="26"/>
                <w:szCs w:val="26"/>
              </w:rPr>
              <w:t>1</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Nolietojums [</w:t>
            </w:r>
            <w:r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18</w:t>
            </w:r>
            <w:r w:rsidR="00FE295C" w:rsidRPr="00B86E9B">
              <w:rPr>
                <w:color w:val="000000"/>
                <w:sz w:val="26"/>
                <w:szCs w:val="26"/>
              </w:rPr>
              <w:t>3</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17</w:t>
            </w:r>
            <w:r w:rsidR="00FE295C" w:rsidRPr="00B86E9B">
              <w:rPr>
                <w:rFonts w:ascii="Times New Roman" w:hAnsi="Times New Roman"/>
                <w:sz w:val="26"/>
                <w:szCs w:val="26"/>
              </w:rPr>
              <w:t>5</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w:t>
            </w:r>
            <w:r w:rsidR="00FE295C" w:rsidRPr="00B86E9B">
              <w:rPr>
                <w:rFonts w:ascii="Times New Roman" w:hAnsi="Times New Roman"/>
                <w:sz w:val="26"/>
                <w:szCs w:val="26"/>
              </w:rPr>
              <w:t>1</w:t>
            </w:r>
          </w:p>
        </w:tc>
      </w:tr>
      <w:tr w:rsidR="009474D1"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Pārējās izmaksas [</w:t>
            </w:r>
            <w:r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FE295C">
            <w:pPr>
              <w:jc w:val="center"/>
              <w:rPr>
                <w:color w:val="000000"/>
                <w:sz w:val="26"/>
                <w:szCs w:val="26"/>
              </w:rPr>
            </w:pPr>
            <w:r w:rsidRPr="00B86E9B">
              <w:rPr>
                <w:color w:val="000000"/>
                <w:sz w:val="26"/>
                <w:szCs w:val="26"/>
              </w:rPr>
              <w:t>3</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sz w:val="26"/>
                <w:szCs w:val="26"/>
              </w:rPr>
            </w:pPr>
            <w:r w:rsidRPr="00B86E9B">
              <w:rPr>
                <w:sz w:val="26"/>
                <w:szCs w:val="26"/>
              </w:rPr>
              <w:t>0</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FE295C">
            <w:pPr>
              <w:jc w:val="center"/>
              <w:rPr>
                <w:color w:val="FF0000"/>
                <w:sz w:val="26"/>
                <w:szCs w:val="26"/>
              </w:rPr>
            </w:pPr>
            <w:r w:rsidRPr="00B86E9B">
              <w:rPr>
                <w:sz w:val="26"/>
                <w:szCs w:val="26"/>
              </w:rPr>
              <w:t>0</w:t>
            </w:r>
          </w:p>
        </w:tc>
      </w:tr>
      <w:tr w:rsidR="00286BA2"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286BA2" w:rsidRPr="00B86E9B" w:rsidRDefault="00286BA2" w:rsidP="00286BA2">
            <w:pPr>
              <w:rPr>
                <w:color w:val="000000"/>
                <w:sz w:val="26"/>
                <w:szCs w:val="26"/>
              </w:rPr>
            </w:pPr>
            <w:r w:rsidRPr="00B86E9B">
              <w:rPr>
                <w:color w:val="000000"/>
                <w:sz w:val="26"/>
                <w:szCs w:val="26"/>
              </w:rPr>
              <w:t>Pacientu skaits</w:t>
            </w:r>
          </w:p>
        </w:tc>
        <w:tc>
          <w:tcPr>
            <w:tcW w:w="1333" w:type="dxa"/>
            <w:tcBorders>
              <w:top w:val="nil"/>
              <w:left w:val="nil"/>
              <w:bottom w:val="single" w:sz="4" w:space="0" w:color="auto"/>
              <w:right w:val="single" w:sz="4" w:space="0" w:color="auto"/>
            </w:tcBorders>
            <w:shd w:val="clear" w:color="auto" w:fill="auto"/>
            <w:vAlign w:val="center"/>
            <w:hideMark/>
          </w:tcPr>
          <w:p w:rsidR="00286BA2" w:rsidRPr="00B86E9B" w:rsidRDefault="00286BA2" w:rsidP="00286BA2">
            <w:pPr>
              <w:jc w:val="center"/>
              <w:rPr>
                <w:color w:val="000000"/>
                <w:sz w:val="26"/>
                <w:szCs w:val="26"/>
              </w:rPr>
            </w:pPr>
            <w:r w:rsidRPr="00B86E9B">
              <w:rPr>
                <w:color w:val="000000"/>
                <w:sz w:val="26"/>
                <w:szCs w:val="26"/>
              </w:rPr>
              <w:t>1 383</w:t>
            </w:r>
          </w:p>
        </w:tc>
        <w:tc>
          <w:tcPr>
            <w:tcW w:w="1278" w:type="dxa"/>
            <w:tcBorders>
              <w:top w:val="nil"/>
              <w:left w:val="nil"/>
              <w:bottom w:val="single" w:sz="4" w:space="0" w:color="auto"/>
              <w:right w:val="single" w:sz="4" w:space="0" w:color="auto"/>
            </w:tcBorders>
            <w:shd w:val="clear" w:color="auto" w:fill="auto"/>
            <w:vAlign w:val="center"/>
            <w:hideMark/>
          </w:tcPr>
          <w:p w:rsidR="00286BA2" w:rsidRPr="00B86E9B" w:rsidRDefault="00286BA2" w:rsidP="00286BA2">
            <w:pPr>
              <w:jc w:val="center"/>
              <w:rPr>
                <w:sz w:val="26"/>
                <w:szCs w:val="26"/>
              </w:rPr>
            </w:pPr>
            <w:r w:rsidRPr="00B86E9B">
              <w:rPr>
                <w:sz w:val="26"/>
                <w:szCs w:val="26"/>
              </w:rPr>
              <w:t>1 667</w:t>
            </w:r>
          </w:p>
        </w:tc>
        <w:tc>
          <w:tcPr>
            <w:tcW w:w="1278" w:type="dxa"/>
            <w:tcBorders>
              <w:top w:val="nil"/>
              <w:left w:val="nil"/>
              <w:bottom w:val="single" w:sz="4" w:space="0" w:color="auto"/>
              <w:right w:val="single" w:sz="4" w:space="0" w:color="auto"/>
            </w:tcBorders>
            <w:shd w:val="clear" w:color="auto" w:fill="auto"/>
            <w:vAlign w:val="center"/>
            <w:hideMark/>
          </w:tcPr>
          <w:p w:rsidR="00286BA2" w:rsidRPr="00B86E9B" w:rsidRDefault="00286BA2" w:rsidP="00286BA2">
            <w:pPr>
              <w:jc w:val="center"/>
              <w:rPr>
                <w:sz w:val="26"/>
                <w:szCs w:val="26"/>
              </w:rPr>
            </w:pPr>
            <w:r w:rsidRPr="00B86E9B">
              <w:rPr>
                <w:sz w:val="26"/>
                <w:szCs w:val="26"/>
              </w:rPr>
              <w:t>1 757</w:t>
            </w:r>
          </w:p>
        </w:tc>
      </w:tr>
      <w:tr w:rsidR="00286BA2" w:rsidRPr="00B86E9B" w:rsidTr="00135730">
        <w:trPr>
          <w:trHeight w:val="300"/>
          <w:jc w:val="center"/>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286BA2" w:rsidRPr="00B86E9B" w:rsidRDefault="00226243" w:rsidP="00286BA2">
            <w:pPr>
              <w:rPr>
                <w:color w:val="000000"/>
                <w:sz w:val="26"/>
                <w:szCs w:val="26"/>
              </w:rPr>
            </w:pPr>
            <w:r w:rsidRPr="00B86E9B">
              <w:rPr>
                <w:color w:val="000000"/>
                <w:sz w:val="26"/>
                <w:szCs w:val="26"/>
              </w:rPr>
              <w:t>Kopējās izmaksas uz vienu pacientu [LVL]</w:t>
            </w:r>
          </w:p>
        </w:tc>
        <w:tc>
          <w:tcPr>
            <w:tcW w:w="1333" w:type="dxa"/>
            <w:tcBorders>
              <w:top w:val="nil"/>
              <w:left w:val="nil"/>
              <w:bottom w:val="single" w:sz="4" w:space="0" w:color="auto"/>
              <w:right w:val="single" w:sz="4" w:space="0" w:color="auto"/>
            </w:tcBorders>
            <w:shd w:val="clear" w:color="auto" w:fill="auto"/>
            <w:vAlign w:val="center"/>
            <w:hideMark/>
          </w:tcPr>
          <w:p w:rsidR="00286BA2" w:rsidRPr="00B86E9B" w:rsidRDefault="00286BA2" w:rsidP="00286BA2">
            <w:pPr>
              <w:jc w:val="center"/>
              <w:rPr>
                <w:color w:val="000000"/>
                <w:sz w:val="26"/>
                <w:szCs w:val="26"/>
              </w:rPr>
            </w:pPr>
            <w:r w:rsidRPr="00B86E9B">
              <w:rPr>
                <w:color w:val="000000"/>
                <w:sz w:val="26"/>
                <w:szCs w:val="26"/>
              </w:rPr>
              <w:t>626</w:t>
            </w:r>
          </w:p>
        </w:tc>
        <w:tc>
          <w:tcPr>
            <w:tcW w:w="1278" w:type="dxa"/>
            <w:tcBorders>
              <w:top w:val="nil"/>
              <w:left w:val="nil"/>
              <w:bottom w:val="single" w:sz="4" w:space="0" w:color="auto"/>
              <w:right w:val="single" w:sz="4" w:space="0" w:color="auto"/>
            </w:tcBorders>
            <w:shd w:val="clear" w:color="auto" w:fill="auto"/>
            <w:vAlign w:val="center"/>
            <w:hideMark/>
          </w:tcPr>
          <w:p w:rsidR="00286BA2" w:rsidRPr="00B86E9B" w:rsidRDefault="00286BA2" w:rsidP="00286BA2">
            <w:pPr>
              <w:jc w:val="center"/>
              <w:rPr>
                <w:color w:val="000000"/>
                <w:sz w:val="26"/>
                <w:szCs w:val="26"/>
              </w:rPr>
            </w:pPr>
            <w:r w:rsidRPr="00B86E9B">
              <w:rPr>
                <w:color w:val="000000"/>
                <w:sz w:val="26"/>
                <w:szCs w:val="26"/>
              </w:rPr>
              <w:t>508</w:t>
            </w:r>
          </w:p>
        </w:tc>
        <w:tc>
          <w:tcPr>
            <w:tcW w:w="1278" w:type="dxa"/>
            <w:tcBorders>
              <w:top w:val="nil"/>
              <w:left w:val="nil"/>
              <w:bottom w:val="single" w:sz="4" w:space="0" w:color="auto"/>
              <w:right w:val="single" w:sz="4" w:space="0" w:color="auto"/>
            </w:tcBorders>
            <w:shd w:val="clear" w:color="auto" w:fill="auto"/>
            <w:vAlign w:val="center"/>
            <w:hideMark/>
          </w:tcPr>
          <w:p w:rsidR="00286BA2" w:rsidRPr="00B86E9B" w:rsidRDefault="00286BA2" w:rsidP="00286BA2">
            <w:pPr>
              <w:jc w:val="center"/>
              <w:rPr>
                <w:color w:val="000000"/>
                <w:sz w:val="26"/>
                <w:szCs w:val="26"/>
              </w:rPr>
            </w:pPr>
            <w:r w:rsidRPr="00B86E9B">
              <w:rPr>
                <w:color w:val="000000"/>
                <w:sz w:val="26"/>
                <w:szCs w:val="26"/>
              </w:rPr>
              <w:t>416</w:t>
            </w:r>
          </w:p>
        </w:tc>
      </w:tr>
    </w:tbl>
    <w:p w:rsidR="00EC0F76" w:rsidRPr="00B86E9B" w:rsidRDefault="00EC0F76" w:rsidP="00EC0F76">
      <w:pPr>
        <w:pStyle w:val="Virsraksts3"/>
        <w:numPr>
          <w:ilvl w:val="0"/>
          <w:numId w:val="0"/>
        </w:numPr>
        <w:spacing w:before="0" w:after="0"/>
        <w:ind w:firstLine="709"/>
        <w:jc w:val="both"/>
        <w:rPr>
          <w:b w:val="0"/>
          <w:i w:val="0"/>
        </w:rPr>
      </w:pPr>
    </w:p>
    <w:p w:rsidR="005D40D9" w:rsidRPr="00B86E9B" w:rsidRDefault="00A36448" w:rsidP="00EC0F76">
      <w:pPr>
        <w:pStyle w:val="Virsraksts3"/>
        <w:numPr>
          <w:ilvl w:val="0"/>
          <w:numId w:val="0"/>
        </w:numPr>
        <w:spacing w:before="0" w:after="0"/>
        <w:ind w:firstLine="709"/>
        <w:jc w:val="both"/>
        <w:rPr>
          <w:b w:val="0"/>
          <w:i w:val="0"/>
          <w:color w:val="000000"/>
        </w:rPr>
      </w:pPr>
      <w:r w:rsidRPr="00B86E9B">
        <w:rPr>
          <w:b w:val="0"/>
          <w:i w:val="0"/>
          <w:color w:val="000000"/>
        </w:rPr>
        <w:t>Izmaksas</w:t>
      </w:r>
      <w:r w:rsidR="005D40D9" w:rsidRPr="00B86E9B">
        <w:rPr>
          <w:b w:val="0"/>
          <w:i w:val="0"/>
          <w:color w:val="000000"/>
        </w:rPr>
        <w:t xml:space="preserve"> personā</w:t>
      </w:r>
      <w:r w:rsidRPr="00B86E9B">
        <w:rPr>
          <w:b w:val="0"/>
          <w:i w:val="0"/>
          <w:color w:val="000000"/>
        </w:rPr>
        <w:t>la atlīdzībai</w:t>
      </w:r>
      <w:r w:rsidR="009C179B" w:rsidRPr="00B86E9B">
        <w:rPr>
          <w:b w:val="0"/>
          <w:i w:val="0"/>
          <w:color w:val="000000"/>
        </w:rPr>
        <w:t xml:space="preserve"> 2012.gadā</w:t>
      </w:r>
      <w:r w:rsidRPr="00B86E9B">
        <w:rPr>
          <w:b w:val="0"/>
          <w:i w:val="0"/>
          <w:color w:val="000000"/>
        </w:rPr>
        <w:t xml:space="preserve"> ir palielinājušās</w:t>
      </w:r>
      <w:r w:rsidR="005D40D9" w:rsidRPr="00B86E9B">
        <w:rPr>
          <w:b w:val="0"/>
          <w:i w:val="0"/>
          <w:color w:val="000000"/>
        </w:rPr>
        <w:t xml:space="preserve"> gan pret plānu, gan arī salīdzinājumā ar </w:t>
      </w:r>
      <w:r w:rsidR="009C179B" w:rsidRPr="00B86E9B">
        <w:rPr>
          <w:b w:val="0"/>
          <w:i w:val="0"/>
          <w:color w:val="000000"/>
        </w:rPr>
        <w:t>2011.gada izpildi saistībā</w:t>
      </w:r>
      <w:r w:rsidR="005D40D9" w:rsidRPr="00B86E9B">
        <w:rPr>
          <w:b w:val="0"/>
          <w:i w:val="0"/>
          <w:color w:val="000000"/>
        </w:rPr>
        <w:t xml:space="preserve"> ar sekundārās ambulatorās nodaļas atvēršanu un jaunu darbinieku pieņemšanu darbā šajā nodaļā, kā arī, lai nodrošinātu labāku pacientu uzraudzību, darbā pieņemti 3 jaunākie medicīnas darbinieki.</w:t>
      </w:r>
    </w:p>
    <w:p w:rsidR="00EC0F76" w:rsidRPr="00B86E9B" w:rsidRDefault="00EC0F76" w:rsidP="00EC0F76">
      <w:pPr>
        <w:pStyle w:val="Virsraksts3"/>
        <w:numPr>
          <w:ilvl w:val="0"/>
          <w:numId w:val="0"/>
        </w:numPr>
        <w:spacing w:before="0" w:after="0"/>
        <w:ind w:firstLine="709"/>
        <w:jc w:val="both"/>
        <w:rPr>
          <w:b w:val="0"/>
          <w:i w:val="0"/>
        </w:rPr>
      </w:pPr>
      <w:r w:rsidRPr="00B86E9B">
        <w:rPr>
          <w:b w:val="0"/>
          <w:i w:val="0"/>
        </w:rPr>
        <w:t>BPNS „Ainaži”</w:t>
      </w:r>
      <w:r w:rsidRPr="00B86E9B">
        <w:rPr>
          <w:b w:val="0"/>
        </w:rPr>
        <w:t xml:space="preserve"> </w:t>
      </w:r>
      <w:r w:rsidRPr="00B86E9B">
        <w:rPr>
          <w:b w:val="0"/>
          <w:i w:val="0"/>
        </w:rPr>
        <w:t xml:space="preserve">naudas līdzekļu atlikums uz 31.12.2012. bija  </w:t>
      </w:r>
      <w:r w:rsidR="002A1FEE" w:rsidRPr="00B86E9B">
        <w:rPr>
          <w:b w:val="0"/>
          <w:i w:val="0"/>
        </w:rPr>
        <w:t>366 172 </w:t>
      </w:r>
      <w:r w:rsidRPr="00B86E9B">
        <w:rPr>
          <w:b w:val="0"/>
          <w:i w:val="0"/>
        </w:rPr>
        <w:t>LVL, tajā skaitā</w:t>
      </w:r>
      <w:r w:rsidR="00DE615D" w:rsidRPr="00B86E9B">
        <w:rPr>
          <w:b w:val="0"/>
          <w:i w:val="0"/>
        </w:rPr>
        <w:t>,</w:t>
      </w:r>
      <w:r w:rsidRPr="00B86E9B">
        <w:rPr>
          <w:b w:val="0"/>
          <w:i w:val="0"/>
        </w:rPr>
        <w:t xml:space="preserve"> pašu līdzekļi 366 172 LVL apmērā. BPNS „Ainaži”</w:t>
      </w:r>
      <w:r w:rsidRPr="00B86E9B">
        <w:rPr>
          <w:rStyle w:val="Izteiksmgs"/>
        </w:rPr>
        <w:t xml:space="preserve"> </w:t>
      </w:r>
      <w:r w:rsidRPr="00B86E9B">
        <w:rPr>
          <w:b w:val="0"/>
          <w:i w:val="0"/>
        </w:rPr>
        <w:t>atlikuma apmērs 2012.gadā salīdzinājumā ar 2012.gada plānu ir palielinājies par  65 546 LVL (21,8%).</w:t>
      </w:r>
    </w:p>
    <w:p w:rsidR="00135730" w:rsidRDefault="00135730" w:rsidP="00500CA7">
      <w:pPr>
        <w:spacing w:line="276" w:lineRule="auto"/>
        <w:rPr>
          <w:i/>
          <w:sz w:val="28"/>
          <w:szCs w:val="28"/>
        </w:rPr>
      </w:pPr>
    </w:p>
    <w:p w:rsidR="00EC0F76" w:rsidRPr="00B86E9B" w:rsidRDefault="00EC0F76" w:rsidP="00500CA7">
      <w:pPr>
        <w:tabs>
          <w:tab w:val="left" w:pos="851"/>
        </w:tabs>
        <w:jc w:val="right"/>
        <w:rPr>
          <w:sz w:val="28"/>
          <w:szCs w:val="28"/>
        </w:rPr>
      </w:pPr>
      <w:r w:rsidRPr="00B86E9B">
        <w:rPr>
          <w:i/>
          <w:sz w:val="28"/>
          <w:szCs w:val="28"/>
        </w:rPr>
        <w:t>Tabula Nr.33: BPNS „Ainaži” finanšu rādītāji 2012.gadā [LVL]</w:t>
      </w:r>
    </w:p>
    <w:tbl>
      <w:tblPr>
        <w:tblStyle w:val="Reatabula"/>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755"/>
        <w:gridCol w:w="1677"/>
        <w:gridCol w:w="1694"/>
        <w:gridCol w:w="1753"/>
      </w:tblGrid>
      <w:tr w:rsidR="00EC0F76" w:rsidRPr="00B86E9B" w:rsidTr="00E958A1">
        <w:trPr>
          <w:jc w:val="center"/>
        </w:trPr>
        <w:tc>
          <w:tcPr>
            <w:tcW w:w="2160" w:type="dxa"/>
            <w:shd w:val="clear" w:color="auto" w:fill="D9D9D9" w:themeFill="background1" w:themeFillShade="D9"/>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Rādītāji</w:t>
            </w:r>
          </w:p>
        </w:tc>
        <w:tc>
          <w:tcPr>
            <w:tcW w:w="1800" w:type="dxa"/>
            <w:shd w:val="clear" w:color="auto" w:fill="D9D9D9" w:themeFill="background1" w:themeFillShade="D9"/>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Plānotie</w:t>
            </w:r>
          </w:p>
        </w:tc>
        <w:tc>
          <w:tcPr>
            <w:tcW w:w="1710" w:type="dxa"/>
            <w:shd w:val="clear" w:color="auto" w:fill="D9D9D9" w:themeFill="background1" w:themeFillShade="D9"/>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Faktiskie</w:t>
            </w:r>
          </w:p>
        </w:tc>
        <w:tc>
          <w:tcPr>
            <w:tcW w:w="1729" w:type="dxa"/>
            <w:shd w:val="clear" w:color="auto" w:fill="D9D9D9" w:themeFill="background1" w:themeFillShade="D9"/>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skaitliski</w:t>
            </w:r>
          </w:p>
        </w:tc>
        <w:tc>
          <w:tcPr>
            <w:tcW w:w="1777" w:type="dxa"/>
            <w:shd w:val="clear" w:color="auto" w:fill="D9D9D9" w:themeFill="background1" w:themeFillShade="D9"/>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procentuāli</w:t>
            </w:r>
          </w:p>
        </w:tc>
      </w:tr>
      <w:tr w:rsidR="00EC0F76" w:rsidRPr="00B86E9B" w:rsidTr="00E958A1">
        <w:trPr>
          <w:trHeight w:val="226"/>
          <w:jc w:val="center"/>
        </w:trPr>
        <w:tc>
          <w:tcPr>
            <w:tcW w:w="2160"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ieņēmumi</w:t>
            </w:r>
          </w:p>
        </w:tc>
        <w:tc>
          <w:tcPr>
            <w:tcW w:w="1800" w:type="dxa"/>
            <w:vAlign w:val="center"/>
          </w:tcPr>
          <w:p w:rsidR="00EC0F76" w:rsidRPr="00B86E9B" w:rsidRDefault="00EC0F76" w:rsidP="00E958A1">
            <w:pPr>
              <w:jc w:val="center"/>
              <w:rPr>
                <w:color w:val="000000"/>
                <w:sz w:val="26"/>
                <w:szCs w:val="26"/>
              </w:rPr>
            </w:pPr>
            <w:r w:rsidRPr="00B86E9B">
              <w:rPr>
                <w:color w:val="000000"/>
                <w:sz w:val="26"/>
                <w:szCs w:val="26"/>
              </w:rPr>
              <w:t>694 956</w:t>
            </w:r>
          </w:p>
        </w:tc>
        <w:tc>
          <w:tcPr>
            <w:tcW w:w="1710" w:type="dxa"/>
            <w:vAlign w:val="center"/>
          </w:tcPr>
          <w:p w:rsidR="00EC0F76" w:rsidRPr="00B86E9B" w:rsidRDefault="00EC0F76" w:rsidP="00E958A1">
            <w:pPr>
              <w:jc w:val="center"/>
              <w:rPr>
                <w:color w:val="000000"/>
                <w:sz w:val="26"/>
                <w:szCs w:val="26"/>
              </w:rPr>
            </w:pPr>
            <w:r w:rsidRPr="00B86E9B">
              <w:rPr>
                <w:color w:val="000000"/>
                <w:sz w:val="26"/>
                <w:szCs w:val="26"/>
              </w:rPr>
              <w:t>729 514</w:t>
            </w:r>
          </w:p>
        </w:tc>
        <w:tc>
          <w:tcPr>
            <w:tcW w:w="1729"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+34 558</w:t>
            </w:r>
          </w:p>
        </w:tc>
        <w:tc>
          <w:tcPr>
            <w:tcW w:w="1777"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+5,0%</w:t>
            </w:r>
          </w:p>
        </w:tc>
      </w:tr>
      <w:tr w:rsidR="00EC0F76" w:rsidRPr="00B86E9B" w:rsidTr="00E958A1">
        <w:trPr>
          <w:trHeight w:val="352"/>
          <w:jc w:val="center"/>
        </w:trPr>
        <w:tc>
          <w:tcPr>
            <w:tcW w:w="2160"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izdevumi</w:t>
            </w:r>
          </w:p>
        </w:tc>
        <w:tc>
          <w:tcPr>
            <w:tcW w:w="1800" w:type="dxa"/>
            <w:vAlign w:val="center"/>
          </w:tcPr>
          <w:p w:rsidR="00EC0F76" w:rsidRPr="00B86E9B" w:rsidRDefault="00EC0F76" w:rsidP="00E958A1">
            <w:pPr>
              <w:jc w:val="center"/>
              <w:rPr>
                <w:color w:val="000000"/>
                <w:sz w:val="26"/>
                <w:szCs w:val="26"/>
              </w:rPr>
            </w:pPr>
            <w:r w:rsidRPr="00B86E9B">
              <w:rPr>
                <w:color w:val="000000"/>
                <w:sz w:val="26"/>
                <w:szCs w:val="26"/>
              </w:rPr>
              <w:t>847 000</w:t>
            </w:r>
          </w:p>
        </w:tc>
        <w:tc>
          <w:tcPr>
            <w:tcW w:w="1710" w:type="dxa"/>
            <w:vAlign w:val="center"/>
          </w:tcPr>
          <w:p w:rsidR="00EC0F76" w:rsidRPr="00B86E9B" w:rsidRDefault="00EC0F76" w:rsidP="00E958A1">
            <w:pPr>
              <w:jc w:val="center"/>
              <w:rPr>
                <w:color w:val="000000"/>
                <w:sz w:val="26"/>
                <w:szCs w:val="26"/>
              </w:rPr>
            </w:pPr>
            <w:r w:rsidRPr="00B86E9B">
              <w:rPr>
                <w:color w:val="000000"/>
                <w:sz w:val="26"/>
                <w:szCs w:val="26"/>
              </w:rPr>
              <w:t>731 230</w:t>
            </w:r>
          </w:p>
        </w:tc>
        <w:tc>
          <w:tcPr>
            <w:tcW w:w="1729" w:type="dxa"/>
            <w:vAlign w:val="center"/>
          </w:tcPr>
          <w:p w:rsidR="00EC0F76" w:rsidRPr="00B86E9B" w:rsidRDefault="00EC0F76" w:rsidP="00E958A1">
            <w:pPr>
              <w:pStyle w:val="Sarakstarindkopa"/>
              <w:spacing w:after="0" w:line="240" w:lineRule="auto"/>
              <w:ind w:left="-80"/>
              <w:jc w:val="center"/>
              <w:rPr>
                <w:rFonts w:ascii="Times New Roman" w:hAnsi="Times New Roman"/>
                <w:sz w:val="26"/>
                <w:szCs w:val="26"/>
              </w:rPr>
            </w:pPr>
            <w:r w:rsidRPr="00B86E9B">
              <w:rPr>
                <w:rFonts w:ascii="Times New Roman" w:hAnsi="Times New Roman"/>
                <w:sz w:val="26"/>
                <w:szCs w:val="26"/>
              </w:rPr>
              <w:t>-115 770</w:t>
            </w:r>
          </w:p>
        </w:tc>
        <w:tc>
          <w:tcPr>
            <w:tcW w:w="1777"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-13,7 %</w:t>
            </w:r>
          </w:p>
        </w:tc>
      </w:tr>
      <w:tr w:rsidR="00EC0F76" w:rsidRPr="00B86E9B" w:rsidTr="00E958A1">
        <w:trPr>
          <w:jc w:val="center"/>
        </w:trPr>
        <w:tc>
          <w:tcPr>
            <w:tcW w:w="2160"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Nolietojums</w:t>
            </w:r>
          </w:p>
        </w:tc>
        <w:tc>
          <w:tcPr>
            <w:tcW w:w="1800"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174 897</w:t>
            </w:r>
          </w:p>
        </w:tc>
        <w:tc>
          <w:tcPr>
            <w:tcW w:w="1710"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50 547</w:t>
            </w:r>
          </w:p>
        </w:tc>
        <w:tc>
          <w:tcPr>
            <w:tcW w:w="1729"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-124 350</w:t>
            </w:r>
          </w:p>
        </w:tc>
        <w:tc>
          <w:tcPr>
            <w:tcW w:w="1777" w:type="dxa"/>
            <w:vAlign w:val="center"/>
          </w:tcPr>
          <w:p w:rsidR="00EC0F76" w:rsidRPr="00B86E9B" w:rsidRDefault="00EC0F76" w:rsidP="00E958A1">
            <w:pPr>
              <w:jc w:val="center"/>
              <w:rPr>
                <w:sz w:val="26"/>
                <w:szCs w:val="26"/>
              </w:rPr>
            </w:pPr>
            <w:r w:rsidRPr="00B86E9B">
              <w:rPr>
                <w:sz w:val="26"/>
                <w:szCs w:val="26"/>
              </w:rPr>
              <w:t>-71,1 %</w:t>
            </w:r>
          </w:p>
        </w:tc>
      </w:tr>
      <w:tr w:rsidR="00EC0F76" w:rsidRPr="00B86E9B" w:rsidTr="00E958A1">
        <w:trPr>
          <w:jc w:val="center"/>
        </w:trPr>
        <w:tc>
          <w:tcPr>
            <w:tcW w:w="2160"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Zaudējumi</w:t>
            </w:r>
          </w:p>
        </w:tc>
        <w:tc>
          <w:tcPr>
            <w:tcW w:w="1800" w:type="dxa"/>
            <w:vAlign w:val="center"/>
          </w:tcPr>
          <w:p w:rsidR="00EC0F76" w:rsidRPr="00B86E9B" w:rsidRDefault="00EC0F76" w:rsidP="00E958A1">
            <w:pPr>
              <w:jc w:val="center"/>
              <w:rPr>
                <w:color w:val="000000"/>
                <w:sz w:val="26"/>
                <w:szCs w:val="26"/>
              </w:rPr>
            </w:pPr>
            <w:r w:rsidRPr="00B86E9B">
              <w:rPr>
                <w:color w:val="000000"/>
                <w:sz w:val="26"/>
                <w:szCs w:val="26"/>
              </w:rPr>
              <w:t>-152 044</w:t>
            </w:r>
          </w:p>
        </w:tc>
        <w:tc>
          <w:tcPr>
            <w:tcW w:w="1710" w:type="dxa"/>
            <w:vAlign w:val="center"/>
          </w:tcPr>
          <w:p w:rsidR="00EC0F76" w:rsidRPr="00B86E9B" w:rsidRDefault="00EC0F76" w:rsidP="00E958A1">
            <w:pPr>
              <w:jc w:val="center"/>
              <w:rPr>
                <w:color w:val="000000"/>
                <w:sz w:val="26"/>
                <w:szCs w:val="26"/>
              </w:rPr>
            </w:pPr>
            <w:r w:rsidRPr="00B86E9B">
              <w:rPr>
                <w:color w:val="000000"/>
                <w:sz w:val="26"/>
                <w:szCs w:val="26"/>
              </w:rPr>
              <w:t>-1 716</w:t>
            </w:r>
          </w:p>
        </w:tc>
        <w:tc>
          <w:tcPr>
            <w:tcW w:w="1729" w:type="dxa"/>
            <w:vAlign w:val="center"/>
          </w:tcPr>
          <w:p w:rsidR="00EC0F76" w:rsidRPr="00B86E9B" w:rsidRDefault="00EC0F76"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+150 328</w:t>
            </w:r>
          </w:p>
        </w:tc>
        <w:tc>
          <w:tcPr>
            <w:tcW w:w="1777" w:type="dxa"/>
            <w:vAlign w:val="center"/>
          </w:tcPr>
          <w:p w:rsidR="00EC0F76" w:rsidRPr="00B86E9B" w:rsidRDefault="00EC0F76" w:rsidP="00E958A1">
            <w:pPr>
              <w:jc w:val="center"/>
              <w:rPr>
                <w:sz w:val="26"/>
                <w:szCs w:val="26"/>
              </w:rPr>
            </w:pPr>
            <w:r w:rsidRPr="00B86E9B">
              <w:rPr>
                <w:sz w:val="26"/>
                <w:szCs w:val="26"/>
              </w:rPr>
              <w:t>+98,9%</w:t>
            </w:r>
          </w:p>
        </w:tc>
      </w:tr>
    </w:tbl>
    <w:p w:rsidR="00EC0F76" w:rsidRPr="00B86E9B" w:rsidRDefault="00EC0F76" w:rsidP="00EC0F76">
      <w:pPr>
        <w:rPr>
          <w:sz w:val="28"/>
          <w:szCs w:val="28"/>
        </w:rPr>
      </w:pPr>
    </w:p>
    <w:p w:rsidR="003D30B0" w:rsidRPr="00B86E9B" w:rsidRDefault="00EC0F76" w:rsidP="00EC0F76">
      <w:pPr>
        <w:ind w:right="-119" w:firstLine="698"/>
        <w:jc w:val="both"/>
        <w:rPr>
          <w:color w:val="000000"/>
          <w:sz w:val="28"/>
          <w:szCs w:val="28"/>
        </w:rPr>
      </w:pPr>
      <w:r w:rsidRPr="00B86E9B">
        <w:rPr>
          <w:sz w:val="28"/>
          <w:szCs w:val="28"/>
        </w:rPr>
        <w:lastRenderedPageBreak/>
        <w:t>BPNS „Ainaži” 2012.gada zaudējumi bija plānoti</w:t>
      </w:r>
      <w:r w:rsidR="007314C3" w:rsidRPr="00B86E9B">
        <w:rPr>
          <w:sz w:val="28"/>
          <w:szCs w:val="28"/>
        </w:rPr>
        <w:t>, pamatojoties uz to, ka faktiskie izdevumi par sniegtajiem veselības aprūpes pakalpojumiem ir augstāki nekā Ministru kabineta 2006.gada 19.decembra noteikumos Nr.1046 „Veselības aprūpes organizēšanas un finansēšanas kārtība” atsevišķām veselības aprūpes programmām un pakalpojumiem noteiktie tarifi, jo valsts budžeta ierobežoto iespēju dēļ jau ilgstoši tarifi nav aktualizēti, lai iekļautu pakalpojumu sniegšanai nepieciešamo resursu sadārdzināšanos</w:t>
      </w:r>
      <w:r w:rsidRPr="00B86E9B">
        <w:rPr>
          <w:color w:val="000000"/>
          <w:sz w:val="28"/>
          <w:szCs w:val="28"/>
        </w:rPr>
        <w:t>. Salīdzinot ar 2012.gada plānu, zaudējumi ir samazinājušies par 150 328 LVL (98,9%) un, salīdzinot ar 2011.gada izpildi, samazinājušies par 26 854 LVL (94,0%), kas ir vērtējams pozitīvi. Zaudējumi salīdzinot ar 2012.gada plānu</w:t>
      </w:r>
      <w:r w:rsidR="00A61C89" w:rsidRPr="00B86E9B">
        <w:rPr>
          <w:color w:val="000000"/>
          <w:sz w:val="28"/>
          <w:szCs w:val="28"/>
        </w:rPr>
        <w:t xml:space="preserve"> ir samazinājušies</w:t>
      </w:r>
      <w:r w:rsidRPr="00B86E9B">
        <w:rPr>
          <w:color w:val="000000"/>
          <w:sz w:val="28"/>
          <w:szCs w:val="28"/>
        </w:rPr>
        <w:t xml:space="preserve">, jo palielinājās pieprasījums pēc slimnīcas sniegtajiem stacionārās un ambulatorās veselības aprūpes pakalpojumiem, kā rezultātā palielinājās arī slimnīcas kopējie ieņēmumi, kā arī ir samazinājušās kopējās izmaksas </w:t>
      </w:r>
      <w:r w:rsidR="00786C25" w:rsidRPr="00B86E9B">
        <w:rPr>
          <w:color w:val="000000"/>
          <w:sz w:val="28"/>
          <w:szCs w:val="28"/>
        </w:rPr>
        <w:t>saistībā ar pamatlīdzekļu nolietojuma normu izmaiņām, kas tika veiktas pēc Veselības ministrijas ieteikuma</w:t>
      </w:r>
      <w:r w:rsidRPr="00B86E9B">
        <w:rPr>
          <w:color w:val="000000"/>
          <w:sz w:val="28"/>
          <w:szCs w:val="28"/>
        </w:rPr>
        <w:t>.</w:t>
      </w:r>
    </w:p>
    <w:p w:rsidR="00EC5D08" w:rsidRPr="00B86E9B" w:rsidRDefault="00EC5D08" w:rsidP="00EC0F76">
      <w:pPr>
        <w:ind w:right="-119" w:firstLine="698"/>
        <w:jc w:val="both"/>
        <w:rPr>
          <w:rStyle w:val="Izteiksmgs"/>
          <w:b w:val="0"/>
          <w:sz w:val="28"/>
          <w:szCs w:val="28"/>
        </w:rPr>
      </w:pPr>
      <w:r w:rsidRPr="00B86E9B">
        <w:rPr>
          <w:sz w:val="28"/>
          <w:szCs w:val="28"/>
          <w:lang w:eastAsia="lv-LV"/>
        </w:rPr>
        <w:t>Ņemot vērā 2013.gada beigās papildus piešķirto valsts budžeta finansējumu veselības aprūpes pakalpojumu pieejamības uzlabošanai 4 633 448 LVL apmērā (Ministru kabineta 2013.gada 4.oktobra rīkojums Nr.459) un stacionāro ārstniecības iestāžu infrastruktūr</w:t>
      </w:r>
      <w:r w:rsidR="002540EB" w:rsidRPr="00B86E9B">
        <w:rPr>
          <w:sz w:val="28"/>
          <w:szCs w:val="28"/>
          <w:lang w:eastAsia="lv-LV"/>
        </w:rPr>
        <w:t>as uzturēšanas izdevumu</w:t>
      </w:r>
      <w:r w:rsidRPr="00B86E9B">
        <w:rPr>
          <w:sz w:val="28"/>
          <w:szCs w:val="28"/>
          <w:lang w:eastAsia="lv-LV"/>
        </w:rPr>
        <w:t xml:space="preserve"> segšanai 5 332 132 LVL apmērā (Ministru kabineta 2013.gada 20.decembra rīkojums Nr.674) plānojams, ka 2013.gadā </w:t>
      </w:r>
      <w:r w:rsidRPr="00B86E9B">
        <w:rPr>
          <w:sz w:val="28"/>
          <w:szCs w:val="28"/>
        </w:rPr>
        <w:t>BPNS „Ainaži”</w:t>
      </w:r>
      <w:r w:rsidRPr="00B86E9B">
        <w:rPr>
          <w:sz w:val="28"/>
          <w:szCs w:val="28"/>
          <w:lang w:eastAsia="lv-LV"/>
        </w:rPr>
        <w:t xml:space="preserve"> finansiālā situācija uzlabosies.</w:t>
      </w:r>
    </w:p>
    <w:p w:rsidR="003E35A3" w:rsidRPr="00B86E9B" w:rsidRDefault="003E35A3" w:rsidP="003E35A3">
      <w:pPr>
        <w:ind w:firstLine="720"/>
        <w:jc w:val="both"/>
        <w:rPr>
          <w:sz w:val="28"/>
          <w:szCs w:val="28"/>
        </w:rPr>
      </w:pPr>
      <w:r w:rsidRPr="00B86E9B">
        <w:rPr>
          <w:sz w:val="28"/>
          <w:szCs w:val="28"/>
        </w:rPr>
        <w:t xml:space="preserve">BPNS „Ainaži” veikusi virkni pasākumu tās attīstībai, darba efektivitātes palielināšanai, kā arī zaudējuma apmērā samazināšanai: </w:t>
      </w:r>
    </w:p>
    <w:p w:rsidR="003E35A3" w:rsidRPr="00B86E9B" w:rsidRDefault="003E35A3" w:rsidP="003E35A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Izveidojusi sabalansētu 2013.gada budžetu, kas saskaņā ar operatīvo informāciju tiek sekmīgi īstenots.</w:t>
      </w:r>
    </w:p>
    <w:p w:rsidR="003E35A3" w:rsidRPr="00B86E9B" w:rsidRDefault="003E35A3" w:rsidP="003E35A3">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Salīdzinot ar 2012.gadu, optimizējusi preču un pakalpojumu izdevumus (medikamentiem un medicīnas precēm, elektroenerģijas patēriņš, komunālos izdevumus, administratīviem izdevumiem). Prognozētais efekts 2013.gadā 9 697 LVL. </w:t>
      </w:r>
    </w:p>
    <w:p w:rsidR="00DA6C57" w:rsidRPr="00500CA7" w:rsidRDefault="003E35A3" w:rsidP="00500CA7">
      <w:pPr>
        <w:pStyle w:val="Virsraksts1"/>
        <w:numPr>
          <w:ilvl w:val="0"/>
          <w:numId w:val="17"/>
        </w:numPr>
        <w:spacing w:before="0" w:after="0"/>
        <w:ind w:left="709"/>
        <w:jc w:val="both"/>
        <w:rPr>
          <w:rStyle w:val="Izteiksmgs"/>
          <w:bCs w:val="0"/>
        </w:rPr>
      </w:pPr>
      <w:r w:rsidRPr="00B86E9B">
        <w:rPr>
          <w:b w:val="0"/>
        </w:rPr>
        <w:t xml:space="preserve">Pārskatījusi pamatlīdzekļu nolietojuma amortizācijas normas, atbilstoši Veselības ministrijas rekomendācijām. 2012.gadā ekonomiskais efekts 124 350 LVL. </w:t>
      </w:r>
    </w:p>
    <w:p w:rsidR="00135730" w:rsidRPr="00B86E9B" w:rsidRDefault="00135730" w:rsidP="00135730">
      <w:pPr>
        <w:ind w:right="-119"/>
        <w:jc w:val="both"/>
        <w:rPr>
          <w:rStyle w:val="Izteiksmgs"/>
          <w:b w:val="0"/>
          <w:sz w:val="28"/>
          <w:szCs w:val="28"/>
        </w:rPr>
      </w:pPr>
    </w:p>
    <w:p w:rsidR="008872C4" w:rsidRPr="00B86E9B" w:rsidRDefault="008872C4" w:rsidP="008872C4">
      <w:pPr>
        <w:pStyle w:val="Virsraksts3"/>
        <w:numPr>
          <w:ilvl w:val="2"/>
          <w:numId w:val="7"/>
        </w:numPr>
        <w:spacing w:before="0" w:after="0"/>
        <w:ind w:left="1418"/>
      </w:pPr>
      <w:r w:rsidRPr="00B86E9B">
        <w:t>Nākotnes attīstības plāni, kas nodrošinās stabilu un sekmīgu BPNS „Ainaži” turpmāko darbību</w:t>
      </w:r>
    </w:p>
    <w:p w:rsidR="008872C4" w:rsidRPr="00B86E9B" w:rsidRDefault="008872C4" w:rsidP="00425672">
      <w:pPr>
        <w:ind w:right="-119" w:firstLine="698"/>
        <w:jc w:val="both"/>
        <w:rPr>
          <w:rStyle w:val="Izteiksmgs"/>
          <w:b w:val="0"/>
          <w:sz w:val="28"/>
          <w:szCs w:val="28"/>
        </w:rPr>
      </w:pPr>
    </w:p>
    <w:p w:rsidR="00644A66" w:rsidRPr="00B86E9B" w:rsidRDefault="00644A66" w:rsidP="00644A66">
      <w:pPr>
        <w:ind w:firstLine="709"/>
        <w:jc w:val="both"/>
        <w:rPr>
          <w:rStyle w:val="Izteiksmgs"/>
          <w:b w:val="0"/>
          <w:sz w:val="28"/>
          <w:szCs w:val="28"/>
        </w:rPr>
      </w:pPr>
      <w:r w:rsidRPr="00B86E9B">
        <w:rPr>
          <w:rStyle w:val="Izteiksmgs"/>
          <w:b w:val="0"/>
          <w:sz w:val="28"/>
          <w:szCs w:val="28"/>
        </w:rPr>
        <w:t xml:space="preserve">Saskaņā ar nākotnes attīstības plāniem </w:t>
      </w:r>
      <w:r w:rsidRPr="00B86E9B">
        <w:rPr>
          <w:sz w:val="28"/>
          <w:szCs w:val="28"/>
        </w:rPr>
        <w:t>BPNS „Ainaži”</w:t>
      </w:r>
      <w:r w:rsidRPr="00B86E9B">
        <w:rPr>
          <w:rStyle w:val="Izteiksmgs"/>
          <w:b w:val="0"/>
          <w:sz w:val="28"/>
          <w:szCs w:val="28"/>
        </w:rPr>
        <w:t>:</w:t>
      </w:r>
    </w:p>
    <w:p w:rsidR="00644A66" w:rsidRPr="00B86E9B" w:rsidRDefault="00644A66" w:rsidP="00197C02">
      <w:pPr>
        <w:pStyle w:val="Sarakstarindkopa"/>
        <w:numPr>
          <w:ilvl w:val="0"/>
          <w:numId w:val="35"/>
        </w:numPr>
        <w:spacing w:after="0" w:line="240" w:lineRule="auto"/>
        <w:ind w:left="709" w:hanging="357"/>
        <w:jc w:val="both"/>
        <w:rPr>
          <w:rStyle w:val="Izteiksmgs"/>
          <w:rFonts w:ascii="Times New Roman" w:hAnsi="Times New Roman"/>
          <w:b w:val="0"/>
          <w:sz w:val="28"/>
          <w:szCs w:val="28"/>
        </w:rPr>
      </w:pPr>
      <w:r w:rsidRPr="00B86E9B">
        <w:rPr>
          <w:rStyle w:val="Izteiksmgs"/>
          <w:rFonts w:ascii="Times New Roman" w:hAnsi="Times New Roman"/>
          <w:b w:val="0"/>
          <w:sz w:val="28"/>
          <w:szCs w:val="28"/>
        </w:rPr>
        <w:t>Nodrošinās efektīvu esošās infrastruktūras uzturēšanu un apsaimniekošanu.</w:t>
      </w:r>
    </w:p>
    <w:p w:rsidR="00644A66" w:rsidRPr="00B86E9B" w:rsidRDefault="00644A66" w:rsidP="00197C02">
      <w:pPr>
        <w:pStyle w:val="Sarakstarindkopa"/>
        <w:numPr>
          <w:ilvl w:val="0"/>
          <w:numId w:val="35"/>
        </w:numPr>
        <w:tabs>
          <w:tab w:val="left" w:pos="1134"/>
        </w:tabs>
        <w:spacing w:after="0" w:line="240" w:lineRule="auto"/>
        <w:ind w:left="709" w:hanging="357"/>
        <w:jc w:val="both"/>
        <w:rPr>
          <w:rFonts w:ascii="Times New Roman" w:hAnsi="Times New Roman"/>
          <w:sz w:val="28"/>
          <w:szCs w:val="28"/>
        </w:rPr>
      </w:pPr>
      <w:r w:rsidRPr="00B86E9B">
        <w:rPr>
          <w:rFonts w:ascii="Times New Roman" w:hAnsi="Times New Roman"/>
          <w:sz w:val="28"/>
          <w:szCs w:val="28"/>
        </w:rPr>
        <w:t>Paaugstinās konkurētspēju, sniegto veselības aprūpes pakalpojumu kvalitāti un nodrošinās darbības augstu izmaksu efektivitāti, attīstot un izveidojot jaunus stacionāros un sekundāros ambulatoros pakalpojumus (smilšu</w:t>
      </w:r>
      <w:r w:rsidR="00E74619" w:rsidRPr="00B86E9B">
        <w:rPr>
          <w:rFonts w:ascii="Times New Roman" w:hAnsi="Times New Roman"/>
          <w:sz w:val="28"/>
          <w:szCs w:val="28"/>
        </w:rPr>
        <w:t xml:space="preserve"> terapija</w:t>
      </w:r>
      <w:r w:rsidRPr="00B86E9B">
        <w:rPr>
          <w:rFonts w:ascii="Times New Roman" w:hAnsi="Times New Roman"/>
          <w:sz w:val="28"/>
          <w:szCs w:val="28"/>
        </w:rPr>
        <w:t xml:space="preserve">, deju terapija, hidroterapija). </w:t>
      </w:r>
    </w:p>
    <w:p w:rsidR="00644A66" w:rsidRPr="00B86E9B" w:rsidRDefault="00644A66" w:rsidP="00197C02">
      <w:pPr>
        <w:pStyle w:val="Sarakstarindkopa"/>
        <w:numPr>
          <w:ilvl w:val="0"/>
          <w:numId w:val="35"/>
        </w:numPr>
        <w:spacing w:after="0" w:line="240" w:lineRule="auto"/>
        <w:ind w:left="709" w:hanging="357"/>
        <w:jc w:val="both"/>
        <w:rPr>
          <w:rStyle w:val="Izteiksmgs"/>
          <w:rFonts w:ascii="Times New Roman" w:hAnsi="Times New Roman"/>
          <w:b w:val="0"/>
          <w:sz w:val="28"/>
          <w:szCs w:val="28"/>
        </w:rPr>
      </w:pPr>
      <w:r w:rsidRPr="00B86E9B">
        <w:rPr>
          <w:rStyle w:val="Izteiksmgs"/>
          <w:rFonts w:ascii="Times New Roman" w:hAnsi="Times New Roman"/>
          <w:b w:val="0"/>
          <w:sz w:val="28"/>
          <w:szCs w:val="28"/>
        </w:rPr>
        <w:t xml:space="preserve">Turpināt attīstīt kvalitātes vadības sistēmu. </w:t>
      </w:r>
    </w:p>
    <w:p w:rsidR="00644A66" w:rsidRPr="00B86E9B" w:rsidRDefault="00644A66" w:rsidP="00197C02">
      <w:pPr>
        <w:pStyle w:val="Sarakstarindkopa"/>
        <w:numPr>
          <w:ilvl w:val="0"/>
          <w:numId w:val="35"/>
        </w:numPr>
        <w:spacing w:after="0" w:line="240" w:lineRule="auto"/>
        <w:ind w:left="709" w:hanging="357"/>
        <w:jc w:val="both"/>
        <w:rPr>
          <w:rStyle w:val="Izteiksmgs"/>
          <w:rFonts w:ascii="Times New Roman" w:hAnsi="Times New Roman"/>
          <w:b w:val="0"/>
          <w:sz w:val="28"/>
          <w:szCs w:val="28"/>
        </w:rPr>
      </w:pPr>
      <w:r w:rsidRPr="00B86E9B">
        <w:rPr>
          <w:rStyle w:val="Izteiksmgs"/>
          <w:rFonts w:ascii="Times New Roman" w:hAnsi="Times New Roman"/>
          <w:b w:val="0"/>
          <w:sz w:val="28"/>
          <w:szCs w:val="28"/>
        </w:rPr>
        <w:lastRenderedPageBreak/>
        <w:t>Sadarbojoties ar novada pašvaldību, veiks vecās slimnīcas ēkas renovāciju, izveidojot sociālās aprūpes centru pieaugušajiem.</w:t>
      </w:r>
    </w:p>
    <w:p w:rsidR="001A1B24" w:rsidRPr="00B86E9B" w:rsidRDefault="00644A66" w:rsidP="0062138D">
      <w:pPr>
        <w:pStyle w:val="Sarakstarindkopa"/>
        <w:numPr>
          <w:ilvl w:val="0"/>
          <w:numId w:val="35"/>
        </w:numPr>
        <w:spacing w:after="0" w:line="240" w:lineRule="auto"/>
        <w:ind w:left="709" w:hanging="357"/>
        <w:jc w:val="both"/>
        <w:rPr>
          <w:rFonts w:ascii="Times New Roman" w:hAnsi="Times New Roman"/>
          <w:bCs/>
          <w:sz w:val="28"/>
          <w:szCs w:val="28"/>
        </w:rPr>
      </w:pPr>
      <w:r w:rsidRPr="00B86E9B">
        <w:rPr>
          <w:rStyle w:val="Izteiksmgs"/>
          <w:rFonts w:ascii="Times New Roman" w:hAnsi="Times New Roman"/>
          <w:b w:val="0"/>
          <w:sz w:val="28"/>
          <w:szCs w:val="28"/>
        </w:rPr>
        <w:t xml:space="preserve">Turpinās konferenču, semināru un tālākizglītības kursu rīkošanu stacionārā dažāda profila ārstiem, vidējam medicīnas personālam, māsu palīgiem, kā arī attīstīs </w:t>
      </w:r>
      <w:r w:rsidRPr="00B86E9B">
        <w:rPr>
          <w:rFonts w:ascii="Times New Roman" w:hAnsi="Times New Roman"/>
          <w:sz w:val="28"/>
          <w:szCs w:val="28"/>
        </w:rPr>
        <w:t>BPNS „Ainaži”</w:t>
      </w:r>
      <w:r w:rsidRPr="00B86E9B">
        <w:rPr>
          <w:rStyle w:val="Izteiksmgs"/>
          <w:rFonts w:ascii="Times New Roman" w:hAnsi="Times New Roman"/>
          <w:b w:val="0"/>
          <w:sz w:val="28"/>
          <w:szCs w:val="28"/>
        </w:rPr>
        <w:t xml:space="preserve"> kā klīnisko bāzi studējošo mācību procesa apguvei.</w:t>
      </w:r>
    </w:p>
    <w:p w:rsidR="001A1B24" w:rsidRPr="00B86E9B" w:rsidRDefault="001A1B24" w:rsidP="00425672">
      <w:pPr>
        <w:ind w:right="-119" w:firstLine="698"/>
        <w:jc w:val="both"/>
        <w:rPr>
          <w:b/>
          <w:sz w:val="28"/>
          <w:szCs w:val="28"/>
        </w:rPr>
      </w:pPr>
    </w:p>
    <w:p w:rsidR="00644A66" w:rsidRPr="00B86E9B" w:rsidRDefault="00021015" w:rsidP="005C09B3">
      <w:pPr>
        <w:pStyle w:val="Virsraksts2"/>
        <w:numPr>
          <w:ilvl w:val="1"/>
          <w:numId w:val="7"/>
        </w:numPr>
        <w:spacing w:before="0" w:after="0"/>
      </w:pPr>
      <w:r w:rsidRPr="00B86E9B">
        <w:t>VSIA „Slimnīca „</w:t>
      </w:r>
      <w:proofErr w:type="spellStart"/>
      <w:r w:rsidRPr="00B86E9B">
        <w:t>Ģintermuiža</w:t>
      </w:r>
      <w:proofErr w:type="spellEnd"/>
      <w:r w:rsidRPr="00B86E9B">
        <w:t>””</w:t>
      </w:r>
    </w:p>
    <w:p w:rsidR="003F3268" w:rsidRPr="00B86E9B" w:rsidRDefault="003F3268" w:rsidP="00425672">
      <w:pPr>
        <w:ind w:right="-119" w:firstLine="698"/>
        <w:jc w:val="both"/>
        <w:rPr>
          <w:b/>
          <w:sz w:val="28"/>
          <w:szCs w:val="28"/>
        </w:rPr>
      </w:pPr>
    </w:p>
    <w:p w:rsidR="00126750" w:rsidRPr="00B86E9B" w:rsidRDefault="00126750" w:rsidP="00126750">
      <w:pPr>
        <w:pStyle w:val="Virsraksts3"/>
        <w:numPr>
          <w:ilvl w:val="2"/>
          <w:numId w:val="7"/>
        </w:numPr>
        <w:spacing w:before="0" w:after="0"/>
        <w:ind w:left="1418"/>
      </w:pPr>
      <w:r w:rsidRPr="00B86E9B">
        <w:t>Vispārēja informācija</w:t>
      </w:r>
    </w:p>
    <w:p w:rsidR="00126750" w:rsidRPr="00B86E9B" w:rsidRDefault="00126750" w:rsidP="00425672">
      <w:pPr>
        <w:ind w:right="-119" w:firstLine="698"/>
        <w:jc w:val="both"/>
        <w:rPr>
          <w:b/>
          <w:sz w:val="28"/>
          <w:szCs w:val="28"/>
        </w:rPr>
      </w:pPr>
    </w:p>
    <w:p w:rsidR="00126750" w:rsidRPr="00B86E9B" w:rsidRDefault="00052E46" w:rsidP="00425672">
      <w:pPr>
        <w:ind w:right="-119" w:firstLine="698"/>
        <w:jc w:val="both"/>
        <w:rPr>
          <w:sz w:val="28"/>
          <w:szCs w:val="28"/>
        </w:rPr>
      </w:pPr>
      <w:r w:rsidRPr="00B86E9B">
        <w:rPr>
          <w:sz w:val="28"/>
          <w:szCs w:val="28"/>
        </w:rPr>
        <w:t>VSIA</w:t>
      </w:r>
      <w:r w:rsidR="00126750" w:rsidRPr="00B86E9B">
        <w:rPr>
          <w:sz w:val="28"/>
          <w:szCs w:val="28"/>
        </w:rPr>
        <w:t xml:space="preserve"> „Slimnīca „</w:t>
      </w:r>
      <w:proofErr w:type="spellStart"/>
      <w:r w:rsidR="00126750" w:rsidRPr="00B86E9B">
        <w:rPr>
          <w:sz w:val="28"/>
          <w:szCs w:val="28"/>
        </w:rPr>
        <w:t>Ģintermuiža</w:t>
      </w:r>
      <w:proofErr w:type="spellEnd"/>
      <w:r w:rsidR="00126750" w:rsidRPr="00B86E9B">
        <w:rPr>
          <w:sz w:val="28"/>
          <w:szCs w:val="28"/>
        </w:rPr>
        <w:t>”” (turpmāk -  Slimnīca „</w:t>
      </w:r>
      <w:proofErr w:type="spellStart"/>
      <w:r w:rsidR="00126750" w:rsidRPr="00B86E9B">
        <w:rPr>
          <w:sz w:val="28"/>
          <w:szCs w:val="28"/>
        </w:rPr>
        <w:t>Ģintermuiža</w:t>
      </w:r>
      <w:proofErr w:type="spellEnd"/>
      <w:r w:rsidR="00126750" w:rsidRPr="00B86E9B">
        <w:rPr>
          <w:sz w:val="28"/>
          <w:szCs w:val="28"/>
        </w:rPr>
        <w:t>) nodrošina augsti kvalificētu un profesionālu stacionārās un ambulatorās psihiatriskās un narkoloģiskās palīdzības sniegšana akūtu un hronisku slimību un traucējumu diagnostikā, ārstēšanā un pacientu rehabilitācijā</w:t>
      </w:r>
      <w:r w:rsidR="00D265C1" w:rsidRPr="00B86E9B">
        <w:rPr>
          <w:sz w:val="28"/>
          <w:szCs w:val="28"/>
        </w:rPr>
        <w:t>.</w:t>
      </w:r>
    </w:p>
    <w:p w:rsidR="00D265C1" w:rsidRPr="00B86E9B" w:rsidRDefault="00D265C1" w:rsidP="00425672">
      <w:pPr>
        <w:ind w:right="-119" w:firstLine="698"/>
        <w:jc w:val="both"/>
        <w:rPr>
          <w:sz w:val="28"/>
          <w:szCs w:val="28"/>
        </w:rPr>
      </w:pPr>
    </w:p>
    <w:p w:rsidR="00D265C1" w:rsidRPr="00B86E9B" w:rsidRDefault="00D265C1" w:rsidP="00D265C1">
      <w:pPr>
        <w:pStyle w:val="Virsraksts3"/>
        <w:numPr>
          <w:ilvl w:val="2"/>
          <w:numId w:val="7"/>
        </w:numPr>
        <w:spacing w:before="0" w:after="0"/>
        <w:ind w:left="1418"/>
      </w:pPr>
      <w:r w:rsidRPr="00B86E9B">
        <w:t>Saimnieciskās darbības analīze</w:t>
      </w:r>
    </w:p>
    <w:p w:rsidR="00D265C1" w:rsidRPr="00B86E9B" w:rsidRDefault="00D265C1" w:rsidP="00425672">
      <w:pPr>
        <w:ind w:right="-119" w:firstLine="698"/>
        <w:jc w:val="both"/>
        <w:rPr>
          <w:sz w:val="28"/>
          <w:szCs w:val="28"/>
        </w:rPr>
      </w:pPr>
    </w:p>
    <w:p w:rsidR="00193D75" w:rsidRPr="00B86E9B" w:rsidRDefault="00193D75" w:rsidP="00193D75">
      <w:pPr>
        <w:ind w:firstLine="720"/>
        <w:jc w:val="both"/>
        <w:rPr>
          <w:sz w:val="28"/>
          <w:szCs w:val="28"/>
        </w:rPr>
      </w:pPr>
      <w:r w:rsidRPr="00B86E9B">
        <w:rPr>
          <w:sz w:val="28"/>
          <w:szCs w:val="28"/>
        </w:rPr>
        <w:t>Slimnīcas „</w:t>
      </w:r>
      <w:proofErr w:type="spellStart"/>
      <w:r w:rsidRPr="00B86E9B">
        <w:rPr>
          <w:sz w:val="28"/>
          <w:szCs w:val="28"/>
        </w:rPr>
        <w:t>Ģintermuiža</w:t>
      </w:r>
      <w:proofErr w:type="spellEnd"/>
      <w:r w:rsidRPr="00B86E9B">
        <w:rPr>
          <w:sz w:val="28"/>
          <w:szCs w:val="28"/>
        </w:rPr>
        <w:t>” galveno finanšu rādītāju tendences 2012.gadā salīdzinot ar 2011.gada rādītājiem nav pozitīvas:</w:t>
      </w:r>
    </w:p>
    <w:p w:rsidR="00193D75" w:rsidRPr="00B86E9B" w:rsidRDefault="00193D75" w:rsidP="00193D75">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apgrozījums ir samazinājies par 258 490 LVL (7,4%);</w:t>
      </w:r>
    </w:p>
    <w:p w:rsidR="00193D75" w:rsidRPr="00B86E9B" w:rsidRDefault="00193D75" w:rsidP="00193D75">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zaudējumi ir palielinājušies par 213 435 LVL;</w:t>
      </w:r>
    </w:p>
    <w:p w:rsidR="00193D75" w:rsidRPr="00B86E9B" w:rsidRDefault="00193D75" w:rsidP="00193D75">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pašu kapitāls ir samazinājies par 196 718 LVL (13,3%);</w:t>
      </w:r>
    </w:p>
    <w:p w:rsidR="00193D75" w:rsidRPr="00B86E9B" w:rsidRDefault="00193D75" w:rsidP="00193D75">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kreditoru saistības ir samazinājušās par 619 787 LVL (6,0%);</w:t>
      </w:r>
    </w:p>
    <w:p w:rsidR="00193D75" w:rsidRPr="00B86E9B" w:rsidRDefault="00193D75" w:rsidP="00193D75">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likviditāte (Vispārējais apgrozāmo līdzekļu koeficients) ir samazinājusies par 1,09 procentpunktiem;</w:t>
      </w:r>
    </w:p>
    <w:p w:rsidR="00193D75" w:rsidRPr="00B86E9B" w:rsidRDefault="00193D75" w:rsidP="00193D75">
      <w:pPr>
        <w:pStyle w:val="Sarakstarindkopa"/>
        <w:numPr>
          <w:ilvl w:val="0"/>
          <w:numId w:val="8"/>
        </w:numPr>
        <w:spacing w:after="0" w:line="240" w:lineRule="auto"/>
        <w:ind w:left="1134"/>
        <w:jc w:val="both"/>
        <w:rPr>
          <w:rFonts w:ascii="Times New Roman" w:hAnsi="Times New Roman"/>
          <w:sz w:val="28"/>
          <w:szCs w:val="28"/>
        </w:rPr>
      </w:pPr>
      <w:r w:rsidRPr="00B86E9B">
        <w:rPr>
          <w:rFonts w:ascii="Times New Roman" w:hAnsi="Times New Roman"/>
          <w:sz w:val="28"/>
          <w:szCs w:val="28"/>
        </w:rPr>
        <w:t>rentabilitāte ir samazinājusies par 8,1 procentpunktiem.</w:t>
      </w:r>
    </w:p>
    <w:p w:rsidR="00120742" w:rsidRPr="00B86E9B" w:rsidRDefault="00120742" w:rsidP="00193D75">
      <w:pPr>
        <w:jc w:val="both"/>
        <w:rPr>
          <w:rStyle w:val="Izteiksmgs"/>
          <w:b w:val="0"/>
          <w:bCs w:val="0"/>
          <w:sz w:val="28"/>
          <w:szCs w:val="28"/>
        </w:rPr>
      </w:pPr>
    </w:p>
    <w:p w:rsidR="00193D75" w:rsidRPr="00B86E9B" w:rsidRDefault="0095366B" w:rsidP="00193D75">
      <w:pPr>
        <w:shd w:val="clear" w:color="auto" w:fill="FFFFFF"/>
        <w:ind w:firstLine="720"/>
        <w:jc w:val="right"/>
      </w:pPr>
      <w:r w:rsidRPr="00B86E9B">
        <w:rPr>
          <w:i/>
          <w:sz w:val="28"/>
          <w:szCs w:val="28"/>
        </w:rPr>
        <w:t>Tabula Nr.3</w:t>
      </w:r>
      <w:r w:rsidR="00193D75" w:rsidRPr="00B86E9B">
        <w:rPr>
          <w:i/>
          <w:sz w:val="28"/>
          <w:szCs w:val="28"/>
        </w:rPr>
        <w:t>4: Slimnīcas „</w:t>
      </w:r>
      <w:proofErr w:type="spellStart"/>
      <w:r w:rsidR="00193D75" w:rsidRPr="00B86E9B">
        <w:rPr>
          <w:i/>
          <w:sz w:val="28"/>
          <w:szCs w:val="28"/>
        </w:rPr>
        <w:t>Ģintermuiža</w:t>
      </w:r>
      <w:proofErr w:type="spellEnd"/>
      <w:r w:rsidR="00193D75" w:rsidRPr="00B86E9B">
        <w:rPr>
          <w:i/>
          <w:sz w:val="28"/>
          <w:szCs w:val="28"/>
        </w:rPr>
        <w:t>” galvenie finanšu rādītāji</w:t>
      </w:r>
    </w:p>
    <w:tbl>
      <w:tblPr>
        <w:tblStyle w:val="Reatabula"/>
        <w:tblW w:w="0" w:type="auto"/>
        <w:tblLook w:val="04A0"/>
      </w:tblPr>
      <w:tblGrid>
        <w:gridCol w:w="5011"/>
        <w:gridCol w:w="2213"/>
        <w:gridCol w:w="2063"/>
      </w:tblGrid>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2012.gads</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2011.gads</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Apgrozījums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3 254 733</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3 513 223</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Peļņa vai zaudējumi pēc nodokļiem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-196 718</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16 717</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Pašu kapitāls [LVL]</w:t>
            </w:r>
          </w:p>
        </w:tc>
        <w:tc>
          <w:tcPr>
            <w:tcW w:w="2274" w:type="dxa"/>
          </w:tcPr>
          <w:p w:rsidR="00193D75" w:rsidRPr="00B86E9B" w:rsidRDefault="0030751F" w:rsidP="00193D75">
            <w:pPr>
              <w:shd w:val="clear" w:color="auto" w:fill="FFFFFF" w:themeFill="background1"/>
              <w:jc w:val="center"/>
              <w:rPr>
                <w:sz w:val="26"/>
                <w:szCs w:val="26"/>
              </w:rPr>
            </w:pPr>
            <w:r w:rsidRPr="00B86E9B">
              <w:rPr>
                <w:sz w:val="26"/>
                <w:szCs w:val="26"/>
              </w:rPr>
              <w:t>1 27</w:t>
            </w:r>
            <w:r w:rsidR="00193D75" w:rsidRPr="00B86E9B">
              <w:rPr>
                <w:sz w:val="26"/>
                <w:szCs w:val="26"/>
              </w:rPr>
              <w:t>7 939</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1 474 657</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Uzkrājumi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322 518</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435 988</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Kreditori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9 690 942</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10 310 729</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Ilgtermiņa ieguldījumi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9 858 288</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9 720 889</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Apgrozāmie līdzekļi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1 433 111</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2 500 485</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Bilances kopsumma [LVL]</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11 291 399</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12 221 374</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Likviditāte (Vispārējais apgrozāmo līdzekļu koeficients)</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1,51</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2,60</w:t>
            </w:r>
          </w:p>
        </w:tc>
      </w:tr>
      <w:tr w:rsidR="00193D75" w:rsidRPr="00B86E9B" w:rsidTr="00E958A1">
        <w:tc>
          <w:tcPr>
            <w:tcW w:w="5233" w:type="dxa"/>
            <w:shd w:val="clear" w:color="auto" w:fill="D9D9D9" w:themeFill="background1" w:themeFillShade="D9"/>
          </w:tcPr>
          <w:p w:rsidR="00193D75" w:rsidRPr="00B86E9B" w:rsidRDefault="00193D75" w:rsidP="00193D75">
            <w:pPr>
              <w:rPr>
                <w:sz w:val="26"/>
                <w:szCs w:val="26"/>
              </w:rPr>
            </w:pPr>
            <w:r w:rsidRPr="00B86E9B">
              <w:rPr>
                <w:sz w:val="26"/>
                <w:szCs w:val="26"/>
              </w:rPr>
              <w:t>Rentabilitāte (Bruto peļņas robeža)[%]</w:t>
            </w:r>
          </w:p>
        </w:tc>
        <w:tc>
          <w:tcPr>
            <w:tcW w:w="2274" w:type="dxa"/>
          </w:tcPr>
          <w:p w:rsidR="00193D75" w:rsidRPr="00B86E9B" w:rsidRDefault="00193D75" w:rsidP="00193D75">
            <w:pPr>
              <w:shd w:val="clear" w:color="auto" w:fill="FFFFFF" w:themeFill="background1"/>
              <w:jc w:val="center"/>
              <w:rPr>
                <w:sz w:val="26"/>
                <w:szCs w:val="26"/>
              </w:rPr>
            </w:pPr>
            <w:r w:rsidRPr="00B86E9B">
              <w:rPr>
                <w:sz w:val="26"/>
                <w:szCs w:val="26"/>
              </w:rPr>
              <w:t>-12,3</w:t>
            </w:r>
          </w:p>
        </w:tc>
        <w:tc>
          <w:tcPr>
            <w:tcW w:w="2114" w:type="dxa"/>
          </w:tcPr>
          <w:p w:rsidR="00193D75" w:rsidRPr="00B86E9B" w:rsidRDefault="00193D75" w:rsidP="00193D75">
            <w:pPr>
              <w:shd w:val="clear" w:color="auto" w:fill="FFFFFF" w:themeFill="background1"/>
              <w:jc w:val="center"/>
              <w:rPr>
                <w:sz w:val="26"/>
                <w:szCs w:val="26"/>
              </w:rPr>
            </w:pPr>
            <w:r w:rsidRPr="00B86E9B">
              <w:rPr>
                <w:sz w:val="26"/>
                <w:szCs w:val="26"/>
              </w:rPr>
              <w:t>-4,2</w:t>
            </w:r>
          </w:p>
        </w:tc>
      </w:tr>
    </w:tbl>
    <w:p w:rsidR="0018537E" w:rsidRPr="00B86E9B" w:rsidRDefault="0018537E" w:rsidP="00193D75">
      <w:pPr>
        <w:tabs>
          <w:tab w:val="left" w:pos="3390"/>
        </w:tabs>
        <w:autoSpaceDE w:val="0"/>
        <w:autoSpaceDN w:val="0"/>
        <w:adjustRightInd w:val="0"/>
        <w:ind w:firstLine="720"/>
        <w:jc w:val="right"/>
        <w:rPr>
          <w:i/>
          <w:sz w:val="28"/>
          <w:szCs w:val="28"/>
        </w:rPr>
      </w:pPr>
    </w:p>
    <w:p w:rsidR="00500CA7" w:rsidRDefault="00500CA7">
      <w:pPr>
        <w:spacing w:after="200" w:line="276" w:lineRule="auto"/>
        <w:rPr>
          <w:i/>
          <w:sz w:val="28"/>
          <w:szCs w:val="28"/>
        </w:rPr>
      </w:pPr>
      <w:r>
        <w:rPr>
          <w:i/>
          <w:sz w:val="28"/>
          <w:szCs w:val="28"/>
        </w:rPr>
        <w:br w:type="page"/>
      </w:r>
    </w:p>
    <w:p w:rsidR="00193D75" w:rsidRPr="00B86E9B" w:rsidRDefault="0095366B" w:rsidP="000A69DC">
      <w:pPr>
        <w:tabs>
          <w:tab w:val="left" w:pos="3390"/>
        </w:tabs>
        <w:autoSpaceDE w:val="0"/>
        <w:autoSpaceDN w:val="0"/>
        <w:adjustRightInd w:val="0"/>
        <w:ind w:firstLine="720"/>
        <w:jc w:val="right"/>
        <w:rPr>
          <w:i/>
          <w:sz w:val="28"/>
          <w:szCs w:val="28"/>
        </w:rPr>
      </w:pPr>
      <w:r w:rsidRPr="00B86E9B">
        <w:rPr>
          <w:i/>
          <w:sz w:val="28"/>
          <w:szCs w:val="28"/>
        </w:rPr>
        <w:lastRenderedPageBreak/>
        <w:t>Tabula Nr.3</w:t>
      </w:r>
      <w:r w:rsidR="00193D75" w:rsidRPr="00B86E9B">
        <w:rPr>
          <w:i/>
          <w:sz w:val="28"/>
          <w:szCs w:val="28"/>
        </w:rPr>
        <w:t>5: Slimnīcas „</w:t>
      </w:r>
      <w:proofErr w:type="spellStart"/>
      <w:r w:rsidR="00193D75" w:rsidRPr="00B86E9B">
        <w:rPr>
          <w:i/>
          <w:sz w:val="28"/>
          <w:szCs w:val="28"/>
        </w:rPr>
        <w:t>Ģintermuiža</w:t>
      </w:r>
      <w:proofErr w:type="spellEnd"/>
      <w:r w:rsidR="00193D75" w:rsidRPr="00B86E9B">
        <w:rPr>
          <w:i/>
          <w:sz w:val="28"/>
          <w:szCs w:val="28"/>
        </w:rPr>
        <w:t>” galvenie naturālie rādītāji</w:t>
      </w:r>
    </w:p>
    <w:tbl>
      <w:tblPr>
        <w:tblStyle w:val="Reatabula"/>
        <w:tblW w:w="0" w:type="auto"/>
        <w:tblLook w:val="04A0"/>
      </w:tblPr>
      <w:tblGrid>
        <w:gridCol w:w="5021"/>
        <w:gridCol w:w="2248"/>
        <w:gridCol w:w="2018"/>
      </w:tblGrid>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2012.gads</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2011.gads</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Darbinieku skaits [slodzes]</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491</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498</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Ambulatoro pacientu skaits [pacienti]</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16 106</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15 455</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Stacionāro pacientu skaits [pacienti]</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3 838</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3 463</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Vidējais gultu skaits [gultas]</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365</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360</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Gultu noslogojums [procentos]</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93,0</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94,6</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Vidējais ārstēšanās ilgums [dienas]</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32</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36</w:t>
            </w:r>
          </w:p>
        </w:tc>
      </w:tr>
      <w:tr w:rsidR="00193D75" w:rsidRPr="00B86E9B" w:rsidTr="00E958A1">
        <w:tc>
          <w:tcPr>
            <w:tcW w:w="5237" w:type="dxa"/>
            <w:shd w:val="clear" w:color="auto" w:fill="D9D9D9" w:themeFill="background1" w:themeFillShade="D9"/>
          </w:tcPr>
          <w:p w:rsidR="00193D75" w:rsidRPr="00B86E9B" w:rsidRDefault="00193D75" w:rsidP="00193D75">
            <w:pPr>
              <w:rPr>
                <w:sz w:val="26"/>
                <w:szCs w:val="26"/>
              </w:rPr>
            </w:pPr>
            <w:r w:rsidRPr="00B86E9B">
              <w:rPr>
                <w:sz w:val="26"/>
                <w:szCs w:val="26"/>
              </w:rPr>
              <w:t>Telpu kopējā platība [kvadrātmetros]</w:t>
            </w:r>
          </w:p>
        </w:tc>
        <w:tc>
          <w:tcPr>
            <w:tcW w:w="2315" w:type="dxa"/>
          </w:tcPr>
          <w:p w:rsidR="00193D75" w:rsidRPr="00B86E9B" w:rsidRDefault="00193D75" w:rsidP="00193D75">
            <w:pPr>
              <w:shd w:val="clear" w:color="auto" w:fill="FFFFFF" w:themeFill="background1"/>
              <w:jc w:val="center"/>
              <w:rPr>
                <w:sz w:val="26"/>
                <w:szCs w:val="26"/>
              </w:rPr>
            </w:pPr>
            <w:r w:rsidRPr="00B86E9B">
              <w:rPr>
                <w:sz w:val="26"/>
                <w:szCs w:val="26"/>
              </w:rPr>
              <w:t>27 309</w:t>
            </w:r>
          </w:p>
        </w:tc>
        <w:tc>
          <w:tcPr>
            <w:tcW w:w="2069" w:type="dxa"/>
          </w:tcPr>
          <w:p w:rsidR="00193D75" w:rsidRPr="00B86E9B" w:rsidRDefault="00193D75" w:rsidP="00193D75">
            <w:pPr>
              <w:shd w:val="clear" w:color="auto" w:fill="FFFFFF" w:themeFill="background1"/>
              <w:jc w:val="center"/>
              <w:rPr>
                <w:sz w:val="26"/>
                <w:szCs w:val="26"/>
              </w:rPr>
            </w:pPr>
            <w:r w:rsidRPr="00B86E9B">
              <w:rPr>
                <w:sz w:val="26"/>
                <w:szCs w:val="26"/>
              </w:rPr>
              <w:t>26 128</w:t>
            </w:r>
          </w:p>
        </w:tc>
      </w:tr>
    </w:tbl>
    <w:p w:rsidR="00193D75" w:rsidRPr="00B86E9B" w:rsidRDefault="00193D75" w:rsidP="00193D75">
      <w:pPr>
        <w:ind w:firstLine="720"/>
        <w:jc w:val="both"/>
        <w:rPr>
          <w:sz w:val="28"/>
          <w:szCs w:val="28"/>
        </w:rPr>
      </w:pPr>
    </w:p>
    <w:p w:rsidR="00D3264D" w:rsidRPr="00B86E9B" w:rsidRDefault="00D3264D" w:rsidP="00D3264D">
      <w:pPr>
        <w:pStyle w:val="Virsraksts3"/>
        <w:numPr>
          <w:ilvl w:val="0"/>
          <w:numId w:val="0"/>
        </w:numPr>
        <w:spacing w:before="0" w:after="0"/>
        <w:ind w:firstLine="706"/>
        <w:jc w:val="both"/>
        <w:rPr>
          <w:b w:val="0"/>
          <w:i w:val="0"/>
          <w:color w:val="000000"/>
        </w:rPr>
      </w:pPr>
      <w:r w:rsidRPr="00B86E9B">
        <w:rPr>
          <w:b w:val="0"/>
          <w:i w:val="0"/>
        </w:rPr>
        <w:t>Slimnīcas „</w:t>
      </w:r>
      <w:proofErr w:type="spellStart"/>
      <w:r w:rsidRPr="00B86E9B">
        <w:rPr>
          <w:b w:val="0"/>
          <w:i w:val="0"/>
        </w:rPr>
        <w:t>Ģintermuiža</w:t>
      </w:r>
      <w:proofErr w:type="spellEnd"/>
      <w:r w:rsidRPr="00B86E9B">
        <w:rPr>
          <w:b w:val="0"/>
          <w:i w:val="0"/>
        </w:rPr>
        <w:t>”</w:t>
      </w:r>
      <w:r w:rsidRPr="00B86E9B">
        <w:rPr>
          <w:rStyle w:val="Izteiksmgs"/>
        </w:rPr>
        <w:t xml:space="preserve"> </w:t>
      </w:r>
      <w:r w:rsidRPr="00B86E9B">
        <w:rPr>
          <w:rFonts w:eastAsia="Calibri"/>
          <w:b w:val="0"/>
          <w:i w:val="0"/>
          <w:lang w:eastAsia="lv-LV"/>
        </w:rPr>
        <w:t xml:space="preserve">kopējie ieņēmumi 2012.gadā bija </w:t>
      </w:r>
      <w:r w:rsidR="002D6BE0" w:rsidRPr="00B86E9B">
        <w:rPr>
          <w:b w:val="0"/>
          <w:i w:val="0"/>
          <w:color w:val="000000"/>
        </w:rPr>
        <w:t>3 </w:t>
      </w:r>
      <w:r w:rsidRPr="00B86E9B">
        <w:rPr>
          <w:b w:val="0"/>
          <w:i w:val="0"/>
          <w:color w:val="000000"/>
        </w:rPr>
        <w:t>583</w:t>
      </w:r>
      <w:r w:rsidR="002D6BE0" w:rsidRPr="00B86E9B">
        <w:rPr>
          <w:b w:val="0"/>
          <w:i w:val="0"/>
          <w:color w:val="000000"/>
        </w:rPr>
        <w:t> </w:t>
      </w:r>
      <w:r w:rsidRPr="00B86E9B">
        <w:rPr>
          <w:b w:val="0"/>
          <w:i w:val="0"/>
          <w:color w:val="000000"/>
        </w:rPr>
        <w:t>907</w:t>
      </w:r>
      <w:r w:rsidR="002D6BE0" w:rsidRPr="00B86E9B">
        <w:rPr>
          <w:color w:val="000000"/>
          <w:sz w:val="22"/>
          <w:szCs w:val="22"/>
        </w:rPr>
        <w:t> </w:t>
      </w:r>
      <w:r w:rsidR="007D1F2D" w:rsidRPr="00B86E9B">
        <w:rPr>
          <w:b w:val="0"/>
          <w:i w:val="0"/>
          <w:color w:val="000000"/>
        </w:rPr>
        <w:t>LVL, kas bija</w:t>
      </w:r>
      <w:r w:rsidRPr="00B86E9B">
        <w:rPr>
          <w:b w:val="0"/>
          <w:i w:val="0"/>
          <w:color w:val="000000"/>
        </w:rPr>
        <w:t xml:space="preserve"> par 28 307 LVL (0,8%) lielāki nekā plānots un par </w:t>
      </w:r>
      <w:r w:rsidR="007D1F2D" w:rsidRPr="00B86E9B">
        <w:rPr>
          <w:b w:val="0"/>
          <w:i w:val="0"/>
          <w:color w:val="000000"/>
        </w:rPr>
        <w:t>374 </w:t>
      </w:r>
      <w:r w:rsidRPr="00B86E9B">
        <w:rPr>
          <w:b w:val="0"/>
          <w:i w:val="0"/>
          <w:color w:val="000000"/>
        </w:rPr>
        <w:t>487 LVL (9,5%) mazāki nekā kopējie 2011.gada ieņēmumi.</w:t>
      </w:r>
    </w:p>
    <w:p w:rsidR="00D3264D" w:rsidRPr="00B86E9B" w:rsidRDefault="00D3264D" w:rsidP="00966CBD">
      <w:pPr>
        <w:ind w:firstLine="706"/>
        <w:jc w:val="both"/>
        <w:rPr>
          <w:sz w:val="28"/>
          <w:szCs w:val="28"/>
        </w:rPr>
      </w:pPr>
      <w:r w:rsidRPr="00B86E9B">
        <w:rPr>
          <w:rFonts w:eastAsia="Calibri"/>
          <w:sz w:val="28"/>
          <w:szCs w:val="28"/>
        </w:rPr>
        <w:t xml:space="preserve">2012.gadā </w:t>
      </w:r>
      <w:r w:rsidRPr="00B86E9B">
        <w:rPr>
          <w:sz w:val="28"/>
          <w:szCs w:val="28"/>
        </w:rPr>
        <w:t>Slimnīcas „</w:t>
      </w:r>
      <w:proofErr w:type="spellStart"/>
      <w:r w:rsidRPr="00B86E9B">
        <w:rPr>
          <w:sz w:val="28"/>
          <w:szCs w:val="28"/>
        </w:rPr>
        <w:t>Ģintermuiža</w:t>
      </w:r>
      <w:proofErr w:type="spellEnd"/>
      <w:r w:rsidRPr="00B86E9B">
        <w:rPr>
          <w:sz w:val="28"/>
          <w:szCs w:val="28"/>
        </w:rPr>
        <w:t>”</w:t>
      </w:r>
      <w:r w:rsidRPr="00B86E9B">
        <w:rPr>
          <w:rStyle w:val="Izteiksmgs"/>
          <w:sz w:val="28"/>
          <w:szCs w:val="28"/>
        </w:rPr>
        <w:t xml:space="preserve"> </w:t>
      </w:r>
      <w:r w:rsidRPr="00B86E9B">
        <w:rPr>
          <w:rFonts w:eastAsia="Calibri"/>
          <w:sz w:val="28"/>
          <w:szCs w:val="28"/>
        </w:rPr>
        <w:t xml:space="preserve">ieņēmumi no valsts budžeta līdzekļiem ārstniecības pakalpojumiem bija 2 898 416 LVL, kas, salīdzinot ar 2012.gada plānu, bija mazāki par 1 012 LVL (0%), un, salīdzinot ar 2011.gadu, mazāki par 244 222 LVL (7,8%). </w:t>
      </w:r>
      <w:r w:rsidRPr="00B86E9B">
        <w:rPr>
          <w:sz w:val="28"/>
          <w:szCs w:val="28"/>
        </w:rPr>
        <w:t>Savukārt, 2012.gadā Slimnīcas „</w:t>
      </w:r>
      <w:proofErr w:type="spellStart"/>
      <w:r w:rsidRPr="00B86E9B">
        <w:rPr>
          <w:sz w:val="28"/>
          <w:szCs w:val="28"/>
        </w:rPr>
        <w:t>Ģintermuiža</w:t>
      </w:r>
      <w:proofErr w:type="spellEnd"/>
      <w:r w:rsidRPr="00B86E9B">
        <w:rPr>
          <w:sz w:val="28"/>
          <w:szCs w:val="28"/>
        </w:rPr>
        <w:t>” ieņēmumi no maksas pakalpojumiem bija 256 455 LVL, kas, salīdzinot ar 2012.gada plānu, bija lielāki par 17 633 LVL (7,4%), un, salīdzinot ar 2011.gadu, mazāki par 36 598 LVL (12,5%)</w:t>
      </w:r>
      <w:r w:rsidR="00966CBD" w:rsidRPr="00B86E9B">
        <w:rPr>
          <w:sz w:val="28"/>
          <w:szCs w:val="28"/>
        </w:rPr>
        <w:t>. Pārējie ieņēmumi 2012.gadā bija 429 036 LVL, kas, salīdzinot ar 2012.gada plā</w:t>
      </w:r>
      <w:r w:rsidR="001D0B5E" w:rsidRPr="00B86E9B">
        <w:rPr>
          <w:sz w:val="28"/>
          <w:szCs w:val="28"/>
        </w:rPr>
        <w:t>nu, palielinājušies par  11 686 </w:t>
      </w:r>
      <w:r w:rsidR="00966CBD" w:rsidRPr="00B86E9B">
        <w:rPr>
          <w:sz w:val="28"/>
          <w:szCs w:val="28"/>
        </w:rPr>
        <w:t xml:space="preserve">LVL (2,8%), un, salīdzinot ar 2011.gadu, samazinājušies par </w:t>
      </w:r>
      <w:r w:rsidR="009B1CAA" w:rsidRPr="00B86E9B">
        <w:rPr>
          <w:sz w:val="28"/>
          <w:szCs w:val="28"/>
        </w:rPr>
        <w:t>93 667 LVL (17,9</w:t>
      </w:r>
      <w:r w:rsidR="00966CBD" w:rsidRPr="00B86E9B">
        <w:rPr>
          <w:sz w:val="28"/>
          <w:szCs w:val="28"/>
        </w:rPr>
        <w:t xml:space="preserve">%). </w:t>
      </w:r>
      <w:r w:rsidR="00E317B4" w:rsidRPr="00B86E9B">
        <w:rPr>
          <w:sz w:val="28"/>
          <w:szCs w:val="28"/>
        </w:rPr>
        <w:t>Slimnīcas „</w:t>
      </w:r>
      <w:proofErr w:type="spellStart"/>
      <w:r w:rsidR="00E317B4" w:rsidRPr="00B86E9B">
        <w:rPr>
          <w:sz w:val="28"/>
          <w:szCs w:val="28"/>
        </w:rPr>
        <w:t>Ģinterm</w:t>
      </w:r>
      <w:r w:rsidR="009B1CAA" w:rsidRPr="00B86E9B">
        <w:rPr>
          <w:sz w:val="28"/>
          <w:szCs w:val="28"/>
        </w:rPr>
        <w:t>uiža</w:t>
      </w:r>
      <w:proofErr w:type="spellEnd"/>
      <w:r w:rsidR="009B1CAA" w:rsidRPr="00B86E9B">
        <w:rPr>
          <w:sz w:val="28"/>
          <w:szCs w:val="28"/>
        </w:rPr>
        <w:t>” pārējos ieņēmumus 429 036 </w:t>
      </w:r>
      <w:r w:rsidR="00E317B4" w:rsidRPr="00B86E9B">
        <w:rPr>
          <w:sz w:val="28"/>
          <w:szCs w:val="28"/>
        </w:rPr>
        <w:t xml:space="preserve">LVL apmērā veido pašu nopelnītie līdzekļi no saimnieciskās darbības, kas nav tieši saistīta ar ārstniecību un ziedojumi, kā arī citi ieņēmumi kā, piemēram, </w:t>
      </w:r>
      <w:r w:rsidR="009F0A69" w:rsidRPr="00B86E9B">
        <w:rPr>
          <w:sz w:val="28"/>
          <w:szCs w:val="28"/>
        </w:rPr>
        <w:t>ieņēmumi no depozītnoguldījumiem</w:t>
      </w:r>
      <w:r w:rsidR="00E317B4" w:rsidRPr="00B86E9B">
        <w:rPr>
          <w:sz w:val="28"/>
          <w:szCs w:val="28"/>
        </w:rPr>
        <w:t>, ieņēmumos ieskaitītās dotācijas, dāvinājumi, atbilstoši dāvināto pamatlīdzekļu nolietojumam par pārskata periodu, ieņēmumi no pārdotajiem materiāliem un pamatlīdzekļiem.</w:t>
      </w:r>
    </w:p>
    <w:p w:rsidR="00F00845" w:rsidRPr="00500CA7" w:rsidRDefault="00F00845" w:rsidP="00F00845">
      <w:pPr>
        <w:rPr>
          <w:rFonts w:eastAsia="Calibri"/>
          <w:sz w:val="28"/>
          <w:szCs w:val="28"/>
          <w:lang w:eastAsia="lv-LV"/>
        </w:rPr>
      </w:pPr>
    </w:p>
    <w:p w:rsidR="00D3264D" w:rsidRPr="00B86E9B" w:rsidRDefault="004B0DED" w:rsidP="00D3264D">
      <w:pPr>
        <w:pStyle w:val="Virsraksts3"/>
        <w:numPr>
          <w:ilvl w:val="0"/>
          <w:numId w:val="0"/>
        </w:numPr>
        <w:spacing w:before="0" w:after="0"/>
        <w:ind w:left="709" w:hanging="709"/>
        <w:jc w:val="right"/>
        <w:rPr>
          <w:b w:val="0"/>
        </w:rPr>
      </w:pPr>
      <w:r w:rsidRPr="00B86E9B">
        <w:rPr>
          <w:rFonts w:eastAsia="Calibri"/>
          <w:b w:val="0"/>
          <w:lang w:eastAsia="lv-LV"/>
        </w:rPr>
        <w:t>Tabula Nr.36</w:t>
      </w:r>
      <w:r w:rsidR="00D3264D" w:rsidRPr="00B86E9B">
        <w:rPr>
          <w:rFonts w:eastAsia="Calibri"/>
          <w:b w:val="0"/>
          <w:lang w:eastAsia="lv-LV"/>
        </w:rPr>
        <w:t>:</w:t>
      </w:r>
      <w:r w:rsidR="00D3264D" w:rsidRPr="00B86E9B">
        <w:rPr>
          <w:b w:val="0"/>
        </w:rPr>
        <w:t xml:space="preserve"> Slimnīcas „</w:t>
      </w:r>
      <w:proofErr w:type="spellStart"/>
      <w:r w:rsidR="00D3264D" w:rsidRPr="00B86E9B">
        <w:rPr>
          <w:b w:val="0"/>
        </w:rPr>
        <w:t>Ģintermuiža</w:t>
      </w:r>
      <w:proofErr w:type="spellEnd"/>
      <w:r w:rsidR="00D3264D" w:rsidRPr="00B86E9B">
        <w:rPr>
          <w:b w:val="0"/>
        </w:rPr>
        <w:t xml:space="preserve">” </w:t>
      </w:r>
      <w:r w:rsidR="00D3264D" w:rsidRPr="00B86E9B">
        <w:rPr>
          <w:rStyle w:val="Izteiksmgs"/>
        </w:rPr>
        <w:t xml:space="preserve"> </w:t>
      </w:r>
      <w:r w:rsidR="005145C6" w:rsidRPr="00B86E9B">
        <w:rPr>
          <w:b w:val="0"/>
        </w:rPr>
        <w:t>ieņēmumu apjoms</w:t>
      </w:r>
      <w:r w:rsidR="002E2583" w:rsidRPr="00B86E9B">
        <w:rPr>
          <w:b w:val="0"/>
        </w:rPr>
        <w:t xml:space="preserve"> [LVL]</w:t>
      </w:r>
    </w:p>
    <w:tbl>
      <w:tblPr>
        <w:tblStyle w:val="Reatabula"/>
        <w:tblW w:w="0" w:type="auto"/>
        <w:jc w:val="center"/>
        <w:tblLayout w:type="fixed"/>
        <w:tblLook w:val="04A0"/>
      </w:tblPr>
      <w:tblGrid>
        <w:gridCol w:w="2627"/>
        <w:gridCol w:w="1309"/>
        <w:gridCol w:w="1414"/>
        <w:gridCol w:w="1341"/>
      </w:tblGrid>
      <w:tr w:rsidR="00D3264D" w:rsidRPr="00B86E9B" w:rsidTr="00E958A1">
        <w:trPr>
          <w:trHeight w:val="264"/>
          <w:jc w:val="center"/>
        </w:trPr>
        <w:tc>
          <w:tcPr>
            <w:tcW w:w="2627" w:type="dxa"/>
            <w:shd w:val="clear" w:color="auto" w:fill="D9D9D9" w:themeFill="background1" w:themeFillShade="D9"/>
            <w:vAlign w:val="center"/>
          </w:tcPr>
          <w:p w:rsidR="00D3264D" w:rsidRPr="00B86E9B" w:rsidRDefault="00D3264D" w:rsidP="00E958A1">
            <w:pPr>
              <w:rPr>
                <w:sz w:val="26"/>
                <w:szCs w:val="26"/>
              </w:rPr>
            </w:pPr>
          </w:p>
        </w:tc>
        <w:tc>
          <w:tcPr>
            <w:tcW w:w="1309" w:type="dxa"/>
            <w:shd w:val="clear" w:color="auto" w:fill="D9D9D9" w:themeFill="background1" w:themeFillShade="D9"/>
            <w:vAlign w:val="center"/>
          </w:tcPr>
          <w:p w:rsidR="00D3264D" w:rsidRPr="00B86E9B" w:rsidRDefault="00D3264D" w:rsidP="00E958A1">
            <w:pPr>
              <w:jc w:val="center"/>
              <w:rPr>
                <w:sz w:val="26"/>
                <w:szCs w:val="26"/>
              </w:rPr>
            </w:pPr>
            <w:r w:rsidRPr="00B86E9B">
              <w:rPr>
                <w:sz w:val="26"/>
                <w:szCs w:val="26"/>
              </w:rPr>
              <w:t>2011.gads</w:t>
            </w:r>
          </w:p>
        </w:tc>
        <w:tc>
          <w:tcPr>
            <w:tcW w:w="2755" w:type="dxa"/>
            <w:gridSpan w:val="2"/>
            <w:shd w:val="clear" w:color="auto" w:fill="D9D9D9" w:themeFill="background1" w:themeFillShade="D9"/>
            <w:vAlign w:val="center"/>
          </w:tcPr>
          <w:p w:rsidR="00D3264D" w:rsidRPr="00B86E9B" w:rsidRDefault="00D3264D" w:rsidP="00E958A1">
            <w:pPr>
              <w:jc w:val="center"/>
              <w:rPr>
                <w:sz w:val="26"/>
                <w:szCs w:val="26"/>
              </w:rPr>
            </w:pPr>
            <w:r w:rsidRPr="00B86E9B">
              <w:rPr>
                <w:sz w:val="26"/>
                <w:szCs w:val="26"/>
              </w:rPr>
              <w:t>2012.gads</w:t>
            </w:r>
          </w:p>
        </w:tc>
      </w:tr>
      <w:tr w:rsidR="00D3264D" w:rsidRPr="00B86E9B" w:rsidTr="00E958A1">
        <w:trPr>
          <w:jc w:val="center"/>
        </w:trPr>
        <w:tc>
          <w:tcPr>
            <w:tcW w:w="2627" w:type="dxa"/>
            <w:shd w:val="clear" w:color="auto" w:fill="D9D9D9" w:themeFill="background1" w:themeFillShade="D9"/>
            <w:vAlign w:val="center"/>
          </w:tcPr>
          <w:p w:rsidR="00D3264D" w:rsidRPr="00B86E9B" w:rsidRDefault="00D3264D" w:rsidP="00E958A1">
            <w:pPr>
              <w:rPr>
                <w:sz w:val="26"/>
                <w:szCs w:val="26"/>
              </w:rPr>
            </w:pPr>
            <w:r w:rsidRPr="00B86E9B">
              <w:rPr>
                <w:sz w:val="26"/>
                <w:szCs w:val="26"/>
              </w:rPr>
              <w:t>Ieņēmumi</w:t>
            </w:r>
          </w:p>
        </w:tc>
        <w:tc>
          <w:tcPr>
            <w:tcW w:w="1309" w:type="dxa"/>
            <w:shd w:val="clear" w:color="auto" w:fill="D9D9D9" w:themeFill="background1" w:themeFillShade="D9"/>
            <w:vAlign w:val="center"/>
          </w:tcPr>
          <w:p w:rsidR="00D3264D" w:rsidRPr="00B86E9B" w:rsidRDefault="00D3264D" w:rsidP="00E958A1">
            <w:pPr>
              <w:jc w:val="center"/>
              <w:rPr>
                <w:sz w:val="26"/>
                <w:szCs w:val="26"/>
              </w:rPr>
            </w:pPr>
            <w:r w:rsidRPr="00B86E9B">
              <w:rPr>
                <w:sz w:val="26"/>
                <w:szCs w:val="26"/>
              </w:rPr>
              <w:t>Izpilde</w:t>
            </w:r>
          </w:p>
        </w:tc>
        <w:tc>
          <w:tcPr>
            <w:tcW w:w="1414" w:type="dxa"/>
            <w:shd w:val="clear" w:color="auto" w:fill="D9D9D9" w:themeFill="background1" w:themeFillShade="D9"/>
            <w:vAlign w:val="center"/>
          </w:tcPr>
          <w:p w:rsidR="00D3264D" w:rsidRPr="00B86E9B" w:rsidRDefault="00D3264D" w:rsidP="00E958A1">
            <w:pPr>
              <w:jc w:val="center"/>
              <w:rPr>
                <w:sz w:val="26"/>
                <w:szCs w:val="26"/>
              </w:rPr>
            </w:pPr>
            <w:r w:rsidRPr="00B86E9B">
              <w:rPr>
                <w:sz w:val="26"/>
                <w:szCs w:val="26"/>
              </w:rPr>
              <w:t>Plāns</w:t>
            </w:r>
          </w:p>
        </w:tc>
        <w:tc>
          <w:tcPr>
            <w:tcW w:w="1341" w:type="dxa"/>
            <w:shd w:val="clear" w:color="auto" w:fill="D9D9D9" w:themeFill="background1" w:themeFillShade="D9"/>
            <w:vAlign w:val="center"/>
          </w:tcPr>
          <w:p w:rsidR="00D3264D" w:rsidRPr="00B86E9B" w:rsidRDefault="00D3264D" w:rsidP="00E958A1">
            <w:pPr>
              <w:jc w:val="center"/>
              <w:rPr>
                <w:sz w:val="26"/>
                <w:szCs w:val="26"/>
              </w:rPr>
            </w:pPr>
            <w:r w:rsidRPr="00B86E9B">
              <w:rPr>
                <w:sz w:val="26"/>
                <w:szCs w:val="26"/>
              </w:rPr>
              <w:t>Izpilde</w:t>
            </w:r>
          </w:p>
        </w:tc>
      </w:tr>
      <w:tr w:rsidR="00226243" w:rsidRPr="00B86E9B" w:rsidTr="005145C6">
        <w:trPr>
          <w:jc w:val="center"/>
        </w:trPr>
        <w:tc>
          <w:tcPr>
            <w:tcW w:w="2627" w:type="dxa"/>
            <w:vAlign w:val="center"/>
          </w:tcPr>
          <w:p w:rsidR="00226243" w:rsidRPr="00B86E9B" w:rsidRDefault="00226243" w:rsidP="00226243">
            <w:pPr>
              <w:rPr>
                <w:sz w:val="26"/>
                <w:szCs w:val="26"/>
              </w:rPr>
            </w:pPr>
            <w:r w:rsidRPr="00B86E9B">
              <w:rPr>
                <w:sz w:val="26"/>
                <w:szCs w:val="26"/>
              </w:rPr>
              <w:t>Kopējie ieņēmumi, t.sk.:</w:t>
            </w:r>
          </w:p>
        </w:tc>
        <w:tc>
          <w:tcPr>
            <w:tcW w:w="1309" w:type="dxa"/>
            <w:vAlign w:val="center"/>
          </w:tcPr>
          <w:p w:rsidR="00226243" w:rsidRPr="00B86E9B" w:rsidRDefault="005145C6" w:rsidP="005145C6">
            <w:pPr>
              <w:jc w:val="center"/>
              <w:rPr>
                <w:sz w:val="26"/>
                <w:szCs w:val="26"/>
              </w:rPr>
            </w:pPr>
            <w:r w:rsidRPr="00B86E9B">
              <w:rPr>
                <w:bCs/>
                <w:sz w:val="26"/>
                <w:szCs w:val="26"/>
              </w:rPr>
              <w:t>3 958 394</w:t>
            </w:r>
          </w:p>
        </w:tc>
        <w:tc>
          <w:tcPr>
            <w:tcW w:w="1414" w:type="dxa"/>
            <w:vAlign w:val="center"/>
          </w:tcPr>
          <w:p w:rsidR="00226243" w:rsidRPr="00B86E9B" w:rsidRDefault="00226243" w:rsidP="005145C6">
            <w:pPr>
              <w:jc w:val="center"/>
              <w:rPr>
                <w:color w:val="000000"/>
                <w:sz w:val="26"/>
                <w:szCs w:val="26"/>
              </w:rPr>
            </w:pPr>
            <w:r w:rsidRPr="00B86E9B">
              <w:rPr>
                <w:color w:val="000000"/>
                <w:sz w:val="26"/>
                <w:szCs w:val="26"/>
              </w:rPr>
              <w:t>3 555 600</w:t>
            </w:r>
          </w:p>
        </w:tc>
        <w:tc>
          <w:tcPr>
            <w:tcW w:w="1341" w:type="dxa"/>
            <w:vAlign w:val="center"/>
          </w:tcPr>
          <w:p w:rsidR="00226243" w:rsidRPr="00B86E9B" w:rsidRDefault="00226243" w:rsidP="005145C6">
            <w:pPr>
              <w:jc w:val="center"/>
              <w:rPr>
                <w:color w:val="000000"/>
                <w:sz w:val="26"/>
                <w:szCs w:val="26"/>
              </w:rPr>
            </w:pPr>
            <w:r w:rsidRPr="00B86E9B">
              <w:rPr>
                <w:color w:val="000000"/>
                <w:sz w:val="26"/>
                <w:szCs w:val="26"/>
              </w:rPr>
              <w:t>3 583 907</w:t>
            </w:r>
          </w:p>
        </w:tc>
      </w:tr>
      <w:tr w:rsidR="00226243" w:rsidRPr="00B86E9B" w:rsidTr="005145C6">
        <w:trPr>
          <w:jc w:val="center"/>
        </w:trPr>
        <w:tc>
          <w:tcPr>
            <w:tcW w:w="2627" w:type="dxa"/>
            <w:vAlign w:val="center"/>
          </w:tcPr>
          <w:p w:rsidR="00226243" w:rsidRPr="00B86E9B" w:rsidRDefault="00226243" w:rsidP="00226243">
            <w:pPr>
              <w:rPr>
                <w:sz w:val="26"/>
                <w:szCs w:val="26"/>
              </w:rPr>
            </w:pPr>
            <w:r w:rsidRPr="00B86E9B">
              <w:rPr>
                <w:sz w:val="26"/>
                <w:szCs w:val="26"/>
              </w:rPr>
              <w:t xml:space="preserve">Maksas ārstniecības pakalpojumi </w:t>
            </w:r>
          </w:p>
        </w:tc>
        <w:tc>
          <w:tcPr>
            <w:tcW w:w="1309" w:type="dxa"/>
            <w:vAlign w:val="center"/>
          </w:tcPr>
          <w:p w:rsidR="00226243" w:rsidRPr="00B86E9B" w:rsidRDefault="00226243" w:rsidP="005145C6">
            <w:pPr>
              <w:jc w:val="center"/>
              <w:rPr>
                <w:sz w:val="26"/>
                <w:szCs w:val="26"/>
              </w:rPr>
            </w:pPr>
            <w:r w:rsidRPr="00B86E9B">
              <w:rPr>
                <w:sz w:val="26"/>
                <w:szCs w:val="26"/>
              </w:rPr>
              <w:t>293 053</w:t>
            </w:r>
          </w:p>
        </w:tc>
        <w:tc>
          <w:tcPr>
            <w:tcW w:w="1414" w:type="dxa"/>
            <w:vAlign w:val="center"/>
          </w:tcPr>
          <w:p w:rsidR="00226243" w:rsidRPr="00B86E9B" w:rsidRDefault="00226243" w:rsidP="005145C6">
            <w:pPr>
              <w:jc w:val="center"/>
              <w:rPr>
                <w:sz w:val="26"/>
                <w:szCs w:val="26"/>
              </w:rPr>
            </w:pPr>
            <w:r w:rsidRPr="00B86E9B">
              <w:rPr>
                <w:sz w:val="26"/>
                <w:szCs w:val="26"/>
              </w:rPr>
              <w:t>238 822</w:t>
            </w:r>
          </w:p>
        </w:tc>
        <w:tc>
          <w:tcPr>
            <w:tcW w:w="1341" w:type="dxa"/>
            <w:vAlign w:val="center"/>
          </w:tcPr>
          <w:p w:rsidR="00226243" w:rsidRPr="00B86E9B" w:rsidRDefault="00226243" w:rsidP="005145C6">
            <w:pPr>
              <w:jc w:val="center"/>
              <w:rPr>
                <w:sz w:val="26"/>
                <w:szCs w:val="26"/>
              </w:rPr>
            </w:pPr>
            <w:r w:rsidRPr="00B86E9B">
              <w:rPr>
                <w:sz w:val="26"/>
                <w:szCs w:val="26"/>
              </w:rPr>
              <w:t>256 455</w:t>
            </w:r>
          </w:p>
        </w:tc>
      </w:tr>
      <w:tr w:rsidR="00226243" w:rsidRPr="00B86E9B" w:rsidTr="005145C6">
        <w:trPr>
          <w:jc w:val="center"/>
        </w:trPr>
        <w:tc>
          <w:tcPr>
            <w:tcW w:w="2627" w:type="dxa"/>
            <w:vAlign w:val="center"/>
          </w:tcPr>
          <w:p w:rsidR="00226243" w:rsidRPr="00B86E9B" w:rsidRDefault="00226243" w:rsidP="00226243">
            <w:pPr>
              <w:rPr>
                <w:sz w:val="26"/>
                <w:szCs w:val="26"/>
              </w:rPr>
            </w:pPr>
            <w:r w:rsidRPr="00B86E9B">
              <w:rPr>
                <w:sz w:val="26"/>
                <w:szCs w:val="26"/>
              </w:rPr>
              <w:t>Valsts budžeta līdzekļi ārstniecības pakalpojumiem</w:t>
            </w:r>
          </w:p>
        </w:tc>
        <w:tc>
          <w:tcPr>
            <w:tcW w:w="1309" w:type="dxa"/>
            <w:vAlign w:val="center"/>
          </w:tcPr>
          <w:p w:rsidR="00226243" w:rsidRPr="00B86E9B" w:rsidRDefault="00226243" w:rsidP="005145C6">
            <w:pPr>
              <w:jc w:val="center"/>
              <w:rPr>
                <w:sz w:val="26"/>
                <w:szCs w:val="26"/>
              </w:rPr>
            </w:pPr>
            <w:r w:rsidRPr="00B86E9B">
              <w:rPr>
                <w:sz w:val="26"/>
                <w:szCs w:val="26"/>
              </w:rPr>
              <w:t>3 142 638</w:t>
            </w:r>
          </w:p>
        </w:tc>
        <w:tc>
          <w:tcPr>
            <w:tcW w:w="1414" w:type="dxa"/>
            <w:vAlign w:val="center"/>
          </w:tcPr>
          <w:p w:rsidR="00226243" w:rsidRPr="00B86E9B" w:rsidRDefault="00226243" w:rsidP="005145C6">
            <w:pPr>
              <w:jc w:val="center"/>
              <w:rPr>
                <w:sz w:val="26"/>
                <w:szCs w:val="26"/>
              </w:rPr>
            </w:pPr>
            <w:r w:rsidRPr="00B86E9B">
              <w:rPr>
                <w:sz w:val="26"/>
                <w:szCs w:val="26"/>
              </w:rPr>
              <w:t>2 899 428</w:t>
            </w:r>
          </w:p>
        </w:tc>
        <w:tc>
          <w:tcPr>
            <w:tcW w:w="1341" w:type="dxa"/>
            <w:vAlign w:val="center"/>
          </w:tcPr>
          <w:p w:rsidR="00226243" w:rsidRPr="00B86E9B" w:rsidRDefault="00226243" w:rsidP="005145C6">
            <w:pPr>
              <w:jc w:val="center"/>
              <w:rPr>
                <w:sz w:val="26"/>
                <w:szCs w:val="26"/>
              </w:rPr>
            </w:pPr>
            <w:r w:rsidRPr="00B86E9B">
              <w:rPr>
                <w:sz w:val="26"/>
                <w:szCs w:val="26"/>
              </w:rPr>
              <w:t>2 898 416</w:t>
            </w:r>
          </w:p>
        </w:tc>
      </w:tr>
      <w:tr w:rsidR="005145C6" w:rsidRPr="00B86E9B" w:rsidTr="005145C6">
        <w:trPr>
          <w:jc w:val="center"/>
        </w:trPr>
        <w:tc>
          <w:tcPr>
            <w:tcW w:w="2627" w:type="dxa"/>
            <w:vAlign w:val="center"/>
          </w:tcPr>
          <w:p w:rsidR="005145C6" w:rsidRPr="00B86E9B" w:rsidRDefault="005145C6" w:rsidP="00226243">
            <w:pPr>
              <w:rPr>
                <w:sz w:val="26"/>
                <w:szCs w:val="26"/>
              </w:rPr>
            </w:pPr>
            <w:r w:rsidRPr="00B86E9B">
              <w:rPr>
                <w:sz w:val="26"/>
                <w:szCs w:val="26"/>
              </w:rPr>
              <w:t>Pārējie ieņēmumi</w:t>
            </w:r>
          </w:p>
        </w:tc>
        <w:tc>
          <w:tcPr>
            <w:tcW w:w="1309" w:type="dxa"/>
            <w:vAlign w:val="center"/>
          </w:tcPr>
          <w:p w:rsidR="005145C6" w:rsidRPr="00B86E9B" w:rsidRDefault="005145C6" w:rsidP="005145C6">
            <w:pPr>
              <w:jc w:val="center"/>
              <w:rPr>
                <w:color w:val="000000"/>
                <w:sz w:val="26"/>
                <w:szCs w:val="26"/>
              </w:rPr>
            </w:pPr>
            <w:r w:rsidRPr="00B86E9B">
              <w:rPr>
                <w:color w:val="000000"/>
                <w:sz w:val="26"/>
                <w:szCs w:val="26"/>
              </w:rPr>
              <w:t>522 703</w:t>
            </w:r>
          </w:p>
        </w:tc>
        <w:tc>
          <w:tcPr>
            <w:tcW w:w="1414" w:type="dxa"/>
            <w:vAlign w:val="center"/>
          </w:tcPr>
          <w:p w:rsidR="005145C6" w:rsidRPr="00B86E9B" w:rsidRDefault="005145C6" w:rsidP="005145C6">
            <w:pPr>
              <w:jc w:val="center"/>
              <w:rPr>
                <w:color w:val="000000"/>
                <w:sz w:val="26"/>
                <w:szCs w:val="26"/>
              </w:rPr>
            </w:pPr>
            <w:r w:rsidRPr="00B86E9B">
              <w:rPr>
                <w:color w:val="000000"/>
                <w:sz w:val="26"/>
                <w:szCs w:val="26"/>
              </w:rPr>
              <w:t>417 350</w:t>
            </w:r>
          </w:p>
        </w:tc>
        <w:tc>
          <w:tcPr>
            <w:tcW w:w="1341" w:type="dxa"/>
            <w:vAlign w:val="center"/>
          </w:tcPr>
          <w:p w:rsidR="005145C6" w:rsidRPr="00B86E9B" w:rsidRDefault="005145C6" w:rsidP="005145C6">
            <w:pPr>
              <w:jc w:val="center"/>
              <w:rPr>
                <w:color w:val="000000"/>
                <w:sz w:val="26"/>
                <w:szCs w:val="26"/>
              </w:rPr>
            </w:pPr>
            <w:r w:rsidRPr="00B86E9B">
              <w:rPr>
                <w:color w:val="000000"/>
                <w:sz w:val="26"/>
                <w:szCs w:val="26"/>
              </w:rPr>
              <w:t>429 036</w:t>
            </w:r>
          </w:p>
        </w:tc>
      </w:tr>
    </w:tbl>
    <w:p w:rsidR="00193D75" w:rsidRPr="00B86E9B" w:rsidRDefault="00193D75" w:rsidP="00193D75">
      <w:pPr>
        <w:ind w:firstLine="720"/>
        <w:jc w:val="both"/>
        <w:rPr>
          <w:sz w:val="28"/>
          <w:szCs w:val="28"/>
        </w:rPr>
      </w:pPr>
    </w:p>
    <w:p w:rsidR="00C04993" w:rsidRPr="00B86E9B" w:rsidRDefault="00C04993" w:rsidP="00C04993">
      <w:pPr>
        <w:ind w:firstLine="720"/>
        <w:jc w:val="both"/>
        <w:rPr>
          <w:sz w:val="28"/>
          <w:szCs w:val="28"/>
        </w:rPr>
      </w:pPr>
      <w:r w:rsidRPr="00B86E9B">
        <w:rPr>
          <w:sz w:val="28"/>
          <w:szCs w:val="28"/>
        </w:rPr>
        <w:t>Pamatojoties uz samazināto veselības aprūpes budžetu, no 2009.gada Slimnīcas „</w:t>
      </w:r>
      <w:proofErr w:type="spellStart"/>
      <w:r w:rsidRPr="00B86E9B">
        <w:rPr>
          <w:sz w:val="28"/>
          <w:szCs w:val="28"/>
        </w:rPr>
        <w:t>Ģintermuiža</w:t>
      </w:r>
      <w:proofErr w:type="spellEnd"/>
      <w:r w:rsidRPr="00B86E9B">
        <w:rPr>
          <w:sz w:val="28"/>
          <w:szCs w:val="28"/>
        </w:rPr>
        <w:t xml:space="preserve">” </w:t>
      </w:r>
      <w:r w:rsidRPr="00B86E9B">
        <w:rPr>
          <w:sz w:val="28"/>
        </w:rPr>
        <w:t xml:space="preserve">ieņēmumi </w:t>
      </w:r>
      <w:r w:rsidRPr="00B86E9B">
        <w:rPr>
          <w:sz w:val="28"/>
          <w:szCs w:val="28"/>
        </w:rPr>
        <w:t xml:space="preserve">no valsts budžeta </w:t>
      </w:r>
      <w:r w:rsidRPr="00B86E9B">
        <w:rPr>
          <w:sz w:val="28"/>
        </w:rPr>
        <w:t>būtiski samazinājās</w:t>
      </w:r>
      <w:r w:rsidRPr="00B86E9B">
        <w:rPr>
          <w:sz w:val="28"/>
          <w:szCs w:val="28"/>
        </w:rPr>
        <w:t>, līdz ar to arī izmaksu aprēķini (piešķirtais valsts budžeta finansējums) uz vienu gultas dienu proporcionāli samazinā</w:t>
      </w:r>
      <w:r w:rsidR="00EC66AD" w:rsidRPr="00B86E9B">
        <w:rPr>
          <w:sz w:val="28"/>
          <w:szCs w:val="28"/>
        </w:rPr>
        <w:t>jās, kā rezultātā Slimnīcai</w:t>
      </w:r>
      <w:r w:rsidRPr="00B86E9B">
        <w:rPr>
          <w:sz w:val="28"/>
          <w:szCs w:val="28"/>
        </w:rPr>
        <w:t xml:space="preserve"> „</w:t>
      </w:r>
      <w:proofErr w:type="spellStart"/>
      <w:r w:rsidRPr="00B86E9B">
        <w:rPr>
          <w:sz w:val="28"/>
          <w:szCs w:val="28"/>
        </w:rPr>
        <w:t>Ģintermuiža</w:t>
      </w:r>
      <w:proofErr w:type="spellEnd"/>
      <w:r w:rsidRPr="00B86E9B">
        <w:rPr>
          <w:sz w:val="28"/>
          <w:szCs w:val="28"/>
        </w:rPr>
        <w:t xml:space="preserve">” </w:t>
      </w:r>
      <w:r w:rsidRPr="00B86E9B">
        <w:rPr>
          <w:sz w:val="28"/>
          <w:szCs w:val="28"/>
        </w:rPr>
        <w:lastRenderedPageBreak/>
        <w:t xml:space="preserve">radās grūtības segt faktiskos izdevumus par sniegtajiem pakalpojumiem, jo resursu </w:t>
      </w:r>
      <w:r w:rsidR="00AE600A" w:rsidRPr="00B86E9B">
        <w:rPr>
          <w:sz w:val="28"/>
          <w:szCs w:val="28"/>
        </w:rPr>
        <w:t>(piemēram, darba samaksas (dēļ minimālās mēneša darba algas palielināšanas</w:t>
      </w:r>
      <w:r w:rsidR="006D067A" w:rsidRPr="00B86E9B">
        <w:rPr>
          <w:sz w:val="28"/>
          <w:szCs w:val="28"/>
        </w:rPr>
        <w:t>)</w:t>
      </w:r>
      <w:r w:rsidR="00AE600A" w:rsidRPr="00B86E9B">
        <w:rPr>
          <w:sz w:val="28"/>
          <w:szCs w:val="28"/>
        </w:rPr>
        <w:t>, elektroenerģijas, gāzes, medikamentu)</w:t>
      </w:r>
      <w:r w:rsidRPr="00B86E9B">
        <w:rPr>
          <w:sz w:val="28"/>
          <w:szCs w:val="28"/>
        </w:rPr>
        <w:t xml:space="preserve"> izmaksas iepriekšminētajā periodā ir ievērojami pieaugušas.</w:t>
      </w:r>
    </w:p>
    <w:p w:rsidR="0018537E" w:rsidRPr="00B86E9B" w:rsidRDefault="0018537E" w:rsidP="001A1B24">
      <w:pPr>
        <w:jc w:val="both"/>
        <w:rPr>
          <w:sz w:val="28"/>
          <w:szCs w:val="28"/>
        </w:rPr>
      </w:pPr>
    </w:p>
    <w:p w:rsidR="00C04993" w:rsidRPr="00B86E9B" w:rsidRDefault="00C04993" w:rsidP="00C04993">
      <w:pPr>
        <w:tabs>
          <w:tab w:val="left" w:pos="3390"/>
        </w:tabs>
        <w:autoSpaceDE w:val="0"/>
        <w:autoSpaceDN w:val="0"/>
        <w:adjustRightInd w:val="0"/>
        <w:ind w:firstLine="720"/>
        <w:jc w:val="right"/>
        <w:rPr>
          <w:i/>
          <w:sz w:val="28"/>
          <w:szCs w:val="28"/>
        </w:rPr>
      </w:pPr>
      <w:r w:rsidRPr="00B86E9B">
        <w:rPr>
          <w:i/>
          <w:sz w:val="28"/>
          <w:szCs w:val="28"/>
        </w:rPr>
        <w:t>Tabula Nr.3</w:t>
      </w:r>
      <w:r w:rsidR="00C52776" w:rsidRPr="00B86E9B">
        <w:rPr>
          <w:i/>
          <w:sz w:val="28"/>
          <w:szCs w:val="28"/>
        </w:rPr>
        <w:t>7</w:t>
      </w:r>
      <w:r w:rsidRPr="00B86E9B">
        <w:rPr>
          <w:i/>
          <w:sz w:val="28"/>
          <w:szCs w:val="28"/>
        </w:rPr>
        <w:t>:</w:t>
      </w:r>
      <w:r w:rsidR="00C52412" w:rsidRPr="00B86E9B">
        <w:rPr>
          <w:i/>
          <w:sz w:val="28"/>
          <w:szCs w:val="28"/>
        </w:rPr>
        <w:t>Slimnīcas</w:t>
      </w:r>
      <w:r w:rsidRPr="00B86E9B">
        <w:rPr>
          <w:i/>
          <w:sz w:val="28"/>
          <w:szCs w:val="28"/>
        </w:rPr>
        <w:t xml:space="preserve"> „</w:t>
      </w:r>
      <w:proofErr w:type="spellStart"/>
      <w:r w:rsidR="00C52412" w:rsidRPr="00B86E9B">
        <w:rPr>
          <w:i/>
          <w:sz w:val="28"/>
          <w:szCs w:val="28"/>
        </w:rPr>
        <w:t>Ģintermuiža</w:t>
      </w:r>
      <w:proofErr w:type="spellEnd"/>
      <w:r w:rsidRPr="00B86E9B">
        <w:rPr>
          <w:i/>
          <w:sz w:val="28"/>
          <w:szCs w:val="28"/>
        </w:rPr>
        <w:t>” gultas</w:t>
      </w:r>
      <w:r w:rsidR="003F0148" w:rsidRPr="00B86E9B">
        <w:rPr>
          <w:i/>
          <w:sz w:val="28"/>
          <w:szCs w:val="28"/>
        </w:rPr>
        <w:t xml:space="preserve"> </w:t>
      </w:r>
      <w:r w:rsidRPr="00B86E9B">
        <w:rPr>
          <w:i/>
          <w:sz w:val="28"/>
          <w:szCs w:val="28"/>
        </w:rPr>
        <w:t>dienas tarifa izmaiņas pa gadiem [LVL]</w:t>
      </w:r>
    </w:p>
    <w:tbl>
      <w:tblPr>
        <w:tblStyle w:val="Reatabula"/>
        <w:tblW w:w="0" w:type="auto"/>
        <w:jc w:val="center"/>
        <w:tblInd w:w="-666" w:type="dxa"/>
        <w:tblLook w:val="04A0"/>
      </w:tblPr>
      <w:tblGrid>
        <w:gridCol w:w="2289"/>
        <w:gridCol w:w="1408"/>
        <w:gridCol w:w="1394"/>
        <w:gridCol w:w="2021"/>
      </w:tblGrid>
      <w:tr w:rsidR="00F8259F" w:rsidRPr="00B86E9B" w:rsidTr="00E958A1">
        <w:trPr>
          <w:jc w:val="center"/>
        </w:trPr>
        <w:tc>
          <w:tcPr>
            <w:tcW w:w="2289" w:type="dxa"/>
            <w:shd w:val="clear" w:color="auto" w:fill="D9D9D9" w:themeFill="background1" w:themeFillShade="D9"/>
          </w:tcPr>
          <w:p w:rsidR="00F8259F" w:rsidRPr="00B86E9B" w:rsidRDefault="00F8259F" w:rsidP="00E958A1">
            <w:pPr>
              <w:jc w:val="center"/>
              <w:rPr>
                <w:sz w:val="26"/>
                <w:szCs w:val="26"/>
              </w:rPr>
            </w:pPr>
          </w:p>
        </w:tc>
        <w:tc>
          <w:tcPr>
            <w:tcW w:w="1408" w:type="dxa"/>
            <w:shd w:val="clear" w:color="auto" w:fill="D9D9D9" w:themeFill="background1" w:themeFillShade="D9"/>
          </w:tcPr>
          <w:p w:rsidR="00F8259F" w:rsidRPr="00B86E9B" w:rsidRDefault="00F8259F" w:rsidP="00E958A1">
            <w:pPr>
              <w:jc w:val="center"/>
              <w:rPr>
                <w:sz w:val="26"/>
                <w:szCs w:val="26"/>
              </w:rPr>
            </w:pPr>
            <w:r w:rsidRPr="00B86E9B">
              <w:rPr>
                <w:sz w:val="26"/>
                <w:szCs w:val="26"/>
              </w:rPr>
              <w:t>2008.gads</w:t>
            </w:r>
          </w:p>
        </w:tc>
        <w:tc>
          <w:tcPr>
            <w:tcW w:w="1394" w:type="dxa"/>
            <w:shd w:val="clear" w:color="auto" w:fill="D9D9D9" w:themeFill="background1" w:themeFillShade="D9"/>
          </w:tcPr>
          <w:p w:rsidR="00F8259F" w:rsidRPr="00B86E9B" w:rsidRDefault="00F8259F" w:rsidP="00E958A1">
            <w:pPr>
              <w:jc w:val="center"/>
              <w:rPr>
                <w:sz w:val="26"/>
                <w:szCs w:val="26"/>
              </w:rPr>
            </w:pPr>
            <w:r w:rsidRPr="00B86E9B">
              <w:rPr>
                <w:sz w:val="26"/>
                <w:szCs w:val="26"/>
              </w:rPr>
              <w:t>2009.gads</w:t>
            </w:r>
          </w:p>
        </w:tc>
        <w:tc>
          <w:tcPr>
            <w:tcW w:w="2021" w:type="dxa"/>
            <w:shd w:val="clear" w:color="auto" w:fill="D9D9D9" w:themeFill="background1" w:themeFillShade="D9"/>
          </w:tcPr>
          <w:p w:rsidR="00F8259F" w:rsidRPr="00B86E9B" w:rsidRDefault="00F8259F" w:rsidP="00E958A1">
            <w:pPr>
              <w:jc w:val="center"/>
              <w:rPr>
                <w:sz w:val="26"/>
                <w:szCs w:val="26"/>
              </w:rPr>
            </w:pPr>
            <w:r w:rsidRPr="00B86E9B">
              <w:rPr>
                <w:sz w:val="26"/>
                <w:szCs w:val="26"/>
              </w:rPr>
              <w:t xml:space="preserve">2010., 2011., </w:t>
            </w:r>
            <w:r w:rsidRPr="00B86E9B">
              <w:rPr>
                <w:b/>
                <w:sz w:val="26"/>
                <w:szCs w:val="26"/>
              </w:rPr>
              <w:t>2012.gadā</w:t>
            </w:r>
          </w:p>
        </w:tc>
      </w:tr>
      <w:tr w:rsidR="00F8259F" w:rsidRPr="00B86E9B" w:rsidTr="00E958A1">
        <w:trPr>
          <w:jc w:val="center"/>
        </w:trPr>
        <w:tc>
          <w:tcPr>
            <w:tcW w:w="2289" w:type="dxa"/>
            <w:vAlign w:val="center"/>
          </w:tcPr>
          <w:p w:rsidR="00F8259F" w:rsidRPr="00B86E9B" w:rsidRDefault="00F8259F" w:rsidP="00E958A1">
            <w:pPr>
              <w:rPr>
                <w:sz w:val="26"/>
                <w:szCs w:val="26"/>
              </w:rPr>
            </w:pPr>
            <w:r w:rsidRPr="00B86E9B">
              <w:rPr>
                <w:sz w:val="26"/>
                <w:szCs w:val="26"/>
              </w:rPr>
              <w:t>Gultas</w:t>
            </w:r>
            <w:r w:rsidR="003F0148" w:rsidRPr="00B86E9B">
              <w:rPr>
                <w:sz w:val="26"/>
                <w:szCs w:val="26"/>
              </w:rPr>
              <w:t xml:space="preserve"> </w:t>
            </w:r>
            <w:r w:rsidRPr="00B86E9B">
              <w:rPr>
                <w:sz w:val="26"/>
                <w:szCs w:val="26"/>
              </w:rPr>
              <w:t>dienas tarifs</w:t>
            </w:r>
          </w:p>
        </w:tc>
        <w:tc>
          <w:tcPr>
            <w:tcW w:w="1408" w:type="dxa"/>
            <w:vAlign w:val="center"/>
          </w:tcPr>
          <w:p w:rsidR="00F8259F" w:rsidRPr="00B86E9B" w:rsidRDefault="00CB6E30" w:rsidP="00E958A1">
            <w:pPr>
              <w:jc w:val="center"/>
              <w:rPr>
                <w:sz w:val="26"/>
                <w:szCs w:val="26"/>
              </w:rPr>
            </w:pPr>
            <w:r w:rsidRPr="00B86E9B">
              <w:rPr>
                <w:sz w:val="26"/>
                <w:szCs w:val="26"/>
              </w:rPr>
              <w:t>25,30</w:t>
            </w:r>
          </w:p>
        </w:tc>
        <w:tc>
          <w:tcPr>
            <w:tcW w:w="1394" w:type="dxa"/>
            <w:vAlign w:val="center"/>
          </w:tcPr>
          <w:p w:rsidR="00F8259F" w:rsidRPr="00B86E9B" w:rsidRDefault="00F8259F" w:rsidP="00E958A1">
            <w:pPr>
              <w:jc w:val="center"/>
              <w:rPr>
                <w:bCs/>
                <w:sz w:val="26"/>
                <w:szCs w:val="26"/>
              </w:rPr>
            </w:pPr>
            <w:r w:rsidRPr="00B86E9B">
              <w:rPr>
                <w:bCs/>
                <w:sz w:val="26"/>
                <w:szCs w:val="26"/>
              </w:rPr>
              <w:t>no 01.03.</w:t>
            </w:r>
          </w:p>
          <w:p w:rsidR="00F8259F" w:rsidRPr="00B86E9B" w:rsidRDefault="005724F8" w:rsidP="00E958A1">
            <w:pPr>
              <w:jc w:val="center"/>
              <w:rPr>
                <w:bCs/>
                <w:sz w:val="26"/>
                <w:szCs w:val="26"/>
              </w:rPr>
            </w:pPr>
            <w:r w:rsidRPr="00B86E9B">
              <w:rPr>
                <w:bCs/>
                <w:sz w:val="26"/>
                <w:szCs w:val="26"/>
              </w:rPr>
              <w:t>14,79</w:t>
            </w:r>
          </w:p>
          <w:p w:rsidR="00F8259F" w:rsidRPr="00B86E9B" w:rsidRDefault="00F8259F" w:rsidP="00E958A1">
            <w:pPr>
              <w:jc w:val="center"/>
              <w:rPr>
                <w:bCs/>
                <w:sz w:val="26"/>
                <w:szCs w:val="26"/>
              </w:rPr>
            </w:pPr>
            <w:r w:rsidRPr="00B86E9B">
              <w:rPr>
                <w:bCs/>
                <w:sz w:val="26"/>
                <w:szCs w:val="26"/>
              </w:rPr>
              <w:t xml:space="preserve">no 01.07. </w:t>
            </w:r>
            <w:r w:rsidR="005724F8" w:rsidRPr="00B86E9B">
              <w:rPr>
                <w:bCs/>
                <w:sz w:val="26"/>
                <w:szCs w:val="26"/>
              </w:rPr>
              <w:t>11,40</w:t>
            </w:r>
          </w:p>
        </w:tc>
        <w:tc>
          <w:tcPr>
            <w:tcW w:w="2021" w:type="dxa"/>
            <w:vAlign w:val="center"/>
          </w:tcPr>
          <w:p w:rsidR="00F8259F" w:rsidRPr="00B86E9B" w:rsidRDefault="005724F8" w:rsidP="00E958A1">
            <w:pPr>
              <w:jc w:val="center"/>
              <w:rPr>
                <w:bCs/>
                <w:color w:val="000000"/>
                <w:sz w:val="26"/>
                <w:szCs w:val="26"/>
              </w:rPr>
            </w:pPr>
            <w:r w:rsidRPr="00B86E9B">
              <w:rPr>
                <w:sz w:val="26"/>
                <w:szCs w:val="26"/>
              </w:rPr>
              <w:t>13,90</w:t>
            </w:r>
          </w:p>
        </w:tc>
      </w:tr>
    </w:tbl>
    <w:p w:rsidR="00C04993" w:rsidRPr="00B86E9B" w:rsidRDefault="00C04993" w:rsidP="00C04993">
      <w:pPr>
        <w:jc w:val="both"/>
        <w:rPr>
          <w:sz w:val="28"/>
          <w:szCs w:val="28"/>
          <w:lang w:eastAsia="lv-LV"/>
        </w:rPr>
      </w:pPr>
    </w:p>
    <w:p w:rsidR="00C04993" w:rsidRPr="00B86E9B" w:rsidRDefault="00C04993" w:rsidP="00C04993">
      <w:pPr>
        <w:ind w:firstLine="720"/>
        <w:jc w:val="both"/>
        <w:rPr>
          <w:sz w:val="28"/>
          <w:szCs w:val="28"/>
        </w:rPr>
      </w:pPr>
      <w:r w:rsidRPr="00B86E9B">
        <w:rPr>
          <w:sz w:val="28"/>
          <w:szCs w:val="28"/>
        </w:rPr>
        <w:t>Arī 2013.gadā gultas</w:t>
      </w:r>
      <w:r w:rsidR="003F0148" w:rsidRPr="00B86E9B">
        <w:rPr>
          <w:sz w:val="28"/>
          <w:szCs w:val="28"/>
        </w:rPr>
        <w:t xml:space="preserve"> </w:t>
      </w:r>
      <w:r w:rsidRPr="00B86E9B">
        <w:rPr>
          <w:sz w:val="28"/>
          <w:szCs w:val="28"/>
        </w:rPr>
        <w:t xml:space="preserve">dienas tarifs saglabājās </w:t>
      </w:r>
      <w:r w:rsidR="00704978" w:rsidRPr="00B86E9B">
        <w:rPr>
          <w:sz w:val="28"/>
          <w:szCs w:val="28"/>
        </w:rPr>
        <w:t>13,90</w:t>
      </w:r>
      <w:r w:rsidRPr="00B86E9B">
        <w:rPr>
          <w:sz w:val="28"/>
          <w:szCs w:val="28"/>
        </w:rPr>
        <w:t xml:space="preserve"> LVL apmērā, bet 2014.gadā tas saistībā ar ārstniecības personu darba samaksas paaugstināšanu (tarifa elementi D un S) un citu tarifa elementu paaugstināšanu (E –izdevumi, kas saistīti ar pacientu ēdināšanu; U – pieskaitāmās un netiešās ražošanas izmaksas; A – administratīvie izdevumi) tiks palie</w:t>
      </w:r>
      <w:r w:rsidR="006F3AF5" w:rsidRPr="00B86E9B">
        <w:rPr>
          <w:sz w:val="28"/>
          <w:szCs w:val="28"/>
        </w:rPr>
        <w:t>lināts par 10</w:t>
      </w:r>
      <w:r w:rsidRPr="00B86E9B">
        <w:rPr>
          <w:sz w:val="28"/>
          <w:szCs w:val="28"/>
        </w:rPr>
        <w:t>% un sasniegs 1</w:t>
      </w:r>
      <w:r w:rsidR="00B75717" w:rsidRPr="00B86E9B">
        <w:rPr>
          <w:sz w:val="28"/>
          <w:szCs w:val="28"/>
        </w:rPr>
        <w:t>5,28</w:t>
      </w:r>
      <w:r w:rsidRPr="00B86E9B">
        <w:rPr>
          <w:sz w:val="28"/>
          <w:szCs w:val="28"/>
        </w:rPr>
        <w:t> LVL (</w:t>
      </w:r>
      <w:r w:rsidR="00B75717" w:rsidRPr="00B86E9B">
        <w:rPr>
          <w:sz w:val="28"/>
          <w:szCs w:val="28"/>
        </w:rPr>
        <w:t>21,74</w:t>
      </w:r>
      <w:r w:rsidRPr="00B86E9B">
        <w:rPr>
          <w:sz w:val="28"/>
          <w:szCs w:val="28"/>
        </w:rPr>
        <w:t> EUR), tomēr joprojām būs ievērojami mazākā apmērā kā pirmskrīzes laikā (6</w:t>
      </w:r>
      <w:r w:rsidR="00544FB7" w:rsidRPr="00B86E9B">
        <w:rPr>
          <w:sz w:val="28"/>
          <w:szCs w:val="28"/>
        </w:rPr>
        <w:t>0,4</w:t>
      </w:r>
      <w:r w:rsidRPr="00B86E9B">
        <w:rPr>
          <w:sz w:val="28"/>
          <w:szCs w:val="28"/>
        </w:rPr>
        <w:t xml:space="preserve">% apmērā). </w:t>
      </w:r>
    </w:p>
    <w:p w:rsidR="00C04993" w:rsidRPr="00B86E9B" w:rsidRDefault="00CE78C2" w:rsidP="00CE78C2">
      <w:pPr>
        <w:ind w:right="-1" w:firstLine="698"/>
        <w:jc w:val="both"/>
        <w:rPr>
          <w:rStyle w:val="Izteiksmgs"/>
          <w:b w:val="0"/>
          <w:sz w:val="28"/>
          <w:szCs w:val="28"/>
        </w:rPr>
      </w:pPr>
      <w:r w:rsidRPr="00B86E9B">
        <w:rPr>
          <w:sz w:val="28"/>
          <w:szCs w:val="28"/>
        </w:rPr>
        <w:t>Kā jau tika norādīts Veselības ministrijas Informatīvajā ziņojumā par Veselības ministrijas kapitālsabiedrībām, kas 2011.gadu ir noslēgušas ar zaudējumiem, arī pārējie stacionārās veselības aprūpes pakalpojumu tarifi krīzes laikā tika ievērojami samazināti un neatbilst pakalpojumu sniegšanas faktiskajām izmaksām un 2012.gadā tarifi netika mainīti. Arī 2013.gadā veselības aprūpes pakalpojumu tarifi netika mainīti, bet 2014.gadā tie</w:t>
      </w:r>
      <w:r w:rsidR="0018537E" w:rsidRPr="00B86E9B">
        <w:rPr>
          <w:sz w:val="28"/>
          <w:szCs w:val="28"/>
        </w:rPr>
        <w:t>,</w:t>
      </w:r>
      <w:r w:rsidRPr="00B86E9B">
        <w:rPr>
          <w:sz w:val="28"/>
          <w:szCs w:val="28"/>
        </w:rPr>
        <w:t xml:space="preserve"> saistībā ar ārstniecības personu darba samaksas paaugstināšanu (tarifa elementi D un S) un citu tarifa elementu paaugstināšanu (E –izdevumi, kas saistīti ar pacientu ēdināšanu; U – pieskaitāmās un netiešās ražošanas izmaksas; A – administratīvie izdevumi)</w:t>
      </w:r>
      <w:r w:rsidR="0018537E" w:rsidRPr="00B86E9B">
        <w:rPr>
          <w:sz w:val="28"/>
          <w:szCs w:val="28"/>
        </w:rPr>
        <w:t>,</w:t>
      </w:r>
      <w:r w:rsidR="00EA7EF5" w:rsidRPr="00B86E9B">
        <w:rPr>
          <w:sz w:val="28"/>
          <w:szCs w:val="28"/>
        </w:rPr>
        <w:t xml:space="preserve"> atbilstoši Ministru kabineta 2013.gada 17.decembra noteikumiem Nr.1529 „Veselības aprūpes organizēšanas un finansēšanas kārtība”</w:t>
      </w:r>
      <w:r w:rsidRPr="00B86E9B">
        <w:rPr>
          <w:sz w:val="28"/>
          <w:szCs w:val="28"/>
        </w:rPr>
        <w:t xml:space="preserve"> tiks palielināti vidēji par 5% - 6% (robežās no 1% līdz 16%, ko ietekmē tarifa elementu D un S īpatsvars konkrētā pakalpojuma vai programmas tarifā)</w:t>
      </w:r>
      <w:r w:rsidR="00C04993" w:rsidRPr="00B86E9B">
        <w:rPr>
          <w:sz w:val="28"/>
          <w:szCs w:val="28"/>
        </w:rPr>
        <w:t>.</w:t>
      </w:r>
    </w:p>
    <w:p w:rsidR="001D0220" w:rsidRPr="00B86E9B" w:rsidRDefault="001D0220" w:rsidP="001D0220">
      <w:pPr>
        <w:ind w:firstLine="706"/>
        <w:jc w:val="both"/>
        <w:rPr>
          <w:color w:val="000000"/>
          <w:sz w:val="28"/>
          <w:szCs w:val="28"/>
        </w:rPr>
      </w:pPr>
      <w:r w:rsidRPr="00B86E9B">
        <w:rPr>
          <w:sz w:val="28"/>
          <w:szCs w:val="28"/>
        </w:rPr>
        <w:t>Slimnīcas „</w:t>
      </w:r>
      <w:proofErr w:type="spellStart"/>
      <w:r w:rsidRPr="00B86E9B">
        <w:rPr>
          <w:sz w:val="28"/>
          <w:szCs w:val="28"/>
        </w:rPr>
        <w:t>Ģintermuiža</w:t>
      </w:r>
      <w:proofErr w:type="spellEnd"/>
      <w:r w:rsidRPr="00B86E9B">
        <w:rPr>
          <w:sz w:val="28"/>
          <w:szCs w:val="28"/>
        </w:rPr>
        <w:t>”</w:t>
      </w:r>
      <w:r w:rsidRPr="00B86E9B">
        <w:rPr>
          <w:rStyle w:val="Izteiksmgs"/>
          <w:sz w:val="28"/>
          <w:szCs w:val="28"/>
        </w:rPr>
        <w:t xml:space="preserve"> </w:t>
      </w:r>
      <w:r w:rsidRPr="00B86E9B">
        <w:rPr>
          <w:rFonts w:eastAsia="Calibri"/>
          <w:sz w:val="28"/>
          <w:szCs w:val="28"/>
        </w:rPr>
        <w:t xml:space="preserve">izdevumi 2012.gadā bija </w:t>
      </w:r>
      <w:r w:rsidRPr="00B86E9B">
        <w:rPr>
          <w:color w:val="000000"/>
          <w:sz w:val="28"/>
          <w:szCs w:val="28"/>
        </w:rPr>
        <w:t xml:space="preserve">3 780 625 LVL, kas, salīdzinot ar 2012.gada plānu, bija mazāki par 24 975 LVL (0,7%), un salīdzinājumā ar 2011.gadu  bija mazāki par 161 052 LVL (4,1%). </w:t>
      </w:r>
    </w:p>
    <w:p w:rsidR="001D0220" w:rsidRPr="00B86E9B" w:rsidRDefault="001D0220" w:rsidP="001D0220">
      <w:pPr>
        <w:ind w:firstLine="706"/>
        <w:jc w:val="both"/>
        <w:rPr>
          <w:color w:val="000000"/>
          <w:sz w:val="28"/>
          <w:szCs w:val="28"/>
        </w:rPr>
      </w:pPr>
      <w:r w:rsidRPr="00B86E9B">
        <w:rPr>
          <w:sz w:val="28"/>
          <w:szCs w:val="28"/>
        </w:rPr>
        <w:t>Slimnīcas „</w:t>
      </w:r>
      <w:proofErr w:type="spellStart"/>
      <w:r w:rsidRPr="00B86E9B">
        <w:rPr>
          <w:sz w:val="28"/>
          <w:szCs w:val="28"/>
        </w:rPr>
        <w:t>Ģintermuiža</w:t>
      </w:r>
      <w:proofErr w:type="spellEnd"/>
      <w:r w:rsidRPr="00B86E9B">
        <w:rPr>
          <w:sz w:val="28"/>
          <w:szCs w:val="28"/>
        </w:rPr>
        <w:t>”</w:t>
      </w:r>
      <w:r w:rsidRPr="00B86E9B">
        <w:rPr>
          <w:color w:val="000000"/>
          <w:sz w:val="28"/>
          <w:szCs w:val="28"/>
        </w:rPr>
        <w:t xml:space="preserve"> izdevumi personāla atlīdzībai 2012.gadā bija </w:t>
      </w:r>
      <w:r w:rsidRPr="00B86E9B">
        <w:rPr>
          <w:color w:val="000000"/>
          <w:sz w:val="28"/>
          <w:szCs w:val="28"/>
        </w:rPr>
        <w:br/>
        <w:t xml:space="preserve">2 818 780 LVL, kas bija par 523 780 LVL (22,8%) lielāki nekā plānots 2012.gadā un par 37 876 LVL (1,3%) mazāki nekā 2011.gadā. </w:t>
      </w:r>
      <w:r w:rsidRPr="00B86E9B">
        <w:rPr>
          <w:sz w:val="28"/>
          <w:szCs w:val="28"/>
        </w:rPr>
        <w:t>Slimnīcas „</w:t>
      </w:r>
      <w:proofErr w:type="spellStart"/>
      <w:r w:rsidRPr="00B86E9B">
        <w:rPr>
          <w:sz w:val="28"/>
          <w:szCs w:val="28"/>
        </w:rPr>
        <w:t>Ģintermuiža</w:t>
      </w:r>
      <w:proofErr w:type="spellEnd"/>
      <w:r w:rsidRPr="00B86E9B">
        <w:rPr>
          <w:sz w:val="28"/>
          <w:szCs w:val="28"/>
        </w:rPr>
        <w:t xml:space="preserve">” </w:t>
      </w:r>
      <w:r w:rsidRPr="00B86E9B">
        <w:rPr>
          <w:color w:val="000000"/>
          <w:sz w:val="28"/>
          <w:szCs w:val="28"/>
        </w:rPr>
        <w:t xml:space="preserve">izdevumi par precēm un pakalpojumiem 2012.gadā bija 736 661 LVL, kas bija par 7 619 LVL (1,0%) mazāki nekā plānots un salīdzinājumā ar 2011.gadu mazāki par 33 176 LVL (4,3%), t.sk., izdevumi par medikamentiem un medicīniskiem materiāliem 2012.gadā bija 162 801 LVL, </w:t>
      </w:r>
      <w:r w:rsidRPr="00B86E9B">
        <w:rPr>
          <w:color w:val="000000"/>
          <w:sz w:val="28"/>
          <w:szCs w:val="28"/>
        </w:rPr>
        <w:lastRenderedPageBreak/>
        <w:t>kas bija par 2 199 LVL (1,3%) mazāki nekā plānots un salīdzinājumā ar 2011.gadu mazāki par 24 184 LVL (12,9%).</w:t>
      </w:r>
    </w:p>
    <w:p w:rsidR="0062138D" w:rsidRPr="00135730" w:rsidRDefault="0062138D" w:rsidP="0062138D">
      <w:pPr>
        <w:rPr>
          <w:rFonts w:eastAsia="Calibri"/>
          <w:sz w:val="28"/>
          <w:szCs w:val="28"/>
          <w:lang w:eastAsia="lv-LV"/>
        </w:rPr>
      </w:pPr>
    </w:p>
    <w:p w:rsidR="009D11EC" w:rsidRPr="00B86E9B" w:rsidRDefault="00200DFB" w:rsidP="009D11EC">
      <w:pPr>
        <w:pStyle w:val="Virsraksts3"/>
        <w:numPr>
          <w:ilvl w:val="0"/>
          <w:numId w:val="0"/>
        </w:numPr>
        <w:spacing w:before="0" w:after="0"/>
        <w:jc w:val="right"/>
        <w:rPr>
          <w:b w:val="0"/>
        </w:rPr>
      </w:pPr>
      <w:r w:rsidRPr="00B86E9B">
        <w:rPr>
          <w:rFonts w:eastAsia="Calibri"/>
          <w:b w:val="0"/>
          <w:lang w:eastAsia="lv-LV"/>
        </w:rPr>
        <w:t>Tabula Nr.38</w:t>
      </w:r>
      <w:r w:rsidR="009D11EC" w:rsidRPr="00B86E9B">
        <w:rPr>
          <w:rFonts w:eastAsia="Calibri"/>
          <w:b w:val="0"/>
          <w:lang w:eastAsia="lv-LV"/>
        </w:rPr>
        <w:t>:</w:t>
      </w:r>
      <w:r w:rsidR="009D11EC" w:rsidRPr="00B86E9B">
        <w:rPr>
          <w:b w:val="0"/>
        </w:rPr>
        <w:t xml:space="preserve"> Slimnīcas „</w:t>
      </w:r>
      <w:proofErr w:type="spellStart"/>
      <w:r w:rsidR="009D11EC" w:rsidRPr="00B86E9B">
        <w:rPr>
          <w:b w:val="0"/>
        </w:rPr>
        <w:t>Ģintermuiža</w:t>
      </w:r>
      <w:proofErr w:type="spellEnd"/>
      <w:r w:rsidR="009D11EC" w:rsidRPr="00B86E9B">
        <w:rPr>
          <w:b w:val="0"/>
        </w:rPr>
        <w:t>”</w:t>
      </w:r>
      <w:r w:rsidR="009D11EC" w:rsidRPr="00B86E9B">
        <w:rPr>
          <w:rStyle w:val="Izteiksmgs"/>
        </w:rPr>
        <w:t xml:space="preserve"> </w:t>
      </w:r>
      <w:r w:rsidR="009D11EC" w:rsidRPr="00B86E9B">
        <w:rPr>
          <w:b w:val="0"/>
        </w:rPr>
        <w:t xml:space="preserve"> </w:t>
      </w:r>
      <w:r w:rsidR="00AA24D6" w:rsidRPr="00B86E9B">
        <w:rPr>
          <w:b w:val="0"/>
        </w:rPr>
        <w:t>pakalpojumu izmaksu apjoms un rādītāji</w:t>
      </w:r>
    </w:p>
    <w:tbl>
      <w:tblPr>
        <w:tblW w:w="7831" w:type="dxa"/>
        <w:jc w:val="center"/>
        <w:tblInd w:w="-919" w:type="dxa"/>
        <w:tblLook w:val="04A0"/>
      </w:tblPr>
      <w:tblGrid>
        <w:gridCol w:w="3942"/>
        <w:gridCol w:w="1333"/>
        <w:gridCol w:w="1278"/>
        <w:gridCol w:w="1278"/>
      </w:tblGrid>
      <w:tr w:rsidR="009D11EC" w:rsidRPr="00B86E9B" w:rsidTr="0040706C">
        <w:trPr>
          <w:trHeight w:val="300"/>
          <w:jc w:val="center"/>
        </w:trPr>
        <w:tc>
          <w:tcPr>
            <w:tcW w:w="3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r w:rsidRPr="00B86E9B">
              <w:rPr>
                <w:color w:val="000000" w:themeColor="text1"/>
                <w:sz w:val="26"/>
                <w:szCs w:val="26"/>
              </w:rPr>
              <w:t>2011.gads</w:t>
            </w:r>
          </w:p>
        </w:tc>
        <w:tc>
          <w:tcPr>
            <w:tcW w:w="255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r w:rsidRPr="00B86E9B">
              <w:rPr>
                <w:color w:val="000000" w:themeColor="text1"/>
                <w:sz w:val="26"/>
                <w:szCs w:val="26"/>
              </w:rPr>
              <w:t>2012.gads</w:t>
            </w:r>
          </w:p>
        </w:tc>
      </w:tr>
      <w:tr w:rsidR="009D11EC" w:rsidRPr="00B86E9B" w:rsidTr="0040706C">
        <w:trPr>
          <w:trHeight w:val="300"/>
          <w:jc w:val="center"/>
        </w:trPr>
        <w:tc>
          <w:tcPr>
            <w:tcW w:w="3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r w:rsidRPr="00B86E9B">
              <w:rPr>
                <w:color w:val="000000" w:themeColor="text1"/>
                <w:sz w:val="26"/>
                <w:szCs w:val="26"/>
              </w:rPr>
              <w:t>Rādītājs</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r w:rsidRPr="00B86E9B">
              <w:rPr>
                <w:color w:val="000000" w:themeColor="text1"/>
                <w:sz w:val="26"/>
                <w:szCs w:val="26"/>
              </w:rPr>
              <w:t>Izpilde</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r w:rsidRPr="00B86E9B">
              <w:rPr>
                <w:color w:val="000000" w:themeColor="text1"/>
                <w:sz w:val="26"/>
                <w:szCs w:val="26"/>
              </w:rPr>
              <w:t>Plāns</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D11EC" w:rsidRPr="00B86E9B" w:rsidRDefault="009D11EC" w:rsidP="00E958A1">
            <w:pPr>
              <w:jc w:val="center"/>
              <w:rPr>
                <w:color w:val="000000" w:themeColor="text1"/>
                <w:sz w:val="26"/>
                <w:szCs w:val="26"/>
              </w:rPr>
            </w:pPr>
            <w:r w:rsidRPr="00B86E9B">
              <w:rPr>
                <w:color w:val="000000" w:themeColor="text1"/>
                <w:sz w:val="26"/>
                <w:szCs w:val="26"/>
              </w:rPr>
              <w:t>Izpilde</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rPr>
                <w:sz w:val="26"/>
                <w:szCs w:val="26"/>
              </w:rPr>
            </w:pPr>
            <w:r w:rsidRPr="00B86E9B">
              <w:rPr>
                <w:sz w:val="26"/>
                <w:szCs w:val="26"/>
              </w:rPr>
              <w:t>Kopējie izdevumi [tūkst. LVL], t.sk.:</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bCs/>
                <w:sz w:val="26"/>
                <w:szCs w:val="26"/>
              </w:rPr>
              <w:t>3 94</w:t>
            </w:r>
            <w:r w:rsidR="00FE295C" w:rsidRPr="00B86E9B">
              <w:rPr>
                <w:bCs/>
                <w:sz w:val="26"/>
                <w:szCs w:val="26"/>
              </w:rPr>
              <w:t>2</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3 80</w:t>
            </w:r>
            <w:r w:rsidR="00FE295C" w:rsidRPr="00B86E9B">
              <w:rPr>
                <w:color w:val="000000"/>
                <w:sz w:val="26"/>
                <w:szCs w:val="26"/>
              </w:rPr>
              <w:t>6</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9474D1">
            <w:pPr>
              <w:jc w:val="center"/>
              <w:rPr>
                <w:color w:val="000000"/>
                <w:sz w:val="26"/>
                <w:szCs w:val="26"/>
              </w:rPr>
            </w:pPr>
            <w:r w:rsidRPr="00B86E9B">
              <w:rPr>
                <w:color w:val="000000"/>
                <w:sz w:val="26"/>
                <w:szCs w:val="26"/>
              </w:rPr>
              <w:t>3 781</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Personāla atlīdzības izmaksas [tūkst. LVL]</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bCs/>
                <w:sz w:val="26"/>
                <w:szCs w:val="26"/>
              </w:rPr>
              <w:t>2 85</w:t>
            </w:r>
            <w:r w:rsidR="00FE295C" w:rsidRPr="00B86E9B">
              <w:rPr>
                <w:bCs/>
                <w:sz w:val="26"/>
                <w:szCs w:val="26"/>
              </w:rPr>
              <w:t>7</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2 295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9474D1">
            <w:pPr>
              <w:jc w:val="center"/>
              <w:rPr>
                <w:color w:val="000000"/>
                <w:sz w:val="26"/>
                <w:szCs w:val="26"/>
              </w:rPr>
            </w:pPr>
            <w:r w:rsidRPr="00B86E9B">
              <w:rPr>
                <w:color w:val="000000"/>
                <w:sz w:val="26"/>
                <w:szCs w:val="26"/>
              </w:rPr>
              <w:t xml:space="preserve">2 819 </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sz w:val="26"/>
                <w:szCs w:val="26"/>
              </w:rPr>
            </w:pPr>
            <w:r w:rsidRPr="00B86E9B">
              <w:rPr>
                <w:sz w:val="26"/>
                <w:szCs w:val="26"/>
              </w:rPr>
              <w:t>Preču un pakalpojumu izmaksas [tūkst. LVL], t.sk.:</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bCs/>
                <w:color w:val="000000"/>
                <w:sz w:val="26"/>
                <w:szCs w:val="26"/>
              </w:rPr>
            </w:pPr>
            <w:r w:rsidRPr="00B86E9B">
              <w:rPr>
                <w:bCs/>
                <w:color w:val="000000"/>
                <w:sz w:val="26"/>
                <w:szCs w:val="26"/>
              </w:rPr>
              <w:t>7</w:t>
            </w:r>
            <w:r w:rsidR="00FE295C" w:rsidRPr="00B86E9B">
              <w:rPr>
                <w:bCs/>
                <w:color w:val="000000"/>
                <w:sz w:val="26"/>
                <w:szCs w:val="26"/>
              </w:rPr>
              <w:t>70</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bCs/>
                <w:color w:val="000000"/>
                <w:sz w:val="26"/>
                <w:szCs w:val="26"/>
              </w:rPr>
            </w:pPr>
            <w:r w:rsidRPr="00B86E9B">
              <w:rPr>
                <w:bCs/>
                <w:color w:val="000000"/>
                <w:sz w:val="26"/>
                <w:szCs w:val="26"/>
              </w:rPr>
              <w:t xml:space="preserve">744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9474D1">
            <w:pPr>
              <w:jc w:val="center"/>
              <w:rPr>
                <w:bCs/>
                <w:color w:val="000000"/>
                <w:sz w:val="26"/>
                <w:szCs w:val="26"/>
              </w:rPr>
            </w:pPr>
            <w:r w:rsidRPr="00B86E9B">
              <w:rPr>
                <w:bCs/>
                <w:color w:val="000000"/>
                <w:sz w:val="26"/>
                <w:szCs w:val="26"/>
              </w:rPr>
              <w:t>737</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266"/>
              <w:rPr>
                <w:sz w:val="26"/>
                <w:szCs w:val="26"/>
              </w:rPr>
            </w:pPr>
            <w:r w:rsidRPr="00B86E9B">
              <w:rPr>
                <w:sz w:val="26"/>
                <w:szCs w:val="26"/>
              </w:rPr>
              <w:t>Medikamentu izmaksas [tūkst. LVL]</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18</w:t>
            </w:r>
            <w:r w:rsidR="00FE295C" w:rsidRPr="00B86E9B">
              <w:rPr>
                <w:color w:val="000000"/>
                <w:sz w:val="26"/>
                <w:szCs w:val="26"/>
              </w:rPr>
              <w:t>7</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 xml:space="preserve">165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9474D1">
            <w:pPr>
              <w:jc w:val="center"/>
              <w:rPr>
                <w:color w:val="000000"/>
                <w:sz w:val="26"/>
                <w:szCs w:val="26"/>
              </w:rPr>
            </w:pPr>
            <w:r w:rsidRPr="00B86E9B">
              <w:rPr>
                <w:color w:val="000000"/>
                <w:sz w:val="26"/>
                <w:szCs w:val="26"/>
              </w:rPr>
              <w:t>163</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Procentu izdevumi [</w:t>
            </w:r>
            <w:r w:rsidR="00235ACD"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5145C6">
            <w:pPr>
              <w:jc w:val="center"/>
              <w:rPr>
                <w:color w:val="000000"/>
                <w:sz w:val="26"/>
                <w:szCs w:val="26"/>
              </w:rPr>
            </w:pPr>
            <w:r w:rsidRPr="00B86E9B">
              <w:rPr>
                <w:color w:val="000000"/>
                <w:sz w:val="26"/>
                <w:szCs w:val="26"/>
              </w:rPr>
              <w:t>0</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5145C6">
            <w:pPr>
              <w:jc w:val="center"/>
              <w:rPr>
                <w:bCs/>
                <w:color w:val="000000"/>
                <w:sz w:val="26"/>
                <w:szCs w:val="26"/>
              </w:rPr>
            </w:pPr>
            <w:r w:rsidRPr="00B86E9B">
              <w:rPr>
                <w:bCs/>
                <w:color w:val="000000"/>
                <w:sz w:val="26"/>
                <w:szCs w:val="26"/>
              </w:rPr>
              <w:t>0</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5145C6">
            <w:pPr>
              <w:jc w:val="center"/>
              <w:rPr>
                <w:bCs/>
                <w:color w:val="000000"/>
                <w:sz w:val="26"/>
                <w:szCs w:val="26"/>
              </w:rPr>
            </w:pPr>
            <w:r w:rsidRPr="00B86E9B">
              <w:rPr>
                <w:bCs/>
                <w:color w:val="000000"/>
                <w:sz w:val="26"/>
                <w:szCs w:val="26"/>
              </w:rPr>
              <w:t>0</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Nolietojums [</w:t>
            </w:r>
            <w:r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jc w:val="center"/>
              <w:rPr>
                <w:color w:val="000000"/>
                <w:sz w:val="26"/>
                <w:szCs w:val="26"/>
              </w:rPr>
            </w:pPr>
            <w:r w:rsidRPr="00B86E9B">
              <w:rPr>
                <w:color w:val="000000"/>
                <w:sz w:val="26"/>
                <w:szCs w:val="26"/>
              </w:rPr>
              <w:t>155</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FE295C">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 xml:space="preserve">206 </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9474D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206</w:t>
            </w:r>
          </w:p>
        </w:tc>
      </w:tr>
      <w:tr w:rsidR="009474D1"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9474D1" w:rsidRPr="00B86E9B" w:rsidRDefault="009474D1" w:rsidP="009474D1">
            <w:pPr>
              <w:ind w:left="124"/>
              <w:rPr>
                <w:color w:val="000000"/>
                <w:sz w:val="26"/>
                <w:szCs w:val="26"/>
              </w:rPr>
            </w:pPr>
            <w:r w:rsidRPr="00B86E9B">
              <w:rPr>
                <w:color w:val="000000"/>
                <w:sz w:val="26"/>
                <w:szCs w:val="26"/>
              </w:rPr>
              <w:t>Pārējās izmaksas [</w:t>
            </w:r>
            <w:r w:rsidRPr="00B86E9B">
              <w:rPr>
                <w:sz w:val="26"/>
                <w:szCs w:val="26"/>
              </w:rPr>
              <w:t>tūkst. LVL</w:t>
            </w:r>
            <w:r w:rsidRPr="00B86E9B">
              <w:rPr>
                <w:color w:val="000000"/>
                <w:sz w:val="26"/>
                <w:szCs w:val="26"/>
              </w:rPr>
              <w:t>]</w:t>
            </w:r>
          </w:p>
        </w:tc>
        <w:tc>
          <w:tcPr>
            <w:tcW w:w="1333"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1</w:t>
            </w:r>
            <w:r w:rsidR="00FE295C" w:rsidRPr="00B86E9B">
              <w:rPr>
                <w:color w:val="000000"/>
                <w:sz w:val="26"/>
                <w:szCs w:val="26"/>
              </w:rPr>
              <w:t>60</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FE295C" w:rsidP="000F6BDF">
            <w:pPr>
              <w:jc w:val="center"/>
              <w:rPr>
                <w:color w:val="000000"/>
                <w:sz w:val="26"/>
                <w:szCs w:val="26"/>
              </w:rPr>
            </w:pPr>
            <w:r w:rsidRPr="00B86E9B">
              <w:rPr>
                <w:color w:val="000000"/>
                <w:sz w:val="26"/>
                <w:szCs w:val="26"/>
              </w:rPr>
              <w:t>561</w:t>
            </w:r>
          </w:p>
        </w:tc>
        <w:tc>
          <w:tcPr>
            <w:tcW w:w="1278" w:type="dxa"/>
            <w:tcBorders>
              <w:top w:val="nil"/>
              <w:left w:val="nil"/>
              <w:bottom w:val="single" w:sz="4" w:space="0" w:color="auto"/>
              <w:right w:val="single" w:sz="4" w:space="0" w:color="auto"/>
            </w:tcBorders>
            <w:shd w:val="clear" w:color="auto" w:fill="auto"/>
            <w:vAlign w:val="center"/>
            <w:hideMark/>
          </w:tcPr>
          <w:p w:rsidR="009474D1" w:rsidRPr="00B86E9B" w:rsidRDefault="009474D1" w:rsidP="000F6BDF">
            <w:pPr>
              <w:jc w:val="center"/>
              <w:rPr>
                <w:color w:val="000000"/>
                <w:sz w:val="26"/>
                <w:szCs w:val="26"/>
              </w:rPr>
            </w:pPr>
            <w:r w:rsidRPr="00B86E9B">
              <w:rPr>
                <w:color w:val="000000"/>
                <w:sz w:val="26"/>
                <w:szCs w:val="26"/>
              </w:rPr>
              <w:t>19</w:t>
            </w:r>
          </w:p>
        </w:tc>
      </w:tr>
      <w:tr w:rsidR="005145C6"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5145C6" w:rsidRPr="00B86E9B" w:rsidRDefault="005145C6" w:rsidP="00226243">
            <w:pPr>
              <w:rPr>
                <w:color w:val="000000"/>
                <w:sz w:val="26"/>
                <w:szCs w:val="26"/>
              </w:rPr>
            </w:pPr>
            <w:r w:rsidRPr="00B86E9B">
              <w:rPr>
                <w:color w:val="000000"/>
                <w:sz w:val="26"/>
                <w:szCs w:val="26"/>
              </w:rPr>
              <w:t>Pacientu skaits</w:t>
            </w:r>
          </w:p>
        </w:tc>
        <w:tc>
          <w:tcPr>
            <w:tcW w:w="1333" w:type="dxa"/>
            <w:tcBorders>
              <w:top w:val="nil"/>
              <w:left w:val="nil"/>
              <w:bottom w:val="single" w:sz="4" w:space="0" w:color="auto"/>
              <w:right w:val="single" w:sz="4" w:space="0" w:color="auto"/>
            </w:tcBorders>
            <w:shd w:val="clear" w:color="auto" w:fill="auto"/>
            <w:vAlign w:val="center"/>
            <w:hideMark/>
          </w:tcPr>
          <w:p w:rsidR="005145C6" w:rsidRPr="00B86E9B" w:rsidRDefault="005145C6" w:rsidP="005145C6">
            <w:pPr>
              <w:jc w:val="center"/>
              <w:rPr>
                <w:color w:val="000000"/>
                <w:sz w:val="26"/>
                <w:szCs w:val="26"/>
              </w:rPr>
            </w:pPr>
            <w:r w:rsidRPr="00B86E9B">
              <w:rPr>
                <w:color w:val="000000"/>
                <w:sz w:val="26"/>
                <w:szCs w:val="26"/>
              </w:rPr>
              <w:t>18 918</w:t>
            </w:r>
          </w:p>
        </w:tc>
        <w:tc>
          <w:tcPr>
            <w:tcW w:w="1278" w:type="dxa"/>
            <w:tcBorders>
              <w:top w:val="nil"/>
              <w:left w:val="nil"/>
              <w:bottom w:val="single" w:sz="4" w:space="0" w:color="auto"/>
              <w:right w:val="single" w:sz="4" w:space="0" w:color="auto"/>
            </w:tcBorders>
            <w:shd w:val="clear" w:color="auto" w:fill="auto"/>
            <w:vAlign w:val="center"/>
            <w:hideMark/>
          </w:tcPr>
          <w:p w:rsidR="005145C6" w:rsidRPr="00B86E9B" w:rsidRDefault="005145C6" w:rsidP="005145C6">
            <w:pPr>
              <w:jc w:val="center"/>
              <w:rPr>
                <w:sz w:val="26"/>
                <w:szCs w:val="26"/>
              </w:rPr>
            </w:pPr>
            <w:r w:rsidRPr="00B86E9B">
              <w:rPr>
                <w:sz w:val="26"/>
                <w:szCs w:val="26"/>
              </w:rPr>
              <w:t>19 463</w:t>
            </w:r>
          </w:p>
        </w:tc>
        <w:tc>
          <w:tcPr>
            <w:tcW w:w="1278" w:type="dxa"/>
            <w:tcBorders>
              <w:top w:val="nil"/>
              <w:left w:val="nil"/>
              <w:bottom w:val="single" w:sz="4" w:space="0" w:color="auto"/>
              <w:right w:val="single" w:sz="4" w:space="0" w:color="auto"/>
            </w:tcBorders>
            <w:shd w:val="clear" w:color="auto" w:fill="auto"/>
            <w:vAlign w:val="center"/>
            <w:hideMark/>
          </w:tcPr>
          <w:p w:rsidR="005145C6" w:rsidRPr="00B86E9B" w:rsidRDefault="005145C6" w:rsidP="005145C6">
            <w:pPr>
              <w:jc w:val="center"/>
              <w:rPr>
                <w:sz w:val="26"/>
                <w:szCs w:val="26"/>
              </w:rPr>
            </w:pPr>
            <w:r w:rsidRPr="00B86E9B">
              <w:rPr>
                <w:sz w:val="26"/>
                <w:szCs w:val="26"/>
              </w:rPr>
              <w:t>19 944</w:t>
            </w:r>
          </w:p>
        </w:tc>
      </w:tr>
      <w:tr w:rsidR="005145C6" w:rsidRPr="00B86E9B" w:rsidTr="0040706C">
        <w:trPr>
          <w:trHeight w:val="300"/>
          <w:jc w:val="cent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5145C6" w:rsidRPr="00B86E9B" w:rsidRDefault="005145C6" w:rsidP="00226243">
            <w:pPr>
              <w:rPr>
                <w:color w:val="000000"/>
                <w:sz w:val="26"/>
                <w:szCs w:val="26"/>
              </w:rPr>
            </w:pPr>
            <w:r w:rsidRPr="00B86E9B">
              <w:rPr>
                <w:color w:val="000000"/>
                <w:sz w:val="26"/>
                <w:szCs w:val="26"/>
              </w:rPr>
              <w:t>Kopējās izmaksas uz vienu pacientu [LVL]</w:t>
            </w:r>
          </w:p>
        </w:tc>
        <w:tc>
          <w:tcPr>
            <w:tcW w:w="1333" w:type="dxa"/>
            <w:tcBorders>
              <w:top w:val="nil"/>
              <w:left w:val="nil"/>
              <w:bottom w:val="single" w:sz="4" w:space="0" w:color="auto"/>
              <w:right w:val="single" w:sz="4" w:space="0" w:color="auto"/>
            </w:tcBorders>
            <w:shd w:val="clear" w:color="auto" w:fill="auto"/>
            <w:vAlign w:val="center"/>
            <w:hideMark/>
          </w:tcPr>
          <w:p w:rsidR="005145C6" w:rsidRPr="00B86E9B" w:rsidRDefault="005145C6" w:rsidP="005145C6">
            <w:pPr>
              <w:jc w:val="center"/>
              <w:rPr>
                <w:color w:val="000000"/>
                <w:sz w:val="26"/>
                <w:szCs w:val="26"/>
              </w:rPr>
            </w:pPr>
            <w:r w:rsidRPr="00B86E9B">
              <w:rPr>
                <w:color w:val="000000"/>
                <w:sz w:val="26"/>
                <w:szCs w:val="26"/>
              </w:rPr>
              <w:t>208</w:t>
            </w:r>
          </w:p>
        </w:tc>
        <w:tc>
          <w:tcPr>
            <w:tcW w:w="1278" w:type="dxa"/>
            <w:tcBorders>
              <w:top w:val="nil"/>
              <w:left w:val="nil"/>
              <w:bottom w:val="single" w:sz="4" w:space="0" w:color="auto"/>
              <w:right w:val="single" w:sz="4" w:space="0" w:color="auto"/>
            </w:tcBorders>
            <w:shd w:val="clear" w:color="auto" w:fill="auto"/>
            <w:vAlign w:val="center"/>
            <w:hideMark/>
          </w:tcPr>
          <w:p w:rsidR="005145C6" w:rsidRPr="00B86E9B" w:rsidRDefault="005145C6" w:rsidP="005145C6">
            <w:pPr>
              <w:jc w:val="center"/>
              <w:rPr>
                <w:color w:val="000000"/>
                <w:sz w:val="26"/>
                <w:szCs w:val="26"/>
              </w:rPr>
            </w:pPr>
            <w:r w:rsidRPr="00B86E9B">
              <w:rPr>
                <w:color w:val="000000"/>
                <w:sz w:val="26"/>
                <w:szCs w:val="26"/>
              </w:rPr>
              <w:t>196</w:t>
            </w:r>
          </w:p>
        </w:tc>
        <w:tc>
          <w:tcPr>
            <w:tcW w:w="1278" w:type="dxa"/>
            <w:tcBorders>
              <w:top w:val="nil"/>
              <w:left w:val="nil"/>
              <w:bottom w:val="single" w:sz="4" w:space="0" w:color="auto"/>
              <w:right w:val="single" w:sz="4" w:space="0" w:color="auto"/>
            </w:tcBorders>
            <w:shd w:val="clear" w:color="auto" w:fill="auto"/>
            <w:vAlign w:val="center"/>
            <w:hideMark/>
          </w:tcPr>
          <w:p w:rsidR="005145C6" w:rsidRPr="00B86E9B" w:rsidRDefault="005145C6" w:rsidP="005145C6">
            <w:pPr>
              <w:jc w:val="center"/>
              <w:rPr>
                <w:color w:val="000000"/>
                <w:sz w:val="26"/>
                <w:szCs w:val="26"/>
              </w:rPr>
            </w:pPr>
            <w:r w:rsidRPr="00B86E9B">
              <w:rPr>
                <w:color w:val="000000"/>
                <w:sz w:val="26"/>
                <w:szCs w:val="26"/>
              </w:rPr>
              <w:t>190</w:t>
            </w:r>
          </w:p>
        </w:tc>
      </w:tr>
    </w:tbl>
    <w:p w:rsidR="009D11EC" w:rsidRPr="00B86E9B" w:rsidRDefault="009D11EC" w:rsidP="009D11EC">
      <w:pPr>
        <w:pStyle w:val="Virsraksts3"/>
        <w:numPr>
          <w:ilvl w:val="0"/>
          <w:numId w:val="0"/>
        </w:numPr>
        <w:spacing w:before="0" w:after="0"/>
        <w:ind w:firstLine="709"/>
        <w:jc w:val="both"/>
        <w:rPr>
          <w:b w:val="0"/>
          <w:i w:val="0"/>
        </w:rPr>
      </w:pPr>
    </w:p>
    <w:p w:rsidR="00F315D2" w:rsidRPr="00B86E9B" w:rsidRDefault="00FD0BF6" w:rsidP="00FF0F9B">
      <w:pPr>
        <w:pStyle w:val="Virsraksts3"/>
        <w:numPr>
          <w:ilvl w:val="0"/>
          <w:numId w:val="0"/>
        </w:numPr>
        <w:spacing w:before="0" w:after="0"/>
        <w:ind w:firstLine="709"/>
        <w:jc w:val="both"/>
        <w:rPr>
          <w:b w:val="0"/>
          <w:i w:val="0"/>
        </w:rPr>
      </w:pPr>
      <w:r w:rsidRPr="00B86E9B">
        <w:rPr>
          <w:b w:val="0"/>
          <w:i w:val="0"/>
          <w:color w:val="000000"/>
        </w:rPr>
        <w:t xml:space="preserve">Izmaksu palielināšanās pret 2012.gada plānu personāla atlīdzībai </w:t>
      </w:r>
      <w:r w:rsidR="00FF0F9B" w:rsidRPr="00B86E9B">
        <w:rPr>
          <w:b w:val="0"/>
          <w:i w:val="0"/>
        </w:rPr>
        <w:t xml:space="preserve">ir skaidrojama ar to, ka </w:t>
      </w:r>
      <w:r w:rsidR="00454DFF" w:rsidRPr="00B86E9B">
        <w:rPr>
          <w:b w:val="0"/>
          <w:i w:val="0"/>
        </w:rPr>
        <w:t xml:space="preserve">plānošanas kļūdas dēļ </w:t>
      </w:r>
      <w:r w:rsidR="00FF0F9B" w:rsidRPr="00B86E9B">
        <w:rPr>
          <w:b w:val="0"/>
          <w:i w:val="0"/>
        </w:rPr>
        <w:t>2012.gada plānā</w:t>
      </w:r>
      <w:r w:rsidRPr="00B86E9B">
        <w:rPr>
          <w:b w:val="0"/>
          <w:i w:val="0"/>
        </w:rPr>
        <w:t xml:space="preserve"> izdevumos</w:t>
      </w:r>
      <w:r w:rsidR="00FF0F9B" w:rsidRPr="00B86E9B">
        <w:rPr>
          <w:b w:val="0"/>
          <w:i w:val="0"/>
        </w:rPr>
        <w:t xml:space="preserve"> personāla atlīdzībai nebija iekļauti izdevumi darba devēja </w:t>
      </w:r>
      <w:r w:rsidRPr="00B86E9B">
        <w:rPr>
          <w:b w:val="0"/>
          <w:i w:val="0"/>
        </w:rPr>
        <w:t>valsts sociālās apdrošināšanas obligāt</w:t>
      </w:r>
      <w:r w:rsidR="0096477A" w:rsidRPr="00B86E9B">
        <w:rPr>
          <w:b w:val="0"/>
          <w:i w:val="0"/>
        </w:rPr>
        <w:t>o</w:t>
      </w:r>
      <w:r w:rsidRPr="00B86E9B">
        <w:rPr>
          <w:b w:val="0"/>
          <w:i w:val="0"/>
        </w:rPr>
        <w:t xml:space="preserve"> iemaks</w:t>
      </w:r>
      <w:r w:rsidR="0096477A" w:rsidRPr="00B86E9B">
        <w:rPr>
          <w:b w:val="0"/>
          <w:i w:val="0"/>
        </w:rPr>
        <w:t>u nodrošināšanai</w:t>
      </w:r>
      <w:r w:rsidR="00FF0F9B" w:rsidRPr="00B86E9B">
        <w:rPr>
          <w:b w:val="0"/>
          <w:i w:val="0"/>
        </w:rPr>
        <w:t>.</w:t>
      </w:r>
    </w:p>
    <w:p w:rsidR="009D11EC" w:rsidRPr="00B86E9B" w:rsidRDefault="009D11EC" w:rsidP="009D11EC">
      <w:pPr>
        <w:pStyle w:val="Virsraksts3"/>
        <w:numPr>
          <w:ilvl w:val="0"/>
          <w:numId w:val="0"/>
        </w:numPr>
        <w:spacing w:before="0" w:after="0"/>
        <w:ind w:firstLine="709"/>
        <w:jc w:val="both"/>
        <w:rPr>
          <w:b w:val="0"/>
          <w:i w:val="0"/>
        </w:rPr>
      </w:pPr>
      <w:r w:rsidRPr="00B86E9B">
        <w:rPr>
          <w:b w:val="0"/>
          <w:i w:val="0"/>
        </w:rPr>
        <w:t>Slimnīcas „</w:t>
      </w:r>
      <w:proofErr w:type="spellStart"/>
      <w:r w:rsidRPr="00B86E9B">
        <w:rPr>
          <w:b w:val="0"/>
          <w:i w:val="0"/>
        </w:rPr>
        <w:t>Ģintermuiža</w:t>
      </w:r>
      <w:proofErr w:type="spellEnd"/>
      <w:r w:rsidRPr="00B86E9B">
        <w:rPr>
          <w:b w:val="0"/>
          <w:i w:val="0"/>
        </w:rPr>
        <w:t>”</w:t>
      </w:r>
      <w:r w:rsidRPr="00B86E9B">
        <w:rPr>
          <w:rStyle w:val="Izteiksmgs"/>
        </w:rPr>
        <w:t xml:space="preserve"> </w:t>
      </w:r>
      <w:r w:rsidRPr="00B86E9B">
        <w:rPr>
          <w:b w:val="0"/>
          <w:i w:val="0"/>
        </w:rPr>
        <w:t xml:space="preserve">naudas līdzekļu atlikums uz 31.12.2012. bija </w:t>
      </w:r>
      <w:r w:rsidRPr="00B86E9B">
        <w:rPr>
          <w:b w:val="0"/>
          <w:i w:val="0"/>
        </w:rPr>
        <w:br/>
        <w:t>1 105 136 LVL, tajā skaitā valsts galvotā aizdevuma līdzekļi 900 015 LVL apmērā, pašu līdzekļi 167 440 LVL apmērā un pacientu personīgie līdzekļi 37 681 LVL apmērā. Slimnīcas „</w:t>
      </w:r>
      <w:proofErr w:type="spellStart"/>
      <w:r w:rsidRPr="00B86E9B">
        <w:rPr>
          <w:b w:val="0"/>
          <w:i w:val="0"/>
        </w:rPr>
        <w:t>Ģintermuiža</w:t>
      </w:r>
      <w:proofErr w:type="spellEnd"/>
      <w:r w:rsidRPr="00B86E9B">
        <w:rPr>
          <w:b w:val="0"/>
          <w:i w:val="0"/>
        </w:rPr>
        <w:t>”</w:t>
      </w:r>
      <w:r w:rsidRPr="00B86E9B">
        <w:rPr>
          <w:rStyle w:val="Izteiksmgs"/>
        </w:rPr>
        <w:t xml:space="preserve"> </w:t>
      </w:r>
      <w:r w:rsidRPr="00B86E9B">
        <w:rPr>
          <w:b w:val="0"/>
          <w:i w:val="0"/>
        </w:rPr>
        <w:t>atlikuma apmērs 2012.gadā salīdzinājumā ar 2012.gada plānu ir palielinājies par  111 521 LVL (11,2%).</w:t>
      </w:r>
    </w:p>
    <w:p w:rsidR="009D11EC" w:rsidRPr="00135730" w:rsidRDefault="009D11EC" w:rsidP="009D11EC">
      <w:pPr>
        <w:rPr>
          <w:sz w:val="28"/>
          <w:szCs w:val="28"/>
        </w:rPr>
      </w:pPr>
    </w:p>
    <w:p w:rsidR="009D11EC" w:rsidRPr="00B86E9B" w:rsidRDefault="00C56EBA" w:rsidP="009D11EC">
      <w:pPr>
        <w:tabs>
          <w:tab w:val="left" w:pos="851"/>
        </w:tabs>
        <w:jc w:val="right"/>
        <w:rPr>
          <w:sz w:val="28"/>
          <w:szCs w:val="28"/>
        </w:rPr>
      </w:pPr>
      <w:r w:rsidRPr="00B86E9B">
        <w:rPr>
          <w:i/>
          <w:sz w:val="28"/>
          <w:szCs w:val="28"/>
        </w:rPr>
        <w:t>Tabula Nr.39</w:t>
      </w:r>
      <w:r w:rsidR="009D11EC" w:rsidRPr="00B86E9B">
        <w:rPr>
          <w:i/>
          <w:sz w:val="28"/>
          <w:szCs w:val="28"/>
        </w:rPr>
        <w:t>: Slimnīcas „</w:t>
      </w:r>
      <w:proofErr w:type="spellStart"/>
      <w:r w:rsidR="009D11EC" w:rsidRPr="00B86E9B">
        <w:rPr>
          <w:i/>
          <w:sz w:val="28"/>
          <w:szCs w:val="28"/>
        </w:rPr>
        <w:t>Ģintermuiža</w:t>
      </w:r>
      <w:proofErr w:type="spellEnd"/>
      <w:r w:rsidR="009D11EC" w:rsidRPr="00B86E9B">
        <w:rPr>
          <w:i/>
          <w:sz w:val="28"/>
          <w:szCs w:val="28"/>
        </w:rPr>
        <w:t>” finanšu rādītāji 2012.gadā [LVL]</w:t>
      </w:r>
    </w:p>
    <w:tbl>
      <w:tblPr>
        <w:tblStyle w:val="Reatabula"/>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755"/>
        <w:gridCol w:w="1677"/>
        <w:gridCol w:w="1694"/>
        <w:gridCol w:w="1753"/>
      </w:tblGrid>
      <w:tr w:rsidR="009D11EC" w:rsidRPr="00B86E9B" w:rsidTr="00E958A1">
        <w:trPr>
          <w:jc w:val="center"/>
        </w:trPr>
        <w:tc>
          <w:tcPr>
            <w:tcW w:w="2160" w:type="dxa"/>
            <w:shd w:val="clear" w:color="auto" w:fill="D9D9D9" w:themeFill="background1" w:themeFillShade="D9"/>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Rādītāji</w:t>
            </w:r>
          </w:p>
        </w:tc>
        <w:tc>
          <w:tcPr>
            <w:tcW w:w="1800" w:type="dxa"/>
            <w:shd w:val="clear" w:color="auto" w:fill="D9D9D9" w:themeFill="background1" w:themeFillShade="D9"/>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Plānotie</w:t>
            </w:r>
          </w:p>
        </w:tc>
        <w:tc>
          <w:tcPr>
            <w:tcW w:w="1710" w:type="dxa"/>
            <w:shd w:val="clear" w:color="auto" w:fill="D9D9D9" w:themeFill="background1" w:themeFillShade="D9"/>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Faktiskie</w:t>
            </w:r>
          </w:p>
        </w:tc>
        <w:tc>
          <w:tcPr>
            <w:tcW w:w="1729" w:type="dxa"/>
            <w:shd w:val="clear" w:color="auto" w:fill="D9D9D9" w:themeFill="background1" w:themeFillShade="D9"/>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skaitliski</w:t>
            </w:r>
          </w:p>
        </w:tc>
        <w:tc>
          <w:tcPr>
            <w:tcW w:w="1777" w:type="dxa"/>
            <w:shd w:val="clear" w:color="auto" w:fill="D9D9D9" w:themeFill="background1" w:themeFillShade="D9"/>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Novirze procentuāli</w:t>
            </w:r>
          </w:p>
        </w:tc>
      </w:tr>
      <w:tr w:rsidR="009D11EC" w:rsidRPr="00B86E9B" w:rsidTr="00E958A1">
        <w:trPr>
          <w:trHeight w:val="226"/>
          <w:jc w:val="center"/>
        </w:trPr>
        <w:tc>
          <w:tcPr>
            <w:tcW w:w="2160"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ieņēmumi</w:t>
            </w:r>
          </w:p>
        </w:tc>
        <w:tc>
          <w:tcPr>
            <w:tcW w:w="1800" w:type="dxa"/>
            <w:vAlign w:val="center"/>
          </w:tcPr>
          <w:p w:rsidR="009D11EC" w:rsidRPr="00B86E9B" w:rsidRDefault="009D11EC" w:rsidP="00E958A1">
            <w:pPr>
              <w:jc w:val="center"/>
              <w:rPr>
                <w:color w:val="000000"/>
                <w:sz w:val="26"/>
                <w:szCs w:val="26"/>
              </w:rPr>
            </w:pPr>
            <w:r w:rsidRPr="00B86E9B">
              <w:rPr>
                <w:color w:val="000000"/>
                <w:sz w:val="26"/>
                <w:szCs w:val="26"/>
              </w:rPr>
              <w:t>3 555 600</w:t>
            </w:r>
          </w:p>
        </w:tc>
        <w:tc>
          <w:tcPr>
            <w:tcW w:w="1710" w:type="dxa"/>
            <w:vAlign w:val="center"/>
          </w:tcPr>
          <w:p w:rsidR="009D11EC" w:rsidRPr="00B86E9B" w:rsidRDefault="009D11EC" w:rsidP="00E958A1">
            <w:pPr>
              <w:jc w:val="center"/>
              <w:rPr>
                <w:color w:val="000000"/>
                <w:sz w:val="26"/>
                <w:szCs w:val="26"/>
              </w:rPr>
            </w:pPr>
            <w:r w:rsidRPr="00B86E9B">
              <w:rPr>
                <w:color w:val="000000"/>
                <w:sz w:val="26"/>
                <w:szCs w:val="26"/>
              </w:rPr>
              <w:t>3 583 907</w:t>
            </w:r>
          </w:p>
        </w:tc>
        <w:tc>
          <w:tcPr>
            <w:tcW w:w="1729"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+28 307</w:t>
            </w:r>
          </w:p>
        </w:tc>
        <w:tc>
          <w:tcPr>
            <w:tcW w:w="1777"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+0,8%</w:t>
            </w:r>
          </w:p>
        </w:tc>
      </w:tr>
      <w:tr w:rsidR="009D11EC" w:rsidRPr="00B86E9B" w:rsidTr="00E958A1">
        <w:trPr>
          <w:trHeight w:val="352"/>
          <w:jc w:val="center"/>
        </w:trPr>
        <w:tc>
          <w:tcPr>
            <w:tcW w:w="2160"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Kopējie izdevumi</w:t>
            </w:r>
          </w:p>
        </w:tc>
        <w:tc>
          <w:tcPr>
            <w:tcW w:w="1800" w:type="dxa"/>
            <w:vAlign w:val="center"/>
          </w:tcPr>
          <w:p w:rsidR="009D11EC" w:rsidRPr="00B86E9B" w:rsidRDefault="009D11EC" w:rsidP="00E958A1">
            <w:pPr>
              <w:jc w:val="center"/>
              <w:rPr>
                <w:color w:val="000000"/>
                <w:sz w:val="26"/>
                <w:szCs w:val="26"/>
              </w:rPr>
            </w:pPr>
            <w:r w:rsidRPr="00B86E9B">
              <w:rPr>
                <w:color w:val="000000"/>
                <w:sz w:val="26"/>
                <w:szCs w:val="26"/>
              </w:rPr>
              <w:t>3 805 600</w:t>
            </w:r>
          </w:p>
        </w:tc>
        <w:tc>
          <w:tcPr>
            <w:tcW w:w="1710" w:type="dxa"/>
            <w:vAlign w:val="center"/>
          </w:tcPr>
          <w:p w:rsidR="009D11EC" w:rsidRPr="00B86E9B" w:rsidRDefault="009D11EC" w:rsidP="00E958A1">
            <w:pPr>
              <w:jc w:val="center"/>
              <w:rPr>
                <w:color w:val="000000"/>
                <w:sz w:val="26"/>
                <w:szCs w:val="26"/>
              </w:rPr>
            </w:pPr>
            <w:r w:rsidRPr="00B86E9B">
              <w:rPr>
                <w:color w:val="000000"/>
                <w:sz w:val="26"/>
                <w:szCs w:val="26"/>
              </w:rPr>
              <w:t>3 780 625</w:t>
            </w:r>
          </w:p>
        </w:tc>
        <w:tc>
          <w:tcPr>
            <w:tcW w:w="1729" w:type="dxa"/>
            <w:vAlign w:val="center"/>
          </w:tcPr>
          <w:p w:rsidR="009D11EC" w:rsidRPr="00B86E9B" w:rsidRDefault="009D11EC" w:rsidP="00E958A1">
            <w:pPr>
              <w:pStyle w:val="Sarakstarindkopa"/>
              <w:spacing w:after="0" w:line="240" w:lineRule="auto"/>
              <w:ind w:left="-80"/>
              <w:jc w:val="center"/>
              <w:rPr>
                <w:rFonts w:ascii="Times New Roman" w:hAnsi="Times New Roman"/>
                <w:sz w:val="26"/>
                <w:szCs w:val="26"/>
              </w:rPr>
            </w:pPr>
            <w:r w:rsidRPr="00B86E9B">
              <w:rPr>
                <w:rFonts w:ascii="Times New Roman" w:hAnsi="Times New Roman"/>
                <w:sz w:val="26"/>
                <w:szCs w:val="26"/>
              </w:rPr>
              <w:t>-24 975</w:t>
            </w:r>
          </w:p>
        </w:tc>
        <w:tc>
          <w:tcPr>
            <w:tcW w:w="1777"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-0,7 %</w:t>
            </w:r>
          </w:p>
        </w:tc>
      </w:tr>
      <w:tr w:rsidR="009D11EC" w:rsidRPr="00B86E9B" w:rsidTr="00E958A1">
        <w:trPr>
          <w:jc w:val="center"/>
        </w:trPr>
        <w:tc>
          <w:tcPr>
            <w:tcW w:w="2160"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Nolietojums</w:t>
            </w:r>
          </w:p>
        </w:tc>
        <w:tc>
          <w:tcPr>
            <w:tcW w:w="1800"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206 186</w:t>
            </w:r>
          </w:p>
        </w:tc>
        <w:tc>
          <w:tcPr>
            <w:tcW w:w="1710"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205 681</w:t>
            </w:r>
          </w:p>
        </w:tc>
        <w:tc>
          <w:tcPr>
            <w:tcW w:w="1729"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-505</w:t>
            </w:r>
          </w:p>
        </w:tc>
        <w:tc>
          <w:tcPr>
            <w:tcW w:w="1777" w:type="dxa"/>
            <w:vAlign w:val="center"/>
          </w:tcPr>
          <w:p w:rsidR="009D11EC" w:rsidRPr="00B86E9B" w:rsidRDefault="009D11EC" w:rsidP="00E958A1">
            <w:pPr>
              <w:jc w:val="center"/>
              <w:rPr>
                <w:sz w:val="26"/>
                <w:szCs w:val="26"/>
              </w:rPr>
            </w:pPr>
            <w:r w:rsidRPr="00B86E9B">
              <w:rPr>
                <w:sz w:val="26"/>
                <w:szCs w:val="26"/>
              </w:rPr>
              <w:t>-0,2 %</w:t>
            </w:r>
          </w:p>
        </w:tc>
      </w:tr>
      <w:tr w:rsidR="009D11EC" w:rsidRPr="00B86E9B" w:rsidTr="00E958A1">
        <w:trPr>
          <w:jc w:val="center"/>
        </w:trPr>
        <w:tc>
          <w:tcPr>
            <w:tcW w:w="2160"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Zaudējumi</w:t>
            </w:r>
          </w:p>
        </w:tc>
        <w:tc>
          <w:tcPr>
            <w:tcW w:w="1800" w:type="dxa"/>
            <w:vAlign w:val="center"/>
          </w:tcPr>
          <w:p w:rsidR="009D11EC" w:rsidRPr="00B86E9B" w:rsidRDefault="009D11EC" w:rsidP="00E958A1">
            <w:pPr>
              <w:jc w:val="center"/>
              <w:rPr>
                <w:color w:val="000000"/>
                <w:sz w:val="26"/>
                <w:szCs w:val="26"/>
              </w:rPr>
            </w:pPr>
            <w:r w:rsidRPr="00B86E9B">
              <w:rPr>
                <w:color w:val="000000"/>
                <w:sz w:val="26"/>
                <w:szCs w:val="26"/>
              </w:rPr>
              <w:t>-250 000</w:t>
            </w:r>
          </w:p>
        </w:tc>
        <w:tc>
          <w:tcPr>
            <w:tcW w:w="1710" w:type="dxa"/>
            <w:vAlign w:val="center"/>
          </w:tcPr>
          <w:p w:rsidR="009D11EC" w:rsidRPr="00B86E9B" w:rsidRDefault="009D11EC" w:rsidP="00E958A1">
            <w:pPr>
              <w:jc w:val="center"/>
              <w:rPr>
                <w:color w:val="000000"/>
                <w:sz w:val="26"/>
                <w:szCs w:val="26"/>
              </w:rPr>
            </w:pPr>
            <w:r w:rsidRPr="00B86E9B">
              <w:rPr>
                <w:color w:val="000000"/>
                <w:sz w:val="26"/>
                <w:szCs w:val="26"/>
              </w:rPr>
              <w:t>-196 718</w:t>
            </w:r>
          </w:p>
        </w:tc>
        <w:tc>
          <w:tcPr>
            <w:tcW w:w="1729" w:type="dxa"/>
            <w:vAlign w:val="center"/>
          </w:tcPr>
          <w:p w:rsidR="009D11EC" w:rsidRPr="00B86E9B" w:rsidRDefault="009D11EC" w:rsidP="00E958A1">
            <w:pPr>
              <w:pStyle w:val="Sarakstarindkopa"/>
              <w:spacing w:after="0" w:line="240" w:lineRule="auto"/>
              <w:ind w:left="0"/>
              <w:jc w:val="center"/>
              <w:rPr>
                <w:rFonts w:ascii="Times New Roman" w:hAnsi="Times New Roman"/>
                <w:sz w:val="26"/>
                <w:szCs w:val="26"/>
              </w:rPr>
            </w:pPr>
            <w:r w:rsidRPr="00B86E9B">
              <w:rPr>
                <w:rFonts w:ascii="Times New Roman" w:hAnsi="Times New Roman"/>
                <w:sz w:val="26"/>
                <w:szCs w:val="26"/>
              </w:rPr>
              <w:t>+53 282</w:t>
            </w:r>
          </w:p>
        </w:tc>
        <w:tc>
          <w:tcPr>
            <w:tcW w:w="1777" w:type="dxa"/>
            <w:vAlign w:val="center"/>
          </w:tcPr>
          <w:p w:rsidR="009D11EC" w:rsidRPr="00B86E9B" w:rsidRDefault="009D11EC" w:rsidP="00E958A1">
            <w:pPr>
              <w:jc w:val="center"/>
              <w:rPr>
                <w:sz w:val="26"/>
                <w:szCs w:val="26"/>
              </w:rPr>
            </w:pPr>
            <w:r w:rsidRPr="00B86E9B">
              <w:rPr>
                <w:sz w:val="26"/>
                <w:szCs w:val="26"/>
              </w:rPr>
              <w:t>+21,3%</w:t>
            </w:r>
          </w:p>
        </w:tc>
      </w:tr>
    </w:tbl>
    <w:p w:rsidR="009D11EC" w:rsidRPr="00B86E9B" w:rsidRDefault="009D11EC" w:rsidP="009D11EC">
      <w:pPr>
        <w:rPr>
          <w:sz w:val="28"/>
          <w:szCs w:val="28"/>
        </w:rPr>
      </w:pPr>
    </w:p>
    <w:p w:rsidR="00CB7650" w:rsidRPr="00B86E9B" w:rsidRDefault="009D11EC" w:rsidP="00C00D39">
      <w:pPr>
        <w:ind w:firstLine="720"/>
        <w:jc w:val="both"/>
        <w:rPr>
          <w:color w:val="000000"/>
          <w:sz w:val="28"/>
          <w:szCs w:val="28"/>
        </w:rPr>
      </w:pPr>
      <w:r w:rsidRPr="00B86E9B">
        <w:rPr>
          <w:sz w:val="28"/>
          <w:szCs w:val="28"/>
        </w:rPr>
        <w:t>Slimnīcas „</w:t>
      </w:r>
      <w:proofErr w:type="spellStart"/>
      <w:r w:rsidRPr="00B86E9B">
        <w:rPr>
          <w:sz w:val="28"/>
          <w:szCs w:val="28"/>
        </w:rPr>
        <w:t>Ģintermuiža</w:t>
      </w:r>
      <w:proofErr w:type="spellEnd"/>
      <w:r w:rsidRPr="00B86E9B">
        <w:rPr>
          <w:sz w:val="28"/>
          <w:szCs w:val="28"/>
        </w:rPr>
        <w:t>” 2012.gada zaudējumi bija plānoti</w:t>
      </w:r>
      <w:r w:rsidR="00AC5C94" w:rsidRPr="00B86E9B">
        <w:rPr>
          <w:sz w:val="28"/>
          <w:szCs w:val="28"/>
        </w:rPr>
        <w:t>, pamatojoties uz to, ka faktiskie izdevumi par sniegtajiem veselības aprūpes pakalpojumie</w:t>
      </w:r>
      <w:r w:rsidR="007314C3" w:rsidRPr="00B86E9B">
        <w:rPr>
          <w:sz w:val="28"/>
          <w:szCs w:val="28"/>
        </w:rPr>
        <w:t>m ir augstāki nekā</w:t>
      </w:r>
      <w:r w:rsidR="00AC5C94" w:rsidRPr="00B86E9B">
        <w:rPr>
          <w:sz w:val="28"/>
          <w:szCs w:val="28"/>
        </w:rPr>
        <w:t xml:space="preserve"> Ministru kabineta 2006.gada 19.decembra noteikumos Nr.1046 „Veselības aprūpes organizēšanas un finansēšanas kārtība” atsevišķām veselības </w:t>
      </w:r>
      <w:r w:rsidR="00AC5C94" w:rsidRPr="00B86E9B">
        <w:rPr>
          <w:sz w:val="28"/>
          <w:szCs w:val="28"/>
        </w:rPr>
        <w:lastRenderedPageBreak/>
        <w:t>aprūpes programm</w:t>
      </w:r>
      <w:r w:rsidR="007314C3" w:rsidRPr="00B86E9B">
        <w:rPr>
          <w:sz w:val="28"/>
          <w:szCs w:val="28"/>
        </w:rPr>
        <w:t>ām un pakalpojumiem noteiktie tarifi</w:t>
      </w:r>
      <w:r w:rsidR="00AC5C94" w:rsidRPr="00B86E9B">
        <w:rPr>
          <w:sz w:val="28"/>
          <w:szCs w:val="28"/>
        </w:rPr>
        <w:t>, jo valsts budžeta ierobežoto iespēju dēļ jau ilgstoši tarifi nav aktualizēti, lai iekļautu pakalpojumu sniegšanai nepieciešamo resursu sadārdzināšanos</w:t>
      </w:r>
      <w:r w:rsidRPr="00B86E9B">
        <w:rPr>
          <w:color w:val="000000"/>
          <w:sz w:val="28"/>
          <w:szCs w:val="28"/>
        </w:rPr>
        <w:t>. Salīdzinot ar 2012.gada plānu, zaudējumi ir samazinājušies par 53 282 LVL (21,3%). Zaudējumi galvenokārt ir skaidrojami ar to, ka 2012.gadā, salīdzinot ar 2011.gadu, ir samazinājušies ieņēmumi no maksas ārstni</w:t>
      </w:r>
      <w:r w:rsidR="00D962CE" w:rsidRPr="00B86E9B">
        <w:rPr>
          <w:color w:val="000000"/>
          <w:sz w:val="28"/>
          <w:szCs w:val="28"/>
        </w:rPr>
        <w:t>ecības pakalpojumiem par 36 598 </w:t>
      </w:r>
      <w:r w:rsidRPr="00B86E9B">
        <w:rPr>
          <w:color w:val="000000"/>
          <w:sz w:val="28"/>
          <w:szCs w:val="28"/>
        </w:rPr>
        <w:t>LVL (12,5%), kā arī ir samazinājušies ieņēmumi no valsts apmaksātās stacionārās veselības aprūpes par 262 871 LVL (9,5%)</w:t>
      </w:r>
      <w:r w:rsidR="00216BF6" w:rsidRPr="00B86E9B">
        <w:rPr>
          <w:sz w:val="28"/>
          <w:szCs w:val="28"/>
        </w:rPr>
        <w:t>.</w:t>
      </w:r>
    </w:p>
    <w:p w:rsidR="00366A11" w:rsidRPr="00B86E9B" w:rsidRDefault="00366A11" w:rsidP="00C00D39">
      <w:pPr>
        <w:ind w:firstLine="720"/>
        <w:jc w:val="both"/>
        <w:rPr>
          <w:sz w:val="28"/>
          <w:szCs w:val="28"/>
        </w:rPr>
      </w:pPr>
      <w:r w:rsidRPr="00B86E9B">
        <w:rPr>
          <w:sz w:val="28"/>
          <w:szCs w:val="28"/>
          <w:lang w:eastAsia="lv-LV"/>
        </w:rPr>
        <w:t>Ņemot vērā 2013.gada beigās papildus piešķirto valsts budžeta finansējumu veselības aprūpes pakalpojumu pieejamības uzlabošanai 4 633 448 LVL apmērā (Ministru kabineta 2013.gada 4.oktobra rīkojums Nr.459) un stacionāro ārstniecības iestāžu infrastruktūra</w:t>
      </w:r>
      <w:r w:rsidR="00DC3D22" w:rsidRPr="00B86E9B">
        <w:rPr>
          <w:sz w:val="28"/>
          <w:szCs w:val="28"/>
          <w:lang w:eastAsia="lv-LV"/>
        </w:rPr>
        <w:t xml:space="preserve">s uzturēšanas izdevumu </w:t>
      </w:r>
      <w:r w:rsidRPr="00B86E9B">
        <w:rPr>
          <w:sz w:val="28"/>
          <w:szCs w:val="28"/>
          <w:lang w:eastAsia="lv-LV"/>
        </w:rPr>
        <w:t xml:space="preserve">segšanai 5 332 132 LVL apmērā (Ministru kabineta 2013.gada 20.decembra rīkojums Nr.674) plānojams, ka 2013.gadā </w:t>
      </w:r>
      <w:r w:rsidRPr="00B86E9B">
        <w:rPr>
          <w:sz w:val="28"/>
          <w:szCs w:val="28"/>
        </w:rPr>
        <w:t>Slimnīcas „</w:t>
      </w:r>
      <w:proofErr w:type="spellStart"/>
      <w:r w:rsidRPr="00B86E9B">
        <w:rPr>
          <w:sz w:val="28"/>
          <w:szCs w:val="28"/>
        </w:rPr>
        <w:t>Ģintermuiža</w:t>
      </w:r>
      <w:proofErr w:type="spellEnd"/>
      <w:r w:rsidRPr="00B86E9B">
        <w:rPr>
          <w:sz w:val="28"/>
          <w:szCs w:val="28"/>
        </w:rPr>
        <w:t>”</w:t>
      </w:r>
      <w:r w:rsidRPr="00B86E9B">
        <w:rPr>
          <w:sz w:val="28"/>
          <w:szCs w:val="28"/>
          <w:lang w:eastAsia="lv-LV"/>
        </w:rPr>
        <w:t xml:space="preserve"> finansiālā situācija uzlabosies.</w:t>
      </w:r>
    </w:p>
    <w:p w:rsidR="00D265C1" w:rsidRPr="00B86E9B" w:rsidRDefault="00D265C1" w:rsidP="00193D75">
      <w:pPr>
        <w:ind w:firstLine="720"/>
        <w:jc w:val="both"/>
        <w:rPr>
          <w:sz w:val="28"/>
          <w:szCs w:val="28"/>
        </w:rPr>
      </w:pPr>
      <w:r w:rsidRPr="00B86E9B">
        <w:rPr>
          <w:sz w:val="28"/>
          <w:szCs w:val="28"/>
        </w:rPr>
        <w:t>Slimnīca „</w:t>
      </w:r>
      <w:proofErr w:type="spellStart"/>
      <w:r w:rsidRPr="00B86E9B">
        <w:rPr>
          <w:sz w:val="28"/>
          <w:szCs w:val="28"/>
        </w:rPr>
        <w:t>Ģintermuiža</w:t>
      </w:r>
      <w:proofErr w:type="spellEnd"/>
      <w:r w:rsidRPr="00B86E9B">
        <w:rPr>
          <w:sz w:val="28"/>
          <w:szCs w:val="28"/>
        </w:rPr>
        <w:t xml:space="preserve">” veikusi virkni pasākumu tās attīstībai, darba efektivitātes palielināšanai, kā arī zaudējuma apmērā samazināšanai: </w:t>
      </w:r>
    </w:p>
    <w:p w:rsidR="00D265C1" w:rsidRPr="00B86E9B" w:rsidRDefault="00D265C1" w:rsidP="00193D75">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Samazinātas 65.5 darba vietas un darba attiecības izbeigtas ar 27 darbiniekiem. Prognozētais ekonomiskais efekts 212 000 LVL. </w:t>
      </w:r>
    </w:p>
    <w:p w:rsidR="00D265C1" w:rsidRPr="00B86E9B" w:rsidRDefault="00D265C1" w:rsidP="00B476BF">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 xml:space="preserve">Izdevumu optimizēšana, ierobežojot inventāra iegādi, samazinot sakaru uzdevumus. Prognozētais ekonomiskais efekts 5 800 LVL. </w:t>
      </w:r>
    </w:p>
    <w:p w:rsidR="00D265C1" w:rsidRPr="00B86E9B" w:rsidRDefault="00D265C1" w:rsidP="00B476BF">
      <w:pPr>
        <w:pStyle w:val="Sarakstarindkopa"/>
        <w:numPr>
          <w:ilvl w:val="0"/>
          <w:numId w:val="17"/>
        </w:numPr>
        <w:spacing w:after="0" w:line="240" w:lineRule="auto"/>
        <w:ind w:left="709"/>
        <w:jc w:val="both"/>
        <w:rPr>
          <w:rFonts w:ascii="Times New Roman" w:hAnsi="Times New Roman"/>
          <w:sz w:val="28"/>
          <w:szCs w:val="28"/>
        </w:rPr>
      </w:pPr>
      <w:r w:rsidRPr="00B86E9B">
        <w:rPr>
          <w:rFonts w:ascii="Times New Roman" w:hAnsi="Times New Roman"/>
          <w:sz w:val="28"/>
          <w:szCs w:val="28"/>
        </w:rPr>
        <w:t>Ilgtermiņa ieguldījumu lietderīgā kalpošanas ilguma pārskatīšana. Prognozētais ekonomiskais efekts 12 000 LVL.</w:t>
      </w:r>
    </w:p>
    <w:p w:rsidR="00AA24D6" w:rsidRPr="00B86E9B" w:rsidRDefault="00AA24D6" w:rsidP="00425672">
      <w:pPr>
        <w:ind w:right="-119" w:firstLine="698"/>
        <w:jc w:val="both"/>
        <w:rPr>
          <w:b/>
          <w:sz w:val="28"/>
          <w:szCs w:val="28"/>
        </w:rPr>
      </w:pPr>
    </w:p>
    <w:p w:rsidR="00DD55F4" w:rsidRPr="00B86E9B" w:rsidRDefault="00DD55F4" w:rsidP="00DD55F4">
      <w:pPr>
        <w:pStyle w:val="Virsraksts3"/>
        <w:numPr>
          <w:ilvl w:val="2"/>
          <w:numId w:val="7"/>
        </w:numPr>
        <w:spacing w:before="0" w:after="0"/>
        <w:ind w:left="1418"/>
      </w:pPr>
      <w:r w:rsidRPr="00B86E9B">
        <w:t>Nākotnes attīstības plāni, kas nodrošinās stabilu un sekmīgu Slimnīcas „</w:t>
      </w:r>
      <w:proofErr w:type="spellStart"/>
      <w:r w:rsidRPr="00B86E9B">
        <w:t>Ģintermuiža</w:t>
      </w:r>
      <w:proofErr w:type="spellEnd"/>
      <w:r w:rsidRPr="00B86E9B">
        <w:t>” turpmāko darbību</w:t>
      </w:r>
    </w:p>
    <w:p w:rsidR="0062566D" w:rsidRPr="00B86E9B" w:rsidRDefault="0062566D" w:rsidP="002E6107">
      <w:pPr>
        <w:rPr>
          <w:sz w:val="28"/>
          <w:szCs w:val="28"/>
        </w:rPr>
      </w:pPr>
    </w:p>
    <w:p w:rsidR="00991287" w:rsidRPr="00B86E9B" w:rsidRDefault="00991287" w:rsidP="002E6107">
      <w:pPr>
        <w:ind w:firstLine="709"/>
        <w:jc w:val="both"/>
        <w:rPr>
          <w:bCs/>
          <w:sz w:val="28"/>
          <w:szCs w:val="28"/>
        </w:rPr>
      </w:pPr>
      <w:r w:rsidRPr="00B86E9B">
        <w:rPr>
          <w:rStyle w:val="Izteiksmgs"/>
          <w:b w:val="0"/>
          <w:sz w:val="28"/>
          <w:szCs w:val="28"/>
        </w:rPr>
        <w:t xml:space="preserve">Saskaņā ar nākotnes attīstības plāniem </w:t>
      </w:r>
      <w:r w:rsidRPr="00B86E9B">
        <w:rPr>
          <w:sz w:val="28"/>
          <w:szCs w:val="28"/>
        </w:rPr>
        <w:t>Slimnīca „</w:t>
      </w:r>
      <w:proofErr w:type="spellStart"/>
      <w:r w:rsidRPr="00B86E9B">
        <w:rPr>
          <w:sz w:val="28"/>
          <w:szCs w:val="28"/>
        </w:rPr>
        <w:t>Ģintermuiža</w:t>
      </w:r>
      <w:proofErr w:type="spellEnd"/>
      <w:r w:rsidRPr="00B86E9B">
        <w:rPr>
          <w:sz w:val="28"/>
          <w:szCs w:val="28"/>
        </w:rPr>
        <w:t>”</w:t>
      </w:r>
      <w:r w:rsidRPr="00B86E9B">
        <w:rPr>
          <w:rStyle w:val="Izteiksmgs"/>
          <w:b w:val="0"/>
          <w:sz w:val="28"/>
          <w:szCs w:val="28"/>
        </w:rPr>
        <w:t>:</w:t>
      </w:r>
    </w:p>
    <w:p w:rsidR="00991287"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 xml:space="preserve">Turpinās saglabāt un pilnveidot esošos pakalpojumus – no </w:t>
      </w:r>
      <w:proofErr w:type="spellStart"/>
      <w:r w:rsidRPr="00B86E9B">
        <w:rPr>
          <w:rFonts w:ascii="Times New Roman" w:hAnsi="Times New Roman"/>
          <w:sz w:val="28"/>
          <w:szCs w:val="28"/>
        </w:rPr>
        <w:t>detoksikācijas</w:t>
      </w:r>
      <w:proofErr w:type="spellEnd"/>
      <w:r w:rsidRPr="00B86E9B">
        <w:rPr>
          <w:rFonts w:ascii="Times New Roman" w:hAnsi="Times New Roman"/>
          <w:sz w:val="28"/>
          <w:szCs w:val="28"/>
        </w:rPr>
        <w:t xml:space="preserve"> līdz rehabilitācija</w:t>
      </w:r>
      <w:r w:rsidR="00827290" w:rsidRPr="00B86E9B">
        <w:rPr>
          <w:rFonts w:ascii="Times New Roman" w:hAnsi="Times New Roman"/>
          <w:sz w:val="28"/>
          <w:szCs w:val="28"/>
        </w:rPr>
        <w:t>i</w:t>
      </w:r>
      <w:r w:rsidRPr="00B86E9B">
        <w:rPr>
          <w:rFonts w:ascii="Times New Roman" w:hAnsi="Times New Roman"/>
          <w:sz w:val="28"/>
          <w:szCs w:val="28"/>
        </w:rPr>
        <w:t>.</w:t>
      </w:r>
    </w:p>
    <w:p w:rsidR="00991287"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Nodrošinās neatliekamās narkoloģiskās palīdzības pieejamību  pacientiem – alkohola un narkotisko vielu abstinences un intoksikācijas gadījumos.</w:t>
      </w:r>
    </w:p>
    <w:p w:rsidR="00991287"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Nodrošinās atkarīgo personu medicīniskās rehabilitācijas programmu pieejamību, izvairoties no rindu veidošanās.</w:t>
      </w:r>
    </w:p>
    <w:p w:rsidR="00991287"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Uzsāks dienas stacionāra darbību narkoloģiskiem pacientiem.</w:t>
      </w:r>
    </w:p>
    <w:p w:rsidR="00991287"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Ieviesīs ārstniecības programmas narkoloģiskiem pacientiem ar dubultām diagnozēm, tā paplašinot ārstēšanās pieejamību.</w:t>
      </w:r>
    </w:p>
    <w:p w:rsidR="00991287"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Attīstīs ambulatorās ārstēšanas programmas: motivāciju, recidīvu profilaksi, rehabilitāciju, ieviešot komandas darbu – narkologs, psihologs, sociālais darbinieks.</w:t>
      </w:r>
    </w:p>
    <w:p w:rsidR="0062566D" w:rsidRPr="00B86E9B" w:rsidRDefault="00991287" w:rsidP="002E6107">
      <w:pPr>
        <w:pStyle w:val="Sarakstarindkopa"/>
        <w:numPr>
          <w:ilvl w:val="0"/>
          <w:numId w:val="38"/>
        </w:numPr>
        <w:shd w:val="clear" w:color="auto" w:fill="FFFFFF"/>
        <w:spacing w:after="0" w:line="240" w:lineRule="auto"/>
        <w:jc w:val="both"/>
        <w:rPr>
          <w:rFonts w:ascii="Times New Roman" w:hAnsi="Times New Roman"/>
          <w:sz w:val="28"/>
          <w:szCs w:val="28"/>
        </w:rPr>
      </w:pPr>
      <w:r w:rsidRPr="00B86E9B">
        <w:rPr>
          <w:rFonts w:ascii="Times New Roman" w:hAnsi="Times New Roman"/>
          <w:sz w:val="28"/>
          <w:szCs w:val="28"/>
        </w:rPr>
        <w:t xml:space="preserve">Paplašinās ilgtermiņa </w:t>
      </w:r>
      <w:proofErr w:type="spellStart"/>
      <w:r w:rsidRPr="00B86E9B">
        <w:rPr>
          <w:rFonts w:ascii="Times New Roman" w:hAnsi="Times New Roman"/>
          <w:sz w:val="28"/>
          <w:szCs w:val="28"/>
        </w:rPr>
        <w:t>farmakoterapijas</w:t>
      </w:r>
      <w:proofErr w:type="spellEnd"/>
      <w:r w:rsidRPr="00B86E9B">
        <w:rPr>
          <w:rFonts w:ascii="Times New Roman" w:hAnsi="Times New Roman"/>
          <w:sz w:val="28"/>
          <w:szCs w:val="28"/>
        </w:rPr>
        <w:t xml:space="preserve"> pieejamību, veicinot tās efektivitāti.</w:t>
      </w:r>
    </w:p>
    <w:p w:rsidR="0062138D" w:rsidRPr="00B86E9B" w:rsidRDefault="0062138D">
      <w:pPr>
        <w:spacing w:after="200" w:line="276" w:lineRule="auto"/>
        <w:rPr>
          <w:b/>
          <w:sz w:val="32"/>
          <w:szCs w:val="32"/>
        </w:rPr>
      </w:pPr>
    </w:p>
    <w:p w:rsidR="00F44624" w:rsidRPr="00B86E9B" w:rsidRDefault="00F44624" w:rsidP="00F44624">
      <w:pPr>
        <w:pStyle w:val="Virsraksts1"/>
        <w:numPr>
          <w:ilvl w:val="0"/>
          <w:numId w:val="5"/>
        </w:numPr>
        <w:spacing w:before="0" w:after="0"/>
        <w:rPr>
          <w:sz w:val="32"/>
          <w:szCs w:val="32"/>
        </w:rPr>
      </w:pPr>
      <w:r w:rsidRPr="00B86E9B">
        <w:rPr>
          <w:sz w:val="32"/>
          <w:szCs w:val="32"/>
        </w:rPr>
        <w:lastRenderedPageBreak/>
        <w:t xml:space="preserve">Risku </w:t>
      </w:r>
      <w:r w:rsidR="00066E19" w:rsidRPr="00B86E9B">
        <w:rPr>
          <w:sz w:val="32"/>
          <w:szCs w:val="32"/>
        </w:rPr>
        <w:t>izvērtējums, kas saistīts ar K</w:t>
      </w:r>
      <w:r w:rsidRPr="00B86E9B">
        <w:rPr>
          <w:sz w:val="32"/>
          <w:szCs w:val="32"/>
        </w:rPr>
        <w:t>apitālsabiedrību turpmāko darbību un finansiālo slogu valsts budžetam</w:t>
      </w:r>
    </w:p>
    <w:p w:rsidR="00F44624" w:rsidRPr="00B86E9B" w:rsidRDefault="00F44624" w:rsidP="008804FB">
      <w:pPr>
        <w:shd w:val="clear" w:color="auto" w:fill="FFFFFF"/>
        <w:jc w:val="both"/>
        <w:rPr>
          <w:sz w:val="28"/>
          <w:szCs w:val="28"/>
        </w:rPr>
      </w:pPr>
    </w:p>
    <w:p w:rsidR="002B62C0" w:rsidRPr="00B86E9B" w:rsidRDefault="0063526B" w:rsidP="00E94CCF">
      <w:pPr>
        <w:ind w:firstLine="720"/>
        <w:jc w:val="both"/>
        <w:rPr>
          <w:rFonts w:eastAsia="Calibri"/>
          <w:bCs/>
          <w:sz w:val="28"/>
          <w:szCs w:val="28"/>
        </w:rPr>
      </w:pPr>
      <w:r w:rsidRPr="00B86E9B">
        <w:rPr>
          <w:sz w:val="28"/>
          <w:szCs w:val="28"/>
        </w:rPr>
        <w:t>E</w:t>
      </w:r>
      <w:r w:rsidR="00A16F0B" w:rsidRPr="00B86E9B">
        <w:rPr>
          <w:sz w:val="28"/>
          <w:szCs w:val="28"/>
        </w:rPr>
        <w:t>konomiskās krīzes rezultātā 2009.gadā valsts budžeta finansējums veselības aprūpes pakalpojumu nodrošināšanai tika ievērojami samazināts</w:t>
      </w:r>
      <w:r w:rsidR="007C05E9" w:rsidRPr="00B86E9B">
        <w:rPr>
          <w:sz w:val="28"/>
          <w:szCs w:val="28"/>
        </w:rPr>
        <w:t>,</w:t>
      </w:r>
      <w:r w:rsidR="00735DE9" w:rsidRPr="00B86E9B">
        <w:rPr>
          <w:sz w:val="28"/>
          <w:szCs w:val="28"/>
        </w:rPr>
        <w:t xml:space="preserve"> </w:t>
      </w:r>
      <w:r w:rsidR="00735DE9" w:rsidRPr="00B86E9B">
        <w:rPr>
          <w:rFonts w:eastAsia="Calibri"/>
          <w:bCs/>
          <w:sz w:val="28"/>
          <w:szCs w:val="28"/>
        </w:rPr>
        <w:t>kas bija pretēji citās Eiropas Savienības valstīs veiktajiem pasākumiem saistībā ar veselības nozares finansējumu, kur tas tika saglabāts aptuveni iepriekšējo gadu līmenī</w:t>
      </w:r>
      <w:r w:rsidR="00EA1D52" w:rsidRPr="00B86E9B">
        <w:rPr>
          <w:rFonts w:eastAsia="Calibri"/>
          <w:bCs/>
          <w:sz w:val="28"/>
          <w:szCs w:val="28"/>
        </w:rPr>
        <w:t>. L</w:t>
      </w:r>
      <w:r w:rsidR="007C05E9" w:rsidRPr="00B86E9B">
        <w:rPr>
          <w:sz w:val="28"/>
          <w:szCs w:val="28"/>
        </w:rPr>
        <w:t>ielākais finansējuma samazinājums skāra tieši ārstniecības iestādes, kuras sniedz stacionāros veselības aprūpes pakalpojumus</w:t>
      </w:r>
      <w:r w:rsidR="00097F28" w:rsidRPr="00B86E9B">
        <w:rPr>
          <w:sz w:val="28"/>
          <w:szCs w:val="28"/>
        </w:rPr>
        <w:t>, tajā skaitā Kapitālsabiedrības</w:t>
      </w:r>
      <w:r w:rsidRPr="00B86E9B">
        <w:rPr>
          <w:sz w:val="28"/>
          <w:szCs w:val="28"/>
        </w:rPr>
        <w:t>, jo valstī tika stiprināta un attīstīta ambulatorā un mājas aprūpe, lai ierobežotā finansējuma apstākļos valsts iedzīvotājiem nodrošinātu veselības aprūpes pakalpojumus minimāli nepieciešamajā apjomā.</w:t>
      </w:r>
      <w:r w:rsidR="00E94CCF" w:rsidRPr="00B86E9B">
        <w:rPr>
          <w:sz w:val="28"/>
          <w:szCs w:val="28"/>
        </w:rPr>
        <w:t xml:space="preserve"> </w:t>
      </w:r>
      <w:r w:rsidR="00481936" w:rsidRPr="00B86E9B">
        <w:rPr>
          <w:rFonts w:eastAsia="Calibri"/>
          <w:bCs/>
          <w:sz w:val="28"/>
          <w:szCs w:val="28"/>
        </w:rPr>
        <w:t xml:space="preserve">Šāda samazinātā finansējuma apstākļos nav iespējams nodrošināt sniegto veselības aprūpes pakalpojumu </w:t>
      </w:r>
      <w:proofErr w:type="spellStart"/>
      <w:r w:rsidR="00481936" w:rsidRPr="00B86E9B">
        <w:rPr>
          <w:rFonts w:eastAsia="Calibri"/>
          <w:bCs/>
          <w:sz w:val="28"/>
          <w:szCs w:val="28"/>
        </w:rPr>
        <w:t>ilgtspējību</w:t>
      </w:r>
      <w:proofErr w:type="spellEnd"/>
      <w:r w:rsidR="00481936" w:rsidRPr="00B86E9B">
        <w:rPr>
          <w:rFonts w:eastAsia="Calibri"/>
          <w:bCs/>
          <w:sz w:val="28"/>
          <w:szCs w:val="28"/>
        </w:rPr>
        <w:t xml:space="preserve"> un stabilitāti</w:t>
      </w:r>
      <w:r w:rsidR="00735DE9" w:rsidRPr="00B86E9B">
        <w:rPr>
          <w:rFonts w:eastAsia="Calibri"/>
          <w:bCs/>
          <w:sz w:val="28"/>
          <w:szCs w:val="28"/>
        </w:rPr>
        <w:t>.</w:t>
      </w:r>
      <w:r w:rsidR="00E94CCF" w:rsidRPr="00B86E9B">
        <w:rPr>
          <w:rFonts w:eastAsia="Calibri"/>
          <w:bCs/>
          <w:sz w:val="28"/>
          <w:szCs w:val="28"/>
        </w:rPr>
        <w:t xml:space="preserve"> </w:t>
      </w:r>
      <w:r w:rsidR="002B62C0" w:rsidRPr="00B86E9B">
        <w:rPr>
          <w:rFonts w:eastAsia="Calibri"/>
          <w:bCs/>
          <w:sz w:val="28"/>
          <w:szCs w:val="28"/>
        </w:rPr>
        <w:t xml:space="preserve">Lai risinātu </w:t>
      </w:r>
      <w:r w:rsidR="008A5C5D" w:rsidRPr="00B86E9B">
        <w:rPr>
          <w:rFonts w:eastAsia="Calibri"/>
          <w:bCs/>
          <w:sz w:val="28"/>
          <w:szCs w:val="28"/>
        </w:rPr>
        <w:t>identificēto problēmu, ka valsts budžeta finansējums nesedz veselības aprūpes pakalpojumu faktiskās izmaksas un nespēj nodrošināt iedzīvotājiem veselības aprūpes pakalpojumus nepieciešamajā apjomā</w:t>
      </w:r>
      <w:r w:rsidR="002B62C0" w:rsidRPr="00B86E9B">
        <w:rPr>
          <w:rFonts w:eastAsia="Calibri"/>
          <w:bCs/>
          <w:sz w:val="28"/>
          <w:szCs w:val="28"/>
        </w:rPr>
        <w:t xml:space="preserve"> </w:t>
      </w:r>
      <w:r w:rsidR="008A5C5D" w:rsidRPr="00B86E9B">
        <w:rPr>
          <w:rFonts w:eastAsia="Calibri"/>
          <w:bCs/>
          <w:sz w:val="28"/>
          <w:szCs w:val="28"/>
        </w:rPr>
        <w:t>un termiņā</w:t>
      </w:r>
      <w:r w:rsidR="00F308C5" w:rsidRPr="00B86E9B">
        <w:rPr>
          <w:rFonts w:eastAsia="Calibri"/>
          <w:bCs/>
          <w:sz w:val="28"/>
          <w:szCs w:val="28"/>
        </w:rPr>
        <w:t>,</w:t>
      </w:r>
      <w:r w:rsidR="002B62C0" w:rsidRPr="00B86E9B">
        <w:rPr>
          <w:rFonts w:eastAsia="Calibri"/>
          <w:bCs/>
          <w:sz w:val="28"/>
          <w:szCs w:val="28"/>
        </w:rPr>
        <w:t xml:space="preserve"> Veselības ministrija </w:t>
      </w:r>
      <w:r w:rsidR="0083193C" w:rsidRPr="00B86E9B">
        <w:rPr>
          <w:rFonts w:eastAsia="Calibri"/>
          <w:bCs/>
          <w:sz w:val="28"/>
          <w:szCs w:val="28"/>
        </w:rPr>
        <w:t>izstrādāja</w:t>
      </w:r>
      <w:r w:rsidR="002D7407" w:rsidRPr="00B86E9B">
        <w:rPr>
          <w:rFonts w:eastAsia="Calibri"/>
          <w:bCs/>
          <w:sz w:val="28"/>
          <w:szCs w:val="28"/>
        </w:rPr>
        <w:t xml:space="preserve"> un Ministru kabinets 2013.gada 10.maijā atbalstīja (Ministru kabineta 2013.gada 10.maija rīkojums Nr.192)</w:t>
      </w:r>
      <w:r w:rsidR="00F308C5" w:rsidRPr="00B86E9B">
        <w:rPr>
          <w:rFonts w:eastAsia="Calibri"/>
          <w:bCs/>
          <w:sz w:val="28"/>
          <w:szCs w:val="28"/>
        </w:rPr>
        <w:t xml:space="preserve"> Koncepciju par veselības aprūpes sistēmas finansēšanas modeli,</w:t>
      </w:r>
      <w:r w:rsidR="00621A98" w:rsidRPr="00B86E9B">
        <w:rPr>
          <w:rFonts w:eastAsia="Calibri"/>
          <w:bCs/>
          <w:sz w:val="28"/>
          <w:szCs w:val="28"/>
        </w:rPr>
        <w:t xml:space="preserve"> kurā ir paredzēts pakāpenisks valsts budžeta pieaugums līdz 4,5% no IKP 2020.gadā</w:t>
      </w:r>
      <w:r w:rsidR="009B5BFC" w:rsidRPr="00B86E9B">
        <w:rPr>
          <w:rFonts w:eastAsia="Calibri"/>
          <w:bCs/>
          <w:sz w:val="28"/>
          <w:szCs w:val="28"/>
        </w:rPr>
        <w:t>, tomēr atbilstoši iepriekšminētā rīkojuma 9.punktam  jautājums par piešķiramā finansējuma apmēru izskatāms kārtējā gada valsts budžeta projekta sagatavošanas procesā kopā ar visu ministriju un citu centrālo valsts iestāžu jaunās politikas iniciatīvu pieteikumiem, ņemot vērā valsts budžeta noteiktās prioritātes un ekonomisko un fiskālo situāciju valstī.</w:t>
      </w:r>
    </w:p>
    <w:p w:rsidR="00EA6C4D" w:rsidRPr="00B86E9B" w:rsidRDefault="001B5DEE" w:rsidP="00EA6C4D">
      <w:pPr>
        <w:pStyle w:val="naisf"/>
        <w:spacing w:before="0" w:beforeAutospacing="0" w:after="0" w:afterAutospacing="0"/>
        <w:ind w:firstLine="720"/>
        <w:jc w:val="both"/>
        <w:rPr>
          <w:sz w:val="28"/>
          <w:szCs w:val="28"/>
          <w:lang w:val="lv-LV"/>
        </w:rPr>
      </w:pPr>
      <w:r w:rsidRPr="00B86E9B">
        <w:rPr>
          <w:sz w:val="28"/>
          <w:szCs w:val="28"/>
          <w:lang w:val="lv-LV"/>
        </w:rPr>
        <w:t>V</w:t>
      </w:r>
      <w:r w:rsidR="00567BC7" w:rsidRPr="00B86E9B">
        <w:rPr>
          <w:sz w:val="28"/>
          <w:szCs w:val="28"/>
          <w:lang w:val="lv-LV"/>
        </w:rPr>
        <w:t>eselības aprūpes pakalpojumi ir sociāla rakstura pakalpojumi ar tautsaimniecisku nozīmi</w:t>
      </w:r>
      <w:r w:rsidR="0015383A" w:rsidRPr="00B86E9B">
        <w:rPr>
          <w:sz w:val="28"/>
          <w:szCs w:val="28"/>
          <w:lang w:val="lv-LV"/>
        </w:rPr>
        <w:t>, kuru sniegšanu valsts ir uzticējusi ārstniecības iestādēm</w:t>
      </w:r>
      <w:r w:rsidR="00D62E1B" w:rsidRPr="00B86E9B">
        <w:rPr>
          <w:sz w:val="28"/>
          <w:szCs w:val="28"/>
          <w:lang w:val="lv-LV"/>
        </w:rPr>
        <w:t xml:space="preserve"> un par kuriem valsts maksā atbilstoši normatīvajos aktos noteiktajiem tarifiem, kuri ārstniecības iestādēm nekompensē to sniegšanas faktiskās izmaksas</w:t>
      </w:r>
      <w:r w:rsidR="0010623A" w:rsidRPr="00B86E9B">
        <w:rPr>
          <w:sz w:val="28"/>
          <w:szCs w:val="28"/>
          <w:lang w:val="lv-LV"/>
        </w:rPr>
        <w:t xml:space="preserve"> </w:t>
      </w:r>
      <w:r w:rsidR="0052667C" w:rsidRPr="00B86E9B">
        <w:rPr>
          <w:sz w:val="28"/>
          <w:szCs w:val="28"/>
          <w:lang w:val="lv-LV"/>
        </w:rPr>
        <w:t>(</w:t>
      </w:r>
      <w:r w:rsidR="0010623A" w:rsidRPr="00B86E9B">
        <w:rPr>
          <w:sz w:val="28"/>
          <w:szCs w:val="28"/>
          <w:lang w:val="lv-LV"/>
        </w:rPr>
        <w:t>nemaz nerunājot par saprātīgu peļņu</w:t>
      </w:r>
      <w:r w:rsidR="00FD52B5" w:rsidRPr="00B86E9B">
        <w:rPr>
          <w:sz w:val="28"/>
          <w:szCs w:val="28"/>
          <w:lang w:val="lv-LV"/>
        </w:rPr>
        <w:t>, kas ir atbilstoša Eiropas Komisijas 2011.gada 20.decembra lēmuma</w:t>
      </w:r>
      <w:r w:rsidR="00361A0D" w:rsidRPr="00B86E9B">
        <w:rPr>
          <w:sz w:val="28"/>
          <w:szCs w:val="28"/>
          <w:lang w:val="lv-LV"/>
        </w:rPr>
        <w:t>m</w:t>
      </w:r>
      <w:r w:rsidR="008E10F6" w:rsidRPr="00B86E9B">
        <w:rPr>
          <w:sz w:val="28"/>
          <w:szCs w:val="28"/>
          <w:lang w:val="lv-LV"/>
        </w:rPr>
        <w:t xml:space="preserve"> (2012/21/ES)</w:t>
      </w:r>
      <w:r w:rsidR="00FD52B5" w:rsidRPr="00B86E9B">
        <w:rPr>
          <w:sz w:val="28"/>
          <w:szCs w:val="28"/>
          <w:lang w:val="lv-LV"/>
        </w:rPr>
        <w:t xml:space="preserve"> par Līguma par Eiropas Savienības darbību 106.panta 2.punkta piemērošanu valsts atbalstam attiecībā uz kompensāciju par sabiedriskajiem pakalpojumiem dažiem uzņēmumiem, kuriem uzticēts sniegt pakalpojumus ar vispārēju tautsaimniecisku nozīmi</w:t>
      </w:r>
      <w:r w:rsidR="0052667C" w:rsidRPr="00B86E9B">
        <w:rPr>
          <w:sz w:val="28"/>
          <w:szCs w:val="28"/>
          <w:lang w:val="lv-LV"/>
        </w:rPr>
        <w:t>)</w:t>
      </w:r>
      <w:r w:rsidR="00D62E1B" w:rsidRPr="00B86E9B">
        <w:rPr>
          <w:sz w:val="28"/>
          <w:szCs w:val="28"/>
          <w:lang w:val="lv-LV"/>
        </w:rPr>
        <w:t>.</w:t>
      </w:r>
      <w:r w:rsidR="00567BC7" w:rsidRPr="00B86E9B">
        <w:rPr>
          <w:sz w:val="28"/>
          <w:szCs w:val="28"/>
          <w:lang w:val="lv-LV"/>
        </w:rPr>
        <w:t xml:space="preserve"> </w:t>
      </w:r>
      <w:r w:rsidR="00006A35" w:rsidRPr="00B86E9B">
        <w:rPr>
          <w:sz w:val="28"/>
          <w:szCs w:val="28"/>
          <w:lang w:val="lv-LV"/>
        </w:rPr>
        <w:t>Ņemot vērā to, ka valsts apmaksāto stacionāro pakalpojumu sniegšanu galvenokārt</w:t>
      </w:r>
      <w:r w:rsidR="00D254B2" w:rsidRPr="00B86E9B">
        <w:rPr>
          <w:sz w:val="28"/>
          <w:szCs w:val="28"/>
          <w:lang w:val="lv-LV"/>
        </w:rPr>
        <w:t xml:space="preserve"> </w:t>
      </w:r>
      <w:r w:rsidR="00006A35" w:rsidRPr="00B86E9B">
        <w:rPr>
          <w:sz w:val="28"/>
          <w:szCs w:val="28"/>
          <w:lang w:val="lv-LV"/>
        </w:rPr>
        <w:t>nodrošina valsts un pašvaldību kapitālsabiedrības</w:t>
      </w:r>
      <w:r w:rsidR="00705418" w:rsidRPr="00B86E9B">
        <w:rPr>
          <w:sz w:val="28"/>
          <w:szCs w:val="28"/>
          <w:lang w:val="lv-LV"/>
        </w:rPr>
        <w:t xml:space="preserve"> un Veselības ministrija kā kapitāla daļu turētāja var ietekmēt valsts kapitālsabiedrību pieņemtos lēmumus</w:t>
      </w:r>
      <w:r w:rsidR="003815EE" w:rsidRPr="00B86E9B">
        <w:rPr>
          <w:sz w:val="28"/>
          <w:szCs w:val="28"/>
          <w:lang w:val="lv-LV"/>
        </w:rPr>
        <w:t>, tad lielu daļu nerentablo pakalpojumu sniedz Kapitālsabiedrības</w:t>
      </w:r>
      <w:r w:rsidR="00A152A6" w:rsidRPr="00B86E9B">
        <w:rPr>
          <w:sz w:val="28"/>
          <w:szCs w:val="28"/>
          <w:lang w:val="lv-LV"/>
        </w:rPr>
        <w:t>, kas arī ietekmē to darbības finansiālos rādītājus.</w:t>
      </w:r>
    </w:p>
    <w:p w:rsidR="00F93E90" w:rsidRPr="00B86E9B" w:rsidRDefault="003E596C" w:rsidP="007658B7">
      <w:pPr>
        <w:pStyle w:val="naisf"/>
        <w:spacing w:before="0" w:beforeAutospacing="0" w:after="0" w:afterAutospacing="0"/>
        <w:ind w:firstLine="720"/>
        <w:jc w:val="both"/>
        <w:rPr>
          <w:sz w:val="28"/>
          <w:szCs w:val="28"/>
          <w:lang w:val="lv-LV"/>
        </w:rPr>
      </w:pPr>
      <w:r w:rsidRPr="00B86E9B">
        <w:rPr>
          <w:sz w:val="28"/>
          <w:szCs w:val="28"/>
          <w:lang w:val="lv-LV"/>
        </w:rPr>
        <w:t xml:space="preserve">Tā kā </w:t>
      </w:r>
      <w:r w:rsidR="00B06FC7" w:rsidRPr="00B86E9B">
        <w:rPr>
          <w:sz w:val="28"/>
          <w:szCs w:val="28"/>
          <w:lang w:val="lv-LV"/>
        </w:rPr>
        <w:t>K</w:t>
      </w:r>
      <w:r w:rsidR="000F721D" w:rsidRPr="00B86E9B">
        <w:rPr>
          <w:sz w:val="28"/>
          <w:szCs w:val="28"/>
          <w:lang w:val="lv-LV"/>
        </w:rPr>
        <w:t xml:space="preserve">apitālsabiedrību lielākie ieņēmumi tiek </w:t>
      </w:r>
      <w:r w:rsidR="00A7605E" w:rsidRPr="00B86E9B">
        <w:rPr>
          <w:sz w:val="28"/>
          <w:szCs w:val="28"/>
          <w:lang w:val="lv-LV"/>
        </w:rPr>
        <w:t>nodrošināti</w:t>
      </w:r>
      <w:r w:rsidR="000F721D" w:rsidRPr="00B86E9B">
        <w:rPr>
          <w:sz w:val="28"/>
          <w:szCs w:val="28"/>
          <w:lang w:val="lv-LV"/>
        </w:rPr>
        <w:t xml:space="preserve"> no valsts budžeta līdzekļiem par sniegtajiem valsts apmaksātajiem veselības aprūpes pakalpojumiem atbilstoši noslēgtajiem līgumiem ar Nacionālo veselības </w:t>
      </w:r>
      <w:r w:rsidR="000F721D" w:rsidRPr="00B86E9B">
        <w:rPr>
          <w:sz w:val="28"/>
          <w:szCs w:val="28"/>
          <w:lang w:val="lv-LV"/>
        </w:rPr>
        <w:lastRenderedPageBreak/>
        <w:t>dienestu</w:t>
      </w:r>
      <w:r w:rsidR="005E534D" w:rsidRPr="00B86E9B">
        <w:rPr>
          <w:sz w:val="28"/>
          <w:szCs w:val="28"/>
          <w:lang w:val="lv-LV"/>
        </w:rPr>
        <w:t>, to finansiālais stāvoklis un veselīb</w:t>
      </w:r>
      <w:r w:rsidR="0044371C" w:rsidRPr="00B86E9B">
        <w:rPr>
          <w:sz w:val="28"/>
          <w:szCs w:val="28"/>
          <w:lang w:val="lv-LV"/>
        </w:rPr>
        <w:t>as aprūpes pakalpojumu sniegšana</w:t>
      </w:r>
      <w:r w:rsidR="000C1EA9" w:rsidRPr="00B86E9B">
        <w:rPr>
          <w:sz w:val="28"/>
          <w:szCs w:val="28"/>
          <w:lang w:val="lv-LV"/>
        </w:rPr>
        <w:t xml:space="preserve"> iedzīvotājiem ir tieši atkarīgs</w:t>
      </w:r>
      <w:r w:rsidR="005E534D" w:rsidRPr="00B86E9B">
        <w:rPr>
          <w:sz w:val="28"/>
          <w:szCs w:val="28"/>
          <w:lang w:val="lv-LV"/>
        </w:rPr>
        <w:t xml:space="preserve"> no valsts </w:t>
      </w:r>
      <w:r w:rsidR="00316562" w:rsidRPr="00B86E9B">
        <w:rPr>
          <w:sz w:val="28"/>
          <w:szCs w:val="28"/>
          <w:lang w:val="lv-LV"/>
        </w:rPr>
        <w:t>budžeta</w:t>
      </w:r>
      <w:r w:rsidR="0040559C" w:rsidRPr="00B86E9B">
        <w:rPr>
          <w:sz w:val="28"/>
          <w:szCs w:val="28"/>
          <w:lang w:val="lv-LV"/>
        </w:rPr>
        <w:t xml:space="preserve"> finansējuma apmēra, jo </w:t>
      </w:r>
      <w:r w:rsidR="005E534D" w:rsidRPr="00B86E9B">
        <w:rPr>
          <w:sz w:val="28"/>
          <w:szCs w:val="28"/>
          <w:lang w:val="lv-LV"/>
        </w:rPr>
        <w:t xml:space="preserve">vidēji 85% no </w:t>
      </w:r>
      <w:r w:rsidR="0040559C" w:rsidRPr="00B86E9B">
        <w:rPr>
          <w:sz w:val="28"/>
          <w:szCs w:val="28"/>
          <w:lang w:val="lv-LV"/>
        </w:rPr>
        <w:t xml:space="preserve">Kapitālsabiedrību </w:t>
      </w:r>
      <w:r w:rsidR="005E534D" w:rsidRPr="00B86E9B">
        <w:rPr>
          <w:sz w:val="28"/>
          <w:szCs w:val="28"/>
          <w:lang w:val="lv-LV"/>
        </w:rPr>
        <w:t>pamatdarbības ieņēmumiem veido ieņē</w:t>
      </w:r>
      <w:r w:rsidR="0040559C" w:rsidRPr="00B86E9B">
        <w:rPr>
          <w:sz w:val="28"/>
          <w:szCs w:val="28"/>
          <w:lang w:val="lv-LV"/>
        </w:rPr>
        <w:t>mumi no valsts budžeta apmaksāto</w:t>
      </w:r>
      <w:r w:rsidR="005E534D" w:rsidRPr="00B86E9B">
        <w:rPr>
          <w:sz w:val="28"/>
          <w:szCs w:val="28"/>
          <w:lang w:val="lv-LV"/>
        </w:rPr>
        <w:t xml:space="preserve"> veselības aprūpes pakalpojumu sniegšanas. Saskaņā ar </w:t>
      </w:r>
      <w:proofErr w:type="spellStart"/>
      <w:r w:rsidR="005E534D" w:rsidRPr="00B86E9B">
        <w:rPr>
          <w:sz w:val="28"/>
          <w:szCs w:val="28"/>
          <w:lang w:val="lv-LV"/>
        </w:rPr>
        <w:t>PricewaterhouseCoopers</w:t>
      </w:r>
      <w:proofErr w:type="spellEnd"/>
      <w:r w:rsidR="005E534D" w:rsidRPr="00B86E9B">
        <w:rPr>
          <w:sz w:val="28"/>
          <w:szCs w:val="28"/>
          <w:lang w:val="lv-LV"/>
        </w:rPr>
        <w:t xml:space="preserve"> SIA ieņēmumu un izdevumu pamatotības audita rezultātiem SIA “Rīgas Austrumu</w:t>
      </w:r>
      <w:r w:rsidR="00D620D9" w:rsidRPr="00B86E9B">
        <w:rPr>
          <w:sz w:val="28"/>
          <w:szCs w:val="28"/>
          <w:lang w:val="lv-LV"/>
        </w:rPr>
        <w:t xml:space="preserve"> klīniskā universitātes slimnīca</w:t>
      </w:r>
      <w:r w:rsidR="005E534D" w:rsidRPr="00B86E9B">
        <w:rPr>
          <w:sz w:val="28"/>
          <w:szCs w:val="28"/>
          <w:lang w:val="lv-LV"/>
        </w:rPr>
        <w:t xml:space="preserve">”, secināts, ka valsts sniegtais finansējums nenosedz pakalpojumu </w:t>
      </w:r>
      <w:r w:rsidR="00D620D9" w:rsidRPr="00B86E9B">
        <w:rPr>
          <w:sz w:val="28"/>
          <w:szCs w:val="28"/>
          <w:lang w:val="lv-LV"/>
        </w:rPr>
        <w:t>izmaksas pilnā apmērā</w:t>
      </w:r>
      <w:r w:rsidR="005E534D" w:rsidRPr="00B86E9B">
        <w:rPr>
          <w:sz w:val="28"/>
          <w:szCs w:val="28"/>
          <w:lang w:val="lv-LV"/>
        </w:rPr>
        <w:t xml:space="preserve"> un 2012.gada dati parāda, ka </w:t>
      </w:r>
      <w:r w:rsidR="00D620D9" w:rsidRPr="00B86E9B">
        <w:rPr>
          <w:sz w:val="28"/>
          <w:szCs w:val="28"/>
          <w:lang w:val="lv-LV"/>
        </w:rPr>
        <w:t>vidējais</w:t>
      </w:r>
      <w:r w:rsidR="005E534D" w:rsidRPr="00B86E9B">
        <w:rPr>
          <w:sz w:val="28"/>
          <w:szCs w:val="28"/>
          <w:lang w:val="lv-LV"/>
        </w:rPr>
        <w:t xml:space="preserve"> pakalpojumu segums ir tikai 86%.  </w:t>
      </w:r>
    </w:p>
    <w:p w:rsidR="005E534D" w:rsidRPr="00B86E9B" w:rsidRDefault="005E534D" w:rsidP="005E534D">
      <w:pPr>
        <w:jc w:val="center"/>
        <w:rPr>
          <w:sz w:val="28"/>
          <w:szCs w:val="28"/>
        </w:rPr>
      </w:pPr>
      <w:r w:rsidRPr="00B86E9B">
        <w:rPr>
          <w:noProof/>
          <w:sz w:val="28"/>
          <w:szCs w:val="28"/>
          <w:lang w:eastAsia="lv-LV"/>
        </w:rPr>
        <w:drawing>
          <wp:inline distT="0" distB="0" distL="0" distR="0">
            <wp:extent cx="6137154" cy="2705051"/>
            <wp:effectExtent l="19050" t="0" r="0" b="0"/>
            <wp:docPr id="1" name="Picture 1" descr="\\vnozare.pri\vm\Redirect_profiles\arengarte\My Documents\Zinojumi\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ozare.pri\vm\Redirect_profiles\arengarte\My Documents\Zinojumi\VB.png"/>
                    <pic:cNvPicPr>
                      <a:picLocks noChangeAspect="1" noChangeArrowheads="1"/>
                    </pic:cNvPicPr>
                  </pic:nvPicPr>
                  <pic:blipFill>
                    <a:blip r:embed="rId8" cstate="print"/>
                    <a:srcRect/>
                    <a:stretch>
                      <a:fillRect/>
                    </a:stretch>
                  </pic:blipFill>
                  <pic:spPr bwMode="auto">
                    <a:xfrm>
                      <a:off x="0" y="0"/>
                      <a:ext cx="6137180" cy="2705063"/>
                    </a:xfrm>
                    <a:prstGeom prst="rect">
                      <a:avLst/>
                    </a:prstGeom>
                    <a:noFill/>
                    <a:ln w="9525">
                      <a:noFill/>
                      <a:miter lim="800000"/>
                      <a:headEnd/>
                      <a:tailEnd/>
                    </a:ln>
                  </pic:spPr>
                </pic:pic>
              </a:graphicData>
            </a:graphic>
          </wp:inline>
        </w:drawing>
      </w:r>
    </w:p>
    <w:p w:rsidR="005E534D" w:rsidRPr="00B86E9B" w:rsidRDefault="005E534D" w:rsidP="005E534D">
      <w:pPr>
        <w:jc w:val="both"/>
        <w:rPr>
          <w:sz w:val="28"/>
          <w:szCs w:val="28"/>
        </w:rPr>
      </w:pPr>
    </w:p>
    <w:p w:rsidR="005E534D" w:rsidRPr="00B86E9B" w:rsidRDefault="0040645C" w:rsidP="005E534D">
      <w:pPr>
        <w:jc w:val="both"/>
        <w:rPr>
          <w:i/>
          <w:sz w:val="28"/>
          <w:szCs w:val="28"/>
        </w:rPr>
      </w:pPr>
      <w:r w:rsidRPr="00B86E9B">
        <w:rPr>
          <w:i/>
          <w:sz w:val="28"/>
          <w:szCs w:val="28"/>
        </w:rPr>
        <w:t>Grafiks Nr.</w:t>
      </w:r>
      <w:r w:rsidR="006450EF" w:rsidRPr="00B86E9B">
        <w:rPr>
          <w:i/>
          <w:sz w:val="28"/>
          <w:szCs w:val="28"/>
        </w:rPr>
        <w:t>1, Valsts budžeta līdzekļu īpatsvars Kapitālsabiedrību ieņēmumos 2012.gadā, %</w:t>
      </w:r>
      <w:r w:rsidR="006450EF" w:rsidRPr="00B86E9B">
        <w:rPr>
          <w:rStyle w:val="Vresatsauce"/>
          <w:rFonts w:eastAsia="Calibri"/>
          <w:color w:val="000000"/>
          <w:sz w:val="26"/>
          <w:szCs w:val="26"/>
        </w:rPr>
        <w:footnoteReference w:id="1"/>
      </w:r>
    </w:p>
    <w:p w:rsidR="005E534D" w:rsidRPr="00B86E9B" w:rsidRDefault="005E534D" w:rsidP="005E534D">
      <w:pPr>
        <w:jc w:val="both"/>
        <w:rPr>
          <w:sz w:val="28"/>
          <w:szCs w:val="28"/>
        </w:rPr>
      </w:pPr>
    </w:p>
    <w:p w:rsidR="005E534D" w:rsidRPr="00B86E9B" w:rsidRDefault="00C54B5E" w:rsidP="005E534D">
      <w:pPr>
        <w:ind w:firstLine="720"/>
        <w:jc w:val="both"/>
        <w:rPr>
          <w:sz w:val="28"/>
          <w:szCs w:val="28"/>
        </w:rPr>
      </w:pPr>
      <w:r w:rsidRPr="00B86E9B">
        <w:rPr>
          <w:sz w:val="28"/>
          <w:szCs w:val="28"/>
        </w:rPr>
        <w:t>Analizējot K</w:t>
      </w:r>
      <w:r w:rsidR="005E534D" w:rsidRPr="00B86E9B">
        <w:rPr>
          <w:sz w:val="28"/>
          <w:szCs w:val="28"/>
        </w:rPr>
        <w:t xml:space="preserve">apitālsabiedrību izdevumu struktūru, vērojamas divas galvenās izmaksu pozīcijas – </w:t>
      </w:r>
      <w:r w:rsidRPr="00B86E9B">
        <w:rPr>
          <w:sz w:val="28"/>
          <w:szCs w:val="28"/>
        </w:rPr>
        <w:t>izdevumi atlīdzībai</w:t>
      </w:r>
      <w:r w:rsidR="005E534D" w:rsidRPr="00B86E9B">
        <w:rPr>
          <w:sz w:val="28"/>
          <w:szCs w:val="28"/>
        </w:rPr>
        <w:t xml:space="preserve"> un izdevumi medikamentiem un medicīnas precēm. Ārējo faktoru ietekme, kas saistās ar izmaiņām darba samaksas nosacījumos, medikamentu, kā arī citu pakalpojumu un preču cenu celšanās ilgtermiņā var būtiski palielināt sniegtā pakalpojuma izmaksu apjomu un līdz ar to arī finanšu rezultātus, ja tās netiek kompensētas ar papildu ieņēmumiem. 2011. un 2012.gadā būtisku ietekmi uz izmaksām atstāja minimālās algas pieaugums un PVN standarta likmes paaugstināšana</w:t>
      </w:r>
      <w:r w:rsidR="008D0D1A" w:rsidRPr="00B86E9B">
        <w:rPr>
          <w:sz w:val="28"/>
          <w:szCs w:val="28"/>
        </w:rPr>
        <w:t xml:space="preserve">, </w:t>
      </w:r>
      <w:r w:rsidR="00355119" w:rsidRPr="00B86E9B">
        <w:rPr>
          <w:sz w:val="28"/>
          <w:szCs w:val="28"/>
        </w:rPr>
        <w:t xml:space="preserve">bet šīs </w:t>
      </w:r>
      <w:r w:rsidR="00355119" w:rsidRPr="00B86E9B">
        <w:rPr>
          <w:sz w:val="28"/>
          <w:szCs w:val="28"/>
        </w:rPr>
        <w:lastRenderedPageBreak/>
        <w:t xml:space="preserve">izmaiņas </w:t>
      </w:r>
      <w:r w:rsidR="008D0D1A" w:rsidRPr="00B86E9B">
        <w:rPr>
          <w:sz w:val="28"/>
          <w:szCs w:val="28"/>
        </w:rPr>
        <w:t>netika iekļauta valsts budžeta apmaksāto veselības aprūpes pakalpojumu tarifos</w:t>
      </w:r>
      <w:r w:rsidR="00355119" w:rsidRPr="00B86E9B">
        <w:rPr>
          <w:sz w:val="28"/>
          <w:szCs w:val="28"/>
        </w:rPr>
        <w:t xml:space="preserve"> dēļ ierobežotās valsts budžeta fiskālās telpas.</w:t>
      </w:r>
    </w:p>
    <w:p w:rsidR="005E534D" w:rsidRPr="00B86E9B" w:rsidRDefault="005E534D" w:rsidP="005E534D">
      <w:pPr>
        <w:jc w:val="both"/>
        <w:rPr>
          <w:sz w:val="28"/>
          <w:szCs w:val="28"/>
        </w:rPr>
      </w:pPr>
    </w:p>
    <w:p w:rsidR="005E534D" w:rsidRPr="00B86E9B" w:rsidRDefault="005E534D" w:rsidP="00D23639">
      <w:pPr>
        <w:jc w:val="center"/>
        <w:rPr>
          <w:sz w:val="28"/>
          <w:szCs w:val="28"/>
        </w:rPr>
      </w:pPr>
      <w:r w:rsidRPr="00B86E9B">
        <w:rPr>
          <w:noProof/>
          <w:sz w:val="28"/>
          <w:szCs w:val="28"/>
          <w:bdr w:val="single" w:sz="4" w:space="0" w:color="auto"/>
          <w:lang w:eastAsia="lv-LV"/>
        </w:rPr>
        <w:drawing>
          <wp:inline distT="0" distB="0" distL="0" distR="0">
            <wp:extent cx="4495799" cy="2266950"/>
            <wp:effectExtent l="19050" t="0" r="19051"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534D" w:rsidRPr="00B86E9B" w:rsidRDefault="00266D66" w:rsidP="005E534D">
      <w:pPr>
        <w:jc w:val="both"/>
        <w:rPr>
          <w:i/>
          <w:sz w:val="28"/>
          <w:szCs w:val="28"/>
        </w:rPr>
      </w:pPr>
      <w:r w:rsidRPr="00B86E9B">
        <w:rPr>
          <w:i/>
          <w:sz w:val="28"/>
          <w:szCs w:val="28"/>
        </w:rPr>
        <w:t>Grafiks Nr.</w:t>
      </w:r>
      <w:r w:rsidR="005E534D" w:rsidRPr="00B86E9B">
        <w:rPr>
          <w:i/>
          <w:sz w:val="28"/>
          <w:szCs w:val="28"/>
        </w:rPr>
        <w:t>2, Izdevumu struktūra</w:t>
      </w:r>
      <w:r w:rsidRPr="00B86E9B">
        <w:rPr>
          <w:i/>
          <w:sz w:val="28"/>
          <w:szCs w:val="28"/>
        </w:rPr>
        <w:t xml:space="preserve"> vidēji 2012.gadā, %</w:t>
      </w:r>
    </w:p>
    <w:p w:rsidR="005E534D" w:rsidRPr="00B86E9B" w:rsidRDefault="005E534D" w:rsidP="005E534D">
      <w:pPr>
        <w:jc w:val="both"/>
        <w:rPr>
          <w:sz w:val="28"/>
          <w:szCs w:val="28"/>
        </w:rPr>
      </w:pPr>
    </w:p>
    <w:p w:rsidR="005E534D" w:rsidRPr="00B86E9B" w:rsidRDefault="005E534D" w:rsidP="005E534D">
      <w:pPr>
        <w:jc w:val="both"/>
        <w:rPr>
          <w:sz w:val="28"/>
          <w:szCs w:val="28"/>
        </w:rPr>
      </w:pPr>
      <w:r w:rsidRPr="00B86E9B">
        <w:rPr>
          <w:sz w:val="28"/>
          <w:szCs w:val="28"/>
        </w:rPr>
        <w:tab/>
        <w:t xml:space="preserve">Saskaņā ar 2013.gada operatīvo budžeta informāciju </w:t>
      </w:r>
      <w:r w:rsidR="00D13C18" w:rsidRPr="00B86E9B">
        <w:rPr>
          <w:sz w:val="28"/>
          <w:szCs w:val="28"/>
        </w:rPr>
        <w:t>K</w:t>
      </w:r>
      <w:r w:rsidRPr="00B86E9B">
        <w:rPr>
          <w:sz w:val="28"/>
          <w:szCs w:val="28"/>
        </w:rPr>
        <w:t>apitālsabiedrību zaudējumi 9 mēnešos sasniedz 3,7 miljonus</w:t>
      </w:r>
      <w:r w:rsidR="00740DB4" w:rsidRPr="00B86E9B">
        <w:rPr>
          <w:sz w:val="28"/>
          <w:szCs w:val="28"/>
        </w:rPr>
        <w:t xml:space="preserve"> latu</w:t>
      </w:r>
      <w:r w:rsidR="00D13C18" w:rsidRPr="00B86E9B">
        <w:rPr>
          <w:sz w:val="28"/>
          <w:szCs w:val="28"/>
        </w:rPr>
        <w:t>, tomēr</w:t>
      </w:r>
      <w:r w:rsidR="00D5414F" w:rsidRPr="00B86E9B">
        <w:rPr>
          <w:sz w:val="28"/>
          <w:szCs w:val="28"/>
        </w:rPr>
        <w:t xml:space="preserve"> 2013.gada IV </w:t>
      </w:r>
      <w:r w:rsidRPr="00B86E9B">
        <w:rPr>
          <w:sz w:val="28"/>
          <w:szCs w:val="28"/>
        </w:rPr>
        <w:t xml:space="preserve">ceturksnī </w:t>
      </w:r>
      <w:r w:rsidR="00DA43EB" w:rsidRPr="00B86E9B">
        <w:rPr>
          <w:sz w:val="28"/>
          <w:szCs w:val="28"/>
        </w:rPr>
        <w:t xml:space="preserve">zaudējumiem </w:t>
      </w:r>
      <w:r w:rsidRPr="00B86E9B">
        <w:rPr>
          <w:sz w:val="28"/>
          <w:szCs w:val="28"/>
        </w:rPr>
        <w:t xml:space="preserve">ir tendence samazināties. </w:t>
      </w:r>
      <w:r w:rsidR="00DA43EB" w:rsidRPr="00B86E9B">
        <w:rPr>
          <w:sz w:val="28"/>
          <w:szCs w:val="28"/>
          <w:lang w:eastAsia="lv-LV"/>
        </w:rPr>
        <w:t>Turklāt ņemot vērā 2013.gada beigās papildus piešķirto valsts budžeta finansējumu veselības aprūpes pakalpojumu pieej</w:t>
      </w:r>
      <w:r w:rsidR="00740DB4" w:rsidRPr="00B86E9B">
        <w:rPr>
          <w:sz w:val="28"/>
          <w:szCs w:val="28"/>
          <w:lang w:eastAsia="lv-LV"/>
        </w:rPr>
        <w:t xml:space="preserve">amības </w:t>
      </w:r>
      <w:r w:rsidR="00D67B58" w:rsidRPr="00B86E9B">
        <w:rPr>
          <w:sz w:val="28"/>
          <w:szCs w:val="28"/>
          <w:lang w:eastAsia="lv-LV"/>
        </w:rPr>
        <w:t>uzlabošanai 4,6 miljonu latu</w:t>
      </w:r>
      <w:r w:rsidR="00740DB4" w:rsidRPr="00B86E9B">
        <w:rPr>
          <w:sz w:val="28"/>
          <w:szCs w:val="28"/>
          <w:lang w:eastAsia="lv-LV"/>
        </w:rPr>
        <w:t> </w:t>
      </w:r>
      <w:r w:rsidR="00DA43EB" w:rsidRPr="00B86E9B">
        <w:rPr>
          <w:sz w:val="28"/>
          <w:szCs w:val="28"/>
          <w:lang w:eastAsia="lv-LV"/>
        </w:rPr>
        <w:t xml:space="preserve"> apmērā (Ministru kabineta 2013.gada 4.oktobra rīkojums Nr.459) un stacionāro ārstniecības iestāžu infrastruktūras uzturēšanas izde</w:t>
      </w:r>
      <w:r w:rsidR="00D67B58" w:rsidRPr="00B86E9B">
        <w:rPr>
          <w:sz w:val="28"/>
          <w:szCs w:val="28"/>
          <w:lang w:eastAsia="lv-LV"/>
        </w:rPr>
        <w:t>vumu deficīta segšanai 5,3 miljonu latu </w:t>
      </w:r>
      <w:r w:rsidR="00DA43EB" w:rsidRPr="00B86E9B">
        <w:rPr>
          <w:sz w:val="28"/>
          <w:szCs w:val="28"/>
          <w:lang w:eastAsia="lv-LV"/>
        </w:rPr>
        <w:t>apmērā (Ministru kabineta 2013.gada 20.decembra rīkojums</w:t>
      </w:r>
      <w:r w:rsidR="00F75DE2" w:rsidRPr="00B86E9B">
        <w:rPr>
          <w:sz w:val="28"/>
          <w:szCs w:val="28"/>
          <w:lang w:eastAsia="lv-LV"/>
        </w:rPr>
        <w:t xml:space="preserve"> </w:t>
      </w:r>
      <w:r w:rsidR="00D5414F" w:rsidRPr="00B86E9B">
        <w:rPr>
          <w:sz w:val="28"/>
          <w:szCs w:val="28"/>
          <w:lang w:eastAsia="lv-LV"/>
        </w:rPr>
        <w:t xml:space="preserve">Nr.674) plānojams, ka 2013.gada beigās </w:t>
      </w:r>
      <w:r w:rsidR="00F75DE2" w:rsidRPr="00B86E9B">
        <w:rPr>
          <w:sz w:val="28"/>
          <w:szCs w:val="28"/>
        </w:rPr>
        <w:t>Kapitālsabiedrību</w:t>
      </w:r>
      <w:r w:rsidR="00DA43EB" w:rsidRPr="00B86E9B">
        <w:rPr>
          <w:sz w:val="28"/>
          <w:szCs w:val="28"/>
          <w:lang w:eastAsia="lv-LV"/>
        </w:rPr>
        <w:t xml:space="preserve"> finansiālā situācija </w:t>
      </w:r>
      <w:r w:rsidR="00D5414F" w:rsidRPr="00B86E9B">
        <w:rPr>
          <w:sz w:val="28"/>
          <w:szCs w:val="28"/>
          <w:lang w:eastAsia="lv-LV"/>
        </w:rPr>
        <w:t>būs uzlabojusies</w:t>
      </w:r>
      <w:r w:rsidR="00DA43EB" w:rsidRPr="00B86E9B">
        <w:rPr>
          <w:sz w:val="28"/>
          <w:szCs w:val="28"/>
          <w:lang w:eastAsia="lv-LV"/>
        </w:rPr>
        <w:t>.</w:t>
      </w:r>
    </w:p>
    <w:p w:rsidR="00822591" w:rsidRPr="00B86E9B" w:rsidRDefault="00822591" w:rsidP="005E534D">
      <w:pPr>
        <w:ind w:firstLine="706"/>
        <w:jc w:val="both"/>
        <w:rPr>
          <w:sz w:val="28"/>
          <w:szCs w:val="28"/>
        </w:rPr>
      </w:pPr>
      <w:r w:rsidRPr="00B86E9B">
        <w:rPr>
          <w:sz w:val="28"/>
          <w:szCs w:val="28"/>
        </w:rPr>
        <w:t>2014.gadā saistībā ar papildus piešķirto valsts budžeta finansējumu  ārstniecības personu darba samaksas paaugstināšanai (tarifa elementi D un S) un citu veselības aprūpes pakalpojumu tarifu elementu paaugstināšanai (E –izdevumi, kas saistīti ar pacientu ēdināšanu; U – pieskaitāmās un netiešās ražošanas izmaksas; A – administratīvie izdevumi) tarifi</w:t>
      </w:r>
      <w:r w:rsidR="00EA7EF5" w:rsidRPr="00B86E9B">
        <w:rPr>
          <w:sz w:val="28"/>
          <w:szCs w:val="28"/>
        </w:rPr>
        <w:t xml:space="preserve"> atbilstoši Ministru kabineta 2013.gada 17.decembra noteikumiem Nr.1529 „Veselības aprūpes organizēšanas un finansēšanas kārtība”</w:t>
      </w:r>
      <w:r w:rsidRPr="00B86E9B">
        <w:rPr>
          <w:sz w:val="28"/>
          <w:szCs w:val="28"/>
        </w:rPr>
        <w:t xml:space="preserve"> tiks palielināti vidēji par 5% - 6% (robežās no 1% līdz 16%, ko ietekmē tarifa elementu D un S īpatsvars konkrētā pakalpojuma vai programmas tarifā), kas atvieglos Kapitālsabiedrību darbību, lai gan ņemot vērā 2014.gadā plānotās resursu izmaksu palielināšanas, finansiālā ietekme no šī pasākuma varētu būt neliela.</w:t>
      </w:r>
    </w:p>
    <w:p w:rsidR="005E534D" w:rsidRPr="00B86E9B" w:rsidRDefault="005E534D" w:rsidP="0057312C">
      <w:pPr>
        <w:ind w:firstLine="706"/>
        <w:jc w:val="both"/>
        <w:rPr>
          <w:sz w:val="28"/>
          <w:szCs w:val="28"/>
        </w:rPr>
      </w:pPr>
      <w:r w:rsidRPr="00B86E9B">
        <w:rPr>
          <w:sz w:val="28"/>
          <w:szCs w:val="28"/>
        </w:rPr>
        <w:t xml:space="preserve">Ņemot vērā to, ka veselības aprūpes pakalpojumu izmaksas pieaug straujāk nekā plānotie ieņēmumi, jo palielinās prasības pret ārstniecības procesu gan attiecībā uz diagnostikas un ārstēšanas kvalitāti, gan pacientu aprūpes un saskarsmes kvalitāti, gan telpu tehniskajiem un kvalitātes standartiem, gan datu drošības prasībām, attīstās tehnoloģijas, kas vienlaicīgi palielina investīciju un darbības izmaksas, t.sk., prasības pēc augsti kvalificēta personāla, </w:t>
      </w:r>
      <w:r w:rsidR="00E40646" w:rsidRPr="00B86E9B">
        <w:rPr>
          <w:sz w:val="28"/>
          <w:szCs w:val="28"/>
        </w:rPr>
        <w:t>K</w:t>
      </w:r>
      <w:r w:rsidRPr="00B86E9B">
        <w:rPr>
          <w:sz w:val="28"/>
          <w:szCs w:val="28"/>
        </w:rPr>
        <w:t xml:space="preserve">apitālsabiedrības ir apņēmušās un turpina virzīties uz noteiktajiem finanšu mērķiem, lai nodrošinātu efektīvu resursu izlietojumu un budžeta sabalansētību </w:t>
      </w:r>
      <w:r w:rsidRPr="00B86E9B">
        <w:rPr>
          <w:sz w:val="28"/>
          <w:szCs w:val="28"/>
        </w:rPr>
        <w:lastRenderedPageBreak/>
        <w:t xml:space="preserve">un vienlaicīgi nodrošinātu </w:t>
      </w:r>
      <w:r w:rsidR="00E415FB" w:rsidRPr="00B86E9B">
        <w:rPr>
          <w:sz w:val="28"/>
          <w:szCs w:val="28"/>
        </w:rPr>
        <w:t>veselības aprūpes pakalpojumu</w:t>
      </w:r>
      <w:r w:rsidRPr="00B86E9B">
        <w:rPr>
          <w:sz w:val="28"/>
          <w:szCs w:val="28"/>
        </w:rPr>
        <w:t xml:space="preserve"> pieejamību. </w:t>
      </w:r>
      <w:r w:rsidR="00CB5691" w:rsidRPr="00B86E9B">
        <w:rPr>
          <w:sz w:val="28"/>
          <w:szCs w:val="28"/>
        </w:rPr>
        <w:t>K</w:t>
      </w:r>
      <w:r w:rsidRPr="00B86E9B">
        <w:rPr>
          <w:sz w:val="28"/>
          <w:szCs w:val="28"/>
        </w:rPr>
        <w:t xml:space="preserve">apitālsabiedrību veiktie un iepriekš uzskaitītie izdevumu optimizācijas pasākumi </w:t>
      </w:r>
      <w:proofErr w:type="spellStart"/>
      <w:r w:rsidR="00385490" w:rsidRPr="00B86E9B">
        <w:rPr>
          <w:sz w:val="28"/>
          <w:szCs w:val="28"/>
        </w:rPr>
        <w:t>īstermiņā</w:t>
      </w:r>
      <w:proofErr w:type="spellEnd"/>
      <w:r w:rsidRPr="00B86E9B">
        <w:rPr>
          <w:sz w:val="28"/>
          <w:szCs w:val="28"/>
        </w:rPr>
        <w:t xml:space="preserve"> var  nodrošināt sabalansētu naudas plūsmu un pozitīvus finanšu rādītājus, taču ilgtermiņā nevar nodrošināt uz attīstību vērstu saimniecisko darbību, jo jāņem vērā arī preču un pakalpojumu pakāpenisks sadārdzinājums makroekonomisko izmaiņu rezultātā. Lai būtiskāk samazinātu esošo izdevumu apjomu </w:t>
      </w:r>
      <w:r w:rsidR="00FE49E0" w:rsidRPr="00B86E9B">
        <w:rPr>
          <w:sz w:val="28"/>
          <w:szCs w:val="28"/>
        </w:rPr>
        <w:t>K</w:t>
      </w:r>
      <w:r w:rsidRPr="00B86E9B">
        <w:rPr>
          <w:sz w:val="28"/>
          <w:szCs w:val="28"/>
        </w:rPr>
        <w:t>apitālsabiedrībās būtu veicamas plašākas izmaiņas, kas saistītas gan ar kopējo darbinieku skaita samazināšanu, gan infrastruktūras</w:t>
      </w:r>
      <w:r w:rsidR="0057312C" w:rsidRPr="00B86E9B">
        <w:rPr>
          <w:sz w:val="28"/>
          <w:szCs w:val="28"/>
        </w:rPr>
        <w:t xml:space="preserve"> un pakalpojumu optimizāciju</w:t>
      </w:r>
      <w:r w:rsidR="00377E85" w:rsidRPr="00B86E9B">
        <w:rPr>
          <w:sz w:val="28"/>
          <w:szCs w:val="28"/>
        </w:rPr>
        <w:t xml:space="preserve">, kas sākotnēji prasa papildu finanšu resursus. </w:t>
      </w:r>
      <w:r w:rsidRPr="00B86E9B">
        <w:rPr>
          <w:sz w:val="28"/>
          <w:szCs w:val="28"/>
          <w:lang w:eastAsia="lv-LV"/>
        </w:rPr>
        <w:t xml:space="preserve">Būtiski turpmāko gadu budžetu izpildi </w:t>
      </w:r>
      <w:r w:rsidR="00FE49E0" w:rsidRPr="00B86E9B">
        <w:rPr>
          <w:sz w:val="28"/>
          <w:szCs w:val="28"/>
          <w:lang w:eastAsia="lv-LV"/>
        </w:rPr>
        <w:t>K</w:t>
      </w:r>
      <w:r w:rsidR="002520C0" w:rsidRPr="00B86E9B">
        <w:rPr>
          <w:sz w:val="28"/>
          <w:szCs w:val="28"/>
          <w:lang w:eastAsia="lv-LV"/>
        </w:rPr>
        <w:t>apitālsabiedrībām</w:t>
      </w:r>
      <w:r w:rsidRPr="00B86E9B">
        <w:rPr>
          <w:sz w:val="28"/>
          <w:szCs w:val="28"/>
          <w:lang w:eastAsia="lv-LV"/>
        </w:rPr>
        <w:t xml:space="preserve"> var ietekmēt Valsts galvotā aizdevuma pamatsummas atmaksas uzsākšana, kas netiek iekļauta valsts piešķirtā finansējuma apjomā.</w:t>
      </w:r>
    </w:p>
    <w:p w:rsidR="00266D66" w:rsidRPr="00B86E9B" w:rsidRDefault="001F4D3D" w:rsidP="007160AC">
      <w:pPr>
        <w:ind w:firstLine="720"/>
        <w:jc w:val="both"/>
        <w:rPr>
          <w:sz w:val="28"/>
          <w:szCs w:val="28"/>
        </w:rPr>
      </w:pPr>
      <w:r w:rsidRPr="00B86E9B">
        <w:rPr>
          <w:sz w:val="28"/>
          <w:szCs w:val="28"/>
        </w:rPr>
        <w:t xml:space="preserve">Ņemot vērā iepriekš minēto, uzskatām, ka situācijā, kad Kapitālsabiedrības sniedz sabiedriski nozīmīgus sociāla rakstura pakalpojumus, vienlaicīgi ar jautājumu par finansiālo slogu valsts budžetam ir jāvērtē arī </w:t>
      </w:r>
      <w:r w:rsidR="003F2336" w:rsidRPr="00B86E9B">
        <w:rPr>
          <w:sz w:val="28"/>
          <w:szCs w:val="28"/>
        </w:rPr>
        <w:t>apstāklis</w:t>
      </w:r>
      <w:r w:rsidR="00990696" w:rsidRPr="00B86E9B">
        <w:rPr>
          <w:sz w:val="28"/>
          <w:szCs w:val="28"/>
        </w:rPr>
        <w:t>, ka</w:t>
      </w:r>
      <w:r w:rsidRPr="00B86E9B">
        <w:rPr>
          <w:sz w:val="28"/>
          <w:szCs w:val="28"/>
        </w:rPr>
        <w:t xml:space="preserve"> valsts ir galvenais Kapitālsabiedrību „klients” un vienlaicīgi arī finansējuma devējs, kurš nevar nodrošināt Kapitālsabiedrībām veselības aprūpes pakalpojumu tarifus, kas kompensētu faktiskās  pakalpojumu sniegšanas izmaksas. Par veselības aprūpes pakalpojumu tarifu neatbilstību faktiskajām izmaksām liecina gan Valsts kontroles 2011.gada 28.novembra revīzijas ziņojums </w:t>
      </w:r>
      <w:r w:rsidR="003B30AA" w:rsidRPr="00B86E9B">
        <w:rPr>
          <w:sz w:val="28"/>
          <w:szCs w:val="28"/>
        </w:rPr>
        <w:t>„</w:t>
      </w:r>
      <w:r w:rsidRPr="00B86E9B">
        <w:rPr>
          <w:sz w:val="28"/>
          <w:szCs w:val="28"/>
        </w:rPr>
        <w:t xml:space="preserve">Valsts budžeta līdzekļu izlietojuma likumība un ekonomiskums, apmaksājot ārstniecības pakalpojumus pēc noteiktā tarifa”, gan arī neatkarīgo ekspertu veiktie pētījumi par finansiālo situāciju </w:t>
      </w:r>
      <w:r w:rsidR="00DB4CBA" w:rsidRPr="00B86E9B">
        <w:rPr>
          <w:sz w:val="28"/>
          <w:szCs w:val="28"/>
        </w:rPr>
        <w:t>VSIA</w:t>
      </w:r>
      <w:r w:rsidRPr="00B86E9B">
        <w:rPr>
          <w:sz w:val="28"/>
          <w:szCs w:val="28"/>
        </w:rPr>
        <w:t xml:space="preserve"> "Paula Stradiņa klīniskā universitātes slimnīca" un </w:t>
      </w:r>
      <w:r w:rsidR="00DB4CBA" w:rsidRPr="00B86E9B">
        <w:rPr>
          <w:sz w:val="28"/>
          <w:szCs w:val="28"/>
        </w:rPr>
        <w:t>SIA</w:t>
      </w:r>
      <w:r w:rsidRPr="00B86E9B">
        <w:rPr>
          <w:sz w:val="28"/>
          <w:szCs w:val="28"/>
        </w:rPr>
        <w:t xml:space="preserve"> “Rīgas Austrumu klīniskā universitātes slimnīca”.</w:t>
      </w:r>
      <w:r w:rsidR="007160AC" w:rsidRPr="00B86E9B">
        <w:rPr>
          <w:sz w:val="28"/>
          <w:szCs w:val="28"/>
        </w:rPr>
        <w:t xml:space="preserve"> </w:t>
      </w:r>
      <w:r w:rsidR="008A0216" w:rsidRPr="00B86E9B">
        <w:rPr>
          <w:sz w:val="28"/>
          <w:szCs w:val="28"/>
        </w:rPr>
        <w:t>Tā</w:t>
      </w:r>
      <w:r w:rsidR="008E5782" w:rsidRPr="00B86E9B">
        <w:rPr>
          <w:sz w:val="28"/>
          <w:szCs w:val="28"/>
        </w:rPr>
        <w:t>tad</w:t>
      </w:r>
      <w:r w:rsidR="008A0216" w:rsidRPr="00B86E9B">
        <w:rPr>
          <w:sz w:val="28"/>
          <w:szCs w:val="28"/>
        </w:rPr>
        <w:t xml:space="preserve"> būtu j</w:t>
      </w:r>
      <w:r w:rsidR="00266D66" w:rsidRPr="00B86E9B">
        <w:rPr>
          <w:sz w:val="28"/>
          <w:szCs w:val="28"/>
        </w:rPr>
        <w:t>āvērtē kopējais no valsts budžeta piešķiramais finansējums veselības aprūpes nozarei salīdzinoši ar citām tautsaimniecības nozarēm</w:t>
      </w:r>
      <w:r w:rsidR="00FF4493" w:rsidRPr="00B86E9B">
        <w:rPr>
          <w:sz w:val="28"/>
          <w:szCs w:val="28"/>
        </w:rPr>
        <w:t xml:space="preserve"> valstī.</w:t>
      </w:r>
      <w:r w:rsidR="00266D66" w:rsidRPr="00B86E9B">
        <w:rPr>
          <w:sz w:val="28"/>
          <w:szCs w:val="28"/>
        </w:rPr>
        <w:t xml:space="preserve"> Atbilstoši Finanšu ministrijas sniegtai prez</w:t>
      </w:r>
      <w:r w:rsidR="007160AC" w:rsidRPr="00B86E9B">
        <w:rPr>
          <w:sz w:val="28"/>
          <w:szCs w:val="28"/>
        </w:rPr>
        <w:t xml:space="preserve">entācijai Ministru kabinetā </w:t>
      </w:r>
      <w:r w:rsidR="00266D66" w:rsidRPr="00B86E9B">
        <w:rPr>
          <w:sz w:val="28"/>
          <w:szCs w:val="28"/>
        </w:rPr>
        <w:t>2014.gada budžeta projekta sagatavošanas</w:t>
      </w:r>
      <w:r w:rsidR="007160AC" w:rsidRPr="00B86E9B">
        <w:rPr>
          <w:sz w:val="28"/>
          <w:szCs w:val="28"/>
        </w:rPr>
        <w:t xml:space="preserve"> procesā</w:t>
      </w:r>
      <w:r w:rsidR="00266D66" w:rsidRPr="00B86E9B">
        <w:rPr>
          <w:sz w:val="28"/>
          <w:szCs w:val="28"/>
        </w:rPr>
        <w:t>, skatoties vispārējās valdības izdevumus veselības funkcijām Eiropā % no IKP, La</w:t>
      </w:r>
      <w:r w:rsidR="000D777C" w:rsidRPr="00B86E9B">
        <w:rPr>
          <w:sz w:val="28"/>
          <w:szCs w:val="28"/>
        </w:rPr>
        <w:t>tvija</w:t>
      </w:r>
      <w:r w:rsidR="00017CF4" w:rsidRPr="00B86E9B">
        <w:rPr>
          <w:sz w:val="28"/>
          <w:szCs w:val="28"/>
        </w:rPr>
        <w:t xml:space="preserve"> </w:t>
      </w:r>
      <w:r w:rsidR="002B0022" w:rsidRPr="00B86E9B">
        <w:rPr>
          <w:sz w:val="28"/>
          <w:szCs w:val="28"/>
        </w:rPr>
        <w:t>2011.gadā bija</w:t>
      </w:r>
      <w:r w:rsidR="00017CF4" w:rsidRPr="00B86E9B">
        <w:rPr>
          <w:sz w:val="28"/>
          <w:szCs w:val="28"/>
        </w:rPr>
        <w:t xml:space="preserve"> 3.vietā no beigām 29</w:t>
      </w:r>
      <w:r w:rsidR="00266D66" w:rsidRPr="00B86E9B">
        <w:rPr>
          <w:sz w:val="28"/>
          <w:szCs w:val="28"/>
        </w:rPr>
        <w:t xml:space="preserve"> valstu vidū</w:t>
      </w:r>
      <w:r w:rsidR="00742A0D" w:rsidRPr="00B86E9B">
        <w:rPr>
          <w:sz w:val="28"/>
          <w:szCs w:val="28"/>
        </w:rPr>
        <w:t xml:space="preserve"> (skatīt grafiku Nr.3)</w:t>
      </w:r>
      <w:r w:rsidR="00266D66" w:rsidRPr="00B86E9B">
        <w:rPr>
          <w:sz w:val="28"/>
          <w:szCs w:val="28"/>
        </w:rPr>
        <w:t>.</w:t>
      </w:r>
      <w:r w:rsidR="00742A0D" w:rsidRPr="00B86E9B">
        <w:rPr>
          <w:sz w:val="28"/>
          <w:szCs w:val="28"/>
        </w:rPr>
        <w:t xml:space="preserve"> Atbilstoši Pasaules Veselības</w:t>
      </w:r>
      <w:r w:rsidR="00266D66" w:rsidRPr="00B86E9B">
        <w:rPr>
          <w:sz w:val="28"/>
          <w:szCs w:val="28"/>
        </w:rPr>
        <w:t xml:space="preserve"> </w:t>
      </w:r>
      <w:r w:rsidR="00742A0D" w:rsidRPr="00B86E9B">
        <w:rPr>
          <w:sz w:val="28"/>
          <w:szCs w:val="28"/>
        </w:rPr>
        <w:t>organizācijas datiem par valstu vispārējas valdības izdevumiem veselībai % no kopējiem valdības izdevumiem</w:t>
      </w:r>
      <w:r w:rsidR="000D777C" w:rsidRPr="00B86E9B">
        <w:rPr>
          <w:sz w:val="28"/>
          <w:szCs w:val="28"/>
        </w:rPr>
        <w:t xml:space="preserve"> Eiropas Savienības un Eiropas Ekon</w:t>
      </w:r>
      <w:r w:rsidR="006375E9" w:rsidRPr="00B86E9B">
        <w:rPr>
          <w:sz w:val="28"/>
          <w:szCs w:val="28"/>
        </w:rPr>
        <w:t>omiskās zonas valstīs Latvija 2011.gadā bija</w:t>
      </w:r>
      <w:r w:rsidR="000D777C" w:rsidRPr="00B86E9B">
        <w:rPr>
          <w:sz w:val="28"/>
          <w:szCs w:val="28"/>
        </w:rPr>
        <w:t xml:space="preserve"> 2.vietā no beigām 30 valstu vidū (skatīt grafiku Nr.4).</w:t>
      </w:r>
    </w:p>
    <w:p w:rsidR="00266D66" w:rsidRPr="00B86E9B" w:rsidRDefault="00266D66" w:rsidP="00266D66">
      <w:pPr>
        <w:ind w:firstLine="720"/>
        <w:jc w:val="both"/>
        <w:rPr>
          <w:sz w:val="28"/>
          <w:szCs w:val="28"/>
        </w:rPr>
      </w:pPr>
    </w:p>
    <w:p w:rsidR="00266D66" w:rsidRPr="00B86E9B" w:rsidRDefault="00266D66" w:rsidP="00266D66">
      <w:pPr>
        <w:jc w:val="center"/>
        <w:rPr>
          <w:sz w:val="28"/>
          <w:szCs w:val="28"/>
        </w:rPr>
      </w:pPr>
      <w:r w:rsidRPr="00B86E9B">
        <w:rPr>
          <w:noProof/>
          <w:sz w:val="28"/>
          <w:szCs w:val="28"/>
          <w:lang w:eastAsia="lv-LV"/>
        </w:rPr>
        <w:lastRenderedPageBreak/>
        <w:drawing>
          <wp:inline distT="0" distB="0" distL="0" distR="0">
            <wp:extent cx="5686425" cy="28956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D66" w:rsidRPr="00B86E9B" w:rsidRDefault="00266D66" w:rsidP="00266D66">
      <w:pPr>
        <w:jc w:val="both"/>
        <w:rPr>
          <w:i/>
          <w:sz w:val="28"/>
          <w:szCs w:val="28"/>
        </w:rPr>
      </w:pPr>
      <w:r w:rsidRPr="00B86E9B">
        <w:rPr>
          <w:i/>
          <w:sz w:val="28"/>
          <w:szCs w:val="28"/>
        </w:rPr>
        <w:t>Grafiks Nr.3, Vispārējās valdības izdevumi veselības funkcijām Eiropā 2011.gadā, % no IKP</w:t>
      </w:r>
    </w:p>
    <w:p w:rsidR="00266D66" w:rsidRPr="00B86E9B" w:rsidRDefault="00266D66" w:rsidP="00774EBF">
      <w:pPr>
        <w:ind w:firstLine="720"/>
        <w:jc w:val="both"/>
        <w:rPr>
          <w:sz w:val="28"/>
          <w:szCs w:val="28"/>
          <w:lang w:bidi="lo-LA"/>
        </w:rPr>
      </w:pPr>
    </w:p>
    <w:p w:rsidR="002B0022" w:rsidRPr="00B86E9B" w:rsidRDefault="002B0022" w:rsidP="002B0022">
      <w:pPr>
        <w:jc w:val="center"/>
        <w:rPr>
          <w:sz w:val="28"/>
          <w:szCs w:val="28"/>
          <w:lang w:bidi="lo-LA"/>
        </w:rPr>
      </w:pPr>
      <w:r w:rsidRPr="00B86E9B">
        <w:rPr>
          <w:noProof/>
          <w:sz w:val="28"/>
          <w:szCs w:val="28"/>
          <w:lang w:eastAsia="lv-LV"/>
        </w:rPr>
        <w:drawing>
          <wp:inline distT="0" distB="0" distL="0" distR="0">
            <wp:extent cx="5781675" cy="3543300"/>
            <wp:effectExtent l="19050" t="0" r="9525" b="0"/>
            <wp:docPr id="5"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022" w:rsidRPr="00B86E9B" w:rsidRDefault="002B0022" w:rsidP="002B0022">
      <w:pPr>
        <w:jc w:val="both"/>
        <w:rPr>
          <w:i/>
          <w:sz w:val="28"/>
          <w:szCs w:val="28"/>
          <w:lang w:bidi="lo-LA"/>
        </w:rPr>
      </w:pPr>
      <w:r w:rsidRPr="00B86E9B">
        <w:rPr>
          <w:i/>
          <w:sz w:val="28"/>
          <w:szCs w:val="28"/>
          <w:lang w:bidi="lo-LA"/>
        </w:rPr>
        <w:t xml:space="preserve">Grafiks Nr.4, </w:t>
      </w:r>
      <w:r w:rsidRPr="00B86E9B">
        <w:rPr>
          <w:i/>
          <w:sz w:val="28"/>
          <w:szCs w:val="28"/>
        </w:rPr>
        <w:t>Vispārējas valdības izdevumi veselībai % no kopējiem valdības izdevumiem Eiropas Savienības un Eiropas Ekonomiskās zonas valstīs 2011.gadā</w:t>
      </w:r>
    </w:p>
    <w:p w:rsidR="002B0022" w:rsidRPr="00B86E9B" w:rsidRDefault="002B0022" w:rsidP="00774EBF">
      <w:pPr>
        <w:ind w:firstLine="720"/>
        <w:jc w:val="both"/>
        <w:rPr>
          <w:sz w:val="28"/>
          <w:szCs w:val="28"/>
          <w:lang w:bidi="lo-LA"/>
        </w:rPr>
      </w:pPr>
    </w:p>
    <w:p w:rsidR="00D425E3" w:rsidRPr="00B86E9B" w:rsidRDefault="00774EBF" w:rsidP="00774EBF">
      <w:pPr>
        <w:ind w:firstLine="720"/>
        <w:jc w:val="both"/>
        <w:rPr>
          <w:sz w:val="28"/>
          <w:szCs w:val="28"/>
        </w:rPr>
      </w:pPr>
      <w:r w:rsidRPr="00B86E9B">
        <w:rPr>
          <w:sz w:val="28"/>
          <w:szCs w:val="28"/>
          <w:lang w:bidi="lo-LA"/>
        </w:rPr>
        <w:t>Uzskatām, ka Ministru kabineta 2012.gada 27.marta sēdes protokola Nr.17 20.</w:t>
      </w:r>
      <w:r w:rsidRPr="00B86E9B">
        <w:rPr>
          <w:sz w:val="28"/>
          <w:szCs w:val="28"/>
        </w:rPr>
        <w:t xml:space="preserve">§ 4.punkta prasības  </w:t>
      </w:r>
      <w:r w:rsidRPr="00B86E9B">
        <w:rPr>
          <w:sz w:val="28"/>
          <w:szCs w:val="28"/>
          <w:lang w:eastAsia="lv-LV"/>
        </w:rPr>
        <w:t>Veselības ministrijai kā valsts kapitāla daļu turētājai nodrošināt,</w:t>
      </w:r>
      <w:r w:rsidR="0052226B" w:rsidRPr="00B86E9B">
        <w:rPr>
          <w:sz w:val="28"/>
          <w:szCs w:val="28"/>
          <w:lang w:eastAsia="lv-LV"/>
        </w:rPr>
        <w:t xml:space="preserve"> lai veselības nozares mazajās K</w:t>
      </w:r>
      <w:r w:rsidRPr="00B86E9B">
        <w:rPr>
          <w:sz w:val="28"/>
          <w:szCs w:val="28"/>
          <w:lang w:eastAsia="lv-LV"/>
        </w:rPr>
        <w:t>apitālsabiedrībās no 2012.gada 31.d</w:t>
      </w:r>
      <w:r w:rsidR="0052226B" w:rsidRPr="00B86E9B">
        <w:rPr>
          <w:sz w:val="28"/>
          <w:szCs w:val="28"/>
          <w:lang w:eastAsia="lv-LV"/>
        </w:rPr>
        <w:t>ecembra un vidējās un lielajās K</w:t>
      </w:r>
      <w:r w:rsidRPr="00B86E9B">
        <w:rPr>
          <w:sz w:val="28"/>
          <w:szCs w:val="28"/>
          <w:lang w:eastAsia="lv-LV"/>
        </w:rPr>
        <w:t xml:space="preserve">apitālsabiedrībās no 2013.gada 31.decembra tiktu sasniegts bezdeficīta budžets, pozitīva (sabalansēta) naudas </w:t>
      </w:r>
      <w:r w:rsidRPr="00B86E9B">
        <w:rPr>
          <w:sz w:val="28"/>
          <w:szCs w:val="28"/>
          <w:lang w:eastAsia="lv-LV"/>
        </w:rPr>
        <w:lastRenderedPageBreak/>
        <w:t xml:space="preserve">plūsma, pozitīvs rentabilitātes rādītājs un likviditātes koeficients ne mazāks par 1,00, nav pilnībā sasniedzams, ja netiek palielināts </w:t>
      </w:r>
      <w:r w:rsidR="0052226B" w:rsidRPr="00B86E9B">
        <w:rPr>
          <w:sz w:val="28"/>
          <w:szCs w:val="28"/>
          <w:lang w:eastAsia="lv-LV"/>
        </w:rPr>
        <w:t>veselības aprūpes budžeta finansējums, jo K</w:t>
      </w:r>
      <w:r w:rsidRPr="00B86E9B">
        <w:rPr>
          <w:sz w:val="28"/>
          <w:szCs w:val="28"/>
          <w:lang w:eastAsia="lv-LV"/>
        </w:rPr>
        <w:t>apitālsabiedrību īstenotie optimizācijas un restrukturizācijas pasākumi, kas uzsākti 2012.gadā, jūtamu ietekmi uz finanšu darbības rezultātiem varētu dot 3 – 5 gadu laikā.</w:t>
      </w:r>
    </w:p>
    <w:p w:rsidR="00774EBF" w:rsidRPr="00B86E9B" w:rsidRDefault="00774EBF" w:rsidP="005E534D">
      <w:pPr>
        <w:jc w:val="both"/>
        <w:rPr>
          <w:sz w:val="28"/>
          <w:szCs w:val="28"/>
        </w:rPr>
      </w:pPr>
    </w:p>
    <w:p w:rsidR="00D425E3" w:rsidRPr="00B86E9B" w:rsidRDefault="00D425E3" w:rsidP="005E534D">
      <w:pPr>
        <w:jc w:val="both"/>
        <w:rPr>
          <w:sz w:val="28"/>
          <w:szCs w:val="28"/>
        </w:rPr>
      </w:pPr>
    </w:p>
    <w:p w:rsidR="00032BB9" w:rsidRDefault="00032BB9" w:rsidP="00032BB9">
      <w:pPr>
        <w:rPr>
          <w:sz w:val="28"/>
          <w:szCs w:val="28"/>
        </w:rPr>
      </w:pPr>
      <w:r w:rsidRPr="00405D3F">
        <w:rPr>
          <w:sz w:val="28"/>
          <w:szCs w:val="28"/>
        </w:rPr>
        <w:t>Veselīb</w:t>
      </w:r>
      <w:r>
        <w:rPr>
          <w:sz w:val="28"/>
          <w:szCs w:val="28"/>
        </w:rPr>
        <w:t>as ministra vietā</w:t>
      </w:r>
    </w:p>
    <w:p w:rsidR="0062138D" w:rsidRPr="00566D20" w:rsidRDefault="00566D20" w:rsidP="00566D20">
      <w:pPr>
        <w:rPr>
          <w:sz w:val="28"/>
          <w:szCs w:val="28"/>
        </w:rPr>
      </w:pPr>
      <w:r w:rsidRPr="00566D20">
        <w:rPr>
          <w:sz w:val="28"/>
          <w:szCs w:val="28"/>
        </w:rPr>
        <w:t>Ministru prezidente</w:t>
      </w:r>
      <w:r w:rsidRPr="00566D20">
        <w:rPr>
          <w:sz w:val="28"/>
          <w:szCs w:val="28"/>
        </w:rPr>
        <w:tab/>
      </w:r>
      <w:r w:rsidRPr="00566D20">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566D20">
        <w:rPr>
          <w:sz w:val="28"/>
          <w:szCs w:val="28"/>
        </w:rPr>
        <w:t>L.Straujuma</w:t>
      </w:r>
    </w:p>
    <w:p w:rsidR="00032BB9" w:rsidRPr="00B86E9B" w:rsidRDefault="00032BB9" w:rsidP="005E534D">
      <w:pPr>
        <w:jc w:val="both"/>
        <w:rPr>
          <w:sz w:val="22"/>
          <w:szCs w:val="22"/>
        </w:rPr>
      </w:pPr>
    </w:p>
    <w:p w:rsidR="00566D20" w:rsidRDefault="00566D20" w:rsidP="005E534D">
      <w:pPr>
        <w:jc w:val="both"/>
        <w:rPr>
          <w:sz w:val="22"/>
          <w:szCs w:val="22"/>
        </w:rPr>
      </w:pPr>
    </w:p>
    <w:p w:rsidR="00032BB9" w:rsidRDefault="00F23FB3" w:rsidP="005E534D">
      <w:pPr>
        <w:jc w:val="both"/>
        <w:rPr>
          <w:sz w:val="22"/>
          <w:szCs w:val="22"/>
        </w:rPr>
      </w:pPr>
      <w:r>
        <w:rPr>
          <w:sz w:val="22"/>
          <w:szCs w:val="22"/>
        </w:rPr>
        <w:t>16.05.2014 14:35</w:t>
      </w:r>
    </w:p>
    <w:p w:rsidR="00C57682" w:rsidRPr="00B86E9B" w:rsidRDefault="00F23FB3" w:rsidP="005E534D">
      <w:pPr>
        <w:jc w:val="both"/>
        <w:rPr>
          <w:sz w:val="22"/>
          <w:szCs w:val="22"/>
        </w:rPr>
      </w:pPr>
      <w:r>
        <w:rPr>
          <w:sz w:val="22"/>
          <w:szCs w:val="22"/>
        </w:rPr>
        <w:t>13 941</w:t>
      </w:r>
    </w:p>
    <w:p w:rsidR="00D425E3" w:rsidRPr="00B86E9B" w:rsidRDefault="00D425E3" w:rsidP="005E534D">
      <w:pPr>
        <w:jc w:val="both"/>
        <w:rPr>
          <w:sz w:val="22"/>
          <w:szCs w:val="22"/>
        </w:rPr>
      </w:pPr>
      <w:r w:rsidRPr="00B86E9B">
        <w:rPr>
          <w:sz w:val="22"/>
          <w:szCs w:val="22"/>
        </w:rPr>
        <w:t>I.Andersone, 67876187</w:t>
      </w:r>
    </w:p>
    <w:p w:rsidR="0068721C" w:rsidRPr="00B86E9B" w:rsidRDefault="00C500F4" w:rsidP="005E534D">
      <w:pPr>
        <w:jc w:val="both"/>
        <w:rPr>
          <w:sz w:val="22"/>
          <w:szCs w:val="22"/>
        </w:rPr>
      </w:pPr>
      <w:hyperlink r:id="rId12" w:history="1">
        <w:r w:rsidR="0068721C" w:rsidRPr="00B86E9B">
          <w:rPr>
            <w:rStyle w:val="Hipersaite"/>
            <w:sz w:val="22"/>
            <w:szCs w:val="22"/>
          </w:rPr>
          <w:t>Inese.Andersone@vm.gov.lv</w:t>
        </w:r>
      </w:hyperlink>
    </w:p>
    <w:p w:rsidR="0068721C" w:rsidRPr="00B86E9B" w:rsidRDefault="0068721C" w:rsidP="005E534D">
      <w:pPr>
        <w:jc w:val="both"/>
        <w:rPr>
          <w:sz w:val="22"/>
          <w:szCs w:val="22"/>
        </w:rPr>
      </w:pPr>
    </w:p>
    <w:p w:rsidR="0068721C" w:rsidRPr="00B86E9B" w:rsidRDefault="0068721C" w:rsidP="005E534D">
      <w:pPr>
        <w:jc w:val="both"/>
        <w:rPr>
          <w:sz w:val="22"/>
          <w:szCs w:val="22"/>
        </w:rPr>
      </w:pPr>
      <w:proofErr w:type="spellStart"/>
      <w:r w:rsidRPr="00B86E9B">
        <w:rPr>
          <w:sz w:val="22"/>
          <w:szCs w:val="22"/>
        </w:rPr>
        <w:t>K.Karpovs</w:t>
      </w:r>
      <w:proofErr w:type="spellEnd"/>
      <w:r w:rsidRPr="00B86E9B">
        <w:rPr>
          <w:sz w:val="22"/>
          <w:szCs w:val="22"/>
        </w:rPr>
        <w:t>, 67876036</w:t>
      </w:r>
    </w:p>
    <w:p w:rsidR="0068721C" w:rsidRPr="00B86E9B" w:rsidRDefault="00C500F4" w:rsidP="005E534D">
      <w:pPr>
        <w:jc w:val="both"/>
        <w:rPr>
          <w:sz w:val="22"/>
          <w:szCs w:val="22"/>
        </w:rPr>
      </w:pPr>
      <w:hyperlink r:id="rId13" w:history="1">
        <w:r w:rsidR="0068721C" w:rsidRPr="00B86E9B">
          <w:rPr>
            <w:rStyle w:val="Hipersaite"/>
            <w:sz w:val="22"/>
            <w:szCs w:val="22"/>
          </w:rPr>
          <w:t>Konstantins.Karpovs@vm.gov.lv</w:t>
        </w:r>
      </w:hyperlink>
    </w:p>
    <w:p w:rsidR="0068721C" w:rsidRPr="00B86E9B" w:rsidRDefault="0068721C" w:rsidP="005E534D">
      <w:pPr>
        <w:jc w:val="both"/>
        <w:rPr>
          <w:sz w:val="22"/>
          <w:szCs w:val="22"/>
        </w:rPr>
      </w:pPr>
    </w:p>
    <w:p w:rsidR="0068721C" w:rsidRPr="00B86E9B" w:rsidRDefault="0068721C" w:rsidP="005E534D">
      <w:pPr>
        <w:jc w:val="both"/>
        <w:rPr>
          <w:sz w:val="22"/>
          <w:szCs w:val="22"/>
        </w:rPr>
      </w:pPr>
      <w:proofErr w:type="spellStart"/>
      <w:r w:rsidRPr="00B86E9B">
        <w:rPr>
          <w:sz w:val="22"/>
          <w:szCs w:val="22"/>
        </w:rPr>
        <w:t>A.Rengarte</w:t>
      </w:r>
      <w:proofErr w:type="spellEnd"/>
      <w:r w:rsidRPr="00B86E9B">
        <w:rPr>
          <w:sz w:val="22"/>
          <w:szCs w:val="22"/>
        </w:rPr>
        <w:t>, 67876028</w:t>
      </w:r>
    </w:p>
    <w:p w:rsidR="00F44624" w:rsidRPr="008E5782" w:rsidRDefault="00C500F4" w:rsidP="008E5782">
      <w:pPr>
        <w:jc w:val="both"/>
        <w:rPr>
          <w:sz w:val="22"/>
          <w:szCs w:val="22"/>
        </w:rPr>
      </w:pPr>
      <w:hyperlink r:id="rId14" w:history="1">
        <w:r w:rsidR="00C57682" w:rsidRPr="00B86E9B">
          <w:rPr>
            <w:rStyle w:val="Hipersaite"/>
            <w:sz w:val="22"/>
            <w:szCs w:val="22"/>
          </w:rPr>
          <w:t>Agita.Rengarte@vm.gov.lv</w:t>
        </w:r>
      </w:hyperlink>
    </w:p>
    <w:sectPr w:rsidR="00F44624" w:rsidRPr="008E5782" w:rsidSect="00B774EE">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CD" w:rsidRDefault="00235ACD" w:rsidP="00B774EE">
      <w:r>
        <w:separator/>
      </w:r>
    </w:p>
  </w:endnote>
  <w:endnote w:type="continuationSeparator" w:id="0">
    <w:p w:rsidR="00235ACD" w:rsidRDefault="00235ACD" w:rsidP="00B77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D" w:rsidRDefault="001B56FC">
    <w:pPr>
      <w:pStyle w:val="Kjene"/>
    </w:pPr>
    <w:r>
      <w:t>VMzino_1605</w:t>
    </w:r>
    <w:r w:rsidR="00235ACD">
      <w:t xml:space="preserve">14_KS_zaud; </w:t>
    </w:r>
    <w:r w:rsidR="00235ACD" w:rsidRPr="00C341A0">
      <w:t>Informatīvais ziņojums par kapitālsabiedrībām, kurās Veselības ministrija ir kapitāla daļu turētāja, kas 2012.gadu ir noslēgušas ar zaudējumiem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D" w:rsidRPr="00C341A0" w:rsidRDefault="001B56FC">
    <w:pPr>
      <w:pStyle w:val="Kjene"/>
    </w:pPr>
    <w:r>
      <w:t>VMzino_1605</w:t>
    </w:r>
    <w:r w:rsidR="00235ACD">
      <w:t xml:space="preserve">14_KS_zaud; </w:t>
    </w:r>
    <w:r w:rsidR="00235ACD" w:rsidRPr="00C341A0">
      <w:t>Informatīvais ziņojums par kapitālsabiedrībām, kurās Veselības ministrija ir kapitāla daļu turētāja, kas 2012.gadu ir noslēgušas ar zaudējumiem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CD" w:rsidRDefault="00235ACD" w:rsidP="00B774EE">
      <w:r>
        <w:separator/>
      </w:r>
    </w:p>
  </w:footnote>
  <w:footnote w:type="continuationSeparator" w:id="0">
    <w:p w:rsidR="00235ACD" w:rsidRDefault="00235ACD" w:rsidP="00B774EE">
      <w:r>
        <w:continuationSeparator/>
      </w:r>
    </w:p>
  </w:footnote>
  <w:footnote w:id="1">
    <w:p w:rsidR="00235ACD" w:rsidRPr="007F005C" w:rsidRDefault="00235ACD" w:rsidP="006450EF">
      <w:pPr>
        <w:jc w:val="both"/>
      </w:pPr>
      <w:r>
        <w:rPr>
          <w:rStyle w:val="Vresatsauce"/>
          <w:rFonts w:eastAsia="Calibri"/>
        </w:rPr>
        <w:footnoteRef/>
      </w:r>
      <w:r>
        <w:t xml:space="preserve"> Ainaži - </w:t>
      </w:r>
      <w:r w:rsidRPr="007F005C">
        <w:t>VSIA „Bērnu psihoneiroloģiskā slimnīca „Ainaži””;</w:t>
      </w:r>
    </w:p>
    <w:p w:rsidR="00235ACD" w:rsidRPr="007F005C" w:rsidRDefault="00235ACD" w:rsidP="006450EF">
      <w:pPr>
        <w:jc w:val="both"/>
      </w:pPr>
      <w:r>
        <w:t xml:space="preserve">Aknīste - </w:t>
      </w:r>
      <w:r w:rsidRPr="007F005C">
        <w:t>VSIA „Aknīstes psihoneiroloģiskā slimnīca”;</w:t>
      </w:r>
    </w:p>
    <w:p w:rsidR="00235ACD" w:rsidRPr="007F005C" w:rsidRDefault="00235ACD" w:rsidP="006450EF">
      <w:pPr>
        <w:jc w:val="both"/>
      </w:pPr>
      <w:r>
        <w:t xml:space="preserve">BKUS - </w:t>
      </w:r>
      <w:r w:rsidRPr="007F005C">
        <w:t>VSIA „Bērnu klīniskā universitātes slimnīca”;</w:t>
      </w:r>
    </w:p>
    <w:p w:rsidR="00235ACD" w:rsidRPr="007F005C" w:rsidRDefault="00235ACD" w:rsidP="006450EF">
      <w:pPr>
        <w:jc w:val="both"/>
      </w:pPr>
      <w:r>
        <w:t xml:space="preserve">DPNS - </w:t>
      </w:r>
      <w:r w:rsidRPr="007F005C">
        <w:t>VSIA „Daugavpils psihoneiroloģiskā slimnīca”;</w:t>
      </w:r>
    </w:p>
    <w:p w:rsidR="00235ACD" w:rsidRPr="007F005C" w:rsidRDefault="00235ACD" w:rsidP="006450EF">
      <w:pPr>
        <w:jc w:val="both"/>
      </w:pPr>
      <w:proofErr w:type="spellStart"/>
      <w:r>
        <w:t>Ģintermuiža</w:t>
      </w:r>
      <w:proofErr w:type="spellEnd"/>
      <w:r>
        <w:t xml:space="preserve"> - </w:t>
      </w:r>
      <w:r w:rsidRPr="007F005C">
        <w:t>VSIA „Slimnīca „</w:t>
      </w:r>
      <w:proofErr w:type="spellStart"/>
      <w:r w:rsidRPr="007F005C">
        <w:t>Ģintermuiža</w:t>
      </w:r>
      <w:proofErr w:type="spellEnd"/>
      <w:r w:rsidRPr="007F005C">
        <w:t>””;</w:t>
      </w:r>
    </w:p>
    <w:p w:rsidR="00235ACD" w:rsidRPr="007F005C" w:rsidRDefault="00235ACD" w:rsidP="006450EF">
      <w:pPr>
        <w:jc w:val="both"/>
      </w:pPr>
      <w:r>
        <w:t xml:space="preserve">Piejūra - </w:t>
      </w:r>
      <w:r w:rsidRPr="007F005C">
        <w:t xml:space="preserve">VSIA „Piejūras slimnīca”; </w:t>
      </w:r>
    </w:p>
    <w:p w:rsidR="00235ACD" w:rsidRPr="007F005C" w:rsidRDefault="00235ACD" w:rsidP="006450EF">
      <w:pPr>
        <w:jc w:val="both"/>
      </w:pPr>
      <w:r>
        <w:t xml:space="preserve">PSKUS - </w:t>
      </w:r>
      <w:r w:rsidRPr="007F005C">
        <w:t>VSIA „Paula Stradiņa klīniskā universitātes slimnīca”;</w:t>
      </w:r>
    </w:p>
    <w:p w:rsidR="00235ACD" w:rsidRPr="007F005C" w:rsidRDefault="00235ACD" w:rsidP="006450EF">
      <w:pPr>
        <w:jc w:val="both"/>
      </w:pPr>
      <w:r>
        <w:t xml:space="preserve">RAKUS - </w:t>
      </w:r>
      <w:r w:rsidRPr="007F005C">
        <w:t xml:space="preserve">SIA „Rīgas Austrumu klīniskā universitātes slimnīca”; </w:t>
      </w:r>
    </w:p>
    <w:p w:rsidR="00235ACD" w:rsidRPr="007F005C" w:rsidRDefault="00235ACD" w:rsidP="006450EF">
      <w:pPr>
        <w:jc w:val="both"/>
      </w:pPr>
      <w:r>
        <w:t xml:space="preserve">RPNC - </w:t>
      </w:r>
      <w:r w:rsidRPr="007F005C">
        <w:t xml:space="preserve">VSIA „Rīgas psihiatrijas un narkoloģijas centrs”; </w:t>
      </w:r>
    </w:p>
    <w:p w:rsidR="00235ACD" w:rsidRPr="007F005C" w:rsidRDefault="00235ACD" w:rsidP="006450EF">
      <w:pPr>
        <w:jc w:val="both"/>
      </w:pPr>
      <w:r>
        <w:t xml:space="preserve">Straupe - </w:t>
      </w:r>
      <w:r w:rsidRPr="007F005C">
        <w:t>VSIA „Straupes narkoloģiskā slimnīca”;</w:t>
      </w:r>
    </w:p>
    <w:p w:rsidR="00235ACD" w:rsidRPr="007F005C" w:rsidRDefault="00235ACD" w:rsidP="006450EF">
      <w:pPr>
        <w:jc w:val="both"/>
      </w:pPr>
      <w:r>
        <w:t xml:space="preserve">SPS - </w:t>
      </w:r>
      <w:r w:rsidRPr="007F005C">
        <w:t>VSIA „Strenču psihoneiroloģiskā slimnīca”;</w:t>
      </w:r>
    </w:p>
    <w:p w:rsidR="00235ACD" w:rsidRPr="007F005C" w:rsidRDefault="00235ACD" w:rsidP="006450EF">
      <w:pPr>
        <w:jc w:val="both"/>
      </w:pPr>
      <w:r>
        <w:t xml:space="preserve">TOS - </w:t>
      </w:r>
      <w:r w:rsidRPr="007F005C">
        <w:t>VSIA „Traumatoloģijas un ortopēdijas slimnīca”;</w:t>
      </w:r>
    </w:p>
    <w:p w:rsidR="00235ACD" w:rsidRPr="007F005C" w:rsidRDefault="00235ACD" w:rsidP="006450EF">
      <w:pPr>
        <w:jc w:val="both"/>
      </w:pPr>
      <w:r>
        <w:t xml:space="preserve">Vaivari - </w:t>
      </w:r>
      <w:r w:rsidRPr="007F005C">
        <w:t>VSIA „Nacionālais rehabilitācijas centrs „Vaivari””</w:t>
      </w:r>
      <w:r>
        <w:t>.</w:t>
      </w:r>
    </w:p>
    <w:p w:rsidR="00235ACD" w:rsidRPr="007F005C" w:rsidRDefault="00235ACD" w:rsidP="006450EF">
      <w:pPr>
        <w:pStyle w:val="Vresteksts"/>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86782"/>
      <w:docPartObj>
        <w:docPartGallery w:val="Page Numbers (Top of Page)"/>
        <w:docPartUnique/>
      </w:docPartObj>
    </w:sdtPr>
    <w:sdtContent>
      <w:p w:rsidR="00235ACD" w:rsidRDefault="00C500F4">
        <w:pPr>
          <w:pStyle w:val="Galvene"/>
          <w:jc w:val="center"/>
        </w:pPr>
        <w:fldSimple w:instr=" PAGE   \* MERGEFORMAT ">
          <w:r w:rsidR="00F23FB3">
            <w:rPr>
              <w:noProof/>
            </w:rPr>
            <w:t>48</w:t>
          </w:r>
        </w:fldSimple>
      </w:p>
    </w:sdtContent>
  </w:sdt>
  <w:p w:rsidR="00235ACD" w:rsidRDefault="00235AC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A7E"/>
    <w:multiLevelType w:val="hybridMultilevel"/>
    <w:tmpl w:val="97E2681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D496465"/>
    <w:multiLevelType w:val="multilevel"/>
    <w:tmpl w:val="ED1A82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AD67A2"/>
    <w:multiLevelType w:val="multilevel"/>
    <w:tmpl w:val="ED1A82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135A5B"/>
    <w:multiLevelType w:val="hybridMultilevel"/>
    <w:tmpl w:val="61268E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5533BA"/>
    <w:multiLevelType w:val="hybridMultilevel"/>
    <w:tmpl w:val="7512A78A"/>
    <w:lvl w:ilvl="0" w:tplc="06180DC4">
      <w:start w:val="2013"/>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A7B2138"/>
    <w:multiLevelType w:val="multilevel"/>
    <w:tmpl w:val="033C7C04"/>
    <w:lvl w:ilvl="0">
      <w:start w:val="5"/>
      <w:numFmt w:val="decimal"/>
      <w:lvlText w:val="%1."/>
      <w:lvlJc w:val="left"/>
      <w:pPr>
        <w:ind w:left="450" w:hanging="450"/>
      </w:pPr>
      <w:rPr>
        <w:rFonts w:hint="default"/>
        <w:b/>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27B1156"/>
    <w:multiLevelType w:val="hybridMultilevel"/>
    <w:tmpl w:val="555E5F50"/>
    <w:lvl w:ilvl="0" w:tplc="9E26AA8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DD34123"/>
    <w:multiLevelType w:val="hybridMultilevel"/>
    <w:tmpl w:val="4552A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FA4347"/>
    <w:multiLevelType w:val="multilevel"/>
    <w:tmpl w:val="51A23602"/>
    <w:lvl w:ilvl="0">
      <w:start w:val="5"/>
      <w:numFmt w:val="decimal"/>
      <w:lvlText w:val="%1."/>
      <w:lvlJc w:val="left"/>
      <w:pPr>
        <w:ind w:left="450" w:hanging="450"/>
      </w:pPr>
      <w:rPr>
        <w:rFonts w:hint="default"/>
        <w:b/>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CFA7F03"/>
    <w:multiLevelType w:val="hybridMultilevel"/>
    <w:tmpl w:val="F4340D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EE46A83"/>
    <w:multiLevelType w:val="multilevel"/>
    <w:tmpl w:val="20D62278"/>
    <w:lvl w:ilvl="0">
      <w:start w:val="1"/>
      <w:numFmt w:val="decimal"/>
      <w:lvlText w:val="%1."/>
      <w:lvlJc w:val="left"/>
      <w:pPr>
        <w:ind w:left="1080" w:hanging="360"/>
      </w:pPr>
      <w:rPr>
        <w:rFonts w:ascii="Times New Roman" w:eastAsia="Times New Roman" w:hAnsi="Times New Roman" w:cs="Times New Roman" w:hint="default"/>
        <w:color w:val="auto"/>
      </w:rPr>
    </w:lvl>
    <w:lvl w:ilvl="1">
      <w:start w:val="1"/>
      <w:numFmt w:val="decimal"/>
      <w:isLgl/>
      <w:lvlText w:val="%1.%2."/>
      <w:lvlJc w:val="left"/>
      <w:pPr>
        <w:ind w:left="1797" w:hanging="720"/>
      </w:pPr>
      <w:rPr>
        <w:rFonts w:hint="default"/>
        <w:color w:val="auto"/>
      </w:rPr>
    </w:lvl>
    <w:lvl w:ilvl="2">
      <w:start w:val="1"/>
      <w:numFmt w:val="decimal"/>
      <w:isLgl/>
      <w:lvlText w:val="%1.%2.%3."/>
      <w:lvlJc w:val="left"/>
      <w:pPr>
        <w:ind w:left="2154" w:hanging="720"/>
      </w:pPr>
      <w:rPr>
        <w:rFonts w:hint="default"/>
        <w:color w:val="auto"/>
      </w:rPr>
    </w:lvl>
    <w:lvl w:ilvl="3">
      <w:start w:val="1"/>
      <w:numFmt w:val="decimal"/>
      <w:isLgl/>
      <w:lvlText w:val="%1.%2.%3.%4."/>
      <w:lvlJc w:val="left"/>
      <w:pPr>
        <w:ind w:left="2871" w:hanging="1080"/>
      </w:pPr>
      <w:rPr>
        <w:rFonts w:hint="default"/>
        <w:color w:val="auto"/>
      </w:rPr>
    </w:lvl>
    <w:lvl w:ilvl="4">
      <w:start w:val="1"/>
      <w:numFmt w:val="decimal"/>
      <w:isLgl/>
      <w:lvlText w:val="%1.%2.%3.%4.%5."/>
      <w:lvlJc w:val="left"/>
      <w:pPr>
        <w:ind w:left="3228" w:hanging="1080"/>
      </w:pPr>
      <w:rPr>
        <w:rFonts w:hint="default"/>
        <w:color w:val="auto"/>
      </w:rPr>
    </w:lvl>
    <w:lvl w:ilvl="5">
      <w:start w:val="1"/>
      <w:numFmt w:val="decimal"/>
      <w:isLgl/>
      <w:lvlText w:val="%1.%2.%3.%4.%5.%6."/>
      <w:lvlJc w:val="left"/>
      <w:pPr>
        <w:ind w:left="3945" w:hanging="1440"/>
      </w:pPr>
      <w:rPr>
        <w:rFonts w:hint="default"/>
        <w:color w:val="auto"/>
      </w:rPr>
    </w:lvl>
    <w:lvl w:ilvl="6">
      <w:start w:val="1"/>
      <w:numFmt w:val="decimal"/>
      <w:isLgl/>
      <w:lvlText w:val="%1.%2.%3.%4.%5.%6.%7."/>
      <w:lvlJc w:val="left"/>
      <w:pPr>
        <w:ind w:left="4662" w:hanging="1800"/>
      </w:pPr>
      <w:rPr>
        <w:rFonts w:hint="default"/>
        <w:color w:val="auto"/>
      </w:rPr>
    </w:lvl>
    <w:lvl w:ilvl="7">
      <w:start w:val="1"/>
      <w:numFmt w:val="decimal"/>
      <w:isLgl/>
      <w:lvlText w:val="%1.%2.%3.%4.%5.%6.%7.%8."/>
      <w:lvlJc w:val="left"/>
      <w:pPr>
        <w:ind w:left="5019" w:hanging="1800"/>
      </w:pPr>
      <w:rPr>
        <w:rFonts w:hint="default"/>
        <w:color w:val="auto"/>
      </w:rPr>
    </w:lvl>
    <w:lvl w:ilvl="8">
      <w:start w:val="1"/>
      <w:numFmt w:val="decimal"/>
      <w:isLgl/>
      <w:lvlText w:val="%1.%2.%3.%4.%5.%6.%7.%8.%9."/>
      <w:lvlJc w:val="left"/>
      <w:pPr>
        <w:ind w:left="5736" w:hanging="2160"/>
      </w:pPr>
      <w:rPr>
        <w:rFonts w:hint="default"/>
        <w:color w:val="auto"/>
      </w:rPr>
    </w:lvl>
  </w:abstractNum>
  <w:abstractNum w:abstractNumId="11">
    <w:nsid w:val="49C12830"/>
    <w:multiLevelType w:val="hybridMultilevel"/>
    <w:tmpl w:val="C262B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D12E1C"/>
    <w:multiLevelType w:val="hybridMultilevel"/>
    <w:tmpl w:val="DD882754"/>
    <w:lvl w:ilvl="0" w:tplc="49CA520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1114A72"/>
    <w:multiLevelType w:val="hybridMultilevel"/>
    <w:tmpl w:val="C6C4DD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1D63C0F"/>
    <w:multiLevelType w:val="hybridMultilevel"/>
    <w:tmpl w:val="286AF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9B2E5B"/>
    <w:multiLevelType w:val="multilevel"/>
    <w:tmpl w:val="ED1A82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F52E78"/>
    <w:multiLevelType w:val="multilevel"/>
    <w:tmpl w:val="ED1A82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95F6863"/>
    <w:multiLevelType w:val="hybridMultilevel"/>
    <w:tmpl w:val="F16E8C0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5D514388"/>
    <w:multiLevelType w:val="multilevel"/>
    <w:tmpl w:val="ED1A82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0F31F44"/>
    <w:multiLevelType w:val="hybridMultilevel"/>
    <w:tmpl w:val="8B12D66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08486F"/>
    <w:multiLevelType w:val="hybridMultilevel"/>
    <w:tmpl w:val="67E68120"/>
    <w:lvl w:ilvl="0" w:tplc="49CA5208">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73C3466E"/>
    <w:multiLevelType w:val="hybridMultilevel"/>
    <w:tmpl w:val="795AE476"/>
    <w:lvl w:ilvl="0" w:tplc="9E26AA8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742A34B6"/>
    <w:multiLevelType w:val="hybridMultilevel"/>
    <w:tmpl w:val="DAEC25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784829A5"/>
    <w:multiLevelType w:val="hybridMultilevel"/>
    <w:tmpl w:val="F8FC610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49E8B712">
      <w:start w:val="1"/>
      <w:numFmt w:val="decimal"/>
      <w:lvlText w:val="%3."/>
      <w:lvlJc w:val="left"/>
      <w:pPr>
        <w:ind w:left="1980" w:hanging="360"/>
      </w:pPr>
      <w:rPr>
        <w:rFonts w:hint="default"/>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9911174"/>
    <w:multiLevelType w:val="multilevel"/>
    <w:tmpl w:val="07FCA8A0"/>
    <w:lvl w:ilvl="0">
      <w:start w:val="1"/>
      <w:numFmt w:val="decimal"/>
      <w:pStyle w:val="Virsraksts1"/>
      <w:lvlText w:val="%1."/>
      <w:lvlJc w:val="left"/>
      <w:pPr>
        <w:ind w:left="360" w:hanging="360"/>
      </w:pPr>
      <w:rPr>
        <w:rFonts w:hint="default"/>
        <w:b w:val="0"/>
        <w:u w:val="none"/>
      </w:rPr>
    </w:lvl>
    <w:lvl w:ilvl="1">
      <w:start w:val="1"/>
      <w:numFmt w:val="decimal"/>
      <w:pStyle w:val="Virsraksts2"/>
      <w:isLgl/>
      <w:lvlText w:val="%1.%2."/>
      <w:lvlJc w:val="left"/>
      <w:pPr>
        <w:ind w:left="1571" w:hanging="720"/>
      </w:pPr>
      <w:rPr>
        <w:rFonts w:hint="default"/>
      </w:rPr>
    </w:lvl>
    <w:lvl w:ilvl="2">
      <w:start w:val="1"/>
      <w:numFmt w:val="decimal"/>
      <w:pStyle w:val="Virsraksts3"/>
      <w:isLgl/>
      <w:lvlText w:val="%1.%2.%3."/>
      <w:lvlJc w:val="left"/>
      <w:pPr>
        <w:ind w:left="-1058" w:hanging="720"/>
      </w:pPr>
      <w:rPr>
        <w:rFonts w:hint="default"/>
      </w:rPr>
    </w:lvl>
    <w:lvl w:ilvl="3">
      <w:start w:val="1"/>
      <w:numFmt w:val="decimal"/>
      <w:isLgl/>
      <w:lvlText w:val="%1.%2.%3.%4."/>
      <w:lvlJc w:val="left"/>
      <w:pPr>
        <w:ind w:left="-764" w:hanging="1080"/>
      </w:pPr>
      <w:rPr>
        <w:rFonts w:hint="default"/>
      </w:rPr>
    </w:lvl>
    <w:lvl w:ilvl="4">
      <w:start w:val="1"/>
      <w:numFmt w:val="decimal"/>
      <w:isLgl/>
      <w:lvlText w:val="%1.%2.%3.%4.%5."/>
      <w:lvlJc w:val="left"/>
      <w:pPr>
        <w:ind w:left="-764" w:hanging="1080"/>
      </w:pPr>
      <w:rPr>
        <w:rFonts w:hint="default"/>
      </w:rPr>
    </w:lvl>
    <w:lvl w:ilvl="5">
      <w:start w:val="1"/>
      <w:numFmt w:val="decimal"/>
      <w:isLgl/>
      <w:lvlText w:val="%1.%2.%3.%4.%5.%6."/>
      <w:lvlJc w:val="left"/>
      <w:pPr>
        <w:ind w:left="-404" w:hanging="1440"/>
      </w:pPr>
      <w:rPr>
        <w:rFonts w:hint="default"/>
      </w:rPr>
    </w:lvl>
    <w:lvl w:ilvl="6">
      <w:start w:val="1"/>
      <w:numFmt w:val="decimal"/>
      <w:isLgl/>
      <w:lvlText w:val="%1.%2.%3.%4.%5.%6.%7."/>
      <w:lvlJc w:val="left"/>
      <w:pPr>
        <w:ind w:left="-44" w:hanging="1800"/>
      </w:pPr>
      <w:rPr>
        <w:rFonts w:hint="default"/>
      </w:rPr>
    </w:lvl>
    <w:lvl w:ilvl="7">
      <w:start w:val="1"/>
      <w:numFmt w:val="decimal"/>
      <w:isLgl/>
      <w:lvlText w:val="%1.%2.%3.%4.%5.%6.%7.%8."/>
      <w:lvlJc w:val="left"/>
      <w:pPr>
        <w:ind w:left="-44" w:hanging="1800"/>
      </w:pPr>
      <w:rPr>
        <w:rFonts w:hint="default"/>
      </w:rPr>
    </w:lvl>
    <w:lvl w:ilvl="8">
      <w:start w:val="1"/>
      <w:numFmt w:val="decimal"/>
      <w:isLgl/>
      <w:lvlText w:val="%1.%2.%3.%4.%5.%6.%7.%8.%9."/>
      <w:lvlJc w:val="left"/>
      <w:pPr>
        <w:ind w:left="316" w:hanging="2160"/>
      </w:pPr>
      <w:rPr>
        <w:rFonts w:hint="default"/>
      </w:rPr>
    </w:lvl>
  </w:abstractNum>
  <w:abstractNum w:abstractNumId="25">
    <w:nsid w:val="7A236EC3"/>
    <w:multiLevelType w:val="multilevel"/>
    <w:tmpl w:val="ED1A82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E9212E"/>
    <w:multiLevelType w:val="hybridMultilevel"/>
    <w:tmpl w:val="69A2E7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0"/>
  </w:num>
  <w:num w:numId="3">
    <w:abstractNumId w:val="24"/>
  </w:num>
  <w:num w:numId="4">
    <w:abstractNumId w:val="13"/>
  </w:num>
  <w:num w:numId="5">
    <w:abstractNumId w:val="26"/>
  </w:num>
  <w:num w:numId="6">
    <w:abstractNumId w:val="24"/>
  </w:num>
  <w:num w:numId="7">
    <w:abstractNumId w:val="25"/>
  </w:num>
  <w:num w:numId="8">
    <w:abstractNumId w:val="20"/>
  </w:num>
  <w:num w:numId="9">
    <w:abstractNumId w:val="0"/>
  </w:num>
  <w:num w:numId="10">
    <w:abstractNumId w:val="6"/>
  </w:num>
  <w:num w:numId="11">
    <w:abstractNumId w:val="12"/>
  </w:num>
  <w:num w:numId="12">
    <w:abstractNumId w:val="18"/>
  </w:num>
  <w:num w:numId="13">
    <w:abstractNumId w:val="24"/>
  </w:num>
  <w:num w:numId="14">
    <w:abstractNumId w:val="5"/>
  </w:num>
  <w:num w:numId="15">
    <w:abstractNumId w:val="24"/>
  </w:num>
  <w:num w:numId="16">
    <w:abstractNumId w:val="17"/>
  </w:num>
  <w:num w:numId="17">
    <w:abstractNumId w:val="4"/>
  </w:num>
  <w:num w:numId="18">
    <w:abstractNumId w:val="15"/>
  </w:num>
  <w:num w:numId="19">
    <w:abstractNumId w:val="24"/>
  </w:num>
  <w:num w:numId="20">
    <w:abstractNumId w:val="23"/>
  </w:num>
  <w:num w:numId="21">
    <w:abstractNumId w:val="24"/>
  </w:num>
  <w:num w:numId="22">
    <w:abstractNumId w:val="24"/>
    <w:lvlOverride w:ilvl="0">
      <w:startOverride w:val="1"/>
    </w:lvlOverride>
  </w:num>
  <w:num w:numId="23">
    <w:abstractNumId w:val="16"/>
  </w:num>
  <w:num w:numId="24">
    <w:abstractNumId w:val="24"/>
  </w:num>
  <w:num w:numId="25">
    <w:abstractNumId w:val="19"/>
  </w:num>
  <w:num w:numId="26">
    <w:abstractNumId w:val="11"/>
  </w:num>
  <w:num w:numId="27">
    <w:abstractNumId w:val="24"/>
  </w:num>
  <w:num w:numId="28">
    <w:abstractNumId w:val="24"/>
  </w:num>
  <w:num w:numId="29">
    <w:abstractNumId w:val="2"/>
  </w:num>
  <w:num w:numId="30">
    <w:abstractNumId w:val="24"/>
  </w:num>
  <w:num w:numId="31">
    <w:abstractNumId w:val="14"/>
  </w:num>
  <w:num w:numId="32">
    <w:abstractNumId w:val="24"/>
  </w:num>
  <w:num w:numId="33">
    <w:abstractNumId w:val="1"/>
  </w:num>
  <w:num w:numId="34">
    <w:abstractNumId w:val="24"/>
  </w:num>
  <w:num w:numId="35">
    <w:abstractNumId w:val="9"/>
  </w:num>
  <w:num w:numId="36">
    <w:abstractNumId w:val="24"/>
  </w:num>
  <w:num w:numId="37">
    <w:abstractNumId w:val="24"/>
  </w:num>
  <w:num w:numId="38">
    <w:abstractNumId w:val="7"/>
  </w:num>
  <w:num w:numId="39">
    <w:abstractNumId w:val="24"/>
  </w:num>
  <w:num w:numId="40">
    <w:abstractNumId w:val="21"/>
  </w:num>
  <w:num w:numId="41">
    <w:abstractNumId w:val="2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B774EE"/>
    <w:rsid w:val="000025AB"/>
    <w:rsid w:val="00003903"/>
    <w:rsid w:val="00003A4E"/>
    <w:rsid w:val="00004644"/>
    <w:rsid w:val="00006A35"/>
    <w:rsid w:val="000102CE"/>
    <w:rsid w:val="00016867"/>
    <w:rsid w:val="0001795B"/>
    <w:rsid w:val="00017CF4"/>
    <w:rsid w:val="0002000C"/>
    <w:rsid w:val="00020772"/>
    <w:rsid w:val="00021015"/>
    <w:rsid w:val="00022732"/>
    <w:rsid w:val="00022BDD"/>
    <w:rsid w:val="00027D4C"/>
    <w:rsid w:val="00032BB9"/>
    <w:rsid w:val="00035353"/>
    <w:rsid w:val="000370EE"/>
    <w:rsid w:val="00037A9E"/>
    <w:rsid w:val="00043491"/>
    <w:rsid w:val="00047138"/>
    <w:rsid w:val="00051B09"/>
    <w:rsid w:val="00052E46"/>
    <w:rsid w:val="000617A5"/>
    <w:rsid w:val="0006211A"/>
    <w:rsid w:val="00066E19"/>
    <w:rsid w:val="00084316"/>
    <w:rsid w:val="0009027B"/>
    <w:rsid w:val="000909D0"/>
    <w:rsid w:val="00093699"/>
    <w:rsid w:val="00093739"/>
    <w:rsid w:val="00094F0C"/>
    <w:rsid w:val="0009719A"/>
    <w:rsid w:val="00097F28"/>
    <w:rsid w:val="000A1A5A"/>
    <w:rsid w:val="000A3921"/>
    <w:rsid w:val="000A69DC"/>
    <w:rsid w:val="000A785C"/>
    <w:rsid w:val="000B6CB6"/>
    <w:rsid w:val="000B777C"/>
    <w:rsid w:val="000C1EA9"/>
    <w:rsid w:val="000C3DA3"/>
    <w:rsid w:val="000C4C47"/>
    <w:rsid w:val="000D35FF"/>
    <w:rsid w:val="000D3D33"/>
    <w:rsid w:val="000D4BAC"/>
    <w:rsid w:val="000D4EEA"/>
    <w:rsid w:val="000D5177"/>
    <w:rsid w:val="000D571F"/>
    <w:rsid w:val="000D629D"/>
    <w:rsid w:val="000D777C"/>
    <w:rsid w:val="000E0A47"/>
    <w:rsid w:val="000E36CB"/>
    <w:rsid w:val="000E70DC"/>
    <w:rsid w:val="000F07AA"/>
    <w:rsid w:val="000F0A07"/>
    <w:rsid w:val="000F46EF"/>
    <w:rsid w:val="000F6BDF"/>
    <w:rsid w:val="000F6ED4"/>
    <w:rsid w:val="000F721D"/>
    <w:rsid w:val="00104C50"/>
    <w:rsid w:val="0010623A"/>
    <w:rsid w:val="00106322"/>
    <w:rsid w:val="0011059B"/>
    <w:rsid w:val="00111CB3"/>
    <w:rsid w:val="0011422D"/>
    <w:rsid w:val="00116047"/>
    <w:rsid w:val="001163A2"/>
    <w:rsid w:val="0011705F"/>
    <w:rsid w:val="00120742"/>
    <w:rsid w:val="0012088F"/>
    <w:rsid w:val="00123ABA"/>
    <w:rsid w:val="0012640F"/>
    <w:rsid w:val="00126750"/>
    <w:rsid w:val="00135730"/>
    <w:rsid w:val="00135CA6"/>
    <w:rsid w:val="00143678"/>
    <w:rsid w:val="0014523F"/>
    <w:rsid w:val="00146289"/>
    <w:rsid w:val="00147DD2"/>
    <w:rsid w:val="001507D9"/>
    <w:rsid w:val="0015383A"/>
    <w:rsid w:val="00154361"/>
    <w:rsid w:val="00160753"/>
    <w:rsid w:val="00160957"/>
    <w:rsid w:val="00160BB3"/>
    <w:rsid w:val="00161C01"/>
    <w:rsid w:val="00163A53"/>
    <w:rsid w:val="00166C41"/>
    <w:rsid w:val="0017027A"/>
    <w:rsid w:val="00173BFE"/>
    <w:rsid w:val="00173F23"/>
    <w:rsid w:val="00177CDD"/>
    <w:rsid w:val="00177E8A"/>
    <w:rsid w:val="00181102"/>
    <w:rsid w:val="00182FBB"/>
    <w:rsid w:val="00183BB5"/>
    <w:rsid w:val="0018537E"/>
    <w:rsid w:val="00185F41"/>
    <w:rsid w:val="00186466"/>
    <w:rsid w:val="0018690A"/>
    <w:rsid w:val="00193D75"/>
    <w:rsid w:val="00195EA1"/>
    <w:rsid w:val="00197C02"/>
    <w:rsid w:val="001A1B24"/>
    <w:rsid w:val="001A5A85"/>
    <w:rsid w:val="001A6F9B"/>
    <w:rsid w:val="001A73ED"/>
    <w:rsid w:val="001B054F"/>
    <w:rsid w:val="001B324B"/>
    <w:rsid w:val="001B5026"/>
    <w:rsid w:val="001B56FC"/>
    <w:rsid w:val="001B5898"/>
    <w:rsid w:val="001B5DEE"/>
    <w:rsid w:val="001C43A4"/>
    <w:rsid w:val="001C61B8"/>
    <w:rsid w:val="001C6AD1"/>
    <w:rsid w:val="001D0220"/>
    <w:rsid w:val="001D0B5E"/>
    <w:rsid w:val="001D4CE5"/>
    <w:rsid w:val="001E181C"/>
    <w:rsid w:val="001E63DE"/>
    <w:rsid w:val="001F1DD1"/>
    <w:rsid w:val="001F2259"/>
    <w:rsid w:val="001F4D3D"/>
    <w:rsid w:val="001F5F9F"/>
    <w:rsid w:val="001F6729"/>
    <w:rsid w:val="001F68FD"/>
    <w:rsid w:val="001F751E"/>
    <w:rsid w:val="00200786"/>
    <w:rsid w:val="00200DFB"/>
    <w:rsid w:val="00201675"/>
    <w:rsid w:val="002027D6"/>
    <w:rsid w:val="00203734"/>
    <w:rsid w:val="0020533F"/>
    <w:rsid w:val="00205ABC"/>
    <w:rsid w:val="002118A3"/>
    <w:rsid w:val="00211B7C"/>
    <w:rsid w:val="00212829"/>
    <w:rsid w:val="0021594E"/>
    <w:rsid w:val="00216BF6"/>
    <w:rsid w:val="002170D1"/>
    <w:rsid w:val="002203E7"/>
    <w:rsid w:val="00222C35"/>
    <w:rsid w:val="00224AAC"/>
    <w:rsid w:val="00226243"/>
    <w:rsid w:val="00226DD6"/>
    <w:rsid w:val="00227804"/>
    <w:rsid w:val="0023075F"/>
    <w:rsid w:val="00235ACD"/>
    <w:rsid w:val="00235FB4"/>
    <w:rsid w:val="00237B98"/>
    <w:rsid w:val="002417F5"/>
    <w:rsid w:val="00246542"/>
    <w:rsid w:val="0024781C"/>
    <w:rsid w:val="002520C0"/>
    <w:rsid w:val="002520F7"/>
    <w:rsid w:val="00252498"/>
    <w:rsid w:val="002540EB"/>
    <w:rsid w:val="002564B6"/>
    <w:rsid w:val="00260250"/>
    <w:rsid w:val="00261F12"/>
    <w:rsid w:val="00262614"/>
    <w:rsid w:val="00265E9D"/>
    <w:rsid w:val="00266D66"/>
    <w:rsid w:val="00267935"/>
    <w:rsid w:val="00270598"/>
    <w:rsid w:val="0027378C"/>
    <w:rsid w:val="00275B93"/>
    <w:rsid w:val="00276692"/>
    <w:rsid w:val="0028015D"/>
    <w:rsid w:val="00281F09"/>
    <w:rsid w:val="00286BA2"/>
    <w:rsid w:val="0029011C"/>
    <w:rsid w:val="0029017C"/>
    <w:rsid w:val="00292719"/>
    <w:rsid w:val="00293D2B"/>
    <w:rsid w:val="00294937"/>
    <w:rsid w:val="0029552B"/>
    <w:rsid w:val="00296F67"/>
    <w:rsid w:val="002A1FEE"/>
    <w:rsid w:val="002A790D"/>
    <w:rsid w:val="002B0022"/>
    <w:rsid w:val="002B1F7B"/>
    <w:rsid w:val="002B37DE"/>
    <w:rsid w:val="002B62C0"/>
    <w:rsid w:val="002B7A23"/>
    <w:rsid w:val="002B7CA7"/>
    <w:rsid w:val="002C0774"/>
    <w:rsid w:val="002C2E17"/>
    <w:rsid w:val="002C37F3"/>
    <w:rsid w:val="002D193C"/>
    <w:rsid w:val="002D1C0E"/>
    <w:rsid w:val="002D3DF6"/>
    <w:rsid w:val="002D6BE0"/>
    <w:rsid w:val="002D6F0E"/>
    <w:rsid w:val="002D7407"/>
    <w:rsid w:val="002D7766"/>
    <w:rsid w:val="002E121E"/>
    <w:rsid w:val="002E2583"/>
    <w:rsid w:val="002E2D62"/>
    <w:rsid w:val="002E6107"/>
    <w:rsid w:val="002E7073"/>
    <w:rsid w:val="002E77AD"/>
    <w:rsid w:val="002F196D"/>
    <w:rsid w:val="002F5E0F"/>
    <w:rsid w:val="002F62C5"/>
    <w:rsid w:val="002F6980"/>
    <w:rsid w:val="002F7E96"/>
    <w:rsid w:val="00301AE4"/>
    <w:rsid w:val="00301F0B"/>
    <w:rsid w:val="003031C1"/>
    <w:rsid w:val="003050B7"/>
    <w:rsid w:val="0030751F"/>
    <w:rsid w:val="003124D8"/>
    <w:rsid w:val="00314D0F"/>
    <w:rsid w:val="00315F64"/>
    <w:rsid w:val="00316562"/>
    <w:rsid w:val="00316C92"/>
    <w:rsid w:val="00316F77"/>
    <w:rsid w:val="0032039E"/>
    <w:rsid w:val="00323346"/>
    <w:rsid w:val="00323602"/>
    <w:rsid w:val="00331929"/>
    <w:rsid w:val="003323C4"/>
    <w:rsid w:val="0033266D"/>
    <w:rsid w:val="00332E54"/>
    <w:rsid w:val="003341F1"/>
    <w:rsid w:val="003434E1"/>
    <w:rsid w:val="00345845"/>
    <w:rsid w:val="0035233D"/>
    <w:rsid w:val="00353878"/>
    <w:rsid w:val="00355119"/>
    <w:rsid w:val="00355CE2"/>
    <w:rsid w:val="00360164"/>
    <w:rsid w:val="003610E2"/>
    <w:rsid w:val="00361348"/>
    <w:rsid w:val="0036159B"/>
    <w:rsid w:val="00361A0D"/>
    <w:rsid w:val="00361B87"/>
    <w:rsid w:val="0036220D"/>
    <w:rsid w:val="00366920"/>
    <w:rsid w:val="00366A11"/>
    <w:rsid w:val="00366C3A"/>
    <w:rsid w:val="003742DD"/>
    <w:rsid w:val="00374F14"/>
    <w:rsid w:val="00374F20"/>
    <w:rsid w:val="00376117"/>
    <w:rsid w:val="00376DB1"/>
    <w:rsid w:val="00377E85"/>
    <w:rsid w:val="00381194"/>
    <w:rsid w:val="003815EE"/>
    <w:rsid w:val="00382AEA"/>
    <w:rsid w:val="00385490"/>
    <w:rsid w:val="00385C7B"/>
    <w:rsid w:val="00385E50"/>
    <w:rsid w:val="003861C7"/>
    <w:rsid w:val="003871AB"/>
    <w:rsid w:val="00387637"/>
    <w:rsid w:val="003876AA"/>
    <w:rsid w:val="003929F9"/>
    <w:rsid w:val="003936BC"/>
    <w:rsid w:val="00395FB8"/>
    <w:rsid w:val="00397FD8"/>
    <w:rsid w:val="003A26C2"/>
    <w:rsid w:val="003A5E05"/>
    <w:rsid w:val="003A76C7"/>
    <w:rsid w:val="003A7794"/>
    <w:rsid w:val="003B002A"/>
    <w:rsid w:val="003B12BB"/>
    <w:rsid w:val="003B30AA"/>
    <w:rsid w:val="003B73D9"/>
    <w:rsid w:val="003B7DF8"/>
    <w:rsid w:val="003C4D3C"/>
    <w:rsid w:val="003C727D"/>
    <w:rsid w:val="003D28CA"/>
    <w:rsid w:val="003D30B0"/>
    <w:rsid w:val="003D35C8"/>
    <w:rsid w:val="003D64E7"/>
    <w:rsid w:val="003D7343"/>
    <w:rsid w:val="003E21FD"/>
    <w:rsid w:val="003E35A3"/>
    <w:rsid w:val="003E50FC"/>
    <w:rsid w:val="003E5217"/>
    <w:rsid w:val="003E596C"/>
    <w:rsid w:val="003E5FC3"/>
    <w:rsid w:val="003E6C44"/>
    <w:rsid w:val="003F0148"/>
    <w:rsid w:val="003F0BD4"/>
    <w:rsid w:val="003F1430"/>
    <w:rsid w:val="003F1723"/>
    <w:rsid w:val="003F2336"/>
    <w:rsid w:val="003F2690"/>
    <w:rsid w:val="003F3268"/>
    <w:rsid w:val="003F346E"/>
    <w:rsid w:val="003F3E62"/>
    <w:rsid w:val="003F6FA4"/>
    <w:rsid w:val="0040182D"/>
    <w:rsid w:val="00404B95"/>
    <w:rsid w:val="0040559C"/>
    <w:rsid w:val="0040645C"/>
    <w:rsid w:val="0040706C"/>
    <w:rsid w:val="0041085A"/>
    <w:rsid w:val="00413368"/>
    <w:rsid w:val="0041494B"/>
    <w:rsid w:val="00414F34"/>
    <w:rsid w:val="004171C5"/>
    <w:rsid w:val="00417520"/>
    <w:rsid w:val="0041793A"/>
    <w:rsid w:val="0042158E"/>
    <w:rsid w:val="0042352E"/>
    <w:rsid w:val="00423923"/>
    <w:rsid w:val="00425672"/>
    <w:rsid w:val="00426065"/>
    <w:rsid w:val="00426C36"/>
    <w:rsid w:val="00427FFA"/>
    <w:rsid w:val="00436F6D"/>
    <w:rsid w:val="00437EE9"/>
    <w:rsid w:val="0044371C"/>
    <w:rsid w:val="0044494F"/>
    <w:rsid w:val="00445B12"/>
    <w:rsid w:val="00446817"/>
    <w:rsid w:val="00447B80"/>
    <w:rsid w:val="00451355"/>
    <w:rsid w:val="00454DFF"/>
    <w:rsid w:val="00455C6F"/>
    <w:rsid w:val="00455E48"/>
    <w:rsid w:val="0046257F"/>
    <w:rsid w:val="00465764"/>
    <w:rsid w:val="00466C86"/>
    <w:rsid w:val="004704BB"/>
    <w:rsid w:val="0047400C"/>
    <w:rsid w:val="0047424B"/>
    <w:rsid w:val="00475BB7"/>
    <w:rsid w:val="00477548"/>
    <w:rsid w:val="00481936"/>
    <w:rsid w:val="0048509D"/>
    <w:rsid w:val="00487621"/>
    <w:rsid w:val="00493EAC"/>
    <w:rsid w:val="004948AF"/>
    <w:rsid w:val="00494EC6"/>
    <w:rsid w:val="00497467"/>
    <w:rsid w:val="00497788"/>
    <w:rsid w:val="004A3B66"/>
    <w:rsid w:val="004A3DB0"/>
    <w:rsid w:val="004A7D92"/>
    <w:rsid w:val="004B0777"/>
    <w:rsid w:val="004B0DED"/>
    <w:rsid w:val="004B260B"/>
    <w:rsid w:val="004B26A8"/>
    <w:rsid w:val="004B2B31"/>
    <w:rsid w:val="004B304B"/>
    <w:rsid w:val="004B3F2B"/>
    <w:rsid w:val="004B4329"/>
    <w:rsid w:val="004C16F9"/>
    <w:rsid w:val="004C3A7C"/>
    <w:rsid w:val="004C46AB"/>
    <w:rsid w:val="004C4D18"/>
    <w:rsid w:val="004C5BCC"/>
    <w:rsid w:val="004D0844"/>
    <w:rsid w:val="004D1C24"/>
    <w:rsid w:val="004E2558"/>
    <w:rsid w:val="004E3524"/>
    <w:rsid w:val="004E4D84"/>
    <w:rsid w:val="004E5203"/>
    <w:rsid w:val="004E660A"/>
    <w:rsid w:val="004F0171"/>
    <w:rsid w:val="004F71BD"/>
    <w:rsid w:val="00500667"/>
    <w:rsid w:val="00500CA7"/>
    <w:rsid w:val="00511A2B"/>
    <w:rsid w:val="00511BB5"/>
    <w:rsid w:val="00513305"/>
    <w:rsid w:val="00513319"/>
    <w:rsid w:val="005145C6"/>
    <w:rsid w:val="005157B2"/>
    <w:rsid w:val="0052226B"/>
    <w:rsid w:val="00522A17"/>
    <w:rsid w:val="005241D8"/>
    <w:rsid w:val="0052667C"/>
    <w:rsid w:val="00526955"/>
    <w:rsid w:val="00526FB2"/>
    <w:rsid w:val="005335D8"/>
    <w:rsid w:val="00536CB4"/>
    <w:rsid w:val="00537919"/>
    <w:rsid w:val="0054209B"/>
    <w:rsid w:val="0054350B"/>
    <w:rsid w:val="0054400B"/>
    <w:rsid w:val="00544EF0"/>
    <w:rsid w:val="00544FB7"/>
    <w:rsid w:val="00547705"/>
    <w:rsid w:val="0055264D"/>
    <w:rsid w:val="005533A2"/>
    <w:rsid w:val="00555D03"/>
    <w:rsid w:val="00556048"/>
    <w:rsid w:val="005560D3"/>
    <w:rsid w:val="005577C9"/>
    <w:rsid w:val="00561495"/>
    <w:rsid w:val="00565489"/>
    <w:rsid w:val="00566D20"/>
    <w:rsid w:val="0056755B"/>
    <w:rsid w:val="00567BC7"/>
    <w:rsid w:val="00570A9B"/>
    <w:rsid w:val="005724F8"/>
    <w:rsid w:val="0057312C"/>
    <w:rsid w:val="00573231"/>
    <w:rsid w:val="00580126"/>
    <w:rsid w:val="00580D3D"/>
    <w:rsid w:val="00582DD4"/>
    <w:rsid w:val="005852A8"/>
    <w:rsid w:val="0059242A"/>
    <w:rsid w:val="005924B4"/>
    <w:rsid w:val="00594F3B"/>
    <w:rsid w:val="00596C95"/>
    <w:rsid w:val="005A2D97"/>
    <w:rsid w:val="005A3961"/>
    <w:rsid w:val="005A462A"/>
    <w:rsid w:val="005A5A54"/>
    <w:rsid w:val="005A5CA0"/>
    <w:rsid w:val="005A6572"/>
    <w:rsid w:val="005A6A52"/>
    <w:rsid w:val="005B4C65"/>
    <w:rsid w:val="005B69B7"/>
    <w:rsid w:val="005C09B3"/>
    <w:rsid w:val="005C20FF"/>
    <w:rsid w:val="005C56F5"/>
    <w:rsid w:val="005C62AC"/>
    <w:rsid w:val="005D06A8"/>
    <w:rsid w:val="005D40D9"/>
    <w:rsid w:val="005D45A2"/>
    <w:rsid w:val="005D5B6D"/>
    <w:rsid w:val="005E0037"/>
    <w:rsid w:val="005E101D"/>
    <w:rsid w:val="005E2503"/>
    <w:rsid w:val="005E35F8"/>
    <w:rsid w:val="005E3759"/>
    <w:rsid w:val="005E534D"/>
    <w:rsid w:val="005E7DB4"/>
    <w:rsid w:val="005F0A2F"/>
    <w:rsid w:val="005F2793"/>
    <w:rsid w:val="005F369D"/>
    <w:rsid w:val="005F3EA8"/>
    <w:rsid w:val="005F520D"/>
    <w:rsid w:val="005F6184"/>
    <w:rsid w:val="005F686B"/>
    <w:rsid w:val="00603034"/>
    <w:rsid w:val="006070B2"/>
    <w:rsid w:val="006110B8"/>
    <w:rsid w:val="006111DD"/>
    <w:rsid w:val="006134B1"/>
    <w:rsid w:val="00616145"/>
    <w:rsid w:val="0062138D"/>
    <w:rsid w:val="00621A98"/>
    <w:rsid w:val="00622109"/>
    <w:rsid w:val="00623DF1"/>
    <w:rsid w:val="0062566D"/>
    <w:rsid w:val="00626F1C"/>
    <w:rsid w:val="006346D0"/>
    <w:rsid w:val="0063526B"/>
    <w:rsid w:val="0063651E"/>
    <w:rsid w:val="006375E9"/>
    <w:rsid w:val="00644A66"/>
    <w:rsid w:val="006450EF"/>
    <w:rsid w:val="00646E33"/>
    <w:rsid w:val="00650EE8"/>
    <w:rsid w:val="0065134E"/>
    <w:rsid w:val="0065152B"/>
    <w:rsid w:val="00657D07"/>
    <w:rsid w:val="0066136D"/>
    <w:rsid w:val="00663EC4"/>
    <w:rsid w:val="00664B0B"/>
    <w:rsid w:val="00667F3B"/>
    <w:rsid w:val="00670D86"/>
    <w:rsid w:val="00670F30"/>
    <w:rsid w:val="00675D59"/>
    <w:rsid w:val="006768D1"/>
    <w:rsid w:val="006768EE"/>
    <w:rsid w:val="00677218"/>
    <w:rsid w:val="00677497"/>
    <w:rsid w:val="00680366"/>
    <w:rsid w:val="006836BF"/>
    <w:rsid w:val="006845E4"/>
    <w:rsid w:val="006847F3"/>
    <w:rsid w:val="0068593E"/>
    <w:rsid w:val="0068721C"/>
    <w:rsid w:val="006877E0"/>
    <w:rsid w:val="00690D22"/>
    <w:rsid w:val="006914A7"/>
    <w:rsid w:val="00692B2A"/>
    <w:rsid w:val="00695571"/>
    <w:rsid w:val="006975CF"/>
    <w:rsid w:val="006A093A"/>
    <w:rsid w:val="006A5A26"/>
    <w:rsid w:val="006B196A"/>
    <w:rsid w:val="006B241A"/>
    <w:rsid w:val="006B2B5A"/>
    <w:rsid w:val="006B3338"/>
    <w:rsid w:val="006B4812"/>
    <w:rsid w:val="006B7576"/>
    <w:rsid w:val="006C18C1"/>
    <w:rsid w:val="006C2F0F"/>
    <w:rsid w:val="006C47C7"/>
    <w:rsid w:val="006C5765"/>
    <w:rsid w:val="006C6F1A"/>
    <w:rsid w:val="006D067A"/>
    <w:rsid w:val="006D1A7F"/>
    <w:rsid w:val="006E03D9"/>
    <w:rsid w:val="006E10A8"/>
    <w:rsid w:val="006E1FF5"/>
    <w:rsid w:val="006E24EC"/>
    <w:rsid w:val="006E7738"/>
    <w:rsid w:val="006F3AF5"/>
    <w:rsid w:val="00701F70"/>
    <w:rsid w:val="00702BAB"/>
    <w:rsid w:val="00702D92"/>
    <w:rsid w:val="00703C3F"/>
    <w:rsid w:val="00704735"/>
    <w:rsid w:val="00704978"/>
    <w:rsid w:val="00705418"/>
    <w:rsid w:val="007056F8"/>
    <w:rsid w:val="007071EE"/>
    <w:rsid w:val="00712949"/>
    <w:rsid w:val="0071363D"/>
    <w:rsid w:val="00714B51"/>
    <w:rsid w:val="007160AC"/>
    <w:rsid w:val="00720E75"/>
    <w:rsid w:val="00721A50"/>
    <w:rsid w:val="00727D35"/>
    <w:rsid w:val="00727FF3"/>
    <w:rsid w:val="007314C3"/>
    <w:rsid w:val="00732E2C"/>
    <w:rsid w:val="00733D91"/>
    <w:rsid w:val="007350F6"/>
    <w:rsid w:val="00735DE9"/>
    <w:rsid w:val="0073715E"/>
    <w:rsid w:val="007372EE"/>
    <w:rsid w:val="00740BF1"/>
    <w:rsid w:val="00740DB4"/>
    <w:rsid w:val="0074185D"/>
    <w:rsid w:val="00741D72"/>
    <w:rsid w:val="00742A0D"/>
    <w:rsid w:val="007440B9"/>
    <w:rsid w:val="0074635F"/>
    <w:rsid w:val="007466CB"/>
    <w:rsid w:val="00746A26"/>
    <w:rsid w:val="00746B1E"/>
    <w:rsid w:val="007474F0"/>
    <w:rsid w:val="00752E00"/>
    <w:rsid w:val="00752E9D"/>
    <w:rsid w:val="007602DE"/>
    <w:rsid w:val="00761F9C"/>
    <w:rsid w:val="00763ECA"/>
    <w:rsid w:val="007658B7"/>
    <w:rsid w:val="00774EBF"/>
    <w:rsid w:val="00776970"/>
    <w:rsid w:val="007800A4"/>
    <w:rsid w:val="007802C6"/>
    <w:rsid w:val="00783B42"/>
    <w:rsid w:val="00786C25"/>
    <w:rsid w:val="007941A6"/>
    <w:rsid w:val="00794BE6"/>
    <w:rsid w:val="007A032A"/>
    <w:rsid w:val="007A093C"/>
    <w:rsid w:val="007A376B"/>
    <w:rsid w:val="007A3E09"/>
    <w:rsid w:val="007A5C2C"/>
    <w:rsid w:val="007B05DC"/>
    <w:rsid w:val="007B122C"/>
    <w:rsid w:val="007B16A8"/>
    <w:rsid w:val="007B3203"/>
    <w:rsid w:val="007B4C54"/>
    <w:rsid w:val="007C05E9"/>
    <w:rsid w:val="007C27F5"/>
    <w:rsid w:val="007C4AAA"/>
    <w:rsid w:val="007C4D94"/>
    <w:rsid w:val="007C6D2A"/>
    <w:rsid w:val="007D0D74"/>
    <w:rsid w:val="007D1F2D"/>
    <w:rsid w:val="007D5321"/>
    <w:rsid w:val="007D63B8"/>
    <w:rsid w:val="007D6F88"/>
    <w:rsid w:val="007E24F5"/>
    <w:rsid w:val="007E3E7F"/>
    <w:rsid w:val="007E4872"/>
    <w:rsid w:val="007E4F03"/>
    <w:rsid w:val="007E6630"/>
    <w:rsid w:val="007F09DD"/>
    <w:rsid w:val="007F1A1B"/>
    <w:rsid w:val="007F4790"/>
    <w:rsid w:val="007F56CD"/>
    <w:rsid w:val="007F7B19"/>
    <w:rsid w:val="00802D40"/>
    <w:rsid w:val="0080585F"/>
    <w:rsid w:val="00806F5C"/>
    <w:rsid w:val="008115D8"/>
    <w:rsid w:val="00816435"/>
    <w:rsid w:val="00817D5F"/>
    <w:rsid w:val="00821BCE"/>
    <w:rsid w:val="008222A1"/>
    <w:rsid w:val="00822591"/>
    <w:rsid w:val="00827290"/>
    <w:rsid w:val="008276C3"/>
    <w:rsid w:val="0083193C"/>
    <w:rsid w:val="00831EC3"/>
    <w:rsid w:val="008346E6"/>
    <w:rsid w:val="008416D6"/>
    <w:rsid w:val="00845D15"/>
    <w:rsid w:val="00846004"/>
    <w:rsid w:val="008462B1"/>
    <w:rsid w:val="008527B9"/>
    <w:rsid w:val="00853500"/>
    <w:rsid w:val="00856B3A"/>
    <w:rsid w:val="00857BE8"/>
    <w:rsid w:val="00861454"/>
    <w:rsid w:val="00861D81"/>
    <w:rsid w:val="00863618"/>
    <w:rsid w:val="00863E3B"/>
    <w:rsid w:val="008737D7"/>
    <w:rsid w:val="00876914"/>
    <w:rsid w:val="00877298"/>
    <w:rsid w:val="008804FB"/>
    <w:rsid w:val="00880A5F"/>
    <w:rsid w:val="00881987"/>
    <w:rsid w:val="00883C5F"/>
    <w:rsid w:val="0088455F"/>
    <w:rsid w:val="00886FA0"/>
    <w:rsid w:val="008872C4"/>
    <w:rsid w:val="008A0216"/>
    <w:rsid w:val="008A09E5"/>
    <w:rsid w:val="008A4C60"/>
    <w:rsid w:val="008A5C5D"/>
    <w:rsid w:val="008A6720"/>
    <w:rsid w:val="008B0503"/>
    <w:rsid w:val="008B1481"/>
    <w:rsid w:val="008B295C"/>
    <w:rsid w:val="008B33C2"/>
    <w:rsid w:val="008C044D"/>
    <w:rsid w:val="008C117F"/>
    <w:rsid w:val="008C3A3E"/>
    <w:rsid w:val="008C6378"/>
    <w:rsid w:val="008D07AF"/>
    <w:rsid w:val="008D0D1A"/>
    <w:rsid w:val="008D1471"/>
    <w:rsid w:val="008D32EC"/>
    <w:rsid w:val="008E0B27"/>
    <w:rsid w:val="008E10F6"/>
    <w:rsid w:val="008E1221"/>
    <w:rsid w:val="008E2E41"/>
    <w:rsid w:val="008E5782"/>
    <w:rsid w:val="008E6FCB"/>
    <w:rsid w:val="008E7BFD"/>
    <w:rsid w:val="008F2942"/>
    <w:rsid w:val="008F46D4"/>
    <w:rsid w:val="008F4996"/>
    <w:rsid w:val="008F4FBE"/>
    <w:rsid w:val="008F5FFE"/>
    <w:rsid w:val="008F607C"/>
    <w:rsid w:val="008F6902"/>
    <w:rsid w:val="00901099"/>
    <w:rsid w:val="00901867"/>
    <w:rsid w:val="00905AE5"/>
    <w:rsid w:val="00906740"/>
    <w:rsid w:val="00906772"/>
    <w:rsid w:val="00910639"/>
    <w:rsid w:val="00911C72"/>
    <w:rsid w:val="0091235D"/>
    <w:rsid w:val="00917C69"/>
    <w:rsid w:val="009202C8"/>
    <w:rsid w:val="00920B77"/>
    <w:rsid w:val="00921808"/>
    <w:rsid w:val="00926392"/>
    <w:rsid w:val="009312BE"/>
    <w:rsid w:val="009367D0"/>
    <w:rsid w:val="00941536"/>
    <w:rsid w:val="00942303"/>
    <w:rsid w:val="00944227"/>
    <w:rsid w:val="00946E47"/>
    <w:rsid w:val="009474D1"/>
    <w:rsid w:val="0095366B"/>
    <w:rsid w:val="00954637"/>
    <w:rsid w:val="00961AC5"/>
    <w:rsid w:val="00962B09"/>
    <w:rsid w:val="0096477A"/>
    <w:rsid w:val="00966CBD"/>
    <w:rsid w:val="009705E5"/>
    <w:rsid w:val="009717B9"/>
    <w:rsid w:val="009735F7"/>
    <w:rsid w:val="00974F0B"/>
    <w:rsid w:val="00975883"/>
    <w:rsid w:val="009762D7"/>
    <w:rsid w:val="00981FE5"/>
    <w:rsid w:val="0098412E"/>
    <w:rsid w:val="00984F62"/>
    <w:rsid w:val="00986542"/>
    <w:rsid w:val="009866F0"/>
    <w:rsid w:val="009902F1"/>
    <w:rsid w:val="00990696"/>
    <w:rsid w:val="00991287"/>
    <w:rsid w:val="00991877"/>
    <w:rsid w:val="0099611C"/>
    <w:rsid w:val="0099789E"/>
    <w:rsid w:val="009A5624"/>
    <w:rsid w:val="009A5A8A"/>
    <w:rsid w:val="009B0740"/>
    <w:rsid w:val="009B0D89"/>
    <w:rsid w:val="009B1CAA"/>
    <w:rsid w:val="009B5BFC"/>
    <w:rsid w:val="009B798F"/>
    <w:rsid w:val="009C179B"/>
    <w:rsid w:val="009C1F7A"/>
    <w:rsid w:val="009C75FA"/>
    <w:rsid w:val="009D11EC"/>
    <w:rsid w:val="009D12D7"/>
    <w:rsid w:val="009D2143"/>
    <w:rsid w:val="009D25F6"/>
    <w:rsid w:val="009D283A"/>
    <w:rsid w:val="009D44DD"/>
    <w:rsid w:val="009E035C"/>
    <w:rsid w:val="009E304E"/>
    <w:rsid w:val="009E4ED7"/>
    <w:rsid w:val="009E7998"/>
    <w:rsid w:val="009F020F"/>
    <w:rsid w:val="009F0A69"/>
    <w:rsid w:val="009F1A70"/>
    <w:rsid w:val="009F3498"/>
    <w:rsid w:val="009F4169"/>
    <w:rsid w:val="009F5002"/>
    <w:rsid w:val="009F693C"/>
    <w:rsid w:val="00A02744"/>
    <w:rsid w:val="00A125EB"/>
    <w:rsid w:val="00A126EF"/>
    <w:rsid w:val="00A12B95"/>
    <w:rsid w:val="00A136EE"/>
    <w:rsid w:val="00A15226"/>
    <w:rsid w:val="00A152A6"/>
    <w:rsid w:val="00A16F0B"/>
    <w:rsid w:val="00A17B5B"/>
    <w:rsid w:val="00A21D8B"/>
    <w:rsid w:val="00A245BF"/>
    <w:rsid w:val="00A27AC9"/>
    <w:rsid w:val="00A30D1F"/>
    <w:rsid w:val="00A33E20"/>
    <w:rsid w:val="00A349EB"/>
    <w:rsid w:val="00A36448"/>
    <w:rsid w:val="00A36E91"/>
    <w:rsid w:val="00A37FF0"/>
    <w:rsid w:val="00A44A5F"/>
    <w:rsid w:val="00A4613E"/>
    <w:rsid w:val="00A461E2"/>
    <w:rsid w:val="00A47820"/>
    <w:rsid w:val="00A510D2"/>
    <w:rsid w:val="00A5163B"/>
    <w:rsid w:val="00A52B96"/>
    <w:rsid w:val="00A52E6A"/>
    <w:rsid w:val="00A5452C"/>
    <w:rsid w:val="00A553BC"/>
    <w:rsid w:val="00A5629F"/>
    <w:rsid w:val="00A57D25"/>
    <w:rsid w:val="00A60CBD"/>
    <w:rsid w:val="00A61C89"/>
    <w:rsid w:val="00A628F3"/>
    <w:rsid w:val="00A63F28"/>
    <w:rsid w:val="00A65670"/>
    <w:rsid w:val="00A71BB5"/>
    <w:rsid w:val="00A731AF"/>
    <w:rsid w:val="00A7605E"/>
    <w:rsid w:val="00A802BD"/>
    <w:rsid w:val="00A852ED"/>
    <w:rsid w:val="00A93327"/>
    <w:rsid w:val="00A93B9B"/>
    <w:rsid w:val="00A96C73"/>
    <w:rsid w:val="00AA0A15"/>
    <w:rsid w:val="00AA19FC"/>
    <w:rsid w:val="00AA24D6"/>
    <w:rsid w:val="00AA2674"/>
    <w:rsid w:val="00AA33A9"/>
    <w:rsid w:val="00AA45A1"/>
    <w:rsid w:val="00AA56B5"/>
    <w:rsid w:val="00AA786B"/>
    <w:rsid w:val="00AB194E"/>
    <w:rsid w:val="00AB1D9B"/>
    <w:rsid w:val="00AB2F47"/>
    <w:rsid w:val="00AB36D5"/>
    <w:rsid w:val="00AC0B47"/>
    <w:rsid w:val="00AC32CD"/>
    <w:rsid w:val="00AC378D"/>
    <w:rsid w:val="00AC4005"/>
    <w:rsid w:val="00AC59AD"/>
    <w:rsid w:val="00AC5AFB"/>
    <w:rsid w:val="00AC5C94"/>
    <w:rsid w:val="00AC5C95"/>
    <w:rsid w:val="00AD03B2"/>
    <w:rsid w:val="00AD3B33"/>
    <w:rsid w:val="00AD3CF0"/>
    <w:rsid w:val="00AE05A7"/>
    <w:rsid w:val="00AE1900"/>
    <w:rsid w:val="00AE254B"/>
    <w:rsid w:val="00AE2701"/>
    <w:rsid w:val="00AE2951"/>
    <w:rsid w:val="00AE29FF"/>
    <w:rsid w:val="00AE4104"/>
    <w:rsid w:val="00AE600A"/>
    <w:rsid w:val="00AE6752"/>
    <w:rsid w:val="00AE761A"/>
    <w:rsid w:val="00AF048C"/>
    <w:rsid w:val="00AF19FD"/>
    <w:rsid w:val="00AF2292"/>
    <w:rsid w:val="00AF2345"/>
    <w:rsid w:val="00AF55E1"/>
    <w:rsid w:val="00AF6873"/>
    <w:rsid w:val="00B005B2"/>
    <w:rsid w:val="00B010B1"/>
    <w:rsid w:val="00B03144"/>
    <w:rsid w:val="00B03616"/>
    <w:rsid w:val="00B038F5"/>
    <w:rsid w:val="00B06FC7"/>
    <w:rsid w:val="00B079B5"/>
    <w:rsid w:val="00B13690"/>
    <w:rsid w:val="00B17F6D"/>
    <w:rsid w:val="00B228C3"/>
    <w:rsid w:val="00B24464"/>
    <w:rsid w:val="00B2538D"/>
    <w:rsid w:val="00B25F96"/>
    <w:rsid w:val="00B32FEC"/>
    <w:rsid w:val="00B334DE"/>
    <w:rsid w:val="00B37102"/>
    <w:rsid w:val="00B4143D"/>
    <w:rsid w:val="00B4188E"/>
    <w:rsid w:val="00B439CB"/>
    <w:rsid w:val="00B45F5B"/>
    <w:rsid w:val="00B476BF"/>
    <w:rsid w:val="00B52228"/>
    <w:rsid w:val="00B5525C"/>
    <w:rsid w:val="00B57D88"/>
    <w:rsid w:val="00B60415"/>
    <w:rsid w:val="00B6045C"/>
    <w:rsid w:val="00B6102C"/>
    <w:rsid w:val="00B619CD"/>
    <w:rsid w:val="00B6268A"/>
    <w:rsid w:val="00B62AD2"/>
    <w:rsid w:val="00B63F86"/>
    <w:rsid w:val="00B75717"/>
    <w:rsid w:val="00B76536"/>
    <w:rsid w:val="00B771D3"/>
    <w:rsid w:val="00B774EE"/>
    <w:rsid w:val="00B828FB"/>
    <w:rsid w:val="00B86E9B"/>
    <w:rsid w:val="00B873E6"/>
    <w:rsid w:val="00B87B3F"/>
    <w:rsid w:val="00B956AF"/>
    <w:rsid w:val="00B9581B"/>
    <w:rsid w:val="00BA1801"/>
    <w:rsid w:val="00BA3A8A"/>
    <w:rsid w:val="00BA507A"/>
    <w:rsid w:val="00BA67BC"/>
    <w:rsid w:val="00BA70F0"/>
    <w:rsid w:val="00BB30E6"/>
    <w:rsid w:val="00BC21F9"/>
    <w:rsid w:val="00BC607C"/>
    <w:rsid w:val="00BD0A55"/>
    <w:rsid w:val="00BD1262"/>
    <w:rsid w:val="00BD4CD2"/>
    <w:rsid w:val="00BD7E92"/>
    <w:rsid w:val="00BE001B"/>
    <w:rsid w:val="00BE094A"/>
    <w:rsid w:val="00BE27CD"/>
    <w:rsid w:val="00BE45FE"/>
    <w:rsid w:val="00BE5AE2"/>
    <w:rsid w:val="00BE68EB"/>
    <w:rsid w:val="00BE6F05"/>
    <w:rsid w:val="00BF0EF5"/>
    <w:rsid w:val="00BF3CB4"/>
    <w:rsid w:val="00C00D39"/>
    <w:rsid w:val="00C03E48"/>
    <w:rsid w:val="00C04993"/>
    <w:rsid w:val="00C04F45"/>
    <w:rsid w:val="00C05A3D"/>
    <w:rsid w:val="00C07BB1"/>
    <w:rsid w:val="00C12BB3"/>
    <w:rsid w:val="00C20691"/>
    <w:rsid w:val="00C21FE8"/>
    <w:rsid w:val="00C235A9"/>
    <w:rsid w:val="00C23A0E"/>
    <w:rsid w:val="00C26AD3"/>
    <w:rsid w:val="00C3001C"/>
    <w:rsid w:val="00C30C86"/>
    <w:rsid w:val="00C3184F"/>
    <w:rsid w:val="00C32C9F"/>
    <w:rsid w:val="00C32F2B"/>
    <w:rsid w:val="00C341A0"/>
    <w:rsid w:val="00C35AFD"/>
    <w:rsid w:val="00C35FFC"/>
    <w:rsid w:val="00C43A2D"/>
    <w:rsid w:val="00C469ED"/>
    <w:rsid w:val="00C46C5B"/>
    <w:rsid w:val="00C50057"/>
    <w:rsid w:val="00C500F4"/>
    <w:rsid w:val="00C51DDA"/>
    <w:rsid w:val="00C52412"/>
    <w:rsid w:val="00C52776"/>
    <w:rsid w:val="00C5328E"/>
    <w:rsid w:val="00C53914"/>
    <w:rsid w:val="00C54B5E"/>
    <w:rsid w:val="00C56EBA"/>
    <w:rsid w:val="00C57682"/>
    <w:rsid w:val="00C60E81"/>
    <w:rsid w:val="00C614E2"/>
    <w:rsid w:val="00C62191"/>
    <w:rsid w:val="00C65087"/>
    <w:rsid w:val="00C652BD"/>
    <w:rsid w:val="00C700CD"/>
    <w:rsid w:val="00C757D5"/>
    <w:rsid w:val="00C75D17"/>
    <w:rsid w:val="00C8177B"/>
    <w:rsid w:val="00C92654"/>
    <w:rsid w:val="00C92D39"/>
    <w:rsid w:val="00C93333"/>
    <w:rsid w:val="00C9454B"/>
    <w:rsid w:val="00C973CE"/>
    <w:rsid w:val="00CA5C94"/>
    <w:rsid w:val="00CA6C11"/>
    <w:rsid w:val="00CA72D1"/>
    <w:rsid w:val="00CB5691"/>
    <w:rsid w:val="00CB6E30"/>
    <w:rsid w:val="00CB7366"/>
    <w:rsid w:val="00CB7650"/>
    <w:rsid w:val="00CC2921"/>
    <w:rsid w:val="00CC4778"/>
    <w:rsid w:val="00CC52E2"/>
    <w:rsid w:val="00CD0F19"/>
    <w:rsid w:val="00CD1866"/>
    <w:rsid w:val="00CD20E6"/>
    <w:rsid w:val="00CD3531"/>
    <w:rsid w:val="00CD38DA"/>
    <w:rsid w:val="00CD4B48"/>
    <w:rsid w:val="00CD616E"/>
    <w:rsid w:val="00CD79D0"/>
    <w:rsid w:val="00CE148B"/>
    <w:rsid w:val="00CE1D3F"/>
    <w:rsid w:val="00CE4371"/>
    <w:rsid w:val="00CE5EF7"/>
    <w:rsid w:val="00CE78C2"/>
    <w:rsid w:val="00CE79F1"/>
    <w:rsid w:val="00CE7CCF"/>
    <w:rsid w:val="00CF05A2"/>
    <w:rsid w:val="00CF18F0"/>
    <w:rsid w:val="00CF537E"/>
    <w:rsid w:val="00D006D0"/>
    <w:rsid w:val="00D02D8F"/>
    <w:rsid w:val="00D05693"/>
    <w:rsid w:val="00D05D91"/>
    <w:rsid w:val="00D075F6"/>
    <w:rsid w:val="00D10073"/>
    <w:rsid w:val="00D11058"/>
    <w:rsid w:val="00D12C65"/>
    <w:rsid w:val="00D12D0B"/>
    <w:rsid w:val="00D13C18"/>
    <w:rsid w:val="00D161FD"/>
    <w:rsid w:val="00D166FF"/>
    <w:rsid w:val="00D1704B"/>
    <w:rsid w:val="00D22736"/>
    <w:rsid w:val="00D23639"/>
    <w:rsid w:val="00D23F1E"/>
    <w:rsid w:val="00D254B2"/>
    <w:rsid w:val="00D25896"/>
    <w:rsid w:val="00D265C1"/>
    <w:rsid w:val="00D3264D"/>
    <w:rsid w:val="00D3492F"/>
    <w:rsid w:val="00D349D5"/>
    <w:rsid w:val="00D425E3"/>
    <w:rsid w:val="00D4406C"/>
    <w:rsid w:val="00D53C42"/>
    <w:rsid w:val="00D5414F"/>
    <w:rsid w:val="00D548AC"/>
    <w:rsid w:val="00D57625"/>
    <w:rsid w:val="00D61A48"/>
    <w:rsid w:val="00D620D9"/>
    <w:rsid w:val="00D629DD"/>
    <w:rsid w:val="00D62E1B"/>
    <w:rsid w:val="00D63766"/>
    <w:rsid w:val="00D6504E"/>
    <w:rsid w:val="00D66A62"/>
    <w:rsid w:val="00D66E40"/>
    <w:rsid w:val="00D67883"/>
    <w:rsid w:val="00D67B58"/>
    <w:rsid w:val="00D702FF"/>
    <w:rsid w:val="00D763C7"/>
    <w:rsid w:val="00D84636"/>
    <w:rsid w:val="00D84C06"/>
    <w:rsid w:val="00D866DF"/>
    <w:rsid w:val="00D87DAC"/>
    <w:rsid w:val="00D91D80"/>
    <w:rsid w:val="00D93350"/>
    <w:rsid w:val="00D962CE"/>
    <w:rsid w:val="00DA1CDA"/>
    <w:rsid w:val="00DA3E3C"/>
    <w:rsid w:val="00DA43EB"/>
    <w:rsid w:val="00DA6C57"/>
    <w:rsid w:val="00DB3200"/>
    <w:rsid w:val="00DB3608"/>
    <w:rsid w:val="00DB4CBA"/>
    <w:rsid w:val="00DB6FF1"/>
    <w:rsid w:val="00DC1B19"/>
    <w:rsid w:val="00DC3D22"/>
    <w:rsid w:val="00DD08F8"/>
    <w:rsid w:val="00DD1A98"/>
    <w:rsid w:val="00DD3CD6"/>
    <w:rsid w:val="00DD55F4"/>
    <w:rsid w:val="00DE501A"/>
    <w:rsid w:val="00DE615D"/>
    <w:rsid w:val="00DE6F5A"/>
    <w:rsid w:val="00DE74C5"/>
    <w:rsid w:val="00DF4F11"/>
    <w:rsid w:val="00E02239"/>
    <w:rsid w:val="00E02FF3"/>
    <w:rsid w:val="00E06181"/>
    <w:rsid w:val="00E2248F"/>
    <w:rsid w:val="00E224E9"/>
    <w:rsid w:val="00E2509E"/>
    <w:rsid w:val="00E262AB"/>
    <w:rsid w:val="00E27107"/>
    <w:rsid w:val="00E30119"/>
    <w:rsid w:val="00E303DD"/>
    <w:rsid w:val="00E31629"/>
    <w:rsid w:val="00E317B4"/>
    <w:rsid w:val="00E32A5D"/>
    <w:rsid w:val="00E33C2E"/>
    <w:rsid w:val="00E40646"/>
    <w:rsid w:val="00E415FB"/>
    <w:rsid w:val="00E42EBF"/>
    <w:rsid w:val="00E43778"/>
    <w:rsid w:val="00E5150A"/>
    <w:rsid w:val="00E53808"/>
    <w:rsid w:val="00E60B70"/>
    <w:rsid w:val="00E619BF"/>
    <w:rsid w:val="00E63882"/>
    <w:rsid w:val="00E64E93"/>
    <w:rsid w:val="00E656DE"/>
    <w:rsid w:val="00E65763"/>
    <w:rsid w:val="00E65FAA"/>
    <w:rsid w:val="00E72DC9"/>
    <w:rsid w:val="00E72EE4"/>
    <w:rsid w:val="00E74619"/>
    <w:rsid w:val="00E752F8"/>
    <w:rsid w:val="00E7635F"/>
    <w:rsid w:val="00E774A5"/>
    <w:rsid w:val="00E81B62"/>
    <w:rsid w:val="00E870DC"/>
    <w:rsid w:val="00E9384F"/>
    <w:rsid w:val="00E94CCF"/>
    <w:rsid w:val="00E958A1"/>
    <w:rsid w:val="00EA001F"/>
    <w:rsid w:val="00EA1D52"/>
    <w:rsid w:val="00EA4C4B"/>
    <w:rsid w:val="00EA6C4D"/>
    <w:rsid w:val="00EA734D"/>
    <w:rsid w:val="00EA7EF5"/>
    <w:rsid w:val="00EB3A8D"/>
    <w:rsid w:val="00EB705B"/>
    <w:rsid w:val="00EB7706"/>
    <w:rsid w:val="00EB7D25"/>
    <w:rsid w:val="00EC0A79"/>
    <w:rsid w:val="00EC0F76"/>
    <w:rsid w:val="00EC22D4"/>
    <w:rsid w:val="00EC3D8D"/>
    <w:rsid w:val="00EC47D7"/>
    <w:rsid w:val="00EC5D08"/>
    <w:rsid w:val="00EC6131"/>
    <w:rsid w:val="00EC66AD"/>
    <w:rsid w:val="00ED1EF1"/>
    <w:rsid w:val="00ED5B58"/>
    <w:rsid w:val="00ED681E"/>
    <w:rsid w:val="00EE64DB"/>
    <w:rsid w:val="00EE7E25"/>
    <w:rsid w:val="00EF1344"/>
    <w:rsid w:val="00F00845"/>
    <w:rsid w:val="00F01FD7"/>
    <w:rsid w:val="00F058C2"/>
    <w:rsid w:val="00F05F24"/>
    <w:rsid w:val="00F063E5"/>
    <w:rsid w:val="00F07850"/>
    <w:rsid w:val="00F07F87"/>
    <w:rsid w:val="00F1542D"/>
    <w:rsid w:val="00F15626"/>
    <w:rsid w:val="00F16970"/>
    <w:rsid w:val="00F1795A"/>
    <w:rsid w:val="00F2202D"/>
    <w:rsid w:val="00F227C7"/>
    <w:rsid w:val="00F23FB3"/>
    <w:rsid w:val="00F258B6"/>
    <w:rsid w:val="00F270B8"/>
    <w:rsid w:val="00F27C7E"/>
    <w:rsid w:val="00F30477"/>
    <w:rsid w:val="00F308C5"/>
    <w:rsid w:val="00F315D2"/>
    <w:rsid w:val="00F320E0"/>
    <w:rsid w:val="00F32369"/>
    <w:rsid w:val="00F34DB1"/>
    <w:rsid w:val="00F36831"/>
    <w:rsid w:val="00F42659"/>
    <w:rsid w:val="00F44624"/>
    <w:rsid w:val="00F44D9A"/>
    <w:rsid w:val="00F46291"/>
    <w:rsid w:val="00F515ED"/>
    <w:rsid w:val="00F519F5"/>
    <w:rsid w:val="00F51B34"/>
    <w:rsid w:val="00F52B0B"/>
    <w:rsid w:val="00F52C0B"/>
    <w:rsid w:val="00F53089"/>
    <w:rsid w:val="00F560FE"/>
    <w:rsid w:val="00F60EA1"/>
    <w:rsid w:val="00F6234E"/>
    <w:rsid w:val="00F63483"/>
    <w:rsid w:val="00F67164"/>
    <w:rsid w:val="00F676C6"/>
    <w:rsid w:val="00F71560"/>
    <w:rsid w:val="00F72BE3"/>
    <w:rsid w:val="00F75DE2"/>
    <w:rsid w:val="00F775A6"/>
    <w:rsid w:val="00F80D9D"/>
    <w:rsid w:val="00F822BF"/>
    <w:rsid w:val="00F8259F"/>
    <w:rsid w:val="00F8469E"/>
    <w:rsid w:val="00F909CE"/>
    <w:rsid w:val="00F916A8"/>
    <w:rsid w:val="00F93AD5"/>
    <w:rsid w:val="00F93E90"/>
    <w:rsid w:val="00F94747"/>
    <w:rsid w:val="00F95D07"/>
    <w:rsid w:val="00F96D78"/>
    <w:rsid w:val="00F97DD0"/>
    <w:rsid w:val="00FA3733"/>
    <w:rsid w:val="00FB0F78"/>
    <w:rsid w:val="00FB1E39"/>
    <w:rsid w:val="00FB2692"/>
    <w:rsid w:val="00FB7716"/>
    <w:rsid w:val="00FB7B19"/>
    <w:rsid w:val="00FC1944"/>
    <w:rsid w:val="00FC1D7B"/>
    <w:rsid w:val="00FD0BF6"/>
    <w:rsid w:val="00FD14A2"/>
    <w:rsid w:val="00FD52B5"/>
    <w:rsid w:val="00FD5B45"/>
    <w:rsid w:val="00FE295C"/>
    <w:rsid w:val="00FE49E0"/>
    <w:rsid w:val="00FE6A89"/>
    <w:rsid w:val="00FE6B3E"/>
    <w:rsid w:val="00FE7B8D"/>
    <w:rsid w:val="00FF0F9B"/>
    <w:rsid w:val="00FF1A18"/>
    <w:rsid w:val="00FF4493"/>
    <w:rsid w:val="00FF59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774EE"/>
    <w:pPr>
      <w:spacing w:after="0" w:line="240" w:lineRule="auto"/>
    </w:pPr>
    <w:rPr>
      <w:rFonts w:ascii="Times New Roman" w:eastAsia="Times New Roman" w:hAnsi="Times New Roman" w:cs="Times New Roman"/>
      <w:sz w:val="20"/>
      <w:szCs w:val="20"/>
    </w:rPr>
  </w:style>
  <w:style w:type="paragraph" w:styleId="Virsraksts1">
    <w:name w:val="heading 1"/>
    <w:basedOn w:val="naisf"/>
    <w:next w:val="Parastais"/>
    <w:link w:val="Virsraksts1Rakstz"/>
    <w:qFormat/>
    <w:rsid w:val="00D12C65"/>
    <w:pPr>
      <w:numPr>
        <w:numId w:val="3"/>
      </w:numPr>
      <w:spacing w:before="240" w:beforeAutospacing="0" w:after="240" w:afterAutospacing="0"/>
      <w:jc w:val="center"/>
      <w:outlineLvl w:val="0"/>
    </w:pPr>
    <w:rPr>
      <w:b/>
      <w:sz w:val="28"/>
      <w:szCs w:val="28"/>
      <w:lang w:val="lv-LV"/>
    </w:rPr>
  </w:style>
  <w:style w:type="paragraph" w:styleId="Virsraksts2">
    <w:name w:val="heading 2"/>
    <w:basedOn w:val="naisf"/>
    <w:next w:val="Parastais"/>
    <w:link w:val="Virsraksts2Rakstz"/>
    <w:uiPriority w:val="9"/>
    <w:unhideWhenUsed/>
    <w:qFormat/>
    <w:rsid w:val="00D12C65"/>
    <w:pPr>
      <w:numPr>
        <w:ilvl w:val="1"/>
        <w:numId w:val="3"/>
      </w:numPr>
      <w:spacing w:before="360" w:beforeAutospacing="0" w:after="120" w:afterAutospacing="0"/>
      <w:outlineLvl w:val="1"/>
    </w:pPr>
    <w:rPr>
      <w:b/>
      <w:sz w:val="28"/>
      <w:szCs w:val="28"/>
      <w:u w:val="single"/>
      <w:lang w:val="lv-LV"/>
    </w:rPr>
  </w:style>
  <w:style w:type="paragraph" w:styleId="Virsraksts3">
    <w:name w:val="heading 3"/>
    <w:basedOn w:val="Virsraksts2"/>
    <w:next w:val="Parastais"/>
    <w:link w:val="Virsraksts3Rakstz"/>
    <w:uiPriority w:val="9"/>
    <w:unhideWhenUsed/>
    <w:qFormat/>
    <w:rsid w:val="00D12C65"/>
    <w:pPr>
      <w:numPr>
        <w:ilvl w:val="2"/>
      </w:numPr>
      <w:outlineLvl w:val="2"/>
    </w:pPr>
    <w:rPr>
      <w:i/>
      <w:u w: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B774EE"/>
    <w:pPr>
      <w:tabs>
        <w:tab w:val="center" w:pos="4153"/>
        <w:tab w:val="right" w:pos="8306"/>
      </w:tabs>
    </w:pPr>
  </w:style>
  <w:style w:type="character" w:customStyle="1" w:styleId="GalveneRakstz">
    <w:name w:val="Galvene Rakstz."/>
    <w:basedOn w:val="Noklusjumarindkopasfonts"/>
    <w:link w:val="Galvene"/>
    <w:uiPriority w:val="99"/>
    <w:rsid w:val="00B774EE"/>
  </w:style>
  <w:style w:type="paragraph" w:styleId="Kjene">
    <w:name w:val="footer"/>
    <w:basedOn w:val="Parastais"/>
    <w:link w:val="KjeneRakstz"/>
    <w:uiPriority w:val="99"/>
    <w:semiHidden/>
    <w:unhideWhenUsed/>
    <w:rsid w:val="00B774EE"/>
    <w:pPr>
      <w:tabs>
        <w:tab w:val="center" w:pos="4153"/>
        <w:tab w:val="right" w:pos="8306"/>
      </w:tabs>
    </w:pPr>
  </w:style>
  <w:style w:type="character" w:customStyle="1" w:styleId="KjeneRakstz">
    <w:name w:val="Kājene Rakstz."/>
    <w:basedOn w:val="Noklusjumarindkopasfonts"/>
    <w:link w:val="Kjene"/>
    <w:uiPriority w:val="99"/>
    <w:semiHidden/>
    <w:rsid w:val="00B774EE"/>
  </w:style>
  <w:style w:type="paragraph" w:customStyle="1" w:styleId="naisf">
    <w:name w:val="naisf"/>
    <w:basedOn w:val="Parastais"/>
    <w:rsid w:val="002B37DE"/>
    <w:pPr>
      <w:spacing w:before="100" w:beforeAutospacing="1" w:after="100" w:afterAutospacing="1"/>
    </w:pPr>
    <w:rPr>
      <w:sz w:val="24"/>
      <w:szCs w:val="24"/>
      <w:lang w:val="en-US"/>
    </w:rPr>
  </w:style>
  <w:style w:type="table" w:styleId="Reatabula">
    <w:name w:val="Table Grid"/>
    <w:basedOn w:val="Parastatabula"/>
    <w:uiPriority w:val="59"/>
    <w:rsid w:val="002B37DE"/>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zclums">
    <w:name w:val="Emphasis"/>
    <w:basedOn w:val="Noklusjumarindkopasfonts"/>
    <w:uiPriority w:val="20"/>
    <w:qFormat/>
    <w:rsid w:val="002B37DE"/>
    <w:rPr>
      <w:i/>
      <w:iCs/>
    </w:rPr>
  </w:style>
  <w:style w:type="character" w:customStyle="1" w:styleId="Virsraksts1Rakstz">
    <w:name w:val="Virsraksts 1 Rakstz."/>
    <w:basedOn w:val="Noklusjumarindkopasfonts"/>
    <w:link w:val="Virsraksts1"/>
    <w:rsid w:val="00D12C65"/>
    <w:rPr>
      <w:rFonts w:ascii="Times New Roman" w:eastAsia="Times New Roman" w:hAnsi="Times New Roman" w:cs="Times New Roman"/>
      <w:b/>
      <w:sz w:val="28"/>
      <w:szCs w:val="28"/>
    </w:rPr>
  </w:style>
  <w:style w:type="character" w:customStyle="1" w:styleId="Virsraksts2Rakstz">
    <w:name w:val="Virsraksts 2 Rakstz."/>
    <w:basedOn w:val="Noklusjumarindkopasfonts"/>
    <w:link w:val="Virsraksts2"/>
    <w:uiPriority w:val="9"/>
    <w:rsid w:val="00D12C65"/>
    <w:rPr>
      <w:rFonts w:ascii="Times New Roman" w:eastAsia="Times New Roman" w:hAnsi="Times New Roman" w:cs="Times New Roman"/>
      <w:b/>
      <w:sz w:val="28"/>
      <w:szCs w:val="28"/>
      <w:u w:val="single"/>
    </w:rPr>
  </w:style>
  <w:style w:type="character" w:customStyle="1" w:styleId="Virsraksts3Rakstz">
    <w:name w:val="Virsraksts 3 Rakstz."/>
    <w:basedOn w:val="Noklusjumarindkopasfonts"/>
    <w:link w:val="Virsraksts3"/>
    <w:uiPriority w:val="9"/>
    <w:rsid w:val="00D12C65"/>
    <w:rPr>
      <w:rFonts w:ascii="Times New Roman" w:eastAsia="Times New Roman" w:hAnsi="Times New Roman" w:cs="Times New Roman"/>
      <w:b/>
      <w:i/>
      <w:sz w:val="28"/>
      <w:szCs w:val="28"/>
    </w:rPr>
  </w:style>
  <w:style w:type="paragraph" w:styleId="Sarakstarindkopa">
    <w:name w:val="List Paragraph"/>
    <w:basedOn w:val="Parastais"/>
    <w:uiPriority w:val="34"/>
    <w:qFormat/>
    <w:rsid w:val="00D12C65"/>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uiPriority w:val="99"/>
    <w:unhideWhenUsed/>
    <w:rsid w:val="002C0774"/>
    <w:rPr>
      <w:sz w:val="16"/>
      <w:szCs w:val="16"/>
    </w:rPr>
  </w:style>
  <w:style w:type="paragraph" w:styleId="Komentrateksts">
    <w:name w:val="annotation text"/>
    <w:basedOn w:val="Parastais"/>
    <w:link w:val="KomentratekstsRakstz"/>
    <w:uiPriority w:val="99"/>
    <w:unhideWhenUsed/>
    <w:rsid w:val="002C0774"/>
  </w:style>
  <w:style w:type="character" w:customStyle="1" w:styleId="KomentratekstsRakstz">
    <w:name w:val="Komentāra teksts Rakstz."/>
    <w:basedOn w:val="Noklusjumarindkopasfonts"/>
    <w:link w:val="Komentrateksts"/>
    <w:uiPriority w:val="99"/>
    <w:rsid w:val="002C0774"/>
    <w:rPr>
      <w:rFonts w:ascii="Times New Roman" w:eastAsia="Times New Roman" w:hAnsi="Times New Roman" w:cs="Times New Roman"/>
      <w:sz w:val="20"/>
      <w:szCs w:val="20"/>
    </w:rPr>
  </w:style>
  <w:style w:type="paragraph" w:styleId="Balonteksts">
    <w:name w:val="Balloon Text"/>
    <w:basedOn w:val="Parastais"/>
    <w:link w:val="BalontekstsRakstz"/>
    <w:uiPriority w:val="99"/>
    <w:semiHidden/>
    <w:unhideWhenUsed/>
    <w:rsid w:val="002C077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0774"/>
    <w:rPr>
      <w:rFonts w:ascii="Tahoma" w:eastAsia="Times New Roman" w:hAnsi="Tahoma" w:cs="Tahoma"/>
      <w:sz w:val="16"/>
      <w:szCs w:val="16"/>
    </w:rPr>
  </w:style>
  <w:style w:type="character" w:styleId="Izteiksmgs">
    <w:name w:val="Strong"/>
    <w:basedOn w:val="Noklusjumarindkopasfonts"/>
    <w:qFormat/>
    <w:rsid w:val="006B4812"/>
    <w:rPr>
      <w:b/>
      <w:bCs/>
    </w:rPr>
  </w:style>
  <w:style w:type="paragraph" w:styleId="Vienkrsteksts">
    <w:name w:val="Plain Text"/>
    <w:basedOn w:val="Parastais"/>
    <w:link w:val="VienkrstekstsRakstz"/>
    <w:uiPriority w:val="99"/>
    <w:unhideWhenUsed/>
    <w:rsid w:val="00201675"/>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201675"/>
    <w:rPr>
      <w:rFonts w:ascii="Consolas" w:eastAsia="Calibri" w:hAnsi="Consolas" w:cs="Times New Roman"/>
      <w:sz w:val="21"/>
      <w:szCs w:val="21"/>
    </w:rPr>
  </w:style>
  <w:style w:type="paragraph" w:styleId="Komentratma">
    <w:name w:val="annotation subject"/>
    <w:basedOn w:val="Komentrateksts"/>
    <w:next w:val="Komentrateksts"/>
    <w:link w:val="KomentratmaRakstz"/>
    <w:uiPriority w:val="99"/>
    <w:semiHidden/>
    <w:unhideWhenUsed/>
    <w:rsid w:val="006110B8"/>
    <w:rPr>
      <w:b/>
      <w:bCs/>
    </w:rPr>
  </w:style>
  <w:style w:type="character" w:customStyle="1" w:styleId="KomentratmaRakstz">
    <w:name w:val="Komentāra tēma Rakstz."/>
    <w:basedOn w:val="KomentratekstsRakstz"/>
    <w:link w:val="Komentratma"/>
    <w:uiPriority w:val="99"/>
    <w:semiHidden/>
    <w:rsid w:val="006110B8"/>
    <w:rPr>
      <w:b/>
      <w:bCs/>
    </w:rPr>
  </w:style>
  <w:style w:type="character" w:styleId="Hipersaite">
    <w:name w:val="Hyperlink"/>
    <w:basedOn w:val="Noklusjumarindkopasfonts"/>
    <w:uiPriority w:val="99"/>
    <w:unhideWhenUsed/>
    <w:rsid w:val="0068721C"/>
    <w:rPr>
      <w:color w:val="0000FF" w:themeColor="hyperlink"/>
      <w:u w:val="single"/>
    </w:rPr>
  </w:style>
  <w:style w:type="paragraph" w:styleId="Vresteksts">
    <w:name w:val="footnote text"/>
    <w:basedOn w:val="Parastais"/>
    <w:link w:val="VrestekstsRakstz"/>
    <w:uiPriority w:val="99"/>
    <w:unhideWhenUsed/>
    <w:rsid w:val="006450EF"/>
    <w:rPr>
      <w:rFonts w:eastAsia="Calibri"/>
      <w:lang w:eastAsia="lv-LV"/>
    </w:rPr>
  </w:style>
  <w:style w:type="character" w:customStyle="1" w:styleId="VrestekstsRakstz">
    <w:name w:val="Vēres teksts Rakstz."/>
    <w:basedOn w:val="Noklusjumarindkopasfonts"/>
    <w:link w:val="Vresteksts"/>
    <w:uiPriority w:val="99"/>
    <w:rsid w:val="006450EF"/>
    <w:rPr>
      <w:rFonts w:ascii="Times New Roman" w:eastAsia="Calibri" w:hAnsi="Times New Roman" w:cs="Times New Roman"/>
      <w:sz w:val="20"/>
      <w:szCs w:val="20"/>
      <w:lang w:eastAsia="lv-LV"/>
    </w:rPr>
  </w:style>
  <w:style w:type="character" w:styleId="Vresatsauce">
    <w:name w:val="footnote reference"/>
    <w:basedOn w:val="Noklusjumarindkopasfonts"/>
    <w:uiPriority w:val="99"/>
    <w:semiHidden/>
    <w:unhideWhenUsed/>
    <w:rsid w:val="006450EF"/>
    <w:rPr>
      <w:vertAlign w:val="superscript"/>
    </w:rPr>
  </w:style>
</w:styles>
</file>

<file path=word/webSettings.xml><?xml version="1.0" encoding="utf-8"?>
<w:webSettings xmlns:r="http://schemas.openxmlformats.org/officeDocument/2006/relationships" xmlns:w="http://schemas.openxmlformats.org/wordprocessingml/2006/main">
  <w:divs>
    <w:div w:id="217204382">
      <w:bodyDiv w:val="1"/>
      <w:marLeft w:val="0"/>
      <w:marRight w:val="0"/>
      <w:marTop w:val="0"/>
      <w:marBottom w:val="0"/>
      <w:divBdr>
        <w:top w:val="none" w:sz="0" w:space="0" w:color="auto"/>
        <w:left w:val="none" w:sz="0" w:space="0" w:color="auto"/>
        <w:bottom w:val="none" w:sz="0" w:space="0" w:color="auto"/>
        <w:right w:val="none" w:sz="0" w:space="0" w:color="auto"/>
      </w:divBdr>
    </w:div>
    <w:div w:id="271253512">
      <w:bodyDiv w:val="1"/>
      <w:marLeft w:val="0"/>
      <w:marRight w:val="0"/>
      <w:marTop w:val="0"/>
      <w:marBottom w:val="0"/>
      <w:divBdr>
        <w:top w:val="none" w:sz="0" w:space="0" w:color="auto"/>
        <w:left w:val="none" w:sz="0" w:space="0" w:color="auto"/>
        <w:bottom w:val="none" w:sz="0" w:space="0" w:color="auto"/>
        <w:right w:val="none" w:sz="0" w:space="0" w:color="auto"/>
      </w:divBdr>
    </w:div>
    <w:div w:id="359357063">
      <w:bodyDiv w:val="1"/>
      <w:marLeft w:val="0"/>
      <w:marRight w:val="0"/>
      <w:marTop w:val="0"/>
      <w:marBottom w:val="0"/>
      <w:divBdr>
        <w:top w:val="none" w:sz="0" w:space="0" w:color="auto"/>
        <w:left w:val="none" w:sz="0" w:space="0" w:color="auto"/>
        <w:bottom w:val="none" w:sz="0" w:space="0" w:color="auto"/>
        <w:right w:val="none" w:sz="0" w:space="0" w:color="auto"/>
      </w:divBdr>
    </w:div>
    <w:div w:id="464978916">
      <w:bodyDiv w:val="1"/>
      <w:marLeft w:val="0"/>
      <w:marRight w:val="0"/>
      <w:marTop w:val="0"/>
      <w:marBottom w:val="0"/>
      <w:divBdr>
        <w:top w:val="none" w:sz="0" w:space="0" w:color="auto"/>
        <w:left w:val="none" w:sz="0" w:space="0" w:color="auto"/>
        <w:bottom w:val="none" w:sz="0" w:space="0" w:color="auto"/>
        <w:right w:val="none" w:sz="0" w:space="0" w:color="auto"/>
      </w:divBdr>
    </w:div>
    <w:div w:id="499465890">
      <w:bodyDiv w:val="1"/>
      <w:marLeft w:val="0"/>
      <w:marRight w:val="0"/>
      <w:marTop w:val="0"/>
      <w:marBottom w:val="0"/>
      <w:divBdr>
        <w:top w:val="none" w:sz="0" w:space="0" w:color="auto"/>
        <w:left w:val="none" w:sz="0" w:space="0" w:color="auto"/>
        <w:bottom w:val="none" w:sz="0" w:space="0" w:color="auto"/>
        <w:right w:val="none" w:sz="0" w:space="0" w:color="auto"/>
      </w:divBdr>
    </w:div>
    <w:div w:id="843546111">
      <w:bodyDiv w:val="1"/>
      <w:marLeft w:val="0"/>
      <w:marRight w:val="0"/>
      <w:marTop w:val="0"/>
      <w:marBottom w:val="0"/>
      <w:divBdr>
        <w:top w:val="none" w:sz="0" w:space="0" w:color="auto"/>
        <w:left w:val="none" w:sz="0" w:space="0" w:color="auto"/>
        <w:bottom w:val="none" w:sz="0" w:space="0" w:color="auto"/>
        <w:right w:val="none" w:sz="0" w:space="0" w:color="auto"/>
      </w:divBdr>
    </w:div>
    <w:div w:id="854687550">
      <w:bodyDiv w:val="1"/>
      <w:marLeft w:val="0"/>
      <w:marRight w:val="0"/>
      <w:marTop w:val="0"/>
      <w:marBottom w:val="0"/>
      <w:divBdr>
        <w:top w:val="none" w:sz="0" w:space="0" w:color="auto"/>
        <w:left w:val="none" w:sz="0" w:space="0" w:color="auto"/>
        <w:bottom w:val="none" w:sz="0" w:space="0" w:color="auto"/>
        <w:right w:val="none" w:sz="0" w:space="0" w:color="auto"/>
      </w:divBdr>
    </w:div>
    <w:div w:id="1070539736">
      <w:bodyDiv w:val="1"/>
      <w:marLeft w:val="0"/>
      <w:marRight w:val="0"/>
      <w:marTop w:val="0"/>
      <w:marBottom w:val="0"/>
      <w:divBdr>
        <w:top w:val="none" w:sz="0" w:space="0" w:color="auto"/>
        <w:left w:val="none" w:sz="0" w:space="0" w:color="auto"/>
        <w:bottom w:val="none" w:sz="0" w:space="0" w:color="auto"/>
        <w:right w:val="none" w:sz="0" w:space="0" w:color="auto"/>
      </w:divBdr>
    </w:div>
    <w:div w:id="1232958529">
      <w:bodyDiv w:val="1"/>
      <w:marLeft w:val="0"/>
      <w:marRight w:val="0"/>
      <w:marTop w:val="0"/>
      <w:marBottom w:val="0"/>
      <w:divBdr>
        <w:top w:val="none" w:sz="0" w:space="0" w:color="auto"/>
        <w:left w:val="none" w:sz="0" w:space="0" w:color="auto"/>
        <w:bottom w:val="none" w:sz="0" w:space="0" w:color="auto"/>
        <w:right w:val="none" w:sz="0" w:space="0" w:color="auto"/>
      </w:divBdr>
    </w:div>
    <w:div w:id="1291398472">
      <w:bodyDiv w:val="1"/>
      <w:marLeft w:val="0"/>
      <w:marRight w:val="0"/>
      <w:marTop w:val="0"/>
      <w:marBottom w:val="0"/>
      <w:divBdr>
        <w:top w:val="none" w:sz="0" w:space="0" w:color="auto"/>
        <w:left w:val="none" w:sz="0" w:space="0" w:color="auto"/>
        <w:bottom w:val="none" w:sz="0" w:space="0" w:color="auto"/>
        <w:right w:val="none" w:sz="0" w:space="0" w:color="auto"/>
      </w:divBdr>
    </w:div>
    <w:div w:id="1325619411">
      <w:bodyDiv w:val="1"/>
      <w:marLeft w:val="0"/>
      <w:marRight w:val="0"/>
      <w:marTop w:val="0"/>
      <w:marBottom w:val="0"/>
      <w:divBdr>
        <w:top w:val="none" w:sz="0" w:space="0" w:color="auto"/>
        <w:left w:val="none" w:sz="0" w:space="0" w:color="auto"/>
        <w:bottom w:val="none" w:sz="0" w:space="0" w:color="auto"/>
        <w:right w:val="none" w:sz="0" w:space="0" w:color="auto"/>
      </w:divBdr>
    </w:div>
    <w:div w:id="1605651462">
      <w:bodyDiv w:val="1"/>
      <w:marLeft w:val="0"/>
      <w:marRight w:val="0"/>
      <w:marTop w:val="0"/>
      <w:marBottom w:val="0"/>
      <w:divBdr>
        <w:top w:val="none" w:sz="0" w:space="0" w:color="auto"/>
        <w:left w:val="none" w:sz="0" w:space="0" w:color="auto"/>
        <w:bottom w:val="none" w:sz="0" w:space="0" w:color="auto"/>
        <w:right w:val="none" w:sz="0" w:space="0" w:color="auto"/>
      </w:divBdr>
    </w:div>
    <w:div w:id="1610897164">
      <w:bodyDiv w:val="1"/>
      <w:marLeft w:val="0"/>
      <w:marRight w:val="0"/>
      <w:marTop w:val="0"/>
      <w:marBottom w:val="0"/>
      <w:divBdr>
        <w:top w:val="none" w:sz="0" w:space="0" w:color="auto"/>
        <w:left w:val="none" w:sz="0" w:space="0" w:color="auto"/>
        <w:bottom w:val="none" w:sz="0" w:space="0" w:color="auto"/>
        <w:right w:val="none" w:sz="0" w:space="0" w:color="auto"/>
      </w:divBdr>
    </w:div>
    <w:div w:id="1861892774">
      <w:bodyDiv w:val="1"/>
      <w:marLeft w:val="0"/>
      <w:marRight w:val="0"/>
      <w:marTop w:val="0"/>
      <w:marBottom w:val="0"/>
      <w:divBdr>
        <w:top w:val="none" w:sz="0" w:space="0" w:color="auto"/>
        <w:left w:val="none" w:sz="0" w:space="0" w:color="auto"/>
        <w:bottom w:val="none" w:sz="0" w:space="0" w:color="auto"/>
        <w:right w:val="none" w:sz="0" w:space="0" w:color="auto"/>
      </w:divBdr>
    </w:div>
    <w:div w:id="19793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stantins.Karpovs@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Andersone@v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Agita.Rengarte@vm.gov.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vnozare.pri\vm\Redirect_profiles\epodvizenko\My%20Documents\slimnicu%20kvota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vm\stukturvienibas\_BD\BD_ANnod\Kapitalsabiedribas\Info_zin_Kap_sab_zaud&#275;jumi\Precizets%20pec%20atzinumiem\Valdibas_izdevumi_veselibai_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4.1195347033975496E-2"/>
          <c:y val="0.11342596881272196"/>
          <c:w val="0.54721420096460549"/>
          <c:h val="0.82407407407408206"/>
        </c:manualLayout>
      </c:layout>
      <c:ofPieChart>
        <c:ofPieType val="pie"/>
        <c:varyColors val="1"/>
        <c:ser>
          <c:idx val="0"/>
          <c:order val="0"/>
          <c:dLbls>
            <c:showPercent val="1"/>
          </c:dLbls>
          <c:cat>
            <c:strRef>
              <c:f>Sheet1!$A$11:$A$14</c:f>
              <c:strCache>
                <c:ptCount val="4"/>
                <c:pt idx="0">
                  <c:v>Atlīdzības </c:v>
                </c:pt>
                <c:pt idx="1">
                  <c:v>Procentu maksājumi</c:v>
                </c:pt>
                <c:pt idx="2">
                  <c:v>Preces un pakalpojumi</c:v>
                </c:pt>
                <c:pt idx="3">
                  <c:v>Medikamenti un medicīnas preces</c:v>
                </c:pt>
              </c:strCache>
            </c:strRef>
          </c:cat>
          <c:val>
            <c:numRef>
              <c:f>Sheet1!$B$11:$B$14</c:f>
              <c:numCache>
                <c:formatCode>General</c:formatCode>
                <c:ptCount val="4"/>
                <c:pt idx="0">
                  <c:v>88642127</c:v>
                </c:pt>
                <c:pt idx="1">
                  <c:v>1521994</c:v>
                </c:pt>
                <c:pt idx="2">
                  <c:v>31845127</c:v>
                </c:pt>
                <c:pt idx="3">
                  <c:v>45573531</c:v>
                </c:pt>
              </c:numCache>
            </c:numRef>
          </c:val>
        </c:ser>
        <c:gapWidth val="100"/>
        <c:secondPieSize val="75"/>
        <c:serLines/>
      </c:of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rgbClr val="0070C0"/>
            </a:solidFill>
          </c:spPr>
          <c:dPt>
            <c:idx val="20"/>
            <c:spPr>
              <a:solidFill>
                <a:srgbClr val="92D050"/>
              </a:solidFill>
            </c:spPr>
          </c:dPt>
          <c:dPt>
            <c:idx val="26"/>
            <c:spPr>
              <a:solidFill>
                <a:srgbClr val="C00000"/>
              </a:solidFill>
            </c:spPr>
          </c:dPt>
          <c:cat>
            <c:strRef>
              <c:f>Lapa2!$B$4:$B$32</c:f>
              <c:strCache>
                <c:ptCount val="29"/>
                <c:pt idx="0">
                  <c:v>Nīderlande</c:v>
                </c:pt>
                <c:pt idx="1">
                  <c:v>Dānija</c:v>
                </c:pt>
                <c:pt idx="2">
                  <c:v>Francija</c:v>
                </c:pt>
                <c:pt idx="3">
                  <c:v>Apvienotā Karaliste</c:v>
                </c:pt>
                <c:pt idx="4">
                  <c:v>Beļģija</c:v>
                </c:pt>
                <c:pt idx="5">
                  <c:v>Čehija</c:v>
                </c:pt>
                <c:pt idx="6">
                  <c:v>Austrija</c:v>
                </c:pt>
                <c:pt idx="7">
                  <c:v>Somija</c:v>
                </c:pt>
                <c:pt idx="8">
                  <c:v>Islande</c:v>
                </c:pt>
                <c:pt idx="9">
                  <c:v>Īrija</c:v>
                </c:pt>
                <c:pt idx="10">
                  <c:v>Itālija</c:v>
                </c:pt>
                <c:pt idx="11">
                  <c:v>Norvēģija</c:v>
                </c:pt>
                <c:pt idx="12">
                  <c:v>Vācija</c:v>
                </c:pt>
                <c:pt idx="13">
                  <c:v>Zviedrija</c:v>
                </c:pt>
                <c:pt idx="14">
                  <c:v>Slovēnija</c:v>
                </c:pt>
                <c:pt idx="15">
                  <c:v>Portugāle</c:v>
                </c:pt>
                <c:pt idx="16">
                  <c:v>Spānija</c:v>
                </c:pt>
                <c:pt idx="17">
                  <c:v>Grieķija</c:v>
                </c:pt>
                <c:pt idx="18">
                  <c:v>Slovākija</c:v>
                </c:pt>
                <c:pt idx="19">
                  <c:v>Malta</c:v>
                </c:pt>
                <c:pt idx="20">
                  <c:v>Lietuva</c:v>
                </c:pt>
                <c:pt idx="21">
                  <c:v>Igaunija</c:v>
                </c:pt>
                <c:pt idx="22">
                  <c:v>Ungārija</c:v>
                </c:pt>
                <c:pt idx="23">
                  <c:v>Luksemburga</c:v>
                </c:pt>
                <c:pt idx="24">
                  <c:v>Polija</c:v>
                </c:pt>
                <c:pt idx="25">
                  <c:v>Bulgārija</c:v>
                </c:pt>
                <c:pt idx="26">
                  <c:v>Latvija</c:v>
                </c:pt>
                <c:pt idx="27">
                  <c:v>Kipra</c:v>
                </c:pt>
                <c:pt idx="28">
                  <c:v>Rumānija</c:v>
                </c:pt>
              </c:strCache>
            </c:strRef>
          </c:cat>
          <c:val>
            <c:numRef>
              <c:f>Lapa2!$C$4:$C$32</c:f>
              <c:numCache>
                <c:formatCode>General</c:formatCode>
                <c:ptCount val="29"/>
                <c:pt idx="0">
                  <c:v>8.5</c:v>
                </c:pt>
                <c:pt idx="1">
                  <c:v>8.4</c:v>
                </c:pt>
                <c:pt idx="2">
                  <c:v>8.3000000000000007</c:v>
                </c:pt>
                <c:pt idx="3" formatCode="0.0">
                  <c:v>8</c:v>
                </c:pt>
                <c:pt idx="4">
                  <c:v>7.9</c:v>
                </c:pt>
                <c:pt idx="5">
                  <c:v>7.8</c:v>
                </c:pt>
                <c:pt idx="6">
                  <c:v>7.8</c:v>
                </c:pt>
                <c:pt idx="7">
                  <c:v>7.8</c:v>
                </c:pt>
                <c:pt idx="8">
                  <c:v>7.6</c:v>
                </c:pt>
                <c:pt idx="9">
                  <c:v>7.5</c:v>
                </c:pt>
                <c:pt idx="10">
                  <c:v>7.4</c:v>
                </c:pt>
                <c:pt idx="11">
                  <c:v>7.3</c:v>
                </c:pt>
                <c:pt idx="12" formatCode="0.0">
                  <c:v>7</c:v>
                </c:pt>
                <c:pt idx="13" formatCode="0.0">
                  <c:v>7</c:v>
                </c:pt>
                <c:pt idx="14">
                  <c:v>6.9</c:v>
                </c:pt>
                <c:pt idx="15">
                  <c:v>6.8</c:v>
                </c:pt>
                <c:pt idx="16">
                  <c:v>6.3</c:v>
                </c:pt>
                <c:pt idx="17" formatCode="0.0">
                  <c:v>6</c:v>
                </c:pt>
                <c:pt idx="18">
                  <c:v>5.9</c:v>
                </c:pt>
                <c:pt idx="19">
                  <c:v>5.6</c:v>
                </c:pt>
                <c:pt idx="20">
                  <c:v>5.2</c:v>
                </c:pt>
                <c:pt idx="21">
                  <c:v>5.0999999999999996</c:v>
                </c:pt>
                <c:pt idx="22">
                  <c:v>5.0999999999999996</c:v>
                </c:pt>
                <c:pt idx="23">
                  <c:v>4.8</c:v>
                </c:pt>
                <c:pt idx="24">
                  <c:v>4.7</c:v>
                </c:pt>
                <c:pt idx="25">
                  <c:v>4.5999999999999996</c:v>
                </c:pt>
                <c:pt idx="26">
                  <c:v>4.0999999999999996</c:v>
                </c:pt>
                <c:pt idx="27">
                  <c:v>3.4</c:v>
                </c:pt>
                <c:pt idx="28">
                  <c:v>3.4</c:v>
                </c:pt>
              </c:numCache>
            </c:numRef>
          </c:val>
        </c:ser>
        <c:axId val="75081216"/>
        <c:axId val="75082752"/>
      </c:barChart>
      <c:lineChart>
        <c:grouping val="standard"/>
        <c:ser>
          <c:idx val="1"/>
          <c:order val="1"/>
          <c:spPr>
            <a:ln>
              <a:solidFill>
                <a:srgbClr val="FF0000"/>
              </a:solidFill>
            </a:ln>
          </c:spPr>
          <c:marker>
            <c:symbol val="none"/>
          </c:marker>
          <c:dLbls>
            <c:dLbl>
              <c:idx val="27"/>
              <c:layout>
                <c:manualLayout>
                  <c:x val="-1.7280402449693789E-2"/>
                  <c:y val="-3.1343135786845409E-2"/>
                </c:manualLayout>
              </c:layout>
              <c:tx>
                <c:rich>
                  <a:bodyPr/>
                  <a:lstStyle/>
                  <a:p>
                    <a:r>
                      <a:rPr lang="lv-LV" sz="1200" b="1" dirty="0">
                        <a:solidFill>
                          <a:srgbClr val="FF0000"/>
                        </a:solidFill>
                        <a:latin typeface="Times New Roman" pitchFamily="18" charset="0"/>
                        <a:cs typeface="Times New Roman" pitchFamily="18" charset="0"/>
                      </a:rPr>
                      <a:t>ES 27</a:t>
                    </a:r>
                    <a:endParaRPr lang="en-US" sz="1200" b="1" dirty="0">
                      <a:solidFill>
                        <a:srgbClr val="FF0000"/>
                      </a:solidFill>
                      <a:latin typeface="Times New Roman" pitchFamily="18" charset="0"/>
                      <a:cs typeface="Times New Roman" pitchFamily="18" charset="0"/>
                    </a:endParaRPr>
                  </a:p>
                </c:rich>
              </c:tx>
              <c:showVal val="1"/>
            </c:dLbl>
            <c:delete val="1"/>
            <c:spPr>
              <a:noFill/>
            </c:spPr>
            <c:txPr>
              <a:bodyPr/>
              <a:lstStyle/>
              <a:p>
                <a:pPr>
                  <a:defRPr>
                    <a:solidFill>
                      <a:srgbClr val="C00000"/>
                    </a:solidFill>
                  </a:defRPr>
                </a:pPr>
                <a:endParaRPr lang="lv-LV"/>
              </a:p>
            </c:txPr>
          </c:dLbls>
          <c:cat>
            <c:strRef>
              <c:f>Lapa2!$B$4:$B$32</c:f>
              <c:strCache>
                <c:ptCount val="29"/>
                <c:pt idx="0">
                  <c:v>Nīderlande</c:v>
                </c:pt>
                <c:pt idx="1">
                  <c:v>Dānija</c:v>
                </c:pt>
                <c:pt idx="2">
                  <c:v>Francija</c:v>
                </c:pt>
                <c:pt idx="3">
                  <c:v>Apvienotā Karaliste</c:v>
                </c:pt>
                <c:pt idx="4">
                  <c:v>Beļģija</c:v>
                </c:pt>
                <c:pt idx="5">
                  <c:v>Čehija</c:v>
                </c:pt>
                <c:pt idx="6">
                  <c:v>Austrija</c:v>
                </c:pt>
                <c:pt idx="7">
                  <c:v>Somija</c:v>
                </c:pt>
                <c:pt idx="8">
                  <c:v>Islande</c:v>
                </c:pt>
                <c:pt idx="9">
                  <c:v>Īrija</c:v>
                </c:pt>
                <c:pt idx="10">
                  <c:v>Itālija</c:v>
                </c:pt>
                <c:pt idx="11">
                  <c:v>Norvēģija</c:v>
                </c:pt>
                <c:pt idx="12">
                  <c:v>Vācija</c:v>
                </c:pt>
                <c:pt idx="13">
                  <c:v>Zviedrija</c:v>
                </c:pt>
                <c:pt idx="14">
                  <c:v>Slovēnija</c:v>
                </c:pt>
                <c:pt idx="15">
                  <c:v>Portugāle</c:v>
                </c:pt>
                <c:pt idx="16">
                  <c:v>Spānija</c:v>
                </c:pt>
                <c:pt idx="17">
                  <c:v>Grieķija</c:v>
                </c:pt>
                <c:pt idx="18">
                  <c:v>Slovākija</c:v>
                </c:pt>
                <c:pt idx="19">
                  <c:v>Malta</c:v>
                </c:pt>
                <c:pt idx="20">
                  <c:v>Lietuva</c:v>
                </c:pt>
                <c:pt idx="21">
                  <c:v>Igaunija</c:v>
                </c:pt>
                <c:pt idx="22">
                  <c:v>Ungārija</c:v>
                </c:pt>
                <c:pt idx="23">
                  <c:v>Luksemburga</c:v>
                </c:pt>
                <c:pt idx="24">
                  <c:v>Polija</c:v>
                </c:pt>
                <c:pt idx="25">
                  <c:v>Bulgārija</c:v>
                </c:pt>
                <c:pt idx="26">
                  <c:v>Latvija</c:v>
                </c:pt>
                <c:pt idx="27">
                  <c:v>Kipra</c:v>
                </c:pt>
                <c:pt idx="28">
                  <c:v>Rumānija</c:v>
                </c:pt>
              </c:strCache>
            </c:strRef>
          </c:cat>
          <c:val>
            <c:numRef>
              <c:f>Lapa2!$D$4:$D$32</c:f>
              <c:numCache>
                <c:formatCode>General</c:formatCode>
                <c:ptCount val="29"/>
                <c:pt idx="0">
                  <c:v>7.4</c:v>
                </c:pt>
                <c:pt idx="1">
                  <c:v>7.4</c:v>
                </c:pt>
                <c:pt idx="2">
                  <c:v>7.4</c:v>
                </c:pt>
                <c:pt idx="3">
                  <c:v>7.4</c:v>
                </c:pt>
                <c:pt idx="4">
                  <c:v>7.4</c:v>
                </c:pt>
                <c:pt idx="5">
                  <c:v>7.4</c:v>
                </c:pt>
                <c:pt idx="6">
                  <c:v>7.4</c:v>
                </c:pt>
                <c:pt idx="7">
                  <c:v>7.4</c:v>
                </c:pt>
                <c:pt idx="8">
                  <c:v>7.4</c:v>
                </c:pt>
                <c:pt idx="9">
                  <c:v>7.4</c:v>
                </c:pt>
                <c:pt idx="10">
                  <c:v>7.4</c:v>
                </c:pt>
                <c:pt idx="11">
                  <c:v>7.4</c:v>
                </c:pt>
                <c:pt idx="12">
                  <c:v>7.4</c:v>
                </c:pt>
                <c:pt idx="13">
                  <c:v>7.4</c:v>
                </c:pt>
                <c:pt idx="14">
                  <c:v>7.4</c:v>
                </c:pt>
                <c:pt idx="15">
                  <c:v>7.4</c:v>
                </c:pt>
                <c:pt idx="16">
                  <c:v>7.4</c:v>
                </c:pt>
                <c:pt idx="17">
                  <c:v>7.4</c:v>
                </c:pt>
                <c:pt idx="18">
                  <c:v>7.4</c:v>
                </c:pt>
                <c:pt idx="19">
                  <c:v>7.4</c:v>
                </c:pt>
                <c:pt idx="20">
                  <c:v>7.4</c:v>
                </c:pt>
                <c:pt idx="21">
                  <c:v>7.4</c:v>
                </c:pt>
                <c:pt idx="22">
                  <c:v>7.4</c:v>
                </c:pt>
                <c:pt idx="23">
                  <c:v>7.4</c:v>
                </c:pt>
                <c:pt idx="24">
                  <c:v>7.4</c:v>
                </c:pt>
                <c:pt idx="25">
                  <c:v>7.4</c:v>
                </c:pt>
                <c:pt idx="26">
                  <c:v>7.4</c:v>
                </c:pt>
                <c:pt idx="27">
                  <c:v>7.4</c:v>
                </c:pt>
                <c:pt idx="28">
                  <c:v>7.4</c:v>
                </c:pt>
              </c:numCache>
            </c:numRef>
          </c:val>
        </c:ser>
        <c:marker val="1"/>
        <c:axId val="75081216"/>
        <c:axId val="75082752"/>
      </c:lineChart>
      <c:catAx>
        <c:axId val="75081216"/>
        <c:scaling>
          <c:orientation val="minMax"/>
        </c:scaling>
        <c:axPos val="b"/>
        <c:tickLblPos val="nextTo"/>
        <c:txPr>
          <a:bodyPr/>
          <a:lstStyle/>
          <a:p>
            <a:pPr>
              <a:defRPr sz="1000"/>
            </a:pPr>
            <a:endParaRPr lang="lv-LV"/>
          </a:p>
        </c:txPr>
        <c:crossAx val="75082752"/>
        <c:crosses val="autoZero"/>
        <c:auto val="1"/>
        <c:lblAlgn val="ctr"/>
        <c:lblOffset val="100"/>
      </c:catAx>
      <c:valAx>
        <c:axId val="7508275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lv-LV"/>
          </a:p>
        </c:txPr>
        <c:crossAx val="75081216"/>
        <c:crosses val="autoZero"/>
        <c:crossBetween val="between"/>
      </c:valAx>
      <c:spPr>
        <a:gradFill>
          <a:gsLst>
            <a:gs pos="0">
              <a:srgbClr val="FFEFD1"/>
            </a:gs>
            <a:gs pos="64999">
              <a:srgbClr val="F0EBD5"/>
            </a:gs>
            <a:gs pos="100000">
              <a:srgbClr val="D1C39F"/>
            </a:gs>
          </a:gsLst>
          <a:lin ang="5400000" scaled="0"/>
        </a:gradFill>
      </c:spPr>
    </c:plotArea>
    <c:plotVisOnly val="1"/>
    <c:dispBlanksAs val="gap"/>
  </c:chart>
  <c:spPr>
    <a:solidFill>
      <a:srgbClr val="FFFFFF"/>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9.3002187226596672E-2"/>
          <c:y val="0.13423642089657417"/>
          <c:w val="0.90699784922718063"/>
          <c:h val="0.54127690804511308"/>
        </c:manualLayout>
      </c:layout>
      <c:barChart>
        <c:barDir val="col"/>
        <c:grouping val="clustered"/>
        <c:ser>
          <c:idx val="0"/>
          <c:order val="0"/>
          <c:dPt>
            <c:idx val="3"/>
            <c:spPr>
              <a:solidFill>
                <a:srgbClr val="F79646"/>
              </a:solidFill>
            </c:spPr>
          </c:dPt>
          <c:dPt>
            <c:idx val="10"/>
            <c:spPr>
              <a:solidFill>
                <a:srgbClr val="F79646"/>
              </a:solidFill>
            </c:spPr>
          </c:dPt>
          <c:dPt>
            <c:idx val="16"/>
            <c:spPr>
              <a:solidFill>
                <a:srgbClr val="9BBB59">
                  <a:lumMod val="75000"/>
                </a:srgbClr>
              </a:solidFill>
            </c:spPr>
          </c:dPt>
          <c:dPt>
            <c:idx val="29"/>
            <c:spPr>
              <a:solidFill>
                <a:srgbClr val="FF0000"/>
              </a:solidFill>
            </c:spPr>
          </c:dPt>
          <c:dLbls>
            <c:dLbl>
              <c:idx val="16"/>
              <c:layout/>
              <c:showVal val="1"/>
            </c:dLbl>
            <c:dLbl>
              <c:idx val="29"/>
              <c:layout/>
              <c:showVal val="1"/>
            </c:dLbl>
            <c:delete val="1"/>
          </c:dLbls>
          <c:cat>
            <c:strRef>
              <c:f>Lapa1!$A$3:$A$33</c:f>
              <c:strCache>
                <c:ptCount val="31"/>
                <c:pt idx="0">
                  <c:v>Nīderlande</c:v>
                </c:pt>
                <c:pt idx="1">
                  <c:v>Vācija</c:v>
                </c:pt>
                <c:pt idx="2">
                  <c:v>Horvātija</c:v>
                </c:pt>
                <c:pt idx="3">
                  <c:v>Norvēģija</c:v>
                </c:pt>
                <c:pt idx="4">
                  <c:v>Dānija</c:v>
                </c:pt>
                <c:pt idx="5">
                  <c:v>Apvienotā Karaliste</c:v>
                </c:pt>
                <c:pt idx="6">
                  <c:v>Francija</c:v>
                </c:pt>
                <c:pt idx="7">
                  <c:v>Austrija</c:v>
                </c:pt>
                <c:pt idx="8">
                  <c:v>Luksemburga</c:v>
                </c:pt>
                <c:pt idx="9">
                  <c:v>Spānija</c:v>
                </c:pt>
                <c:pt idx="10">
                  <c:v>Īslande</c:v>
                </c:pt>
                <c:pt idx="11">
                  <c:v>Beļģija</c:v>
                </c:pt>
                <c:pt idx="12">
                  <c:v>Zviedrija</c:v>
                </c:pt>
                <c:pt idx="13">
                  <c:v>Itālija</c:v>
                </c:pt>
                <c:pt idx="14">
                  <c:v>Slovākija</c:v>
                </c:pt>
                <c:pt idx="15">
                  <c:v>Čehija</c:v>
                </c:pt>
                <c:pt idx="16">
                  <c:v>ES 28</c:v>
                </c:pt>
                <c:pt idx="17">
                  <c:v>Īrija</c:v>
                </c:pt>
                <c:pt idx="18">
                  <c:v>Portugāle</c:v>
                </c:pt>
                <c:pt idx="19">
                  <c:v>Malta</c:v>
                </c:pt>
                <c:pt idx="20">
                  <c:v>Grieķija</c:v>
                </c:pt>
                <c:pt idx="21">
                  <c:v>Slovēnija</c:v>
                </c:pt>
                <c:pt idx="22">
                  <c:v>Lietuva</c:v>
                </c:pt>
                <c:pt idx="23">
                  <c:v>Igaunija</c:v>
                </c:pt>
                <c:pt idx="24">
                  <c:v>Somija</c:v>
                </c:pt>
                <c:pt idx="25">
                  <c:v>Rumānija</c:v>
                </c:pt>
                <c:pt idx="26">
                  <c:v>Bulgārija</c:v>
                </c:pt>
                <c:pt idx="27">
                  <c:v>Polija</c:v>
                </c:pt>
                <c:pt idx="28">
                  <c:v>Ungārija</c:v>
                </c:pt>
                <c:pt idx="29">
                  <c:v>Latvija</c:v>
                </c:pt>
                <c:pt idx="30">
                  <c:v>Kipra</c:v>
                </c:pt>
              </c:strCache>
            </c:strRef>
          </c:cat>
          <c:val>
            <c:numRef>
              <c:f>Lapa1!$B$3:$B$33</c:f>
              <c:numCache>
                <c:formatCode>0.0</c:formatCode>
                <c:ptCount val="31"/>
                <c:pt idx="0">
                  <c:v>20.6</c:v>
                </c:pt>
                <c:pt idx="1">
                  <c:v>18.5</c:v>
                </c:pt>
                <c:pt idx="2">
                  <c:v>17.7</c:v>
                </c:pt>
                <c:pt idx="3">
                  <c:v>17.7</c:v>
                </c:pt>
                <c:pt idx="4">
                  <c:v>16.399999999999999</c:v>
                </c:pt>
                <c:pt idx="5">
                  <c:v>15.9</c:v>
                </c:pt>
                <c:pt idx="6">
                  <c:v>15.9</c:v>
                </c:pt>
                <c:pt idx="7">
                  <c:v>15.9</c:v>
                </c:pt>
                <c:pt idx="8">
                  <c:v>15.5</c:v>
                </c:pt>
                <c:pt idx="9">
                  <c:v>15.4</c:v>
                </c:pt>
                <c:pt idx="10">
                  <c:v>15.4</c:v>
                </c:pt>
                <c:pt idx="11">
                  <c:v>15.1</c:v>
                </c:pt>
                <c:pt idx="12">
                  <c:v>14.8</c:v>
                </c:pt>
                <c:pt idx="13">
                  <c:v>14.7</c:v>
                </c:pt>
                <c:pt idx="14">
                  <c:v>14.5</c:v>
                </c:pt>
                <c:pt idx="15">
                  <c:v>14.2</c:v>
                </c:pt>
                <c:pt idx="16">
                  <c:v>13.896428571428572</c:v>
                </c:pt>
                <c:pt idx="17">
                  <c:v>13.5</c:v>
                </c:pt>
                <c:pt idx="18">
                  <c:v>13.4</c:v>
                </c:pt>
                <c:pt idx="19">
                  <c:v>13.3</c:v>
                </c:pt>
                <c:pt idx="20">
                  <c:v>13.2</c:v>
                </c:pt>
                <c:pt idx="21">
                  <c:v>13</c:v>
                </c:pt>
                <c:pt idx="22">
                  <c:v>12.6</c:v>
                </c:pt>
                <c:pt idx="23">
                  <c:v>12.3</c:v>
                </c:pt>
                <c:pt idx="24">
                  <c:v>12.1</c:v>
                </c:pt>
                <c:pt idx="25">
                  <c:v>11.9</c:v>
                </c:pt>
                <c:pt idx="26">
                  <c:v>11.3</c:v>
                </c:pt>
                <c:pt idx="27">
                  <c:v>11</c:v>
                </c:pt>
                <c:pt idx="28">
                  <c:v>10.200000000000001</c:v>
                </c:pt>
                <c:pt idx="29">
                  <c:v>9.3000000000000007</c:v>
                </c:pt>
                <c:pt idx="30">
                  <c:v>6.9</c:v>
                </c:pt>
              </c:numCache>
            </c:numRef>
          </c:val>
        </c:ser>
        <c:axId val="75133312"/>
        <c:axId val="75134848"/>
      </c:barChart>
      <c:catAx>
        <c:axId val="75133312"/>
        <c:scaling>
          <c:orientation val="minMax"/>
        </c:scaling>
        <c:axPos val="b"/>
        <c:tickLblPos val="nextTo"/>
        <c:txPr>
          <a:bodyPr/>
          <a:lstStyle/>
          <a:p>
            <a:pPr>
              <a:defRPr baseline="0"/>
            </a:pPr>
            <a:endParaRPr lang="lv-LV"/>
          </a:p>
        </c:txPr>
        <c:crossAx val="75134848"/>
        <c:crosses val="autoZero"/>
        <c:auto val="1"/>
        <c:lblAlgn val="ctr"/>
        <c:lblOffset val="100"/>
      </c:catAx>
      <c:valAx>
        <c:axId val="75134848"/>
        <c:scaling>
          <c:orientation val="minMax"/>
          <c:max val="22"/>
        </c:scaling>
        <c:axPos val="l"/>
        <c:majorGridlines/>
        <c:numFmt formatCode="0.0" sourceLinked="1"/>
        <c:tickLblPos val="nextTo"/>
        <c:crossAx val="75133312"/>
        <c:crosses val="autoZero"/>
        <c:crossBetween val="between"/>
        <c:majorUnit val="2"/>
      </c:valAx>
    </c:plotArea>
    <c:plotVisOnly val="1"/>
  </c:chart>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ppv2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20DFA-E76F-4D7C-8712-25822D50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66898</Words>
  <Characters>38133</Characters>
  <Application>Microsoft Office Word</Application>
  <DocSecurity>0</DocSecurity>
  <Lines>317</Lines>
  <Paragraphs>209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kapitālsabiedrībām, kurās Veselības ministrija ir kapitāla daļu turētāja, kas 2012.gadu ir noslēgušas ar zaudējumiem</vt:lpstr>
      <vt:lpstr>Informatīvais ziņojums par kapitālsabiedrībām, kurās Veselības ministrija ir kapitāla daļu turētāja, kas 2012.gadu ir noslēgušas ar zaudējumiem</vt:lpstr>
    </vt:vector>
  </TitlesOfParts>
  <Company>Veselības ministrija</Company>
  <LinksUpToDate>false</LinksUpToDate>
  <CharactersWithSpaces>104822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kapitālsabiedrībām, kurās Veselības ministrija ir kapitāla daļu turētāja, kas 2012.gadu ir noslēgušas ar zaudējumiem</dc:title>
  <dc:subject>informatīvais ziņojums</dc:subject>
  <dc:creator>Inese Andersone</dc:creator>
  <dc:description>Inese.Andersone@vm.gov.lv,_x000d_
tel.67876187</dc:description>
  <cp:lastModifiedBy>iandersone</cp:lastModifiedBy>
  <cp:revision>28</cp:revision>
  <cp:lastPrinted>2014-01-17T11:46:00Z</cp:lastPrinted>
  <dcterms:created xsi:type="dcterms:W3CDTF">2014-03-29T21:58:00Z</dcterms:created>
  <dcterms:modified xsi:type="dcterms:W3CDTF">2014-05-16T11:35:00Z</dcterms:modified>
</cp:coreProperties>
</file>