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69" w:rsidRPr="00BB4169" w:rsidRDefault="00BB4169" w:rsidP="00BB4169">
      <w:pPr>
        <w:spacing w:after="0" w:line="20" w:lineRule="atLeast"/>
        <w:jc w:val="center"/>
        <w:rPr>
          <w:rFonts w:ascii="Times New Roman" w:hAnsi="Times New Roman" w:cs="Times New Roman"/>
          <w:b/>
          <w:sz w:val="28"/>
          <w:szCs w:val="28"/>
        </w:rPr>
      </w:pPr>
      <w:r w:rsidRPr="00BB4169">
        <w:rPr>
          <w:rFonts w:ascii="Times New Roman" w:hAnsi="Times New Roman" w:cs="Times New Roman"/>
          <w:b/>
          <w:sz w:val="28"/>
          <w:szCs w:val="28"/>
        </w:rPr>
        <w:t xml:space="preserve">Ministru kabineta rīkojuma projekta </w:t>
      </w:r>
      <w:r w:rsidRPr="00BB4169">
        <w:rPr>
          <w:rFonts w:ascii="Times New Roman" w:hAnsi="Times New Roman" w:cs="Times New Roman"/>
          <w:b/>
          <w:bCs/>
          <w:sz w:val="28"/>
          <w:szCs w:val="28"/>
        </w:rPr>
        <w:t>„</w:t>
      </w:r>
      <w:r w:rsidRPr="00BB4169">
        <w:rPr>
          <w:rFonts w:ascii="Times New Roman" w:hAnsi="Times New Roman" w:cs="Times New Roman"/>
          <w:b/>
          <w:sz w:val="28"/>
          <w:szCs w:val="28"/>
        </w:rPr>
        <w:t>Par valsts nekustamo īpašumu ieguldīšanu sabiedrības ar ierobežotu atbildību „Latvijas Lauku konsultāciju un izglītības centrs” pamatkapitālā” sākotnējās ietekmes novērtējuma ziņojums (anotācija)</w:t>
      </w: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
        <w:gridCol w:w="1773"/>
        <w:gridCol w:w="7084"/>
      </w:tblGrid>
      <w:tr w:rsidR="00BB4169" w:rsidRPr="00BB4169" w:rsidTr="003326E1">
        <w:trPr>
          <w:trHeight w:val="419"/>
        </w:trPr>
        <w:tc>
          <w:tcPr>
            <w:tcW w:w="5000" w:type="pct"/>
            <w:gridSpan w:val="3"/>
            <w:vAlign w:val="center"/>
          </w:tcPr>
          <w:p w:rsidR="00BB4169" w:rsidRPr="00BB4169" w:rsidRDefault="00BB4169" w:rsidP="00BB4169">
            <w:pPr>
              <w:spacing w:after="0" w:line="20" w:lineRule="atLeast"/>
              <w:jc w:val="both"/>
              <w:rPr>
                <w:rFonts w:ascii="Times New Roman" w:hAnsi="Times New Roman" w:cs="Times New Roman"/>
                <w:b/>
                <w:sz w:val="28"/>
                <w:szCs w:val="28"/>
              </w:rPr>
            </w:pPr>
            <w:r w:rsidRPr="00BB4169">
              <w:rPr>
                <w:rFonts w:ascii="Times New Roman" w:hAnsi="Times New Roman" w:cs="Times New Roman"/>
                <w:b/>
                <w:sz w:val="28"/>
                <w:szCs w:val="28"/>
              </w:rPr>
              <w:t>I. Tiesību akta projekta izstrādes nepieciešamība</w:t>
            </w:r>
          </w:p>
        </w:tc>
      </w:tr>
      <w:tr w:rsidR="00BB4169" w:rsidRPr="00BB4169" w:rsidTr="003326E1">
        <w:trPr>
          <w:trHeight w:val="415"/>
        </w:trPr>
        <w:tc>
          <w:tcPr>
            <w:tcW w:w="459" w:type="pct"/>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1.</w:t>
            </w:r>
          </w:p>
        </w:tc>
        <w:tc>
          <w:tcPr>
            <w:tcW w:w="1340" w:type="pct"/>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Pamatojums</w:t>
            </w:r>
          </w:p>
        </w:tc>
        <w:tc>
          <w:tcPr>
            <w:tcW w:w="3201" w:type="pct"/>
          </w:tcPr>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bCs/>
                <w:sz w:val="28"/>
                <w:szCs w:val="28"/>
              </w:rPr>
              <w:t xml:space="preserve">  Publiskas personas mantas atsavināšanas likuma 40.pants, Valsts pārvaldes iekārtas likuma 88.panta pirmās daļas 1. punkts.</w:t>
            </w:r>
          </w:p>
        </w:tc>
      </w:tr>
      <w:tr w:rsidR="00BB4169" w:rsidRPr="00BB4169" w:rsidTr="003326E1">
        <w:trPr>
          <w:trHeight w:val="472"/>
        </w:trPr>
        <w:tc>
          <w:tcPr>
            <w:tcW w:w="459" w:type="pct"/>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2.</w:t>
            </w:r>
          </w:p>
        </w:tc>
        <w:tc>
          <w:tcPr>
            <w:tcW w:w="1340" w:type="pct"/>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Pašreizējā situācija un problēmas, kuru risināšanai tiesību akta projekts izstrādāts, tiesiskā regulējuma mērķis un būtība</w:t>
            </w:r>
          </w:p>
        </w:tc>
        <w:tc>
          <w:tcPr>
            <w:tcW w:w="3201" w:type="pct"/>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Sabiedrība ar ierobežotu atbildību „Latvijas Lauku konsultāciju un izglītības centrs” (turpmāk –</w:t>
            </w:r>
            <w:r w:rsidRPr="00BB4169">
              <w:rPr>
                <w:rFonts w:ascii="Times New Roman" w:hAnsi="Times New Roman" w:cs="Times New Roman"/>
                <w:b/>
                <w:sz w:val="28"/>
                <w:szCs w:val="28"/>
              </w:rPr>
              <w:t xml:space="preserve"> </w:t>
            </w:r>
            <w:r w:rsidRPr="00BB4169">
              <w:rPr>
                <w:rFonts w:ascii="Times New Roman" w:hAnsi="Times New Roman" w:cs="Times New Roman"/>
                <w:sz w:val="28"/>
                <w:szCs w:val="28"/>
              </w:rPr>
              <w:t>LLKC)  2014.gada 23.maija dalībnieku sapulcē (protokols Nr.23/05/2014/2) nolēma, lai veicinātu LLKC attīstību un saglabātu kapitālsabiedrības konkurētspēju, palielināt LLKC pamatkapitālu par  EUR 295 000, ieguldot LLKC pamatkapitālā valsts nekustamos īpašumus:</w:t>
            </w:r>
          </w:p>
          <w:p w:rsidR="00BB4169" w:rsidRPr="00BB4169" w:rsidRDefault="00BB4169" w:rsidP="00BB4169">
            <w:pPr>
              <w:numPr>
                <w:ilvl w:val="0"/>
                <w:numId w:val="2"/>
              </w:num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Eduarda Veidenbauma ielā 9, Tukumā ar kadastra Nr.9001 004 0684 – 95 000 EUR vērtībā;</w:t>
            </w:r>
          </w:p>
          <w:p w:rsidR="00BB4169" w:rsidRPr="00BB4169" w:rsidRDefault="00BB4169" w:rsidP="00BB4169">
            <w:pPr>
              <w:numPr>
                <w:ilvl w:val="0"/>
                <w:numId w:val="2"/>
              </w:num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Brīvības iela ielā 46A, Balvos ar kadastra Nr.3801 003 0478 001 – 110 000 EUR vērtībā;</w:t>
            </w:r>
          </w:p>
          <w:p w:rsidR="00BB4169" w:rsidRPr="00BB4169" w:rsidRDefault="00BB4169" w:rsidP="00BB4169">
            <w:pPr>
              <w:numPr>
                <w:ilvl w:val="0"/>
                <w:numId w:val="2"/>
              </w:num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„Pakalnieši”, Vestienas pagastā, Madonas novadā ar kadastra Nr.7096 004 0101 – 90 000 EUR vērtībā,</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un lūgt Zemkopības ministriju, kā valsts kapitāla daļu turētāju (99,08%)  atbalstīt LLKC dalībnieku lēmumu un ieguldīt minētos valsts nekustamos īpašumus LLKC pamatkapitālā.</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LLKC kapitāldaļu turētājas ir Zemkopības ministrija un biedrība „Latvijas Zemnieku federācija” (turpmāk – Zemnieku federācija). Pamatkapitāls uz 2013.gada 31.decembri</w:t>
            </w:r>
            <w:r w:rsidRPr="00BB4169">
              <w:rPr>
                <w:rFonts w:ascii="Times New Roman" w:hAnsi="Times New Roman" w:cs="Times New Roman"/>
                <w:bCs/>
                <w:sz w:val="28"/>
                <w:szCs w:val="28"/>
              </w:rPr>
              <w:t xml:space="preserve"> sastāda LVL 593 396,00</w:t>
            </w:r>
            <w:r w:rsidRPr="00BB4169">
              <w:rPr>
                <w:rFonts w:ascii="Times New Roman" w:hAnsi="Times New Roman" w:cs="Times New Roman"/>
                <w:sz w:val="28"/>
                <w:szCs w:val="28"/>
              </w:rPr>
              <w:t xml:space="preserve"> (pieci simti deviņdesmit trīs tūkstoši trīs simti deviņdesmit seši lati 00 santīmi), kas ir ekvivalents summai EUR 844 326,37, kas sastāv no </w:t>
            </w:r>
            <w:r w:rsidRPr="00BB4169">
              <w:rPr>
                <w:rFonts w:ascii="Times New Roman" w:hAnsi="Times New Roman" w:cs="Times New Roman"/>
                <w:bCs/>
                <w:sz w:val="28"/>
                <w:szCs w:val="28"/>
              </w:rPr>
              <w:t xml:space="preserve">436 vienādām daļām - LR Zemkopības Ministrijai pieder 432 daļas </w:t>
            </w:r>
            <w:smartTag w:uri="schemas-tilde-lv/tildestengine" w:element="currency2">
              <w:smartTagPr>
                <w:attr w:name="currency_id" w:val="48"/>
                <w:attr w:name="currency_key" w:val="LVL"/>
                <w:attr w:name="currency_value" w:val="1"/>
                <w:attr w:name="currency_text" w:val="LVL"/>
              </w:smartTagPr>
              <w:r w:rsidRPr="00BB4169">
                <w:rPr>
                  <w:rFonts w:ascii="Times New Roman" w:hAnsi="Times New Roman" w:cs="Times New Roman"/>
                  <w:bCs/>
                  <w:sz w:val="28"/>
                  <w:szCs w:val="28"/>
                </w:rPr>
                <w:t>LVL</w:t>
              </w:r>
            </w:smartTag>
            <w:r w:rsidRPr="00BB4169">
              <w:rPr>
                <w:rFonts w:ascii="Times New Roman" w:hAnsi="Times New Roman" w:cs="Times New Roman"/>
                <w:bCs/>
                <w:sz w:val="28"/>
                <w:szCs w:val="28"/>
              </w:rPr>
              <w:t xml:space="preserve"> 587 952 vērtībā, kas ir ekvivalents summai EUR 836 580,31, t.i. 99.08%, Zemnieku federācijai - 4 daļas </w:t>
            </w:r>
            <w:smartTag w:uri="schemas-tilde-lv/tildestengine" w:element="currency2">
              <w:smartTagPr>
                <w:attr w:name="currency_id" w:val="48"/>
                <w:attr w:name="currency_key" w:val="LVL"/>
                <w:attr w:name="currency_value" w:val="1"/>
                <w:attr w:name="currency_text" w:val="LVL"/>
              </w:smartTagPr>
              <w:r w:rsidRPr="00BB4169">
                <w:rPr>
                  <w:rFonts w:ascii="Times New Roman" w:hAnsi="Times New Roman" w:cs="Times New Roman"/>
                  <w:bCs/>
                  <w:sz w:val="28"/>
                  <w:szCs w:val="28"/>
                </w:rPr>
                <w:t>LVL</w:t>
              </w:r>
            </w:smartTag>
            <w:r w:rsidRPr="00BB4169">
              <w:rPr>
                <w:rFonts w:ascii="Times New Roman" w:hAnsi="Times New Roman" w:cs="Times New Roman"/>
                <w:bCs/>
                <w:sz w:val="28"/>
                <w:szCs w:val="28"/>
              </w:rPr>
              <w:t xml:space="preserve"> 5 444 vērtībā, kas ir ekvivalents summai EUR</w:t>
            </w:r>
            <w:r w:rsidRPr="00BB4169">
              <w:rPr>
                <w:rFonts w:ascii="Times New Roman" w:hAnsi="Times New Roman" w:cs="Times New Roman"/>
                <w:bCs/>
                <w:i/>
                <w:sz w:val="28"/>
                <w:szCs w:val="28"/>
              </w:rPr>
              <w:t xml:space="preserve"> </w:t>
            </w:r>
            <w:r w:rsidRPr="00BB4169">
              <w:rPr>
                <w:rFonts w:ascii="Times New Roman" w:hAnsi="Times New Roman" w:cs="Times New Roman"/>
                <w:bCs/>
                <w:sz w:val="28"/>
                <w:szCs w:val="28"/>
              </w:rPr>
              <w:t>7746,11, t.i. 0.92%.</w:t>
            </w:r>
            <w:r w:rsidRPr="00BB4169">
              <w:rPr>
                <w:rFonts w:ascii="Times New Roman" w:hAnsi="Times New Roman" w:cs="Times New Roman"/>
                <w:sz w:val="28"/>
                <w:szCs w:val="28"/>
              </w:rPr>
              <w:t xml:space="preserve"> Vienas daļas vērtība LVL 1 361.00, kas ir ekvivalents summai EUR 1936,53.</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Kapitālsabiedrība nodrošina valsts deleģēto funkciju izpildi atbilstoši sekojošiem normatīvajiem aktiem:</w:t>
            </w:r>
          </w:p>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sz w:val="28"/>
                <w:szCs w:val="28"/>
              </w:rPr>
              <w:t>1. Lauksaimniecības un lauku attīstības likuma 13. panta trešajā un piektajā daļā, un astotās daļas 3.punktā noteiktajiem valsts pārvaldes uzdevumiem;</w:t>
            </w:r>
          </w:p>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sz w:val="28"/>
                <w:szCs w:val="28"/>
              </w:rPr>
              <w:t xml:space="preserve">2. 2009. gada 24. novembra Ministru kabineta noteikumu Nr. </w:t>
            </w:r>
            <w:r w:rsidRPr="00BB4169">
              <w:rPr>
                <w:rFonts w:ascii="Times New Roman" w:hAnsi="Times New Roman" w:cs="Times New Roman"/>
                <w:sz w:val="28"/>
                <w:szCs w:val="28"/>
              </w:rPr>
              <w:lastRenderedPageBreak/>
              <w:t>1348 „Lauku saimniecību uzskaites datu tīkla izveidošanas, uzturēšanas un darbības kārtība”  4. punktu;</w:t>
            </w:r>
          </w:p>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sz w:val="28"/>
                <w:szCs w:val="28"/>
              </w:rPr>
              <w:t>3. 2010. gada 12. janvāra Ministru kabineta noteikumu Nr. 30 „Kultūraugu ražības prognozēšanas, lauksaimniecības statistikas izlases apsekojumu veikšanas un bruto seguma aprēķināšanas kārtība”;</w:t>
            </w:r>
          </w:p>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sz w:val="28"/>
                <w:szCs w:val="28"/>
              </w:rPr>
              <w:t>4. 2009. gada 17. jūnija Ministru kabineta noteikumiem Nr.573 „</w:t>
            </w:r>
            <w:r w:rsidRPr="00BB4169">
              <w:rPr>
                <w:rFonts w:ascii="Times New Roman" w:hAnsi="Times New Roman" w:cs="Times New Roman"/>
                <w:bCs/>
                <w:sz w:val="28"/>
                <w:szCs w:val="28"/>
              </w:rPr>
              <w:t>Kārtība, kādā administrē Eiropas Lauksaimniecības garantiju fondu, Eiropas Lauksaimniecības fondu lauku attīstībai un Eiropas Zivsaimniecības fondu, kā arī valsts un Eiropas Savienības atbalstu lauksaimniecībai, lauku un zivsaimniecības attīstībai</w:t>
            </w:r>
            <w:r w:rsidRPr="00BB4169">
              <w:rPr>
                <w:rFonts w:ascii="Times New Roman" w:hAnsi="Times New Roman" w:cs="Times New Roman"/>
                <w:sz w:val="28"/>
                <w:szCs w:val="28"/>
              </w:rPr>
              <w:t>” 14., 14.</w:t>
            </w:r>
            <w:r w:rsidRPr="00BB4169">
              <w:rPr>
                <w:rFonts w:ascii="Times New Roman" w:hAnsi="Times New Roman" w:cs="Times New Roman"/>
                <w:sz w:val="28"/>
                <w:szCs w:val="28"/>
                <w:vertAlign w:val="superscript"/>
              </w:rPr>
              <w:t xml:space="preserve">1 </w:t>
            </w:r>
            <w:r w:rsidRPr="00BB4169">
              <w:rPr>
                <w:rFonts w:ascii="Times New Roman" w:hAnsi="Times New Roman" w:cs="Times New Roman"/>
                <w:sz w:val="28"/>
                <w:szCs w:val="28"/>
              </w:rPr>
              <w:t>punktiem un 14.</w:t>
            </w:r>
            <w:r w:rsidRPr="00BB4169">
              <w:rPr>
                <w:rFonts w:ascii="Times New Roman" w:hAnsi="Times New Roman" w:cs="Times New Roman"/>
                <w:sz w:val="28"/>
                <w:szCs w:val="28"/>
                <w:vertAlign w:val="superscript"/>
              </w:rPr>
              <w:t>2</w:t>
            </w:r>
            <w:r w:rsidRPr="00BB4169">
              <w:rPr>
                <w:rFonts w:ascii="Times New Roman" w:hAnsi="Times New Roman" w:cs="Times New Roman"/>
                <w:sz w:val="28"/>
                <w:szCs w:val="28"/>
              </w:rPr>
              <w:t xml:space="preserve"> punkta 1.apakšpunktu, Valsts lauku un zivsaimniecības sadarbības tīkla sekretariāta pienāku</w:t>
            </w:r>
            <w:r w:rsidRPr="00BB4169">
              <w:rPr>
                <w:rFonts w:ascii="Times New Roman" w:hAnsi="Times New Roman" w:cs="Times New Roman"/>
                <w:sz w:val="28"/>
                <w:szCs w:val="28"/>
              </w:rPr>
              <w:softHyphen/>
              <w:t>mus pilda SIA “Latvijas Lauku konsultāciju un izglītības centrs”;</w:t>
            </w:r>
          </w:p>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sz w:val="28"/>
                <w:szCs w:val="28"/>
              </w:rPr>
              <w:t>5. 2011. gada 4. oktobra</w:t>
            </w:r>
            <w:r w:rsidRPr="00BB4169">
              <w:rPr>
                <w:rFonts w:ascii="Times New Roman" w:hAnsi="Times New Roman" w:cs="Times New Roman"/>
                <w:bCs/>
                <w:sz w:val="28"/>
                <w:szCs w:val="28"/>
              </w:rPr>
              <w:t xml:space="preserve"> Ministru kabineta</w:t>
            </w:r>
            <w:r w:rsidRPr="00BB4169">
              <w:rPr>
                <w:rFonts w:ascii="Times New Roman" w:hAnsi="Times New Roman" w:cs="Times New Roman"/>
                <w:sz w:val="28"/>
                <w:szCs w:val="28"/>
              </w:rPr>
              <w:t xml:space="preserve"> </w:t>
            </w:r>
            <w:r w:rsidRPr="00BB4169">
              <w:rPr>
                <w:rFonts w:ascii="Times New Roman" w:hAnsi="Times New Roman" w:cs="Times New Roman"/>
                <w:bCs/>
                <w:sz w:val="28"/>
                <w:szCs w:val="28"/>
              </w:rPr>
              <w:t xml:space="preserve">noteikumi Nr.773 „Kārtība, kādā piešķir valsts un Eiropas Savienības atbalstu kompensāciju maksājumu veidā pasākumam "Atbalsts jaunajiem lauksaimniekiem" </w:t>
            </w:r>
          </w:p>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sz w:val="28"/>
                <w:szCs w:val="28"/>
              </w:rPr>
              <w:t xml:space="preserve">6. 2011. gada 4. oktobra </w:t>
            </w:r>
            <w:r w:rsidRPr="00BB4169">
              <w:rPr>
                <w:rFonts w:ascii="Times New Roman" w:hAnsi="Times New Roman" w:cs="Times New Roman"/>
                <w:bCs/>
                <w:sz w:val="28"/>
                <w:szCs w:val="28"/>
              </w:rPr>
              <w:t>Ministru kabineta noteikumi Nr.772 „Kārtība, kādā piešķir valsts un Eiropas Savienības atbalstu kompensāciju maksājumu veidā pasākumam "Atbalsts daļēji naturālo saimniecību pārstrukturēšanai"”</w:t>
            </w:r>
          </w:p>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sz w:val="28"/>
                <w:szCs w:val="28"/>
              </w:rPr>
              <w:t xml:space="preserve">7. 2012. gada 29. maijā </w:t>
            </w:r>
            <w:r w:rsidRPr="00BB4169">
              <w:rPr>
                <w:rFonts w:ascii="Times New Roman" w:hAnsi="Times New Roman" w:cs="Times New Roman"/>
                <w:bCs/>
                <w:sz w:val="28"/>
                <w:szCs w:val="28"/>
              </w:rPr>
              <w:t>Ministru kabineta noteikumi Nr.381 „Valsts atbalsta piešķiršanas kārtība lauksaimniecībā izmantojamās zemes iegādei lauksaimniecības produkcijas ražošanai”</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Valsts deleģēto funkciju veikšanai LLKC katru gadu slēdz līgumus ar Zemkopības ministriju, kas nosaka konkrētākus uzdevumus un pušu saistības.</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Lai nodrošinātu valsts deleģēto funkciju izpildi, LLKC ir izvirzījusi šādus kapitālsabiedrības darbības mērķus:</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1.ekspertīze</w:t>
            </w:r>
            <w:r w:rsidRPr="00BB4169">
              <w:rPr>
                <w:rFonts w:ascii="Times New Roman" w:hAnsi="Times New Roman" w:cs="Times New Roman"/>
                <w:b/>
                <w:sz w:val="28"/>
                <w:szCs w:val="28"/>
              </w:rPr>
              <w:t xml:space="preserve"> </w:t>
            </w:r>
            <w:r w:rsidRPr="00BB4169">
              <w:rPr>
                <w:rFonts w:ascii="Times New Roman" w:hAnsi="Times New Roman" w:cs="Times New Roman"/>
                <w:sz w:val="28"/>
                <w:szCs w:val="28"/>
              </w:rPr>
              <w:t>(kultūraugu ražību prognozēšana, augkopības kultūru un lopu grupu bruto segumu aprēķini, aprēķinu veikšana ES atbalsta aprēķināšanai);</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2.sadarbības veicināšana</w:t>
            </w:r>
            <w:r w:rsidRPr="00BB4169">
              <w:rPr>
                <w:rFonts w:ascii="Times New Roman" w:hAnsi="Times New Roman" w:cs="Times New Roman"/>
                <w:b/>
                <w:sz w:val="28"/>
                <w:szCs w:val="28"/>
              </w:rPr>
              <w:t xml:space="preserve"> (</w:t>
            </w:r>
            <w:r w:rsidRPr="00BB4169">
              <w:rPr>
                <w:rFonts w:ascii="Times New Roman" w:hAnsi="Times New Roman" w:cs="Times New Roman"/>
                <w:sz w:val="28"/>
                <w:szCs w:val="28"/>
              </w:rPr>
              <w:t>sadarbība starp dažādām lauku attīstībā iesaistītām organizācijām (lauksaimniecība, mežsaimniecība, zivsaimniecība, 40 vietējām rīcības grupām, kas Latvijā īsteno uz sabiedrības iniciatīvu balstīto LEADER pieeju u.c.), pārvaldes iestādēm, lauku uzņēmējiem un iedzīvotājiem);</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3.izglītošana un informēšana</w:t>
            </w:r>
            <w:r w:rsidRPr="00BB4169">
              <w:rPr>
                <w:rFonts w:ascii="Times New Roman" w:hAnsi="Times New Roman" w:cs="Times New Roman"/>
                <w:b/>
                <w:sz w:val="28"/>
                <w:szCs w:val="28"/>
              </w:rPr>
              <w:t xml:space="preserve"> </w:t>
            </w:r>
            <w:r w:rsidRPr="00BB4169">
              <w:rPr>
                <w:rFonts w:ascii="Times New Roman" w:hAnsi="Times New Roman" w:cs="Times New Roman"/>
                <w:sz w:val="28"/>
                <w:szCs w:val="28"/>
              </w:rPr>
              <w:t xml:space="preserve">(semināri, apmācības, tālākizglītība, pieredzes apmaiņas braucieni, konferences, </w:t>
            </w:r>
            <w:r w:rsidRPr="00BB4169">
              <w:rPr>
                <w:rFonts w:ascii="Times New Roman" w:hAnsi="Times New Roman" w:cs="Times New Roman"/>
                <w:sz w:val="28"/>
                <w:szCs w:val="28"/>
              </w:rPr>
              <w:lastRenderedPageBreak/>
              <w:t>informatīvie izdevumi, rokasgrāmatas);</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4.uzņēmējdarbības veicināšana</w:t>
            </w:r>
            <w:r w:rsidRPr="00BB4169">
              <w:rPr>
                <w:rFonts w:ascii="Times New Roman" w:hAnsi="Times New Roman" w:cs="Times New Roman"/>
                <w:b/>
                <w:sz w:val="28"/>
                <w:szCs w:val="28"/>
              </w:rPr>
              <w:t xml:space="preserve"> </w:t>
            </w:r>
            <w:r w:rsidRPr="00BB4169">
              <w:rPr>
                <w:rFonts w:ascii="Times New Roman" w:hAnsi="Times New Roman" w:cs="Times New Roman"/>
                <w:sz w:val="28"/>
                <w:szCs w:val="28"/>
              </w:rPr>
              <w:t>(atbalsts mazo lauku un zivsaimniecības uzņēmumu attīstībai, lauku jauniešu iesaiste uzņēmējdarbībā);</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5.datu iegūšana un apkopošana</w:t>
            </w:r>
            <w:r w:rsidRPr="00BB4169">
              <w:rPr>
                <w:rFonts w:ascii="Times New Roman" w:hAnsi="Times New Roman" w:cs="Times New Roman"/>
                <w:b/>
                <w:sz w:val="28"/>
                <w:szCs w:val="28"/>
              </w:rPr>
              <w:t xml:space="preserve"> </w:t>
            </w:r>
            <w:r w:rsidRPr="00BB4169">
              <w:rPr>
                <w:rFonts w:ascii="Times New Roman" w:hAnsi="Times New Roman" w:cs="Times New Roman"/>
                <w:sz w:val="28"/>
                <w:szCs w:val="28"/>
              </w:rPr>
              <w:t>(Lauku saimniecību datu uzskaites tīkls un lauku saimniecību apsekojumi statistiskās informācijas iegūšanai);</w:t>
            </w:r>
          </w:p>
          <w:p w:rsid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6. konsultācijas un pakalpojumi </w:t>
            </w:r>
            <w:r w:rsidRPr="00BB4169">
              <w:rPr>
                <w:rFonts w:ascii="Times New Roman" w:hAnsi="Times New Roman" w:cs="Times New Roman"/>
                <w:iCs/>
                <w:sz w:val="28"/>
                <w:szCs w:val="28"/>
              </w:rPr>
              <w:t>visā Latvijas teritorijā</w:t>
            </w:r>
            <w:r w:rsidRPr="00BB4169">
              <w:rPr>
                <w:rFonts w:ascii="Times New Roman" w:hAnsi="Times New Roman" w:cs="Times New Roman"/>
                <w:sz w:val="28"/>
                <w:szCs w:val="28"/>
              </w:rPr>
              <w:t xml:space="preserve"> (lauksaimniecības, mežsaimniecības, zivsaimniecības un nelauksaimnieciskās uzņēmējdarbības sektoru lauku uzņēmējiem, organizācijām, iestādēm un iedzīvotājiem nozaru ražošanas procesos, kā arī grāmatvedības un biznesa plānošanas).</w:t>
            </w:r>
          </w:p>
          <w:p w:rsidR="008B24AC" w:rsidRPr="00BB4169" w:rsidRDefault="008B24AC" w:rsidP="00BB4169">
            <w:pPr>
              <w:spacing w:after="0" w:line="20" w:lineRule="atLeast"/>
              <w:jc w:val="both"/>
              <w:rPr>
                <w:rFonts w:ascii="Times New Roman" w:hAnsi="Times New Roman" w:cs="Times New Roman"/>
                <w:sz w:val="28"/>
                <w:szCs w:val="28"/>
              </w:rPr>
            </w:pPr>
          </w:p>
          <w:p w:rsidR="00F64D97" w:rsidRPr="000B06FC" w:rsidRDefault="00F64D97" w:rsidP="00F64D97">
            <w:pPr>
              <w:spacing w:after="0" w:line="20" w:lineRule="atLeast"/>
              <w:ind w:firstLine="422"/>
              <w:jc w:val="both"/>
              <w:rPr>
                <w:rFonts w:ascii="Times New Roman" w:hAnsi="Times New Roman" w:cs="Times New Roman"/>
                <w:sz w:val="28"/>
                <w:szCs w:val="28"/>
              </w:rPr>
            </w:pPr>
            <w:r w:rsidRPr="000B06FC">
              <w:rPr>
                <w:rFonts w:ascii="Times New Roman" w:hAnsi="Times New Roman" w:cs="Times New Roman"/>
                <w:sz w:val="28"/>
                <w:szCs w:val="28"/>
              </w:rPr>
              <w:t xml:space="preserve">LLKC papildus valsts noteiktajiem uzdevumiem sniedz neatkarīgas konsultācijas un pakalpojumus </w:t>
            </w:r>
            <w:r w:rsidRPr="00D24D31">
              <w:rPr>
                <w:rFonts w:ascii="Times New Roman" w:hAnsi="Times New Roman" w:cs="Times New Roman"/>
                <w:sz w:val="28"/>
                <w:szCs w:val="28"/>
              </w:rPr>
              <w:t>lauksaimniecības</w:t>
            </w:r>
            <w:r w:rsidRPr="000B06FC">
              <w:rPr>
                <w:rFonts w:ascii="Times New Roman" w:hAnsi="Times New Roman" w:cs="Times New Roman"/>
                <w:sz w:val="28"/>
                <w:szCs w:val="28"/>
              </w:rPr>
              <w:t xml:space="preserve"> (augkopība, lopkopība, ekonomika, grāmatvedība, tālākizglītība), </w:t>
            </w:r>
            <w:r w:rsidRPr="00D24D31">
              <w:rPr>
                <w:rFonts w:ascii="Times New Roman" w:hAnsi="Times New Roman" w:cs="Times New Roman"/>
                <w:sz w:val="28"/>
                <w:szCs w:val="28"/>
              </w:rPr>
              <w:t>mežsaimniecības, zivsaimniecības un nelauksaimnieciskās uzņēmējdarbības</w:t>
            </w:r>
            <w:r w:rsidRPr="000B06FC">
              <w:rPr>
                <w:rFonts w:ascii="Times New Roman" w:hAnsi="Times New Roman" w:cs="Times New Roman"/>
                <w:sz w:val="28"/>
                <w:szCs w:val="28"/>
              </w:rPr>
              <w:t xml:space="preserve"> nozarē. Paaugstinot kvalitātes standartus atbilstoši sabiedrības interesēm, </w:t>
            </w:r>
            <w:r w:rsidRPr="00D24D31">
              <w:rPr>
                <w:rFonts w:ascii="Times New Roman" w:hAnsi="Times New Roman" w:cs="Times New Roman"/>
                <w:sz w:val="28"/>
                <w:szCs w:val="28"/>
              </w:rPr>
              <w:t>galvenā mērķauditorija</w:t>
            </w:r>
            <w:r w:rsidRPr="000B06FC">
              <w:rPr>
                <w:rFonts w:ascii="Times New Roman" w:hAnsi="Times New Roman" w:cs="Times New Roman"/>
                <w:sz w:val="28"/>
                <w:szCs w:val="28"/>
              </w:rPr>
              <w:t xml:space="preserve"> ir mikrouzņēmumi, mazie un vidējie lauksaimniecības, mežsaimniecības un lauku nelauksaimnieciskās uzņēmējdarbības uzņēmumi, kuru iespējas izmantot neatkarīgas konsultācijas un pakalpojumus esošajā tirgū ir ierobežotas. </w:t>
            </w:r>
          </w:p>
          <w:p w:rsidR="003F7358" w:rsidRPr="000B06FC" w:rsidRDefault="003F7358" w:rsidP="003F7358">
            <w:pPr>
              <w:spacing w:after="0" w:line="20" w:lineRule="atLeast"/>
              <w:ind w:firstLine="422"/>
              <w:jc w:val="both"/>
              <w:rPr>
                <w:rFonts w:ascii="Times New Roman" w:hAnsi="Times New Roman" w:cs="Times New Roman"/>
                <w:sz w:val="28"/>
                <w:szCs w:val="28"/>
              </w:rPr>
            </w:pPr>
            <w:r w:rsidRPr="000B06FC">
              <w:rPr>
                <w:rFonts w:ascii="Times New Roman" w:hAnsi="Times New Roman" w:cs="Times New Roman"/>
                <w:sz w:val="28"/>
                <w:szCs w:val="28"/>
              </w:rPr>
              <w:t xml:space="preserve">LLKC šobrīd nav līdzvērtīga tirgus dalībnieka attiecīgajā jomā, jo to traucē ierobežota pakalpojumu pieejamība un attālums līdz konsultāciju un pakalpojumu sniegšanas vietai, izcenojumi ar peļņas uzcenojumu. </w:t>
            </w:r>
          </w:p>
          <w:p w:rsidR="00F64D97" w:rsidRPr="000B06FC" w:rsidRDefault="00F64D97" w:rsidP="00F64D97">
            <w:pPr>
              <w:spacing w:after="0" w:line="20" w:lineRule="atLeast"/>
              <w:ind w:firstLine="422"/>
              <w:jc w:val="both"/>
              <w:rPr>
                <w:rFonts w:ascii="Times New Roman" w:hAnsi="Times New Roman" w:cs="Times New Roman"/>
                <w:sz w:val="28"/>
                <w:szCs w:val="28"/>
              </w:rPr>
            </w:pPr>
            <w:r w:rsidRPr="000B06FC">
              <w:rPr>
                <w:rFonts w:ascii="Times New Roman" w:hAnsi="Times New Roman" w:cs="Times New Roman"/>
                <w:sz w:val="28"/>
                <w:szCs w:val="28"/>
              </w:rPr>
              <w:t xml:space="preserve">Lauksaimniecība un mežsaimniecība, būdamas izejvielu radītājas, ir </w:t>
            </w:r>
            <w:r w:rsidRPr="00D24D31">
              <w:rPr>
                <w:rFonts w:ascii="Times New Roman" w:hAnsi="Times New Roman" w:cs="Times New Roman"/>
                <w:sz w:val="28"/>
                <w:szCs w:val="28"/>
              </w:rPr>
              <w:t>stratēģiskas, kā arī</w:t>
            </w:r>
            <w:r w:rsidRPr="000B06FC">
              <w:rPr>
                <w:rFonts w:ascii="Times New Roman" w:hAnsi="Times New Roman" w:cs="Times New Roman"/>
                <w:sz w:val="28"/>
                <w:szCs w:val="28"/>
              </w:rPr>
              <w:t xml:space="preserve"> eksportu veidojošas nozares, kuras saņem valsts un Eiropas Savienības tiešo atbalstu. Līdz ar to iespēja saņemt konsultācijas un pakalpojumus visā Latvijas teritorijā par cenu, kas nepārsniedz konsultācijas/pakalpojuma sniegšanas minimālās izmaksas, ir vērtējama kā papildu atbalsts lauksaimniecības uzņēmumiem, kuru konkurētspēja vēl nav sasniegusi Eiropas līmeni, bet kuri nodrošina Latvijas lauku ekonomikas dzīvotspēju. </w:t>
            </w:r>
          </w:p>
          <w:p w:rsidR="00F64D97" w:rsidRPr="000B06FC" w:rsidRDefault="00F64D97" w:rsidP="00F64D97">
            <w:pPr>
              <w:spacing w:after="0" w:line="20" w:lineRule="atLeast"/>
              <w:ind w:firstLine="422"/>
              <w:jc w:val="both"/>
              <w:rPr>
                <w:rFonts w:ascii="Times New Roman" w:hAnsi="Times New Roman" w:cs="Times New Roman"/>
                <w:sz w:val="28"/>
                <w:szCs w:val="28"/>
              </w:rPr>
            </w:pPr>
            <w:r w:rsidRPr="000B06FC">
              <w:rPr>
                <w:rFonts w:ascii="Times New Roman" w:hAnsi="Times New Roman" w:cs="Times New Roman"/>
                <w:sz w:val="28"/>
                <w:szCs w:val="28"/>
              </w:rPr>
              <w:t xml:space="preserve">Lauksaimniecības </w:t>
            </w:r>
            <w:r w:rsidRPr="00D24D31">
              <w:rPr>
                <w:rFonts w:ascii="Times New Roman" w:hAnsi="Times New Roman" w:cs="Times New Roman"/>
                <w:sz w:val="28"/>
                <w:szCs w:val="28"/>
              </w:rPr>
              <w:t>izglītība</w:t>
            </w:r>
            <w:r w:rsidRPr="000B06FC">
              <w:rPr>
                <w:rFonts w:ascii="Times New Roman" w:hAnsi="Times New Roman" w:cs="Times New Roman"/>
                <w:sz w:val="28"/>
                <w:szCs w:val="28"/>
              </w:rPr>
              <w:t xml:space="preserve"> Latvijā profesionālās formālās izglītības jomā ir vāji attīstīta. Savukārt reģionos lauksaimniecības uzņēmējdarbības izglītības centri ir neattīstīti, tālākizglītības iespējas netiek nodrošinātas, pakalpojumu saņemšanas vietas koncentrējas vietās, kur ir </w:t>
            </w:r>
            <w:r w:rsidRPr="000B06FC">
              <w:rPr>
                <w:rFonts w:ascii="Times New Roman" w:hAnsi="Times New Roman" w:cs="Times New Roman"/>
                <w:sz w:val="28"/>
                <w:szCs w:val="28"/>
              </w:rPr>
              <w:lastRenderedPageBreak/>
              <w:t xml:space="preserve">liels pieprasījums. </w:t>
            </w:r>
          </w:p>
          <w:p w:rsidR="00F64D97" w:rsidRPr="000B06FC" w:rsidRDefault="00F64D97" w:rsidP="00F64D97">
            <w:pPr>
              <w:spacing w:after="0" w:line="20" w:lineRule="atLeast"/>
              <w:ind w:firstLine="280"/>
              <w:jc w:val="both"/>
              <w:rPr>
                <w:rFonts w:ascii="Times New Roman" w:hAnsi="Times New Roman" w:cs="Times New Roman"/>
                <w:sz w:val="28"/>
                <w:szCs w:val="28"/>
              </w:rPr>
            </w:pPr>
            <w:r w:rsidRPr="000B06FC">
              <w:rPr>
                <w:rFonts w:ascii="Times New Roman" w:hAnsi="Times New Roman" w:cs="Times New Roman"/>
                <w:sz w:val="28"/>
                <w:szCs w:val="28"/>
              </w:rPr>
              <w:t xml:space="preserve">Ar uzņēmuma sniegtajiem pakalpojumiem tiek veicināta Latvijas lauku </w:t>
            </w:r>
            <w:r w:rsidRPr="00D24D31">
              <w:rPr>
                <w:rFonts w:ascii="Times New Roman" w:hAnsi="Times New Roman" w:cs="Times New Roman"/>
                <w:sz w:val="28"/>
                <w:szCs w:val="28"/>
              </w:rPr>
              <w:t>teritorijas līdzsvarota attīstība</w:t>
            </w:r>
            <w:r w:rsidRPr="000B06FC">
              <w:rPr>
                <w:rFonts w:ascii="Times New Roman" w:hAnsi="Times New Roman" w:cs="Times New Roman"/>
                <w:sz w:val="28"/>
                <w:szCs w:val="28"/>
              </w:rPr>
              <w:t xml:space="preserve"> (īpašs uzsvars Latgales novadiem), sekmēta </w:t>
            </w:r>
            <w:r w:rsidRPr="00D24D31">
              <w:rPr>
                <w:rFonts w:ascii="Times New Roman" w:hAnsi="Times New Roman" w:cs="Times New Roman"/>
                <w:sz w:val="28"/>
                <w:szCs w:val="28"/>
              </w:rPr>
              <w:t>jaunu darbavietu radīšana</w:t>
            </w:r>
            <w:r w:rsidRPr="000B06FC">
              <w:rPr>
                <w:rFonts w:ascii="Times New Roman" w:hAnsi="Times New Roman" w:cs="Times New Roman"/>
                <w:sz w:val="28"/>
                <w:szCs w:val="28"/>
              </w:rPr>
              <w:t xml:space="preserve">, kā arī veicināta lauku iedzīvotāju pārprofilēšanās uz jomām, kurās ir pieprasījums pēc darbaspēka. Tāpat lauku uzņēmēji, izmantojot uzņēmuma pakalpojumus, palielina savu </w:t>
            </w:r>
            <w:r w:rsidRPr="00D24D31">
              <w:rPr>
                <w:rFonts w:ascii="Times New Roman" w:hAnsi="Times New Roman" w:cs="Times New Roman"/>
                <w:sz w:val="28"/>
                <w:szCs w:val="28"/>
              </w:rPr>
              <w:t>efektivitāti un konkurētspēju</w:t>
            </w:r>
            <w:r w:rsidRPr="000B06FC">
              <w:rPr>
                <w:rFonts w:ascii="Times New Roman" w:hAnsi="Times New Roman" w:cs="Times New Roman"/>
                <w:sz w:val="28"/>
                <w:szCs w:val="28"/>
              </w:rPr>
              <w:t>.</w:t>
            </w:r>
          </w:p>
          <w:p w:rsidR="00BB4169" w:rsidRPr="00BB4169" w:rsidRDefault="00BB4169" w:rsidP="00BB4169">
            <w:pPr>
              <w:spacing w:after="0" w:line="20" w:lineRule="atLeast"/>
              <w:jc w:val="both"/>
              <w:rPr>
                <w:rFonts w:ascii="Times New Roman" w:hAnsi="Times New Roman" w:cs="Times New Roman"/>
                <w:sz w:val="28"/>
                <w:szCs w:val="28"/>
              </w:rPr>
            </w:pP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LLKC nodrošina svarīgus pakalpojumus, kas nepieciešami lauku uzņēmējiem un iedzīvotājiem, sekmējot to izglītošanu, informētību un lauku uzņēmumu attīstību. Sniegto pakalpojumu rezultātā tiek veicināta Latvijas lauku teritorijas līdzsvarota attīstība, sekmēta jaunu darbavietu radīšana, kā arī tiek veicināta lauku iedzīvotāju pārprofilēšanās uz jomām, kurās ir pieprasījums pēc darbaspēka. Tāpat lauku uzņēmēji, izmantojot uzņēmuma pakalpojumus, paaugstina savu efektivitāti un konkurētspēju. </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Normatīvajos aktos minēto valsts deleģēto funkciju veikšanai Zemkopības ministrija katru gadu slēdz līgumu ar LLKC, nosakot līgumā konkrētākus uzdevumus un pušu saistības.</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LLKC pamatdarbības mērķauditorija ir mazo un vidējo lauksaimniecības uzņēmumu, mežsaimniecības, zivsaimniecības un citu lauku uzņēmējdarbības jomu uzņēmumu īpašnieki un tajos strādājošie, lauksaimnieku sabiedrisko organizāciju pārstāvji, Vietējās rīcības grupas, kooperatīvu dalībnieki, mājražotāji, lauku teritorijās dzīvojošie.</w:t>
            </w:r>
          </w:p>
          <w:p w:rsidR="00BB4169" w:rsidRPr="00BB4169" w:rsidRDefault="00BB4169" w:rsidP="00BB4169">
            <w:pPr>
              <w:spacing w:after="0" w:line="20" w:lineRule="atLeast"/>
              <w:jc w:val="both"/>
              <w:rPr>
                <w:rFonts w:ascii="Times New Roman" w:hAnsi="Times New Roman" w:cs="Times New Roman"/>
                <w:bCs/>
                <w:iCs/>
                <w:sz w:val="28"/>
                <w:szCs w:val="28"/>
              </w:rPr>
            </w:pPr>
            <w:r w:rsidRPr="00BB4169">
              <w:rPr>
                <w:rFonts w:ascii="Times New Roman" w:hAnsi="Times New Roman" w:cs="Times New Roman"/>
                <w:bCs/>
                <w:iCs/>
                <w:sz w:val="28"/>
                <w:szCs w:val="28"/>
              </w:rPr>
              <w:t>Valsts deleģēto funkciju un pakalpojumu pieejamību lauku iedzīvotājiem un uzņēmējiem nodrošina LLKC struktūrvienības visā Latvijas teritorijā.</w:t>
            </w:r>
          </w:p>
          <w:p w:rsidR="00BB4169" w:rsidRPr="00BB4169" w:rsidRDefault="00BB4169" w:rsidP="00BB4169">
            <w:pPr>
              <w:spacing w:after="0" w:line="20" w:lineRule="atLeast"/>
              <w:jc w:val="both"/>
              <w:rPr>
                <w:rFonts w:ascii="Times New Roman" w:hAnsi="Times New Roman" w:cs="Times New Roman"/>
                <w:bCs/>
                <w:iCs/>
                <w:sz w:val="28"/>
                <w:szCs w:val="28"/>
              </w:rPr>
            </w:pPr>
            <w:r w:rsidRPr="00BB4169">
              <w:rPr>
                <w:rFonts w:ascii="Times New Roman" w:hAnsi="Times New Roman" w:cs="Times New Roman"/>
                <w:bCs/>
                <w:iCs/>
                <w:sz w:val="28"/>
                <w:szCs w:val="28"/>
              </w:rPr>
              <w:t xml:space="preserve"> </w:t>
            </w:r>
            <w:r w:rsidRPr="00BB4169">
              <w:rPr>
                <w:rFonts w:ascii="Times New Roman" w:hAnsi="Times New Roman" w:cs="Times New Roman"/>
                <w:b/>
                <w:bCs/>
                <w:iCs/>
                <w:sz w:val="28"/>
                <w:szCs w:val="28"/>
              </w:rPr>
              <w:t xml:space="preserve">    LLKC struktūrvienība</w:t>
            </w:r>
            <w:r w:rsidRPr="00BB4169">
              <w:rPr>
                <w:rFonts w:ascii="Times New Roman" w:hAnsi="Times New Roman" w:cs="Times New Roman"/>
                <w:bCs/>
                <w:iCs/>
                <w:sz w:val="28"/>
                <w:szCs w:val="28"/>
              </w:rPr>
              <w:t xml:space="preserve"> -</w:t>
            </w:r>
            <w:r w:rsidRPr="00BB4169">
              <w:rPr>
                <w:rFonts w:ascii="Times New Roman" w:hAnsi="Times New Roman" w:cs="Times New Roman"/>
                <w:b/>
                <w:bCs/>
                <w:iCs/>
                <w:sz w:val="28"/>
                <w:szCs w:val="28"/>
              </w:rPr>
              <w:t xml:space="preserve"> Tukuma reģionālais birojs  </w:t>
            </w:r>
            <w:r w:rsidRPr="00BB4169">
              <w:rPr>
                <w:rFonts w:ascii="Times New Roman" w:hAnsi="Times New Roman" w:cs="Times New Roman"/>
                <w:bCs/>
                <w:iCs/>
                <w:sz w:val="28"/>
                <w:szCs w:val="28"/>
              </w:rPr>
              <w:t xml:space="preserve">nomā no valsts  SIA „Zemkopības ministrijas nekustamie īpašumi” nekustamo īpašumu Eduarda Veidenbauma ielā 9, Tukumā (2006.gada 28.februāra nomas līgums Nr.4-1-2006/30). </w:t>
            </w:r>
          </w:p>
          <w:p w:rsidR="00BB4169" w:rsidRPr="00BB4169" w:rsidRDefault="00BB4169" w:rsidP="00BB4169">
            <w:pPr>
              <w:spacing w:after="0" w:line="20" w:lineRule="atLeast"/>
              <w:jc w:val="both"/>
              <w:rPr>
                <w:rFonts w:ascii="Times New Roman" w:hAnsi="Times New Roman" w:cs="Times New Roman"/>
                <w:bCs/>
                <w:iCs/>
                <w:sz w:val="28"/>
                <w:szCs w:val="28"/>
              </w:rPr>
            </w:pPr>
            <w:r w:rsidRPr="00BB4169">
              <w:rPr>
                <w:rFonts w:ascii="Times New Roman" w:hAnsi="Times New Roman" w:cs="Times New Roman"/>
                <w:bCs/>
                <w:iCs/>
                <w:sz w:val="28"/>
                <w:szCs w:val="28"/>
              </w:rPr>
              <w:t xml:space="preserve">      Nekustamais īpašums Eduarda Veidenbauma ielā 9, Tukumā (nekustamā īpašuma kadastra Nr. 9001 004 0684, zemes vienības kadastra apzīmējums 9001 004 0684 un būves kadastra apzīmējums 9001 004 0684 001) reģistrēts Tukuma pilsētas zemesgrāmatu nodalījumā Nr. 1000 0000 2825 uz valsts vārda Zemkopības ministrijas personā un atrodas valsts SIA „Zemkopības ministrijas nekustamie īpašumi” </w:t>
            </w:r>
            <w:r w:rsidRPr="00BB4169">
              <w:rPr>
                <w:rFonts w:ascii="Times New Roman" w:hAnsi="Times New Roman" w:cs="Times New Roman"/>
                <w:bCs/>
                <w:iCs/>
                <w:sz w:val="28"/>
                <w:szCs w:val="28"/>
              </w:rPr>
              <w:lastRenderedPageBreak/>
              <w:t>pārvaldīšanā.</w:t>
            </w:r>
          </w:p>
          <w:p w:rsidR="00BB4169" w:rsidRPr="00BB4169" w:rsidRDefault="00BB4169" w:rsidP="00BB4169">
            <w:pPr>
              <w:spacing w:after="0" w:line="20" w:lineRule="atLeast"/>
              <w:jc w:val="both"/>
              <w:rPr>
                <w:rFonts w:ascii="Times New Roman" w:hAnsi="Times New Roman" w:cs="Times New Roman"/>
                <w:bCs/>
                <w:iCs/>
                <w:sz w:val="28"/>
                <w:szCs w:val="28"/>
              </w:rPr>
            </w:pPr>
            <w:r w:rsidRPr="00BB4169">
              <w:rPr>
                <w:rFonts w:ascii="Times New Roman" w:hAnsi="Times New Roman" w:cs="Times New Roman"/>
                <w:bCs/>
                <w:iCs/>
                <w:sz w:val="28"/>
                <w:szCs w:val="28"/>
              </w:rPr>
              <w:t xml:space="preserve">       Nekustamo īpašumu LLKC izmanto kopš 2006. gada kā arī nodrošina nekustamā īpašuma uzturēšanu. 2008.gadā ēkas uzturēšanā ieguldīti ievērojami finanšu līdzekļi - 83019.14 LVL, jeb 118125.59 EUR (ēkas celtniecībā, elektroapgādes, ūdens un kanalizācijas, apsardzes un ugunsdrošības, žoga un gājēju celiņa izbūvei). Turklāt lai finansētu iepriekšminētos ieguldījumus, LLKC nācās daļēji piesaistīt kredītresursus.</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Tukuma konsultāciju birojs realizē Valsts lauku tīkla un Zivsaimniecības sadarbības tīkla pasākumus - informatīvie un izglītojošie pasākumi lauksaimniekiem, informatīvie pasākumi piekrastes zvejniekiem un akvakultūras uzņēmumiem. Birojā regulāri tiek rīkotas diskusijas un informatīvās tikšanās ar pašvaldību un nevalstisko organizāciju dalībniekiem par aktuāliem lauku attīstības un piekrastes attīstības jautājumiem un sadarbības iespējām starp organizācijām, uzņēmējiem.</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Kooperācijas, kopdarbības un produkcijas noieta, veicināšanai tiek rīkotas tikšanās un mācību semināri, lai aktivizētu lauku iedzīvotājus uzņēmējdarbības uzsākšanai un attīstībai. Telpas izmantotas arī atbalsta nodrošināšanai jaundibinātā aitkopības kooperatīva darbības uzsākšanai un potenciālā mājražotāju kooperatīva biedru sadarbības veidošanai.</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Lai veicinātu jauniešu iesaistīšanos uzņēmējdarbībā, sadarbībā ar Valsts lauku tīklu un Zivsaimniecības sadarbības tīklu, biroja telpās tiek realizēti pasākumi ,,Atbalsts lauku jauniešiem uzņēmējdarbības uzsākšanai” un ,,Atbalsts piekrastes jauniešiem zvejniecības tradīciju apguves un uzņēmējdarbības uzsākšanai”.</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Jaunās paaudzes izglītošanai un intereses radīšanai saimniekot lauku teritorijās, Tukuma konsultāciju birojs uzsācis sadarbību ar Mazpulku organizāciju, regulāri rīkojot izglītojošus seminārus, viktorīnas, interaktīvas nodarbības Mazpulku dalībniekiem.</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Tukuma konsultāciju biroja darbinieki sniedz informāciju, pakalpojumus un konsultācijas lauku attīstības, uzņēmējdarbības plānošanas, ekonomikas jautājumos lauku iedzīvotājiem un visiem interesentiem, kas vēlas sākt uzņēmējdarbību lauku teritorijās.</w:t>
            </w:r>
          </w:p>
          <w:p w:rsidR="00BB4169" w:rsidRPr="00BB4169" w:rsidRDefault="00BB4169" w:rsidP="00BB4169">
            <w:pPr>
              <w:spacing w:after="0" w:line="20" w:lineRule="atLeast"/>
              <w:jc w:val="both"/>
              <w:rPr>
                <w:rFonts w:ascii="Times New Roman" w:hAnsi="Times New Roman" w:cs="Times New Roman"/>
                <w:sz w:val="28"/>
                <w:szCs w:val="28"/>
              </w:rPr>
            </w:pP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b/>
                <w:bCs/>
                <w:iCs/>
                <w:sz w:val="28"/>
                <w:szCs w:val="28"/>
              </w:rPr>
              <w:t xml:space="preserve">         LLKC struktūrvienība</w:t>
            </w:r>
            <w:r w:rsidRPr="00BB4169">
              <w:rPr>
                <w:rFonts w:ascii="Times New Roman" w:hAnsi="Times New Roman" w:cs="Times New Roman"/>
                <w:bCs/>
                <w:iCs/>
                <w:sz w:val="28"/>
                <w:szCs w:val="28"/>
              </w:rPr>
              <w:t xml:space="preserve"> – </w:t>
            </w:r>
            <w:r w:rsidRPr="00BB4169">
              <w:rPr>
                <w:rFonts w:ascii="Times New Roman" w:hAnsi="Times New Roman" w:cs="Times New Roman"/>
                <w:b/>
                <w:bCs/>
                <w:iCs/>
                <w:sz w:val="28"/>
                <w:szCs w:val="28"/>
              </w:rPr>
              <w:t>Balvu konsultāciju birojs</w:t>
            </w:r>
            <w:r w:rsidRPr="00BB4169">
              <w:rPr>
                <w:rFonts w:ascii="Times New Roman" w:hAnsi="Times New Roman" w:cs="Times New Roman"/>
                <w:bCs/>
                <w:iCs/>
                <w:sz w:val="28"/>
                <w:szCs w:val="28"/>
              </w:rPr>
              <w:t xml:space="preserve">, kurš izveidots 1991.gadā, </w:t>
            </w:r>
            <w:r w:rsidRPr="00BB4169">
              <w:rPr>
                <w:rFonts w:ascii="Times New Roman" w:hAnsi="Times New Roman" w:cs="Times New Roman"/>
                <w:sz w:val="28"/>
                <w:szCs w:val="28"/>
              </w:rPr>
              <w:t xml:space="preserve">sniedz </w:t>
            </w:r>
            <w:r w:rsidRPr="00BB4169">
              <w:rPr>
                <w:rFonts w:ascii="Times New Roman" w:hAnsi="Times New Roman" w:cs="Times New Roman"/>
                <w:bCs/>
                <w:iCs/>
                <w:sz w:val="28"/>
                <w:szCs w:val="28"/>
              </w:rPr>
              <w:t xml:space="preserve">nozīmīgu ieguldījumu valsts deleģēto funkciju un pakalpojumu sniegšanā lauku </w:t>
            </w:r>
            <w:r w:rsidRPr="00BB4169">
              <w:rPr>
                <w:rFonts w:ascii="Times New Roman" w:hAnsi="Times New Roman" w:cs="Times New Roman"/>
                <w:bCs/>
                <w:iCs/>
                <w:sz w:val="28"/>
                <w:szCs w:val="28"/>
              </w:rPr>
              <w:lastRenderedPageBreak/>
              <w:t xml:space="preserve">iedzīvotājiem un uzņēmējiem. </w:t>
            </w:r>
            <w:r w:rsidRPr="00BB4169">
              <w:rPr>
                <w:rFonts w:ascii="Times New Roman" w:hAnsi="Times New Roman" w:cs="Times New Roman"/>
                <w:sz w:val="28"/>
                <w:szCs w:val="28"/>
              </w:rPr>
              <w:t>Kopš izveidošanas Balvu konsultāciju birojs savas darbības nodrošināšanai nomā telpas Lauku atbalsta dienesta ēkā Brīvības ielā 46a, Balvos, telpu nomu ar kopējo platību 119.50 m</w:t>
            </w:r>
            <w:r w:rsidRPr="00BB4169">
              <w:rPr>
                <w:rFonts w:ascii="Times New Roman" w:hAnsi="Times New Roman" w:cs="Times New Roman"/>
                <w:sz w:val="28"/>
                <w:szCs w:val="28"/>
                <w:vertAlign w:val="superscript"/>
              </w:rPr>
              <w:t>2</w:t>
            </w:r>
            <w:r w:rsidRPr="00BB4169">
              <w:rPr>
                <w:rFonts w:ascii="Times New Roman" w:hAnsi="Times New Roman" w:cs="Times New Roman"/>
                <w:sz w:val="28"/>
                <w:szCs w:val="28"/>
              </w:rPr>
              <w:t>. Tādējādi ēkas pirmajā stāvā tiek iznomātas 9 telpas.</w:t>
            </w:r>
            <w:r w:rsidRPr="00BB4169">
              <w:rPr>
                <w:rFonts w:ascii="Times New Roman" w:hAnsi="Times New Roman" w:cs="Times New Roman"/>
                <w:bCs/>
                <w:iCs/>
                <w:sz w:val="28"/>
                <w:szCs w:val="28"/>
              </w:rPr>
              <w:t xml:space="preserve"> </w:t>
            </w:r>
          </w:p>
          <w:p w:rsidR="00BB4169" w:rsidRPr="00BB4169" w:rsidRDefault="00BB4169" w:rsidP="00BB4169">
            <w:pPr>
              <w:spacing w:after="0" w:line="20" w:lineRule="atLeast"/>
              <w:jc w:val="both"/>
              <w:rPr>
                <w:rFonts w:ascii="Times New Roman" w:hAnsi="Times New Roman" w:cs="Times New Roman"/>
                <w:bCs/>
                <w:iCs/>
                <w:sz w:val="28"/>
                <w:szCs w:val="28"/>
              </w:rPr>
            </w:pPr>
            <w:r w:rsidRPr="00BB4169">
              <w:rPr>
                <w:rFonts w:ascii="Times New Roman" w:hAnsi="Times New Roman" w:cs="Times New Roman"/>
                <w:sz w:val="28"/>
                <w:szCs w:val="28"/>
              </w:rPr>
              <w:t xml:space="preserve"> </w:t>
            </w:r>
            <w:r w:rsidRPr="00BB4169">
              <w:rPr>
                <w:rFonts w:ascii="Times New Roman" w:hAnsi="Times New Roman" w:cs="Times New Roman"/>
                <w:bCs/>
                <w:iCs/>
                <w:sz w:val="28"/>
                <w:szCs w:val="28"/>
              </w:rPr>
              <w:t xml:space="preserve">     Nekustamais īpašums Balvu ielā 46A, Balvos (nekustamā īpašuma kadastra Nr. 3801 503 0043, būves kadastra apzīmējums 3801 003 0478 001) reģistrēts Balvu pilsētas zemesgrāmatu nodalījumā Nr. 1000 0020 3478 uz valsts vārda Zemkopības ministrijas personā un atrodas Lauku atbalsta dienesta pārvaldīšanā.</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Tā kā minētais būvju īpašums atradās uz privātpersonai piederošas zemes (nekustamā īpašuma kadastra Nr. 3801 003 0478, zemes vienības kadastra apzīmējums 3801 003 0478)</w:t>
            </w:r>
            <w:r w:rsidRPr="00BB4169">
              <w:rPr>
                <w:rFonts w:ascii="Times New Roman" w:hAnsi="Times New Roman" w:cs="Times New Roman"/>
                <w:bCs/>
                <w:iCs/>
                <w:sz w:val="28"/>
                <w:szCs w:val="28"/>
              </w:rPr>
              <w:t xml:space="preserve"> Balvu ielā 46A, Balvos</w:t>
            </w:r>
            <w:r w:rsidRPr="00BB4169">
              <w:rPr>
                <w:rFonts w:ascii="Times New Roman" w:hAnsi="Times New Roman" w:cs="Times New Roman"/>
                <w:sz w:val="28"/>
                <w:szCs w:val="28"/>
              </w:rPr>
              <w:t>, LLKC 2014.gada 13.maijā to nopirka īpašumā (</w:t>
            </w:r>
            <w:r w:rsidRPr="00BB4169">
              <w:rPr>
                <w:rFonts w:ascii="Times New Roman" w:hAnsi="Times New Roman" w:cs="Times New Roman"/>
                <w:bCs/>
                <w:sz w:val="28"/>
                <w:szCs w:val="28"/>
              </w:rPr>
              <w:t xml:space="preserve">reģistrēts Balvu pilsētas zemesgrāmatas nodalījumā Nr. 512),  </w:t>
            </w:r>
            <w:r w:rsidRPr="00BB4169">
              <w:rPr>
                <w:rFonts w:ascii="Times New Roman" w:hAnsi="Times New Roman" w:cs="Times New Roman"/>
                <w:sz w:val="28"/>
                <w:szCs w:val="28"/>
              </w:rPr>
              <w:t xml:space="preserve">2014.gada 13.maijā </w:t>
            </w:r>
            <w:r w:rsidRPr="00BB4169">
              <w:rPr>
                <w:rFonts w:ascii="Times New Roman" w:hAnsi="Times New Roman" w:cs="Times New Roman"/>
                <w:bCs/>
                <w:sz w:val="28"/>
                <w:szCs w:val="28"/>
              </w:rPr>
              <w:t xml:space="preserve">pirkuma līgums. Iepriekš </w:t>
            </w:r>
            <w:r w:rsidRPr="00BB4169">
              <w:rPr>
                <w:rFonts w:ascii="Times New Roman" w:hAnsi="Times New Roman" w:cs="Times New Roman"/>
                <w:sz w:val="28"/>
                <w:szCs w:val="28"/>
              </w:rPr>
              <w:t xml:space="preserve">LLKC minēto zemes vienību nomāja. </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Balvu konsultāciju birojs no pašu finanšu līdzekļiem ir nodrošinājis nekustamā īpašuma uzturēšanu, veikti ieguldījumi telpu renovācijas un rekonstrukcijas darbos kopumā par summu bez PVN 30706,40 EUR.</w:t>
            </w:r>
          </w:p>
          <w:p w:rsidR="00BB4169" w:rsidRPr="00BB4169" w:rsidRDefault="00BB4169" w:rsidP="00BB4169">
            <w:pPr>
              <w:spacing w:after="0" w:line="20" w:lineRule="atLeast"/>
              <w:jc w:val="both"/>
              <w:rPr>
                <w:rFonts w:ascii="Times New Roman" w:hAnsi="Times New Roman" w:cs="Times New Roman"/>
                <w:b/>
                <w:i/>
                <w:sz w:val="28"/>
                <w:szCs w:val="28"/>
              </w:rPr>
            </w:pPr>
            <w:r w:rsidRPr="00BB4169">
              <w:rPr>
                <w:rFonts w:ascii="Times New Roman" w:hAnsi="Times New Roman" w:cs="Times New Roman"/>
                <w:sz w:val="28"/>
                <w:szCs w:val="28"/>
              </w:rPr>
              <w:t xml:space="preserve">  </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w:t>
            </w:r>
            <w:r w:rsidRPr="00BB4169">
              <w:rPr>
                <w:rFonts w:ascii="Times New Roman" w:hAnsi="Times New Roman" w:cs="Times New Roman"/>
                <w:b/>
                <w:sz w:val="28"/>
                <w:szCs w:val="28"/>
              </w:rPr>
              <w:t xml:space="preserve">Mācību centrs „Pakalnieši” </w:t>
            </w:r>
            <w:r w:rsidRPr="00BB4169">
              <w:rPr>
                <w:rFonts w:ascii="Times New Roman" w:hAnsi="Times New Roman" w:cs="Times New Roman"/>
                <w:sz w:val="28"/>
                <w:szCs w:val="28"/>
              </w:rPr>
              <w:t>atrodas Madonas novadā. Tas izveidots, lai īstenotu skolēnu, jaunatnes, ģimeņu un meža īpašnieku neformālo izglītošanu un konsultāciju sniegšanu par mežu un metodiskai palīdzības sniegšanai meža apsaimniekošanas jautājumos. Šajā nolūkā no Valsts meža dienesta tiek nomāts nekustamais īpašums „Pakalnieši”, kas atrodas Vestienas pagastā, Madonas novadā (2010.gada 26.marta līgums Nr.10-2).</w:t>
            </w:r>
          </w:p>
          <w:p w:rsidR="00BB4169" w:rsidRPr="00BB4169" w:rsidRDefault="00BB4169" w:rsidP="00BB4169">
            <w:pPr>
              <w:spacing w:after="0" w:line="20" w:lineRule="atLeast"/>
              <w:jc w:val="both"/>
              <w:rPr>
                <w:rFonts w:ascii="Times New Roman" w:hAnsi="Times New Roman" w:cs="Times New Roman"/>
                <w:bCs/>
                <w:iCs/>
                <w:sz w:val="28"/>
                <w:szCs w:val="28"/>
              </w:rPr>
            </w:pPr>
            <w:r w:rsidRPr="00BB4169">
              <w:rPr>
                <w:rFonts w:ascii="Times New Roman" w:hAnsi="Times New Roman" w:cs="Times New Roman"/>
                <w:bCs/>
                <w:iCs/>
                <w:sz w:val="28"/>
                <w:szCs w:val="28"/>
              </w:rPr>
              <w:t xml:space="preserve">         Nekustamais īpašums </w:t>
            </w:r>
            <w:r w:rsidRPr="00BB4169">
              <w:rPr>
                <w:rFonts w:ascii="Times New Roman" w:hAnsi="Times New Roman" w:cs="Times New Roman"/>
                <w:sz w:val="28"/>
                <w:szCs w:val="28"/>
              </w:rPr>
              <w:t>„Pakalnieši”</w:t>
            </w:r>
            <w:r w:rsidRPr="00BB4169">
              <w:rPr>
                <w:rFonts w:ascii="Times New Roman" w:hAnsi="Times New Roman" w:cs="Times New Roman"/>
                <w:bCs/>
                <w:iCs/>
                <w:sz w:val="28"/>
                <w:szCs w:val="28"/>
              </w:rPr>
              <w:t xml:space="preserve">, </w:t>
            </w:r>
            <w:r w:rsidRPr="00BB4169">
              <w:rPr>
                <w:rFonts w:ascii="Times New Roman" w:hAnsi="Times New Roman" w:cs="Times New Roman"/>
                <w:sz w:val="28"/>
                <w:szCs w:val="28"/>
              </w:rPr>
              <w:t>Vestienas pagastā, Madonas novadā</w:t>
            </w:r>
            <w:r w:rsidRPr="00BB4169">
              <w:rPr>
                <w:rFonts w:ascii="Times New Roman" w:hAnsi="Times New Roman" w:cs="Times New Roman"/>
                <w:bCs/>
                <w:iCs/>
                <w:sz w:val="28"/>
                <w:szCs w:val="28"/>
              </w:rPr>
              <w:t xml:space="preserve"> (nekustamā īpašuma kadastra Nr. 7096 004 0101, zemes vienību kadastra apzīmējumi - 7096 004 0101, 7096 004 0109 un 7096 004 0110. Uz zemes vienības ar kadastra apzīmējumu 7096 004 0101 atrodas divas būves – būve ar kadastra apzīmējumu 7096 004 0101 001 (administratīvā ēka) un būve ar kadastra apzīmējums 7096 004 0101 002 (pirts) reģistrēts Vestienes pagasta zemesgrāmatu nodalījumā Nr. 1000 0015 2544 uz valsts vārda Zemkopības ministrijas personā. Nekustamais īpašums atrodas Valsts meža dienesta pārvaldīšanā.</w:t>
            </w:r>
          </w:p>
          <w:p w:rsidR="00BB4169" w:rsidRPr="00BB4169" w:rsidRDefault="00BB4169" w:rsidP="00BB4169">
            <w:pPr>
              <w:spacing w:after="0" w:line="20" w:lineRule="atLeast"/>
              <w:jc w:val="both"/>
              <w:rPr>
                <w:rFonts w:ascii="Times New Roman" w:hAnsi="Times New Roman" w:cs="Times New Roman"/>
                <w:sz w:val="28"/>
                <w:szCs w:val="28"/>
              </w:rPr>
            </w:pPr>
          </w:p>
          <w:p w:rsidR="00BB4169" w:rsidRPr="00BB4169" w:rsidRDefault="00BB4169" w:rsidP="00BB4169">
            <w:pPr>
              <w:spacing w:after="0" w:line="20" w:lineRule="atLeast"/>
              <w:jc w:val="both"/>
              <w:rPr>
                <w:rFonts w:ascii="Times New Roman" w:hAnsi="Times New Roman" w:cs="Times New Roman"/>
                <w:bCs/>
                <w:iCs/>
                <w:sz w:val="28"/>
                <w:szCs w:val="28"/>
              </w:rPr>
            </w:pPr>
            <w:r w:rsidRPr="00BB4169">
              <w:rPr>
                <w:rFonts w:ascii="Times New Roman" w:hAnsi="Times New Roman" w:cs="Times New Roman"/>
                <w:bCs/>
                <w:iCs/>
                <w:sz w:val="28"/>
                <w:szCs w:val="28"/>
              </w:rPr>
              <w:lastRenderedPageBreak/>
              <w:t xml:space="preserve">       Minētie nekustamie īpašumi, kurus lieto LLKC Tukuma un Balvu konsultāciju biroji, darbības nodrošināšanai tiek nomāti no Zemkopības ministrijas pakļautībā esošā Lauku atbalsta dienesta, Valsts meža dienesta un Zemkopības ministrijas kapitālsabiedrības valsts SIA „Zemkopības ministrijas nekustamie īpašumi”.</w:t>
            </w:r>
          </w:p>
          <w:p w:rsidR="00BB4169" w:rsidRPr="00BB4169" w:rsidRDefault="00BB4169" w:rsidP="00BB4169">
            <w:pPr>
              <w:spacing w:after="0" w:line="20" w:lineRule="atLeast"/>
              <w:jc w:val="both"/>
              <w:rPr>
                <w:rFonts w:ascii="Times New Roman" w:hAnsi="Times New Roman" w:cs="Times New Roman"/>
                <w:bCs/>
                <w:iCs/>
                <w:sz w:val="28"/>
                <w:szCs w:val="28"/>
              </w:rPr>
            </w:pPr>
            <w:r w:rsidRPr="00BB4169">
              <w:rPr>
                <w:rFonts w:ascii="Times New Roman" w:hAnsi="Times New Roman" w:cs="Times New Roman"/>
                <w:bCs/>
                <w:iCs/>
                <w:sz w:val="28"/>
                <w:szCs w:val="28"/>
              </w:rPr>
              <w:t xml:space="preserve"> Lauku atbalsta dienests, Valsts meža dienests un  Zemkopības ministrijas kapitālsabiedrība valsts SIA „Zemkopības ministrijas nekustamie īpašumi” minētos nekustamos īpašumus savu funkciju nodrošināšanai   faktiski neizmanto. </w:t>
            </w:r>
          </w:p>
          <w:p w:rsidR="00BB4169" w:rsidRPr="00BB4169" w:rsidRDefault="00BB4169" w:rsidP="00BB4169">
            <w:pPr>
              <w:spacing w:after="0" w:line="20" w:lineRule="atLeast"/>
              <w:jc w:val="both"/>
              <w:rPr>
                <w:rFonts w:ascii="Times New Roman" w:hAnsi="Times New Roman" w:cs="Times New Roman"/>
                <w:bCs/>
                <w:iCs/>
                <w:sz w:val="28"/>
                <w:szCs w:val="28"/>
              </w:rPr>
            </w:pP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bCs/>
                <w:iCs/>
                <w:sz w:val="28"/>
                <w:szCs w:val="28"/>
              </w:rPr>
              <w:t>Zemkopības ministrija izvērtēja minēto valsts nekustamo īpašumu nepieciešamību LLKC valsts deleģēto uzdevumu  izpildē un nozarei svarīgo pakalpojumu nodrošināšanā</w:t>
            </w:r>
            <w:r w:rsidRPr="00BB4169">
              <w:rPr>
                <w:rFonts w:ascii="Times New Roman" w:hAnsi="Times New Roman" w:cs="Times New Roman"/>
                <w:sz w:val="28"/>
                <w:szCs w:val="28"/>
              </w:rPr>
              <w:t xml:space="preserve"> un, ņemot vērā to, ka šos valsts nekustamos īpašumus LLKC ilgstoši faktiski izmanto savas darbības nodrošināšanai un apsaimnieko par saviem līdzekļiem un uzskata kā LLKC pamatkapitālā ir nepieciešami un lietderīgi  ieguldīt šādus </w:t>
            </w:r>
            <w:r w:rsidRPr="00BB4169">
              <w:rPr>
                <w:rFonts w:ascii="Times New Roman" w:hAnsi="Times New Roman" w:cs="Times New Roman"/>
                <w:bCs/>
                <w:iCs/>
                <w:sz w:val="28"/>
                <w:szCs w:val="28"/>
              </w:rPr>
              <w:t>valsts nekustamos īpašumus,</w:t>
            </w:r>
            <w:r w:rsidRPr="00BB4169">
              <w:rPr>
                <w:rFonts w:ascii="Times New Roman" w:hAnsi="Times New Roman" w:cs="Times New Roman"/>
                <w:sz w:val="28"/>
                <w:szCs w:val="28"/>
              </w:rPr>
              <w:t xml:space="preserve"> kas ierakstīti zemesgrāmatā valsts vārda Zemkopības ministrijas personā</w:t>
            </w:r>
            <w:r w:rsidRPr="00BB4169">
              <w:rPr>
                <w:rFonts w:ascii="Times New Roman" w:hAnsi="Times New Roman" w:cs="Times New Roman"/>
                <w:bCs/>
                <w:iCs/>
                <w:sz w:val="28"/>
                <w:szCs w:val="28"/>
              </w:rPr>
              <w:t>:</w:t>
            </w:r>
            <w:r w:rsidRPr="00BB4169">
              <w:rPr>
                <w:rFonts w:ascii="Times New Roman" w:hAnsi="Times New Roman" w:cs="Times New Roman"/>
                <w:sz w:val="28"/>
                <w:szCs w:val="28"/>
              </w:rPr>
              <w:t xml:space="preserve"> </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1) nekustamo īpašumu (nekustamā īpašuma kadastra Nr.9001 004 0684) – zemes vienību 0, 0990 ha platībā (zemes vienības kadastra apzīmējums 9001 004 0684) un būvi (būves kadastra apzīmējums 9001 004 0684 001) Ed.Veidenbauma ielā 9, Tukumā – 95 000 EUR vērtībā;</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2) nekustamo īpašumu (nekustamā īpašuma kadastra Nr.3801 503 0043) –būvi (būves kadastra apzīmējums 3801 003 0478 001) Brīvības ielā 46A, Balvos – 110 000 EUR vērtībā;</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3) nekustamo īpašumu „Pakalnieši” (nekustamā īpašuma kadastra Nr.7096 004 010 – trīs zemes vienības 2,2000 ha platībā (zemes vienību ar kadastra apzīmējumu 7096 004 0101 – 0,8000 ha, zemes vienību ar kadastra apzīmējumu 7096 004 0109 – </w:t>
            </w:r>
            <w:smartTag w:uri="urn:schemas-microsoft-com:office:smarttags" w:element="metricconverter">
              <w:smartTagPr>
                <w:attr w:name="ProductID" w:val="0,4 ha"/>
              </w:smartTagPr>
              <w:r w:rsidRPr="00BB4169">
                <w:rPr>
                  <w:rFonts w:ascii="Times New Roman" w:hAnsi="Times New Roman" w:cs="Times New Roman"/>
                  <w:sz w:val="28"/>
                  <w:szCs w:val="28"/>
                </w:rPr>
                <w:t>0,4 ha</w:t>
              </w:r>
            </w:smartTag>
            <w:r w:rsidRPr="00BB4169">
              <w:rPr>
                <w:rFonts w:ascii="Times New Roman" w:hAnsi="Times New Roman" w:cs="Times New Roman"/>
                <w:sz w:val="28"/>
                <w:szCs w:val="28"/>
              </w:rPr>
              <w:t xml:space="preserve">, zemes vienību  ar kadastra apzīmējumu 7096 004 0110 – </w:t>
            </w:r>
            <w:smartTag w:uri="urn:schemas-microsoft-com:office:smarttags" w:element="metricconverter">
              <w:smartTagPr>
                <w:attr w:name="ProductID" w:val="1 ha"/>
              </w:smartTagPr>
              <w:r w:rsidRPr="00BB4169">
                <w:rPr>
                  <w:rFonts w:ascii="Times New Roman" w:hAnsi="Times New Roman" w:cs="Times New Roman"/>
                  <w:sz w:val="28"/>
                  <w:szCs w:val="28"/>
                </w:rPr>
                <w:t>1 ha</w:t>
              </w:r>
            </w:smartTag>
            <w:r w:rsidRPr="00BB4169">
              <w:rPr>
                <w:rFonts w:ascii="Times New Roman" w:hAnsi="Times New Roman" w:cs="Times New Roman"/>
                <w:sz w:val="28"/>
                <w:szCs w:val="28"/>
              </w:rPr>
              <w:t xml:space="preserve">) un trīs būves (būvju kadastra apzīmējumi 7096 004 0101 001, 7096 004 0101 002 un 7096 004 0110 001) Vestienas pagastā, Madonas novadā  – 90 000 EUR  vērtībā </w:t>
            </w:r>
          </w:p>
          <w:p w:rsidR="00BB4169" w:rsidRPr="00BB4169" w:rsidRDefault="00BB4169" w:rsidP="00BB4169">
            <w:pPr>
              <w:spacing w:after="0" w:line="20" w:lineRule="atLeast"/>
              <w:jc w:val="both"/>
              <w:rPr>
                <w:rFonts w:ascii="Times New Roman" w:hAnsi="Times New Roman" w:cs="Times New Roman"/>
                <w:bCs/>
                <w:iCs/>
                <w:sz w:val="28"/>
                <w:szCs w:val="28"/>
              </w:rPr>
            </w:pPr>
            <w:r w:rsidRPr="00BB4169">
              <w:rPr>
                <w:rFonts w:ascii="Times New Roman" w:hAnsi="Times New Roman" w:cs="Times New Roman"/>
                <w:sz w:val="28"/>
                <w:szCs w:val="28"/>
              </w:rPr>
              <w:t xml:space="preserve">        </w:t>
            </w:r>
            <w:r w:rsidRPr="00BB4169">
              <w:rPr>
                <w:rFonts w:ascii="Times New Roman" w:hAnsi="Times New Roman" w:cs="Times New Roman"/>
                <w:bCs/>
                <w:iCs/>
                <w:sz w:val="28"/>
                <w:szCs w:val="28"/>
              </w:rPr>
              <w:t xml:space="preserve"> Nekustamo īpašumu ieguldīšana LLKC pamatkapitālā ir nepieciešama: </w:t>
            </w:r>
          </w:p>
          <w:p w:rsidR="00BB4169" w:rsidRPr="00BB4169" w:rsidRDefault="00BB4169" w:rsidP="00BB4169">
            <w:pPr>
              <w:numPr>
                <w:ilvl w:val="0"/>
                <w:numId w:val="1"/>
              </w:num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lai turpmāk būtu iespēja ietaupīt izmaksas, ko novirzīt uzņēmuma attīstībai, kas samazinātu pakalpojumu pašizmaksu, līdz ar to valsts programmās īstenotajos pasākumos būtu nepieciešams mazāks finansējums no </w:t>
            </w:r>
            <w:r w:rsidRPr="00BB4169">
              <w:rPr>
                <w:rFonts w:ascii="Times New Roman" w:hAnsi="Times New Roman" w:cs="Times New Roman"/>
                <w:sz w:val="28"/>
                <w:szCs w:val="28"/>
              </w:rPr>
              <w:lastRenderedPageBreak/>
              <w:t>valsts.</w:t>
            </w:r>
          </w:p>
          <w:p w:rsidR="00BB4169" w:rsidRPr="00BB4169" w:rsidRDefault="00BB4169" w:rsidP="00BB4169">
            <w:pPr>
              <w:numPr>
                <w:ilvl w:val="0"/>
                <w:numId w:val="1"/>
              </w:numPr>
              <w:spacing w:after="0" w:line="20" w:lineRule="atLeast"/>
              <w:jc w:val="both"/>
              <w:rPr>
                <w:rFonts w:ascii="Times New Roman" w:hAnsi="Times New Roman" w:cs="Times New Roman"/>
                <w:sz w:val="28"/>
                <w:szCs w:val="28"/>
              </w:rPr>
            </w:pPr>
            <w:r w:rsidRPr="00BB4169">
              <w:rPr>
                <w:rFonts w:ascii="Times New Roman" w:hAnsi="Times New Roman" w:cs="Times New Roman"/>
                <w:bCs/>
                <w:iCs/>
                <w:sz w:val="28"/>
                <w:szCs w:val="28"/>
              </w:rPr>
              <w:t xml:space="preserve">lai nodrošinātu LLKC valsts deleģēto funkcijas sekmīgu veikšanu, organizējot seminārus un apmācības lauku uzņēmējiem, </w:t>
            </w:r>
          </w:p>
          <w:p w:rsidR="00BB4169" w:rsidRPr="00BB4169" w:rsidRDefault="00BB4169" w:rsidP="00BB4169">
            <w:pPr>
              <w:numPr>
                <w:ilvl w:val="0"/>
                <w:numId w:val="1"/>
              </w:numPr>
              <w:spacing w:after="0" w:line="20" w:lineRule="atLeast"/>
              <w:jc w:val="both"/>
              <w:rPr>
                <w:rFonts w:ascii="Times New Roman" w:hAnsi="Times New Roman" w:cs="Times New Roman"/>
                <w:sz w:val="28"/>
                <w:szCs w:val="28"/>
              </w:rPr>
            </w:pPr>
            <w:r w:rsidRPr="00BB4169">
              <w:rPr>
                <w:rFonts w:ascii="Times New Roman" w:hAnsi="Times New Roman" w:cs="Times New Roman"/>
                <w:bCs/>
                <w:iCs/>
                <w:sz w:val="28"/>
                <w:szCs w:val="28"/>
              </w:rPr>
              <w:t xml:space="preserve">lai </w:t>
            </w:r>
            <w:r w:rsidRPr="00BB4169">
              <w:rPr>
                <w:rFonts w:ascii="Times New Roman" w:hAnsi="Times New Roman" w:cs="Times New Roman"/>
                <w:sz w:val="28"/>
                <w:szCs w:val="28"/>
              </w:rPr>
              <w:t>paaugstināta uzņēmuma likviditāte un finanšu stabilitāte.</w:t>
            </w:r>
          </w:p>
          <w:p w:rsidR="00BB4169" w:rsidRPr="00BB4169" w:rsidRDefault="00BB4169" w:rsidP="00BB4169">
            <w:pPr>
              <w:spacing w:after="0" w:line="20" w:lineRule="atLeast"/>
              <w:jc w:val="both"/>
              <w:rPr>
                <w:rFonts w:ascii="Times New Roman" w:hAnsi="Times New Roman" w:cs="Times New Roman"/>
                <w:sz w:val="28"/>
                <w:szCs w:val="28"/>
              </w:rPr>
            </w:pP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Ievērojot minēto, Zemkopības ministrija ir sagatavojusi Ministru kabineta rīkojuma projektu </w:t>
            </w:r>
            <w:r w:rsidRPr="00BB4169">
              <w:rPr>
                <w:rFonts w:ascii="Times New Roman" w:hAnsi="Times New Roman" w:cs="Times New Roman"/>
                <w:bCs/>
                <w:sz w:val="28"/>
                <w:szCs w:val="28"/>
              </w:rPr>
              <w:t>„</w:t>
            </w:r>
            <w:r w:rsidRPr="00BB4169">
              <w:rPr>
                <w:rFonts w:ascii="Times New Roman" w:hAnsi="Times New Roman" w:cs="Times New Roman"/>
                <w:sz w:val="28"/>
                <w:szCs w:val="28"/>
              </w:rPr>
              <w:t>Par valsts nekustamo īpašumu ieguldīšanu sabiedrības ar ierobežotu atbildību „Latvijas Lauku konsultāciju un izglītības centrs” pamatkapitālā”.</w:t>
            </w:r>
          </w:p>
          <w:p w:rsidR="00BB4169" w:rsidRPr="00BB4169" w:rsidRDefault="00BB4169" w:rsidP="00BB4169">
            <w:pPr>
              <w:spacing w:after="0" w:line="20" w:lineRule="atLeast"/>
              <w:jc w:val="both"/>
              <w:rPr>
                <w:rFonts w:ascii="Times New Roman" w:hAnsi="Times New Roman" w:cs="Times New Roman"/>
                <w:bCs/>
                <w:iCs/>
                <w:sz w:val="28"/>
                <w:szCs w:val="28"/>
              </w:rPr>
            </w:pPr>
          </w:p>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bCs/>
                <w:sz w:val="28"/>
                <w:szCs w:val="28"/>
              </w:rPr>
              <w:t xml:space="preserve">         Publiskas personas mantas atsavināšanas likuma</w:t>
            </w:r>
            <w:r w:rsidRPr="00BB4169">
              <w:rPr>
                <w:rFonts w:ascii="Times New Roman" w:hAnsi="Times New Roman" w:cs="Times New Roman"/>
                <w:b/>
                <w:bCs/>
                <w:sz w:val="28"/>
                <w:szCs w:val="28"/>
              </w:rPr>
              <w:t xml:space="preserve"> </w:t>
            </w:r>
            <w:r w:rsidRPr="00BB4169">
              <w:rPr>
                <w:rFonts w:ascii="Times New Roman" w:hAnsi="Times New Roman" w:cs="Times New Roman"/>
                <w:bCs/>
                <w:sz w:val="28"/>
                <w:szCs w:val="28"/>
              </w:rPr>
              <w:t xml:space="preserve">3. panta pirmās daļas 4.punkts nosaka, ka valsts vai pašvaldības nekustamo un kustamo mantu var atsavināt, ieguldot kapitālsabiedrības pamatkapitālā, un likuma 40.panta pirmā daļa nosaka, ka lēmumu par valsts mantas ieguldīšanu kapitālsabiedrības pamatkapitālā pieņem Ministru kabinets vai attiecīgās atvasinātas publiskas personas lēmējinstitūcija. </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Valsts nekustamo īpašumu ieguldīšanas rezultātā palielināsies LLKC pamatkapitāls un valstij piederošo LLKC kapitāla daļu skaits, par ko LLKC otrs dalībnieks – biedrība „Latvijas Zemnieku Federācija” neiebilst.</w:t>
            </w: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Pēc minētos valsts nekustamos īpašumus ieguldīšanu LLKC pamatkapitālā LLKC pamatkapitāls sastādīs EUR 1 139 326,46, </w:t>
            </w:r>
            <w:r w:rsidRPr="00BB4169">
              <w:rPr>
                <w:rFonts w:ascii="Times New Roman" w:hAnsi="Times New Roman" w:cs="Times New Roman"/>
                <w:bCs/>
                <w:sz w:val="28"/>
                <w:szCs w:val="28"/>
              </w:rPr>
              <w:t>Zemkopības Ministrijai - EUR 1 131580,31, t.i. 99,32%, Zemnieku federācijai - EUR</w:t>
            </w:r>
            <w:r w:rsidRPr="00BB4169">
              <w:rPr>
                <w:rFonts w:ascii="Times New Roman" w:hAnsi="Times New Roman" w:cs="Times New Roman"/>
                <w:bCs/>
                <w:i/>
                <w:sz w:val="28"/>
                <w:szCs w:val="28"/>
              </w:rPr>
              <w:t xml:space="preserve"> </w:t>
            </w:r>
            <w:r w:rsidRPr="00BB4169">
              <w:rPr>
                <w:rFonts w:ascii="Times New Roman" w:hAnsi="Times New Roman" w:cs="Times New Roman"/>
                <w:bCs/>
                <w:sz w:val="28"/>
                <w:szCs w:val="28"/>
              </w:rPr>
              <w:t>7746,11, t.i. 0.68%.</w:t>
            </w:r>
            <w:r w:rsidRPr="00BB4169">
              <w:rPr>
                <w:rFonts w:ascii="Times New Roman" w:hAnsi="Times New Roman" w:cs="Times New Roman"/>
                <w:sz w:val="28"/>
                <w:szCs w:val="28"/>
              </w:rPr>
              <w:t xml:space="preserve"> </w:t>
            </w:r>
          </w:p>
        </w:tc>
      </w:tr>
      <w:tr w:rsidR="00BB4169" w:rsidRPr="00BB4169" w:rsidTr="003326E1">
        <w:trPr>
          <w:trHeight w:val="476"/>
        </w:trPr>
        <w:tc>
          <w:tcPr>
            <w:tcW w:w="459" w:type="pct"/>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lastRenderedPageBreak/>
              <w:t>3.</w:t>
            </w:r>
          </w:p>
        </w:tc>
        <w:tc>
          <w:tcPr>
            <w:tcW w:w="1340" w:type="pct"/>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Projekta izstrādē iesaistītās institūcijas</w:t>
            </w:r>
          </w:p>
        </w:tc>
        <w:tc>
          <w:tcPr>
            <w:tcW w:w="3201" w:type="pct"/>
          </w:tcPr>
          <w:p w:rsidR="00BB4169" w:rsidRPr="00BB4169" w:rsidRDefault="00BB4169" w:rsidP="00BB4169">
            <w:pPr>
              <w:spacing w:after="0" w:line="20" w:lineRule="atLeast"/>
              <w:jc w:val="both"/>
              <w:rPr>
                <w:rFonts w:ascii="Times New Roman" w:hAnsi="Times New Roman" w:cs="Times New Roman"/>
                <w:b/>
                <w:sz w:val="28"/>
                <w:szCs w:val="28"/>
              </w:rPr>
            </w:pPr>
            <w:r w:rsidRPr="00BB4169">
              <w:rPr>
                <w:rFonts w:ascii="Times New Roman" w:hAnsi="Times New Roman" w:cs="Times New Roman"/>
                <w:sz w:val="28"/>
                <w:szCs w:val="28"/>
              </w:rPr>
              <w:t xml:space="preserve">         Zemkopības ministrija un SIA „Latvijas Lauku konsultāciju un izglītības centrs”</w:t>
            </w:r>
          </w:p>
        </w:tc>
      </w:tr>
      <w:tr w:rsidR="00BB4169" w:rsidRPr="00BB4169" w:rsidTr="003326E1">
        <w:tc>
          <w:tcPr>
            <w:tcW w:w="459" w:type="pct"/>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4.</w:t>
            </w:r>
          </w:p>
        </w:tc>
        <w:tc>
          <w:tcPr>
            <w:tcW w:w="1340" w:type="pct"/>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Cita informācija</w:t>
            </w:r>
          </w:p>
        </w:tc>
        <w:tc>
          <w:tcPr>
            <w:tcW w:w="3201" w:type="pct"/>
          </w:tcPr>
          <w:p w:rsidR="00A05C39" w:rsidRPr="008B24AC" w:rsidRDefault="00A05C39" w:rsidP="00A05C39">
            <w:pPr>
              <w:spacing w:after="0" w:line="20" w:lineRule="atLeast"/>
              <w:jc w:val="both"/>
              <w:rPr>
                <w:rFonts w:ascii="Times New Roman" w:hAnsi="Times New Roman" w:cs="Times New Roman"/>
                <w:sz w:val="28"/>
                <w:szCs w:val="28"/>
              </w:rPr>
            </w:pPr>
            <w:r w:rsidRPr="008B24AC">
              <w:rPr>
                <w:rFonts w:ascii="Times New Roman" w:hAnsi="Times New Roman" w:cs="Times New Roman"/>
                <w:sz w:val="28"/>
                <w:szCs w:val="28"/>
              </w:rPr>
              <w:t>LLKC 2014.gada 1.maijā noslēdza pirkuma līgumu Nr.9-9/28 par ½ domājamās daļas nekustamā īpašuma, kas sastāv no zemes vienības 1614 m</w:t>
            </w:r>
            <w:r w:rsidRPr="008B24AC">
              <w:rPr>
                <w:rFonts w:ascii="Times New Roman" w:hAnsi="Times New Roman" w:cs="Times New Roman"/>
                <w:sz w:val="28"/>
                <w:szCs w:val="28"/>
                <w:vertAlign w:val="superscript"/>
              </w:rPr>
              <w:t>2</w:t>
            </w:r>
            <w:r w:rsidRPr="008B24AC">
              <w:rPr>
                <w:rFonts w:ascii="Times New Roman" w:hAnsi="Times New Roman" w:cs="Times New Roman"/>
                <w:sz w:val="28"/>
                <w:szCs w:val="28"/>
              </w:rPr>
              <w:t xml:space="preserve"> platība,  iegādi Brīvības ielā 46A, Balvos, Balvu novadā, kadastra Nr. 38010030478 uz kuras atrodas būve ar kadastra apzīmējumu 3801 003 0478 00.</w:t>
            </w:r>
          </w:p>
          <w:p w:rsidR="00A05C39" w:rsidRPr="008B24AC" w:rsidRDefault="00A05C39" w:rsidP="00A05C39">
            <w:pPr>
              <w:spacing w:after="0" w:line="20" w:lineRule="atLeast"/>
              <w:jc w:val="both"/>
              <w:rPr>
                <w:rFonts w:ascii="Times New Roman" w:hAnsi="Times New Roman" w:cs="Times New Roman"/>
                <w:sz w:val="28"/>
                <w:szCs w:val="28"/>
              </w:rPr>
            </w:pPr>
            <w:r w:rsidRPr="008B24AC">
              <w:rPr>
                <w:rFonts w:ascii="Times New Roman" w:hAnsi="Times New Roman" w:cs="Times New Roman"/>
                <w:sz w:val="28"/>
                <w:szCs w:val="28"/>
              </w:rPr>
              <w:t xml:space="preserve">Otra ½ domājama daļa no iepriekš minētā nekustamā īpašuma uz šo brīdi atzīstama par bezmantinieka mantu. </w:t>
            </w:r>
          </w:p>
          <w:p w:rsidR="00A05C39" w:rsidRPr="008B24AC" w:rsidRDefault="00A05C39" w:rsidP="00A05C39">
            <w:pPr>
              <w:spacing w:after="0" w:line="20" w:lineRule="atLeast"/>
              <w:jc w:val="both"/>
              <w:rPr>
                <w:rFonts w:ascii="Times New Roman" w:hAnsi="Times New Roman" w:cs="Times New Roman"/>
                <w:iCs/>
                <w:sz w:val="28"/>
                <w:szCs w:val="28"/>
              </w:rPr>
            </w:pPr>
            <w:r w:rsidRPr="008B24AC">
              <w:rPr>
                <w:rFonts w:ascii="Times New Roman" w:hAnsi="Times New Roman" w:cs="Times New Roman"/>
                <w:sz w:val="28"/>
                <w:szCs w:val="28"/>
              </w:rPr>
              <w:t xml:space="preserve">Lai atzītu nekustamo īpašumu par bezmantinieka mantu, LLKC vērsīsies ar iesniegumu pie valsts notāra par mantojuma izsludināšanu. Ņemot vērā, ka 7 gadu laikā nav uzsākta mantojuma lieta un mantinieki uz šo nekustamo īpašumu nav </w:t>
            </w:r>
            <w:r w:rsidRPr="008B24AC">
              <w:rPr>
                <w:rFonts w:ascii="Times New Roman" w:hAnsi="Times New Roman" w:cs="Times New Roman"/>
                <w:sz w:val="28"/>
                <w:szCs w:val="28"/>
              </w:rPr>
              <w:lastRenderedPageBreak/>
              <w:t xml:space="preserve">pieteikušies, līdz ar to zvērināts notārs taisīs notariālo aktu par mantojuma lietas izbeigšanu. Ar dienu, kad tiks taisīts notariālais akts par mantojuma lietas izbeigšanu mantojums kļūs par bezmantinieka mantu un to atsavina saskaņā ar </w:t>
            </w:r>
            <w:r w:rsidRPr="008B24AC">
              <w:rPr>
                <w:rFonts w:ascii="Times New Roman" w:hAnsi="Times New Roman" w:cs="Times New Roman"/>
                <w:iCs/>
                <w:sz w:val="28"/>
                <w:szCs w:val="28"/>
              </w:rPr>
              <w:t xml:space="preserve">2013.gada 2.jūlija Ministru kabineta noteikumu Nr.364 "Noteikumi par zvērināta tiesu izpildītāja rīcību ar bezmantinieku mantu" paredzēto kārtību. </w:t>
            </w:r>
          </w:p>
          <w:p w:rsidR="00A05C39" w:rsidRPr="008B24AC" w:rsidRDefault="00A05C39" w:rsidP="00A05C39">
            <w:pPr>
              <w:spacing w:after="0" w:line="20" w:lineRule="atLeast"/>
              <w:jc w:val="both"/>
              <w:rPr>
                <w:rFonts w:ascii="Times New Roman" w:hAnsi="Times New Roman" w:cs="Times New Roman"/>
                <w:sz w:val="28"/>
                <w:szCs w:val="28"/>
              </w:rPr>
            </w:pPr>
            <w:r w:rsidRPr="008B24AC">
              <w:rPr>
                <w:rFonts w:ascii="Times New Roman" w:hAnsi="Times New Roman" w:cs="Times New Roman"/>
                <w:sz w:val="28"/>
                <w:szCs w:val="28"/>
              </w:rPr>
              <w:t xml:space="preserve"> </w:t>
            </w:r>
          </w:p>
          <w:p w:rsidR="00A05C39" w:rsidRPr="008B24AC" w:rsidRDefault="00745BF0" w:rsidP="00A05C39">
            <w:pPr>
              <w:spacing w:after="0" w:line="20" w:lineRule="atLeast"/>
              <w:jc w:val="both"/>
              <w:rPr>
                <w:rFonts w:ascii="Times New Roman" w:hAnsi="Times New Roman" w:cs="Times New Roman"/>
                <w:sz w:val="28"/>
                <w:szCs w:val="28"/>
              </w:rPr>
            </w:pPr>
            <w:r w:rsidRPr="008B24AC">
              <w:rPr>
                <w:rFonts w:ascii="Times New Roman" w:hAnsi="Times New Roman" w:cs="Times New Roman"/>
                <w:sz w:val="28"/>
                <w:szCs w:val="28"/>
              </w:rPr>
              <w:t>Tā</w:t>
            </w:r>
            <w:r w:rsidR="00A05C39" w:rsidRPr="008B24AC">
              <w:rPr>
                <w:rFonts w:ascii="Times New Roman" w:hAnsi="Times New Roman" w:cs="Times New Roman"/>
                <w:sz w:val="28"/>
                <w:szCs w:val="28"/>
              </w:rPr>
              <w:t>, ka LLKC pieder ½ domājamās daļas iepriekš minētā nekustamā īpa</w:t>
            </w:r>
            <w:r w:rsidR="00E363A2" w:rsidRPr="008B24AC">
              <w:rPr>
                <w:rFonts w:ascii="Times New Roman" w:hAnsi="Times New Roman" w:cs="Times New Roman"/>
                <w:sz w:val="28"/>
                <w:szCs w:val="28"/>
              </w:rPr>
              <w:t>šuma,</w:t>
            </w:r>
            <w:r w:rsidR="00A05C39" w:rsidRPr="008B24AC">
              <w:rPr>
                <w:rFonts w:ascii="Times New Roman" w:hAnsi="Times New Roman" w:cs="Times New Roman"/>
                <w:sz w:val="28"/>
                <w:szCs w:val="28"/>
              </w:rPr>
              <w:t xml:space="preserve"> </w:t>
            </w:r>
            <w:r w:rsidR="00E363A2" w:rsidRPr="008B24AC">
              <w:rPr>
                <w:rFonts w:ascii="Times New Roman" w:hAnsi="Times New Roman" w:cs="Times New Roman"/>
                <w:sz w:val="28"/>
                <w:szCs w:val="28"/>
              </w:rPr>
              <w:t>s</w:t>
            </w:r>
            <w:r w:rsidR="00A05C39" w:rsidRPr="008B24AC">
              <w:rPr>
                <w:rFonts w:ascii="Times New Roman" w:hAnsi="Times New Roman" w:cs="Times New Roman"/>
                <w:sz w:val="28"/>
                <w:szCs w:val="28"/>
              </w:rPr>
              <w:t xml:space="preserve">askaņā ar Civillikuma </w:t>
            </w:r>
            <w:hyperlink r:id="rId8" w:anchor="p1073.1" w:tgtFrame="_blank" w:history="1">
              <w:r w:rsidR="00A05C39" w:rsidRPr="008B24AC">
                <w:rPr>
                  <w:rStyle w:val="Hipersaite"/>
                  <w:rFonts w:ascii="Times New Roman" w:hAnsi="Times New Roman" w:cs="Times New Roman"/>
                  <w:sz w:val="28"/>
                  <w:szCs w:val="28"/>
                </w:rPr>
                <w:t>1073.panta</w:t>
              </w:r>
            </w:hyperlink>
            <w:r w:rsidR="00A05C39" w:rsidRPr="008B24AC">
              <w:rPr>
                <w:rFonts w:ascii="Times New Roman" w:hAnsi="Times New Roman" w:cs="Times New Roman"/>
                <w:sz w:val="28"/>
                <w:szCs w:val="28"/>
              </w:rPr>
              <w:t xml:space="preserve"> pirmajā daļā minēto, LLKC ir pirmpirkuma tiesības uz otras ½ domājamās daļas iegūšanu. </w:t>
            </w:r>
          </w:p>
          <w:p w:rsidR="00A05C39" w:rsidRPr="00A05C39" w:rsidRDefault="00A05C39" w:rsidP="00A05C39">
            <w:pPr>
              <w:spacing w:after="0" w:line="20" w:lineRule="atLeast"/>
              <w:jc w:val="both"/>
              <w:rPr>
                <w:rFonts w:ascii="Times New Roman" w:hAnsi="Times New Roman" w:cs="Times New Roman"/>
                <w:sz w:val="28"/>
                <w:szCs w:val="28"/>
              </w:rPr>
            </w:pPr>
            <w:r w:rsidRPr="008B24AC">
              <w:rPr>
                <w:rFonts w:ascii="Times New Roman" w:hAnsi="Times New Roman" w:cs="Times New Roman"/>
                <w:sz w:val="28"/>
                <w:szCs w:val="28"/>
              </w:rPr>
              <w:t>Līdz ar to LLKC otru domājamo daļu nekustamā īpašuma iegūs veicot atsavināšanu, kā bezmantinieka mantai.</w:t>
            </w:r>
          </w:p>
          <w:p w:rsidR="00A05C39" w:rsidRDefault="00A05C39" w:rsidP="00BB4169">
            <w:pPr>
              <w:spacing w:after="0" w:line="20" w:lineRule="atLeast"/>
              <w:jc w:val="both"/>
              <w:rPr>
                <w:rFonts w:ascii="Times New Roman" w:hAnsi="Times New Roman" w:cs="Times New Roman"/>
                <w:sz w:val="28"/>
                <w:szCs w:val="28"/>
              </w:rPr>
            </w:pPr>
          </w:p>
          <w:p w:rsidR="00A05C39" w:rsidRDefault="00A05C39" w:rsidP="00BB4169">
            <w:pPr>
              <w:spacing w:after="0" w:line="20" w:lineRule="atLeast"/>
              <w:jc w:val="both"/>
              <w:rPr>
                <w:rFonts w:ascii="Times New Roman" w:hAnsi="Times New Roman" w:cs="Times New Roman"/>
                <w:sz w:val="28"/>
                <w:szCs w:val="28"/>
              </w:rPr>
            </w:pP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Līdz ar pamatkapitāla palielināšanu tiks uzsākts process pamatkapitāla pārreģistrēšanai uz EUR, kā arī pamatkapitāla nominālvērtības pārrēķināšanas, līdz ar to sadalījums būs sekojošs (skaitļi ir izteikti EUR):</w:t>
            </w:r>
          </w:p>
          <w:tbl>
            <w:tblPr>
              <w:tblW w:w="6720" w:type="dxa"/>
              <w:tblLook w:val="04A0" w:firstRow="1" w:lastRow="0" w:firstColumn="1" w:lastColumn="0" w:noHBand="0" w:noVBand="1"/>
            </w:tblPr>
            <w:tblGrid>
              <w:gridCol w:w="2120"/>
              <w:gridCol w:w="1560"/>
              <w:gridCol w:w="1974"/>
              <w:gridCol w:w="1420"/>
            </w:tblGrid>
            <w:tr w:rsidR="00BB4169" w:rsidRPr="00BB4169" w:rsidTr="003326E1">
              <w:trPr>
                <w:trHeight w:val="300"/>
              </w:trPr>
              <w:tc>
                <w:tcPr>
                  <w:tcW w:w="21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rPr>
                  </w:pPr>
                </w:p>
              </w:tc>
              <w:tc>
                <w:tcPr>
                  <w:tcW w:w="156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Daļu skaits</w:t>
                  </w:r>
                </w:p>
              </w:tc>
              <w:tc>
                <w:tcPr>
                  <w:tcW w:w="16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Nominālvērtība</w:t>
                  </w:r>
                </w:p>
              </w:tc>
              <w:tc>
                <w:tcPr>
                  <w:tcW w:w="14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Kopējā vērtība</w:t>
                  </w:r>
                </w:p>
              </w:tc>
            </w:tr>
            <w:tr w:rsidR="00BB4169" w:rsidRPr="00BB4169" w:rsidTr="003326E1">
              <w:trPr>
                <w:trHeight w:val="300"/>
              </w:trPr>
              <w:tc>
                <w:tcPr>
                  <w:tcW w:w="21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ZM</w:t>
                  </w:r>
                </w:p>
              </w:tc>
              <w:tc>
                <w:tcPr>
                  <w:tcW w:w="156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1 131 580</w:t>
                  </w:r>
                </w:p>
              </w:tc>
              <w:tc>
                <w:tcPr>
                  <w:tcW w:w="16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1.00</w:t>
                  </w:r>
                </w:p>
              </w:tc>
              <w:tc>
                <w:tcPr>
                  <w:tcW w:w="14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1 131 580</w:t>
                  </w:r>
                </w:p>
              </w:tc>
            </w:tr>
            <w:tr w:rsidR="00BB4169" w:rsidRPr="00BB4169" w:rsidTr="003326E1">
              <w:trPr>
                <w:trHeight w:val="300"/>
              </w:trPr>
              <w:tc>
                <w:tcPr>
                  <w:tcW w:w="21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LZF</w:t>
                  </w:r>
                </w:p>
              </w:tc>
              <w:tc>
                <w:tcPr>
                  <w:tcW w:w="156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7 746</w:t>
                  </w:r>
                </w:p>
              </w:tc>
              <w:tc>
                <w:tcPr>
                  <w:tcW w:w="16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1.00</w:t>
                  </w:r>
                </w:p>
              </w:tc>
              <w:tc>
                <w:tcPr>
                  <w:tcW w:w="14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7 746</w:t>
                  </w:r>
                </w:p>
              </w:tc>
            </w:tr>
            <w:tr w:rsidR="00BB4169" w:rsidRPr="00BB4169" w:rsidTr="003326E1">
              <w:trPr>
                <w:trHeight w:val="300"/>
              </w:trPr>
              <w:tc>
                <w:tcPr>
                  <w:tcW w:w="21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Kopā</w:t>
                  </w:r>
                </w:p>
              </w:tc>
              <w:tc>
                <w:tcPr>
                  <w:tcW w:w="156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1 139 326</w:t>
                  </w:r>
                </w:p>
              </w:tc>
              <w:tc>
                <w:tcPr>
                  <w:tcW w:w="16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 xml:space="preserve">           x</w:t>
                  </w:r>
                </w:p>
              </w:tc>
              <w:tc>
                <w:tcPr>
                  <w:tcW w:w="1420" w:type="dxa"/>
                  <w:tcBorders>
                    <w:top w:val="nil"/>
                    <w:left w:val="nil"/>
                    <w:bottom w:val="nil"/>
                    <w:right w:val="nil"/>
                  </w:tcBorders>
                  <w:shd w:val="clear" w:color="auto" w:fill="auto"/>
                  <w:noWrap/>
                  <w:vAlign w:val="bottom"/>
                  <w:hideMark/>
                </w:tcPr>
                <w:p w:rsidR="00BB4169" w:rsidRPr="00BB4169" w:rsidRDefault="00BB4169" w:rsidP="00DD7C6A">
                  <w:pPr>
                    <w:framePr w:hSpace="180" w:wrap="around" w:vAnchor="text" w:hAnchor="margin" w:xAlign="center" w:y="149"/>
                    <w:spacing w:after="0" w:line="20" w:lineRule="atLeast"/>
                    <w:jc w:val="both"/>
                    <w:rPr>
                      <w:rFonts w:ascii="Times New Roman" w:hAnsi="Times New Roman" w:cs="Times New Roman"/>
                      <w:sz w:val="28"/>
                      <w:szCs w:val="28"/>
                      <w:lang w:val="en-US"/>
                    </w:rPr>
                  </w:pPr>
                  <w:r w:rsidRPr="00BB4169">
                    <w:rPr>
                      <w:rFonts w:ascii="Times New Roman" w:hAnsi="Times New Roman" w:cs="Times New Roman"/>
                      <w:sz w:val="28"/>
                      <w:szCs w:val="28"/>
                      <w:lang w:val="en-US"/>
                    </w:rPr>
                    <w:t>1 1393 26</w:t>
                  </w:r>
                </w:p>
              </w:tc>
            </w:tr>
          </w:tbl>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 </w:t>
            </w:r>
          </w:p>
        </w:tc>
      </w:tr>
    </w:tbl>
    <w:p w:rsidR="00BB4169" w:rsidRPr="00BB4169" w:rsidRDefault="00BB4169" w:rsidP="00BB4169">
      <w:pPr>
        <w:spacing w:after="0" w:line="20" w:lineRule="atLeast"/>
        <w:jc w:val="both"/>
        <w:rPr>
          <w:rFonts w:ascii="Times New Roman" w:hAnsi="Times New Roman" w:cs="Times New Roman"/>
          <w:sz w:val="28"/>
          <w:szCs w:val="28"/>
        </w:rPr>
      </w:pPr>
    </w:p>
    <w:tbl>
      <w:tblPr>
        <w:tblpPr w:leftFromText="180" w:rightFromText="180" w:vertAnchor="text" w:horzAnchor="margin" w:tblpXSpec="center" w:tblpY="1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15"/>
        <w:gridCol w:w="5963"/>
      </w:tblGrid>
      <w:tr w:rsidR="00BB4169" w:rsidRPr="00BB4169" w:rsidTr="003326E1">
        <w:trPr>
          <w:trHeight w:val="556"/>
        </w:trPr>
        <w:tc>
          <w:tcPr>
            <w:tcW w:w="9209" w:type="dxa"/>
            <w:gridSpan w:val="3"/>
            <w:vAlign w:val="center"/>
          </w:tcPr>
          <w:p w:rsidR="00BB4169" w:rsidRPr="00BB4169" w:rsidRDefault="00BB4169" w:rsidP="00BB4169">
            <w:pPr>
              <w:spacing w:after="0" w:line="20" w:lineRule="atLeast"/>
              <w:jc w:val="both"/>
              <w:rPr>
                <w:rFonts w:ascii="Times New Roman" w:hAnsi="Times New Roman" w:cs="Times New Roman"/>
                <w:b/>
                <w:sz w:val="28"/>
                <w:szCs w:val="28"/>
              </w:rPr>
            </w:pPr>
            <w:r w:rsidRPr="00BB4169">
              <w:rPr>
                <w:rFonts w:ascii="Times New Roman" w:hAnsi="Times New Roman" w:cs="Times New Roman"/>
                <w:b/>
                <w:sz w:val="28"/>
                <w:szCs w:val="28"/>
              </w:rPr>
              <w:t>II. Tiesību akta projekta ietekme uz sabiedrību, tautsaimniecības attīstību</w:t>
            </w:r>
          </w:p>
          <w:p w:rsidR="00BB4169" w:rsidRPr="00BB4169" w:rsidRDefault="00BB4169" w:rsidP="00BB4169">
            <w:pPr>
              <w:spacing w:after="0" w:line="20" w:lineRule="atLeast"/>
              <w:jc w:val="both"/>
              <w:rPr>
                <w:rFonts w:ascii="Times New Roman" w:hAnsi="Times New Roman" w:cs="Times New Roman"/>
                <w:b/>
                <w:sz w:val="28"/>
                <w:szCs w:val="28"/>
              </w:rPr>
            </w:pPr>
            <w:r w:rsidRPr="00BB4169">
              <w:rPr>
                <w:rFonts w:ascii="Times New Roman" w:hAnsi="Times New Roman" w:cs="Times New Roman"/>
                <w:b/>
                <w:sz w:val="28"/>
                <w:szCs w:val="28"/>
              </w:rPr>
              <w:t>un administratīvo slogu</w:t>
            </w:r>
          </w:p>
        </w:tc>
      </w:tr>
      <w:tr w:rsidR="00BB4169" w:rsidRPr="00BB4169" w:rsidTr="003326E1">
        <w:trPr>
          <w:trHeight w:val="467"/>
        </w:trPr>
        <w:tc>
          <w:tcPr>
            <w:tcW w:w="431"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1.</w:t>
            </w:r>
          </w:p>
        </w:tc>
        <w:tc>
          <w:tcPr>
            <w:tcW w:w="2815"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Sabiedrības mērķgrupas, kuras tiesiskais regulējums ietekmē vai varētu ietekmēt</w:t>
            </w:r>
          </w:p>
        </w:tc>
        <w:tc>
          <w:tcPr>
            <w:tcW w:w="5963" w:type="dxa"/>
          </w:tcPr>
          <w:p w:rsidR="00BB4169" w:rsidRPr="00BB4169" w:rsidRDefault="00BB4169" w:rsidP="00BB4169">
            <w:pPr>
              <w:spacing w:after="0" w:line="20" w:lineRule="atLeast"/>
              <w:jc w:val="both"/>
              <w:rPr>
                <w:rFonts w:ascii="Times New Roman" w:hAnsi="Times New Roman" w:cs="Times New Roman"/>
                <w:sz w:val="28"/>
                <w:szCs w:val="28"/>
              </w:rPr>
            </w:pPr>
            <w:bookmarkStart w:id="0" w:name="p21"/>
            <w:bookmarkEnd w:id="0"/>
            <w:r w:rsidRPr="00BB4169">
              <w:rPr>
                <w:rFonts w:ascii="Times New Roman" w:hAnsi="Times New Roman" w:cs="Times New Roman"/>
                <w:sz w:val="28"/>
                <w:szCs w:val="28"/>
              </w:rPr>
              <w:t xml:space="preserve">Ietekmēs Latvijas lauksaimniekus un lauku uzņēmējus, jo  kapitālsabiedrība sniedz konsultācijas un izglīto lauku uzņēmējus, lauksaimniecības produkcijas ražotājus un pārstrādātājus dažādās jomās, t.i., par juridiskiem, grāmatvedības, auditorpakalpojumu, datorpakalpojumu, zinātniskās pētniecības darbu, arhitektūras un projektēšanas pakalpojumu jautājumiem.  </w:t>
            </w:r>
          </w:p>
        </w:tc>
      </w:tr>
      <w:tr w:rsidR="00BB4169" w:rsidRPr="00BB4169" w:rsidTr="003326E1">
        <w:trPr>
          <w:trHeight w:val="523"/>
        </w:trPr>
        <w:tc>
          <w:tcPr>
            <w:tcW w:w="431"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2.</w:t>
            </w:r>
          </w:p>
        </w:tc>
        <w:tc>
          <w:tcPr>
            <w:tcW w:w="2815"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Tiesiskā regulējuma ietekme uz tautsaimniecību un administratīvo slogu</w:t>
            </w:r>
          </w:p>
        </w:tc>
        <w:tc>
          <w:tcPr>
            <w:tcW w:w="5963"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Saglabāsies uzņēmējdarbības vide, un lauku uzņēmēji varēs turpināt attīstību. </w:t>
            </w:r>
          </w:p>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sz w:val="28"/>
                <w:szCs w:val="28"/>
              </w:rPr>
              <w:t>Netiek izveidotas jaunas valsts institūcijas vai paplašinātas esošo institūciju funkcijas.</w:t>
            </w:r>
          </w:p>
        </w:tc>
      </w:tr>
      <w:tr w:rsidR="00BB4169" w:rsidRPr="00BB4169" w:rsidTr="003326E1">
        <w:trPr>
          <w:trHeight w:val="523"/>
        </w:trPr>
        <w:tc>
          <w:tcPr>
            <w:tcW w:w="431"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3.</w:t>
            </w:r>
          </w:p>
        </w:tc>
        <w:tc>
          <w:tcPr>
            <w:tcW w:w="2815"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 xml:space="preserve">Administratīvo izmaksu </w:t>
            </w:r>
            <w:r w:rsidRPr="00BB4169">
              <w:rPr>
                <w:rFonts w:ascii="Times New Roman" w:hAnsi="Times New Roman" w:cs="Times New Roman"/>
                <w:sz w:val="28"/>
                <w:szCs w:val="28"/>
              </w:rPr>
              <w:lastRenderedPageBreak/>
              <w:t>monetārs novērtējums</w:t>
            </w:r>
          </w:p>
        </w:tc>
        <w:tc>
          <w:tcPr>
            <w:tcW w:w="5963" w:type="dxa"/>
          </w:tcPr>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sz w:val="28"/>
                <w:szCs w:val="28"/>
              </w:rPr>
              <w:lastRenderedPageBreak/>
              <w:t>Projekts šo jomu neskar.</w:t>
            </w:r>
          </w:p>
        </w:tc>
      </w:tr>
      <w:tr w:rsidR="00BB4169" w:rsidRPr="00BB4169" w:rsidTr="003326E1">
        <w:trPr>
          <w:trHeight w:val="357"/>
        </w:trPr>
        <w:tc>
          <w:tcPr>
            <w:tcW w:w="431"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lastRenderedPageBreak/>
              <w:t>4.</w:t>
            </w:r>
          </w:p>
        </w:tc>
        <w:tc>
          <w:tcPr>
            <w:tcW w:w="2815"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Cita informācija</w:t>
            </w:r>
          </w:p>
        </w:tc>
        <w:tc>
          <w:tcPr>
            <w:tcW w:w="5963"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Nav</w:t>
            </w:r>
          </w:p>
        </w:tc>
      </w:tr>
    </w:tbl>
    <w:p w:rsidR="00BB4169" w:rsidRPr="00BB4169" w:rsidRDefault="00BB4169" w:rsidP="00BB4169">
      <w:pPr>
        <w:spacing w:after="0" w:line="20" w:lineRule="atLeast"/>
        <w:jc w:val="both"/>
        <w:rPr>
          <w:rFonts w:ascii="Times New Roman" w:hAnsi="Times New Roman" w:cs="Times New Roman"/>
          <w:i/>
          <w:sz w:val="28"/>
          <w:szCs w:val="28"/>
        </w:rPr>
      </w:pPr>
    </w:p>
    <w:p w:rsidR="00BB4169" w:rsidRPr="00BB4169" w:rsidRDefault="00BB4169" w:rsidP="00BB4169">
      <w:pPr>
        <w:spacing w:after="0" w:line="20" w:lineRule="atLeast"/>
        <w:jc w:val="both"/>
        <w:rPr>
          <w:rFonts w:ascii="Times New Roman" w:hAnsi="Times New Roman" w:cs="Times New Roman"/>
          <w:i/>
          <w:sz w:val="28"/>
          <w:szCs w:val="28"/>
        </w:rPr>
      </w:pPr>
    </w:p>
    <w:p w:rsidR="00BB4169" w:rsidRDefault="00160666" w:rsidP="00BB4169">
      <w:pPr>
        <w:spacing w:after="0" w:line="20" w:lineRule="atLeast"/>
        <w:jc w:val="both"/>
        <w:rPr>
          <w:rFonts w:ascii="Times New Roman" w:hAnsi="Times New Roman" w:cs="Times New Roman"/>
          <w:i/>
          <w:sz w:val="28"/>
          <w:szCs w:val="28"/>
        </w:rPr>
      </w:pPr>
      <w:r>
        <w:rPr>
          <w:rFonts w:ascii="Times New Roman" w:hAnsi="Times New Roman" w:cs="Times New Roman"/>
          <w:i/>
          <w:sz w:val="28"/>
          <w:szCs w:val="28"/>
        </w:rPr>
        <w:t xml:space="preserve">III, </w:t>
      </w:r>
      <w:r w:rsidR="00BB4169" w:rsidRPr="00BB4169">
        <w:rPr>
          <w:rFonts w:ascii="Times New Roman" w:hAnsi="Times New Roman" w:cs="Times New Roman"/>
          <w:i/>
          <w:sz w:val="28"/>
          <w:szCs w:val="28"/>
        </w:rPr>
        <w:t>IV un V sadaļa – projekts šo jomu neskar.</w:t>
      </w:r>
    </w:p>
    <w:p w:rsidR="00160666" w:rsidRPr="00BB4169" w:rsidRDefault="00160666" w:rsidP="00BB4169">
      <w:pPr>
        <w:spacing w:after="0" w:line="20" w:lineRule="atLeast"/>
        <w:jc w:val="both"/>
        <w:rPr>
          <w:rFonts w:ascii="Times New Roman" w:hAnsi="Times New Roman" w:cs="Times New Roman"/>
          <w:i/>
          <w:sz w:val="28"/>
          <w:szCs w:val="28"/>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6"/>
        <w:gridCol w:w="2858"/>
        <w:gridCol w:w="6031"/>
      </w:tblGrid>
      <w:tr w:rsidR="00BB4169" w:rsidRPr="00BB4169" w:rsidTr="003326E1">
        <w:trPr>
          <w:trHeight w:val="421"/>
          <w:jc w:val="center"/>
        </w:trPr>
        <w:tc>
          <w:tcPr>
            <w:tcW w:w="9275" w:type="dxa"/>
            <w:gridSpan w:val="3"/>
            <w:vAlign w:val="center"/>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b/>
                <w:sz w:val="28"/>
                <w:szCs w:val="28"/>
              </w:rPr>
              <w:t>VI. Sabiedrības līdzdalība un komunikācijas aktivitātes</w:t>
            </w:r>
          </w:p>
        </w:tc>
      </w:tr>
      <w:tr w:rsidR="00BB4169" w:rsidRPr="00BB4169" w:rsidTr="003326E1">
        <w:trPr>
          <w:trHeight w:val="553"/>
          <w:jc w:val="center"/>
        </w:trPr>
        <w:tc>
          <w:tcPr>
            <w:tcW w:w="386" w:type="dxa"/>
          </w:tcPr>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bCs/>
                <w:sz w:val="28"/>
                <w:szCs w:val="28"/>
              </w:rPr>
              <w:t>1.</w:t>
            </w:r>
          </w:p>
        </w:tc>
        <w:tc>
          <w:tcPr>
            <w:tcW w:w="2858"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Plānotās sabiedrības līdzdalības un komunikācijas aktivitātes saistībā ar projektu</w:t>
            </w:r>
          </w:p>
        </w:tc>
        <w:tc>
          <w:tcPr>
            <w:tcW w:w="6031" w:type="dxa"/>
          </w:tcPr>
          <w:p w:rsidR="00BB4169" w:rsidRPr="00BB4169" w:rsidRDefault="00BB4169" w:rsidP="00BB4169">
            <w:pPr>
              <w:spacing w:after="0" w:line="20" w:lineRule="atLeast"/>
              <w:jc w:val="both"/>
              <w:rPr>
                <w:rFonts w:ascii="Times New Roman" w:hAnsi="Times New Roman" w:cs="Times New Roman"/>
                <w:sz w:val="28"/>
                <w:szCs w:val="28"/>
              </w:rPr>
            </w:pPr>
            <w:bookmarkStart w:id="1" w:name="p61"/>
            <w:bookmarkEnd w:id="1"/>
            <w:r w:rsidRPr="00BB4169">
              <w:rPr>
                <w:rFonts w:ascii="Times New Roman" w:hAnsi="Times New Roman" w:cs="Times New Roman"/>
                <w:sz w:val="28"/>
                <w:szCs w:val="28"/>
              </w:rPr>
              <w:t>Projekts šo jomu neskar.</w:t>
            </w:r>
          </w:p>
        </w:tc>
      </w:tr>
      <w:tr w:rsidR="00BB4169" w:rsidRPr="00BB4169" w:rsidTr="003326E1">
        <w:trPr>
          <w:trHeight w:val="339"/>
          <w:jc w:val="center"/>
        </w:trPr>
        <w:tc>
          <w:tcPr>
            <w:tcW w:w="386" w:type="dxa"/>
          </w:tcPr>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bCs/>
                <w:sz w:val="28"/>
                <w:szCs w:val="28"/>
              </w:rPr>
              <w:t>2.</w:t>
            </w:r>
          </w:p>
        </w:tc>
        <w:tc>
          <w:tcPr>
            <w:tcW w:w="2858"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Sabiedrības līdzdalība projekta izstrādē</w:t>
            </w:r>
          </w:p>
        </w:tc>
        <w:tc>
          <w:tcPr>
            <w:tcW w:w="6031" w:type="dxa"/>
          </w:tcPr>
          <w:p w:rsidR="00BB4169" w:rsidRPr="00BB4169" w:rsidRDefault="00BB4169" w:rsidP="00BB4169">
            <w:pPr>
              <w:spacing w:after="0" w:line="20" w:lineRule="atLeast"/>
              <w:jc w:val="both"/>
              <w:rPr>
                <w:rFonts w:ascii="Times New Roman" w:hAnsi="Times New Roman" w:cs="Times New Roman"/>
                <w:sz w:val="28"/>
                <w:szCs w:val="28"/>
              </w:rPr>
            </w:pPr>
            <w:bookmarkStart w:id="2" w:name="p62"/>
            <w:bookmarkEnd w:id="2"/>
            <w:r w:rsidRPr="00BB4169">
              <w:rPr>
                <w:rFonts w:ascii="Times New Roman" w:hAnsi="Times New Roman" w:cs="Times New Roman"/>
                <w:sz w:val="28"/>
                <w:szCs w:val="28"/>
              </w:rPr>
              <w:t>Projekts šo jomu neskar.</w:t>
            </w:r>
          </w:p>
        </w:tc>
      </w:tr>
      <w:tr w:rsidR="00BB4169" w:rsidRPr="00BB4169" w:rsidTr="003326E1">
        <w:trPr>
          <w:trHeight w:val="476"/>
          <w:jc w:val="center"/>
        </w:trPr>
        <w:tc>
          <w:tcPr>
            <w:tcW w:w="386" w:type="dxa"/>
          </w:tcPr>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bCs/>
                <w:sz w:val="28"/>
                <w:szCs w:val="28"/>
              </w:rPr>
              <w:t>3.</w:t>
            </w:r>
          </w:p>
        </w:tc>
        <w:tc>
          <w:tcPr>
            <w:tcW w:w="2858"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Sabiedrības līdzdalības rezultāti</w:t>
            </w:r>
          </w:p>
        </w:tc>
        <w:tc>
          <w:tcPr>
            <w:tcW w:w="6031"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Projekts šo jomu neskar.</w:t>
            </w:r>
          </w:p>
        </w:tc>
      </w:tr>
      <w:tr w:rsidR="00BB4169" w:rsidRPr="00BB4169" w:rsidTr="003326E1">
        <w:trPr>
          <w:trHeight w:val="476"/>
          <w:jc w:val="center"/>
        </w:trPr>
        <w:tc>
          <w:tcPr>
            <w:tcW w:w="386" w:type="dxa"/>
          </w:tcPr>
          <w:p w:rsidR="00BB4169" w:rsidRPr="00BB4169" w:rsidRDefault="00BB4169" w:rsidP="00BB4169">
            <w:pPr>
              <w:spacing w:after="0" w:line="20" w:lineRule="atLeast"/>
              <w:jc w:val="both"/>
              <w:rPr>
                <w:rFonts w:ascii="Times New Roman" w:hAnsi="Times New Roman" w:cs="Times New Roman"/>
                <w:bCs/>
                <w:sz w:val="28"/>
                <w:szCs w:val="28"/>
              </w:rPr>
            </w:pPr>
            <w:r w:rsidRPr="00BB4169">
              <w:rPr>
                <w:rFonts w:ascii="Times New Roman" w:hAnsi="Times New Roman" w:cs="Times New Roman"/>
                <w:bCs/>
                <w:sz w:val="28"/>
                <w:szCs w:val="28"/>
              </w:rPr>
              <w:t>4.</w:t>
            </w:r>
          </w:p>
        </w:tc>
        <w:tc>
          <w:tcPr>
            <w:tcW w:w="2858"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Cita informācija</w:t>
            </w:r>
          </w:p>
        </w:tc>
        <w:tc>
          <w:tcPr>
            <w:tcW w:w="6031" w:type="dxa"/>
          </w:tcPr>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Saskaņā ar Oficiālo publikāciju un tiesiskās informācijas likuma 2.panta pirmo daļu un 3.panta pirmo daļu tiesību akts tiks publicēts oficiālajā izdevumā „Latvijas Vēstnesis” un  elektroniski tīmekļa vietnē www.vestnesis.lv.</w:t>
            </w:r>
          </w:p>
          <w:p w:rsidR="00BB4169" w:rsidRPr="00BB4169" w:rsidRDefault="00BB4169" w:rsidP="00BB4169">
            <w:pPr>
              <w:spacing w:after="0" w:line="20" w:lineRule="atLeast"/>
              <w:jc w:val="both"/>
              <w:rPr>
                <w:rFonts w:ascii="Times New Roman" w:hAnsi="Times New Roman" w:cs="Times New Roman"/>
                <w:sz w:val="28"/>
                <w:szCs w:val="28"/>
              </w:rPr>
            </w:pPr>
          </w:p>
        </w:tc>
      </w:tr>
    </w:tbl>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i/>
          <w:sz w:val="28"/>
          <w:szCs w:val="28"/>
        </w:rPr>
        <w:t>VII sadaļa – projekts šo jomu neskar.</w:t>
      </w:r>
    </w:p>
    <w:p w:rsidR="00BB4169" w:rsidRDefault="00BB4169" w:rsidP="00BB4169">
      <w:pPr>
        <w:spacing w:after="0" w:line="20" w:lineRule="atLeast"/>
        <w:jc w:val="both"/>
        <w:rPr>
          <w:rFonts w:ascii="Times New Roman" w:hAnsi="Times New Roman" w:cs="Times New Roman"/>
          <w:sz w:val="28"/>
          <w:szCs w:val="28"/>
        </w:rPr>
      </w:pPr>
    </w:p>
    <w:p w:rsidR="00FB4836" w:rsidRPr="00BB4169" w:rsidRDefault="00FB4836" w:rsidP="00BB4169">
      <w:pPr>
        <w:spacing w:after="0" w:line="20" w:lineRule="atLeast"/>
        <w:jc w:val="both"/>
        <w:rPr>
          <w:rFonts w:ascii="Times New Roman" w:hAnsi="Times New Roman" w:cs="Times New Roman"/>
          <w:sz w:val="28"/>
          <w:szCs w:val="28"/>
        </w:rPr>
      </w:pPr>
    </w:p>
    <w:p w:rsidR="00BB4169" w:rsidRPr="00BB4169" w:rsidRDefault="00BB4169" w:rsidP="00BB4169">
      <w:pPr>
        <w:spacing w:after="0" w:line="20" w:lineRule="atLeast"/>
        <w:jc w:val="both"/>
        <w:rPr>
          <w:rFonts w:ascii="Times New Roman" w:hAnsi="Times New Roman" w:cs="Times New Roman"/>
          <w:sz w:val="28"/>
          <w:szCs w:val="28"/>
        </w:rPr>
      </w:pPr>
      <w:r w:rsidRPr="00BB4169">
        <w:rPr>
          <w:rFonts w:ascii="Times New Roman" w:hAnsi="Times New Roman" w:cs="Times New Roman"/>
          <w:sz w:val="28"/>
          <w:szCs w:val="28"/>
        </w:rPr>
        <w:tab/>
        <w:t>Zemkopības ministrs</w:t>
      </w:r>
      <w:r w:rsidRPr="00BB4169">
        <w:rPr>
          <w:rFonts w:ascii="Times New Roman" w:hAnsi="Times New Roman" w:cs="Times New Roman"/>
          <w:sz w:val="28"/>
          <w:szCs w:val="28"/>
        </w:rPr>
        <w:tab/>
      </w:r>
      <w:r w:rsidRPr="00BB4169">
        <w:rPr>
          <w:rFonts w:ascii="Times New Roman" w:hAnsi="Times New Roman" w:cs="Times New Roman"/>
          <w:sz w:val="28"/>
          <w:szCs w:val="28"/>
        </w:rPr>
        <w:tab/>
      </w:r>
      <w:r w:rsidRPr="00BB4169">
        <w:rPr>
          <w:rFonts w:ascii="Times New Roman" w:hAnsi="Times New Roman" w:cs="Times New Roman"/>
          <w:sz w:val="28"/>
          <w:szCs w:val="28"/>
        </w:rPr>
        <w:tab/>
      </w:r>
      <w:r w:rsidRPr="00BB4169">
        <w:rPr>
          <w:rFonts w:ascii="Times New Roman" w:hAnsi="Times New Roman" w:cs="Times New Roman"/>
          <w:sz w:val="28"/>
          <w:szCs w:val="28"/>
        </w:rPr>
        <w:tab/>
      </w:r>
      <w:r w:rsidRPr="00BB4169">
        <w:rPr>
          <w:rFonts w:ascii="Times New Roman" w:hAnsi="Times New Roman" w:cs="Times New Roman"/>
          <w:sz w:val="28"/>
          <w:szCs w:val="28"/>
        </w:rPr>
        <w:tab/>
      </w:r>
      <w:r w:rsidRPr="00BB4169">
        <w:rPr>
          <w:rFonts w:ascii="Times New Roman" w:hAnsi="Times New Roman" w:cs="Times New Roman"/>
          <w:sz w:val="28"/>
          <w:szCs w:val="28"/>
        </w:rPr>
        <w:tab/>
        <w:t>J.Dūklavs</w:t>
      </w:r>
    </w:p>
    <w:p w:rsidR="00BB4169" w:rsidRPr="00BB4169" w:rsidRDefault="00BB4169" w:rsidP="00BB4169">
      <w:pPr>
        <w:spacing w:after="0" w:line="20" w:lineRule="atLeast"/>
        <w:jc w:val="both"/>
        <w:rPr>
          <w:rFonts w:ascii="Times New Roman" w:hAnsi="Times New Roman" w:cs="Times New Roman"/>
          <w:sz w:val="28"/>
          <w:szCs w:val="28"/>
        </w:rPr>
      </w:pPr>
    </w:p>
    <w:p w:rsidR="00BB4169" w:rsidRPr="00BB4169" w:rsidRDefault="00BB4169" w:rsidP="00BB4169">
      <w:pPr>
        <w:spacing w:after="0" w:line="20" w:lineRule="atLeast"/>
        <w:jc w:val="both"/>
        <w:rPr>
          <w:rFonts w:ascii="Times New Roman" w:hAnsi="Times New Roman" w:cs="Times New Roman"/>
          <w:sz w:val="28"/>
          <w:szCs w:val="28"/>
        </w:rPr>
      </w:pPr>
    </w:p>
    <w:p w:rsidR="00BB4169" w:rsidRDefault="00BB4169" w:rsidP="00BB4169">
      <w:pPr>
        <w:spacing w:after="0" w:line="20" w:lineRule="atLeast"/>
        <w:jc w:val="both"/>
        <w:rPr>
          <w:rFonts w:ascii="Times New Roman" w:hAnsi="Times New Roman" w:cs="Times New Roman"/>
          <w:sz w:val="28"/>
          <w:szCs w:val="28"/>
        </w:rPr>
      </w:pPr>
    </w:p>
    <w:p w:rsidR="00ED2FC7" w:rsidRDefault="00ED2FC7" w:rsidP="00BB4169">
      <w:pPr>
        <w:spacing w:after="0" w:line="20" w:lineRule="atLeast"/>
        <w:jc w:val="both"/>
        <w:rPr>
          <w:rFonts w:ascii="Times New Roman" w:hAnsi="Times New Roman" w:cs="Times New Roman"/>
          <w:sz w:val="28"/>
          <w:szCs w:val="28"/>
        </w:rPr>
      </w:pPr>
    </w:p>
    <w:p w:rsidR="00ED2FC7" w:rsidRDefault="00ED2FC7" w:rsidP="00BB4169">
      <w:pPr>
        <w:spacing w:after="0" w:line="20" w:lineRule="atLeast"/>
        <w:jc w:val="both"/>
        <w:rPr>
          <w:rFonts w:ascii="Times New Roman" w:hAnsi="Times New Roman" w:cs="Times New Roman"/>
          <w:sz w:val="28"/>
          <w:szCs w:val="28"/>
        </w:rPr>
      </w:pPr>
    </w:p>
    <w:p w:rsidR="00ED2FC7" w:rsidRDefault="00ED2FC7" w:rsidP="00BB4169">
      <w:pPr>
        <w:spacing w:after="0" w:line="20" w:lineRule="atLeast"/>
        <w:jc w:val="both"/>
        <w:rPr>
          <w:rFonts w:ascii="Times New Roman" w:hAnsi="Times New Roman" w:cs="Times New Roman"/>
          <w:sz w:val="28"/>
          <w:szCs w:val="28"/>
        </w:rPr>
      </w:pPr>
    </w:p>
    <w:p w:rsidR="00ED2FC7" w:rsidRDefault="00ED2FC7" w:rsidP="00BB4169">
      <w:pPr>
        <w:spacing w:after="0" w:line="20" w:lineRule="atLeast"/>
        <w:jc w:val="both"/>
        <w:rPr>
          <w:rFonts w:ascii="Times New Roman" w:hAnsi="Times New Roman" w:cs="Times New Roman"/>
          <w:sz w:val="28"/>
          <w:szCs w:val="28"/>
        </w:rPr>
      </w:pPr>
    </w:p>
    <w:p w:rsidR="00ED2FC7" w:rsidRDefault="00ED2FC7" w:rsidP="00BB4169">
      <w:pPr>
        <w:spacing w:after="0" w:line="20" w:lineRule="atLeast"/>
        <w:jc w:val="both"/>
        <w:rPr>
          <w:rFonts w:ascii="Times New Roman" w:hAnsi="Times New Roman" w:cs="Times New Roman"/>
          <w:sz w:val="28"/>
          <w:szCs w:val="28"/>
        </w:rPr>
      </w:pPr>
    </w:p>
    <w:p w:rsidR="00ED2FC7" w:rsidRPr="00BB4169" w:rsidRDefault="00ED2FC7" w:rsidP="00BB4169">
      <w:pPr>
        <w:spacing w:after="0" w:line="20" w:lineRule="atLeast"/>
        <w:jc w:val="both"/>
        <w:rPr>
          <w:rFonts w:ascii="Times New Roman" w:hAnsi="Times New Roman" w:cs="Times New Roman"/>
          <w:sz w:val="28"/>
          <w:szCs w:val="28"/>
        </w:rPr>
      </w:pPr>
    </w:p>
    <w:p w:rsidR="00BB4169" w:rsidRPr="00BB4169" w:rsidRDefault="00BB4169" w:rsidP="00BB4169">
      <w:pPr>
        <w:spacing w:after="0" w:line="20" w:lineRule="atLeast"/>
        <w:jc w:val="both"/>
        <w:rPr>
          <w:rFonts w:ascii="Times New Roman" w:hAnsi="Times New Roman" w:cs="Times New Roman"/>
          <w:sz w:val="28"/>
          <w:szCs w:val="28"/>
        </w:rPr>
      </w:pPr>
    </w:p>
    <w:p w:rsidR="00BB4169" w:rsidRPr="00ED2FC7" w:rsidRDefault="00BB4169" w:rsidP="00BB4169">
      <w:pPr>
        <w:spacing w:after="0" w:line="20" w:lineRule="atLeast"/>
        <w:jc w:val="both"/>
        <w:rPr>
          <w:rFonts w:ascii="Times New Roman" w:hAnsi="Times New Roman" w:cs="Times New Roman"/>
          <w:sz w:val="20"/>
          <w:szCs w:val="20"/>
        </w:rPr>
      </w:pPr>
    </w:p>
    <w:p w:rsidR="00ED2FC7" w:rsidRDefault="00ED2FC7" w:rsidP="00BB4169">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t>26.09.2014. 10:31</w:t>
      </w:r>
    </w:p>
    <w:p w:rsidR="00DD7C6A" w:rsidRDefault="00DD7C6A" w:rsidP="00BB4169">
      <w:pPr>
        <w:spacing w:after="0" w:line="20" w:lineRule="atLeast"/>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2466</w:t>
      </w:r>
      <w:r>
        <w:rPr>
          <w:rFonts w:ascii="Times New Roman" w:hAnsi="Times New Roman" w:cs="Times New Roman"/>
          <w:sz w:val="20"/>
          <w:szCs w:val="20"/>
        </w:rPr>
        <w:fldChar w:fldCharType="end"/>
      </w:r>
    </w:p>
    <w:p w:rsidR="00BB4169" w:rsidRPr="00ED2FC7" w:rsidRDefault="00BB4169" w:rsidP="00BB4169">
      <w:pPr>
        <w:spacing w:after="0" w:line="20" w:lineRule="atLeast"/>
        <w:jc w:val="both"/>
        <w:rPr>
          <w:rFonts w:ascii="Times New Roman" w:hAnsi="Times New Roman" w:cs="Times New Roman"/>
          <w:sz w:val="20"/>
          <w:szCs w:val="20"/>
        </w:rPr>
      </w:pPr>
      <w:bookmarkStart w:id="3" w:name="_GoBack"/>
      <w:bookmarkEnd w:id="3"/>
      <w:r w:rsidRPr="00ED2FC7">
        <w:rPr>
          <w:rFonts w:ascii="Times New Roman" w:hAnsi="Times New Roman" w:cs="Times New Roman"/>
          <w:sz w:val="20"/>
          <w:szCs w:val="20"/>
        </w:rPr>
        <w:t>Girsa</w:t>
      </w:r>
    </w:p>
    <w:p w:rsidR="00BB4169" w:rsidRPr="00ED2FC7" w:rsidRDefault="00BB4169" w:rsidP="00BB4169">
      <w:pPr>
        <w:spacing w:after="0" w:line="20" w:lineRule="atLeast"/>
        <w:jc w:val="both"/>
        <w:rPr>
          <w:rFonts w:ascii="Times New Roman" w:hAnsi="Times New Roman" w:cs="Times New Roman"/>
          <w:sz w:val="20"/>
          <w:szCs w:val="20"/>
        </w:rPr>
      </w:pPr>
      <w:r w:rsidRPr="00ED2FC7">
        <w:rPr>
          <w:rFonts w:ascii="Times New Roman" w:hAnsi="Times New Roman" w:cs="Times New Roman"/>
          <w:sz w:val="20"/>
          <w:szCs w:val="20"/>
        </w:rPr>
        <w:t>67027517, Galina.Girsa@zm.gov.lv</w:t>
      </w:r>
    </w:p>
    <w:p w:rsidR="00BB4169" w:rsidRPr="00E56801" w:rsidRDefault="00BB4169" w:rsidP="00BB4169">
      <w:pPr>
        <w:jc w:val="both"/>
      </w:pPr>
    </w:p>
    <w:p w:rsidR="00BD6480" w:rsidRDefault="00BD6480" w:rsidP="00BB4169">
      <w:pPr>
        <w:jc w:val="both"/>
      </w:pPr>
    </w:p>
    <w:sectPr w:rsidR="00BD6480" w:rsidSect="00147C45">
      <w:headerReference w:type="default" r:id="rId9"/>
      <w:footerReference w:type="default" r:id="rId10"/>
      <w:headerReference w:type="firs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27" w:rsidRDefault="00FB4836">
      <w:pPr>
        <w:spacing w:after="0" w:line="240" w:lineRule="auto"/>
      </w:pPr>
      <w:r>
        <w:separator/>
      </w:r>
    </w:p>
  </w:endnote>
  <w:endnote w:type="continuationSeparator" w:id="0">
    <w:p w:rsidR="00386327" w:rsidRDefault="00FB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45" w:rsidRPr="006326DB" w:rsidRDefault="00947650" w:rsidP="00147C45">
    <w:pPr>
      <w:pStyle w:val="Kjene"/>
      <w:rPr>
        <w:rFonts w:ascii="Times New Roman" w:hAnsi="Times New Roman" w:cs="Times New Roman"/>
        <w:sz w:val="20"/>
        <w:szCs w:val="20"/>
      </w:rPr>
    </w:pPr>
    <w:r w:rsidRPr="00DA1F78">
      <w:rPr>
        <w:rFonts w:ascii="Times New Roman" w:hAnsi="Times New Roman" w:cs="Times New Roman"/>
        <w:sz w:val="20"/>
        <w:szCs w:val="20"/>
      </w:rPr>
      <w:t>ZMAnot_</w:t>
    </w:r>
    <w:r w:rsidR="004F18C5">
      <w:rPr>
        <w:rFonts w:ascii="Times New Roman" w:hAnsi="Times New Roman" w:cs="Times New Roman"/>
        <w:sz w:val="20"/>
        <w:szCs w:val="20"/>
      </w:rPr>
      <w:t>02</w:t>
    </w:r>
    <w:r w:rsidR="00160666">
      <w:rPr>
        <w:rFonts w:ascii="Times New Roman" w:hAnsi="Times New Roman" w:cs="Times New Roman"/>
        <w:sz w:val="20"/>
        <w:szCs w:val="20"/>
      </w:rPr>
      <w:t>09</w:t>
    </w:r>
    <w:r>
      <w:rPr>
        <w:rFonts w:ascii="Times New Roman" w:hAnsi="Times New Roman" w:cs="Times New Roman"/>
        <w:sz w:val="20"/>
        <w:szCs w:val="20"/>
      </w:rPr>
      <w:t>14</w:t>
    </w:r>
    <w:r w:rsidR="004F18C5">
      <w:rPr>
        <w:rFonts w:ascii="Times New Roman" w:hAnsi="Times New Roman" w:cs="Times New Roman"/>
        <w:sz w:val="20"/>
        <w:szCs w:val="20"/>
      </w:rPr>
      <w:t>_VSS-718</w:t>
    </w:r>
    <w:r w:rsidRPr="00DA1F78">
      <w:rPr>
        <w:rFonts w:ascii="Times New Roman" w:hAnsi="Times New Roman" w:cs="Times New Roman"/>
        <w:sz w:val="20"/>
        <w:szCs w:val="20"/>
      </w:rPr>
      <w:t xml:space="preserve">; Ministru kabineta rīkojuma projekta </w:t>
    </w:r>
    <w:r w:rsidRPr="00DA1F78">
      <w:rPr>
        <w:rFonts w:ascii="Times New Roman" w:hAnsi="Times New Roman" w:cs="Times New Roman"/>
        <w:bCs/>
        <w:sz w:val="20"/>
        <w:szCs w:val="20"/>
      </w:rPr>
      <w:t>„</w:t>
    </w:r>
    <w:r w:rsidRPr="00DA1F78">
      <w:rPr>
        <w:rFonts w:ascii="Times New Roman" w:hAnsi="Times New Roman" w:cs="Times New Roman"/>
        <w:sz w:val="20"/>
        <w:szCs w:val="20"/>
      </w:rPr>
      <w:t>Par valsts nekustamo īpašumu ieguldīšanu sabiedrības ar ierobežotu atbildību „Latvijas Lauku konsultāciju un izglītības centrs” pamatkapitālā</w:t>
    </w:r>
    <w:r w:rsidRPr="00DA1F78">
      <w:rPr>
        <w:rFonts w:ascii="Times New Roman" w:hAnsi="Times New Roman" w:cs="Times New Roman"/>
        <w:bCs/>
        <w:sz w:val="20"/>
        <w:szCs w:val="20"/>
      </w:rPr>
      <w:t>”</w:t>
    </w:r>
    <w:r w:rsidRPr="00DA1F78">
      <w:rPr>
        <w:rFonts w:ascii="Times New Roman" w:hAnsi="Times New Roman" w:cs="Times New Roman"/>
        <w:sz w:val="20"/>
        <w:szCs w:val="20"/>
      </w:rPr>
      <w:t xml:space="preserve">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45" w:rsidRPr="006326DB" w:rsidRDefault="00947650" w:rsidP="00147C45">
    <w:pPr>
      <w:pStyle w:val="Kjene"/>
      <w:rPr>
        <w:rFonts w:ascii="Times New Roman" w:hAnsi="Times New Roman" w:cs="Times New Roman"/>
        <w:sz w:val="20"/>
        <w:szCs w:val="20"/>
      </w:rPr>
    </w:pPr>
    <w:r w:rsidRPr="00DA1F78">
      <w:rPr>
        <w:rFonts w:ascii="Times New Roman" w:hAnsi="Times New Roman" w:cs="Times New Roman"/>
        <w:sz w:val="20"/>
        <w:szCs w:val="20"/>
      </w:rPr>
      <w:t>ZMAnot_</w:t>
    </w:r>
    <w:r w:rsidR="004F18C5">
      <w:rPr>
        <w:rFonts w:ascii="Times New Roman" w:hAnsi="Times New Roman" w:cs="Times New Roman"/>
        <w:sz w:val="20"/>
        <w:szCs w:val="20"/>
      </w:rPr>
      <w:t>02</w:t>
    </w:r>
    <w:r w:rsidR="00160666">
      <w:rPr>
        <w:rFonts w:ascii="Times New Roman" w:hAnsi="Times New Roman" w:cs="Times New Roman"/>
        <w:sz w:val="20"/>
        <w:szCs w:val="20"/>
      </w:rPr>
      <w:t>09</w:t>
    </w:r>
    <w:r>
      <w:rPr>
        <w:rFonts w:ascii="Times New Roman" w:hAnsi="Times New Roman" w:cs="Times New Roman"/>
        <w:sz w:val="20"/>
        <w:szCs w:val="20"/>
      </w:rPr>
      <w:t>14</w:t>
    </w:r>
    <w:r w:rsidR="004F18C5">
      <w:rPr>
        <w:rFonts w:ascii="Times New Roman" w:hAnsi="Times New Roman" w:cs="Times New Roman"/>
        <w:sz w:val="20"/>
        <w:szCs w:val="20"/>
      </w:rPr>
      <w:t>_VSS-718</w:t>
    </w:r>
    <w:r w:rsidRPr="00DA1F78">
      <w:rPr>
        <w:rFonts w:ascii="Times New Roman" w:hAnsi="Times New Roman" w:cs="Times New Roman"/>
        <w:sz w:val="20"/>
        <w:szCs w:val="20"/>
      </w:rPr>
      <w:t xml:space="preserve">; Ministru kabineta rīkojuma projekta </w:t>
    </w:r>
    <w:r w:rsidRPr="00DA1F78">
      <w:rPr>
        <w:rFonts w:ascii="Times New Roman" w:hAnsi="Times New Roman" w:cs="Times New Roman"/>
        <w:bCs/>
        <w:sz w:val="20"/>
        <w:szCs w:val="20"/>
      </w:rPr>
      <w:t>„</w:t>
    </w:r>
    <w:r w:rsidRPr="00DA1F78">
      <w:rPr>
        <w:rFonts w:ascii="Times New Roman" w:hAnsi="Times New Roman" w:cs="Times New Roman"/>
        <w:sz w:val="20"/>
        <w:szCs w:val="20"/>
      </w:rPr>
      <w:t>Par valsts nekustamo īpašumu ieguldīšanu sabiedrības ar ierobežotu atbildību „Latvijas Lauku konsultāciju un izglītības centrs” pamatkapitālā</w:t>
    </w:r>
    <w:r w:rsidRPr="00DA1F78">
      <w:rPr>
        <w:rFonts w:ascii="Times New Roman" w:hAnsi="Times New Roman" w:cs="Times New Roman"/>
        <w:bCs/>
        <w:sz w:val="20"/>
        <w:szCs w:val="20"/>
      </w:rPr>
      <w:t>”</w:t>
    </w:r>
    <w:r w:rsidRPr="00DA1F78">
      <w:rPr>
        <w:rFonts w:ascii="Times New Roman" w:hAnsi="Times New Roman" w:cs="Times New Roman"/>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27" w:rsidRDefault="00FB4836">
      <w:pPr>
        <w:spacing w:after="0" w:line="240" w:lineRule="auto"/>
      </w:pPr>
      <w:r>
        <w:separator/>
      </w:r>
    </w:p>
  </w:footnote>
  <w:footnote w:type="continuationSeparator" w:id="0">
    <w:p w:rsidR="00386327" w:rsidRDefault="00FB4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A7" w:rsidRPr="00295D16" w:rsidRDefault="00947650">
    <w:pPr>
      <w:pStyle w:val="Galvene"/>
      <w:jc w:val="center"/>
      <w:rPr>
        <w:rFonts w:ascii="Times New Roman" w:hAnsi="Times New Roman"/>
        <w:sz w:val="24"/>
        <w:szCs w:val="24"/>
      </w:rPr>
    </w:pPr>
    <w:r w:rsidRPr="00295D16">
      <w:rPr>
        <w:rFonts w:ascii="Times New Roman" w:hAnsi="Times New Roman"/>
        <w:sz w:val="24"/>
        <w:szCs w:val="24"/>
      </w:rPr>
      <w:fldChar w:fldCharType="begin"/>
    </w:r>
    <w:r w:rsidRPr="00295D16">
      <w:rPr>
        <w:rFonts w:ascii="Times New Roman" w:hAnsi="Times New Roman"/>
        <w:sz w:val="24"/>
        <w:szCs w:val="24"/>
      </w:rPr>
      <w:instrText xml:space="preserve"> PAGE   \* MERGEFORMAT </w:instrText>
    </w:r>
    <w:r w:rsidRPr="00295D16">
      <w:rPr>
        <w:rFonts w:ascii="Times New Roman" w:hAnsi="Times New Roman"/>
        <w:sz w:val="24"/>
        <w:szCs w:val="24"/>
      </w:rPr>
      <w:fldChar w:fldCharType="separate"/>
    </w:r>
    <w:r w:rsidR="00DD7C6A">
      <w:rPr>
        <w:rFonts w:ascii="Times New Roman" w:hAnsi="Times New Roman"/>
        <w:noProof/>
        <w:sz w:val="24"/>
        <w:szCs w:val="24"/>
      </w:rPr>
      <w:t>9</w:t>
    </w:r>
    <w:r w:rsidRPr="00295D16">
      <w:rPr>
        <w:rFonts w:ascii="Times New Roman" w:hAnsi="Times New Roman"/>
        <w:sz w:val="24"/>
        <w:szCs w:val="24"/>
      </w:rPr>
      <w:fldChar w:fldCharType="end"/>
    </w:r>
  </w:p>
  <w:p w:rsidR="00AF1BA7" w:rsidRPr="00295D16" w:rsidRDefault="00DD7C6A">
    <w:pPr>
      <w:pStyle w:val="Galvene"/>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A7" w:rsidRDefault="00DD7C6A">
    <w:pPr>
      <w:pStyle w:val="Galvene"/>
    </w:pPr>
  </w:p>
  <w:p w:rsidR="00AF1BA7" w:rsidRDefault="00DD7C6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7216"/>
    <w:multiLevelType w:val="hybridMultilevel"/>
    <w:tmpl w:val="FB90727E"/>
    <w:lvl w:ilvl="0" w:tplc="96C8FC6A">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nsid w:val="45AD4A19"/>
    <w:multiLevelType w:val="hybridMultilevel"/>
    <w:tmpl w:val="DE54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69"/>
    <w:rsid w:val="000668AB"/>
    <w:rsid w:val="000B06FC"/>
    <w:rsid w:val="000B7D22"/>
    <w:rsid w:val="00160666"/>
    <w:rsid w:val="00386327"/>
    <w:rsid w:val="003F7358"/>
    <w:rsid w:val="004F18C5"/>
    <w:rsid w:val="00745BF0"/>
    <w:rsid w:val="0080403F"/>
    <w:rsid w:val="008B24AC"/>
    <w:rsid w:val="00947650"/>
    <w:rsid w:val="00A05C39"/>
    <w:rsid w:val="00BB4169"/>
    <w:rsid w:val="00BD6480"/>
    <w:rsid w:val="00C2652E"/>
    <w:rsid w:val="00CC733E"/>
    <w:rsid w:val="00CE6FCF"/>
    <w:rsid w:val="00D24D31"/>
    <w:rsid w:val="00D529DB"/>
    <w:rsid w:val="00DD7C6A"/>
    <w:rsid w:val="00E363A2"/>
    <w:rsid w:val="00E56801"/>
    <w:rsid w:val="00ED2FC7"/>
    <w:rsid w:val="00F64D97"/>
    <w:rsid w:val="00FB48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currency2"/>
  <w:shapeDefaults>
    <o:shapedefaults v:ext="edit" spidmax="1026"/>
    <o:shapelayout v:ext="edit">
      <o:idmap v:ext="edit" data="1"/>
    </o:shapelayout>
  </w:shapeDefaults>
  <w:decimalSymbol w:val=","/>
  <w:listSeparator w:val=";"/>
  <w15:docId w15:val="{AF34E5C4-B652-4D9C-B609-9D0E9830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B41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4169"/>
  </w:style>
  <w:style w:type="paragraph" w:styleId="Kjene">
    <w:name w:val="footer"/>
    <w:basedOn w:val="Parasts"/>
    <w:link w:val="KjeneRakstz"/>
    <w:uiPriority w:val="99"/>
    <w:unhideWhenUsed/>
    <w:rsid w:val="00BB41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4169"/>
  </w:style>
  <w:style w:type="character" w:styleId="Hipersaite">
    <w:name w:val="Hyperlink"/>
    <w:basedOn w:val="Noklusjumarindkopasfonts"/>
    <w:uiPriority w:val="99"/>
    <w:unhideWhenUsed/>
    <w:rsid w:val="00A05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902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9FFD-E21C-4993-AA40-C4E49D1A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2515</Words>
  <Characters>17837</Characters>
  <Application>Microsoft Office Word</Application>
  <DocSecurity>0</DocSecurity>
  <Lines>495</Lines>
  <Paragraphs>146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Girsa</dc:creator>
  <cp:lastModifiedBy>Renārs Žagars</cp:lastModifiedBy>
  <cp:revision>11</cp:revision>
  <dcterms:created xsi:type="dcterms:W3CDTF">2014-09-04T05:46:00Z</dcterms:created>
  <dcterms:modified xsi:type="dcterms:W3CDTF">2014-09-26T09:52:00Z</dcterms:modified>
</cp:coreProperties>
</file>