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45" w:rsidRPr="00D93466" w:rsidRDefault="00023845" w:rsidP="00023845">
      <w:pPr>
        <w:jc w:val="center"/>
        <w:rPr>
          <w:bCs/>
          <w:sz w:val="28"/>
          <w:szCs w:val="28"/>
          <w:lang w:val="lv-LV"/>
        </w:rPr>
      </w:pPr>
      <w:bookmarkStart w:id="0" w:name="OLE_LINK7"/>
      <w:bookmarkStart w:id="1" w:name="OLE_LINK8"/>
      <w:r w:rsidRPr="00D93466">
        <w:rPr>
          <w:b/>
          <w:sz w:val="28"/>
          <w:szCs w:val="28"/>
          <w:lang w:val="lv-LV"/>
        </w:rPr>
        <w:t xml:space="preserve">Ministru kabineta noteikumu projekta „Grozījumi Ministru kabineta </w:t>
      </w:r>
      <w:r w:rsidRPr="00D93466">
        <w:rPr>
          <w:b/>
          <w:color w:val="000000"/>
          <w:sz w:val="28"/>
          <w:szCs w:val="28"/>
          <w:lang w:val="lv-LV"/>
        </w:rPr>
        <w:t xml:space="preserve">2009.gada 13.oktobra noteikumos Nr.1171 </w:t>
      </w:r>
      <w:r w:rsidRPr="00D93466">
        <w:rPr>
          <w:color w:val="000000"/>
          <w:sz w:val="28"/>
          <w:szCs w:val="28"/>
          <w:lang w:val="lv-LV"/>
        </w:rPr>
        <w:t>„</w:t>
      </w:r>
      <w:r w:rsidRPr="00D93466">
        <w:rPr>
          <w:rStyle w:val="Izteiksmgs"/>
          <w:sz w:val="28"/>
          <w:szCs w:val="28"/>
          <w:lang w:val="lv-LV"/>
        </w:rPr>
        <w:t>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w:t>
      </w:r>
    </w:p>
    <w:p w:rsidR="00023845" w:rsidRPr="00D93466" w:rsidRDefault="00023845" w:rsidP="00023845">
      <w:pPr>
        <w:jc w:val="center"/>
        <w:rPr>
          <w:b/>
          <w:sz w:val="28"/>
          <w:szCs w:val="28"/>
          <w:lang w:val="lv-LV"/>
        </w:rPr>
      </w:pPr>
      <w:r w:rsidRPr="00D93466">
        <w:rPr>
          <w:b/>
          <w:sz w:val="28"/>
          <w:szCs w:val="28"/>
          <w:lang w:val="lv-LV"/>
        </w:rPr>
        <w:t>sākotnējās ietekmes novērtējuma ziņojums (anotācija)</w:t>
      </w:r>
    </w:p>
    <w:p w:rsidR="00757B05" w:rsidRPr="00D93466" w:rsidRDefault="00757B05" w:rsidP="00B04944">
      <w:pPr>
        <w:pStyle w:val="naisf"/>
        <w:spacing w:before="0" w:beforeAutospacing="0" w:after="0" w:afterAutospacing="0"/>
        <w:jc w:val="center"/>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552"/>
        <w:gridCol w:w="6125"/>
      </w:tblGrid>
      <w:tr w:rsidR="005D73DE" w:rsidRPr="00B92BBB" w:rsidTr="00CA1F22">
        <w:tc>
          <w:tcPr>
            <w:tcW w:w="0" w:type="auto"/>
            <w:gridSpan w:val="3"/>
            <w:vAlign w:val="center"/>
          </w:tcPr>
          <w:bookmarkEnd w:id="0"/>
          <w:bookmarkEnd w:id="1"/>
          <w:p w:rsidR="00A162FE" w:rsidRPr="00D93466" w:rsidRDefault="00A162FE" w:rsidP="005D73DE">
            <w:pPr>
              <w:jc w:val="center"/>
              <w:rPr>
                <w:b/>
                <w:bCs/>
                <w:color w:val="000000" w:themeColor="text1"/>
                <w:lang w:val="lv-LV" w:eastAsia="lv-LV"/>
              </w:rPr>
            </w:pPr>
            <w:r w:rsidRPr="00D93466">
              <w:rPr>
                <w:b/>
                <w:bCs/>
                <w:color w:val="000000" w:themeColor="text1"/>
                <w:sz w:val="28"/>
                <w:lang w:val="lv-LV" w:eastAsia="lv-LV"/>
              </w:rPr>
              <w:t>I. Tiesību akta projekta izstrādes nepieciešamība</w:t>
            </w:r>
          </w:p>
        </w:tc>
      </w:tr>
      <w:tr w:rsidR="005D73DE" w:rsidRPr="00B961D3" w:rsidTr="00C21DCA">
        <w:tc>
          <w:tcPr>
            <w:tcW w:w="250" w:type="pct"/>
          </w:tcPr>
          <w:p w:rsidR="00A162FE" w:rsidRPr="00D93466" w:rsidRDefault="00A162FE" w:rsidP="00C21DCA">
            <w:pPr>
              <w:jc w:val="center"/>
              <w:rPr>
                <w:color w:val="000000" w:themeColor="text1"/>
                <w:lang w:val="lv-LV" w:eastAsia="lv-LV"/>
              </w:rPr>
            </w:pPr>
            <w:r w:rsidRPr="00D93466">
              <w:rPr>
                <w:color w:val="000000" w:themeColor="text1"/>
                <w:lang w:val="lv-LV" w:eastAsia="lv-LV"/>
              </w:rPr>
              <w:t>1.</w:t>
            </w:r>
          </w:p>
        </w:tc>
        <w:tc>
          <w:tcPr>
            <w:tcW w:w="1397" w:type="pct"/>
          </w:tcPr>
          <w:p w:rsidR="00A162FE" w:rsidRPr="00D93466" w:rsidRDefault="00A162FE" w:rsidP="005D73DE">
            <w:pPr>
              <w:jc w:val="both"/>
              <w:rPr>
                <w:color w:val="000000" w:themeColor="text1"/>
                <w:lang w:val="lv-LV" w:eastAsia="lv-LV"/>
              </w:rPr>
            </w:pPr>
            <w:r w:rsidRPr="00D93466">
              <w:rPr>
                <w:color w:val="000000" w:themeColor="text1"/>
                <w:lang w:val="lv-LV" w:eastAsia="lv-LV"/>
              </w:rPr>
              <w:t>Pamatojums</w:t>
            </w:r>
          </w:p>
        </w:tc>
        <w:tc>
          <w:tcPr>
            <w:tcW w:w="3353" w:type="pct"/>
          </w:tcPr>
          <w:p w:rsidR="00A162FE" w:rsidRPr="00D93466" w:rsidRDefault="00023845" w:rsidP="005D73DE">
            <w:pPr>
              <w:jc w:val="both"/>
              <w:rPr>
                <w:color w:val="000000" w:themeColor="text1"/>
                <w:lang w:val="lv-LV"/>
              </w:rPr>
            </w:pPr>
            <w:r w:rsidRPr="00D93466">
              <w:rPr>
                <w:lang w:val="lv-LV"/>
              </w:rPr>
              <w:t>Pārtikas aprites uzraudzības likuma 4.panta ceturtā daļa un trīspadsmitā daļa, 13.panta trešā daļa un Lauksaimniecības un lauku attīstības likuma 13.panta pirmā daļa.</w:t>
            </w:r>
          </w:p>
        </w:tc>
      </w:tr>
      <w:tr w:rsidR="005D73DE" w:rsidRPr="00B92BBB" w:rsidTr="00C21DCA">
        <w:tc>
          <w:tcPr>
            <w:tcW w:w="250" w:type="pct"/>
          </w:tcPr>
          <w:p w:rsidR="00A162FE" w:rsidRPr="00D93466" w:rsidRDefault="00A162FE" w:rsidP="00C21DCA">
            <w:pPr>
              <w:jc w:val="center"/>
              <w:rPr>
                <w:color w:val="000000" w:themeColor="text1"/>
                <w:lang w:val="lv-LV" w:eastAsia="lv-LV"/>
              </w:rPr>
            </w:pPr>
            <w:r w:rsidRPr="00D93466">
              <w:rPr>
                <w:color w:val="000000" w:themeColor="text1"/>
                <w:lang w:val="lv-LV" w:eastAsia="lv-LV"/>
              </w:rPr>
              <w:t>2.</w:t>
            </w:r>
          </w:p>
        </w:tc>
        <w:tc>
          <w:tcPr>
            <w:tcW w:w="1397" w:type="pct"/>
          </w:tcPr>
          <w:p w:rsidR="00A162FE" w:rsidRPr="00D93466" w:rsidRDefault="00A162FE" w:rsidP="005D73DE">
            <w:pPr>
              <w:jc w:val="both"/>
              <w:rPr>
                <w:color w:val="000000" w:themeColor="text1"/>
                <w:lang w:val="lv-LV" w:eastAsia="lv-LV"/>
              </w:rPr>
            </w:pPr>
            <w:r w:rsidRPr="00D93466">
              <w:rPr>
                <w:color w:val="000000" w:themeColor="text1"/>
                <w:lang w:val="lv-LV" w:eastAsia="lv-LV"/>
              </w:rPr>
              <w:t xml:space="preserve">Pašreizējā situācija </w:t>
            </w:r>
            <w:r w:rsidR="006A073E" w:rsidRPr="00D93466">
              <w:rPr>
                <w:color w:val="000000" w:themeColor="text1"/>
                <w:lang w:val="lv-LV"/>
              </w:rPr>
              <w:t>un problēmas, kuru risināšanai tiesību akta projekts izstrādāts, tiesiskā regulējuma mērķis un būtība</w:t>
            </w:r>
          </w:p>
        </w:tc>
        <w:tc>
          <w:tcPr>
            <w:tcW w:w="3353" w:type="pct"/>
          </w:tcPr>
          <w:p w:rsidR="009722CB" w:rsidRDefault="00B92BBB" w:rsidP="00ED344D">
            <w:pPr>
              <w:pStyle w:val="Default"/>
              <w:jc w:val="both"/>
              <w:rPr>
                <w:lang w:val="lv-LV"/>
              </w:rPr>
            </w:pPr>
            <w:r>
              <w:rPr>
                <w:color w:val="000000" w:themeColor="text1"/>
                <w:lang w:val="lv-LV"/>
              </w:rPr>
              <w:t>S</w:t>
            </w:r>
            <w:r w:rsidR="000265EE" w:rsidRPr="00D93466">
              <w:rPr>
                <w:color w:val="000000" w:themeColor="text1"/>
                <w:lang w:val="lv-LV"/>
              </w:rPr>
              <w:t>pēkā esošajos</w:t>
            </w:r>
            <w:r w:rsidR="00966742" w:rsidRPr="00D93466">
              <w:rPr>
                <w:color w:val="000000" w:themeColor="text1"/>
                <w:lang w:val="lv-LV"/>
              </w:rPr>
              <w:t xml:space="preserve"> </w:t>
            </w:r>
            <w:r w:rsidR="00023845" w:rsidRPr="00D93466">
              <w:rPr>
                <w:lang w:val="lv-LV"/>
              </w:rPr>
              <w:t>Ministru kabineta 2009.gada 1</w:t>
            </w:r>
            <w:r w:rsidR="000265EE" w:rsidRPr="00D93466">
              <w:rPr>
                <w:lang w:val="lv-LV"/>
              </w:rPr>
              <w:t>3.oktobra noteikumos</w:t>
            </w:r>
            <w:r w:rsidR="00023845" w:rsidRPr="00D93466">
              <w:rPr>
                <w:lang w:val="lv-LV"/>
              </w:rPr>
              <w:t xml:space="preserve"> Nr.1171 „</w:t>
            </w:r>
            <w:r w:rsidR="00023845" w:rsidRPr="00D93466">
              <w:rPr>
                <w:rStyle w:val="Izteiksmgs"/>
                <w:b w:val="0"/>
                <w:lang w:val="lv-LV"/>
              </w:rPr>
              <w:t>Noteikumi par dzīvnieku</w:t>
            </w:r>
            <w:r w:rsidR="00023845" w:rsidRPr="00D93466">
              <w:rPr>
                <w:b/>
                <w:lang w:val="lv-LV"/>
              </w:rPr>
              <w:t xml:space="preserve"> </w:t>
            </w:r>
            <w:r w:rsidR="00023845" w:rsidRPr="00D93466">
              <w:rPr>
                <w:rStyle w:val="Izteiksmgs"/>
                <w:b w:val="0"/>
                <w:lang w:val="lv-LV"/>
              </w:rPr>
              <w:t>liemeņu apstrādes kvalitāti, klasifikāciju un marķēšanu, kā arī kārtību, kādā tiek novērtēta dzīvnieku liemeņu atbilstība apstrādes kvalitātes un klasifikācijas prasībām un tiek vākta un apkopota informācija par dzīvnieku liemeņu cenām”</w:t>
            </w:r>
            <w:r w:rsidR="00023845" w:rsidRPr="00D93466">
              <w:rPr>
                <w:bCs/>
                <w:lang w:val="lv-LV"/>
              </w:rPr>
              <w:t xml:space="preserve"> (turpmāk – noteikumi Nr.1171)</w:t>
            </w:r>
            <w:r w:rsidR="00966742" w:rsidRPr="00D93466">
              <w:rPr>
                <w:color w:val="000000" w:themeColor="text1"/>
                <w:lang w:val="lv-LV"/>
              </w:rPr>
              <w:t xml:space="preserve"> </w:t>
            </w:r>
            <w:r w:rsidR="001F198F" w:rsidRPr="00D93466">
              <w:rPr>
                <w:color w:val="000000" w:themeColor="text1"/>
                <w:lang w:val="lv-LV"/>
              </w:rPr>
              <w:t xml:space="preserve">ir </w:t>
            </w:r>
            <w:r w:rsidR="00C6287D" w:rsidRPr="00D93466">
              <w:rPr>
                <w:lang w:val="lv-LV"/>
              </w:rPr>
              <w:t xml:space="preserve">ieviestas </w:t>
            </w:r>
            <w:r w:rsidR="001F198F" w:rsidRPr="00D93466">
              <w:rPr>
                <w:lang w:val="lv-LV"/>
              </w:rPr>
              <w:t>dzīvnieku liemeņu apstrādes kvalitātes, klasifikācijas,</w:t>
            </w:r>
            <w:r w:rsidR="00C86DE1" w:rsidRPr="00D93466">
              <w:rPr>
                <w:lang w:val="lv-LV"/>
              </w:rPr>
              <w:t xml:space="preserve"> identifikācijas un marķēšanas</w:t>
            </w:r>
            <w:r w:rsidR="001F198F" w:rsidRPr="00D93466">
              <w:rPr>
                <w:lang w:val="lv-LV"/>
              </w:rPr>
              <w:t xml:space="preserve">  </w:t>
            </w:r>
            <w:r w:rsidR="001F198F" w:rsidRPr="00D93466">
              <w:rPr>
                <w:color w:val="000000" w:themeColor="text1"/>
                <w:lang w:val="lv-LV"/>
              </w:rPr>
              <w:t>prasības</w:t>
            </w:r>
            <w:r w:rsidR="001F198F" w:rsidRPr="00D93466">
              <w:rPr>
                <w:lang w:val="lv-LV"/>
              </w:rPr>
              <w:t xml:space="preserve"> </w:t>
            </w:r>
            <w:r w:rsidR="009722CB" w:rsidRPr="00D93466">
              <w:rPr>
                <w:lang w:val="lv-LV"/>
              </w:rPr>
              <w:t>atbilstoši</w:t>
            </w:r>
            <w:r w:rsidR="001F198F" w:rsidRPr="00D93466">
              <w:rPr>
                <w:lang w:val="lv-LV"/>
              </w:rPr>
              <w:t xml:space="preserve"> Pado</w:t>
            </w:r>
            <w:r w:rsidR="009722CB" w:rsidRPr="00D93466">
              <w:rPr>
                <w:lang w:val="lv-LV"/>
              </w:rPr>
              <w:t>mes 2007.gada 22.oktobra Regulā</w:t>
            </w:r>
            <w:r w:rsidR="001F198F" w:rsidRPr="00D93466">
              <w:rPr>
                <w:lang w:val="lv-LV"/>
              </w:rPr>
              <w:t xml:space="preserve"> (EK) Nr.1234/2007, ar ko izveido lauksaimniecības tirgu kopīgu organizāciju un paredz īpašus noteikumus dažiem lauksaimniecības produktiem (Vienotā TKO regula) (turpmāk – Regula (EK) Nr.1234/2007)</w:t>
            </w:r>
            <w:r w:rsidR="00D46E43">
              <w:rPr>
                <w:lang w:val="lv-LV"/>
              </w:rPr>
              <w:t>,</w:t>
            </w:r>
            <w:r w:rsidR="009722CB" w:rsidRPr="00D93466">
              <w:rPr>
                <w:lang w:val="lv-LV"/>
              </w:rPr>
              <w:t xml:space="preserve"> noteiktajām normām. </w:t>
            </w:r>
            <w:r w:rsidR="00C6287D" w:rsidRPr="00D93466">
              <w:rPr>
                <w:lang w:val="lv-LV"/>
              </w:rPr>
              <w:t xml:space="preserve"> </w:t>
            </w:r>
          </w:p>
          <w:p w:rsidR="007346C2" w:rsidRPr="00D93466" w:rsidRDefault="00B92BBB" w:rsidP="007346C2">
            <w:pPr>
              <w:pStyle w:val="Default"/>
              <w:jc w:val="both"/>
              <w:rPr>
                <w:lang w:val="lv-LV"/>
              </w:rPr>
            </w:pPr>
            <w:r>
              <w:rPr>
                <w:lang w:val="lv-LV"/>
              </w:rPr>
              <w:t>Tā kā</w:t>
            </w:r>
            <w:r w:rsidR="007346C2" w:rsidRPr="00D93466">
              <w:rPr>
                <w:lang w:val="lv-LV"/>
              </w:rPr>
              <w:t xml:space="preserve"> no 2014.gada 1.janvāra jāpiemēro </w:t>
            </w:r>
            <w:r w:rsidR="007346C2" w:rsidRPr="00D93466">
              <w:rPr>
                <w:lang w:val="lv-LV" w:eastAsia="lv-LV"/>
              </w:rPr>
              <w:t xml:space="preserve">Eiropas Parlamenta un Padomes 2013.gada 17.decembra Regula (ES) Nr.1308/2013, ar ko izveido lauksaimniecības produktu tirgu kopīgu organizāciju un atceļ Padomes Regulas (EEK) Nr.922/72, (EEK) Nr.234/79, (EK) Nr.1037/2001 un (EK) Nr.1234/2007 </w:t>
            </w:r>
            <w:r w:rsidR="007346C2" w:rsidRPr="00D93466">
              <w:rPr>
                <w:lang w:val="lv-LV"/>
              </w:rPr>
              <w:t>(turpmāk – Regula (ES) Nr.</w:t>
            </w:r>
            <w:r w:rsidR="007346C2" w:rsidRPr="00D93466">
              <w:rPr>
                <w:lang w:val="lv-LV" w:eastAsia="lv-LV"/>
              </w:rPr>
              <w:t>1308/2013</w:t>
            </w:r>
            <w:r w:rsidR="007346C2" w:rsidRPr="00D93466">
              <w:rPr>
                <w:lang w:val="lv-LV"/>
              </w:rPr>
              <w:t xml:space="preserve">), </w:t>
            </w:r>
            <w:r w:rsidR="00252D09">
              <w:rPr>
                <w:lang w:val="lv-LV"/>
              </w:rPr>
              <w:t>ir</w:t>
            </w:r>
            <w:r w:rsidR="007346C2" w:rsidRPr="00D93466">
              <w:rPr>
                <w:lang w:val="lv-LV"/>
              </w:rPr>
              <w:t xml:space="preserve"> jā</w:t>
            </w:r>
            <w:r>
              <w:rPr>
                <w:lang w:val="lv-LV"/>
              </w:rPr>
              <w:t>izdara</w:t>
            </w:r>
            <w:r w:rsidR="007346C2" w:rsidRPr="00D93466">
              <w:rPr>
                <w:lang w:val="lv-LV"/>
              </w:rPr>
              <w:t xml:space="preserve"> grozījumi </w:t>
            </w:r>
            <w:r w:rsidR="00252D09">
              <w:rPr>
                <w:lang w:val="lv-LV"/>
              </w:rPr>
              <w:t xml:space="preserve">un precizējumi </w:t>
            </w:r>
            <w:r w:rsidR="007346C2" w:rsidRPr="00D93466">
              <w:rPr>
                <w:bCs/>
                <w:lang w:val="lv-LV"/>
              </w:rPr>
              <w:t xml:space="preserve">noteikumos Nr.1171, lai aizstātu atsauci par atbilstību prasībām no </w:t>
            </w:r>
            <w:r w:rsidR="007346C2" w:rsidRPr="00D93466">
              <w:rPr>
                <w:lang w:val="lv-LV"/>
              </w:rPr>
              <w:t>Regulas (EK) Nr.1234/2007 uz Regulu (ES) Nr.</w:t>
            </w:r>
            <w:r w:rsidR="007346C2">
              <w:rPr>
                <w:lang w:val="lv-LV" w:eastAsia="lv-LV"/>
              </w:rPr>
              <w:t>1308/2013,</w:t>
            </w:r>
            <w:r w:rsidR="007346C2" w:rsidRPr="00D93466">
              <w:rPr>
                <w:lang w:val="lv-LV"/>
              </w:rPr>
              <w:t xml:space="preserve"> nemainot pastāvošo tiesisko regulējumu pēc būtības.</w:t>
            </w:r>
          </w:p>
          <w:p w:rsidR="007346C2" w:rsidRPr="00D93466" w:rsidRDefault="007346C2" w:rsidP="007346C2">
            <w:pPr>
              <w:pStyle w:val="Default"/>
              <w:jc w:val="both"/>
              <w:rPr>
                <w:lang w:val="lv-LV"/>
              </w:rPr>
            </w:pPr>
            <w:r w:rsidRPr="00D93466">
              <w:rPr>
                <w:lang w:val="lv-LV" w:eastAsia="lv-LV"/>
              </w:rPr>
              <w:t xml:space="preserve">Tāpat atbilstoši </w:t>
            </w:r>
            <w:r w:rsidRPr="00D93466">
              <w:rPr>
                <w:lang w:val="lv-LV"/>
              </w:rPr>
              <w:t>Regulas (ES) Nr.</w:t>
            </w:r>
            <w:r w:rsidRPr="00D93466">
              <w:rPr>
                <w:lang w:val="lv-LV" w:eastAsia="lv-LV"/>
              </w:rPr>
              <w:t xml:space="preserve">1308/2013 prasībām ir jāprecizē norma par </w:t>
            </w:r>
            <w:r w:rsidR="00340EE3">
              <w:rPr>
                <w:lang w:val="lv-LV" w:eastAsia="lv-LV"/>
              </w:rPr>
              <w:t xml:space="preserve">Eiropas </w:t>
            </w:r>
            <w:r w:rsidRPr="00D93466">
              <w:rPr>
                <w:color w:val="000000" w:themeColor="text1"/>
                <w:lang w:val="lv-LV"/>
              </w:rPr>
              <w:t xml:space="preserve">Savienības skalas liellopu liemeņu klasifikācijai piemērošanu liellopiem, nosakot, ka to piemēro liellopiem, </w:t>
            </w:r>
            <w:r w:rsidRPr="00D93466">
              <w:rPr>
                <w:lang w:val="lv-LV"/>
              </w:rPr>
              <w:t xml:space="preserve">kuru vecums kaušanas brīdī ir </w:t>
            </w:r>
            <w:r w:rsidR="008B0BB0">
              <w:rPr>
                <w:lang w:val="lv-LV"/>
              </w:rPr>
              <w:t>astoņi</w:t>
            </w:r>
            <w:r w:rsidR="008B0BB0" w:rsidRPr="00D93466">
              <w:rPr>
                <w:lang w:val="lv-LV"/>
              </w:rPr>
              <w:t xml:space="preserve"> </w:t>
            </w:r>
            <w:r w:rsidRPr="00D93466">
              <w:rPr>
                <w:lang w:val="lv-LV"/>
              </w:rPr>
              <w:t>mēneši vai vairāk</w:t>
            </w:r>
            <w:r w:rsidR="00252D09">
              <w:rPr>
                <w:lang w:val="lv-LV"/>
              </w:rPr>
              <w:t>.</w:t>
            </w:r>
          </w:p>
          <w:p w:rsidR="007346C2" w:rsidRPr="00D93466" w:rsidRDefault="007346C2" w:rsidP="00ED344D">
            <w:pPr>
              <w:pStyle w:val="Default"/>
              <w:jc w:val="both"/>
              <w:rPr>
                <w:lang w:val="lv-LV"/>
              </w:rPr>
            </w:pPr>
          </w:p>
          <w:p w:rsidR="00C33568" w:rsidRPr="00D93466" w:rsidRDefault="00ED344D" w:rsidP="00C33568">
            <w:pPr>
              <w:jc w:val="both"/>
              <w:rPr>
                <w:lang w:val="lv-LV"/>
              </w:rPr>
            </w:pPr>
            <w:r w:rsidRPr="00D93466">
              <w:rPr>
                <w:lang w:val="lv-LV"/>
              </w:rPr>
              <w:t>Šobrīd noteikumos</w:t>
            </w:r>
            <w:r w:rsidRPr="00D93466">
              <w:rPr>
                <w:color w:val="000000"/>
                <w:lang w:val="lv-LV"/>
              </w:rPr>
              <w:t xml:space="preserve"> Nr.1171</w:t>
            </w:r>
            <w:r w:rsidRPr="00D93466">
              <w:rPr>
                <w:lang w:val="lv-LV"/>
              </w:rPr>
              <w:t xml:space="preserve"> ir noteikta</w:t>
            </w:r>
            <w:r w:rsidRPr="00D93466">
              <w:rPr>
                <w:bCs/>
                <w:lang w:val="lv-LV"/>
              </w:rPr>
              <w:t xml:space="preserve"> prasība, ka </w:t>
            </w:r>
            <w:r w:rsidR="00C33568" w:rsidRPr="00D93466">
              <w:rPr>
                <w:lang w:val="lv-LV"/>
              </w:rPr>
              <w:t>Latvijas Lauksaimniecības universitātes aģentūra „Biotehnoloģijas un veterinārmedicīnas zinātniskais institūts „</w:t>
            </w:r>
            <w:proofErr w:type="spellStart"/>
            <w:r w:rsidR="00C33568" w:rsidRPr="00D93466">
              <w:rPr>
                <w:lang w:val="lv-LV"/>
              </w:rPr>
              <w:t>Sigra</w:t>
            </w:r>
            <w:proofErr w:type="spellEnd"/>
            <w:r w:rsidR="00C33568" w:rsidRPr="00D93466">
              <w:rPr>
                <w:lang w:val="lv-LV"/>
              </w:rPr>
              <w:t>”” (turpmāk – zinātniskais institūts „</w:t>
            </w:r>
            <w:proofErr w:type="spellStart"/>
            <w:r w:rsidR="00C33568" w:rsidRPr="00D93466">
              <w:rPr>
                <w:lang w:val="lv-LV"/>
              </w:rPr>
              <w:t>Sigra</w:t>
            </w:r>
            <w:proofErr w:type="spellEnd"/>
            <w:r w:rsidR="00C33568" w:rsidRPr="00D93466">
              <w:rPr>
                <w:lang w:val="lv-LV"/>
              </w:rPr>
              <w:t xml:space="preserve">”) izstrādā cūku liemeņu klasificēšanas metodes liesās gaļas satura aprēķina formulu, kā arī apmāca </w:t>
            </w:r>
            <w:r w:rsidRPr="00D93466">
              <w:rPr>
                <w:lang w:val="lv-LV"/>
              </w:rPr>
              <w:t xml:space="preserve">dzīvnieku liemeņu </w:t>
            </w:r>
            <w:r w:rsidRPr="00D93466">
              <w:rPr>
                <w:bCs/>
                <w:lang w:val="lv-LV"/>
              </w:rPr>
              <w:t>k</w:t>
            </w:r>
            <w:r w:rsidRPr="00D93466">
              <w:rPr>
                <w:lang w:val="lv-LV"/>
              </w:rPr>
              <w:t>lasificētājus</w:t>
            </w:r>
            <w:r w:rsidR="00C33568" w:rsidRPr="00D93466">
              <w:rPr>
                <w:lang w:val="lv-LV"/>
              </w:rPr>
              <w:t xml:space="preserve"> un izsniedz </w:t>
            </w:r>
            <w:r w:rsidR="00C33568" w:rsidRPr="00D93466">
              <w:rPr>
                <w:lang w:val="lv-LV"/>
              </w:rPr>
              <w:lastRenderedPageBreak/>
              <w:t>klasificētājiem sertifikātu</w:t>
            </w:r>
            <w:r w:rsidR="007628AB" w:rsidRPr="00D93466">
              <w:rPr>
                <w:lang w:val="lv-LV"/>
              </w:rPr>
              <w:t>.</w:t>
            </w:r>
            <w:r w:rsidR="00193ECF" w:rsidRPr="00D93466">
              <w:rPr>
                <w:lang w:val="lv-LV"/>
              </w:rPr>
              <w:t xml:space="preserve"> </w:t>
            </w:r>
          </w:p>
          <w:p w:rsidR="00FE6D94" w:rsidRPr="00CC247C" w:rsidRDefault="00B92BBB" w:rsidP="00CC247C">
            <w:pPr>
              <w:pStyle w:val="Komentrateksts"/>
              <w:jc w:val="both"/>
              <w:rPr>
                <w:sz w:val="24"/>
                <w:szCs w:val="24"/>
                <w:lang w:val="lv-LV"/>
              </w:rPr>
            </w:pPr>
            <w:r>
              <w:rPr>
                <w:sz w:val="24"/>
                <w:szCs w:val="24"/>
                <w:lang w:val="lv-LV"/>
              </w:rPr>
              <w:t>Tā kā</w:t>
            </w:r>
            <w:r w:rsidR="007628AB" w:rsidRPr="00CC247C">
              <w:rPr>
                <w:sz w:val="24"/>
                <w:szCs w:val="24"/>
                <w:lang w:val="lv-LV"/>
              </w:rPr>
              <w:t xml:space="preserve"> Latvijas Lauks</w:t>
            </w:r>
            <w:r w:rsidR="00193ECF" w:rsidRPr="00CC247C">
              <w:rPr>
                <w:sz w:val="24"/>
                <w:szCs w:val="24"/>
                <w:lang w:val="lv-LV"/>
              </w:rPr>
              <w:t>aimniecības universitātes senāts</w:t>
            </w:r>
            <w:r w:rsidR="007628AB" w:rsidRPr="00CC247C">
              <w:rPr>
                <w:sz w:val="24"/>
                <w:szCs w:val="24"/>
                <w:lang w:val="lv-LV"/>
              </w:rPr>
              <w:t xml:space="preserve"> </w:t>
            </w:r>
            <w:r w:rsidR="00193ECF" w:rsidRPr="00CC247C">
              <w:rPr>
                <w:sz w:val="24"/>
                <w:szCs w:val="24"/>
                <w:lang w:val="lv-LV"/>
              </w:rPr>
              <w:t>2013.gada 30.oktobrī pieņēma</w:t>
            </w:r>
            <w:r w:rsidR="007628AB" w:rsidRPr="00CC247C">
              <w:rPr>
                <w:sz w:val="24"/>
                <w:szCs w:val="24"/>
                <w:lang w:val="lv-LV"/>
              </w:rPr>
              <w:t xml:space="preserve"> lēmumu Nr.8-33 „Par LLU aģentūras Biotehnoloģijas un veterinārmedicīnas z</w:t>
            </w:r>
            <w:r w:rsidR="00193ECF" w:rsidRPr="00CC247C">
              <w:rPr>
                <w:sz w:val="24"/>
                <w:szCs w:val="24"/>
                <w:lang w:val="lv-LV"/>
              </w:rPr>
              <w:t>inātniskā institūta „</w:t>
            </w:r>
            <w:proofErr w:type="spellStart"/>
            <w:r w:rsidR="00193ECF" w:rsidRPr="00CC247C">
              <w:rPr>
                <w:sz w:val="24"/>
                <w:szCs w:val="24"/>
                <w:lang w:val="lv-LV"/>
              </w:rPr>
              <w:t>Sigra</w:t>
            </w:r>
            <w:proofErr w:type="spellEnd"/>
            <w:r w:rsidR="00193ECF" w:rsidRPr="00CC247C">
              <w:rPr>
                <w:sz w:val="24"/>
                <w:szCs w:val="24"/>
                <w:lang w:val="lv-LV"/>
              </w:rPr>
              <w:t xml:space="preserve">” likvidāciju”, </w:t>
            </w:r>
            <w:r w:rsidR="00C33568" w:rsidRPr="00CC247C">
              <w:rPr>
                <w:sz w:val="24"/>
                <w:szCs w:val="24"/>
                <w:lang w:val="lv-LV"/>
              </w:rPr>
              <w:t xml:space="preserve">iepriekš minētās </w:t>
            </w:r>
            <w:r w:rsidR="00193ECF" w:rsidRPr="00CC247C">
              <w:rPr>
                <w:sz w:val="24"/>
                <w:szCs w:val="24"/>
                <w:lang w:val="lv-LV"/>
              </w:rPr>
              <w:t>zinātniskā institūta „</w:t>
            </w:r>
            <w:proofErr w:type="spellStart"/>
            <w:r w:rsidR="00193ECF" w:rsidRPr="00CC247C">
              <w:rPr>
                <w:sz w:val="24"/>
                <w:szCs w:val="24"/>
                <w:lang w:val="lv-LV"/>
              </w:rPr>
              <w:t>Sigra</w:t>
            </w:r>
            <w:proofErr w:type="spellEnd"/>
            <w:r w:rsidR="00193ECF" w:rsidRPr="00CC247C">
              <w:rPr>
                <w:sz w:val="24"/>
                <w:szCs w:val="24"/>
                <w:lang w:val="lv-LV"/>
              </w:rPr>
              <w:t xml:space="preserve">” funkcijas </w:t>
            </w:r>
            <w:r w:rsidR="00CC247C">
              <w:rPr>
                <w:sz w:val="24"/>
                <w:szCs w:val="24"/>
                <w:lang w:val="lv-LV"/>
              </w:rPr>
              <w:t>pārņem</w:t>
            </w:r>
            <w:r w:rsidR="00193ECF" w:rsidRPr="00CC247C">
              <w:rPr>
                <w:bCs/>
                <w:sz w:val="24"/>
                <w:szCs w:val="24"/>
                <w:lang w:val="lv-LV"/>
              </w:rPr>
              <w:t xml:space="preserve"> </w:t>
            </w:r>
            <w:r w:rsidR="007628AB" w:rsidRPr="00CC247C">
              <w:rPr>
                <w:rStyle w:val="Izteiksmgs"/>
                <w:b w:val="0"/>
                <w:sz w:val="24"/>
                <w:szCs w:val="24"/>
                <w:lang w:val="lv-LV"/>
              </w:rPr>
              <w:t>Pārtikas drošības, dzīvnieku</w:t>
            </w:r>
            <w:r w:rsidR="00C33568" w:rsidRPr="00CC247C">
              <w:rPr>
                <w:rStyle w:val="Izteiksmgs"/>
                <w:b w:val="0"/>
                <w:sz w:val="24"/>
                <w:szCs w:val="24"/>
                <w:lang w:val="lv-LV"/>
              </w:rPr>
              <w:t xml:space="preserve"> </w:t>
            </w:r>
            <w:r w:rsidR="00CC247C">
              <w:rPr>
                <w:rStyle w:val="Izteiksmgs"/>
                <w:b w:val="0"/>
                <w:sz w:val="24"/>
                <w:szCs w:val="24"/>
                <w:lang w:val="lv-LV"/>
              </w:rPr>
              <w:t>veselības un vides zinātniskais institūts</w:t>
            </w:r>
            <w:r w:rsidR="007628AB" w:rsidRPr="00CC247C">
              <w:rPr>
                <w:rStyle w:val="Izteiksmgs"/>
                <w:b w:val="0"/>
                <w:sz w:val="24"/>
                <w:szCs w:val="24"/>
                <w:lang w:val="lv-LV"/>
              </w:rPr>
              <w:t xml:space="preserve"> „BIOR”</w:t>
            </w:r>
            <w:r w:rsidR="009E4EEB" w:rsidRPr="00CC247C">
              <w:rPr>
                <w:sz w:val="24"/>
                <w:szCs w:val="24"/>
                <w:lang w:val="lv-LV"/>
              </w:rPr>
              <w:t xml:space="preserve"> (turpmāk – zinātniskais institūts </w:t>
            </w:r>
            <w:r w:rsidR="009E4EEB" w:rsidRPr="00CC247C">
              <w:rPr>
                <w:rStyle w:val="Izteiksmgs"/>
                <w:b w:val="0"/>
                <w:sz w:val="24"/>
                <w:szCs w:val="24"/>
                <w:lang w:val="lv-LV"/>
              </w:rPr>
              <w:t>„BIOR”</w:t>
            </w:r>
            <w:r w:rsidR="009E4EEB" w:rsidRPr="00CC247C">
              <w:rPr>
                <w:sz w:val="24"/>
                <w:szCs w:val="24"/>
                <w:lang w:val="lv-LV"/>
              </w:rPr>
              <w:t>)</w:t>
            </w:r>
            <w:r w:rsidR="00CC247C">
              <w:rPr>
                <w:rStyle w:val="Izteiksmgs"/>
                <w:b w:val="0"/>
                <w:sz w:val="24"/>
                <w:szCs w:val="24"/>
                <w:lang w:val="lv-LV"/>
              </w:rPr>
              <w:t xml:space="preserve">, </w:t>
            </w:r>
            <w:r w:rsidR="00CC247C" w:rsidRPr="00CC247C">
              <w:rPr>
                <w:sz w:val="24"/>
                <w:szCs w:val="24"/>
                <w:lang w:val="lv-LV"/>
              </w:rPr>
              <w:t>pārņem</w:t>
            </w:r>
            <w:r w:rsidR="00CC247C">
              <w:rPr>
                <w:sz w:val="24"/>
                <w:szCs w:val="24"/>
                <w:lang w:val="lv-LV"/>
              </w:rPr>
              <w:t>ot</w:t>
            </w:r>
            <w:r w:rsidR="00CC247C" w:rsidRPr="00CC247C">
              <w:rPr>
                <w:sz w:val="24"/>
                <w:szCs w:val="24"/>
                <w:lang w:val="lv-LV"/>
              </w:rPr>
              <w:t xml:space="preserve"> </w:t>
            </w:r>
            <w:r w:rsidR="00D46E43">
              <w:rPr>
                <w:sz w:val="24"/>
                <w:szCs w:val="24"/>
                <w:lang w:val="lv-LV"/>
              </w:rPr>
              <w:t>arī materiā</w:t>
            </w:r>
            <w:r w:rsidR="00CC247C" w:rsidRPr="00CC247C">
              <w:rPr>
                <w:sz w:val="24"/>
                <w:szCs w:val="24"/>
                <w:lang w:val="lv-LV"/>
              </w:rPr>
              <w:t xml:space="preserve">lās vērtības un </w:t>
            </w:r>
            <w:r w:rsidR="009E4EEB">
              <w:rPr>
                <w:sz w:val="24"/>
                <w:szCs w:val="24"/>
                <w:lang w:val="lv-LV"/>
              </w:rPr>
              <w:t xml:space="preserve">daļēji </w:t>
            </w:r>
            <w:r w:rsidR="00CC247C" w:rsidRPr="00CC247C">
              <w:rPr>
                <w:sz w:val="24"/>
                <w:szCs w:val="24"/>
                <w:lang w:val="lv-LV"/>
              </w:rPr>
              <w:t>darbiniekus.</w:t>
            </w:r>
          </w:p>
          <w:p w:rsidR="00252D09" w:rsidRDefault="00290B2E" w:rsidP="00252D09">
            <w:pPr>
              <w:pStyle w:val="Default"/>
              <w:jc w:val="both"/>
              <w:rPr>
                <w:lang w:val="lv-LV"/>
              </w:rPr>
            </w:pPr>
            <w:r w:rsidRPr="00D93466">
              <w:rPr>
                <w:color w:val="000000" w:themeColor="text1"/>
                <w:lang w:val="lv-LV"/>
              </w:rPr>
              <w:t xml:space="preserve">Līdz ar to </w:t>
            </w:r>
            <w:r w:rsidR="00252D09">
              <w:rPr>
                <w:lang w:val="lv-LV"/>
              </w:rPr>
              <w:t xml:space="preserve">noteikumos Nr.1171 </w:t>
            </w:r>
            <w:r w:rsidRPr="00D93466">
              <w:rPr>
                <w:color w:val="000000" w:themeColor="text1"/>
                <w:lang w:val="lv-LV"/>
              </w:rPr>
              <w:t>jā</w:t>
            </w:r>
            <w:r w:rsidR="00B92BBB">
              <w:rPr>
                <w:color w:val="000000" w:themeColor="text1"/>
                <w:lang w:val="lv-LV"/>
              </w:rPr>
              <w:t>izdara</w:t>
            </w:r>
            <w:r w:rsidRPr="00D93466">
              <w:rPr>
                <w:color w:val="000000" w:themeColor="text1"/>
                <w:lang w:val="lv-LV"/>
              </w:rPr>
              <w:t xml:space="preserve"> </w:t>
            </w:r>
            <w:r w:rsidR="00252D09">
              <w:rPr>
                <w:color w:val="000000" w:themeColor="text1"/>
                <w:lang w:val="lv-LV"/>
              </w:rPr>
              <w:t xml:space="preserve">tehniski </w:t>
            </w:r>
            <w:r w:rsidRPr="00D93466">
              <w:rPr>
                <w:color w:val="000000" w:themeColor="text1"/>
                <w:lang w:val="lv-LV"/>
              </w:rPr>
              <w:t>precizējumi</w:t>
            </w:r>
            <w:r w:rsidR="00252D09">
              <w:rPr>
                <w:lang w:val="lv-LV"/>
              </w:rPr>
              <w:t xml:space="preserve">. </w:t>
            </w:r>
          </w:p>
          <w:p w:rsidR="00DD771D" w:rsidRPr="00D93466" w:rsidRDefault="00DD771D" w:rsidP="00252D09">
            <w:pPr>
              <w:pStyle w:val="Default"/>
              <w:jc w:val="both"/>
              <w:rPr>
                <w:color w:val="000000" w:themeColor="text1"/>
                <w:lang w:val="lv-LV"/>
              </w:rPr>
            </w:pPr>
            <w:r w:rsidRPr="00D93466">
              <w:rPr>
                <w:lang w:val="lv-LV"/>
              </w:rPr>
              <w:t>Noteikumu projekts pilnībā atrisinās minētās problēmas.</w:t>
            </w:r>
          </w:p>
        </w:tc>
      </w:tr>
      <w:tr w:rsidR="005D73DE" w:rsidRPr="00B961D3" w:rsidTr="00C21DCA">
        <w:tc>
          <w:tcPr>
            <w:tcW w:w="250" w:type="pct"/>
          </w:tcPr>
          <w:p w:rsidR="00A162FE" w:rsidRPr="00D93466" w:rsidRDefault="00A162FE" w:rsidP="00C21DCA">
            <w:pPr>
              <w:jc w:val="center"/>
              <w:rPr>
                <w:color w:val="000000" w:themeColor="text1"/>
                <w:lang w:val="lv-LV" w:eastAsia="lv-LV"/>
              </w:rPr>
            </w:pPr>
            <w:r w:rsidRPr="00D93466">
              <w:rPr>
                <w:color w:val="000000" w:themeColor="text1"/>
                <w:lang w:val="lv-LV" w:eastAsia="lv-LV"/>
              </w:rPr>
              <w:lastRenderedPageBreak/>
              <w:t>3.</w:t>
            </w:r>
          </w:p>
        </w:tc>
        <w:tc>
          <w:tcPr>
            <w:tcW w:w="1397" w:type="pct"/>
          </w:tcPr>
          <w:p w:rsidR="00A162FE" w:rsidRPr="00D93466" w:rsidRDefault="006A073E" w:rsidP="005D73DE">
            <w:pPr>
              <w:jc w:val="both"/>
              <w:rPr>
                <w:color w:val="000000" w:themeColor="text1"/>
                <w:lang w:val="lv-LV" w:eastAsia="lv-LV"/>
              </w:rPr>
            </w:pPr>
            <w:r w:rsidRPr="00D93466">
              <w:rPr>
                <w:color w:val="000000" w:themeColor="text1"/>
                <w:lang w:val="lv-LV" w:eastAsia="lv-LV"/>
              </w:rPr>
              <w:t>Projekta izstrādē iesaistītās institūcijas</w:t>
            </w:r>
          </w:p>
        </w:tc>
        <w:tc>
          <w:tcPr>
            <w:tcW w:w="3353" w:type="pct"/>
          </w:tcPr>
          <w:p w:rsidR="00A162FE" w:rsidRPr="00CC247C" w:rsidRDefault="000A633B" w:rsidP="000A633B">
            <w:pPr>
              <w:jc w:val="both"/>
              <w:rPr>
                <w:highlight w:val="yellow"/>
                <w:lang w:val="lv-LV" w:eastAsia="lv-LV"/>
              </w:rPr>
            </w:pPr>
            <w:r w:rsidRPr="00D6647C">
              <w:rPr>
                <w:lang w:val="lv-LV"/>
              </w:rPr>
              <w:t>N</w:t>
            </w:r>
            <w:r w:rsidR="00BC5DA2" w:rsidRPr="00D6647C">
              <w:rPr>
                <w:lang w:val="lv-LV"/>
              </w:rPr>
              <w:t>oteikumu projektā izdarīti tehniski grozījumi,</w:t>
            </w:r>
            <w:r w:rsidRPr="00D6647C">
              <w:rPr>
                <w:lang w:val="lv-LV"/>
              </w:rPr>
              <w:t xml:space="preserve"> </w:t>
            </w:r>
            <w:r w:rsidR="00F44A5C" w:rsidRPr="00D6647C">
              <w:rPr>
                <w:lang w:val="lv-LV"/>
              </w:rPr>
              <w:t>kas attiecībā uz funkciju pārņemšanu ar zinātnisko institūtu „</w:t>
            </w:r>
            <w:proofErr w:type="spellStart"/>
            <w:r w:rsidR="00F44A5C" w:rsidRPr="00D6647C">
              <w:rPr>
                <w:lang w:val="lv-LV"/>
              </w:rPr>
              <w:t>Sigra</w:t>
            </w:r>
            <w:proofErr w:type="spellEnd"/>
            <w:r w:rsidR="00F44A5C" w:rsidRPr="00D6647C">
              <w:rPr>
                <w:lang w:val="lv-LV"/>
              </w:rPr>
              <w:t xml:space="preserve">” un zinātnisko institūtu </w:t>
            </w:r>
            <w:r w:rsidR="00F44A5C" w:rsidRPr="00CC247C">
              <w:rPr>
                <w:rStyle w:val="Izteiksmgs"/>
                <w:b w:val="0"/>
                <w:lang w:val="lv-LV"/>
              </w:rPr>
              <w:t>„BIOR”</w:t>
            </w:r>
            <w:r w:rsidR="00F44A5C" w:rsidRPr="00D6647C">
              <w:rPr>
                <w:lang w:val="lv-LV"/>
              </w:rPr>
              <w:t xml:space="preserve"> </w:t>
            </w:r>
            <w:r w:rsidR="00B92BBB">
              <w:rPr>
                <w:lang w:val="lv-LV"/>
              </w:rPr>
              <w:t xml:space="preserve">ir </w:t>
            </w:r>
            <w:r w:rsidR="00F44A5C" w:rsidRPr="00D6647C">
              <w:rPr>
                <w:lang w:val="lv-LV"/>
              </w:rPr>
              <w:t>pārrunāti un saskaņoti 2014.gada 13.janvāra sanāksmē.</w:t>
            </w:r>
          </w:p>
        </w:tc>
      </w:tr>
      <w:tr w:rsidR="005D73DE" w:rsidRPr="00D93466" w:rsidTr="00C21DCA">
        <w:tc>
          <w:tcPr>
            <w:tcW w:w="250" w:type="pct"/>
          </w:tcPr>
          <w:p w:rsidR="00A162FE" w:rsidRPr="00D93466" w:rsidRDefault="00A162FE" w:rsidP="00C21DCA">
            <w:pPr>
              <w:jc w:val="center"/>
              <w:rPr>
                <w:color w:val="000000" w:themeColor="text1"/>
                <w:lang w:val="lv-LV" w:eastAsia="lv-LV"/>
              </w:rPr>
            </w:pPr>
            <w:r w:rsidRPr="00D93466">
              <w:rPr>
                <w:color w:val="000000" w:themeColor="text1"/>
                <w:lang w:val="lv-LV" w:eastAsia="lv-LV"/>
              </w:rPr>
              <w:t>4.</w:t>
            </w:r>
          </w:p>
        </w:tc>
        <w:tc>
          <w:tcPr>
            <w:tcW w:w="1397" w:type="pct"/>
          </w:tcPr>
          <w:p w:rsidR="00A162FE" w:rsidRPr="00D93466" w:rsidRDefault="006A073E" w:rsidP="005D73DE">
            <w:pPr>
              <w:jc w:val="both"/>
              <w:rPr>
                <w:color w:val="000000" w:themeColor="text1"/>
                <w:lang w:val="lv-LV" w:eastAsia="lv-LV"/>
              </w:rPr>
            </w:pPr>
            <w:r w:rsidRPr="00D93466">
              <w:rPr>
                <w:color w:val="000000" w:themeColor="text1"/>
                <w:lang w:val="lv-LV" w:eastAsia="lv-LV"/>
              </w:rPr>
              <w:t>Cita informācija</w:t>
            </w:r>
          </w:p>
        </w:tc>
        <w:tc>
          <w:tcPr>
            <w:tcW w:w="3353" w:type="pct"/>
          </w:tcPr>
          <w:p w:rsidR="00A162FE" w:rsidRPr="00D93466" w:rsidRDefault="00E84EDF" w:rsidP="005D73DE">
            <w:pPr>
              <w:jc w:val="both"/>
              <w:rPr>
                <w:color w:val="000000" w:themeColor="text1"/>
                <w:highlight w:val="yellow"/>
                <w:lang w:val="lv-LV"/>
              </w:rPr>
            </w:pPr>
            <w:r w:rsidRPr="00D93466">
              <w:rPr>
                <w:color w:val="000000" w:themeColor="text1"/>
                <w:lang w:val="lv-LV"/>
              </w:rPr>
              <w:t>Nav</w:t>
            </w:r>
          </w:p>
        </w:tc>
      </w:tr>
    </w:tbl>
    <w:p w:rsidR="00C21DCA" w:rsidRPr="00D93466" w:rsidRDefault="00C21DCA">
      <w:pPr>
        <w:rPr>
          <w:color w:val="000000" w:themeColor="text1"/>
          <w:lang w:val="lv-LV"/>
        </w:rPr>
      </w:pPr>
    </w:p>
    <w:p w:rsidR="009806E6" w:rsidRPr="00D93466" w:rsidRDefault="009806E6" w:rsidP="005D73DE">
      <w:pPr>
        <w:jc w:val="both"/>
        <w:rPr>
          <w:i/>
          <w:color w:val="000000" w:themeColor="text1"/>
          <w:lang w:val="lv-LV" w:eastAsia="lv-LV"/>
        </w:rPr>
      </w:pPr>
      <w:r w:rsidRPr="00D93466">
        <w:rPr>
          <w:i/>
          <w:color w:val="000000" w:themeColor="text1"/>
          <w:lang w:val="lv-LV" w:eastAsia="lv-LV"/>
        </w:rPr>
        <w:t xml:space="preserve">Anotācijas </w:t>
      </w:r>
      <w:r w:rsidR="00B47A1B" w:rsidRPr="00D93466">
        <w:rPr>
          <w:i/>
          <w:color w:val="000000" w:themeColor="text1"/>
          <w:lang w:val="lv-LV" w:eastAsia="lv-LV"/>
        </w:rPr>
        <w:t xml:space="preserve">II, </w:t>
      </w:r>
      <w:r w:rsidRPr="00D93466">
        <w:rPr>
          <w:i/>
          <w:color w:val="000000" w:themeColor="text1"/>
          <w:lang w:val="lv-LV" w:eastAsia="lv-LV"/>
        </w:rPr>
        <w:t>III un IV sadaļa – projekts šīs jomas neskar.</w:t>
      </w:r>
    </w:p>
    <w:p w:rsidR="009806E6" w:rsidRPr="00D93466" w:rsidRDefault="009806E6" w:rsidP="005D73DE">
      <w:pPr>
        <w:jc w:val="both"/>
        <w:rPr>
          <w:color w:val="000000" w:themeColor="text1"/>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
        <w:gridCol w:w="490"/>
        <w:gridCol w:w="2276"/>
        <w:gridCol w:w="377"/>
        <w:gridCol w:w="1751"/>
        <w:gridCol w:w="1983"/>
        <w:gridCol w:w="2248"/>
        <w:gridCol w:w="15"/>
      </w:tblGrid>
      <w:tr w:rsidR="00DF0DBD" w:rsidRPr="00B92BBB" w:rsidTr="00A478DC">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DF0DBD" w:rsidRPr="00D93466" w:rsidRDefault="00DF0DBD" w:rsidP="00A478DC">
            <w:pPr>
              <w:jc w:val="center"/>
              <w:rPr>
                <w:b/>
                <w:bCs/>
                <w:color w:val="000000" w:themeColor="text1"/>
                <w:lang w:val="lv-LV"/>
              </w:rPr>
            </w:pPr>
            <w:r w:rsidRPr="00D93466">
              <w:rPr>
                <w:b/>
                <w:bCs/>
                <w:color w:val="000000" w:themeColor="text1"/>
                <w:sz w:val="28"/>
                <w:lang w:val="lv-LV"/>
              </w:rPr>
              <w:t>V. Tiesību akta projekta atbilstība Latvijas Republikas starptautiskajām saistībām</w:t>
            </w:r>
          </w:p>
        </w:tc>
      </w:tr>
      <w:tr w:rsidR="00DF0DBD" w:rsidRPr="00B961D3" w:rsidTr="00A478D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rPr>
                <w:color w:val="000000" w:themeColor="text1"/>
                <w:lang w:val="lv-LV"/>
              </w:rPr>
            </w:pPr>
            <w:r w:rsidRPr="00D93466">
              <w:rPr>
                <w:color w:val="000000" w:themeColor="text1"/>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jc w:val="both"/>
              <w:rPr>
                <w:color w:val="000000" w:themeColor="text1"/>
                <w:lang w:val="lv-LV"/>
              </w:rPr>
            </w:pPr>
            <w:r w:rsidRPr="00D93466">
              <w:rPr>
                <w:color w:val="000000" w:themeColor="text1"/>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DF0DBD" w:rsidRPr="00D93466" w:rsidRDefault="00DF0DBD" w:rsidP="00DF0DBD">
            <w:pPr>
              <w:jc w:val="both"/>
              <w:rPr>
                <w:color w:val="000000" w:themeColor="text1"/>
                <w:lang w:val="lv-LV"/>
              </w:rPr>
            </w:pPr>
            <w:r w:rsidRPr="00D93466">
              <w:rPr>
                <w:lang w:val="lv-LV" w:eastAsia="lv-LV"/>
              </w:rPr>
              <w:t>Eiropas Parlamenta un Padomes 2013.gada 17.decembra Regula (ES) Nr.1308/2013, ar ko izveido lauksaimniecības produktu tirgu kopīgu organizāciju un atceļ Padomes Regulas (EEK) Nr.922/72, (EEK) Nr.234/79, (EK) Nr.1037/2001 un (EK) Nr.1234/2007.</w:t>
            </w:r>
          </w:p>
        </w:tc>
      </w:tr>
      <w:tr w:rsidR="00DF0DBD" w:rsidRPr="00D93466" w:rsidTr="00A478D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rPr>
                <w:color w:val="000000" w:themeColor="text1"/>
                <w:lang w:val="lv-LV"/>
              </w:rPr>
            </w:pPr>
            <w:r w:rsidRPr="00D93466">
              <w:rPr>
                <w:color w:val="000000" w:themeColor="text1"/>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jc w:val="both"/>
              <w:rPr>
                <w:color w:val="000000" w:themeColor="text1"/>
                <w:lang w:val="lv-LV"/>
              </w:rPr>
            </w:pPr>
            <w:r w:rsidRPr="00D93466">
              <w:rPr>
                <w:color w:val="000000" w:themeColor="text1"/>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rPr>
                <w:color w:val="000000" w:themeColor="text1"/>
                <w:lang w:val="lv-LV"/>
              </w:rPr>
            </w:pPr>
            <w:r w:rsidRPr="00D93466">
              <w:rPr>
                <w:color w:val="000000" w:themeColor="text1"/>
                <w:lang w:val="lv-LV"/>
              </w:rPr>
              <w:t>Projekts šo jomu neskar.</w:t>
            </w:r>
          </w:p>
          <w:p w:rsidR="00DF0DBD" w:rsidRPr="00D93466" w:rsidRDefault="00DF0DBD" w:rsidP="00A478DC">
            <w:pPr>
              <w:rPr>
                <w:color w:val="000000" w:themeColor="text1"/>
                <w:lang w:val="lv-LV"/>
              </w:rPr>
            </w:pPr>
          </w:p>
        </w:tc>
      </w:tr>
      <w:tr w:rsidR="00DF0DBD" w:rsidRPr="00D93466" w:rsidTr="00A478D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rPr>
                <w:color w:val="000000" w:themeColor="text1"/>
                <w:lang w:val="lv-LV"/>
              </w:rPr>
            </w:pPr>
            <w:r w:rsidRPr="00D93466">
              <w:rPr>
                <w:color w:val="000000" w:themeColor="text1"/>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jc w:val="both"/>
              <w:rPr>
                <w:color w:val="000000" w:themeColor="text1"/>
                <w:lang w:val="lv-LV"/>
              </w:rPr>
            </w:pPr>
            <w:r w:rsidRPr="00D93466">
              <w:rPr>
                <w:color w:val="000000" w:themeColor="text1"/>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DF0DBD" w:rsidRPr="00D93466" w:rsidRDefault="00DF0DBD" w:rsidP="00A478DC">
            <w:pPr>
              <w:rPr>
                <w:color w:val="000000" w:themeColor="text1"/>
                <w:lang w:val="lv-LV"/>
              </w:rPr>
            </w:pPr>
            <w:r w:rsidRPr="00D93466">
              <w:rPr>
                <w:color w:val="000000" w:themeColor="text1"/>
                <w:lang w:val="lv-LV"/>
              </w:rPr>
              <w:t>Nav.</w:t>
            </w:r>
          </w:p>
        </w:tc>
      </w:tr>
      <w:tr w:rsidR="00DF0DBD" w:rsidRPr="00D93466"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DF0DBD" w:rsidRPr="00D93466" w:rsidRDefault="00DF0DBD" w:rsidP="00A478DC">
            <w:pPr>
              <w:pStyle w:val="naisnod"/>
              <w:spacing w:before="0" w:after="0"/>
              <w:rPr>
                <w:color w:val="000000" w:themeColor="text1"/>
              </w:rPr>
            </w:pPr>
            <w:r w:rsidRPr="00D93466">
              <w:rPr>
                <w:color w:val="000000" w:themeColor="text1"/>
              </w:rPr>
              <w:t>1.tabula</w:t>
            </w:r>
          </w:p>
          <w:p w:rsidR="00DF0DBD" w:rsidRPr="00D93466" w:rsidRDefault="00DF0DBD" w:rsidP="00A478DC">
            <w:pPr>
              <w:pStyle w:val="naisnod"/>
              <w:spacing w:before="0" w:after="0"/>
              <w:rPr>
                <w:i/>
                <w:color w:val="000000" w:themeColor="text1"/>
              </w:rPr>
            </w:pPr>
            <w:r w:rsidRPr="00D93466">
              <w:rPr>
                <w:color w:val="000000" w:themeColor="text1"/>
              </w:rPr>
              <w:t xml:space="preserve">Tiesību akta projekta atbilstība ES tiesību aktiem </w:t>
            </w:r>
          </w:p>
        </w:tc>
      </w:tr>
      <w:tr w:rsidR="00DF0DBD" w:rsidRPr="00B961D3"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DF0DBD" w:rsidRPr="00D93466" w:rsidRDefault="00DF0DBD" w:rsidP="00A478DC">
            <w:pPr>
              <w:pStyle w:val="naiskr"/>
              <w:spacing w:before="0" w:beforeAutospacing="0" w:after="0" w:afterAutospacing="0"/>
              <w:ind w:hanging="10"/>
              <w:jc w:val="center"/>
              <w:rPr>
                <w:color w:val="000000" w:themeColor="text1"/>
              </w:rPr>
            </w:pPr>
            <w:r w:rsidRPr="00D93466">
              <w:rPr>
                <w:color w:val="000000" w:themeColor="text1"/>
              </w:rPr>
              <w:t>Attiecīgā ES tiesību akta datums, numurs un nosaukums</w:t>
            </w:r>
          </w:p>
        </w:tc>
        <w:tc>
          <w:tcPr>
            <w:tcW w:w="3484" w:type="pct"/>
            <w:gridSpan w:val="5"/>
          </w:tcPr>
          <w:p w:rsidR="00DF0DBD" w:rsidRPr="00D93466" w:rsidRDefault="00DF0DBD" w:rsidP="00DF0DBD">
            <w:pPr>
              <w:pStyle w:val="naiskr"/>
              <w:spacing w:before="0" w:beforeAutospacing="0" w:after="0" w:afterAutospacing="0"/>
              <w:jc w:val="both"/>
              <w:rPr>
                <w:color w:val="000000" w:themeColor="text1"/>
              </w:rPr>
            </w:pPr>
            <w:r w:rsidRPr="00D93466">
              <w:t>Eiropas Parlamenta un Padomes 2013.gada 17.decembra Regula (ES) Nr.1308/2013, ar ko izveido lauksaimniecības produktu tirgu kopīgu organizāciju un atceļ Padomes Regulas (EEK) Nr.922/72, (EEK) Nr.234/79, (EK) Nr.1037/2001 un (EK) Nr.1234/2007 (turpmāk – Regula (ES) Nr.1308/2013).</w:t>
            </w:r>
          </w:p>
        </w:tc>
      </w:tr>
      <w:tr w:rsidR="00DF0DBD" w:rsidRPr="00D93466"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DF0DBD" w:rsidRPr="00D93466" w:rsidRDefault="00DF0DBD" w:rsidP="00A478DC">
            <w:pPr>
              <w:pStyle w:val="naiskr"/>
              <w:spacing w:before="0" w:beforeAutospacing="0" w:after="0" w:afterAutospacing="0"/>
              <w:jc w:val="center"/>
              <w:rPr>
                <w:color w:val="000000" w:themeColor="text1"/>
              </w:rPr>
            </w:pPr>
            <w:r w:rsidRPr="00D93466">
              <w:rPr>
                <w:color w:val="000000" w:themeColor="text1"/>
              </w:rPr>
              <w:t>A</w:t>
            </w:r>
          </w:p>
        </w:tc>
        <w:tc>
          <w:tcPr>
            <w:tcW w:w="1163" w:type="pct"/>
            <w:gridSpan w:val="2"/>
            <w:vAlign w:val="center"/>
          </w:tcPr>
          <w:p w:rsidR="00DF0DBD" w:rsidRPr="00D93466" w:rsidRDefault="00DF0DBD" w:rsidP="00A478DC">
            <w:pPr>
              <w:pStyle w:val="naiskr"/>
              <w:spacing w:before="0" w:beforeAutospacing="0" w:after="0" w:afterAutospacing="0"/>
              <w:jc w:val="center"/>
              <w:rPr>
                <w:color w:val="000000" w:themeColor="text1"/>
              </w:rPr>
            </w:pPr>
            <w:r w:rsidRPr="00D93466">
              <w:rPr>
                <w:color w:val="000000" w:themeColor="text1"/>
              </w:rPr>
              <w:t>B</w:t>
            </w:r>
          </w:p>
        </w:tc>
        <w:tc>
          <w:tcPr>
            <w:tcW w:w="1084" w:type="pct"/>
            <w:vAlign w:val="center"/>
          </w:tcPr>
          <w:p w:rsidR="00DF0DBD" w:rsidRPr="00D93466" w:rsidRDefault="00DF0DBD" w:rsidP="00A478DC">
            <w:pPr>
              <w:pStyle w:val="naiskr"/>
              <w:spacing w:before="0" w:beforeAutospacing="0" w:after="0" w:afterAutospacing="0"/>
              <w:jc w:val="center"/>
              <w:rPr>
                <w:color w:val="000000" w:themeColor="text1"/>
              </w:rPr>
            </w:pPr>
            <w:r w:rsidRPr="00D93466">
              <w:rPr>
                <w:color w:val="000000" w:themeColor="text1"/>
              </w:rPr>
              <w:t>C</w:t>
            </w:r>
          </w:p>
        </w:tc>
        <w:tc>
          <w:tcPr>
            <w:tcW w:w="1237" w:type="pct"/>
            <w:gridSpan w:val="2"/>
            <w:vAlign w:val="center"/>
          </w:tcPr>
          <w:p w:rsidR="00DF0DBD" w:rsidRPr="00D93466" w:rsidRDefault="00DF0DBD" w:rsidP="00A478DC">
            <w:pPr>
              <w:pStyle w:val="naiskr"/>
              <w:spacing w:before="0" w:beforeAutospacing="0" w:after="0" w:afterAutospacing="0"/>
              <w:jc w:val="center"/>
              <w:rPr>
                <w:color w:val="000000" w:themeColor="text1"/>
              </w:rPr>
            </w:pPr>
            <w:r w:rsidRPr="00D93466">
              <w:rPr>
                <w:color w:val="000000" w:themeColor="text1"/>
              </w:rPr>
              <w:t>D</w:t>
            </w:r>
          </w:p>
        </w:tc>
      </w:tr>
      <w:tr w:rsidR="00DF0DBD" w:rsidRPr="00B961D3"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Attiecīgā ES tiesību akta panta numurs (uzskaitot katru tiesību akta vienību – pantu, daļu, punktu, apakšpunktu)</w:t>
            </w:r>
          </w:p>
        </w:tc>
        <w:tc>
          <w:tcPr>
            <w:tcW w:w="1163" w:type="pct"/>
            <w:gridSpan w:val="2"/>
          </w:tcPr>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Projekta vienība, kas pārņem vai ievieš katru šīs tabulas A ailē minēto ES tiesību akta vienību, vai tiesību akts, kur attiecīgā ES tiesību akta vienība pārņemta vai ieviesta</w:t>
            </w:r>
          </w:p>
        </w:tc>
        <w:tc>
          <w:tcPr>
            <w:tcW w:w="1084" w:type="pct"/>
          </w:tcPr>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Informācija par to, vai šīs tabulas A ailē minētās ES tiesību akta vienības tiek pārņemtas vai ieviestas pilnībā vai daļēji.</w:t>
            </w:r>
          </w:p>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Norāda institūciju, kas ir atbildīga par šo saistību izpildi pilnībā</w:t>
            </w:r>
          </w:p>
        </w:tc>
        <w:tc>
          <w:tcPr>
            <w:tcW w:w="1237" w:type="pct"/>
            <w:gridSpan w:val="2"/>
            <w:vAlign w:val="center"/>
          </w:tcPr>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Informācija par to, vai šīs tabulas B ailē minētās projekta vienības paredz stingrākas prasības nekā šīs tabulas A ailē minētās ES tiesību akta vienības.</w:t>
            </w:r>
          </w:p>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Ja projekts satur stingrākas prasības nekā attiecīgais ES tiesību akts, norāda pamatojumu un samērīgumu.</w:t>
            </w:r>
          </w:p>
          <w:p w:rsidR="00DF0DBD" w:rsidRPr="00D93466" w:rsidRDefault="00DF0DBD" w:rsidP="00A478DC">
            <w:pPr>
              <w:pStyle w:val="naiskr"/>
              <w:spacing w:before="0" w:beforeAutospacing="0" w:after="0" w:afterAutospacing="0"/>
              <w:jc w:val="both"/>
              <w:rPr>
                <w:color w:val="000000" w:themeColor="text1"/>
              </w:rPr>
            </w:pPr>
            <w:r w:rsidRPr="00D93466">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D93466" w:rsidRPr="00D93466" w:rsidTr="002D28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93466" w:rsidRPr="00D93466" w:rsidRDefault="00D93466" w:rsidP="00182DFF">
            <w:pPr>
              <w:jc w:val="both"/>
              <w:rPr>
                <w:color w:val="000000" w:themeColor="text1"/>
                <w:lang w:val="lv-LV"/>
              </w:rPr>
            </w:pPr>
            <w:r w:rsidRPr="00D93466">
              <w:rPr>
                <w:lang w:val="lv-LV"/>
              </w:rPr>
              <w:t>Regulas (ES) Nr.</w:t>
            </w:r>
            <w:r w:rsidRPr="00D93466">
              <w:rPr>
                <w:lang w:val="lv-LV" w:eastAsia="lv-LV"/>
              </w:rPr>
              <w:t xml:space="preserve">1308/2013 </w:t>
            </w:r>
            <w:r w:rsidRPr="00D93466">
              <w:rPr>
                <w:color w:val="000000" w:themeColor="text1"/>
                <w:lang w:val="lv-LV"/>
              </w:rPr>
              <w:t>10.pants</w:t>
            </w:r>
          </w:p>
        </w:tc>
        <w:tc>
          <w:tcPr>
            <w:tcW w:w="1163" w:type="pct"/>
            <w:gridSpan w:val="2"/>
            <w:vAlign w:val="center"/>
          </w:tcPr>
          <w:p w:rsidR="00D93466" w:rsidRPr="00D93466" w:rsidRDefault="00D93466" w:rsidP="00A46E81">
            <w:pPr>
              <w:pStyle w:val="naiskr"/>
              <w:spacing w:before="0" w:beforeAutospacing="0" w:after="0" w:afterAutospacing="0"/>
              <w:jc w:val="both"/>
              <w:rPr>
                <w:color w:val="000000" w:themeColor="text1"/>
              </w:rPr>
            </w:pPr>
            <w:r w:rsidRPr="00D93466">
              <w:t xml:space="preserve">1.un 2.punkts </w:t>
            </w:r>
          </w:p>
        </w:tc>
        <w:tc>
          <w:tcPr>
            <w:tcW w:w="1084" w:type="pct"/>
          </w:tcPr>
          <w:p w:rsidR="00D93466" w:rsidRPr="00D93466" w:rsidRDefault="00D93466" w:rsidP="00D93466">
            <w:pPr>
              <w:pStyle w:val="naiskr"/>
              <w:spacing w:before="0" w:beforeAutospacing="0" w:after="0" w:afterAutospacing="0"/>
              <w:jc w:val="center"/>
              <w:rPr>
                <w:color w:val="000000" w:themeColor="text1"/>
              </w:rPr>
            </w:pPr>
            <w:r>
              <w:t>Regulas norma ieviesta</w:t>
            </w:r>
            <w:r w:rsidRPr="00D93466">
              <w:t xml:space="preserve"> pilnībā</w:t>
            </w:r>
          </w:p>
        </w:tc>
        <w:tc>
          <w:tcPr>
            <w:tcW w:w="1237" w:type="pct"/>
            <w:gridSpan w:val="2"/>
            <w:vAlign w:val="center"/>
          </w:tcPr>
          <w:p w:rsidR="00D93466" w:rsidRPr="00D93466" w:rsidRDefault="00D93466" w:rsidP="001C7789">
            <w:pPr>
              <w:pStyle w:val="basetext"/>
              <w:spacing w:before="0"/>
              <w:jc w:val="center"/>
              <w:rPr>
                <w:szCs w:val="24"/>
                <w:lang w:val="lv-LV"/>
              </w:rPr>
            </w:pPr>
            <w:r w:rsidRPr="00D93466">
              <w:rPr>
                <w:lang w:val="lv-LV"/>
              </w:rPr>
              <w:t xml:space="preserve"> </w:t>
            </w:r>
            <w:r>
              <w:rPr>
                <w:lang w:val="lv-LV"/>
              </w:rPr>
              <w:t xml:space="preserve">Projekts neparedz </w:t>
            </w:r>
            <w:r w:rsidRPr="00D93466">
              <w:rPr>
                <w:lang w:val="lv-LV"/>
              </w:rPr>
              <w:t>stingrākas prasības</w:t>
            </w:r>
          </w:p>
        </w:tc>
      </w:tr>
      <w:tr w:rsidR="00D93466" w:rsidRPr="00D93466" w:rsidTr="00E7429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93466" w:rsidRPr="00D93466" w:rsidRDefault="00D93466" w:rsidP="00A478DC">
            <w:pPr>
              <w:jc w:val="both"/>
              <w:rPr>
                <w:color w:val="000000" w:themeColor="text1"/>
                <w:lang w:val="lv-LV"/>
              </w:rPr>
            </w:pPr>
            <w:r w:rsidRPr="00D93466">
              <w:rPr>
                <w:lang w:val="lv-LV"/>
              </w:rPr>
              <w:t>Regulas (ES) Nr.</w:t>
            </w:r>
            <w:r w:rsidRPr="00D93466">
              <w:rPr>
                <w:lang w:val="lv-LV" w:eastAsia="lv-LV"/>
              </w:rPr>
              <w:t>1308/2013 I</w:t>
            </w:r>
            <w:r w:rsidRPr="00D93466">
              <w:rPr>
                <w:lang w:val="lv-LV"/>
              </w:rPr>
              <w:t>V pielikuma A daļas II un III punkts</w:t>
            </w:r>
          </w:p>
        </w:tc>
        <w:tc>
          <w:tcPr>
            <w:tcW w:w="1163" w:type="pct"/>
            <w:gridSpan w:val="2"/>
            <w:vAlign w:val="center"/>
          </w:tcPr>
          <w:p w:rsidR="00D93466" w:rsidRPr="00D93466" w:rsidRDefault="00D93466" w:rsidP="00C47EB6">
            <w:pPr>
              <w:pStyle w:val="naiskr"/>
              <w:spacing w:before="0" w:beforeAutospacing="0" w:after="0" w:afterAutospacing="0"/>
              <w:jc w:val="both"/>
            </w:pPr>
            <w:r w:rsidRPr="00D93466">
              <w:t xml:space="preserve">3.punkts </w:t>
            </w:r>
          </w:p>
          <w:p w:rsidR="00D93466" w:rsidRPr="00D93466" w:rsidRDefault="00D93466" w:rsidP="00C47EB6">
            <w:pPr>
              <w:pStyle w:val="naiskr"/>
              <w:spacing w:before="0" w:beforeAutospacing="0" w:after="0" w:afterAutospacing="0"/>
              <w:jc w:val="both"/>
            </w:pPr>
          </w:p>
        </w:tc>
        <w:tc>
          <w:tcPr>
            <w:tcW w:w="1084" w:type="pct"/>
            <w:vAlign w:val="center"/>
          </w:tcPr>
          <w:p w:rsidR="00D93466" w:rsidRPr="00D93466" w:rsidRDefault="00D93466" w:rsidP="00D93466">
            <w:pPr>
              <w:pStyle w:val="basetext"/>
              <w:spacing w:before="0"/>
              <w:jc w:val="center"/>
              <w:rPr>
                <w:szCs w:val="24"/>
                <w:lang w:val="lv-LV"/>
              </w:rPr>
            </w:pPr>
            <w:r>
              <w:rPr>
                <w:lang w:val="lv-LV"/>
              </w:rPr>
              <w:t>Regulas norma ieviesta</w:t>
            </w:r>
            <w:r w:rsidRPr="00D93466">
              <w:rPr>
                <w:lang w:val="lv-LV"/>
              </w:rPr>
              <w:t xml:space="preserve"> pilnībā</w:t>
            </w:r>
          </w:p>
        </w:tc>
        <w:tc>
          <w:tcPr>
            <w:tcW w:w="1237" w:type="pct"/>
            <w:gridSpan w:val="2"/>
            <w:vAlign w:val="center"/>
          </w:tcPr>
          <w:p w:rsidR="00D93466" w:rsidRPr="00D93466" w:rsidRDefault="00D93466" w:rsidP="00D93466">
            <w:pPr>
              <w:pStyle w:val="basetext"/>
              <w:spacing w:before="0"/>
              <w:jc w:val="center"/>
              <w:rPr>
                <w:szCs w:val="24"/>
                <w:lang w:val="lv-LV"/>
              </w:rPr>
            </w:pPr>
            <w:r w:rsidRPr="00D93466">
              <w:rPr>
                <w:lang w:val="lv-LV"/>
              </w:rPr>
              <w:t xml:space="preserve"> </w:t>
            </w:r>
            <w:r>
              <w:rPr>
                <w:lang w:val="lv-LV"/>
              </w:rPr>
              <w:t xml:space="preserve">Projekts neparedz </w:t>
            </w:r>
            <w:r w:rsidRPr="00D93466">
              <w:rPr>
                <w:lang w:val="lv-LV"/>
              </w:rPr>
              <w:t>stingrākas prasības</w:t>
            </w:r>
          </w:p>
        </w:tc>
      </w:tr>
      <w:tr w:rsidR="00D93466" w:rsidRPr="00D93466" w:rsidTr="00C5592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93466" w:rsidRPr="00D93466" w:rsidRDefault="00D93466" w:rsidP="00A478DC">
            <w:pPr>
              <w:jc w:val="both"/>
              <w:rPr>
                <w:color w:val="000000" w:themeColor="text1"/>
                <w:lang w:val="lv-LV"/>
              </w:rPr>
            </w:pPr>
            <w:r w:rsidRPr="00D93466">
              <w:rPr>
                <w:lang w:val="lv-LV"/>
              </w:rPr>
              <w:t>Regulas (ES) Nr.</w:t>
            </w:r>
            <w:r w:rsidRPr="00D93466">
              <w:rPr>
                <w:lang w:val="lv-LV" w:eastAsia="lv-LV"/>
              </w:rPr>
              <w:t>1308/2013 I</w:t>
            </w:r>
            <w:r w:rsidRPr="00D93466">
              <w:rPr>
                <w:lang w:val="lv-LV"/>
              </w:rPr>
              <w:t>V pielikuma B daļas II punkts</w:t>
            </w:r>
          </w:p>
        </w:tc>
        <w:tc>
          <w:tcPr>
            <w:tcW w:w="1163" w:type="pct"/>
            <w:gridSpan w:val="2"/>
            <w:vAlign w:val="center"/>
          </w:tcPr>
          <w:p w:rsidR="00D93466" w:rsidRPr="00D93466" w:rsidRDefault="00D93466" w:rsidP="00A46E81">
            <w:pPr>
              <w:pStyle w:val="naiskr"/>
              <w:spacing w:before="0" w:beforeAutospacing="0" w:after="0" w:afterAutospacing="0"/>
              <w:jc w:val="both"/>
            </w:pPr>
            <w:r w:rsidRPr="00D93466">
              <w:t>3.un 6.punkts</w:t>
            </w:r>
          </w:p>
          <w:p w:rsidR="00D93466" w:rsidRPr="00D93466" w:rsidRDefault="00D93466" w:rsidP="00A478DC">
            <w:pPr>
              <w:pStyle w:val="naiskr"/>
              <w:spacing w:before="0" w:beforeAutospacing="0" w:after="0" w:afterAutospacing="0"/>
              <w:jc w:val="both"/>
            </w:pPr>
          </w:p>
        </w:tc>
        <w:tc>
          <w:tcPr>
            <w:tcW w:w="1084" w:type="pct"/>
            <w:vAlign w:val="center"/>
          </w:tcPr>
          <w:p w:rsidR="00D93466" w:rsidRPr="00D93466" w:rsidRDefault="00D93466" w:rsidP="001C7789">
            <w:pPr>
              <w:pStyle w:val="basetext"/>
              <w:spacing w:before="0"/>
              <w:jc w:val="center"/>
              <w:rPr>
                <w:szCs w:val="24"/>
                <w:lang w:val="lv-LV"/>
              </w:rPr>
            </w:pPr>
            <w:r>
              <w:rPr>
                <w:lang w:val="lv-LV"/>
              </w:rPr>
              <w:t>Regulas norma ieviesta</w:t>
            </w:r>
            <w:r w:rsidRPr="00D93466">
              <w:rPr>
                <w:lang w:val="lv-LV"/>
              </w:rPr>
              <w:t xml:space="preserve"> pilnībā</w:t>
            </w:r>
          </w:p>
        </w:tc>
        <w:tc>
          <w:tcPr>
            <w:tcW w:w="1237" w:type="pct"/>
            <w:gridSpan w:val="2"/>
            <w:vAlign w:val="center"/>
          </w:tcPr>
          <w:p w:rsidR="00D93466" w:rsidRPr="00D93466" w:rsidRDefault="00D93466" w:rsidP="001C7789">
            <w:pPr>
              <w:pStyle w:val="basetext"/>
              <w:spacing w:before="0"/>
              <w:jc w:val="center"/>
              <w:rPr>
                <w:szCs w:val="24"/>
                <w:lang w:val="lv-LV"/>
              </w:rPr>
            </w:pPr>
            <w:r w:rsidRPr="00D93466">
              <w:rPr>
                <w:lang w:val="lv-LV"/>
              </w:rPr>
              <w:t xml:space="preserve"> </w:t>
            </w:r>
            <w:r>
              <w:rPr>
                <w:lang w:val="lv-LV"/>
              </w:rPr>
              <w:t xml:space="preserve">Projekts neparedz </w:t>
            </w:r>
            <w:r w:rsidRPr="00D93466">
              <w:rPr>
                <w:lang w:val="lv-LV"/>
              </w:rPr>
              <w:t>stingrākas prasības</w:t>
            </w:r>
          </w:p>
        </w:tc>
      </w:tr>
      <w:tr w:rsidR="00D93466" w:rsidRPr="00D93466" w:rsidTr="003E7A4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93466" w:rsidRPr="00D93466" w:rsidRDefault="00D93466" w:rsidP="00DB03FA">
            <w:pPr>
              <w:jc w:val="both"/>
              <w:rPr>
                <w:color w:val="000000" w:themeColor="text1"/>
                <w:lang w:val="lv-LV"/>
              </w:rPr>
            </w:pPr>
            <w:r w:rsidRPr="00D93466">
              <w:rPr>
                <w:lang w:val="lv-LV"/>
              </w:rPr>
              <w:t>Regulas (ES) Nr.</w:t>
            </w:r>
            <w:r w:rsidRPr="00D93466">
              <w:rPr>
                <w:lang w:val="lv-LV" w:eastAsia="lv-LV"/>
              </w:rPr>
              <w:t>1308/2013 I</w:t>
            </w:r>
            <w:r w:rsidRPr="00D93466">
              <w:rPr>
                <w:lang w:val="lv-LV"/>
              </w:rPr>
              <w:t>V pielikuma A daļas III punkts</w:t>
            </w:r>
          </w:p>
        </w:tc>
        <w:tc>
          <w:tcPr>
            <w:tcW w:w="1163" w:type="pct"/>
            <w:gridSpan w:val="2"/>
            <w:vAlign w:val="center"/>
          </w:tcPr>
          <w:p w:rsidR="00D93466" w:rsidRPr="00D93466" w:rsidRDefault="00D93466" w:rsidP="00A478DC">
            <w:pPr>
              <w:pStyle w:val="naiskr"/>
              <w:spacing w:before="0" w:beforeAutospacing="0" w:after="0" w:afterAutospacing="0"/>
              <w:jc w:val="both"/>
            </w:pPr>
            <w:r w:rsidRPr="00D93466">
              <w:t>4.punkts</w:t>
            </w:r>
          </w:p>
        </w:tc>
        <w:tc>
          <w:tcPr>
            <w:tcW w:w="1084" w:type="pct"/>
            <w:vAlign w:val="center"/>
          </w:tcPr>
          <w:p w:rsidR="00D93466" w:rsidRPr="00D93466" w:rsidRDefault="00D93466" w:rsidP="001C7789">
            <w:pPr>
              <w:pStyle w:val="basetext"/>
              <w:spacing w:before="0"/>
              <w:jc w:val="center"/>
              <w:rPr>
                <w:szCs w:val="24"/>
                <w:lang w:val="lv-LV"/>
              </w:rPr>
            </w:pPr>
            <w:r>
              <w:rPr>
                <w:lang w:val="lv-LV"/>
              </w:rPr>
              <w:t>Regulas norma ieviesta</w:t>
            </w:r>
            <w:r w:rsidRPr="00D93466">
              <w:rPr>
                <w:lang w:val="lv-LV"/>
              </w:rPr>
              <w:t xml:space="preserve"> pilnībā</w:t>
            </w:r>
          </w:p>
        </w:tc>
        <w:tc>
          <w:tcPr>
            <w:tcW w:w="1237" w:type="pct"/>
            <w:gridSpan w:val="2"/>
            <w:vAlign w:val="center"/>
          </w:tcPr>
          <w:p w:rsidR="00D93466" w:rsidRPr="00D93466" w:rsidRDefault="00D93466" w:rsidP="001C7789">
            <w:pPr>
              <w:pStyle w:val="basetext"/>
              <w:spacing w:before="0"/>
              <w:jc w:val="center"/>
              <w:rPr>
                <w:szCs w:val="24"/>
                <w:lang w:val="lv-LV"/>
              </w:rPr>
            </w:pPr>
            <w:r w:rsidRPr="00D93466">
              <w:rPr>
                <w:lang w:val="lv-LV"/>
              </w:rPr>
              <w:t xml:space="preserve"> </w:t>
            </w:r>
            <w:r>
              <w:rPr>
                <w:lang w:val="lv-LV"/>
              </w:rPr>
              <w:t xml:space="preserve">Projekts neparedz </w:t>
            </w:r>
            <w:r w:rsidRPr="00D93466">
              <w:rPr>
                <w:lang w:val="lv-LV"/>
              </w:rPr>
              <w:t>stingrākas prasības</w:t>
            </w:r>
          </w:p>
        </w:tc>
      </w:tr>
      <w:tr w:rsidR="00D93466" w:rsidRPr="00D93466"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D93466" w:rsidRPr="00D93466" w:rsidRDefault="00D93466" w:rsidP="00A478DC">
            <w:pPr>
              <w:pStyle w:val="naiskr"/>
              <w:spacing w:before="0" w:beforeAutospacing="0" w:after="0" w:afterAutospacing="0"/>
              <w:jc w:val="both"/>
              <w:rPr>
                <w:color w:val="000000" w:themeColor="text1"/>
              </w:rPr>
            </w:pPr>
            <w:r w:rsidRPr="00D93466">
              <w:rPr>
                <w:color w:val="000000" w:themeColor="text1"/>
              </w:rPr>
              <w:t>Kā ir izmantota ES tiesību aktā paredzētā rīcības brīvība dalībvalstij pārņemt vai ieviest noteiktas ES tiesību akta normas. Kādēļ?</w:t>
            </w:r>
          </w:p>
        </w:tc>
        <w:tc>
          <w:tcPr>
            <w:tcW w:w="3484" w:type="pct"/>
            <w:gridSpan w:val="5"/>
          </w:tcPr>
          <w:p w:rsidR="00D93466" w:rsidRPr="00D93466" w:rsidRDefault="00D93466" w:rsidP="00A478DC">
            <w:pPr>
              <w:pStyle w:val="naiskr"/>
              <w:spacing w:before="0" w:beforeAutospacing="0" w:after="0" w:afterAutospacing="0"/>
              <w:rPr>
                <w:color w:val="000000" w:themeColor="text1"/>
              </w:rPr>
            </w:pPr>
            <w:r w:rsidRPr="00D93466">
              <w:rPr>
                <w:color w:val="000000" w:themeColor="text1"/>
              </w:rPr>
              <w:t>Projekts šo jomu neskar.</w:t>
            </w:r>
          </w:p>
        </w:tc>
      </w:tr>
      <w:tr w:rsidR="00D93466" w:rsidRPr="00D93466"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D93466" w:rsidRPr="00D93466" w:rsidRDefault="00D93466" w:rsidP="00A478DC">
            <w:pPr>
              <w:pStyle w:val="naiskr"/>
              <w:spacing w:before="0" w:beforeAutospacing="0" w:after="0" w:afterAutospacing="0"/>
              <w:jc w:val="both"/>
              <w:rPr>
                <w:i/>
                <w:color w:val="000000" w:themeColor="text1"/>
              </w:rPr>
            </w:pPr>
            <w:r w:rsidRPr="00D93466">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D93466" w:rsidRPr="00D93466" w:rsidRDefault="00D93466" w:rsidP="00A478DC">
            <w:pPr>
              <w:pStyle w:val="naiskr"/>
              <w:spacing w:before="0" w:beforeAutospacing="0" w:after="0" w:afterAutospacing="0"/>
              <w:rPr>
                <w:color w:val="000000" w:themeColor="text1"/>
              </w:rPr>
            </w:pPr>
            <w:r w:rsidRPr="00D93466">
              <w:rPr>
                <w:color w:val="000000" w:themeColor="text1"/>
              </w:rPr>
              <w:t>Projekts šo jomu neskar.</w:t>
            </w:r>
          </w:p>
        </w:tc>
      </w:tr>
      <w:tr w:rsidR="00D93466" w:rsidRPr="00D93466" w:rsidTr="00A4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D93466" w:rsidRPr="00D93466" w:rsidRDefault="00D93466" w:rsidP="00A478DC">
            <w:pPr>
              <w:pStyle w:val="naiskr"/>
              <w:spacing w:before="0" w:beforeAutospacing="0" w:after="0" w:afterAutospacing="0"/>
              <w:jc w:val="both"/>
              <w:rPr>
                <w:color w:val="000000" w:themeColor="text1"/>
              </w:rPr>
            </w:pPr>
            <w:r w:rsidRPr="00D93466">
              <w:rPr>
                <w:color w:val="000000" w:themeColor="text1"/>
              </w:rPr>
              <w:t>Cita informācija</w:t>
            </w:r>
          </w:p>
        </w:tc>
        <w:tc>
          <w:tcPr>
            <w:tcW w:w="3484" w:type="pct"/>
            <w:gridSpan w:val="5"/>
          </w:tcPr>
          <w:p w:rsidR="00D93466" w:rsidRPr="00D93466" w:rsidRDefault="00D93466" w:rsidP="00A478DC">
            <w:pPr>
              <w:pStyle w:val="naiskr"/>
              <w:spacing w:before="0" w:beforeAutospacing="0" w:after="0" w:afterAutospacing="0"/>
              <w:rPr>
                <w:color w:val="000000" w:themeColor="text1"/>
              </w:rPr>
            </w:pPr>
            <w:r w:rsidRPr="00D93466">
              <w:rPr>
                <w:color w:val="000000" w:themeColor="text1"/>
              </w:rPr>
              <w:t>Nav</w:t>
            </w:r>
          </w:p>
        </w:tc>
      </w:tr>
    </w:tbl>
    <w:p w:rsidR="00B02ED1" w:rsidRPr="00D93466" w:rsidRDefault="00B02ED1" w:rsidP="00C21DCA">
      <w:pPr>
        <w:jc w:val="both"/>
        <w:rPr>
          <w:color w:val="000000" w:themeColor="text1"/>
          <w:lang w:val="lv-LV"/>
        </w:rPr>
      </w:pPr>
    </w:p>
    <w:p w:rsidR="0005177C" w:rsidRPr="00D93466" w:rsidRDefault="0005177C">
      <w:pPr>
        <w:rPr>
          <w:i/>
          <w:lang w:val="lv-LV"/>
        </w:rPr>
      </w:pPr>
      <w:r w:rsidRPr="00D93466">
        <w:rPr>
          <w:i/>
          <w:lang w:val="lv-LV"/>
        </w:rPr>
        <w:t>Anotācijas V sadaļas 2.tabula</w:t>
      </w:r>
      <w:r w:rsidR="009C78C7" w:rsidRPr="00D93466">
        <w:rPr>
          <w:i/>
          <w:lang w:val="lv-LV"/>
        </w:rPr>
        <w:t xml:space="preserve"> un</w:t>
      </w:r>
      <w:r w:rsidR="009C78C7" w:rsidRPr="00D93466">
        <w:rPr>
          <w:i/>
          <w:color w:val="000000" w:themeColor="text1"/>
          <w:lang w:val="lv-LV" w:eastAsia="lv-LV"/>
        </w:rPr>
        <w:t xml:space="preserve"> VI sadaļa</w:t>
      </w:r>
      <w:r w:rsidR="009C78C7" w:rsidRPr="00D93466">
        <w:rPr>
          <w:i/>
          <w:lang w:val="lv-LV"/>
        </w:rPr>
        <w:t xml:space="preserve"> </w:t>
      </w:r>
      <w:r w:rsidRPr="00D93466">
        <w:rPr>
          <w:i/>
          <w:lang w:val="lv-LV"/>
        </w:rPr>
        <w:t xml:space="preserve">– </w:t>
      </w:r>
      <w:r w:rsidRPr="00D93466">
        <w:rPr>
          <w:i/>
          <w:color w:val="000000" w:themeColor="text1"/>
          <w:lang w:val="lv-LV"/>
        </w:rPr>
        <w:t>projekts šo jomu neskar.</w:t>
      </w:r>
    </w:p>
    <w:p w:rsidR="009E04D3" w:rsidRPr="00D93466" w:rsidRDefault="009E04D3" w:rsidP="005D73DE">
      <w:pPr>
        <w:rPr>
          <w:color w:val="000000" w:themeColor="text1"/>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E50F32" w:rsidRPr="00B961D3" w:rsidTr="00A478D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jc w:val="center"/>
              <w:rPr>
                <w:b/>
                <w:bCs/>
                <w:color w:val="000000" w:themeColor="text1"/>
                <w:sz w:val="28"/>
                <w:lang w:val="lv-LV" w:eastAsia="lv-LV"/>
              </w:rPr>
            </w:pPr>
            <w:r w:rsidRPr="00D93466">
              <w:rPr>
                <w:b/>
                <w:bCs/>
                <w:color w:val="000000" w:themeColor="text1"/>
                <w:sz w:val="28"/>
                <w:lang w:val="lv-LV" w:eastAsia="lv-LV"/>
              </w:rPr>
              <w:t>VII. Tiesību akta projekta izpildes nodrošināšana un tās ietekme uz institūcijām</w:t>
            </w:r>
          </w:p>
        </w:tc>
      </w:tr>
      <w:tr w:rsidR="00E50F32" w:rsidRPr="00B92BBB" w:rsidTr="00A478DC">
        <w:tc>
          <w:tcPr>
            <w:tcW w:w="0" w:type="auto"/>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rPr>
                <w:color w:val="000000" w:themeColor="text1"/>
                <w:lang w:val="lv-LV" w:eastAsia="lv-LV"/>
              </w:rPr>
            </w:pPr>
            <w:r w:rsidRPr="00D9346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jc w:val="both"/>
              <w:rPr>
                <w:color w:val="000000" w:themeColor="text1"/>
                <w:lang w:val="lv-LV" w:eastAsia="lv-LV"/>
              </w:rPr>
            </w:pPr>
            <w:r w:rsidRPr="00D9346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E50F32" w:rsidRPr="00D93466" w:rsidRDefault="0078058F" w:rsidP="00A478DC">
            <w:pPr>
              <w:pStyle w:val="Kjene"/>
              <w:tabs>
                <w:tab w:val="clear" w:pos="4153"/>
                <w:tab w:val="clear" w:pos="8306"/>
              </w:tabs>
              <w:snapToGrid/>
              <w:jc w:val="both"/>
              <w:rPr>
                <w:rFonts w:ascii="Times New Roman" w:hAnsi="Times New Roman"/>
                <w:color w:val="000000" w:themeColor="text1"/>
                <w:sz w:val="24"/>
                <w:szCs w:val="24"/>
              </w:rPr>
            </w:pPr>
            <w:r w:rsidRPr="00D93466">
              <w:rPr>
                <w:rFonts w:ascii="Times New Roman" w:hAnsi="Times New Roman"/>
                <w:sz w:val="24"/>
                <w:szCs w:val="24"/>
              </w:rPr>
              <w:t>Noteikumu projekta izpildi nodrošina</w:t>
            </w:r>
            <w:r w:rsidRPr="00D93466">
              <w:t xml:space="preserve"> </w:t>
            </w:r>
            <w:r w:rsidRPr="00D93466">
              <w:rPr>
                <w:rFonts w:ascii="Times New Roman" w:hAnsi="Times New Roman"/>
                <w:sz w:val="24"/>
                <w:szCs w:val="24"/>
              </w:rPr>
              <w:t>zinātniskais institūts „BIOR”.</w:t>
            </w:r>
          </w:p>
        </w:tc>
      </w:tr>
      <w:tr w:rsidR="00E50F32" w:rsidRPr="00B961D3" w:rsidTr="00A478DC">
        <w:tc>
          <w:tcPr>
            <w:tcW w:w="0" w:type="auto"/>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rPr>
                <w:color w:val="000000" w:themeColor="text1"/>
                <w:lang w:val="lv-LV" w:eastAsia="lv-LV"/>
              </w:rPr>
            </w:pPr>
            <w:r w:rsidRPr="00D9346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jc w:val="both"/>
              <w:rPr>
                <w:color w:val="000000" w:themeColor="text1"/>
                <w:lang w:val="lv-LV"/>
              </w:rPr>
            </w:pPr>
            <w:r w:rsidRPr="00D93466">
              <w:rPr>
                <w:color w:val="000000" w:themeColor="text1"/>
                <w:lang w:val="lv-LV"/>
              </w:rPr>
              <w:t xml:space="preserve">Projekta izpildes ietekme uz pārvaldes funkcijām un institucionālo struktūru. </w:t>
            </w:r>
          </w:p>
          <w:p w:rsidR="00E50F32" w:rsidRPr="00D93466" w:rsidRDefault="00E50F32" w:rsidP="00A478DC">
            <w:pPr>
              <w:ind w:firstLine="300"/>
              <w:jc w:val="both"/>
              <w:rPr>
                <w:color w:val="000000" w:themeColor="text1"/>
                <w:lang w:val="lv-LV"/>
              </w:rPr>
            </w:pPr>
            <w:r w:rsidRPr="00D93466">
              <w:rPr>
                <w:color w:val="000000" w:themeColor="text1"/>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E50F32" w:rsidRPr="00D93466" w:rsidRDefault="009D2CBD" w:rsidP="006D3A1F">
            <w:pPr>
              <w:pStyle w:val="naiskr"/>
              <w:spacing w:before="0" w:beforeAutospacing="0" w:after="0" w:afterAutospacing="0"/>
              <w:jc w:val="both"/>
              <w:rPr>
                <w:color w:val="000000" w:themeColor="text1"/>
              </w:rPr>
            </w:pPr>
            <w:r w:rsidRPr="00D93466">
              <w:rPr>
                <w:color w:val="000000" w:themeColor="text1"/>
              </w:rPr>
              <w:t xml:space="preserve">Likvidētā </w:t>
            </w:r>
            <w:r w:rsidRPr="00D93466">
              <w:t>zinātniskā institūta „</w:t>
            </w:r>
            <w:proofErr w:type="spellStart"/>
            <w:r w:rsidRPr="00D93466">
              <w:t>Sigra</w:t>
            </w:r>
            <w:proofErr w:type="spellEnd"/>
            <w:r w:rsidRPr="00D93466">
              <w:t xml:space="preserve">” funkcijas attiecībā uz dzīvnieku liemeņu </w:t>
            </w:r>
            <w:r w:rsidRPr="00D93466">
              <w:rPr>
                <w:bCs/>
              </w:rPr>
              <w:t>k</w:t>
            </w:r>
            <w:r w:rsidRPr="00D93466">
              <w:t xml:space="preserve">lasifikāciju pārņem zinātniskais institūts „BIOR”, </w:t>
            </w:r>
            <w:r w:rsidR="00030E98" w:rsidRPr="00D93466">
              <w:t xml:space="preserve">daļēji </w:t>
            </w:r>
            <w:r w:rsidRPr="00D93466">
              <w:t xml:space="preserve">pārņemot arī </w:t>
            </w:r>
            <w:r w:rsidR="00B463A0" w:rsidRPr="00D93466">
              <w:t>šo funkciju izpildē iesaistītos darbiniekus</w:t>
            </w:r>
            <w:r w:rsidR="00CC247C">
              <w:t>.</w:t>
            </w:r>
          </w:p>
        </w:tc>
      </w:tr>
      <w:tr w:rsidR="00E50F32" w:rsidRPr="00D93466" w:rsidTr="00A478DC">
        <w:tc>
          <w:tcPr>
            <w:tcW w:w="0" w:type="auto"/>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rPr>
                <w:color w:val="000000" w:themeColor="text1"/>
                <w:lang w:val="lv-LV" w:eastAsia="lv-LV"/>
              </w:rPr>
            </w:pPr>
            <w:r w:rsidRPr="00D93466">
              <w:rPr>
                <w:color w:val="000000" w:themeColor="text1"/>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jc w:val="both"/>
              <w:rPr>
                <w:color w:val="000000" w:themeColor="text1"/>
                <w:lang w:val="lv-LV" w:eastAsia="lv-LV"/>
              </w:rPr>
            </w:pPr>
            <w:r w:rsidRPr="00D9346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E50F32" w:rsidRPr="00D93466" w:rsidRDefault="00E50F32" w:rsidP="00A478DC">
            <w:pPr>
              <w:pStyle w:val="Kjene"/>
              <w:tabs>
                <w:tab w:val="clear" w:pos="4153"/>
                <w:tab w:val="clear" w:pos="8306"/>
              </w:tabs>
              <w:snapToGrid/>
              <w:jc w:val="both"/>
              <w:rPr>
                <w:rFonts w:ascii="Times New Roman" w:hAnsi="Times New Roman"/>
                <w:color w:val="000000" w:themeColor="text1"/>
                <w:sz w:val="24"/>
                <w:szCs w:val="24"/>
              </w:rPr>
            </w:pPr>
            <w:r w:rsidRPr="00D93466">
              <w:rPr>
                <w:rFonts w:ascii="Times New Roman" w:hAnsi="Times New Roman"/>
                <w:color w:val="000000" w:themeColor="text1"/>
                <w:sz w:val="24"/>
                <w:szCs w:val="24"/>
              </w:rPr>
              <w:t>Nav</w:t>
            </w:r>
          </w:p>
        </w:tc>
      </w:tr>
    </w:tbl>
    <w:p w:rsidR="00F83BA3" w:rsidRPr="00D93466" w:rsidRDefault="00F83BA3" w:rsidP="005D73DE">
      <w:pPr>
        <w:pStyle w:val="naisf"/>
        <w:spacing w:before="0" w:beforeAutospacing="0" w:after="0" w:afterAutospacing="0"/>
        <w:rPr>
          <w:color w:val="000000" w:themeColor="text1"/>
          <w:sz w:val="28"/>
          <w:lang w:val="lv-LV"/>
        </w:rPr>
      </w:pPr>
    </w:p>
    <w:p w:rsidR="009E2709" w:rsidRPr="00D93466" w:rsidRDefault="009E2709" w:rsidP="0088195E">
      <w:pPr>
        <w:pStyle w:val="naisf"/>
        <w:spacing w:before="0" w:beforeAutospacing="0" w:after="0" w:afterAutospacing="0"/>
        <w:rPr>
          <w:color w:val="000000" w:themeColor="text1"/>
          <w:sz w:val="28"/>
          <w:lang w:val="lv-LV"/>
        </w:rPr>
      </w:pPr>
      <w:r w:rsidRPr="00D93466">
        <w:rPr>
          <w:color w:val="000000" w:themeColor="text1"/>
          <w:sz w:val="28"/>
          <w:lang w:val="lv-LV"/>
        </w:rPr>
        <w:tab/>
      </w:r>
    </w:p>
    <w:p w:rsidR="00FC2F7E" w:rsidRPr="00D93466" w:rsidRDefault="00FC2F7E" w:rsidP="005D73DE">
      <w:pPr>
        <w:pStyle w:val="Virsraksts1"/>
        <w:keepNext w:val="0"/>
        <w:widowControl w:val="0"/>
        <w:ind w:firstLine="720"/>
        <w:jc w:val="left"/>
        <w:rPr>
          <w:b w:val="0"/>
          <w:color w:val="000000" w:themeColor="text1"/>
          <w:szCs w:val="28"/>
        </w:rPr>
      </w:pPr>
    </w:p>
    <w:p w:rsidR="00FC2F7E" w:rsidRPr="00D93466" w:rsidRDefault="00FC2F7E" w:rsidP="005D73DE">
      <w:pPr>
        <w:pStyle w:val="Virsraksts1"/>
        <w:keepNext w:val="0"/>
        <w:widowControl w:val="0"/>
        <w:ind w:firstLine="720"/>
        <w:jc w:val="left"/>
        <w:rPr>
          <w:b w:val="0"/>
          <w:color w:val="000000" w:themeColor="text1"/>
          <w:szCs w:val="28"/>
        </w:rPr>
      </w:pPr>
    </w:p>
    <w:p w:rsidR="00105AE2" w:rsidRPr="00D93466" w:rsidRDefault="006735CE" w:rsidP="005D73DE">
      <w:pPr>
        <w:pStyle w:val="Virsraksts1"/>
        <w:keepNext w:val="0"/>
        <w:widowControl w:val="0"/>
        <w:ind w:firstLine="720"/>
        <w:jc w:val="left"/>
        <w:rPr>
          <w:b w:val="0"/>
          <w:color w:val="000000" w:themeColor="text1"/>
          <w:szCs w:val="28"/>
        </w:rPr>
      </w:pPr>
      <w:r>
        <w:rPr>
          <w:b w:val="0"/>
          <w:color w:val="000000" w:themeColor="text1"/>
          <w:szCs w:val="28"/>
        </w:rPr>
        <w:t>Zemkopības ministrs</w:t>
      </w:r>
      <w:r w:rsidR="00105AE2" w:rsidRPr="00D93466">
        <w:rPr>
          <w:b w:val="0"/>
          <w:color w:val="000000" w:themeColor="text1"/>
          <w:szCs w:val="28"/>
        </w:rPr>
        <w:tab/>
      </w:r>
      <w:r w:rsidR="00A22819" w:rsidRPr="00D93466">
        <w:rPr>
          <w:b w:val="0"/>
          <w:color w:val="000000" w:themeColor="text1"/>
          <w:szCs w:val="28"/>
        </w:rPr>
        <w:tab/>
      </w:r>
      <w:r w:rsidR="00A22819" w:rsidRPr="00D93466">
        <w:rPr>
          <w:b w:val="0"/>
          <w:color w:val="000000" w:themeColor="text1"/>
          <w:szCs w:val="28"/>
        </w:rPr>
        <w:tab/>
      </w:r>
      <w:r w:rsidR="00A22819" w:rsidRPr="00D93466">
        <w:rPr>
          <w:b w:val="0"/>
          <w:color w:val="000000" w:themeColor="text1"/>
          <w:szCs w:val="28"/>
        </w:rPr>
        <w:tab/>
      </w:r>
      <w:r w:rsidR="00A22819" w:rsidRPr="00D93466">
        <w:rPr>
          <w:b w:val="0"/>
          <w:color w:val="000000" w:themeColor="text1"/>
          <w:szCs w:val="28"/>
        </w:rPr>
        <w:tab/>
      </w:r>
      <w:r w:rsidR="00105AE2" w:rsidRPr="00D93466">
        <w:rPr>
          <w:b w:val="0"/>
          <w:color w:val="000000" w:themeColor="text1"/>
          <w:szCs w:val="28"/>
        </w:rPr>
        <w:tab/>
      </w:r>
      <w:r>
        <w:rPr>
          <w:b w:val="0"/>
          <w:color w:val="000000" w:themeColor="text1"/>
          <w:szCs w:val="28"/>
        </w:rPr>
        <w:t>J.Dūklavs</w:t>
      </w:r>
    </w:p>
    <w:p w:rsidR="002B24A9" w:rsidRPr="00D93466" w:rsidRDefault="002B24A9" w:rsidP="005D73DE">
      <w:pPr>
        <w:rPr>
          <w:color w:val="000000" w:themeColor="text1"/>
          <w:lang w:val="lv-LV"/>
        </w:rPr>
      </w:pPr>
    </w:p>
    <w:p w:rsidR="002B24A9" w:rsidRPr="00D93466" w:rsidRDefault="002B24A9" w:rsidP="005D73DE">
      <w:pPr>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1C09FC" w:rsidRPr="00D93466" w:rsidRDefault="001C09FC" w:rsidP="005D73DE">
      <w:pPr>
        <w:jc w:val="both"/>
        <w:rPr>
          <w:color w:val="000000" w:themeColor="text1"/>
          <w:lang w:val="lv-LV"/>
        </w:rPr>
      </w:pPr>
    </w:p>
    <w:p w:rsidR="0065107F" w:rsidRPr="00D93466" w:rsidRDefault="0065107F" w:rsidP="0065107F">
      <w:pPr>
        <w:rPr>
          <w:color w:val="000000" w:themeColor="text1"/>
          <w:sz w:val="20"/>
          <w:szCs w:val="20"/>
          <w:lang w:val="lv-LV"/>
        </w:rPr>
      </w:pPr>
    </w:p>
    <w:p w:rsidR="00C17F76" w:rsidRDefault="00C17F76" w:rsidP="0065107F">
      <w:pPr>
        <w:rPr>
          <w:color w:val="000000" w:themeColor="text1"/>
          <w:sz w:val="20"/>
          <w:szCs w:val="20"/>
          <w:lang w:val="lv-LV"/>
        </w:rPr>
      </w:pPr>
    </w:p>
    <w:p w:rsidR="00C17F76" w:rsidRDefault="00C17F76" w:rsidP="0065107F">
      <w:pPr>
        <w:rPr>
          <w:color w:val="000000" w:themeColor="text1"/>
          <w:sz w:val="20"/>
          <w:szCs w:val="20"/>
          <w:lang w:val="lv-LV"/>
        </w:rPr>
      </w:pPr>
    </w:p>
    <w:p w:rsidR="00A86791" w:rsidRDefault="00A86791" w:rsidP="0065107F">
      <w:pPr>
        <w:rPr>
          <w:color w:val="000000" w:themeColor="text1"/>
          <w:sz w:val="20"/>
          <w:szCs w:val="20"/>
          <w:lang w:val="lv-LV"/>
        </w:rPr>
      </w:pPr>
    </w:p>
    <w:p w:rsidR="00A86791" w:rsidRDefault="00A86791" w:rsidP="0065107F">
      <w:pPr>
        <w:rPr>
          <w:color w:val="000000" w:themeColor="text1"/>
          <w:sz w:val="20"/>
          <w:szCs w:val="20"/>
          <w:lang w:val="lv-LV"/>
        </w:rPr>
      </w:pPr>
    </w:p>
    <w:p w:rsidR="00C17F76" w:rsidRDefault="00C17F76" w:rsidP="0065107F">
      <w:pPr>
        <w:rPr>
          <w:color w:val="000000" w:themeColor="text1"/>
          <w:sz w:val="20"/>
          <w:szCs w:val="20"/>
          <w:lang w:val="lv-LV"/>
        </w:rPr>
      </w:pPr>
    </w:p>
    <w:p w:rsidR="00C17F76" w:rsidRDefault="00C17F76" w:rsidP="0065107F">
      <w:pPr>
        <w:rPr>
          <w:color w:val="000000" w:themeColor="text1"/>
          <w:sz w:val="20"/>
          <w:szCs w:val="20"/>
          <w:lang w:val="lv-LV"/>
        </w:rPr>
      </w:pPr>
    </w:p>
    <w:p w:rsidR="00C17F76" w:rsidRDefault="00C17F76" w:rsidP="0065107F">
      <w:pPr>
        <w:rPr>
          <w:color w:val="000000" w:themeColor="text1"/>
          <w:sz w:val="20"/>
          <w:szCs w:val="20"/>
          <w:lang w:val="lv-LV"/>
        </w:rPr>
      </w:pPr>
    </w:p>
    <w:p w:rsidR="009A1C80" w:rsidRDefault="009A1C80" w:rsidP="0065107F">
      <w:pPr>
        <w:rPr>
          <w:color w:val="000000" w:themeColor="text1"/>
          <w:sz w:val="20"/>
          <w:szCs w:val="20"/>
          <w:lang w:val="lv-LV"/>
        </w:rPr>
      </w:pPr>
      <w:r>
        <w:rPr>
          <w:color w:val="000000" w:themeColor="text1"/>
          <w:sz w:val="20"/>
          <w:szCs w:val="20"/>
          <w:lang w:val="lv-LV"/>
        </w:rPr>
        <w:t>2014.03.05. 12:42</w:t>
      </w:r>
    </w:p>
    <w:bookmarkStart w:id="2" w:name="_GoBack"/>
    <w:bookmarkEnd w:id="2"/>
    <w:p w:rsidR="00B961D3" w:rsidRDefault="00B961D3" w:rsidP="0065107F">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924</w:t>
      </w:r>
      <w:r>
        <w:rPr>
          <w:sz w:val="20"/>
          <w:szCs w:val="20"/>
        </w:rPr>
        <w:fldChar w:fldCharType="end"/>
      </w:r>
    </w:p>
    <w:p w:rsidR="0065107F" w:rsidRPr="00D93466" w:rsidRDefault="00B463A0" w:rsidP="0065107F">
      <w:pPr>
        <w:rPr>
          <w:color w:val="000000" w:themeColor="text1"/>
          <w:sz w:val="20"/>
          <w:szCs w:val="20"/>
          <w:lang w:val="lv-LV"/>
        </w:rPr>
      </w:pPr>
      <w:r w:rsidRPr="00D93466">
        <w:rPr>
          <w:color w:val="000000" w:themeColor="text1"/>
          <w:sz w:val="20"/>
          <w:szCs w:val="20"/>
          <w:lang w:val="lv-LV"/>
        </w:rPr>
        <w:t>D.Krastiņa</w:t>
      </w:r>
    </w:p>
    <w:p w:rsidR="0065107F" w:rsidRPr="00D93466" w:rsidRDefault="0065107F" w:rsidP="0065107F">
      <w:pPr>
        <w:rPr>
          <w:color w:val="000000" w:themeColor="text1"/>
          <w:sz w:val="20"/>
          <w:szCs w:val="20"/>
          <w:lang w:val="lv-LV"/>
        </w:rPr>
      </w:pPr>
      <w:r w:rsidRPr="00D93466">
        <w:rPr>
          <w:color w:val="000000" w:themeColor="text1"/>
          <w:sz w:val="20"/>
          <w:szCs w:val="20"/>
          <w:lang w:val="lv-LV"/>
        </w:rPr>
        <w:t>67027</w:t>
      </w:r>
      <w:r w:rsidR="00B463A0" w:rsidRPr="00D93466">
        <w:rPr>
          <w:color w:val="000000" w:themeColor="text1"/>
          <w:sz w:val="20"/>
          <w:szCs w:val="20"/>
          <w:lang w:val="lv-LV"/>
        </w:rPr>
        <w:t>3</w:t>
      </w:r>
      <w:r w:rsidRPr="00D93466">
        <w:rPr>
          <w:color w:val="000000" w:themeColor="text1"/>
          <w:sz w:val="20"/>
          <w:szCs w:val="20"/>
          <w:lang w:val="lv-LV"/>
        </w:rPr>
        <w:t>0</w:t>
      </w:r>
      <w:r w:rsidR="00B463A0" w:rsidRPr="00D93466">
        <w:rPr>
          <w:color w:val="000000" w:themeColor="text1"/>
          <w:sz w:val="20"/>
          <w:szCs w:val="20"/>
          <w:lang w:val="lv-LV"/>
        </w:rPr>
        <w:t>5</w:t>
      </w:r>
      <w:r w:rsidRPr="00D93466">
        <w:rPr>
          <w:color w:val="000000" w:themeColor="text1"/>
          <w:sz w:val="20"/>
          <w:szCs w:val="20"/>
          <w:lang w:val="lv-LV"/>
        </w:rPr>
        <w:t xml:space="preserve">, </w:t>
      </w:r>
      <w:r w:rsidR="00B463A0" w:rsidRPr="00D93466">
        <w:rPr>
          <w:color w:val="000000" w:themeColor="text1"/>
          <w:sz w:val="20"/>
          <w:szCs w:val="20"/>
          <w:lang w:val="lv-LV"/>
        </w:rPr>
        <w:t>Daina.Krastina</w:t>
      </w:r>
      <w:r w:rsidRPr="00D93466">
        <w:rPr>
          <w:color w:val="000000" w:themeColor="text1"/>
          <w:sz w:val="20"/>
          <w:szCs w:val="20"/>
          <w:lang w:val="lv-LV"/>
        </w:rPr>
        <w:t>@zm.gov.lv</w:t>
      </w:r>
    </w:p>
    <w:p w:rsidR="001C09FC" w:rsidRPr="00D93466" w:rsidRDefault="001C09FC" w:rsidP="005D73DE">
      <w:pPr>
        <w:jc w:val="both"/>
        <w:rPr>
          <w:color w:val="000000" w:themeColor="text1"/>
          <w:lang w:val="lv-LV"/>
        </w:rPr>
      </w:pPr>
    </w:p>
    <w:sectPr w:rsidR="001C09FC" w:rsidRPr="00D93466"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52" w:rsidRDefault="00210B52">
      <w:r>
        <w:separator/>
      </w:r>
    </w:p>
  </w:endnote>
  <w:endnote w:type="continuationSeparator" w:id="0">
    <w:p w:rsidR="00210B52" w:rsidRDefault="00210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DF2CAB" w:rsidRDefault="00DF2CAB" w:rsidP="00DF2CAB">
    <w:pPr>
      <w:jc w:val="both"/>
      <w:rPr>
        <w:color w:val="000000"/>
        <w:sz w:val="20"/>
        <w:szCs w:val="20"/>
        <w:lang w:val="lv-LV"/>
      </w:rPr>
    </w:pPr>
    <w:r>
      <w:rPr>
        <w:sz w:val="20"/>
        <w:szCs w:val="20"/>
      </w:rPr>
      <w:t>ZMAnot_</w:t>
    </w:r>
    <w:r w:rsidR="00AD7955">
      <w:rPr>
        <w:sz w:val="20"/>
        <w:szCs w:val="20"/>
      </w:rPr>
      <w:t>0403</w:t>
    </w:r>
    <w:r w:rsidR="00AD7955" w:rsidRPr="00CC247C">
      <w:rPr>
        <w:sz w:val="20"/>
        <w:szCs w:val="20"/>
      </w:rPr>
      <w:t>14</w:t>
    </w:r>
    <w:r>
      <w:rPr>
        <w:sz w:val="20"/>
        <w:szCs w:val="20"/>
      </w:rPr>
      <w:t xml:space="preserve">_liemeni; </w:t>
    </w:r>
    <w:r>
      <w:rPr>
        <w:sz w:val="20"/>
        <w:szCs w:val="20"/>
        <w:lang w:val="lv-LV"/>
      </w:rPr>
      <w:t>Grozījumi</w:t>
    </w:r>
    <w:r w:rsidRPr="00DF2CAB">
      <w:rPr>
        <w:sz w:val="20"/>
        <w:szCs w:val="20"/>
        <w:lang w:val="lv-LV"/>
      </w:rPr>
      <w:t xml:space="preserve"> Ministru kabineta 2009.gada 13.oktobra noteikumos Nr.1171</w:t>
    </w:r>
    <w:r w:rsidRPr="00DF2CAB">
      <w:rPr>
        <w:b/>
        <w:sz w:val="20"/>
        <w:szCs w:val="20"/>
        <w:lang w:val="lv-LV"/>
      </w:rPr>
      <w:t xml:space="preserve"> </w:t>
    </w:r>
    <w:r w:rsidRPr="00DF2CAB">
      <w:rPr>
        <w:sz w:val="20"/>
        <w:szCs w:val="20"/>
        <w:lang w:val="lv-LV"/>
      </w:rPr>
      <w:t>„Noteikumi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5E" w:rsidRPr="00CC247C" w:rsidRDefault="00DF2CAB" w:rsidP="00DF2CAB">
    <w:pPr>
      <w:jc w:val="both"/>
      <w:rPr>
        <w:color w:val="000000"/>
        <w:sz w:val="20"/>
        <w:szCs w:val="20"/>
        <w:lang w:val="lv-LV"/>
      </w:rPr>
    </w:pPr>
    <w:r w:rsidRPr="00CC247C">
      <w:rPr>
        <w:sz w:val="20"/>
        <w:szCs w:val="20"/>
      </w:rPr>
      <w:t>ZMAnot_</w:t>
    </w:r>
    <w:r w:rsidR="00AD7955">
      <w:rPr>
        <w:sz w:val="20"/>
        <w:szCs w:val="20"/>
      </w:rPr>
      <w:t>0403</w:t>
    </w:r>
    <w:r w:rsidRPr="00CC247C">
      <w:rPr>
        <w:sz w:val="20"/>
        <w:szCs w:val="20"/>
      </w:rPr>
      <w:t xml:space="preserve">14_liemeni; </w:t>
    </w:r>
    <w:r w:rsidRPr="00CC247C">
      <w:rPr>
        <w:sz w:val="20"/>
        <w:szCs w:val="20"/>
        <w:lang w:val="lv-LV"/>
      </w:rPr>
      <w:t>Grozījumi Ministru kabineta 2009.gada 13.oktobra noteikumos Nr.1171 „Noteikumi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52" w:rsidRDefault="00210B52">
      <w:r>
        <w:separator/>
      </w:r>
    </w:p>
  </w:footnote>
  <w:footnote w:type="continuationSeparator" w:id="0">
    <w:p w:rsidR="00210B52" w:rsidRDefault="00210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480EF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480EF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B961D3">
      <w:rPr>
        <w:rStyle w:val="Lappusesnumurs"/>
        <w:noProof/>
      </w:rPr>
      <w:t>3</w:t>
    </w:r>
    <w:r>
      <w:rPr>
        <w:rStyle w:val="Lappusesnumurs"/>
      </w:rPr>
      <w:fldChar w:fldCharType="end"/>
    </w:r>
  </w:p>
  <w:p w:rsidR="00D27E52" w:rsidRDefault="00D27E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319"/>
    <w:multiLevelType w:val="hybridMultilevel"/>
    <w:tmpl w:val="81D8A558"/>
    <w:lvl w:ilvl="0" w:tplc="CA524A36">
      <w:start w:val="1"/>
      <w:numFmt w:val="upperRoman"/>
      <w:lvlText w:val="%1."/>
      <w:lvlJc w:val="left"/>
      <w:pPr>
        <w:ind w:left="720" w:hanging="720"/>
      </w:pPr>
      <w:rPr>
        <w:rFonts w:hint="default"/>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54C49"/>
    <w:multiLevelType w:val="hybridMultilevel"/>
    <w:tmpl w:val="B15EF0BE"/>
    <w:lvl w:ilvl="0" w:tplc="1278D9D0">
      <w:start w:val="1"/>
      <w:numFmt w:val="upperRoman"/>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3918F6"/>
    <w:multiLevelType w:val="hybridMultilevel"/>
    <w:tmpl w:val="16C49A62"/>
    <w:lvl w:ilvl="0" w:tplc="1B305C5E">
      <w:start w:val="1"/>
      <w:numFmt w:val="lowerRoman"/>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2E1A5383"/>
    <w:multiLevelType w:val="hybridMultilevel"/>
    <w:tmpl w:val="93603CB4"/>
    <w:lvl w:ilvl="0" w:tplc="BC14D96C">
      <w:start w:val="1"/>
      <w:numFmt w:val="upperRoman"/>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A36969"/>
    <w:multiLevelType w:val="hybridMultilevel"/>
    <w:tmpl w:val="3CDE882A"/>
    <w:lvl w:ilvl="0" w:tplc="04260013">
      <w:start w:val="1"/>
      <w:numFmt w:val="upperRoman"/>
      <w:lvlText w:val="%1."/>
      <w:lvlJc w:val="right"/>
      <w:pPr>
        <w:ind w:left="720" w:hanging="720"/>
      </w:pPr>
      <w:rPr>
        <w:rFonts w:hint="default"/>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BB06D91"/>
    <w:multiLevelType w:val="hybridMultilevel"/>
    <w:tmpl w:val="716CCBEE"/>
    <w:lvl w:ilvl="0" w:tplc="60F03BE6">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732ED9"/>
    <w:multiLevelType w:val="hybridMultilevel"/>
    <w:tmpl w:val="71A2C26C"/>
    <w:lvl w:ilvl="0" w:tplc="7FF0B474">
      <w:start w:val="1"/>
      <w:numFmt w:val="upperRoman"/>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12"/>
  </w:num>
  <w:num w:numId="5">
    <w:abstractNumId w:val="9"/>
  </w:num>
  <w:num w:numId="6">
    <w:abstractNumId w:val="6"/>
  </w:num>
  <w:num w:numId="7">
    <w:abstractNumId w:val="11"/>
  </w:num>
  <w:num w:numId="8">
    <w:abstractNumId w:val="10"/>
  </w:num>
  <w:num w:numId="9">
    <w:abstractNumId w:val="13"/>
  </w:num>
  <w:num w:numId="10">
    <w:abstractNumId w:val="4"/>
  </w:num>
  <w:num w:numId="11">
    <w:abstractNumId w:val="2"/>
  </w:num>
  <w:num w:numId="12">
    <w:abstractNumId w:val="5"/>
  </w:num>
  <w:num w:numId="13">
    <w:abstractNumId w:val="16"/>
  </w:num>
  <w:num w:numId="14">
    <w:abstractNumId w:val="3"/>
  </w:num>
  <w:num w:numId="15">
    <w:abstractNumId w:val="0"/>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034F8D"/>
    <w:rsid w:val="00001CFA"/>
    <w:rsid w:val="000030F6"/>
    <w:rsid w:val="00003470"/>
    <w:rsid w:val="00004B99"/>
    <w:rsid w:val="00011500"/>
    <w:rsid w:val="0001274B"/>
    <w:rsid w:val="00015D5D"/>
    <w:rsid w:val="000168B7"/>
    <w:rsid w:val="0002330F"/>
    <w:rsid w:val="00023845"/>
    <w:rsid w:val="0002456C"/>
    <w:rsid w:val="000265EE"/>
    <w:rsid w:val="00026D31"/>
    <w:rsid w:val="00030E98"/>
    <w:rsid w:val="0003130D"/>
    <w:rsid w:val="00031FF3"/>
    <w:rsid w:val="000323C9"/>
    <w:rsid w:val="00032DD1"/>
    <w:rsid w:val="00034F8D"/>
    <w:rsid w:val="00035AEC"/>
    <w:rsid w:val="00037C03"/>
    <w:rsid w:val="00040105"/>
    <w:rsid w:val="00042DEB"/>
    <w:rsid w:val="00043915"/>
    <w:rsid w:val="000463AC"/>
    <w:rsid w:val="000504DB"/>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87BC6"/>
    <w:rsid w:val="0009058F"/>
    <w:rsid w:val="0009142B"/>
    <w:rsid w:val="000919A8"/>
    <w:rsid w:val="0009365E"/>
    <w:rsid w:val="00093E3F"/>
    <w:rsid w:val="00095D8C"/>
    <w:rsid w:val="00096D79"/>
    <w:rsid w:val="000A19E2"/>
    <w:rsid w:val="000A2AA7"/>
    <w:rsid w:val="000A2CED"/>
    <w:rsid w:val="000A5652"/>
    <w:rsid w:val="000A633B"/>
    <w:rsid w:val="000A67CD"/>
    <w:rsid w:val="000B076F"/>
    <w:rsid w:val="000B32EF"/>
    <w:rsid w:val="000B3D3E"/>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322"/>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1D6"/>
    <w:rsid w:val="001466B6"/>
    <w:rsid w:val="00150011"/>
    <w:rsid w:val="0015254E"/>
    <w:rsid w:val="00153C68"/>
    <w:rsid w:val="0015551E"/>
    <w:rsid w:val="00155B89"/>
    <w:rsid w:val="00155ECA"/>
    <w:rsid w:val="00160145"/>
    <w:rsid w:val="001608F4"/>
    <w:rsid w:val="0016266C"/>
    <w:rsid w:val="00162E14"/>
    <w:rsid w:val="00164B42"/>
    <w:rsid w:val="00164C6B"/>
    <w:rsid w:val="001663CF"/>
    <w:rsid w:val="001665DD"/>
    <w:rsid w:val="00171315"/>
    <w:rsid w:val="00171BA0"/>
    <w:rsid w:val="001739AD"/>
    <w:rsid w:val="001751F5"/>
    <w:rsid w:val="00176E50"/>
    <w:rsid w:val="00182C1E"/>
    <w:rsid w:val="00182DFF"/>
    <w:rsid w:val="001919A5"/>
    <w:rsid w:val="00193ECF"/>
    <w:rsid w:val="001942B7"/>
    <w:rsid w:val="0019798B"/>
    <w:rsid w:val="001A10EA"/>
    <w:rsid w:val="001A3B92"/>
    <w:rsid w:val="001A3FFF"/>
    <w:rsid w:val="001A4BAD"/>
    <w:rsid w:val="001A6148"/>
    <w:rsid w:val="001A7C43"/>
    <w:rsid w:val="001B2F73"/>
    <w:rsid w:val="001B3B95"/>
    <w:rsid w:val="001B4882"/>
    <w:rsid w:val="001C09FC"/>
    <w:rsid w:val="001C2A17"/>
    <w:rsid w:val="001C4904"/>
    <w:rsid w:val="001C52E2"/>
    <w:rsid w:val="001C5F46"/>
    <w:rsid w:val="001C7CA2"/>
    <w:rsid w:val="001D06A3"/>
    <w:rsid w:val="001D180D"/>
    <w:rsid w:val="001D5DAF"/>
    <w:rsid w:val="001D77D5"/>
    <w:rsid w:val="001E14E1"/>
    <w:rsid w:val="001E264B"/>
    <w:rsid w:val="001E40A1"/>
    <w:rsid w:val="001E7670"/>
    <w:rsid w:val="001F1642"/>
    <w:rsid w:val="001F198F"/>
    <w:rsid w:val="001F373B"/>
    <w:rsid w:val="001F5256"/>
    <w:rsid w:val="001F5C16"/>
    <w:rsid w:val="002027AF"/>
    <w:rsid w:val="00203134"/>
    <w:rsid w:val="002043DB"/>
    <w:rsid w:val="00205C1E"/>
    <w:rsid w:val="0020639A"/>
    <w:rsid w:val="00210B52"/>
    <w:rsid w:val="00210E44"/>
    <w:rsid w:val="0021306B"/>
    <w:rsid w:val="0021364F"/>
    <w:rsid w:val="00214E9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52D09"/>
    <w:rsid w:val="00256DD3"/>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90B2E"/>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522A"/>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6FE8"/>
    <w:rsid w:val="003078B5"/>
    <w:rsid w:val="003078BF"/>
    <w:rsid w:val="00307C6C"/>
    <w:rsid w:val="00312474"/>
    <w:rsid w:val="003124EE"/>
    <w:rsid w:val="00315C3F"/>
    <w:rsid w:val="0031720E"/>
    <w:rsid w:val="0032141D"/>
    <w:rsid w:val="00325D18"/>
    <w:rsid w:val="00326D8C"/>
    <w:rsid w:val="003309B4"/>
    <w:rsid w:val="00332007"/>
    <w:rsid w:val="0033350D"/>
    <w:rsid w:val="00333737"/>
    <w:rsid w:val="003353AA"/>
    <w:rsid w:val="003379C7"/>
    <w:rsid w:val="00340EE3"/>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1F20"/>
    <w:rsid w:val="00394F91"/>
    <w:rsid w:val="00396612"/>
    <w:rsid w:val="00396735"/>
    <w:rsid w:val="003A4522"/>
    <w:rsid w:val="003A58B9"/>
    <w:rsid w:val="003A5A85"/>
    <w:rsid w:val="003B28C8"/>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1930"/>
    <w:rsid w:val="003E1A05"/>
    <w:rsid w:val="003E36E3"/>
    <w:rsid w:val="003E64C9"/>
    <w:rsid w:val="003E745F"/>
    <w:rsid w:val="003F02D7"/>
    <w:rsid w:val="003F1B23"/>
    <w:rsid w:val="003F29A1"/>
    <w:rsid w:val="003F2F3C"/>
    <w:rsid w:val="003F3FBE"/>
    <w:rsid w:val="003F4446"/>
    <w:rsid w:val="003F4514"/>
    <w:rsid w:val="0040262E"/>
    <w:rsid w:val="00402AE9"/>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3182"/>
    <w:rsid w:val="0044545F"/>
    <w:rsid w:val="00447668"/>
    <w:rsid w:val="004477F4"/>
    <w:rsid w:val="00453031"/>
    <w:rsid w:val="00454E19"/>
    <w:rsid w:val="00457FF3"/>
    <w:rsid w:val="00460952"/>
    <w:rsid w:val="0046268C"/>
    <w:rsid w:val="00463D9D"/>
    <w:rsid w:val="0046446B"/>
    <w:rsid w:val="004645B8"/>
    <w:rsid w:val="00467FF3"/>
    <w:rsid w:val="004706C4"/>
    <w:rsid w:val="004727CF"/>
    <w:rsid w:val="00473AB2"/>
    <w:rsid w:val="00473DBB"/>
    <w:rsid w:val="00474A28"/>
    <w:rsid w:val="00480136"/>
    <w:rsid w:val="0048030D"/>
    <w:rsid w:val="00480D9E"/>
    <w:rsid w:val="00480EF6"/>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34EF"/>
    <w:rsid w:val="004B6F89"/>
    <w:rsid w:val="004B7338"/>
    <w:rsid w:val="004C07F8"/>
    <w:rsid w:val="004C1820"/>
    <w:rsid w:val="004C277C"/>
    <w:rsid w:val="004C4BAD"/>
    <w:rsid w:val="004C5C71"/>
    <w:rsid w:val="004C5CB3"/>
    <w:rsid w:val="004D0202"/>
    <w:rsid w:val="004D120C"/>
    <w:rsid w:val="004D283F"/>
    <w:rsid w:val="004D29AD"/>
    <w:rsid w:val="004D2FD5"/>
    <w:rsid w:val="004D414B"/>
    <w:rsid w:val="004E0F9E"/>
    <w:rsid w:val="004E202E"/>
    <w:rsid w:val="004E3BD5"/>
    <w:rsid w:val="004E78C9"/>
    <w:rsid w:val="004F158A"/>
    <w:rsid w:val="004F1BDB"/>
    <w:rsid w:val="004F2EFC"/>
    <w:rsid w:val="004F407F"/>
    <w:rsid w:val="004F666A"/>
    <w:rsid w:val="00501BBD"/>
    <w:rsid w:val="005038E6"/>
    <w:rsid w:val="005048A0"/>
    <w:rsid w:val="00504D62"/>
    <w:rsid w:val="00505064"/>
    <w:rsid w:val="00506458"/>
    <w:rsid w:val="005077CF"/>
    <w:rsid w:val="00507A3B"/>
    <w:rsid w:val="00507E40"/>
    <w:rsid w:val="00510495"/>
    <w:rsid w:val="0051051E"/>
    <w:rsid w:val="00512A7E"/>
    <w:rsid w:val="005140EF"/>
    <w:rsid w:val="0051661B"/>
    <w:rsid w:val="00517314"/>
    <w:rsid w:val="005206CF"/>
    <w:rsid w:val="00521C50"/>
    <w:rsid w:val="00526F5F"/>
    <w:rsid w:val="005322E0"/>
    <w:rsid w:val="0053651B"/>
    <w:rsid w:val="00537316"/>
    <w:rsid w:val="005402D9"/>
    <w:rsid w:val="005403CF"/>
    <w:rsid w:val="00541ED4"/>
    <w:rsid w:val="005422F4"/>
    <w:rsid w:val="005433EB"/>
    <w:rsid w:val="005434A2"/>
    <w:rsid w:val="005448AB"/>
    <w:rsid w:val="00546730"/>
    <w:rsid w:val="00550CD0"/>
    <w:rsid w:val="00551DD5"/>
    <w:rsid w:val="00552C28"/>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2A69"/>
    <w:rsid w:val="005D619A"/>
    <w:rsid w:val="005D73DE"/>
    <w:rsid w:val="005E14A7"/>
    <w:rsid w:val="005E2038"/>
    <w:rsid w:val="005E3C44"/>
    <w:rsid w:val="005E5056"/>
    <w:rsid w:val="005E61B9"/>
    <w:rsid w:val="005F1986"/>
    <w:rsid w:val="005F548A"/>
    <w:rsid w:val="005F734F"/>
    <w:rsid w:val="00602628"/>
    <w:rsid w:val="00604DA3"/>
    <w:rsid w:val="00613168"/>
    <w:rsid w:val="006169A4"/>
    <w:rsid w:val="00616FA0"/>
    <w:rsid w:val="00620830"/>
    <w:rsid w:val="006208EC"/>
    <w:rsid w:val="00620FF4"/>
    <w:rsid w:val="0062238B"/>
    <w:rsid w:val="00624CFE"/>
    <w:rsid w:val="00624E81"/>
    <w:rsid w:val="006310BB"/>
    <w:rsid w:val="00631891"/>
    <w:rsid w:val="0063334A"/>
    <w:rsid w:val="00633C24"/>
    <w:rsid w:val="00634084"/>
    <w:rsid w:val="006342C4"/>
    <w:rsid w:val="006342D4"/>
    <w:rsid w:val="00634701"/>
    <w:rsid w:val="00636AB4"/>
    <w:rsid w:val="00637747"/>
    <w:rsid w:val="006409CE"/>
    <w:rsid w:val="00645761"/>
    <w:rsid w:val="0065107F"/>
    <w:rsid w:val="00651925"/>
    <w:rsid w:val="00652A13"/>
    <w:rsid w:val="00653C1C"/>
    <w:rsid w:val="00655ACE"/>
    <w:rsid w:val="00655EBB"/>
    <w:rsid w:val="00656C23"/>
    <w:rsid w:val="00657962"/>
    <w:rsid w:val="00660CB0"/>
    <w:rsid w:val="0066452D"/>
    <w:rsid w:val="006662B5"/>
    <w:rsid w:val="0067321A"/>
    <w:rsid w:val="006735CE"/>
    <w:rsid w:val="00673642"/>
    <w:rsid w:val="00674D5D"/>
    <w:rsid w:val="00675331"/>
    <w:rsid w:val="00677712"/>
    <w:rsid w:val="00680B20"/>
    <w:rsid w:val="00680E5A"/>
    <w:rsid w:val="0068171E"/>
    <w:rsid w:val="00681AA8"/>
    <w:rsid w:val="00681BD1"/>
    <w:rsid w:val="00683A17"/>
    <w:rsid w:val="00684DF8"/>
    <w:rsid w:val="0069043D"/>
    <w:rsid w:val="00691CB0"/>
    <w:rsid w:val="00695A98"/>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C90"/>
    <w:rsid w:val="006B7EA9"/>
    <w:rsid w:val="006C0A3A"/>
    <w:rsid w:val="006C172A"/>
    <w:rsid w:val="006C21FF"/>
    <w:rsid w:val="006C5EC6"/>
    <w:rsid w:val="006C6551"/>
    <w:rsid w:val="006D3A1F"/>
    <w:rsid w:val="006D42DC"/>
    <w:rsid w:val="006D4AD9"/>
    <w:rsid w:val="006D5174"/>
    <w:rsid w:val="006E0585"/>
    <w:rsid w:val="006E3915"/>
    <w:rsid w:val="006E4A20"/>
    <w:rsid w:val="006E63AB"/>
    <w:rsid w:val="006E6F98"/>
    <w:rsid w:val="006F3D12"/>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C3C"/>
    <w:rsid w:val="007231F3"/>
    <w:rsid w:val="00723EB9"/>
    <w:rsid w:val="007247AE"/>
    <w:rsid w:val="00724D06"/>
    <w:rsid w:val="00725D38"/>
    <w:rsid w:val="007264EF"/>
    <w:rsid w:val="00726C07"/>
    <w:rsid w:val="00727092"/>
    <w:rsid w:val="007270D1"/>
    <w:rsid w:val="00733FEB"/>
    <w:rsid w:val="007346C2"/>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28AB"/>
    <w:rsid w:val="00766002"/>
    <w:rsid w:val="007671F2"/>
    <w:rsid w:val="0076750E"/>
    <w:rsid w:val="007677EC"/>
    <w:rsid w:val="00773A0C"/>
    <w:rsid w:val="00774566"/>
    <w:rsid w:val="00775801"/>
    <w:rsid w:val="00775F62"/>
    <w:rsid w:val="007762A2"/>
    <w:rsid w:val="0078058F"/>
    <w:rsid w:val="00780F76"/>
    <w:rsid w:val="0078183B"/>
    <w:rsid w:val="00782D80"/>
    <w:rsid w:val="00783FA1"/>
    <w:rsid w:val="00784E48"/>
    <w:rsid w:val="00785231"/>
    <w:rsid w:val="007A0796"/>
    <w:rsid w:val="007A1125"/>
    <w:rsid w:val="007A2810"/>
    <w:rsid w:val="007A3791"/>
    <w:rsid w:val="007A3B9F"/>
    <w:rsid w:val="007A514C"/>
    <w:rsid w:val="007A5B59"/>
    <w:rsid w:val="007A6FA0"/>
    <w:rsid w:val="007B01BD"/>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A1D"/>
    <w:rsid w:val="007F7B49"/>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0E9"/>
    <w:rsid w:val="008231FE"/>
    <w:rsid w:val="00825072"/>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183"/>
    <w:rsid w:val="0088733F"/>
    <w:rsid w:val="00887C72"/>
    <w:rsid w:val="00892DFD"/>
    <w:rsid w:val="00892F79"/>
    <w:rsid w:val="00895210"/>
    <w:rsid w:val="0089539C"/>
    <w:rsid w:val="008A35A3"/>
    <w:rsid w:val="008A4B6E"/>
    <w:rsid w:val="008A54A5"/>
    <w:rsid w:val="008B0BB0"/>
    <w:rsid w:val="008B0F1E"/>
    <w:rsid w:val="008B248C"/>
    <w:rsid w:val="008C33A0"/>
    <w:rsid w:val="008C6F66"/>
    <w:rsid w:val="008D05D4"/>
    <w:rsid w:val="008D0AE3"/>
    <w:rsid w:val="008D28CB"/>
    <w:rsid w:val="008D336F"/>
    <w:rsid w:val="008D3438"/>
    <w:rsid w:val="008D5DC0"/>
    <w:rsid w:val="008D7832"/>
    <w:rsid w:val="008D7C17"/>
    <w:rsid w:val="008D7CB8"/>
    <w:rsid w:val="008E0C51"/>
    <w:rsid w:val="008E1329"/>
    <w:rsid w:val="008E28DC"/>
    <w:rsid w:val="008E384F"/>
    <w:rsid w:val="008E4991"/>
    <w:rsid w:val="008E4D21"/>
    <w:rsid w:val="008E71AD"/>
    <w:rsid w:val="008E76CE"/>
    <w:rsid w:val="008E7C94"/>
    <w:rsid w:val="008F0DDD"/>
    <w:rsid w:val="008F239E"/>
    <w:rsid w:val="008F2C3C"/>
    <w:rsid w:val="008F3459"/>
    <w:rsid w:val="008F3942"/>
    <w:rsid w:val="008F6A6A"/>
    <w:rsid w:val="008F7098"/>
    <w:rsid w:val="009003B8"/>
    <w:rsid w:val="00904639"/>
    <w:rsid w:val="0091356D"/>
    <w:rsid w:val="0091545F"/>
    <w:rsid w:val="00915777"/>
    <w:rsid w:val="00922501"/>
    <w:rsid w:val="00922CC9"/>
    <w:rsid w:val="0092335B"/>
    <w:rsid w:val="009278E8"/>
    <w:rsid w:val="00930777"/>
    <w:rsid w:val="00933742"/>
    <w:rsid w:val="009340A8"/>
    <w:rsid w:val="009402E4"/>
    <w:rsid w:val="00942028"/>
    <w:rsid w:val="00944526"/>
    <w:rsid w:val="009456AA"/>
    <w:rsid w:val="0094583B"/>
    <w:rsid w:val="00945AD3"/>
    <w:rsid w:val="0095029E"/>
    <w:rsid w:val="00950658"/>
    <w:rsid w:val="00950D01"/>
    <w:rsid w:val="00951A15"/>
    <w:rsid w:val="00952E78"/>
    <w:rsid w:val="00953D50"/>
    <w:rsid w:val="0096030D"/>
    <w:rsid w:val="00962D0E"/>
    <w:rsid w:val="00962D51"/>
    <w:rsid w:val="00965105"/>
    <w:rsid w:val="00965F99"/>
    <w:rsid w:val="00966742"/>
    <w:rsid w:val="00967B46"/>
    <w:rsid w:val="00970789"/>
    <w:rsid w:val="0097195C"/>
    <w:rsid w:val="009722CB"/>
    <w:rsid w:val="00973C4D"/>
    <w:rsid w:val="00975D4C"/>
    <w:rsid w:val="009806E6"/>
    <w:rsid w:val="009816F5"/>
    <w:rsid w:val="00981E16"/>
    <w:rsid w:val="0098399E"/>
    <w:rsid w:val="0099066A"/>
    <w:rsid w:val="0099390A"/>
    <w:rsid w:val="00996A3D"/>
    <w:rsid w:val="009A1C80"/>
    <w:rsid w:val="009A24CA"/>
    <w:rsid w:val="009A49E1"/>
    <w:rsid w:val="009A678E"/>
    <w:rsid w:val="009A7AFC"/>
    <w:rsid w:val="009B3D43"/>
    <w:rsid w:val="009B4F7D"/>
    <w:rsid w:val="009B7FF9"/>
    <w:rsid w:val="009C2A21"/>
    <w:rsid w:val="009C6B02"/>
    <w:rsid w:val="009C7611"/>
    <w:rsid w:val="009C7745"/>
    <w:rsid w:val="009C78C7"/>
    <w:rsid w:val="009D0D27"/>
    <w:rsid w:val="009D2A06"/>
    <w:rsid w:val="009D2CBD"/>
    <w:rsid w:val="009D379B"/>
    <w:rsid w:val="009D3A54"/>
    <w:rsid w:val="009D6967"/>
    <w:rsid w:val="009E04D3"/>
    <w:rsid w:val="009E1934"/>
    <w:rsid w:val="009E2709"/>
    <w:rsid w:val="009E4EEB"/>
    <w:rsid w:val="009E76E9"/>
    <w:rsid w:val="009F3D1F"/>
    <w:rsid w:val="009F4C7E"/>
    <w:rsid w:val="009F5B68"/>
    <w:rsid w:val="00A01405"/>
    <w:rsid w:val="00A02244"/>
    <w:rsid w:val="00A03DFF"/>
    <w:rsid w:val="00A069DD"/>
    <w:rsid w:val="00A06C99"/>
    <w:rsid w:val="00A07DDC"/>
    <w:rsid w:val="00A113CA"/>
    <w:rsid w:val="00A122C9"/>
    <w:rsid w:val="00A12DE1"/>
    <w:rsid w:val="00A14303"/>
    <w:rsid w:val="00A162FE"/>
    <w:rsid w:val="00A1776A"/>
    <w:rsid w:val="00A17941"/>
    <w:rsid w:val="00A17DD9"/>
    <w:rsid w:val="00A2013F"/>
    <w:rsid w:val="00A203E6"/>
    <w:rsid w:val="00A220DD"/>
    <w:rsid w:val="00A22819"/>
    <w:rsid w:val="00A262F2"/>
    <w:rsid w:val="00A26A95"/>
    <w:rsid w:val="00A26D42"/>
    <w:rsid w:val="00A32A29"/>
    <w:rsid w:val="00A3317E"/>
    <w:rsid w:val="00A37939"/>
    <w:rsid w:val="00A40717"/>
    <w:rsid w:val="00A44457"/>
    <w:rsid w:val="00A44EA9"/>
    <w:rsid w:val="00A46E81"/>
    <w:rsid w:val="00A52A1B"/>
    <w:rsid w:val="00A604F2"/>
    <w:rsid w:val="00A618F6"/>
    <w:rsid w:val="00A6353D"/>
    <w:rsid w:val="00A72476"/>
    <w:rsid w:val="00A7445D"/>
    <w:rsid w:val="00A74DE3"/>
    <w:rsid w:val="00A7681E"/>
    <w:rsid w:val="00A8008A"/>
    <w:rsid w:val="00A82758"/>
    <w:rsid w:val="00A82960"/>
    <w:rsid w:val="00A83040"/>
    <w:rsid w:val="00A83A70"/>
    <w:rsid w:val="00A8466D"/>
    <w:rsid w:val="00A84A94"/>
    <w:rsid w:val="00A856EA"/>
    <w:rsid w:val="00A86791"/>
    <w:rsid w:val="00A867C0"/>
    <w:rsid w:val="00A90B4D"/>
    <w:rsid w:val="00A91A66"/>
    <w:rsid w:val="00A92A68"/>
    <w:rsid w:val="00A92FD6"/>
    <w:rsid w:val="00A95A1F"/>
    <w:rsid w:val="00A95BDF"/>
    <w:rsid w:val="00A96BC5"/>
    <w:rsid w:val="00A97C2F"/>
    <w:rsid w:val="00AA1496"/>
    <w:rsid w:val="00AA4615"/>
    <w:rsid w:val="00AA50DE"/>
    <w:rsid w:val="00AA5FBC"/>
    <w:rsid w:val="00AB5A60"/>
    <w:rsid w:val="00AC0691"/>
    <w:rsid w:val="00AC084B"/>
    <w:rsid w:val="00AC2439"/>
    <w:rsid w:val="00AC7264"/>
    <w:rsid w:val="00AD3AF0"/>
    <w:rsid w:val="00AD3FDA"/>
    <w:rsid w:val="00AD45BA"/>
    <w:rsid w:val="00AD7955"/>
    <w:rsid w:val="00AE02A3"/>
    <w:rsid w:val="00AE0FB7"/>
    <w:rsid w:val="00AE3ECB"/>
    <w:rsid w:val="00AE500B"/>
    <w:rsid w:val="00AF1735"/>
    <w:rsid w:val="00AF24A4"/>
    <w:rsid w:val="00AF66A5"/>
    <w:rsid w:val="00B00ADB"/>
    <w:rsid w:val="00B01566"/>
    <w:rsid w:val="00B02802"/>
    <w:rsid w:val="00B02ED1"/>
    <w:rsid w:val="00B0334D"/>
    <w:rsid w:val="00B03835"/>
    <w:rsid w:val="00B04412"/>
    <w:rsid w:val="00B04944"/>
    <w:rsid w:val="00B05949"/>
    <w:rsid w:val="00B14407"/>
    <w:rsid w:val="00B158D4"/>
    <w:rsid w:val="00B226E6"/>
    <w:rsid w:val="00B2516E"/>
    <w:rsid w:val="00B2551F"/>
    <w:rsid w:val="00B25C20"/>
    <w:rsid w:val="00B3133E"/>
    <w:rsid w:val="00B3698C"/>
    <w:rsid w:val="00B36DAD"/>
    <w:rsid w:val="00B40B98"/>
    <w:rsid w:val="00B42144"/>
    <w:rsid w:val="00B463A0"/>
    <w:rsid w:val="00B470A0"/>
    <w:rsid w:val="00B47275"/>
    <w:rsid w:val="00B47A1B"/>
    <w:rsid w:val="00B47B5C"/>
    <w:rsid w:val="00B50388"/>
    <w:rsid w:val="00B51624"/>
    <w:rsid w:val="00B55EA8"/>
    <w:rsid w:val="00B6023B"/>
    <w:rsid w:val="00B60A27"/>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E94"/>
    <w:rsid w:val="00B90FB8"/>
    <w:rsid w:val="00B92BBB"/>
    <w:rsid w:val="00B9449B"/>
    <w:rsid w:val="00B961D3"/>
    <w:rsid w:val="00BA299F"/>
    <w:rsid w:val="00BA2FEA"/>
    <w:rsid w:val="00BA3C5D"/>
    <w:rsid w:val="00BA3E1C"/>
    <w:rsid w:val="00BA41FC"/>
    <w:rsid w:val="00BA6631"/>
    <w:rsid w:val="00BA7758"/>
    <w:rsid w:val="00BB2CA5"/>
    <w:rsid w:val="00BB4D9B"/>
    <w:rsid w:val="00BB5197"/>
    <w:rsid w:val="00BB7BFC"/>
    <w:rsid w:val="00BC0D6B"/>
    <w:rsid w:val="00BC15F0"/>
    <w:rsid w:val="00BC1700"/>
    <w:rsid w:val="00BC33D0"/>
    <w:rsid w:val="00BC5DA2"/>
    <w:rsid w:val="00BC7211"/>
    <w:rsid w:val="00BC7BCD"/>
    <w:rsid w:val="00BD03CE"/>
    <w:rsid w:val="00BD44C9"/>
    <w:rsid w:val="00BD452D"/>
    <w:rsid w:val="00BD5018"/>
    <w:rsid w:val="00BD6039"/>
    <w:rsid w:val="00BD68DA"/>
    <w:rsid w:val="00BD6E6E"/>
    <w:rsid w:val="00BD7395"/>
    <w:rsid w:val="00BE26B5"/>
    <w:rsid w:val="00BE2EDE"/>
    <w:rsid w:val="00BE4408"/>
    <w:rsid w:val="00BE4FF1"/>
    <w:rsid w:val="00BE594B"/>
    <w:rsid w:val="00BE7E71"/>
    <w:rsid w:val="00BF0AB8"/>
    <w:rsid w:val="00BF407A"/>
    <w:rsid w:val="00BF49C9"/>
    <w:rsid w:val="00C00446"/>
    <w:rsid w:val="00C018B4"/>
    <w:rsid w:val="00C01D97"/>
    <w:rsid w:val="00C0292C"/>
    <w:rsid w:val="00C07577"/>
    <w:rsid w:val="00C11917"/>
    <w:rsid w:val="00C11C1B"/>
    <w:rsid w:val="00C11E8B"/>
    <w:rsid w:val="00C124C7"/>
    <w:rsid w:val="00C135BF"/>
    <w:rsid w:val="00C146DA"/>
    <w:rsid w:val="00C14814"/>
    <w:rsid w:val="00C155EA"/>
    <w:rsid w:val="00C17F76"/>
    <w:rsid w:val="00C20792"/>
    <w:rsid w:val="00C21624"/>
    <w:rsid w:val="00C21DCA"/>
    <w:rsid w:val="00C22A36"/>
    <w:rsid w:val="00C22FAC"/>
    <w:rsid w:val="00C23008"/>
    <w:rsid w:val="00C24FF0"/>
    <w:rsid w:val="00C25B5A"/>
    <w:rsid w:val="00C30D24"/>
    <w:rsid w:val="00C31253"/>
    <w:rsid w:val="00C313BE"/>
    <w:rsid w:val="00C31A66"/>
    <w:rsid w:val="00C32D09"/>
    <w:rsid w:val="00C334C9"/>
    <w:rsid w:val="00C33568"/>
    <w:rsid w:val="00C33C92"/>
    <w:rsid w:val="00C41D53"/>
    <w:rsid w:val="00C445FD"/>
    <w:rsid w:val="00C44D04"/>
    <w:rsid w:val="00C44D1B"/>
    <w:rsid w:val="00C47EB6"/>
    <w:rsid w:val="00C47F77"/>
    <w:rsid w:val="00C5081A"/>
    <w:rsid w:val="00C50C7E"/>
    <w:rsid w:val="00C53289"/>
    <w:rsid w:val="00C534B6"/>
    <w:rsid w:val="00C5388E"/>
    <w:rsid w:val="00C547DE"/>
    <w:rsid w:val="00C55582"/>
    <w:rsid w:val="00C60365"/>
    <w:rsid w:val="00C6097A"/>
    <w:rsid w:val="00C61082"/>
    <w:rsid w:val="00C61538"/>
    <w:rsid w:val="00C61A54"/>
    <w:rsid w:val="00C6287D"/>
    <w:rsid w:val="00C63C55"/>
    <w:rsid w:val="00C71547"/>
    <w:rsid w:val="00C715FC"/>
    <w:rsid w:val="00C7191B"/>
    <w:rsid w:val="00C727B6"/>
    <w:rsid w:val="00C76CD0"/>
    <w:rsid w:val="00C86BD2"/>
    <w:rsid w:val="00C86DE1"/>
    <w:rsid w:val="00C8717F"/>
    <w:rsid w:val="00C87AFB"/>
    <w:rsid w:val="00C87B21"/>
    <w:rsid w:val="00C9138E"/>
    <w:rsid w:val="00C91DA1"/>
    <w:rsid w:val="00C9293F"/>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B24"/>
    <w:rsid w:val="00CC247C"/>
    <w:rsid w:val="00CC26BC"/>
    <w:rsid w:val="00CC55EC"/>
    <w:rsid w:val="00CC5A4B"/>
    <w:rsid w:val="00CC6D1C"/>
    <w:rsid w:val="00CC709B"/>
    <w:rsid w:val="00CD02E8"/>
    <w:rsid w:val="00CD3C3D"/>
    <w:rsid w:val="00CD4E19"/>
    <w:rsid w:val="00CD5A9C"/>
    <w:rsid w:val="00CD5AA6"/>
    <w:rsid w:val="00CD5C37"/>
    <w:rsid w:val="00CE1C82"/>
    <w:rsid w:val="00CE1ECC"/>
    <w:rsid w:val="00CE2A89"/>
    <w:rsid w:val="00CE3027"/>
    <w:rsid w:val="00CE6072"/>
    <w:rsid w:val="00CE6F05"/>
    <w:rsid w:val="00CF0CC9"/>
    <w:rsid w:val="00CF2337"/>
    <w:rsid w:val="00CF32C2"/>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546F"/>
    <w:rsid w:val="00D258D9"/>
    <w:rsid w:val="00D25A3E"/>
    <w:rsid w:val="00D27E52"/>
    <w:rsid w:val="00D31091"/>
    <w:rsid w:val="00D31E5B"/>
    <w:rsid w:val="00D34862"/>
    <w:rsid w:val="00D414A8"/>
    <w:rsid w:val="00D45515"/>
    <w:rsid w:val="00D46E43"/>
    <w:rsid w:val="00D509B4"/>
    <w:rsid w:val="00D52BBF"/>
    <w:rsid w:val="00D533EA"/>
    <w:rsid w:val="00D54624"/>
    <w:rsid w:val="00D54AA4"/>
    <w:rsid w:val="00D56F80"/>
    <w:rsid w:val="00D57613"/>
    <w:rsid w:val="00D60B64"/>
    <w:rsid w:val="00D62B78"/>
    <w:rsid w:val="00D63049"/>
    <w:rsid w:val="00D6499C"/>
    <w:rsid w:val="00D6647C"/>
    <w:rsid w:val="00D70937"/>
    <w:rsid w:val="00D70B5F"/>
    <w:rsid w:val="00D730D2"/>
    <w:rsid w:val="00D749A7"/>
    <w:rsid w:val="00D74DA3"/>
    <w:rsid w:val="00D75059"/>
    <w:rsid w:val="00D7509A"/>
    <w:rsid w:val="00D75468"/>
    <w:rsid w:val="00D76273"/>
    <w:rsid w:val="00D778DF"/>
    <w:rsid w:val="00D81509"/>
    <w:rsid w:val="00D832DE"/>
    <w:rsid w:val="00D850E8"/>
    <w:rsid w:val="00D85F84"/>
    <w:rsid w:val="00D861C7"/>
    <w:rsid w:val="00D86FF2"/>
    <w:rsid w:val="00D87C45"/>
    <w:rsid w:val="00D90E53"/>
    <w:rsid w:val="00D92523"/>
    <w:rsid w:val="00D93466"/>
    <w:rsid w:val="00D9475E"/>
    <w:rsid w:val="00D96580"/>
    <w:rsid w:val="00D97434"/>
    <w:rsid w:val="00DA138A"/>
    <w:rsid w:val="00DB023D"/>
    <w:rsid w:val="00DB03FA"/>
    <w:rsid w:val="00DB4BF9"/>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771D"/>
    <w:rsid w:val="00DE180C"/>
    <w:rsid w:val="00DE295E"/>
    <w:rsid w:val="00DE36D3"/>
    <w:rsid w:val="00DE5976"/>
    <w:rsid w:val="00DE5FE6"/>
    <w:rsid w:val="00DE6046"/>
    <w:rsid w:val="00DE74D3"/>
    <w:rsid w:val="00DF0DBD"/>
    <w:rsid w:val="00DF1481"/>
    <w:rsid w:val="00DF162F"/>
    <w:rsid w:val="00DF2CAB"/>
    <w:rsid w:val="00DF2CB4"/>
    <w:rsid w:val="00DF330D"/>
    <w:rsid w:val="00DF34C1"/>
    <w:rsid w:val="00DF3C7F"/>
    <w:rsid w:val="00DF4D99"/>
    <w:rsid w:val="00DF7713"/>
    <w:rsid w:val="00DF7C16"/>
    <w:rsid w:val="00E01B29"/>
    <w:rsid w:val="00E029E7"/>
    <w:rsid w:val="00E06F9B"/>
    <w:rsid w:val="00E13396"/>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0F32"/>
    <w:rsid w:val="00E56B01"/>
    <w:rsid w:val="00E572C2"/>
    <w:rsid w:val="00E57F7B"/>
    <w:rsid w:val="00E61540"/>
    <w:rsid w:val="00E61AD5"/>
    <w:rsid w:val="00E63114"/>
    <w:rsid w:val="00E664C7"/>
    <w:rsid w:val="00E73750"/>
    <w:rsid w:val="00E800E6"/>
    <w:rsid w:val="00E81221"/>
    <w:rsid w:val="00E82751"/>
    <w:rsid w:val="00E84EDF"/>
    <w:rsid w:val="00E850A5"/>
    <w:rsid w:val="00E85136"/>
    <w:rsid w:val="00E8584F"/>
    <w:rsid w:val="00E90845"/>
    <w:rsid w:val="00E94440"/>
    <w:rsid w:val="00E94E94"/>
    <w:rsid w:val="00E952E0"/>
    <w:rsid w:val="00E9554C"/>
    <w:rsid w:val="00E96623"/>
    <w:rsid w:val="00E96929"/>
    <w:rsid w:val="00E975A7"/>
    <w:rsid w:val="00EA0B65"/>
    <w:rsid w:val="00EA2490"/>
    <w:rsid w:val="00EA2C74"/>
    <w:rsid w:val="00EA3FF8"/>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D344D"/>
    <w:rsid w:val="00EE0E6E"/>
    <w:rsid w:val="00EE34B2"/>
    <w:rsid w:val="00EE5A45"/>
    <w:rsid w:val="00EE5B1D"/>
    <w:rsid w:val="00EE6AA3"/>
    <w:rsid w:val="00EF0295"/>
    <w:rsid w:val="00EF22FA"/>
    <w:rsid w:val="00EF3C41"/>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B1E"/>
    <w:rsid w:val="00F34B64"/>
    <w:rsid w:val="00F363E9"/>
    <w:rsid w:val="00F431E3"/>
    <w:rsid w:val="00F43267"/>
    <w:rsid w:val="00F44A5C"/>
    <w:rsid w:val="00F517A7"/>
    <w:rsid w:val="00F53357"/>
    <w:rsid w:val="00F53ADF"/>
    <w:rsid w:val="00F57AC9"/>
    <w:rsid w:val="00F57B84"/>
    <w:rsid w:val="00F629B9"/>
    <w:rsid w:val="00F6312D"/>
    <w:rsid w:val="00F639BB"/>
    <w:rsid w:val="00F64F2F"/>
    <w:rsid w:val="00F660FF"/>
    <w:rsid w:val="00F67876"/>
    <w:rsid w:val="00F67FA1"/>
    <w:rsid w:val="00F72274"/>
    <w:rsid w:val="00F776DA"/>
    <w:rsid w:val="00F8042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A7962"/>
    <w:rsid w:val="00FB0DFB"/>
    <w:rsid w:val="00FB12AC"/>
    <w:rsid w:val="00FB20CF"/>
    <w:rsid w:val="00FB4839"/>
    <w:rsid w:val="00FB6B3F"/>
    <w:rsid w:val="00FC1248"/>
    <w:rsid w:val="00FC13D5"/>
    <w:rsid w:val="00FC1AAF"/>
    <w:rsid w:val="00FC25E0"/>
    <w:rsid w:val="00FC2F7E"/>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6D94"/>
    <w:rsid w:val="00FE72BC"/>
    <w:rsid w:val="00FF2716"/>
    <w:rsid w:val="00FF3355"/>
    <w:rsid w:val="00FF568C"/>
    <w:rsid w:val="00FF6B27"/>
    <w:rsid w:val="00FF7309"/>
    <w:rsid w:val="00FF743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ais"/>
    <w:rsid w:val="00966742"/>
    <w:pPr>
      <w:autoSpaceDE w:val="0"/>
      <w:autoSpaceDN w:val="0"/>
    </w:pPr>
    <w:rPr>
      <w:rFonts w:eastAsiaTheme="minorHAnsi"/>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s>
</file>

<file path=word/webSettings.xml><?xml version="1.0" encoding="utf-8"?>
<w:webSettings xmlns:r="http://schemas.openxmlformats.org/officeDocument/2006/relationships" xmlns:w="http://schemas.openxmlformats.org/wordprocessingml/2006/main">
  <w:divs>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14852197">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9580-E33A-435E-9D2B-8FF59478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939</Words>
  <Characters>6522</Characters>
  <Application>Microsoft Office Word</Application>
  <DocSecurity>0</DocSecurity>
  <Lines>296</Lines>
  <Paragraphs>99</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Ministru kabineta noteikumu projekts „Grozījumi Ministru kabineta 2009.gada 13.oktobra noteikumos Nr.1171 „Noteikumi par dzīvnieku liemeņu apstrādes kvalitāti, klasifikāciju un marķēšanu, kā arī kārtību, kādā tiek novērtēta dzīvnieku liemeņu atbilstība ap</vt:lpstr>
      <vt:lpstr/>
      <vt:lpstr/>
      <vt:lpstr>Zemkopības ministrs						J.Dūklavs</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13.oktobra noteikumos Nr.1171 „Noteikumi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dc:title>
  <dc:subject>MK noteikumu projekta anotācija</dc:subject>
  <dc:creator>Daina Krastiņa</dc:creator>
  <dc:description>Daina.Krastina@zm.gov.lv, 67027305</dc:description>
  <cp:lastModifiedBy>Renārs Žagars</cp:lastModifiedBy>
  <cp:revision>13</cp:revision>
  <cp:lastPrinted>2010-10-15T13:18:00Z</cp:lastPrinted>
  <dcterms:created xsi:type="dcterms:W3CDTF">2014-02-13T12:21:00Z</dcterms:created>
  <dcterms:modified xsi:type="dcterms:W3CDTF">2014-03-07T07:38:00Z</dcterms:modified>
</cp:coreProperties>
</file>