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4D" w:rsidRPr="001B1E4D" w:rsidRDefault="001B1E4D" w:rsidP="001B1E4D">
      <w:pPr>
        <w:jc w:val="center"/>
        <w:rPr>
          <w:b/>
          <w:sz w:val="28"/>
          <w:szCs w:val="28"/>
          <w:lang w:val="lv-LV"/>
        </w:rPr>
      </w:pPr>
      <w:bookmarkStart w:id="0" w:name="OLE_LINK7"/>
      <w:bookmarkStart w:id="1" w:name="OLE_LINK8"/>
      <w:r w:rsidRPr="001B1E4D">
        <w:rPr>
          <w:b/>
          <w:sz w:val="28"/>
          <w:szCs w:val="28"/>
          <w:lang w:val="lv-LV"/>
        </w:rPr>
        <w:t>Ministru kabineta noteikumu projekta „Grozījumi Ministru kabineta 2011.gada 21.jūnija noteikumos Nr.453 „Noteikumi par augļu un dārzeņu ražotāju organizāciju atzīšanu, to darbības nosacījumiem un kontroli, kā arī kārtību, kādā piešķir, administrē un uzrauga Eiropas Savienības atbalstu augļu un dārzeņu ražotāju organizācijām””</w:t>
      </w:r>
    </w:p>
    <w:p w:rsidR="00683260" w:rsidRPr="001B1E4D" w:rsidRDefault="001B1E4D" w:rsidP="001B1E4D">
      <w:pPr>
        <w:pStyle w:val="Bezatstarpm"/>
        <w:jc w:val="center"/>
        <w:rPr>
          <w:b/>
          <w:bCs/>
          <w:sz w:val="28"/>
          <w:szCs w:val="28"/>
          <w:lang w:val="lv-LV" w:eastAsia="lv-LV"/>
        </w:rPr>
      </w:pPr>
      <w:r w:rsidRPr="001B1E4D">
        <w:rPr>
          <w:b/>
          <w:sz w:val="28"/>
          <w:lang w:val="lv-LV"/>
        </w:rPr>
        <w:t>sākotnējās ietekmes novērtējuma ziņojums</w:t>
      </w:r>
      <w:r w:rsidRPr="001B1E4D">
        <w:rPr>
          <w:b/>
          <w:sz w:val="28"/>
          <w:szCs w:val="28"/>
          <w:lang w:val="lv-LV"/>
        </w:rPr>
        <w:t xml:space="preserve"> (anotācija)</w:t>
      </w:r>
    </w:p>
    <w:p w:rsidR="00683260" w:rsidRPr="003B78CD" w:rsidRDefault="00683260" w:rsidP="006B57D4">
      <w:pPr>
        <w:widowControl w:val="0"/>
        <w:jc w:val="center"/>
        <w:rPr>
          <w:b/>
          <w:bCs/>
          <w:lang w:val="lv-LV" w:eastAsia="lv-LV"/>
        </w:rPr>
      </w:pPr>
    </w:p>
    <w:tbl>
      <w:tblPr>
        <w:tblW w:w="475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5"/>
        <w:gridCol w:w="3665"/>
        <w:gridCol w:w="4576"/>
      </w:tblGrid>
      <w:tr w:rsidR="00683260" w:rsidRPr="003B78CD" w:rsidTr="00F44D01">
        <w:tc>
          <w:tcPr>
            <w:tcW w:w="5000" w:type="pct"/>
            <w:gridSpan w:val="3"/>
            <w:vAlign w:val="center"/>
          </w:tcPr>
          <w:p w:rsidR="00683260" w:rsidRPr="003B78CD" w:rsidRDefault="00683260" w:rsidP="006B57D4">
            <w:pPr>
              <w:pStyle w:val="naisf"/>
              <w:jc w:val="center"/>
              <w:rPr>
                <w:b/>
                <w:bCs/>
                <w:lang w:val="lv-LV"/>
              </w:rPr>
            </w:pPr>
            <w:r w:rsidRPr="003B78CD">
              <w:rPr>
                <w:b/>
                <w:bCs/>
                <w:lang w:val="lv-LV"/>
              </w:rPr>
              <w:t>I. Tiesību akta projekta izstrādes nepieciešamība</w:t>
            </w:r>
          </w:p>
        </w:tc>
      </w:tr>
      <w:tr w:rsidR="00683260" w:rsidRPr="00176A4E" w:rsidTr="00F44D01">
        <w:tc>
          <w:tcPr>
            <w:tcW w:w="251" w:type="pct"/>
          </w:tcPr>
          <w:p w:rsidR="00683260" w:rsidRPr="003B78CD" w:rsidRDefault="00683260" w:rsidP="006B57D4">
            <w:pPr>
              <w:pStyle w:val="naisf"/>
              <w:rPr>
                <w:lang w:val="lv-LV"/>
              </w:rPr>
            </w:pPr>
            <w:r w:rsidRPr="003B78CD">
              <w:rPr>
                <w:lang w:val="lv-LV"/>
              </w:rPr>
              <w:t>1.</w:t>
            </w:r>
          </w:p>
        </w:tc>
        <w:tc>
          <w:tcPr>
            <w:tcW w:w="2112" w:type="pct"/>
          </w:tcPr>
          <w:p w:rsidR="00683260" w:rsidRPr="003B78CD" w:rsidRDefault="00683260" w:rsidP="006B57D4">
            <w:pPr>
              <w:pStyle w:val="naisf"/>
              <w:rPr>
                <w:lang w:val="lv-LV"/>
              </w:rPr>
            </w:pPr>
            <w:r w:rsidRPr="003B78CD">
              <w:rPr>
                <w:lang w:val="lv-LV"/>
              </w:rPr>
              <w:t>Pamatojums</w:t>
            </w:r>
          </w:p>
        </w:tc>
        <w:tc>
          <w:tcPr>
            <w:tcW w:w="2637" w:type="pct"/>
          </w:tcPr>
          <w:p w:rsidR="00683260" w:rsidRPr="001B1E4D" w:rsidRDefault="001B1E4D" w:rsidP="006B57D4">
            <w:pPr>
              <w:pStyle w:val="naisf"/>
              <w:spacing w:before="0" w:beforeAutospacing="0" w:after="0" w:afterAutospacing="0"/>
              <w:rPr>
                <w:lang w:val="lv-LV"/>
              </w:rPr>
            </w:pPr>
            <w:r w:rsidRPr="001B1E4D">
              <w:rPr>
                <w:lang w:val="lv-LV"/>
              </w:rPr>
              <w:t>Noteikumu projekts sagatavots atbilstoši Lauksaimniecības un lauku attīstības likuma 5.panta ceturtajai un septītajai daļai un 9.panta trešajai daļai.</w:t>
            </w:r>
          </w:p>
        </w:tc>
      </w:tr>
      <w:tr w:rsidR="00683260" w:rsidRPr="00176A4E" w:rsidTr="00F44D01">
        <w:tc>
          <w:tcPr>
            <w:tcW w:w="251" w:type="pct"/>
          </w:tcPr>
          <w:p w:rsidR="00683260" w:rsidRPr="003B78CD" w:rsidRDefault="00683260" w:rsidP="006B57D4">
            <w:pPr>
              <w:pStyle w:val="naisf"/>
              <w:rPr>
                <w:lang w:val="lv-LV"/>
              </w:rPr>
            </w:pPr>
            <w:r w:rsidRPr="003B78CD">
              <w:rPr>
                <w:lang w:val="lv-LV"/>
              </w:rPr>
              <w:t>2.</w:t>
            </w:r>
          </w:p>
        </w:tc>
        <w:tc>
          <w:tcPr>
            <w:tcW w:w="2112" w:type="pct"/>
          </w:tcPr>
          <w:p w:rsidR="00683260" w:rsidRPr="003B78CD" w:rsidRDefault="00683260" w:rsidP="006B57D4">
            <w:pPr>
              <w:pStyle w:val="naisf"/>
              <w:rPr>
                <w:lang w:val="lv-LV"/>
              </w:rPr>
            </w:pPr>
            <w:r w:rsidRPr="003B78CD">
              <w:rPr>
                <w:lang w:val="lv-LV"/>
              </w:rPr>
              <w:t>Pašreizējā situācija un problēmas, kuru risināšanai tiesību akta projekts izstrādāts, tiesiskā regulējuma mērķis un būtība</w:t>
            </w:r>
          </w:p>
        </w:tc>
        <w:tc>
          <w:tcPr>
            <w:tcW w:w="2637" w:type="pct"/>
          </w:tcPr>
          <w:p w:rsidR="008D79F7" w:rsidRPr="003B78CD" w:rsidRDefault="008D79F7" w:rsidP="006B57D4">
            <w:pPr>
              <w:pStyle w:val="Default"/>
              <w:jc w:val="both"/>
              <w:rPr>
                <w:lang w:val="lv-LV"/>
              </w:rPr>
            </w:pPr>
            <w:r w:rsidRPr="003B78CD">
              <w:rPr>
                <w:rFonts w:eastAsiaTheme="minorHAnsi"/>
                <w:lang w:val="lv-LV"/>
              </w:rPr>
              <w:t xml:space="preserve">2014.gada 7.augustā Krievijas Federācijas valdība noteica importa aizliegumu </w:t>
            </w:r>
            <w:r w:rsidRPr="003B78CD">
              <w:rPr>
                <w:lang w:val="lv-LV"/>
              </w:rPr>
              <w:t xml:space="preserve">uz 1 gadu noteiktiem lauksaimniecības un pārtikas produktiem, tai skaitā </w:t>
            </w:r>
            <w:r w:rsidR="001B1E4D">
              <w:rPr>
                <w:lang w:val="lv-LV"/>
              </w:rPr>
              <w:t>augļiem un dārzeņiem</w:t>
            </w:r>
            <w:r w:rsidRPr="003B78CD">
              <w:rPr>
                <w:lang w:val="lv-LV"/>
              </w:rPr>
              <w:t>, ku</w:t>
            </w:r>
            <w:r w:rsidR="007E72FB">
              <w:rPr>
                <w:lang w:val="lv-LV"/>
              </w:rPr>
              <w:t>ru izcelsme ir Eiropas Savienība</w:t>
            </w:r>
            <w:r w:rsidRPr="003B78CD">
              <w:rPr>
                <w:lang w:val="lv-LV"/>
              </w:rPr>
              <w:t xml:space="preserve"> (</w:t>
            </w:r>
            <w:r w:rsidR="00D51735" w:rsidRPr="003B78CD">
              <w:rPr>
                <w:lang w:val="lv-LV"/>
              </w:rPr>
              <w:t xml:space="preserve">turpmāk - </w:t>
            </w:r>
            <w:r w:rsidRPr="003B78CD">
              <w:rPr>
                <w:lang w:val="lv-LV"/>
              </w:rPr>
              <w:t xml:space="preserve">ES). </w:t>
            </w:r>
          </w:p>
          <w:p w:rsidR="00D51735" w:rsidRDefault="008D79F7" w:rsidP="006B57D4">
            <w:pPr>
              <w:pStyle w:val="Default"/>
              <w:jc w:val="both"/>
              <w:rPr>
                <w:lang w:val="lv-LV"/>
              </w:rPr>
            </w:pPr>
            <w:r w:rsidRPr="003B78CD">
              <w:rPr>
                <w:lang w:val="lv-LV"/>
              </w:rPr>
              <w:t>Krievija bija stratēģ</w:t>
            </w:r>
            <w:r w:rsidR="001B1E4D">
              <w:rPr>
                <w:lang w:val="lv-LV"/>
              </w:rPr>
              <w:t>isks ES tirdzniecības partneris, turklāt augļi un dārzeņi veidoja lielu daļu no visiem</w:t>
            </w:r>
            <w:r w:rsidR="0052700C">
              <w:rPr>
                <w:lang w:val="lv-LV"/>
              </w:rPr>
              <w:t xml:space="preserve"> uz Krieviju</w:t>
            </w:r>
            <w:r w:rsidR="001B1E4D">
              <w:rPr>
                <w:lang w:val="lv-LV"/>
              </w:rPr>
              <w:t xml:space="preserve"> ekspor</w:t>
            </w:r>
            <w:r w:rsidR="0052700C">
              <w:rPr>
                <w:lang w:val="lv-LV"/>
              </w:rPr>
              <w:t>tētiem</w:t>
            </w:r>
            <w:r w:rsidR="001B1E4D">
              <w:rPr>
                <w:lang w:val="lv-LV"/>
              </w:rPr>
              <w:t xml:space="preserve"> lauksaimniecības produktiem. </w:t>
            </w:r>
            <w:r w:rsidRPr="003B78CD">
              <w:rPr>
                <w:lang w:val="lv-LV"/>
              </w:rPr>
              <w:t xml:space="preserve">Tādēļ importa aizliegums strauji radīja nestabilu situāciju gan </w:t>
            </w:r>
            <w:r w:rsidR="0052700C">
              <w:rPr>
                <w:lang w:val="lv-LV"/>
              </w:rPr>
              <w:t>augļu un dārzeņu</w:t>
            </w:r>
            <w:r w:rsidRPr="003B78CD">
              <w:rPr>
                <w:lang w:val="lv-LV"/>
              </w:rPr>
              <w:t xml:space="preserve"> tirgū</w:t>
            </w:r>
            <w:r w:rsidR="00B61D2D">
              <w:rPr>
                <w:lang w:val="lv-LV"/>
              </w:rPr>
              <w:t>, gan</w:t>
            </w:r>
            <w:r w:rsidR="0052700C">
              <w:rPr>
                <w:lang w:val="lv-LV"/>
              </w:rPr>
              <w:t xml:space="preserve"> </w:t>
            </w:r>
            <w:r w:rsidRPr="003B78CD">
              <w:rPr>
                <w:lang w:val="lv-LV"/>
              </w:rPr>
              <w:t xml:space="preserve">ražotāju līmenī – zūdot eksporta iespējai uz Krieviju, </w:t>
            </w:r>
            <w:r w:rsidR="0052700C">
              <w:rPr>
                <w:lang w:val="lv-LV"/>
              </w:rPr>
              <w:t>augļu un dārzeņu ražotājiem</w:t>
            </w:r>
            <w:r w:rsidRPr="003B78CD">
              <w:rPr>
                <w:lang w:val="lv-LV"/>
              </w:rPr>
              <w:t xml:space="preserve"> izveidojās liekās produkcijas uzkrājumi</w:t>
            </w:r>
            <w:r w:rsidR="00D51735" w:rsidRPr="003B78CD">
              <w:rPr>
                <w:lang w:val="lv-LV"/>
              </w:rPr>
              <w:t xml:space="preserve">, ES iekšējā tirgū pieauga produkcijas piedāvājums, </w:t>
            </w:r>
            <w:r w:rsidR="00345CFC" w:rsidRPr="003B78CD">
              <w:rPr>
                <w:lang w:val="lv-LV"/>
              </w:rPr>
              <w:t>kā rezultātā pazeminājās produktu tirgus cenas</w:t>
            </w:r>
            <w:r w:rsidR="0052700C">
              <w:rPr>
                <w:lang w:val="lv-LV"/>
              </w:rPr>
              <w:t>.</w:t>
            </w:r>
            <w:r w:rsidR="00345CFC" w:rsidRPr="003B78CD">
              <w:rPr>
                <w:lang w:val="lv-LV"/>
              </w:rPr>
              <w:t xml:space="preserve"> Tas</w:t>
            </w:r>
            <w:r w:rsidR="00BB0F21" w:rsidRPr="003B78CD">
              <w:rPr>
                <w:lang w:val="lv-LV"/>
              </w:rPr>
              <w:t xml:space="preserve"> savukārt</w:t>
            </w:r>
            <w:r w:rsidR="00345CFC" w:rsidRPr="003B78CD">
              <w:rPr>
                <w:lang w:val="lv-LV"/>
              </w:rPr>
              <w:t xml:space="preserve"> apdraud</w:t>
            </w:r>
            <w:r w:rsidR="00D51735" w:rsidRPr="003B78CD">
              <w:rPr>
                <w:lang w:val="lv-LV"/>
              </w:rPr>
              <w:t xml:space="preserve"> ražotāju finansiāl</w:t>
            </w:r>
            <w:r w:rsidR="00345CFC" w:rsidRPr="003B78CD">
              <w:rPr>
                <w:lang w:val="lv-LV"/>
              </w:rPr>
              <w:t>o</w:t>
            </w:r>
            <w:r w:rsidR="00D51735" w:rsidRPr="003B78CD">
              <w:rPr>
                <w:lang w:val="lv-LV"/>
              </w:rPr>
              <w:t xml:space="preserve"> stabilitāt</w:t>
            </w:r>
            <w:r w:rsidR="00345CFC" w:rsidRPr="003B78CD">
              <w:rPr>
                <w:lang w:val="lv-LV"/>
              </w:rPr>
              <w:t>i</w:t>
            </w:r>
            <w:r w:rsidR="00D51735" w:rsidRPr="003B78CD">
              <w:rPr>
                <w:lang w:val="lv-LV"/>
              </w:rPr>
              <w:t xml:space="preserve"> un pat tālāk</w:t>
            </w:r>
            <w:r w:rsidR="00345CFC" w:rsidRPr="003B78CD">
              <w:rPr>
                <w:lang w:val="lv-LV"/>
              </w:rPr>
              <w:t>u</w:t>
            </w:r>
            <w:r w:rsidR="00D51735" w:rsidRPr="003B78CD">
              <w:rPr>
                <w:lang w:val="lv-LV"/>
              </w:rPr>
              <w:t xml:space="preserve"> saimniekošan</w:t>
            </w:r>
            <w:r w:rsidR="00345CFC" w:rsidRPr="003B78CD">
              <w:rPr>
                <w:lang w:val="lv-LV"/>
              </w:rPr>
              <w:t>u</w:t>
            </w:r>
            <w:r w:rsidR="00D51735" w:rsidRPr="003B78CD">
              <w:rPr>
                <w:lang w:val="lv-LV"/>
              </w:rPr>
              <w:t xml:space="preserve">. </w:t>
            </w:r>
          </w:p>
          <w:p w:rsidR="004B0A03" w:rsidRPr="003B78CD" w:rsidRDefault="004B0A03" w:rsidP="004B0A03">
            <w:pPr>
              <w:jc w:val="both"/>
              <w:rPr>
                <w:lang w:val="lv-LV"/>
              </w:rPr>
            </w:pPr>
            <w:r w:rsidRPr="00783B22">
              <w:rPr>
                <w:lang w:val="lv-LV"/>
              </w:rPr>
              <w:t xml:space="preserve">Latvija nav starp lielākajiem augļu un dārzeņu ražotājiem un eksportētājiem, taču Latvijas mērogā šī nozare ir būtiska. Tādēļ </w:t>
            </w:r>
            <w:r>
              <w:rPr>
                <w:lang w:val="lv-LV"/>
              </w:rPr>
              <w:t>Krievijas</w:t>
            </w:r>
            <w:r w:rsidRPr="00783B22">
              <w:rPr>
                <w:lang w:val="lv-LV"/>
              </w:rPr>
              <w:t xml:space="preserve"> sankciju ietekmē </w:t>
            </w:r>
            <w:r w:rsidRPr="004B0A03">
              <w:rPr>
                <w:lang w:val="lv-LV"/>
              </w:rPr>
              <w:t xml:space="preserve">Latvijas augļu un dārzeņu ražotāji </w:t>
            </w:r>
            <w:r>
              <w:rPr>
                <w:lang w:val="lv-LV"/>
              </w:rPr>
              <w:t>cieš</w:t>
            </w:r>
            <w:r w:rsidRPr="004B0A03">
              <w:rPr>
                <w:lang w:val="lv-LV"/>
              </w:rPr>
              <w:t xml:space="preserve"> būtiskus zaudējumus tieši tirgus piedāvājuma straujā pieauguma un citu valstu produkcijas importa būtiskas palielināšanās ietekmē.</w:t>
            </w:r>
            <w:r w:rsidRPr="00783B22">
              <w:rPr>
                <w:lang w:val="lv-LV"/>
              </w:rPr>
              <w:t xml:space="preserve"> Saskaņā ar nozares pārstāvju sniegto informāciju, </w:t>
            </w:r>
            <w:r>
              <w:rPr>
                <w:lang w:val="lv-LV"/>
              </w:rPr>
              <w:t xml:space="preserve">jau </w:t>
            </w:r>
            <w:r w:rsidRPr="00783B22">
              <w:rPr>
                <w:lang w:val="lv-LV"/>
              </w:rPr>
              <w:t xml:space="preserve">divu nedēļu laikā pēc </w:t>
            </w:r>
            <w:r>
              <w:rPr>
                <w:lang w:val="lv-LV"/>
              </w:rPr>
              <w:t>Krievijas</w:t>
            </w:r>
            <w:r w:rsidRPr="00783B22">
              <w:rPr>
                <w:lang w:val="lv-LV"/>
              </w:rPr>
              <w:t xml:space="preserve"> piemērotām sankcijām </w:t>
            </w:r>
            <w:r w:rsidR="006E2D0A">
              <w:rPr>
                <w:lang w:val="lv-LV"/>
              </w:rPr>
              <w:t>abu</w:t>
            </w:r>
            <w:r w:rsidRPr="00783B22">
              <w:rPr>
                <w:lang w:val="lv-LV"/>
              </w:rPr>
              <w:t xml:space="preserve"> Latvijas ražotāju organizācijas (RO) zaudējumi </w:t>
            </w:r>
            <w:r>
              <w:rPr>
                <w:lang w:val="lv-LV"/>
              </w:rPr>
              <w:t xml:space="preserve">bija </w:t>
            </w:r>
            <w:r w:rsidRPr="00783B22">
              <w:rPr>
                <w:lang w:val="lv-LV"/>
              </w:rPr>
              <w:t>sasnieguši 180 tūkst. EUR, kam pamatā ir pieprasījuma strauja samazināšanās.</w:t>
            </w:r>
            <w:r>
              <w:rPr>
                <w:lang w:val="lv-LV"/>
              </w:rPr>
              <w:t xml:space="preserve"> </w:t>
            </w:r>
            <w:r w:rsidRPr="00783B22">
              <w:rPr>
                <w:lang w:val="lv-LV"/>
              </w:rPr>
              <w:t xml:space="preserve">Tiek prognozēts, ka augļu un dārzeņu cenas samazināsies pat līdz 50%. Šo notikumu ietekmē ražotāji lēš, ka apmēram 30-40% no visām dārzeņu platībām netiks novāktas (kas ir </w:t>
            </w:r>
            <w:r w:rsidRPr="00783B22">
              <w:rPr>
                <w:lang w:val="lv-LV"/>
              </w:rPr>
              <w:lastRenderedPageBreak/>
              <w:t xml:space="preserve">vairāk par ~43 tūkst. tonnām produkcijas). </w:t>
            </w:r>
          </w:p>
          <w:p w:rsidR="00F17294" w:rsidRPr="003B78CD" w:rsidRDefault="00F17294" w:rsidP="006B57D4">
            <w:pPr>
              <w:pStyle w:val="Default"/>
              <w:jc w:val="both"/>
              <w:rPr>
                <w:lang w:val="lv-LV"/>
              </w:rPr>
            </w:pPr>
          </w:p>
          <w:p w:rsidR="0075670D" w:rsidRPr="004B6E42" w:rsidRDefault="00D51735" w:rsidP="0075670D">
            <w:pPr>
              <w:pStyle w:val="Default"/>
              <w:jc w:val="both"/>
              <w:rPr>
                <w:color w:val="auto"/>
                <w:lang w:val="lv-LV"/>
              </w:rPr>
            </w:pPr>
            <w:r w:rsidRPr="003B78CD">
              <w:rPr>
                <w:lang w:val="lv-LV"/>
              </w:rPr>
              <w:t>Lai stabilizētu cenas</w:t>
            </w:r>
            <w:r w:rsidR="0052700C">
              <w:rPr>
                <w:lang w:val="lv-LV"/>
              </w:rPr>
              <w:t xml:space="preserve"> un</w:t>
            </w:r>
            <w:r w:rsidR="0075670D">
              <w:rPr>
                <w:lang w:val="lv-LV"/>
              </w:rPr>
              <w:t xml:space="preserve"> kopējo situāciju tirgū</w:t>
            </w:r>
            <w:r w:rsidRPr="003B78CD">
              <w:rPr>
                <w:lang w:val="lv-LV"/>
              </w:rPr>
              <w:t>, Eiropas Komisija (turpmāk - EK) 2</w:t>
            </w:r>
            <w:r w:rsidR="0075670D">
              <w:rPr>
                <w:lang w:val="lv-LV"/>
              </w:rPr>
              <w:t>014.gada 29</w:t>
            </w:r>
            <w:r w:rsidRPr="003B78CD">
              <w:rPr>
                <w:lang w:val="lv-LV"/>
              </w:rPr>
              <w:t>.</w:t>
            </w:r>
            <w:r w:rsidR="004B0A03">
              <w:rPr>
                <w:lang w:val="lv-LV"/>
              </w:rPr>
              <w:t>septembrī</w:t>
            </w:r>
            <w:r w:rsidRPr="003B78CD">
              <w:rPr>
                <w:lang w:val="lv-LV"/>
              </w:rPr>
              <w:t xml:space="preserve"> publicēja </w:t>
            </w:r>
            <w:r w:rsidR="0075670D">
              <w:rPr>
                <w:lang w:val="lv-LV"/>
              </w:rPr>
              <w:t>Komisijas 2014.gada 29.</w:t>
            </w:r>
            <w:r w:rsidR="004B0A03">
              <w:rPr>
                <w:lang w:val="lv-LV"/>
              </w:rPr>
              <w:t>septembra</w:t>
            </w:r>
            <w:r w:rsidR="0075670D">
              <w:rPr>
                <w:lang w:val="lv-LV"/>
              </w:rPr>
              <w:t xml:space="preserve"> Deleģēto Regulu (ES) </w:t>
            </w:r>
            <w:r w:rsidR="0075670D" w:rsidRPr="004B0A03">
              <w:rPr>
                <w:lang w:val="lv-LV"/>
              </w:rPr>
              <w:t>Nr.</w:t>
            </w:r>
            <w:r w:rsidR="004B0A03" w:rsidRPr="004B0A03">
              <w:rPr>
                <w:lang w:val="lv-LV"/>
              </w:rPr>
              <w:t>1031</w:t>
            </w:r>
            <w:r w:rsidR="0075670D" w:rsidRPr="004B0A03">
              <w:rPr>
                <w:lang w:val="lv-LV"/>
              </w:rPr>
              <w:t>/2014,</w:t>
            </w:r>
            <w:r w:rsidR="0075670D">
              <w:rPr>
                <w:lang w:val="lv-LV"/>
              </w:rPr>
              <w:t xml:space="preserve"> ar ko nosaka </w:t>
            </w:r>
            <w:r w:rsidR="004B0A03">
              <w:rPr>
                <w:lang w:val="lv-LV"/>
              </w:rPr>
              <w:t xml:space="preserve">turpmākus </w:t>
            </w:r>
            <w:r w:rsidR="0075670D">
              <w:rPr>
                <w:lang w:val="lv-LV"/>
              </w:rPr>
              <w:t xml:space="preserve">pagaidu ārkārtas atbalsta pasākumus konkrētu augļu un </w:t>
            </w:r>
            <w:r w:rsidR="0075670D" w:rsidRPr="004B0A03">
              <w:rPr>
                <w:lang w:val="lv-LV"/>
              </w:rPr>
              <w:t>dārzeņu ražotājiem (turpmāk – Regula Nr.</w:t>
            </w:r>
            <w:r w:rsidR="004B0A03" w:rsidRPr="004B0A03">
              <w:rPr>
                <w:lang w:val="lv-LV"/>
              </w:rPr>
              <w:t>1031</w:t>
            </w:r>
            <w:r w:rsidR="0075670D" w:rsidRPr="004B0A03">
              <w:rPr>
                <w:lang w:val="lv-LV"/>
              </w:rPr>
              <w:t>/201</w:t>
            </w:r>
            <w:r w:rsidR="00BA7AC2" w:rsidRPr="004B0A03">
              <w:rPr>
                <w:lang w:val="lv-LV"/>
              </w:rPr>
              <w:t>4</w:t>
            </w:r>
            <w:r w:rsidR="0075670D" w:rsidRPr="004B0A03">
              <w:rPr>
                <w:lang w:val="lv-LV"/>
              </w:rPr>
              <w:t>).</w:t>
            </w:r>
            <w:r w:rsidR="004B0A03">
              <w:rPr>
                <w:lang w:val="lv-LV"/>
              </w:rPr>
              <w:t xml:space="preserve"> </w:t>
            </w:r>
            <w:r w:rsidR="0075670D">
              <w:rPr>
                <w:lang w:val="lv-LV"/>
              </w:rPr>
              <w:t xml:space="preserve">Finansiālā palīdzība tiks piešķirta par produkcijas izņemšanu no tirgus bezmaksas izplatīšanai un izplatīšanai citiem galamērķiem, ražas </w:t>
            </w:r>
            <w:r w:rsidR="00BA7AC2">
              <w:rPr>
                <w:lang w:val="lv-LV"/>
              </w:rPr>
              <w:t xml:space="preserve">priekšlaicīgu </w:t>
            </w:r>
            <w:r w:rsidR="00BA7AC2" w:rsidRPr="004B6E42">
              <w:rPr>
                <w:color w:val="auto"/>
                <w:lang w:val="lv-LV"/>
              </w:rPr>
              <w:t>novākšanu vai ražas nenovākšanu.</w:t>
            </w:r>
          </w:p>
          <w:p w:rsidR="00E712BF" w:rsidRPr="004B6E42" w:rsidRDefault="009F2926" w:rsidP="0075670D">
            <w:pPr>
              <w:pStyle w:val="Default"/>
              <w:jc w:val="both"/>
              <w:rPr>
                <w:color w:val="auto"/>
                <w:lang w:val="lv-LV"/>
              </w:rPr>
            </w:pPr>
            <w:r w:rsidRPr="004B6E42">
              <w:rPr>
                <w:color w:val="auto"/>
                <w:lang w:val="lv-LV"/>
              </w:rPr>
              <w:t xml:space="preserve">Eiropas Parlamenta un Padomes 2013. gada 17. decembra Regulas (ES) Nr. 1308/2013, ar ko izveido lauksaimniecības produktu tirgu kopīgu organizāciju un atceļ Padomes Regulas (EEK) Nr. 922/72, (EEK) Nr. 234/79, (EK) Nr. 1037/2001 un (EK) Nr. 1234/2007 (turpmāk – Regula Nr.1308/2013) </w:t>
            </w:r>
            <w:r w:rsidR="00E712BF" w:rsidRPr="004B6E42">
              <w:rPr>
                <w:color w:val="auto"/>
                <w:lang w:val="lv-LV"/>
              </w:rPr>
              <w:t>34.panta 4.</w:t>
            </w:r>
            <w:r w:rsidRPr="004B6E42">
              <w:rPr>
                <w:color w:val="auto"/>
                <w:lang w:val="lv-LV"/>
              </w:rPr>
              <w:t>punkts nosaka bezmaksas izplatīšanas mērķauditoriju, paredzot dalībvalstij tiesības tās izraudzīties un apstiprināt. Tādējādi noteikumu projekts nodefinē mērķauditoriju un uzdot Lauku atbalsta dienestam katru gadu līdz 1.novembrim publicēt šo iestāžu sarakstu oficiālajā izdevumā „Latvijas Vēstnesis”</w:t>
            </w:r>
          </w:p>
          <w:p w:rsidR="00F44D01" w:rsidRPr="004B6E42" w:rsidRDefault="00F44D01" w:rsidP="0075670D">
            <w:pPr>
              <w:pStyle w:val="Default"/>
              <w:jc w:val="both"/>
              <w:rPr>
                <w:color w:val="auto"/>
                <w:lang w:val="lv-LV"/>
              </w:rPr>
            </w:pPr>
            <w:r w:rsidRPr="004B6E42">
              <w:rPr>
                <w:color w:val="auto"/>
                <w:lang w:val="lv-LV"/>
              </w:rPr>
              <w:t xml:space="preserve">Atbalsts attiecas uz darbībām, kuras veic no 2014.gada 30.septembra līdz dienai, kad ir sasniegti katrai dalībvalstij noteiktie </w:t>
            </w:r>
            <w:r w:rsidR="00C553DF" w:rsidRPr="004B6E42">
              <w:rPr>
                <w:color w:val="auto"/>
                <w:lang w:val="lv-LV"/>
              </w:rPr>
              <w:t xml:space="preserve">atbalsttiesīgie produktu </w:t>
            </w:r>
            <w:r w:rsidRPr="004B6E42">
              <w:rPr>
                <w:color w:val="auto"/>
                <w:lang w:val="lv-LV"/>
              </w:rPr>
              <w:t>daudzumi (Latvijai tie ir 3000 tonnas) vai līdz 2014.gada 31.decembrim.</w:t>
            </w:r>
          </w:p>
          <w:p w:rsidR="00D6049A" w:rsidRPr="004B6E42" w:rsidRDefault="00D6049A" w:rsidP="0075670D">
            <w:pPr>
              <w:pStyle w:val="Default"/>
              <w:jc w:val="both"/>
              <w:rPr>
                <w:color w:val="auto"/>
                <w:lang w:val="lv-LV"/>
              </w:rPr>
            </w:pPr>
            <w:r w:rsidRPr="004B6E42">
              <w:rPr>
                <w:color w:val="auto"/>
                <w:lang w:val="lv-LV"/>
              </w:rPr>
              <w:t>Ņemot vērā iepriekšminēto atbalsta īstenošanas periodu, Latvijas klimatiskos apstākļus, veģetācijas periodu un ražošanas praksi, kā arī diskusiju rezultātus ar biedrību „Latvijas Dārznieks” un „Latvijas Augļkopju Asociācija”, tika nolemts, ka ārkārtas atbalsts augļu un dārzeņu nozarei Latvijā tiks paredzēts āboliem, burkāniem, galviņkāpostiem, ziedkāpostiem un brokoļiem.</w:t>
            </w:r>
          </w:p>
          <w:p w:rsidR="00F812E4" w:rsidRPr="004B6E42" w:rsidRDefault="00F812E4" w:rsidP="00F812E4">
            <w:pPr>
              <w:pStyle w:val="Default"/>
              <w:jc w:val="both"/>
              <w:rPr>
                <w:color w:val="auto"/>
                <w:lang w:val="lv-LV"/>
              </w:rPr>
            </w:pPr>
            <w:r w:rsidRPr="004B6E42">
              <w:rPr>
                <w:color w:val="auto"/>
                <w:lang w:val="lv-LV"/>
              </w:rPr>
              <w:t>Katrai dalībvalstij pamatojoties uz Regulas Nr.1031/2014 3.pantu ir jāsadala tai noteiktie daudzumi starp ražotāju organizācijām un ražotājiem, kas n</w:t>
            </w:r>
            <w:r w:rsidR="00D6049A" w:rsidRPr="004B6E42">
              <w:rPr>
                <w:color w:val="auto"/>
                <w:lang w:val="lv-LV"/>
              </w:rPr>
              <w:t>av ražotāju organizāciju biedri, piemērojot rindas kārtības principu.</w:t>
            </w:r>
            <w:r w:rsidR="00D6049A">
              <w:rPr>
                <w:color w:val="FF0000"/>
                <w:lang w:val="lv-LV"/>
              </w:rPr>
              <w:t xml:space="preserve"> </w:t>
            </w:r>
            <w:r w:rsidR="00D6049A" w:rsidRPr="004B6E42">
              <w:rPr>
                <w:color w:val="auto"/>
                <w:lang w:val="lv-LV"/>
              </w:rPr>
              <w:lastRenderedPageBreak/>
              <w:t>Tomēr iepriekšminētais pants paredz, ka dalībvalstis var noteikt citu sistēmu, balstoties uz objektīviem un nediskriminējošiem kritērijiem.</w:t>
            </w:r>
          </w:p>
          <w:p w:rsidR="00093F64" w:rsidRDefault="00513407" w:rsidP="0075670D">
            <w:pPr>
              <w:pStyle w:val="Default"/>
              <w:jc w:val="both"/>
              <w:rPr>
                <w:lang w:val="lv-LV"/>
              </w:rPr>
            </w:pPr>
            <w:r w:rsidRPr="004B6E42">
              <w:rPr>
                <w:color w:val="auto"/>
                <w:lang w:val="lv-LV"/>
              </w:rPr>
              <w:t>Tā kā R</w:t>
            </w:r>
            <w:r w:rsidR="00F812E4" w:rsidRPr="004B6E42">
              <w:rPr>
                <w:color w:val="auto"/>
                <w:lang w:val="lv-LV"/>
              </w:rPr>
              <w:t xml:space="preserve">egulas </w:t>
            </w:r>
            <w:r w:rsidR="00F812E4">
              <w:rPr>
                <w:lang w:val="lv-LV"/>
              </w:rPr>
              <w:t>Nr.1031/2014 atbalsts ir paredzēts, lai novērstu nopietnus tirgus traucējumu draudus, tad Latvija savus aprēķinus balstīja uz tirgus orientētām saimniecīb</w:t>
            </w:r>
            <w:r w:rsidR="00093F64">
              <w:rPr>
                <w:lang w:val="lv-LV"/>
              </w:rPr>
              <w:t>ām</w:t>
            </w:r>
            <w:r w:rsidR="00F812E4">
              <w:rPr>
                <w:lang w:val="lv-LV"/>
              </w:rPr>
              <w:t xml:space="preserve"> (t.i., </w:t>
            </w:r>
            <w:r>
              <w:rPr>
                <w:lang w:val="lv-LV"/>
              </w:rPr>
              <w:t xml:space="preserve">dārzeņu ražošanas </w:t>
            </w:r>
            <w:r w:rsidR="00093F64">
              <w:rPr>
                <w:lang w:val="lv-LV"/>
              </w:rPr>
              <w:t xml:space="preserve">saimniecības, kur dārzeņu ražošana notiek sākot </w:t>
            </w:r>
            <w:r w:rsidR="00F812E4">
              <w:rPr>
                <w:lang w:val="lv-LV"/>
              </w:rPr>
              <w:t>no 1 ha</w:t>
            </w:r>
            <w:r>
              <w:rPr>
                <w:lang w:val="lv-LV"/>
              </w:rPr>
              <w:t>, un uz tirgu orientētās ābolu ražojošās saimniecības</w:t>
            </w:r>
            <w:r w:rsidR="00F812E4">
              <w:rPr>
                <w:lang w:val="lv-LV"/>
              </w:rPr>
              <w:t>)</w:t>
            </w:r>
            <w:r>
              <w:rPr>
                <w:lang w:val="lv-LV"/>
              </w:rPr>
              <w:t xml:space="preserve">. </w:t>
            </w:r>
            <w:r w:rsidR="00093F64">
              <w:rPr>
                <w:lang w:val="lv-LV"/>
              </w:rPr>
              <w:t xml:space="preserve">Saskaņā ar </w:t>
            </w:r>
            <w:r w:rsidR="000D1327">
              <w:rPr>
                <w:lang w:val="lv-LV"/>
              </w:rPr>
              <w:t>biedrības</w:t>
            </w:r>
            <w:r w:rsidR="00093F64">
              <w:rPr>
                <w:lang w:val="lv-LV"/>
              </w:rPr>
              <w:t xml:space="preserve"> „Latvijas Dārznieks”</w:t>
            </w:r>
            <w:r w:rsidR="000D1327">
              <w:rPr>
                <w:lang w:val="lv-LV"/>
              </w:rPr>
              <w:t xml:space="preserve"> un „Latvijas Augļkopju Asociācija”</w:t>
            </w:r>
            <w:r w:rsidR="00093F64">
              <w:rPr>
                <w:lang w:val="lv-LV"/>
              </w:rPr>
              <w:t xml:space="preserve"> </w:t>
            </w:r>
            <w:r w:rsidR="000D1327">
              <w:rPr>
                <w:lang w:val="lv-LV"/>
              </w:rPr>
              <w:t>sniegto informāciju</w:t>
            </w:r>
            <w:r w:rsidR="00093F64">
              <w:rPr>
                <w:lang w:val="lv-LV"/>
              </w:rPr>
              <w:t>, platības ir šādas:</w:t>
            </w:r>
          </w:p>
          <w:p w:rsidR="00093F64" w:rsidRDefault="00093F64" w:rsidP="00093F64">
            <w:pPr>
              <w:pStyle w:val="Default"/>
              <w:numPr>
                <w:ilvl w:val="0"/>
                <w:numId w:val="4"/>
              </w:numPr>
              <w:jc w:val="both"/>
              <w:rPr>
                <w:lang w:val="lv-LV"/>
              </w:rPr>
            </w:pPr>
            <w:r>
              <w:rPr>
                <w:lang w:val="lv-LV"/>
              </w:rPr>
              <w:t>ražotāju organizācijām: burkāni – 256 ha, kāposti – 337 ha un ziedkāposti – 28 ha;</w:t>
            </w:r>
          </w:p>
          <w:p w:rsidR="00093F64" w:rsidRDefault="00093F64" w:rsidP="00093F64">
            <w:pPr>
              <w:pStyle w:val="Default"/>
              <w:numPr>
                <w:ilvl w:val="0"/>
                <w:numId w:val="4"/>
              </w:numPr>
              <w:jc w:val="both"/>
              <w:rPr>
                <w:lang w:val="lv-LV"/>
              </w:rPr>
            </w:pPr>
            <w:r>
              <w:rPr>
                <w:lang w:val="lv-LV"/>
              </w:rPr>
              <w:t>individuālajiem ražotājiem, kas nav ražotāju organizāciju biedri</w:t>
            </w:r>
            <w:r w:rsidR="000D1327">
              <w:rPr>
                <w:lang w:val="lv-LV"/>
              </w:rPr>
              <w:t>: burkāni – 166</w:t>
            </w:r>
            <w:r>
              <w:rPr>
                <w:lang w:val="lv-LV"/>
              </w:rPr>
              <w:t xml:space="preserve"> ha, kāposti – </w:t>
            </w:r>
            <w:r w:rsidR="000D1327">
              <w:rPr>
                <w:lang w:val="lv-LV"/>
              </w:rPr>
              <w:t>194</w:t>
            </w:r>
            <w:r w:rsidR="004261BB">
              <w:rPr>
                <w:lang w:val="lv-LV"/>
              </w:rPr>
              <w:t xml:space="preserve"> ha un </w:t>
            </w:r>
            <w:r>
              <w:rPr>
                <w:lang w:val="lv-LV"/>
              </w:rPr>
              <w:t>ziedkāposti – 7 ha</w:t>
            </w:r>
            <w:r w:rsidR="004261BB">
              <w:rPr>
                <w:lang w:val="lv-LV"/>
              </w:rPr>
              <w:t>, bet āboli – 860 ha</w:t>
            </w:r>
            <w:r>
              <w:rPr>
                <w:lang w:val="lv-LV"/>
              </w:rPr>
              <w:t>.</w:t>
            </w:r>
          </w:p>
          <w:p w:rsidR="00F812E4" w:rsidRDefault="00513407" w:rsidP="0075670D">
            <w:pPr>
              <w:pStyle w:val="Default"/>
              <w:jc w:val="both"/>
              <w:rPr>
                <w:lang w:val="lv-LV"/>
              </w:rPr>
            </w:pPr>
            <w:r>
              <w:rPr>
                <w:lang w:val="lv-LV"/>
              </w:rPr>
              <w:t>Saskaņā ar biedrības „Latvijas Dārznieks” sniegto informāciju r</w:t>
            </w:r>
            <w:r w:rsidR="00F812E4">
              <w:rPr>
                <w:lang w:val="lv-LV"/>
              </w:rPr>
              <w:t>ažotā</w:t>
            </w:r>
            <w:r>
              <w:rPr>
                <w:lang w:val="lv-LV"/>
              </w:rPr>
              <w:t>ju organizācijām vidējās ražība</w:t>
            </w:r>
            <w:r w:rsidR="00F812E4">
              <w:rPr>
                <w:lang w:val="lv-LV"/>
              </w:rPr>
              <w:t xml:space="preserve"> no ha </w:t>
            </w:r>
            <w:r>
              <w:rPr>
                <w:lang w:val="lv-LV"/>
              </w:rPr>
              <w:t xml:space="preserve">sastāda: </w:t>
            </w:r>
            <w:r w:rsidR="00093F64">
              <w:rPr>
                <w:lang w:val="lv-LV"/>
              </w:rPr>
              <w:t>burkāni</w:t>
            </w:r>
            <w:r>
              <w:rPr>
                <w:lang w:val="lv-LV"/>
              </w:rPr>
              <w:t>em</w:t>
            </w:r>
            <w:r w:rsidR="00093F64">
              <w:rPr>
                <w:lang w:val="lv-LV"/>
              </w:rPr>
              <w:t xml:space="preserve"> – 60 t/ha, galviņkāposti</w:t>
            </w:r>
            <w:r>
              <w:rPr>
                <w:lang w:val="lv-LV"/>
              </w:rPr>
              <w:t>em</w:t>
            </w:r>
            <w:r w:rsidR="00093F64">
              <w:rPr>
                <w:lang w:val="lv-LV"/>
              </w:rPr>
              <w:t xml:space="preserve"> – 70 t/ha un ziedkāposti</w:t>
            </w:r>
            <w:r>
              <w:rPr>
                <w:lang w:val="lv-LV"/>
              </w:rPr>
              <w:t xml:space="preserve">em – 30 t/ha. Savukārt </w:t>
            </w:r>
            <w:r w:rsidR="00F812E4">
              <w:rPr>
                <w:lang w:val="lv-LV"/>
              </w:rPr>
              <w:t xml:space="preserve"> individuālajiem ražotājiem, kas nav ražotāju organizāciju biedri, </w:t>
            </w:r>
            <w:r>
              <w:rPr>
                <w:lang w:val="lv-LV"/>
              </w:rPr>
              <w:t>vidējā ražība no ha tika noteikta</w:t>
            </w:r>
            <w:r w:rsidR="00093F64">
              <w:rPr>
                <w:lang w:val="lv-LV"/>
              </w:rPr>
              <w:t xml:space="preserve"> balstoties</w:t>
            </w:r>
            <w:r w:rsidR="00F812E4">
              <w:rPr>
                <w:lang w:val="lv-LV"/>
              </w:rPr>
              <w:t xml:space="preserve"> uz Centrālās statistikas pārvaldes datiem</w:t>
            </w:r>
            <w:r>
              <w:rPr>
                <w:lang w:val="lv-LV"/>
              </w:rPr>
              <w:t xml:space="preserve">: </w:t>
            </w:r>
            <w:r w:rsidR="00093F64">
              <w:rPr>
                <w:lang w:val="lv-LV"/>
              </w:rPr>
              <w:t>burkāni</w:t>
            </w:r>
            <w:r>
              <w:rPr>
                <w:lang w:val="lv-LV"/>
              </w:rPr>
              <w:t xml:space="preserve">em – 20,98 t/ha, kāpostiem </w:t>
            </w:r>
            <w:r w:rsidR="00093F64">
              <w:rPr>
                <w:lang w:val="lv-LV"/>
              </w:rPr>
              <w:t>– 16,08 t/ha un ziedkāposti</w:t>
            </w:r>
            <w:r>
              <w:rPr>
                <w:lang w:val="lv-LV"/>
              </w:rPr>
              <w:t>em</w:t>
            </w:r>
            <w:r w:rsidR="00093F64">
              <w:rPr>
                <w:lang w:val="lv-LV"/>
              </w:rPr>
              <w:t xml:space="preserve"> – 8,89 t/h</w:t>
            </w:r>
            <w:r>
              <w:rPr>
                <w:lang w:val="lv-LV"/>
              </w:rPr>
              <w:t>).</w:t>
            </w:r>
            <w:r w:rsidR="004261BB">
              <w:rPr>
                <w:lang w:val="lv-LV"/>
              </w:rPr>
              <w:t xml:space="preserve"> </w:t>
            </w:r>
            <w:r>
              <w:rPr>
                <w:lang w:val="lv-LV"/>
              </w:rPr>
              <w:t xml:space="preserve">Saskaņā ar „Latvijas Augļkopju Asociācija” sniegto informāciju ābolu vidējā ražība uz tirgus orientētām saimniecībām ir </w:t>
            </w:r>
            <w:r w:rsidR="004261BB">
              <w:rPr>
                <w:lang w:val="lv-LV"/>
              </w:rPr>
              <w:t>20 t/ha.</w:t>
            </w:r>
          </w:p>
          <w:p w:rsidR="00F812E4" w:rsidRDefault="00F812E4" w:rsidP="0075670D">
            <w:pPr>
              <w:pStyle w:val="Default"/>
              <w:jc w:val="both"/>
              <w:rPr>
                <w:lang w:val="lv-LV"/>
              </w:rPr>
            </w:pPr>
            <w:r>
              <w:rPr>
                <w:lang w:val="lv-LV"/>
              </w:rPr>
              <w:t>Tādējādi:</w:t>
            </w:r>
          </w:p>
          <w:p w:rsidR="00F812E4" w:rsidRDefault="00F812E4" w:rsidP="00F812E4">
            <w:pPr>
              <w:pStyle w:val="Default"/>
              <w:numPr>
                <w:ilvl w:val="0"/>
                <w:numId w:val="3"/>
              </w:numPr>
              <w:jc w:val="both"/>
              <w:rPr>
                <w:lang w:val="lv-LV"/>
              </w:rPr>
            </w:pPr>
            <w:r>
              <w:rPr>
                <w:lang w:val="lv-LV"/>
              </w:rPr>
              <w:t xml:space="preserve">ražotāju organizācijām burkāni, kāposti un ziedkāposti sastādīja 39 790 tonnas, kas veido </w:t>
            </w:r>
            <w:r w:rsidR="004261BB">
              <w:rPr>
                <w:lang w:val="lv-LV"/>
              </w:rPr>
              <w:t>62,51</w:t>
            </w:r>
            <w:r>
              <w:rPr>
                <w:lang w:val="lv-LV"/>
              </w:rPr>
              <w:t xml:space="preserve">% no </w:t>
            </w:r>
            <w:r w:rsidR="00C553DF">
              <w:rPr>
                <w:lang w:val="lv-LV"/>
              </w:rPr>
              <w:t xml:space="preserve">iepriekšminēto dārzeņu </w:t>
            </w:r>
            <w:r>
              <w:rPr>
                <w:lang w:val="lv-LV"/>
              </w:rPr>
              <w:t xml:space="preserve">kopējā </w:t>
            </w:r>
            <w:r w:rsidR="00C553DF">
              <w:rPr>
                <w:lang w:val="lv-LV"/>
              </w:rPr>
              <w:t>iegūstamā ražas</w:t>
            </w:r>
            <w:r>
              <w:rPr>
                <w:lang w:val="lv-LV"/>
              </w:rPr>
              <w:t xml:space="preserve"> apjoma saimniecībās, kur ražošana notiek sākot no 1 ha;</w:t>
            </w:r>
          </w:p>
          <w:p w:rsidR="00F812E4" w:rsidRDefault="00F812E4" w:rsidP="00F812E4">
            <w:pPr>
              <w:pStyle w:val="Default"/>
              <w:numPr>
                <w:ilvl w:val="0"/>
                <w:numId w:val="3"/>
              </w:numPr>
              <w:jc w:val="both"/>
              <w:rPr>
                <w:lang w:val="lv-LV"/>
              </w:rPr>
            </w:pPr>
            <w:r>
              <w:rPr>
                <w:lang w:val="lv-LV"/>
              </w:rPr>
              <w:t xml:space="preserve">individuālajiem ražotājiem, kuri nav ražotāju organizāciju biedri, </w:t>
            </w:r>
            <w:r w:rsidR="004261BB">
              <w:rPr>
                <w:lang w:val="lv-LV"/>
              </w:rPr>
              <w:t xml:space="preserve">burkāni, kāposti un ziedkāposti, kā arī āboli </w:t>
            </w:r>
            <w:r>
              <w:rPr>
                <w:lang w:val="lv-LV"/>
              </w:rPr>
              <w:t xml:space="preserve">sastādīja </w:t>
            </w:r>
            <w:r w:rsidR="004261BB">
              <w:rPr>
                <w:lang w:val="lv-LV"/>
              </w:rPr>
              <w:t>23 864,43</w:t>
            </w:r>
            <w:r>
              <w:rPr>
                <w:lang w:val="lv-LV"/>
              </w:rPr>
              <w:t xml:space="preserve"> tonnas, kas veido </w:t>
            </w:r>
            <w:r w:rsidR="00C553DF">
              <w:rPr>
                <w:lang w:val="lv-LV"/>
              </w:rPr>
              <w:t xml:space="preserve">37,49 </w:t>
            </w:r>
            <w:r>
              <w:rPr>
                <w:lang w:val="lv-LV"/>
              </w:rPr>
              <w:t xml:space="preserve">% no </w:t>
            </w:r>
            <w:r w:rsidR="00C553DF">
              <w:rPr>
                <w:lang w:val="lv-LV"/>
              </w:rPr>
              <w:t xml:space="preserve">iepriekšminēto dārzeņu </w:t>
            </w:r>
            <w:r>
              <w:rPr>
                <w:lang w:val="lv-LV"/>
              </w:rPr>
              <w:t xml:space="preserve">kopējā </w:t>
            </w:r>
            <w:r w:rsidR="00C553DF">
              <w:rPr>
                <w:lang w:val="lv-LV"/>
              </w:rPr>
              <w:t xml:space="preserve">iegūstamā ražas apjoma </w:t>
            </w:r>
            <w:r>
              <w:rPr>
                <w:lang w:val="lv-LV"/>
              </w:rPr>
              <w:t xml:space="preserve">saimniecībās, kur </w:t>
            </w:r>
            <w:r>
              <w:rPr>
                <w:lang w:val="lv-LV"/>
              </w:rPr>
              <w:lastRenderedPageBreak/>
              <w:t>ražošana notiek sākot no 1 ha</w:t>
            </w:r>
            <w:r w:rsidR="00C553DF">
              <w:rPr>
                <w:lang w:val="lv-LV"/>
              </w:rPr>
              <w:t>, un uz tirgu orientētās ābolu saimniecībās</w:t>
            </w:r>
            <w:r>
              <w:rPr>
                <w:lang w:val="lv-LV"/>
              </w:rPr>
              <w:t>.</w:t>
            </w:r>
          </w:p>
          <w:p w:rsidR="00F812E4" w:rsidRDefault="00F812E4" w:rsidP="00093F64">
            <w:pPr>
              <w:pStyle w:val="Default"/>
              <w:jc w:val="both"/>
              <w:rPr>
                <w:lang w:val="lv-LV"/>
              </w:rPr>
            </w:pPr>
            <w:r>
              <w:rPr>
                <w:lang w:val="lv-LV"/>
              </w:rPr>
              <w:t>Tā kā Latvijai noteiktai</w:t>
            </w:r>
            <w:r w:rsidR="00C553DF">
              <w:rPr>
                <w:lang w:val="lv-LV"/>
              </w:rPr>
              <w:t xml:space="preserve">s atbalsttiesīgo </w:t>
            </w:r>
            <w:r>
              <w:rPr>
                <w:lang w:val="lv-LV"/>
              </w:rPr>
              <w:t xml:space="preserve"> </w:t>
            </w:r>
            <w:r w:rsidR="00C553DF">
              <w:rPr>
                <w:lang w:val="lv-LV"/>
              </w:rPr>
              <w:t xml:space="preserve">produktu </w:t>
            </w:r>
            <w:r>
              <w:rPr>
                <w:lang w:val="lv-LV"/>
              </w:rPr>
              <w:t>apjoms ir 3000 tonnas, tad</w:t>
            </w:r>
            <w:r w:rsidR="00C553DF">
              <w:rPr>
                <w:lang w:val="lv-LV"/>
              </w:rPr>
              <w:t>,</w:t>
            </w:r>
            <w:r>
              <w:rPr>
                <w:lang w:val="lv-LV"/>
              </w:rPr>
              <w:t xml:space="preserve"> ņemot vērā iepriekšminēto</w:t>
            </w:r>
            <w:r w:rsidR="00C553DF">
              <w:rPr>
                <w:lang w:val="lv-LV"/>
              </w:rPr>
              <w:t>, sadalījums</w:t>
            </w:r>
            <w:r w:rsidR="00093F64">
              <w:rPr>
                <w:lang w:val="lv-LV"/>
              </w:rPr>
              <w:t xml:space="preserve"> ir šāds: ražotāju organizācijām – </w:t>
            </w:r>
            <w:r w:rsidR="00C553DF">
              <w:rPr>
                <w:lang w:val="lv-LV"/>
              </w:rPr>
              <w:t>1875</w:t>
            </w:r>
            <w:r w:rsidR="00093F64">
              <w:rPr>
                <w:lang w:val="lv-LV"/>
              </w:rPr>
              <w:t xml:space="preserve"> tonnas un </w:t>
            </w:r>
            <w:r w:rsidR="00093F64" w:rsidRPr="00093F64">
              <w:rPr>
                <w:lang w:val="lv-LV"/>
              </w:rPr>
              <w:t xml:space="preserve"> </w:t>
            </w:r>
            <w:r w:rsidR="00093F64">
              <w:rPr>
                <w:lang w:val="lv-LV"/>
              </w:rPr>
              <w:t xml:space="preserve">individuālajiem ražotājiem, kuri nav ražotāju organizāciju biedri, - </w:t>
            </w:r>
            <w:r w:rsidR="00C553DF">
              <w:rPr>
                <w:lang w:val="lv-LV"/>
              </w:rPr>
              <w:t>1125</w:t>
            </w:r>
            <w:r w:rsidR="00093F64">
              <w:rPr>
                <w:lang w:val="lv-LV"/>
              </w:rPr>
              <w:t xml:space="preserve"> tonnas.</w:t>
            </w:r>
          </w:p>
          <w:p w:rsidR="00D51735" w:rsidRPr="004B6E42" w:rsidRDefault="00E712BF" w:rsidP="0075670D">
            <w:pPr>
              <w:pStyle w:val="Default"/>
              <w:jc w:val="both"/>
              <w:rPr>
                <w:color w:val="auto"/>
                <w:lang w:val="lv-LV"/>
              </w:rPr>
            </w:pPr>
            <w:r w:rsidRPr="004B6E42">
              <w:rPr>
                <w:color w:val="auto"/>
                <w:lang w:val="lv-LV"/>
              </w:rPr>
              <w:t>Gadījumā ja Latvijai atbalsttiesīgo produktu apjoms 3000 tonnas tiek pārsniegts, tad Lauku atbalsta dienests atbalstam pieejamo produktu daudzumu samazina proporcionāli pieprasītajam apjomam.</w:t>
            </w:r>
          </w:p>
          <w:p w:rsidR="00AC4DF0" w:rsidRPr="003B78CD" w:rsidRDefault="00BA7AC2" w:rsidP="006B57D4">
            <w:pPr>
              <w:pStyle w:val="Default"/>
              <w:jc w:val="both"/>
              <w:rPr>
                <w:lang w:val="lv-LV"/>
              </w:rPr>
            </w:pPr>
            <w:r w:rsidRPr="004B6E42">
              <w:rPr>
                <w:color w:val="auto"/>
                <w:lang w:val="lv-LV"/>
              </w:rPr>
              <w:t xml:space="preserve">Saskaņā ar </w:t>
            </w:r>
            <w:r w:rsidR="00F44D01" w:rsidRPr="004B6E42">
              <w:rPr>
                <w:color w:val="auto"/>
                <w:lang w:val="lv-LV"/>
              </w:rPr>
              <w:t>R</w:t>
            </w:r>
            <w:r w:rsidR="006B57D4" w:rsidRPr="004B6E42">
              <w:rPr>
                <w:color w:val="auto"/>
                <w:lang w:val="lv-LV"/>
              </w:rPr>
              <w:t>egula</w:t>
            </w:r>
            <w:r w:rsidR="009F2926" w:rsidRPr="004B6E42">
              <w:rPr>
                <w:color w:val="auto"/>
                <w:lang w:val="lv-LV"/>
              </w:rPr>
              <w:t>s Nr.1308/2013</w:t>
            </w:r>
            <w:r w:rsidR="006B57D4" w:rsidRPr="004B6E42">
              <w:rPr>
                <w:color w:val="auto"/>
                <w:lang w:val="lv-LV"/>
              </w:rPr>
              <w:t xml:space="preserve"> </w:t>
            </w:r>
            <w:r w:rsidRPr="004B6E42">
              <w:rPr>
                <w:color w:val="auto"/>
                <w:lang w:val="lv-LV"/>
              </w:rPr>
              <w:t>33.panta 3.punkta „f” un „g”</w:t>
            </w:r>
            <w:r w:rsidR="00B61D2D" w:rsidRPr="004B6E42">
              <w:rPr>
                <w:color w:val="auto"/>
                <w:lang w:val="lv-LV"/>
              </w:rPr>
              <w:t xml:space="preserve"> apakšpunktiem</w:t>
            </w:r>
            <w:r w:rsidRPr="004B6E42">
              <w:rPr>
                <w:color w:val="auto"/>
                <w:lang w:val="lv-LV"/>
              </w:rPr>
              <w:t xml:space="preserve"> </w:t>
            </w:r>
            <w:r w:rsidR="004B614A" w:rsidRPr="004B6E42">
              <w:rPr>
                <w:color w:val="auto"/>
                <w:lang w:val="lv-LV"/>
              </w:rPr>
              <w:t xml:space="preserve">krīžu novēršana un pārvarēšana ir saistīta </w:t>
            </w:r>
            <w:r w:rsidR="004B614A">
              <w:rPr>
                <w:lang w:val="lv-LV"/>
              </w:rPr>
              <w:t xml:space="preserve">ar krīzes nepieļaušanu augļu un dārzeņu tirgos un rīcību krīzes situācijās, un pie tās pieder arī produktu izņemšana no tirgus un augļu un dārzeņu ražas priekšlaicīga novākšana vai ražas nenovākšana. </w:t>
            </w:r>
          </w:p>
          <w:p w:rsidR="002F255F" w:rsidRPr="003B78CD" w:rsidRDefault="002F255F" w:rsidP="006B57D4">
            <w:pPr>
              <w:pStyle w:val="Default"/>
              <w:jc w:val="both"/>
              <w:rPr>
                <w:lang w:val="lv-LV"/>
              </w:rPr>
            </w:pPr>
            <w:r w:rsidRPr="003B78CD">
              <w:rPr>
                <w:lang w:val="lv-LV"/>
              </w:rPr>
              <w:t xml:space="preserve">Detalizēti nosacījumi </w:t>
            </w:r>
            <w:r w:rsidR="004B614A">
              <w:rPr>
                <w:lang w:val="lv-LV"/>
              </w:rPr>
              <w:t>attiecībā uz krīzes pārvarēšanas pasākumiem augļu un dārzeņu nozarē ir atrodamas Komisijas 2011.gada 7.jūnija Īstenošanas Regula</w:t>
            </w:r>
            <w:r w:rsidRPr="003B78CD">
              <w:rPr>
                <w:lang w:val="lv-LV"/>
              </w:rPr>
              <w:t xml:space="preserve"> </w:t>
            </w:r>
            <w:r w:rsidR="004B614A">
              <w:rPr>
                <w:lang w:val="lv-LV"/>
              </w:rPr>
              <w:t>Nr.543/2011, ar ko nosaka sīki izstrādātus noteikumus Padomes Regulas (EK) Nr.1234/2007 piemērošanai attiecībā uz augļu un dārzeņu un pārstrādātu augļu</w:t>
            </w:r>
            <w:r w:rsidR="00F44D01">
              <w:rPr>
                <w:lang w:val="lv-LV"/>
              </w:rPr>
              <w:t xml:space="preserve"> un dārzeņu nozari (turpmāk - R</w:t>
            </w:r>
            <w:r w:rsidR="004B614A">
              <w:rPr>
                <w:lang w:val="lv-LV"/>
              </w:rPr>
              <w:t>egula Nr. 543/2011).</w:t>
            </w:r>
          </w:p>
          <w:p w:rsidR="00F17294" w:rsidRPr="003B78CD" w:rsidRDefault="00F17294" w:rsidP="006B57D4">
            <w:pPr>
              <w:pStyle w:val="Default"/>
              <w:jc w:val="both"/>
              <w:rPr>
                <w:lang w:val="lv-LV"/>
              </w:rPr>
            </w:pPr>
          </w:p>
          <w:p w:rsidR="002F255F" w:rsidRPr="003B78CD" w:rsidRDefault="00F44D01" w:rsidP="006B57D4">
            <w:pPr>
              <w:pStyle w:val="Default"/>
              <w:jc w:val="both"/>
              <w:rPr>
                <w:lang w:val="lv-LV"/>
              </w:rPr>
            </w:pPr>
            <w:r>
              <w:rPr>
                <w:lang w:val="lv-LV"/>
              </w:rPr>
              <w:t>Savukārt, R</w:t>
            </w:r>
            <w:r w:rsidR="002F255F" w:rsidRPr="003B78CD">
              <w:rPr>
                <w:lang w:val="lv-LV"/>
              </w:rPr>
              <w:t>egulas Nr.1308/2014 219.panta 1</w:t>
            </w:r>
            <w:r w:rsidR="00A55F36" w:rsidRPr="003B78CD">
              <w:rPr>
                <w:lang w:val="lv-LV"/>
              </w:rPr>
              <w:t>.</w:t>
            </w:r>
            <w:r w:rsidR="002F255F" w:rsidRPr="003B78CD">
              <w:rPr>
                <w:lang w:val="lv-LV"/>
              </w:rPr>
              <w:t>punkts paredz EK tiesības pieņemt deleģēto</w:t>
            </w:r>
            <w:r w:rsidR="00A55F36" w:rsidRPr="003B78CD">
              <w:rPr>
                <w:lang w:val="lv-LV"/>
              </w:rPr>
              <w:t>s aktus, lai efektīvi un iedarbī</w:t>
            </w:r>
            <w:r w:rsidR="002F255F" w:rsidRPr="003B78CD">
              <w:rPr>
                <w:lang w:val="lv-LV"/>
              </w:rPr>
              <w:t>gi reaģētu uz tirgus traucējumu draudiem, ko rada būtiska cenu samazināšanās iekšējos tirgos, ja paredzams, ka šāda situācija vai tās ietekme uz tirgu turpināsies vai pas</w:t>
            </w:r>
            <w:r w:rsidR="00A55F36" w:rsidRPr="003B78CD">
              <w:rPr>
                <w:lang w:val="lv-LV"/>
              </w:rPr>
              <w:t>l</w:t>
            </w:r>
            <w:r w:rsidR="002F255F" w:rsidRPr="003B78CD">
              <w:rPr>
                <w:lang w:val="lv-LV"/>
              </w:rPr>
              <w:t>iktināsies</w:t>
            </w:r>
            <w:r w:rsidR="00A55F36" w:rsidRPr="003B78CD">
              <w:rPr>
                <w:lang w:val="lv-LV"/>
              </w:rPr>
              <w:t xml:space="preserve">. Turklāt, steidzamu iemeslu dēļ šādus deleģētos aktus var pieņemt saskaņā </w:t>
            </w:r>
            <w:r>
              <w:rPr>
                <w:lang w:val="lv-LV"/>
              </w:rPr>
              <w:t>ar R</w:t>
            </w:r>
            <w:r w:rsidR="00A55F36" w:rsidRPr="003B78CD">
              <w:rPr>
                <w:lang w:val="lv-LV"/>
              </w:rPr>
              <w:t xml:space="preserve">egulas Nr.1308/2013 228.pantā noteikto steidzamības procedūru. Steidzamie iemesli var ietvert vajadzību rīkoties nekavējoties, lai tirgus traucējumu risinātu vai novērstu vai arī, ja ar nekavējošu rīcību novērstu, ka šādi tirgus traucējumu draudi turpinās vai izvēršas par smagāku vai ilgstošu traucējumu, vai arī ja vilcināšanās īstenot nekavējošu rīcību radītu traucējuma </w:t>
            </w:r>
            <w:r w:rsidR="00A55F36" w:rsidRPr="003B78CD">
              <w:rPr>
                <w:lang w:val="lv-LV"/>
              </w:rPr>
              <w:lastRenderedPageBreak/>
              <w:t>rašanās vai saasināšanās draudus, vai radītu situāciju, ka vēlāk apdraudējuma vai traucējuma novēršanai būs vajadzīgi plašāki pasākumi, vai arī kaitētu ražošanai vai tirgus apstākļiem. Šādus pasākumus ar deleģētajiem aktiem EK var noteikt tādā mērā un uz tik ilgu laiku, cik nepieciešams, lai novērstu tirgus traucējumus vai to draudus, paplašināt vai grozīt citu šajā regulā paredzēto pasākumu piemērošanas jomu, ilgumu vai citus aspektus.</w:t>
            </w:r>
          </w:p>
          <w:p w:rsidR="00A55F36" w:rsidRPr="003B78CD" w:rsidRDefault="004B614A" w:rsidP="006B57D4">
            <w:pPr>
              <w:pStyle w:val="Default"/>
              <w:jc w:val="both"/>
              <w:rPr>
                <w:lang w:val="lv-LV"/>
              </w:rPr>
            </w:pPr>
            <w:r>
              <w:rPr>
                <w:lang w:val="lv-LV"/>
              </w:rPr>
              <w:t xml:space="preserve">Regula </w:t>
            </w:r>
            <w:r w:rsidRPr="00F44D01">
              <w:rPr>
                <w:lang w:val="lv-LV"/>
              </w:rPr>
              <w:t>Nr.</w:t>
            </w:r>
            <w:r w:rsidR="00F44D01" w:rsidRPr="00F44D01">
              <w:rPr>
                <w:lang w:val="lv-LV"/>
              </w:rPr>
              <w:t>1031</w:t>
            </w:r>
            <w:r w:rsidR="00A55F36" w:rsidRPr="00F44D01">
              <w:rPr>
                <w:lang w:val="lv-LV"/>
              </w:rPr>
              <w:t>/2014</w:t>
            </w:r>
            <w:r w:rsidR="00A55F36" w:rsidRPr="003B78CD">
              <w:rPr>
                <w:lang w:val="lv-LV"/>
              </w:rPr>
              <w:t xml:space="preserve"> ir pieņemta, pamatojoties uz regulas Nr.1308/2013 219.panta 1.punktā dotajām EK deleģētajām pilnvarām, piešķirot atbalstu </w:t>
            </w:r>
            <w:r>
              <w:rPr>
                <w:lang w:val="lv-LV"/>
              </w:rPr>
              <w:t>pagaidu ārkārtas pasākumu īstenošanai.</w:t>
            </w:r>
            <w:r w:rsidR="00A55F36" w:rsidRPr="003B78CD">
              <w:rPr>
                <w:lang w:val="lv-LV"/>
              </w:rPr>
              <w:t xml:space="preserve"> </w:t>
            </w:r>
          </w:p>
          <w:p w:rsidR="00355352" w:rsidRPr="003B78CD" w:rsidRDefault="00355352" w:rsidP="006B57D4">
            <w:pPr>
              <w:pStyle w:val="Default"/>
              <w:jc w:val="both"/>
              <w:rPr>
                <w:lang w:val="lv-LV"/>
              </w:rPr>
            </w:pPr>
          </w:p>
          <w:p w:rsidR="00355352" w:rsidRPr="003B78CD" w:rsidRDefault="00727A42" w:rsidP="006B57D4">
            <w:pPr>
              <w:pStyle w:val="Default"/>
              <w:jc w:val="both"/>
              <w:rPr>
                <w:lang w:val="lv-LV"/>
              </w:rPr>
            </w:pPr>
            <w:r w:rsidRPr="003B78CD">
              <w:rPr>
                <w:lang w:val="lv-LV"/>
              </w:rPr>
              <w:t xml:space="preserve">Latvijā </w:t>
            </w:r>
            <w:r w:rsidR="00F44D01">
              <w:rPr>
                <w:lang w:val="lv-LV"/>
              </w:rPr>
              <w:t>R</w:t>
            </w:r>
            <w:r w:rsidRPr="003B78CD">
              <w:rPr>
                <w:lang w:val="lv-LV"/>
              </w:rPr>
              <w:t>egulu Nr.</w:t>
            </w:r>
            <w:r w:rsidR="004B614A">
              <w:rPr>
                <w:lang w:val="lv-LV"/>
              </w:rPr>
              <w:t>543</w:t>
            </w:r>
            <w:r w:rsidRPr="003B78CD">
              <w:rPr>
                <w:lang w:val="lv-LV"/>
              </w:rPr>
              <w:t>/</w:t>
            </w:r>
            <w:r w:rsidR="004B614A">
              <w:rPr>
                <w:lang w:val="lv-LV"/>
              </w:rPr>
              <w:t>2011</w:t>
            </w:r>
            <w:r w:rsidRPr="003B78CD">
              <w:rPr>
                <w:lang w:val="lv-LV"/>
              </w:rPr>
              <w:t xml:space="preserve"> ievieš Ministru kabineta 2011.gada </w:t>
            </w:r>
            <w:r w:rsidR="0005447F">
              <w:rPr>
                <w:lang w:val="lv-LV"/>
              </w:rPr>
              <w:t>21.jūnija</w:t>
            </w:r>
            <w:r w:rsidRPr="003B78CD">
              <w:rPr>
                <w:lang w:val="lv-LV"/>
              </w:rPr>
              <w:t xml:space="preserve"> noteikumi Nr.</w:t>
            </w:r>
            <w:r w:rsidR="0005447F">
              <w:rPr>
                <w:lang w:val="lv-LV"/>
              </w:rPr>
              <w:t>453</w:t>
            </w:r>
            <w:r w:rsidRPr="003B78CD">
              <w:rPr>
                <w:lang w:val="lv-LV"/>
              </w:rPr>
              <w:t xml:space="preserve"> “</w:t>
            </w:r>
            <w:r w:rsidR="0005447F">
              <w:rPr>
                <w:lang w:val="lv-LV"/>
              </w:rPr>
              <w:t xml:space="preserve">Noteikumi par augļu un dārzeņu ražotāju organizāciju atzīšanu, to darbības nosacījumiem un kontroli, kā arī kārtību, kādā piešķir, administrē un uzrauga Eiropas Savienības atbalstu augļu un dārzeņu ražotāju organizācijām” (turpmāk </w:t>
            </w:r>
            <w:r w:rsidR="00F44D01">
              <w:rPr>
                <w:lang w:val="lv-LV"/>
              </w:rPr>
              <w:t xml:space="preserve">- </w:t>
            </w:r>
            <w:r w:rsidR="0005447F">
              <w:rPr>
                <w:lang w:val="lv-LV"/>
              </w:rPr>
              <w:t>noteikumi Nr. 453)</w:t>
            </w:r>
            <w:r w:rsidRPr="003B78CD">
              <w:rPr>
                <w:lang w:val="lv-LV"/>
              </w:rPr>
              <w:t xml:space="preserve">. </w:t>
            </w:r>
          </w:p>
          <w:p w:rsidR="00F17294" w:rsidRPr="003B78CD" w:rsidRDefault="00F17294" w:rsidP="006B57D4">
            <w:pPr>
              <w:pStyle w:val="Default"/>
              <w:jc w:val="both"/>
              <w:rPr>
                <w:bCs/>
                <w:lang w:val="lv-LV"/>
              </w:rPr>
            </w:pPr>
          </w:p>
          <w:p w:rsidR="006B57D4" w:rsidRPr="003B78CD" w:rsidRDefault="00CE1D9A" w:rsidP="00F44D01">
            <w:pPr>
              <w:pStyle w:val="Default"/>
              <w:jc w:val="both"/>
              <w:rPr>
                <w:lang w:val="lv-LV"/>
              </w:rPr>
            </w:pPr>
            <w:r>
              <w:rPr>
                <w:bCs/>
                <w:lang w:val="lv-LV"/>
              </w:rPr>
              <w:t>A</w:t>
            </w:r>
            <w:r w:rsidR="00727A42" w:rsidRPr="003B78CD">
              <w:rPr>
                <w:bCs/>
                <w:lang w:val="lv-LV"/>
              </w:rPr>
              <w:t xml:space="preserve">r mērķi </w:t>
            </w:r>
            <w:r w:rsidR="004C0A51">
              <w:rPr>
                <w:bCs/>
                <w:lang w:val="lv-LV"/>
              </w:rPr>
              <w:t>pārņemt</w:t>
            </w:r>
            <w:r w:rsidR="00727A42" w:rsidRPr="003B78CD">
              <w:rPr>
                <w:bCs/>
                <w:lang w:val="lv-LV"/>
              </w:rPr>
              <w:t xml:space="preserve"> nacionālaj</w:t>
            </w:r>
            <w:r w:rsidR="004C0A51">
              <w:rPr>
                <w:bCs/>
                <w:lang w:val="lv-LV"/>
              </w:rPr>
              <w:t>os normatīvajos aktos</w:t>
            </w:r>
            <w:r w:rsidR="00F44D01">
              <w:rPr>
                <w:bCs/>
                <w:lang w:val="lv-LV"/>
              </w:rPr>
              <w:t xml:space="preserve"> R</w:t>
            </w:r>
            <w:r w:rsidR="00727A42" w:rsidRPr="003B78CD">
              <w:rPr>
                <w:bCs/>
                <w:lang w:val="lv-LV"/>
              </w:rPr>
              <w:t xml:space="preserve">egulu </w:t>
            </w:r>
            <w:r w:rsidR="00727A42" w:rsidRPr="00F44D01">
              <w:rPr>
                <w:bCs/>
                <w:lang w:val="lv-LV"/>
              </w:rPr>
              <w:t>Nr.</w:t>
            </w:r>
            <w:r w:rsidR="00F44D01" w:rsidRPr="00F44D01">
              <w:rPr>
                <w:bCs/>
                <w:lang w:val="lv-LV"/>
              </w:rPr>
              <w:t>1031</w:t>
            </w:r>
            <w:r w:rsidR="00727A42" w:rsidRPr="00F44D01">
              <w:rPr>
                <w:bCs/>
                <w:lang w:val="lv-LV"/>
              </w:rPr>
              <w:t>/2014,</w:t>
            </w:r>
            <w:r w:rsidR="00727A42" w:rsidRPr="003B78CD">
              <w:rPr>
                <w:bCs/>
                <w:lang w:val="lv-LV"/>
              </w:rPr>
              <w:t xml:space="preserve"> noteikumos Nr.</w:t>
            </w:r>
            <w:r>
              <w:rPr>
                <w:bCs/>
                <w:lang w:val="lv-LV"/>
              </w:rPr>
              <w:t>453</w:t>
            </w:r>
            <w:r w:rsidR="00727A42" w:rsidRPr="003B78CD">
              <w:rPr>
                <w:bCs/>
                <w:lang w:val="lv-LV"/>
              </w:rPr>
              <w:t xml:space="preserve"> nepieciešams veikt grozījumus.</w:t>
            </w:r>
            <w:r w:rsidR="00C61BA2">
              <w:rPr>
                <w:bCs/>
                <w:lang w:val="lv-LV"/>
              </w:rPr>
              <w:t xml:space="preserve"> </w:t>
            </w:r>
            <w:r w:rsidR="00727A42" w:rsidRPr="003B78CD">
              <w:rPr>
                <w:lang w:val="lv-LV"/>
              </w:rPr>
              <w:t xml:space="preserve">Tādējādi, </w:t>
            </w:r>
            <w:r w:rsidR="00355352" w:rsidRPr="003B78CD">
              <w:rPr>
                <w:lang w:val="lv-LV"/>
              </w:rPr>
              <w:t xml:space="preserve">noteikumu projekta </w:t>
            </w:r>
            <w:r w:rsidR="00727A42" w:rsidRPr="003B78CD">
              <w:rPr>
                <w:lang w:val="lv-LV"/>
              </w:rPr>
              <w:t xml:space="preserve">tiesiskā regulējuma mērķis ir nodrošināt </w:t>
            </w:r>
            <w:r w:rsidR="00345CFC" w:rsidRPr="003B78CD">
              <w:rPr>
                <w:lang w:val="lv-LV"/>
              </w:rPr>
              <w:t>pilnīgu</w:t>
            </w:r>
            <w:r w:rsidR="00727A42" w:rsidRPr="003B78CD">
              <w:rPr>
                <w:lang w:val="lv-LV"/>
              </w:rPr>
              <w:t xml:space="preserve"> tiesisko bāzi </w:t>
            </w:r>
            <w:r>
              <w:rPr>
                <w:lang w:val="lv-LV"/>
              </w:rPr>
              <w:t>ES finansēt</w:t>
            </w:r>
            <w:r w:rsidR="00B61D2D">
              <w:rPr>
                <w:lang w:val="lv-LV"/>
              </w:rPr>
              <w:t>ai</w:t>
            </w:r>
            <w:r>
              <w:rPr>
                <w:lang w:val="lv-LV"/>
              </w:rPr>
              <w:t xml:space="preserve"> pagaidu ārkārtas atbalsta pasākum</w:t>
            </w:r>
            <w:r w:rsidR="00B61D2D">
              <w:rPr>
                <w:lang w:val="lv-LV"/>
              </w:rPr>
              <w:t>u</w:t>
            </w:r>
            <w:r>
              <w:rPr>
                <w:lang w:val="lv-LV"/>
              </w:rPr>
              <w:t xml:space="preserve"> īstenošanai </w:t>
            </w:r>
            <w:r w:rsidR="00727A42" w:rsidRPr="003B78CD">
              <w:rPr>
                <w:lang w:val="lv-LV"/>
              </w:rPr>
              <w:t xml:space="preserve">Latvijā. </w:t>
            </w:r>
          </w:p>
        </w:tc>
      </w:tr>
      <w:tr w:rsidR="00683260" w:rsidRPr="003B78CD" w:rsidTr="00F44D01">
        <w:tc>
          <w:tcPr>
            <w:tcW w:w="251" w:type="pct"/>
          </w:tcPr>
          <w:p w:rsidR="00683260" w:rsidRPr="003B78CD" w:rsidRDefault="00683260" w:rsidP="006B57D4">
            <w:pPr>
              <w:pStyle w:val="naisf"/>
              <w:rPr>
                <w:lang w:val="lv-LV"/>
              </w:rPr>
            </w:pPr>
            <w:r w:rsidRPr="003B78CD">
              <w:rPr>
                <w:lang w:val="lv-LV"/>
              </w:rPr>
              <w:lastRenderedPageBreak/>
              <w:t>3.</w:t>
            </w:r>
          </w:p>
        </w:tc>
        <w:tc>
          <w:tcPr>
            <w:tcW w:w="2112" w:type="pct"/>
          </w:tcPr>
          <w:p w:rsidR="00683260" w:rsidRPr="003B78CD" w:rsidRDefault="00683260" w:rsidP="006B57D4">
            <w:pPr>
              <w:pStyle w:val="naisf"/>
              <w:rPr>
                <w:lang w:val="lv-LV"/>
              </w:rPr>
            </w:pPr>
            <w:r w:rsidRPr="003B78CD">
              <w:rPr>
                <w:lang w:val="lv-LV"/>
              </w:rPr>
              <w:t>Projekta izstrādē iesaistītās institūcijas</w:t>
            </w:r>
          </w:p>
        </w:tc>
        <w:tc>
          <w:tcPr>
            <w:tcW w:w="2637" w:type="pct"/>
          </w:tcPr>
          <w:p w:rsidR="00683260" w:rsidRPr="003B78CD" w:rsidRDefault="008D79F7" w:rsidP="006B57D4">
            <w:pPr>
              <w:pStyle w:val="naisf"/>
              <w:rPr>
                <w:lang w:val="lv-LV"/>
              </w:rPr>
            </w:pPr>
            <w:r w:rsidRPr="003B78CD">
              <w:rPr>
                <w:lang w:val="lv-LV"/>
              </w:rPr>
              <w:t>Lauku atbalsta dienests</w:t>
            </w:r>
          </w:p>
        </w:tc>
      </w:tr>
      <w:tr w:rsidR="00683260" w:rsidRPr="003B78CD" w:rsidTr="00F44D01">
        <w:tc>
          <w:tcPr>
            <w:tcW w:w="251" w:type="pct"/>
          </w:tcPr>
          <w:p w:rsidR="00683260" w:rsidRPr="003B78CD" w:rsidRDefault="00683260" w:rsidP="006B57D4">
            <w:pPr>
              <w:pStyle w:val="naisf"/>
              <w:rPr>
                <w:lang w:val="lv-LV"/>
              </w:rPr>
            </w:pPr>
            <w:r w:rsidRPr="003B78CD">
              <w:rPr>
                <w:lang w:val="lv-LV"/>
              </w:rPr>
              <w:t>4.</w:t>
            </w:r>
          </w:p>
        </w:tc>
        <w:tc>
          <w:tcPr>
            <w:tcW w:w="2112" w:type="pct"/>
          </w:tcPr>
          <w:p w:rsidR="00683260" w:rsidRPr="003B78CD" w:rsidRDefault="00683260" w:rsidP="006B57D4">
            <w:pPr>
              <w:pStyle w:val="naisf"/>
              <w:rPr>
                <w:lang w:val="lv-LV"/>
              </w:rPr>
            </w:pPr>
            <w:r w:rsidRPr="003B78CD">
              <w:rPr>
                <w:lang w:val="lv-LV"/>
              </w:rPr>
              <w:t>Cita informācija</w:t>
            </w:r>
          </w:p>
        </w:tc>
        <w:tc>
          <w:tcPr>
            <w:tcW w:w="2637" w:type="pct"/>
          </w:tcPr>
          <w:p w:rsidR="00683260" w:rsidRPr="003B78CD" w:rsidRDefault="00683260" w:rsidP="006B57D4">
            <w:pPr>
              <w:pStyle w:val="naisf"/>
              <w:rPr>
                <w:lang w:val="lv-LV"/>
              </w:rPr>
            </w:pPr>
            <w:r w:rsidRPr="003B78CD">
              <w:rPr>
                <w:lang w:val="lv-LV"/>
              </w:rPr>
              <w:t>Nav.</w:t>
            </w:r>
          </w:p>
        </w:tc>
      </w:tr>
    </w:tbl>
    <w:p w:rsidR="00F44D01" w:rsidRDefault="00F44D01"/>
    <w:tbl>
      <w:tblPr>
        <w:tblW w:w="4658" w:type="pct"/>
        <w:tblInd w:w="53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90"/>
        <w:gridCol w:w="1730"/>
        <w:gridCol w:w="6526"/>
      </w:tblGrid>
      <w:tr w:rsidR="00683260" w:rsidRPr="003B78CD" w:rsidTr="00513407">
        <w:tc>
          <w:tcPr>
            <w:tcW w:w="5000" w:type="pct"/>
            <w:gridSpan w:val="3"/>
            <w:tcBorders>
              <w:top w:val="outset" w:sz="6" w:space="0" w:color="auto"/>
              <w:left w:val="outset" w:sz="6" w:space="0" w:color="auto"/>
              <w:bottom w:val="outset" w:sz="6" w:space="0" w:color="auto"/>
              <w:right w:val="outset" w:sz="6" w:space="0" w:color="auto"/>
            </w:tcBorders>
          </w:tcPr>
          <w:p w:rsidR="00683260" w:rsidRPr="003B78CD" w:rsidRDefault="00683260" w:rsidP="006B57D4">
            <w:pPr>
              <w:pStyle w:val="naisf"/>
              <w:rPr>
                <w:b/>
                <w:lang w:val="lv-LV"/>
              </w:rPr>
            </w:pPr>
            <w:r w:rsidRPr="003B78CD">
              <w:rPr>
                <w:b/>
                <w:lang w:val="lv-LV"/>
              </w:rPr>
              <w:t>II. Tiesību akta projekta ietekme uz sabiedrību,</w:t>
            </w:r>
            <w:r w:rsidRPr="003B78CD">
              <w:rPr>
                <w:b/>
                <w:bCs/>
                <w:lang w:val="lv-LV"/>
              </w:rPr>
              <w:t xml:space="preserve"> tautsaimniecības attīstību un administratīvo slogu</w:t>
            </w:r>
          </w:p>
        </w:tc>
      </w:tr>
      <w:tr w:rsidR="00683260" w:rsidRPr="00176A4E" w:rsidTr="00513407">
        <w:tc>
          <w:tcPr>
            <w:tcW w:w="226"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1.</w:t>
            </w:r>
          </w:p>
        </w:tc>
        <w:tc>
          <w:tcPr>
            <w:tcW w:w="1000"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Sabiedrības mērķgrupas, kuras tiesiskais regulējums ietekmē vai varētu ietekmēt</w:t>
            </w:r>
          </w:p>
        </w:tc>
        <w:tc>
          <w:tcPr>
            <w:tcW w:w="3774" w:type="pct"/>
            <w:tcBorders>
              <w:top w:val="outset" w:sz="6" w:space="0" w:color="auto"/>
              <w:left w:val="outset" w:sz="6" w:space="0" w:color="auto"/>
              <w:right w:val="outset" w:sz="6" w:space="0" w:color="auto"/>
            </w:tcBorders>
          </w:tcPr>
          <w:p w:rsidR="00F17294" w:rsidRPr="003B78CD" w:rsidRDefault="00F44D01" w:rsidP="00F44D01">
            <w:pPr>
              <w:pStyle w:val="naisf"/>
              <w:rPr>
                <w:lang w:val="lv-LV"/>
              </w:rPr>
            </w:pPr>
            <w:r>
              <w:rPr>
                <w:lang w:val="lv-LV"/>
              </w:rPr>
              <w:t>Ņemot vērā, ka atbalsts attiecas uz darbībām, kuras veic no 2014.gada 30.septembra, tad n</w:t>
            </w:r>
            <w:r w:rsidR="00355352" w:rsidRPr="003B78CD">
              <w:rPr>
                <w:lang w:val="lv-LV"/>
              </w:rPr>
              <w:t>oteiku</w:t>
            </w:r>
            <w:r w:rsidR="00505D69" w:rsidRPr="003B78CD">
              <w:rPr>
                <w:lang w:val="lv-LV"/>
              </w:rPr>
              <w:t>m</w:t>
            </w:r>
            <w:r w:rsidR="00355352" w:rsidRPr="003B78CD">
              <w:rPr>
                <w:lang w:val="lv-LV"/>
              </w:rPr>
              <w:t>u projekta t</w:t>
            </w:r>
            <w:r w:rsidR="00F17294" w:rsidRPr="003B78CD">
              <w:rPr>
                <w:lang w:val="lv-LV"/>
              </w:rPr>
              <w:t xml:space="preserve">iesiskais regulējums attieksies uz </w:t>
            </w:r>
            <w:r w:rsidR="00F37D4A">
              <w:rPr>
                <w:lang w:val="lv-LV"/>
              </w:rPr>
              <w:t>tiem augļu un dārzeņu ražotājiem, kas ražo ābolus, burkānus, kāpostus</w:t>
            </w:r>
            <w:r>
              <w:rPr>
                <w:lang w:val="lv-LV"/>
              </w:rPr>
              <w:t xml:space="preserve"> un</w:t>
            </w:r>
            <w:r w:rsidR="00F37D4A">
              <w:rPr>
                <w:lang w:val="lv-LV"/>
              </w:rPr>
              <w:t xml:space="preserve"> ziedkāpostus.</w:t>
            </w:r>
          </w:p>
        </w:tc>
      </w:tr>
      <w:tr w:rsidR="00683260" w:rsidRPr="00176A4E" w:rsidTr="00513407">
        <w:tc>
          <w:tcPr>
            <w:tcW w:w="226"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2.</w:t>
            </w:r>
          </w:p>
        </w:tc>
        <w:tc>
          <w:tcPr>
            <w:tcW w:w="1000"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 xml:space="preserve">Tiesiskā </w:t>
            </w:r>
            <w:r w:rsidRPr="003B78CD">
              <w:rPr>
                <w:lang w:val="lv-LV"/>
              </w:rPr>
              <w:lastRenderedPageBreak/>
              <w:t>regulējuma ietekme uz tautsaimniecību un administratīvo slogu</w:t>
            </w:r>
          </w:p>
        </w:tc>
        <w:tc>
          <w:tcPr>
            <w:tcW w:w="3774" w:type="pct"/>
            <w:tcBorders>
              <w:top w:val="outset" w:sz="6" w:space="0" w:color="auto"/>
              <w:left w:val="outset" w:sz="6" w:space="0" w:color="auto"/>
              <w:right w:val="outset" w:sz="6" w:space="0" w:color="auto"/>
            </w:tcBorders>
          </w:tcPr>
          <w:p w:rsidR="00505D69" w:rsidRPr="003B78CD" w:rsidRDefault="00505D69" w:rsidP="00355352">
            <w:pPr>
              <w:pStyle w:val="naisf"/>
              <w:rPr>
                <w:lang w:val="lv-LV"/>
              </w:rPr>
            </w:pPr>
            <w:r w:rsidRPr="003B78CD">
              <w:rPr>
                <w:lang w:val="lv-LV"/>
              </w:rPr>
              <w:lastRenderedPageBreak/>
              <w:t xml:space="preserve">Noteikumu projekta tiesiskais regulējums var ietekmēt </w:t>
            </w:r>
            <w:r w:rsidR="00D0784D">
              <w:rPr>
                <w:lang w:val="lv-LV"/>
              </w:rPr>
              <w:t xml:space="preserve">augļu un </w:t>
            </w:r>
            <w:r w:rsidR="00D0784D">
              <w:rPr>
                <w:lang w:val="lv-LV"/>
              </w:rPr>
              <w:lastRenderedPageBreak/>
              <w:t>dā</w:t>
            </w:r>
            <w:r w:rsidR="00B61D2D">
              <w:rPr>
                <w:lang w:val="lv-LV"/>
              </w:rPr>
              <w:t>rzeņu ražotājus</w:t>
            </w:r>
            <w:r w:rsidR="00D0784D">
              <w:rPr>
                <w:lang w:val="lv-LV"/>
              </w:rPr>
              <w:t>, ļaujot viņiem saņemt atbalstu par ārkārtas atbalsta pasākumu īstenošanu attiecībā uz viņu saražotu produkciju. Šo pasākumu īstenošana Eiropas līmenī var sekmēt cenu stabilizēšanos katrā atsevišķā dalībvalst</w:t>
            </w:r>
            <w:r w:rsidR="00B61D2D">
              <w:rPr>
                <w:lang w:val="lv-LV"/>
              </w:rPr>
              <w:t>ī</w:t>
            </w:r>
            <w:r w:rsidR="00D0784D">
              <w:rPr>
                <w:lang w:val="lv-LV"/>
              </w:rPr>
              <w:t>.</w:t>
            </w:r>
          </w:p>
          <w:p w:rsidR="00A71D2C" w:rsidRPr="003B78CD" w:rsidRDefault="00505D69" w:rsidP="00355352">
            <w:pPr>
              <w:pStyle w:val="naisf"/>
              <w:rPr>
                <w:lang w:val="lv-LV"/>
              </w:rPr>
            </w:pPr>
            <w:r w:rsidRPr="003B78CD">
              <w:rPr>
                <w:lang w:val="lv-LV"/>
              </w:rPr>
              <w:t xml:space="preserve">Noteikumu projekta tiesiskais regulējums radīs papildu administratīvo slogu </w:t>
            </w:r>
            <w:r w:rsidR="00D0784D">
              <w:rPr>
                <w:lang w:val="lv-LV"/>
              </w:rPr>
              <w:t>ražotājiem</w:t>
            </w:r>
            <w:r w:rsidRPr="003B78CD">
              <w:rPr>
                <w:lang w:val="lv-LV"/>
              </w:rPr>
              <w:t xml:space="preserve">, kas </w:t>
            </w:r>
            <w:r w:rsidR="00D0784D">
              <w:rPr>
                <w:lang w:val="lv-LV"/>
              </w:rPr>
              <w:t>īstenos pagaidu ārkārtas atbalsta pasākumus augļu un dārzeņu sektorā</w:t>
            </w:r>
            <w:r w:rsidRPr="003B78CD">
              <w:rPr>
                <w:lang w:val="lv-LV"/>
              </w:rPr>
              <w:t>, jo būs nepieciešams aizpildīt u</w:t>
            </w:r>
            <w:r w:rsidR="00B40211" w:rsidRPr="003B78CD">
              <w:rPr>
                <w:lang w:val="lv-LV"/>
              </w:rPr>
              <w:t>n iesniegt iesniegumu veidlapas</w:t>
            </w:r>
            <w:r w:rsidR="00D0784D">
              <w:rPr>
                <w:lang w:val="lv-LV"/>
              </w:rPr>
              <w:t xml:space="preserve"> un citus dokumentus.</w:t>
            </w:r>
            <w:r w:rsidR="00B61D2D">
              <w:rPr>
                <w:lang w:val="lv-LV"/>
              </w:rPr>
              <w:t xml:space="preserve"> Tomēr minētais</w:t>
            </w:r>
            <w:r w:rsidR="00A71D2C">
              <w:rPr>
                <w:lang w:val="lv-LV"/>
              </w:rPr>
              <w:t xml:space="preserve"> administratīvais slogs ir mazāks nekā iepriekš, jo šoreiz ražotajiem nav jāsniedz tirgus analīze, lai pierādīt</w:t>
            </w:r>
            <w:r w:rsidR="00F44D01">
              <w:rPr>
                <w:lang w:val="lv-LV"/>
              </w:rPr>
              <w:t>u</w:t>
            </w:r>
            <w:r w:rsidR="00A71D2C">
              <w:rPr>
                <w:lang w:val="lv-LV"/>
              </w:rPr>
              <w:t>, ka viņi ir pakļauti krīzei.</w:t>
            </w:r>
          </w:p>
          <w:p w:rsidR="00683260" w:rsidRPr="003B78CD" w:rsidRDefault="00505D69" w:rsidP="0042304B">
            <w:pPr>
              <w:pStyle w:val="naisf"/>
              <w:rPr>
                <w:lang w:val="lv-LV"/>
              </w:rPr>
            </w:pPr>
            <w:r w:rsidRPr="003B78CD">
              <w:rPr>
                <w:lang w:val="lv-LV"/>
              </w:rPr>
              <w:t xml:space="preserve">Tomēr </w:t>
            </w:r>
            <w:r w:rsidR="008D7653" w:rsidRPr="003B78CD">
              <w:rPr>
                <w:lang w:val="lv-LV"/>
              </w:rPr>
              <w:t xml:space="preserve">pašlaik </w:t>
            </w:r>
            <w:r w:rsidRPr="003B78CD">
              <w:rPr>
                <w:lang w:val="lv-LV"/>
              </w:rPr>
              <w:t xml:space="preserve">ir grūti novērtēt ietekmes apmērus, jo nav zināms, cik plaši Latvijas </w:t>
            </w:r>
            <w:r w:rsidR="0042304B">
              <w:rPr>
                <w:lang w:val="lv-LV"/>
              </w:rPr>
              <w:t>ražotāji</w:t>
            </w:r>
            <w:r w:rsidRPr="003B78CD">
              <w:rPr>
                <w:lang w:val="lv-LV"/>
              </w:rPr>
              <w:t xml:space="preserve"> izmantos</w:t>
            </w:r>
            <w:r w:rsidR="0042304B">
              <w:rPr>
                <w:lang w:val="lv-LV"/>
              </w:rPr>
              <w:t xml:space="preserve"> minēto atbalstu</w:t>
            </w:r>
            <w:r w:rsidRPr="003B78CD">
              <w:rPr>
                <w:lang w:val="lv-LV"/>
              </w:rPr>
              <w:t>.</w:t>
            </w:r>
          </w:p>
        </w:tc>
      </w:tr>
      <w:tr w:rsidR="00683260" w:rsidRPr="003B78CD" w:rsidTr="00513407">
        <w:tc>
          <w:tcPr>
            <w:tcW w:w="226"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lastRenderedPageBreak/>
              <w:t>3.</w:t>
            </w:r>
          </w:p>
        </w:tc>
        <w:tc>
          <w:tcPr>
            <w:tcW w:w="1000"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Administratīvo izmaksu monetārs novērtējums</w:t>
            </w:r>
          </w:p>
        </w:tc>
        <w:tc>
          <w:tcPr>
            <w:tcW w:w="3774"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Projekts šo jomu neskar.</w:t>
            </w:r>
          </w:p>
        </w:tc>
      </w:tr>
      <w:tr w:rsidR="00683260" w:rsidRPr="003B78CD" w:rsidTr="00513407">
        <w:tc>
          <w:tcPr>
            <w:tcW w:w="226"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4.</w:t>
            </w:r>
          </w:p>
        </w:tc>
        <w:tc>
          <w:tcPr>
            <w:tcW w:w="1000" w:type="pct"/>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Cita informācija</w:t>
            </w:r>
          </w:p>
        </w:tc>
        <w:tc>
          <w:tcPr>
            <w:tcW w:w="3774" w:type="pct"/>
            <w:tcBorders>
              <w:top w:val="outset" w:sz="6" w:space="0" w:color="auto"/>
              <w:left w:val="outset" w:sz="6" w:space="0" w:color="auto"/>
              <w:right w:val="outset" w:sz="6" w:space="0" w:color="auto"/>
            </w:tcBorders>
            <w:shd w:val="clear" w:color="auto" w:fill="auto"/>
          </w:tcPr>
          <w:p w:rsidR="00683260" w:rsidRPr="003B78CD" w:rsidRDefault="00683260" w:rsidP="006B57D4">
            <w:pPr>
              <w:pStyle w:val="naisf"/>
              <w:rPr>
                <w:lang w:val="lv-LV"/>
              </w:rPr>
            </w:pPr>
            <w:r w:rsidRPr="003B78CD">
              <w:rPr>
                <w:lang w:val="lv-LV"/>
              </w:rPr>
              <w:t>Nav.</w:t>
            </w:r>
          </w:p>
        </w:tc>
      </w:tr>
    </w:tbl>
    <w:p w:rsidR="00683260" w:rsidRPr="003B78CD" w:rsidRDefault="00683260" w:rsidP="006B57D4">
      <w:pPr>
        <w:pStyle w:val="naisf"/>
        <w:spacing w:before="0" w:beforeAutospacing="0" w:after="0" w:afterAutospacing="0"/>
        <w:rPr>
          <w:i/>
          <w:lang w:val="lv-LV"/>
        </w:rPr>
      </w:pPr>
    </w:p>
    <w:tbl>
      <w:tblPr>
        <w:tblW w:w="469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1167"/>
        <w:gridCol w:w="1464"/>
        <w:gridCol w:w="1167"/>
        <w:gridCol w:w="1167"/>
        <w:gridCol w:w="1268"/>
      </w:tblGrid>
      <w:tr w:rsidR="00731E63" w:rsidRPr="00176A4E" w:rsidTr="00513407">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III. Tiesību akta projekta ietekme uz valsts budžetu un pašvaldību budžetiem</w:t>
            </w:r>
          </w:p>
        </w:tc>
      </w:tr>
      <w:tr w:rsidR="00731E63" w:rsidRPr="003B78CD" w:rsidTr="007C6B7D">
        <w:trPr>
          <w:jc w:val="center"/>
        </w:trPr>
        <w:tc>
          <w:tcPr>
            <w:tcW w:w="1368" w:type="pct"/>
            <w:vMerge w:val="restar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Rādītāji</w:t>
            </w:r>
          </w:p>
        </w:tc>
        <w:tc>
          <w:tcPr>
            <w:tcW w:w="15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2014.</w:t>
            </w:r>
          </w:p>
        </w:tc>
        <w:tc>
          <w:tcPr>
            <w:tcW w:w="2099" w:type="pct"/>
            <w:gridSpan w:val="3"/>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Turpmākie trīs gadi (</w:t>
            </w:r>
            <w:r w:rsidRPr="003B78CD">
              <w:rPr>
                <w:i/>
                <w:iCs/>
                <w:lang w:val="lv-LV"/>
              </w:rPr>
              <w:t>euro</w:t>
            </w:r>
            <w:r w:rsidRPr="003B78CD">
              <w:rPr>
                <w:lang w:val="lv-LV"/>
              </w:rPr>
              <w:t>)</w:t>
            </w:r>
          </w:p>
        </w:tc>
      </w:tr>
      <w:tr w:rsidR="00731E63" w:rsidRPr="003B78CD" w:rsidTr="007C6B7D">
        <w:trPr>
          <w:jc w:val="center"/>
        </w:trPr>
        <w:tc>
          <w:tcPr>
            <w:tcW w:w="1368" w:type="pct"/>
            <w:vMerge/>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rPr>
                <w:b/>
                <w:bCs/>
                <w:lang w:val="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rPr>
                <w:b/>
                <w:bCs/>
                <w:lang w:val="lv-LV"/>
              </w:rPr>
            </w:pPr>
          </w:p>
        </w:tc>
        <w:tc>
          <w:tcPr>
            <w:tcW w:w="680"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2015.</w:t>
            </w:r>
          </w:p>
        </w:tc>
        <w:tc>
          <w:tcPr>
            <w:tcW w:w="680"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2016.</w:t>
            </w:r>
          </w:p>
        </w:tc>
        <w:tc>
          <w:tcPr>
            <w:tcW w:w="739"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2017.</w:t>
            </w:r>
          </w:p>
        </w:tc>
      </w:tr>
      <w:tr w:rsidR="00731E63" w:rsidRPr="003B78CD" w:rsidTr="007C6B7D">
        <w:trPr>
          <w:jc w:val="center"/>
        </w:trPr>
        <w:tc>
          <w:tcPr>
            <w:tcW w:w="1368" w:type="pct"/>
            <w:vMerge/>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rPr>
                <w:b/>
                <w:bCs/>
                <w:lang w:val="lv-LV"/>
              </w:rPr>
            </w:pPr>
          </w:p>
        </w:tc>
        <w:tc>
          <w:tcPr>
            <w:tcW w:w="680"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saskaņā ar valsts budžetu kārtējam gadam</w:t>
            </w:r>
          </w:p>
        </w:tc>
        <w:tc>
          <w:tcPr>
            <w:tcW w:w="853"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izmaiņas kārtējā gadā, salīdzinot ar valsts budžetu kārtējam gadam</w:t>
            </w:r>
          </w:p>
        </w:tc>
        <w:tc>
          <w:tcPr>
            <w:tcW w:w="680"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izmaiņas, salīdzinot ar kārtējo (n) gadu</w:t>
            </w:r>
          </w:p>
        </w:tc>
        <w:tc>
          <w:tcPr>
            <w:tcW w:w="680"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izmaiņas, salīdzinot ar kārtējo (n) gadu</w:t>
            </w:r>
          </w:p>
        </w:tc>
        <w:tc>
          <w:tcPr>
            <w:tcW w:w="739"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izmaiņas, salīdzinot ar kārtējo (n) gadu</w:t>
            </w:r>
          </w:p>
        </w:tc>
      </w:tr>
      <w:tr w:rsidR="00731E63"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1</w:t>
            </w:r>
          </w:p>
        </w:tc>
        <w:tc>
          <w:tcPr>
            <w:tcW w:w="680"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2</w:t>
            </w:r>
          </w:p>
        </w:tc>
        <w:tc>
          <w:tcPr>
            <w:tcW w:w="853"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3</w:t>
            </w:r>
          </w:p>
        </w:tc>
        <w:tc>
          <w:tcPr>
            <w:tcW w:w="680"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4</w:t>
            </w:r>
          </w:p>
        </w:tc>
        <w:tc>
          <w:tcPr>
            <w:tcW w:w="680"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5</w:t>
            </w:r>
          </w:p>
        </w:tc>
        <w:tc>
          <w:tcPr>
            <w:tcW w:w="739"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6</w:t>
            </w:r>
          </w:p>
        </w:tc>
      </w:tr>
      <w:tr w:rsidR="00B55720"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1. Budžeta ieņēmumi:</w:t>
            </w:r>
          </w:p>
        </w:tc>
        <w:tc>
          <w:tcPr>
            <w:tcW w:w="680" w:type="pct"/>
            <w:tcBorders>
              <w:top w:val="outset" w:sz="6" w:space="0" w:color="414142"/>
              <w:left w:val="outset" w:sz="6" w:space="0" w:color="414142"/>
              <w:bottom w:val="outset" w:sz="6" w:space="0" w:color="414142"/>
              <w:right w:val="outset" w:sz="6" w:space="0" w:color="414142"/>
            </w:tcBorders>
          </w:tcPr>
          <w:p w:rsidR="00B55720" w:rsidRPr="004B6E42" w:rsidRDefault="007C6B7D" w:rsidP="007C6B7D">
            <w:pPr>
              <w:jc w:val="center"/>
              <w:rPr>
                <w:lang w:val="lv-LV"/>
              </w:rPr>
            </w:pPr>
            <w:r w:rsidRPr="004B6E42">
              <w:rPr>
                <w:lang w:val="lv-LV"/>
              </w:rPr>
              <w:t>Nav precīzi aprēķināms</w:t>
            </w:r>
          </w:p>
        </w:tc>
        <w:tc>
          <w:tcPr>
            <w:tcW w:w="853" w:type="pct"/>
            <w:tcBorders>
              <w:top w:val="outset" w:sz="6" w:space="0" w:color="414142"/>
              <w:left w:val="outset" w:sz="6" w:space="0" w:color="414142"/>
              <w:bottom w:val="outset" w:sz="6" w:space="0" w:color="414142"/>
              <w:right w:val="outset" w:sz="6" w:space="0" w:color="414142"/>
            </w:tcBorders>
          </w:tcPr>
          <w:p w:rsidR="00B55720" w:rsidRPr="004B6E42" w:rsidRDefault="007C6B7D" w:rsidP="007C6B7D">
            <w:pPr>
              <w:jc w:val="center"/>
              <w:rPr>
                <w:lang w:val="lv-LV"/>
              </w:rPr>
            </w:pPr>
            <w:r w:rsidRPr="004B6E42">
              <w:rPr>
                <w:lang w:val="lv-LV"/>
              </w:rPr>
              <w:t>Nav precīzi aprēķināms</w:t>
            </w:r>
          </w:p>
        </w:tc>
        <w:tc>
          <w:tcPr>
            <w:tcW w:w="680" w:type="pct"/>
            <w:tcBorders>
              <w:top w:val="outset" w:sz="6" w:space="0" w:color="414142"/>
              <w:left w:val="outset" w:sz="6" w:space="0" w:color="414142"/>
              <w:bottom w:val="outset" w:sz="6" w:space="0" w:color="414142"/>
              <w:right w:val="outset" w:sz="6" w:space="0" w:color="414142"/>
            </w:tcBorders>
          </w:tcPr>
          <w:p w:rsidR="00B55720" w:rsidRPr="004B6E42" w:rsidRDefault="007C6B7D" w:rsidP="007C6B7D">
            <w:pPr>
              <w:jc w:val="center"/>
              <w:rPr>
                <w:lang w:val="lv-LV"/>
              </w:rPr>
            </w:pPr>
            <w:r w:rsidRPr="004B6E42">
              <w:rPr>
                <w:lang w:val="lv-LV"/>
              </w:rPr>
              <w:t>Nav precīzi aprēķināms</w:t>
            </w:r>
          </w:p>
        </w:tc>
        <w:tc>
          <w:tcPr>
            <w:tcW w:w="680" w:type="pct"/>
            <w:tcBorders>
              <w:top w:val="outset" w:sz="6" w:space="0" w:color="414142"/>
              <w:left w:val="outset" w:sz="6" w:space="0" w:color="414142"/>
              <w:bottom w:val="outset" w:sz="6" w:space="0" w:color="414142"/>
              <w:right w:val="outset" w:sz="6" w:space="0" w:color="414142"/>
            </w:tcBorders>
          </w:tcPr>
          <w:p w:rsidR="00B55720" w:rsidRPr="004B6E42" w:rsidRDefault="007C6B7D" w:rsidP="007C6B7D">
            <w:pPr>
              <w:jc w:val="center"/>
              <w:rPr>
                <w:lang w:val="lv-LV"/>
              </w:rPr>
            </w:pPr>
            <w:r w:rsidRPr="004B6E42">
              <w:rPr>
                <w:lang w:val="lv-LV"/>
              </w:rPr>
              <w:t>Nav precīzi aprēķināms</w:t>
            </w:r>
          </w:p>
        </w:tc>
        <w:tc>
          <w:tcPr>
            <w:tcW w:w="739" w:type="pct"/>
            <w:tcBorders>
              <w:top w:val="outset" w:sz="6" w:space="0" w:color="414142"/>
              <w:left w:val="outset" w:sz="6" w:space="0" w:color="414142"/>
              <w:bottom w:val="outset" w:sz="6" w:space="0" w:color="414142"/>
              <w:right w:val="outset" w:sz="6" w:space="0" w:color="414142"/>
            </w:tcBorders>
          </w:tcPr>
          <w:p w:rsidR="00B55720" w:rsidRPr="004B6E42" w:rsidRDefault="007C6B7D" w:rsidP="007C6B7D">
            <w:pPr>
              <w:jc w:val="center"/>
              <w:rPr>
                <w:lang w:val="lv-LV"/>
              </w:rPr>
            </w:pPr>
            <w:r w:rsidRPr="004B6E42">
              <w:rPr>
                <w:lang w:val="lv-LV"/>
              </w:rPr>
              <w:t>Nav precīzi aprēķināms</w:t>
            </w: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1.1. valsts pamatbudžets, tai skaitā ieņēmumi no maksas pakalpojumiem un citi pašu ieņēmumi</w:t>
            </w: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c>
          <w:tcPr>
            <w:tcW w:w="853"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c>
          <w:tcPr>
            <w:tcW w:w="739"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1.2. valsts speciālais budžets</w:t>
            </w: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853"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1.3. pašvaldību budžets</w:t>
            </w: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853"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lastRenderedPageBreak/>
              <w:t>2. Budžeta izdevumi:</w:t>
            </w: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c>
          <w:tcPr>
            <w:tcW w:w="853"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c>
          <w:tcPr>
            <w:tcW w:w="739"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2.1. valsts pamatbudžets</w:t>
            </w: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c>
          <w:tcPr>
            <w:tcW w:w="853"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c>
          <w:tcPr>
            <w:tcW w:w="739" w:type="pct"/>
            <w:tcBorders>
              <w:top w:val="outset" w:sz="6" w:space="0" w:color="414142"/>
              <w:left w:val="outset" w:sz="6" w:space="0" w:color="414142"/>
              <w:bottom w:val="outset" w:sz="6" w:space="0" w:color="414142"/>
              <w:right w:val="outset" w:sz="6" w:space="0" w:color="414142"/>
            </w:tcBorders>
          </w:tcPr>
          <w:p w:rsidR="007C6B7D" w:rsidRPr="004B6E42" w:rsidRDefault="007C6B7D" w:rsidP="009178F3">
            <w:pPr>
              <w:jc w:val="center"/>
              <w:rPr>
                <w:lang w:val="lv-LV"/>
              </w:rPr>
            </w:pPr>
            <w:r w:rsidRPr="004B6E42">
              <w:rPr>
                <w:lang w:val="lv-LV"/>
              </w:rPr>
              <w:t>Nav precīzi aprēķināms</w:t>
            </w: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2.2. valsts speciālais budžets</w:t>
            </w: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8521C3">
            <w:pPr>
              <w:rPr>
                <w:lang w:val="lv-LV"/>
              </w:rPr>
            </w:pPr>
          </w:p>
        </w:tc>
        <w:tc>
          <w:tcPr>
            <w:tcW w:w="853" w:type="pct"/>
            <w:tcBorders>
              <w:top w:val="outset" w:sz="6" w:space="0" w:color="414142"/>
              <w:left w:val="outset" w:sz="6" w:space="0" w:color="414142"/>
              <w:bottom w:val="outset" w:sz="6" w:space="0" w:color="414142"/>
              <w:right w:val="outset" w:sz="6" w:space="0" w:color="414142"/>
            </w:tcBorders>
          </w:tcPr>
          <w:p w:rsidR="007C6B7D" w:rsidRPr="004B6E42"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2.3. pašvaldību budžets</w:t>
            </w: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8521C3">
            <w:pPr>
              <w:rPr>
                <w:lang w:val="lv-LV"/>
              </w:rPr>
            </w:pPr>
          </w:p>
        </w:tc>
        <w:tc>
          <w:tcPr>
            <w:tcW w:w="853" w:type="pct"/>
            <w:tcBorders>
              <w:top w:val="outset" w:sz="6" w:space="0" w:color="414142"/>
              <w:left w:val="outset" w:sz="6" w:space="0" w:color="414142"/>
              <w:bottom w:val="outset" w:sz="6" w:space="0" w:color="414142"/>
              <w:right w:val="outset" w:sz="6" w:space="0" w:color="414142"/>
            </w:tcBorders>
          </w:tcPr>
          <w:p w:rsidR="007C6B7D" w:rsidRPr="004B6E42"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3. Finansiālā ietekme:</w:t>
            </w: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7C6B7D">
            <w:pPr>
              <w:jc w:val="center"/>
              <w:rPr>
                <w:lang w:val="lv-LV"/>
              </w:rPr>
            </w:pPr>
            <w:r w:rsidRPr="004B6E42">
              <w:rPr>
                <w:lang w:val="lv-LV"/>
              </w:rPr>
              <w:t>Nav precīzi aprēķināms</w:t>
            </w:r>
          </w:p>
        </w:tc>
        <w:tc>
          <w:tcPr>
            <w:tcW w:w="853" w:type="pct"/>
            <w:tcBorders>
              <w:top w:val="outset" w:sz="6" w:space="0" w:color="414142"/>
              <w:left w:val="outset" w:sz="6" w:space="0" w:color="414142"/>
              <w:bottom w:val="outset" w:sz="6" w:space="0" w:color="414142"/>
              <w:right w:val="outset" w:sz="6" w:space="0" w:color="414142"/>
            </w:tcBorders>
          </w:tcPr>
          <w:p w:rsidR="007C6B7D" w:rsidRPr="004B6E42"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3.1. valsts pamatbudžets</w:t>
            </w: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7C6B7D">
            <w:pPr>
              <w:jc w:val="center"/>
              <w:rPr>
                <w:lang w:val="lv-LV"/>
              </w:rPr>
            </w:pPr>
            <w:r w:rsidRPr="004B6E42">
              <w:rPr>
                <w:lang w:val="lv-LV"/>
              </w:rPr>
              <w:t>Nav precīzi aprēķināms</w:t>
            </w:r>
          </w:p>
        </w:tc>
        <w:tc>
          <w:tcPr>
            <w:tcW w:w="853" w:type="pct"/>
            <w:tcBorders>
              <w:top w:val="outset" w:sz="6" w:space="0" w:color="414142"/>
              <w:left w:val="outset" w:sz="6" w:space="0" w:color="414142"/>
              <w:bottom w:val="outset" w:sz="6" w:space="0" w:color="414142"/>
              <w:right w:val="outset" w:sz="6" w:space="0" w:color="414142"/>
            </w:tcBorders>
          </w:tcPr>
          <w:p w:rsidR="007C6B7D" w:rsidRPr="004B6E42"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4B6E42"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3.2. speciālais budžets</w:t>
            </w: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853"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3.3. pašvaldību budžets</w:t>
            </w: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853"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vMerge w:val="restar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4. Finanšu līdzekļi papildu izdevumu finansēšanai (kompensējošu izdevumu samazinājumu norāda ar "+" zīmi)</w:t>
            </w:r>
          </w:p>
        </w:tc>
        <w:tc>
          <w:tcPr>
            <w:tcW w:w="680" w:type="pct"/>
            <w:vMerge w:val="restart"/>
            <w:tcBorders>
              <w:top w:val="outset" w:sz="6" w:space="0" w:color="414142"/>
              <w:left w:val="outset" w:sz="6" w:space="0" w:color="414142"/>
              <w:bottom w:val="outset" w:sz="6" w:space="0" w:color="414142"/>
              <w:right w:val="outset" w:sz="6" w:space="0" w:color="414142"/>
            </w:tcBorders>
            <w:hideMark/>
          </w:tcPr>
          <w:p w:rsidR="007C6B7D" w:rsidRPr="003B78CD" w:rsidRDefault="007C6B7D">
            <w:pPr>
              <w:pStyle w:val="tvhtml"/>
              <w:spacing w:line="293" w:lineRule="atLeast"/>
              <w:jc w:val="center"/>
              <w:rPr>
                <w:lang w:val="lv-LV"/>
              </w:rPr>
            </w:pPr>
            <w:r w:rsidRPr="003B78CD">
              <w:rPr>
                <w:lang w:val="lv-LV"/>
              </w:rPr>
              <w:t>X</w:t>
            </w:r>
          </w:p>
        </w:tc>
        <w:tc>
          <w:tcPr>
            <w:tcW w:w="853"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vMerge/>
            <w:tcBorders>
              <w:top w:val="outset" w:sz="6" w:space="0" w:color="414142"/>
              <w:left w:val="outset" w:sz="6" w:space="0" w:color="414142"/>
              <w:bottom w:val="outset" w:sz="6" w:space="0" w:color="414142"/>
              <w:right w:val="outset" w:sz="6" w:space="0" w:color="414142"/>
            </w:tcBorders>
            <w:vAlign w:val="center"/>
            <w:hideMark/>
          </w:tcPr>
          <w:p w:rsidR="007C6B7D" w:rsidRPr="003B78CD" w:rsidRDefault="007C6B7D">
            <w:pPr>
              <w:rPr>
                <w:lang w:val="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C6B7D" w:rsidRPr="003B78CD" w:rsidRDefault="007C6B7D">
            <w:pPr>
              <w:rPr>
                <w:lang w:val="lv-LV"/>
              </w:rPr>
            </w:pPr>
          </w:p>
        </w:tc>
        <w:tc>
          <w:tcPr>
            <w:tcW w:w="853"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vMerge/>
            <w:tcBorders>
              <w:top w:val="outset" w:sz="6" w:space="0" w:color="414142"/>
              <w:left w:val="outset" w:sz="6" w:space="0" w:color="414142"/>
              <w:bottom w:val="outset" w:sz="6" w:space="0" w:color="414142"/>
              <w:right w:val="outset" w:sz="6" w:space="0" w:color="414142"/>
            </w:tcBorders>
            <w:vAlign w:val="center"/>
            <w:hideMark/>
          </w:tcPr>
          <w:p w:rsidR="007C6B7D" w:rsidRPr="003B78CD" w:rsidRDefault="007C6B7D">
            <w:pPr>
              <w:rPr>
                <w:lang w:val="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C6B7D" w:rsidRPr="003B78CD" w:rsidRDefault="007C6B7D">
            <w:pPr>
              <w:rPr>
                <w:lang w:val="lv-LV"/>
              </w:rPr>
            </w:pPr>
          </w:p>
        </w:tc>
        <w:tc>
          <w:tcPr>
            <w:tcW w:w="853"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5. Precizēta finansiālā ietekme:</w:t>
            </w:r>
          </w:p>
        </w:tc>
        <w:tc>
          <w:tcPr>
            <w:tcW w:w="680" w:type="pct"/>
            <w:vMerge w:val="restart"/>
            <w:tcBorders>
              <w:top w:val="outset" w:sz="6" w:space="0" w:color="414142"/>
              <w:left w:val="outset" w:sz="6" w:space="0" w:color="414142"/>
              <w:bottom w:val="outset" w:sz="6" w:space="0" w:color="414142"/>
              <w:right w:val="outset" w:sz="6" w:space="0" w:color="414142"/>
            </w:tcBorders>
            <w:hideMark/>
          </w:tcPr>
          <w:p w:rsidR="007C6B7D" w:rsidRPr="003B78CD" w:rsidRDefault="007C6B7D">
            <w:pPr>
              <w:pStyle w:val="tvhtml"/>
              <w:spacing w:line="293" w:lineRule="atLeast"/>
              <w:jc w:val="center"/>
              <w:rPr>
                <w:lang w:val="lv-LV"/>
              </w:rPr>
            </w:pPr>
            <w:r w:rsidRPr="003B78CD">
              <w:rPr>
                <w:lang w:val="lv-LV"/>
              </w:rPr>
              <w:t>X</w:t>
            </w:r>
          </w:p>
        </w:tc>
        <w:tc>
          <w:tcPr>
            <w:tcW w:w="853"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C6B7D" w:rsidRPr="003B78CD" w:rsidRDefault="007C6B7D">
            <w:pPr>
              <w:rPr>
                <w:lang w:val="lv-LV"/>
              </w:rPr>
            </w:pPr>
          </w:p>
        </w:tc>
        <w:tc>
          <w:tcPr>
            <w:tcW w:w="853"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C6B7D" w:rsidRPr="003B78CD" w:rsidRDefault="007C6B7D">
            <w:pPr>
              <w:rPr>
                <w:lang w:val="lv-LV"/>
              </w:rPr>
            </w:pPr>
          </w:p>
        </w:tc>
        <w:tc>
          <w:tcPr>
            <w:tcW w:w="853"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C6B7D" w:rsidRPr="003B78CD" w:rsidRDefault="007C6B7D">
            <w:pPr>
              <w:rPr>
                <w:lang w:val="lv-LV"/>
              </w:rPr>
            </w:pPr>
          </w:p>
        </w:tc>
        <w:tc>
          <w:tcPr>
            <w:tcW w:w="853"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8521C3">
            <w:pPr>
              <w:rPr>
                <w:lang w:val="lv-LV"/>
              </w:rPr>
            </w:pPr>
          </w:p>
        </w:tc>
        <w:tc>
          <w:tcPr>
            <w:tcW w:w="680"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c>
          <w:tcPr>
            <w:tcW w:w="739" w:type="pct"/>
            <w:tcBorders>
              <w:top w:val="outset" w:sz="6" w:space="0" w:color="414142"/>
              <w:left w:val="outset" w:sz="6" w:space="0" w:color="414142"/>
              <w:bottom w:val="outset" w:sz="6" w:space="0" w:color="414142"/>
              <w:right w:val="outset" w:sz="6" w:space="0" w:color="414142"/>
            </w:tcBorders>
          </w:tcPr>
          <w:p w:rsidR="007C6B7D" w:rsidRPr="003B78CD" w:rsidRDefault="007C6B7D" w:rsidP="00B40211">
            <w:pPr>
              <w:rPr>
                <w:lang w:val="lv-LV"/>
              </w:rPr>
            </w:pPr>
          </w:p>
        </w:tc>
      </w:tr>
      <w:tr w:rsidR="007C6B7D" w:rsidRPr="00F55060"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6. Detalizēts ieņēmumu un izdevumu aprēķins (ja nepieciešams, detalizētu ieņēmumu un izdevumu aprēķinu var pievienot anotācijas pielikumā):</w:t>
            </w:r>
          </w:p>
        </w:tc>
        <w:tc>
          <w:tcPr>
            <w:tcW w:w="3632"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C6B7D" w:rsidRPr="004B6E42" w:rsidRDefault="007C6B7D" w:rsidP="00B40211">
            <w:pPr>
              <w:rPr>
                <w:lang w:val="lv-LV"/>
              </w:rPr>
            </w:pPr>
            <w:r w:rsidRPr="004B6E42">
              <w:rPr>
                <w:lang w:val="lv-LV"/>
              </w:rPr>
              <w:t>Nav precīzi aprēķināms.</w:t>
            </w: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6.1. detalizēts ieņēmumu aprēķins</w:t>
            </w:r>
          </w:p>
        </w:tc>
        <w:tc>
          <w:tcPr>
            <w:tcW w:w="3632" w:type="pct"/>
            <w:gridSpan w:val="5"/>
            <w:vMerge/>
            <w:tcBorders>
              <w:top w:val="outset" w:sz="6" w:space="0" w:color="414142"/>
              <w:left w:val="outset" w:sz="6" w:space="0" w:color="414142"/>
              <w:bottom w:val="outset" w:sz="6" w:space="0" w:color="414142"/>
              <w:right w:val="outset" w:sz="6" w:space="0" w:color="414142"/>
            </w:tcBorders>
            <w:vAlign w:val="center"/>
            <w:hideMark/>
          </w:tcPr>
          <w:p w:rsidR="007C6B7D" w:rsidRPr="004B6E42" w:rsidRDefault="007C6B7D">
            <w:pPr>
              <w:rPr>
                <w:lang w:val="lv-LV"/>
              </w:rPr>
            </w:pPr>
          </w:p>
        </w:tc>
      </w:tr>
      <w:tr w:rsidR="007C6B7D" w:rsidRPr="003B78CD" w:rsidTr="007C6B7D">
        <w:trPr>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6.2. detalizēts izdevumu aprēķins</w:t>
            </w:r>
          </w:p>
        </w:tc>
        <w:tc>
          <w:tcPr>
            <w:tcW w:w="3632" w:type="pct"/>
            <w:gridSpan w:val="5"/>
            <w:vMerge/>
            <w:tcBorders>
              <w:top w:val="outset" w:sz="6" w:space="0" w:color="414142"/>
              <w:left w:val="outset" w:sz="6" w:space="0" w:color="414142"/>
              <w:bottom w:val="outset" w:sz="6" w:space="0" w:color="414142"/>
              <w:right w:val="outset" w:sz="6" w:space="0" w:color="414142"/>
            </w:tcBorders>
            <w:vAlign w:val="center"/>
            <w:hideMark/>
          </w:tcPr>
          <w:p w:rsidR="007C6B7D" w:rsidRPr="004B6E42" w:rsidRDefault="007C6B7D">
            <w:pPr>
              <w:rPr>
                <w:lang w:val="lv-LV"/>
              </w:rPr>
            </w:pPr>
          </w:p>
        </w:tc>
      </w:tr>
      <w:tr w:rsidR="007C6B7D" w:rsidRPr="00176A4E" w:rsidTr="007C6B7D">
        <w:trPr>
          <w:trHeight w:val="555"/>
          <w:jc w:val="center"/>
        </w:trPr>
        <w:tc>
          <w:tcPr>
            <w:tcW w:w="1368" w:type="pct"/>
            <w:tcBorders>
              <w:top w:val="outset" w:sz="6" w:space="0" w:color="414142"/>
              <w:left w:val="outset" w:sz="6" w:space="0" w:color="414142"/>
              <w:bottom w:val="outset" w:sz="6" w:space="0" w:color="414142"/>
              <w:right w:val="outset" w:sz="6" w:space="0" w:color="414142"/>
            </w:tcBorders>
            <w:hideMark/>
          </w:tcPr>
          <w:p w:rsidR="007C6B7D" w:rsidRPr="003B78CD" w:rsidRDefault="007C6B7D">
            <w:pPr>
              <w:rPr>
                <w:lang w:val="lv-LV"/>
              </w:rPr>
            </w:pPr>
            <w:r w:rsidRPr="003B78CD">
              <w:rPr>
                <w:lang w:val="lv-LV"/>
              </w:rPr>
              <w:t>7. Cita informācija</w:t>
            </w:r>
          </w:p>
        </w:tc>
        <w:tc>
          <w:tcPr>
            <w:tcW w:w="3632" w:type="pct"/>
            <w:gridSpan w:val="5"/>
            <w:tcBorders>
              <w:top w:val="outset" w:sz="6" w:space="0" w:color="414142"/>
              <w:left w:val="outset" w:sz="6" w:space="0" w:color="414142"/>
              <w:bottom w:val="outset" w:sz="6" w:space="0" w:color="414142"/>
              <w:right w:val="outset" w:sz="6" w:space="0" w:color="414142"/>
            </w:tcBorders>
            <w:hideMark/>
          </w:tcPr>
          <w:p w:rsidR="007C6B7D" w:rsidRPr="004B6E42" w:rsidRDefault="007C6B7D" w:rsidP="008F5B7C">
            <w:pPr>
              <w:pStyle w:val="tvhtml"/>
              <w:spacing w:line="293" w:lineRule="atLeast"/>
              <w:jc w:val="both"/>
              <w:rPr>
                <w:b/>
                <w:lang w:val="lv-LV"/>
              </w:rPr>
            </w:pPr>
            <w:r w:rsidRPr="004B6E42">
              <w:rPr>
                <w:lang w:val="lv-LV"/>
              </w:rPr>
              <w:t xml:space="preserve">ES finansiālās palīdzības kopējais budžets ir 165 milj. EUR, bet katrai dalībvalstij ir noteikti augļu un dārzeņu daudzumi, par kuriem var pretendēt uz ārkārtas atbalstu (Latvijai tie ir 3000 </w:t>
            </w:r>
            <w:r w:rsidRPr="004B6E42">
              <w:rPr>
                <w:lang w:val="lv-LV"/>
              </w:rPr>
              <w:lastRenderedPageBreak/>
              <w:t xml:space="preserve">tonnas). Regula Nr.1031/2014 paredz, ka ES finansiālā palīdzība attiecībā uz produktiem, kas tika izņemti no tirgus bezmaksas izplatīšanai, tiks izmaksāta saskaņa ar Regulas Nr.543/2011 XI pielikumu un Regulas Nr.1031/2014 I pielikumu (100% apjomā). ES finansiālā palīdzība par priekšlaicīgi novāktiem vai nenovāktiem produktiem ražotāju organizāciju biedriem sasniegs 75% no likmēm izplatīšanai citiem galamērķiem (pārējie 25% ir jāsedz ražotāju organizācijai), savukārt ražotājiem, kas nav ražotāju organizācijas biedri, 50% no likmēm izplatīšanai citiem galamērķiem. </w:t>
            </w:r>
            <w:r w:rsidRPr="004B6E42">
              <w:rPr>
                <w:b/>
                <w:lang w:val="lv-LV"/>
              </w:rPr>
              <w:t>Valsts līdzfinansējums šajā gadījumā nav jāparedz.</w:t>
            </w:r>
          </w:p>
          <w:p w:rsidR="007C6B7D" w:rsidRPr="004B6E42" w:rsidRDefault="007C6B7D" w:rsidP="008F5B7C">
            <w:pPr>
              <w:pStyle w:val="tvhtml"/>
              <w:spacing w:line="293" w:lineRule="atLeast"/>
              <w:jc w:val="both"/>
              <w:rPr>
                <w:lang w:val="lv-LV"/>
              </w:rPr>
            </w:pPr>
            <w:r w:rsidRPr="004B6E42">
              <w:rPr>
                <w:lang w:val="lv-LV"/>
              </w:rPr>
              <w:t xml:space="preserve">Lauku atbalsta dienests veiks maksājumus tikai pēc tam, kad būs saņemti visi pieteikumi un veiktas nepieciešamās kontroles. Šobrīd ir grūti paredzēt izmaksājamo finansējuma apjomu, jo tas būs atkarīgs no ražotāju iesniegto pieteikumu skaita un tajā norādītajiem produktu apjomiem, ko šobrīd nav iespējams prognozēt un precīzi aprēķināt. </w:t>
            </w:r>
          </w:p>
          <w:p w:rsidR="007C6B7D" w:rsidRPr="004B6E42" w:rsidRDefault="007C6B7D" w:rsidP="00B740E2">
            <w:pPr>
              <w:pStyle w:val="tvhtml"/>
              <w:spacing w:before="0" w:beforeAutospacing="0" w:after="0" w:afterAutospacing="0"/>
              <w:jc w:val="both"/>
              <w:rPr>
                <w:lang w:val="lv-LV"/>
              </w:rPr>
            </w:pPr>
            <w:r w:rsidRPr="004B6E42">
              <w:rPr>
                <w:rFonts w:eastAsiaTheme="minorHAnsi"/>
                <w:lang w:val="lv-LV"/>
              </w:rPr>
              <w:t>M</w:t>
            </w:r>
            <w:r w:rsidRPr="004B6E42">
              <w:rPr>
                <w:lang w:val="lv-LV"/>
              </w:rPr>
              <w:t>aksājumi tiks veikti no Zemkopības ministrijas budžeta apakšprogrammas 64.08.00. „Izdevumi Eiropas Lauksaimniecības garantiju fonda (ELGF) projektu un pasākumu īstenošanai (2014-2020)” budžeta līdzekļiem.</w:t>
            </w:r>
          </w:p>
          <w:p w:rsidR="007C6B7D" w:rsidRPr="004B6E42" w:rsidRDefault="007C6B7D" w:rsidP="00B740E2">
            <w:pPr>
              <w:pStyle w:val="tvhtml"/>
              <w:spacing w:line="293" w:lineRule="atLeast"/>
              <w:jc w:val="both"/>
              <w:rPr>
                <w:lang w:val="lv-LV"/>
              </w:rPr>
            </w:pPr>
            <w:r w:rsidRPr="004B6E42">
              <w:rPr>
                <w:bCs/>
                <w:lang w:val="lv-LV"/>
              </w:rPr>
              <w:t>Nepieciešamo finansējumu Zemkopības ministrija normatīvajos aktos noteiktajā kārtībā pieprasīs no valsts pamatbudžeta programmas 80.00.00 „Nesadalītais finansējums Eiropas Savienības politiku instrumentu un pārējās ārvalstu finanšu palīdzības līdzfinansēto projektu un pasākumu īstenošanai”.</w:t>
            </w:r>
            <w:r w:rsidRPr="004B6E42">
              <w:rPr>
                <w:lang w:val="lv-LV"/>
              </w:rPr>
              <w:t xml:space="preserve"> </w:t>
            </w:r>
          </w:p>
        </w:tc>
      </w:tr>
    </w:tbl>
    <w:p w:rsidR="00731E63" w:rsidRPr="003B78CD" w:rsidRDefault="00731E63" w:rsidP="000B59AD">
      <w:pPr>
        <w:pStyle w:val="tvhtml"/>
        <w:shd w:val="clear" w:color="auto" w:fill="FFFFFF"/>
        <w:spacing w:line="293" w:lineRule="atLeast"/>
        <w:ind w:firstLine="300"/>
        <w:rPr>
          <w:i/>
          <w:lang w:val="lv-LV"/>
        </w:rPr>
      </w:pPr>
      <w:r w:rsidRPr="003B78CD">
        <w:rPr>
          <w:i/>
          <w:lang w:val="lv-LV"/>
        </w:rPr>
        <w:lastRenderedPageBreak/>
        <w:t> </w:t>
      </w:r>
      <w:r w:rsidR="000B59AD" w:rsidRPr="003B78CD">
        <w:rPr>
          <w:i/>
          <w:lang w:val="lv-LV"/>
        </w:rPr>
        <w:t>Anotācijas IV sadaļa – Projekts šo jomu neskar.</w:t>
      </w:r>
    </w:p>
    <w:tbl>
      <w:tblPr>
        <w:tblW w:w="4813" w:type="pct"/>
        <w:tblInd w:w="17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4"/>
        <w:gridCol w:w="2648"/>
        <w:gridCol w:w="5858"/>
      </w:tblGrid>
      <w:tr w:rsidR="00731E63" w:rsidRPr="003B78CD" w:rsidTr="00DC2887">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31E63" w:rsidRPr="003B78CD" w:rsidRDefault="00731E63">
            <w:pPr>
              <w:pStyle w:val="tvhtml"/>
              <w:spacing w:line="293" w:lineRule="atLeast"/>
              <w:jc w:val="center"/>
              <w:rPr>
                <w:b/>
                <w:bCs/>
                <w:lang w:val="lv-LV"/>
              </w:rPr>
            </w:pPr>
            <w:r w:rsidRPr="003B78CD">
              <w:rPr>
                <w:b/>
                <w:bCs/>
                <w:lang w:val="lv-LV"/>
              </w:rPr>
              <w:t>V. Tiesību akta projekta atbilstība Latvijas Republikas starptautiskajām saistībām</w:t>
            </w:r>
          </w:p>
        </w:tc>
      </w:tr>
      <w:tr w:rsidR="00731E63" w:rsidRPr="00F55060" w:rsidTr="00DC2887">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Saistības pret Eiropas Savienību</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A839E9" w:rsidRDefault="004F5720" w:rsidP="00326277">
            <w:pPr>
              <w:jc w:val="both"/>
              <w:rPr>
                <w:lang w:val="lv-LV"/>
              </w:rPr>
            </w:pPr>
            <w:r>
              <w:rPr>
                <w:lang w:val="lv-LV"/>
              </w:rPr>
              <w:t>Regula Nr.1308/2013;</w:t>
            </w:r>
            <w:r w:rsidR="000B59AD" w:rsidRPr="003B78CD">
              <w:rPr>
                <w:lang w:val="lv-LV"/>
              </w:rPr>
              <w:t xml:space="preserve"> </w:t>
            </w:r>
            <w:r w:rsidRPr="00F44D01">
              <w:rPr>
                <w:lang w:val="lv-LV"/>
              </w:rPr>
              <w:t>Regula Nr.</w:t>
            </w:r>
            <w:r w:rsidR="00F44D01" w:rsidRPr="00F44D01">
              <w:rPr>
                <w:lang w:val="lv-LV"/>
              </w:rPr>
              <w:t>1031</w:t>
            </w:r>
            <w:r w:rsidRPr="00F44D01">
              <w:rPr>
                <w:lang w:val="lv-LV"/>
              </w:rPr>
              <w:t>/2014</w:t>
            </w:r>
          </w:p>
          <w:p w:rsidR="000B59AD" w:rsidRPr="003B78CD" w:rsidRDefault="000B59AD" w:rsidP="00326277">
            <w:pPr>
              <w:jc w:val="both"/>
              <w:rPr>
                <w:lang w:val="lv-LV"/>
              </w:rPr>
            </w:pPr>
          </w:p>
        </w:tc>
      </w:tr>
      <w:tr w:rsidR="00731E63" w:rsidRPr="003B78CD" w:rsidTr="00DC2887">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Citas starptautiskās saistības</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0B59AD" w:rsidP="00326277">
            <w:pPr>
              <w:jc w:val="both"/>
              <w:rPr>
                <w:lang w:val="lv-LV"/>
              </w:rPr>
            </w:pPr>
            <w:r w:rsidRPr="003B78CD">
              <w:rPr>
                <w:lang w:val="lv-LV"/>
              </w:rPr>
              <w:t>Projekts šo jomu neskar.</w:t>
            </w:r>
          </w:p>
        </w:tc>
      </w:tr>
      <w:tr w:rsidR="00731E63" w:rsidRPr="003B78CD" w:rsidTr="00DC2887">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pStyle w:val="tvhtml"/>
              <w:spacing w:line="293" w:lineRule="atLeast"/>
              <w:rPr>
                <w:lang w:val="lv-LV"/>
              </w:rPr>
            </w:pPr>
            <w:r w:rsidRPr="003B78CD">
              <w:rPr>
                <w:lang w:val="lv-LV"/>
              </w:rPr>
              <w:t>Nav</w:t>
            </w:r>
            <w:r w:rsidR="000B59AD" w:rsidRPr="003B78CD">
              <w:rPr>
                <w:lang w:val="lv-LV"/>
              </w:rPr>
              <w:t>.</w:t>
            </w:r>
          </w:p>
        </w:tc>
      </w:tr>
    </w:tbl>
    <w:p w:rsidR="00F44D01" w:rsidRPr="003B78CD" w:rsidRDefault="00731E63" w:rsidP="00731E63">
      <w:pPr>
        <w:pStyle w:val="tvhtml"/>
        <w:shd w:val="clear" w:color="auto" w:fill="FFFFFF"/>
        <w:spacing w:line="293" w:lineRule="atLeast"/>
        <w:ind w:firstLine="300"/>
        <w:rPr>
          <w:color w:val="414142"/>
          <w:sz w:val="20"/>
          <w:szCs w:val="20"/>
          <w:lang w:val="lv-LV"/>
        </w:rPr>
      </w:pPr>
      <w:r w:rsidRPr="003B78CD">
        <w:rPr>
          <w:color w:val="414142"/>
          <w:sz w:val="20"/>
          <w:szCs w:val="20"/>
          <w:lang w:val="lv-LV"/>
        </w:rPr>
        <w:t> </w:t>
      </w:r>
    </w:p>
    <w:tbl>
      <w:tblPr>
        <w:tblW w:w="486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28"/>
        <w:gridCol w:w="275"/>
        <w:gridCol w:w="1734"/>
        <w:gridCol w:w="1280"/>
        <w:gridCol w:w="1278"/>
        <w:gridCol w:w="2380"/>
      </w:tblGrid>
      <w:tr w:rsidR="00731E63" w:rsidRPr="00176A4E" w:rsidTr="00DC2887">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1.tabula</w:t>
            </w:r>
            <w:r w:rsidRPr="003B78CD">
              <w:rPr>
                <w:b/>
                <w:bCs/>
                <w:lang w:val="lv-LV"/>
              </w:rPr>
              <w:br/>
              <w:t>Tiesību akta projekta atbilstība ES tiesību aktiem</w:t>
            </w:r>
          </w:p>
        </w:tc>
      </w:tr>
      <w:tr w:rsidR="00731E63" w:rsidRPr="003B78CD" w:rsidTr="00DC2887">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lastRenderedPageBreak/>
              <w:t>Attiecīgā ES tiesību akta datums, numurs un nosaukums</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A839E9" w:rsidRDefault="00DC2887" w:rsidP="000B59AD">
            <w:pPr>
              <w:rPr>
                <w:lang w:val="lv-LV"/>
              </w:rPr>
            </w:pPr>
            <w:r>
              <w:rPr>
                <w:lang w:val="lv-LV"/>
              </w:rPr>
              <w:t>Regula Nr.</w:t>
            </w:r>
            <w:r w:rsidR="000B59AD" w:rsidRPr="003B78CD">
              <w:rPr>
                <w:lang w:val="lv-LV"/>
              </w:rPr>
              <w:t>1308/2013;</w:t>
            </w:r>
            <w:r w:rsidR="004F5720">
              <w:rPr>
                <w:lang w:val="lv-LV"/>
              </w:rPr>
              <w:t xml:space="preserve"> </w:t>
            </w:r>
            <w:r w:rsidR="00190AEE">
              <w:rPr>
                <w:lang w:val="lv-LV"/>
              </w:rPr>
              <w:t xml:space="preserve">Regula Nr.543/2011; </w:t>
            </w:r>
            <w:r w:rsidR="000B59AD" w:rsidRPr="003B78CD">
              <w:rPr>
                <w:lang w:val="lv-LV"/>
              </w:rPr>
              <w:t xml:space="preserve">Regula </w:t>
            </w:r>
            <w:r w:rsidR="000B59AD" w:rsidRPr="00F44D01">
              <w:rPr>
                <w:lang w:val="lv-LV"/>
              </w:rPr>
              <w:t>Nr.</w:t>
            </w:r>
            <w:r w:rsidR="00F44D01">
              <w:rPr>
                <w:lang w:val="lv-LV"/>
              </w:rPr>
              <w:t>1031</w:t>
            </w:r>
            <w:r w:rsidR="000B59AD" w:rsidRPr="00F44D01">
              <w:rPr>
                <w:lang w:val="lv-LV"/>
              </w:rPr>
              <w:t>/2014</w:t>
            </w:r>
            <w:r w:rsidR="004F5720" w:rsidRPr="00F44D01">
              <w:rPr>
                <w:lang w:val="lv-LV"/>
              </w:rPr>
              <w:t>.</w:t>
            </w:r>
          </w:p>
          <w:p w:rsidR="00731E63" w:rsidRPr="003B78CD" w:rsidRDefault="00731E63" w:rsidP="000B59AD">
            <w:pPr>
              <w:rPr>
                <w:lang w:val="lv-LV"/>
              </w:rPr>
            </w:pPr>
          </w:p>
        </w:tc>
      </w:tr>
      <w:tr w:rsidR="00731E63"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A</w:t>
            </w:r>
          </w:p>
        </w:tc>
        <w:tc>
          <w:tcPr>
            <w:tcW w:w="1132" w:type="pct"/>
            <w:gridSpan w:val="2"/>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B</w:t>
            </w:r>
          </w:p>
        </w:tc>
        <w:tc>
          <w:tcPr>
            <w:tcW w:w="1441" w:type="pct"/>
            <w:gridSpan w:val="2"/>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C</w:t>
            </w:r>
          </w:p>
        </w:tc>
        <w:tc>
          <w:tcPr>
            <w:tcW w:w="1341"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D</w:t>
            </w:r>
          </w:p>
        </w:tc>
      </w:tr>
      <w:tr w:rsidR="00731E63" w:rsidRPr="00176A4E" w:rsidTr="00D511E5">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Attiecīgā ES tiesību akta panta numurs (uzskaitot katru tiesību akta vienību – pantu, daļu, punktu, apakšpunktu)</w:t>
            </w:r>
          </w:p>
        </w:tc>
        <w:tc>
          <w:tcPr>
            <w:tcW w:w="1132" w:type="pct"/>
            <w:gridSpan w:val="2"/>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Projekta vienība, kas pārņem vai ievieš katru šīs tabulas A ailē minēto ES tiesību akta vienību, vai tiesību akts, kur attiecīgā ES tiesību akta vienība pārņemta vai ieviesta</w:t>
            </w:r>
          </w:p>
        </w:tc>
        <w:tc>
          <w:tcPr>
            <w:tcW w:w="1441" w:type="pct"/>
            <w:gridSpan w:val="2"/>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Informācija par to, vai šīs tabulas A ailē minētās ES tiesību akta vienības tiek pārņemtas vai ieviestas pilnībā vai daļēji.</w:t>
            </w:r>
          </w:p>
          <w:p w:rsidR="00731E63" w:rsidRPr="003B78CD" w:rsidRDefault="00731E63">
            <w:pPr>
              <w:pStyle w:val="tvhtml"/>
              <w:spacing w:line="293" w:lineRule="atLeast"/>
              <w:rPr>
                <w:lang w:val="lv-LV"/>
              </w:rPr>
            </w:pPr>
            <w:r w:rsidRPr="003B78CD">
              <w:rPr>
                <w:lang w:val="lv-LV"/>
              </w:rPr>
              <w:t>Ja attiecīgā ES tiesību akta vienība tiek pārņemta vai ieviesta daļēji, sniedz attiecīgu skaidrojumu, kā arī precīzi norāda, kad un kādā veidā ES tiesību akta vienība tiks pārņemta vai ieviesta pilnībā.</w:t>
            </w:r>
          </w:p>
          <w:p w:rsidR="00731E63" w:rsidRPr="003B78CD" w:rsidRDefault="00731E63">
            <w:pPr>
              <w:pStyle w:val="tvhtml"/>
              <w:spacing w:line="293" w:lineRule="atLeast"/>
              <w:rPr>
                <w:lang w:val="lv-LV"/>
              </w:rPr>
            </w:pPr>
            <w:r w:rsidRPr="003B78CD">
              <w:rPr>
                <w:lang w:val="lv-LV"/>
              </w:rPr>
              <w:t>Norāda institūciju, kas ir atbildīga par šo saistību izpildi pilnībā</w:t>
            </w:r>
          </w:p>
        </w:tc>
        <w:tc>
          <w:tcPr>
            <w:tcW w:w="1341" w:type="pct"/>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Informācija par to, vai šīs tabulas B ailē minētās projekta vienības paredz stingrākas prasības nekā šīs tabulas A ailē minētās ES tiesību akta vienības.</w:t>
            </w:r>
          </w:p>
          <w:p w:rsidR="00731E63" w:rsidRPr="003B78CD" w:rsidRDefault="00731E63">
            <w:pPr>
              <w:pStyle w:val="tvhtml"/>
              <w:spacing w:line="293" w:lineRule="atLeast"/>
              <w:rPr>
                <w:lang w:val="lv-LV"/>
              </w:rPr>
            </w:pPr>
            <w:r w:rsidRPr="003B78CD">
              <w:rPr>
                <w:lang w:val="lv-LV"/>
              </w:rPr>
              <w:t>Ja projekts satur stingrākas prasības nekā attiecīgais ES tiesību akts, norāda pamatojumu un samērīgumu.</w:t>
            </w:r>
          </w:p>
          <w:p w:rsidR="00731E63" w:rsidRPr="003B78CD" w:rsidRDefault="00731E63">
            <w:pPr>
              <w:pStyle w:val="tvhtml"/>
              <w:spacing w:line="293" w:lineRule="atLeast"/>
              <w:rPr>
                <w:lang w:val="lv-LV"/>
              </w:rPr>
            </w:pPr>
            <w:r w:rsidRPr="003B78CD">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B4121D" w:rsidRPr="00190AEE"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B4121D" w:rsidRPr="004B6E42" w:rsidRDefault="00551341" w:rsidP="00E712BF">
            <w:pPr>
              <w:rPr>
                <w:lang w:val="lv-LV"/>
              </w:rPr>
            </w:pPr>
            <w:r w:rsidRPr="004B6E42">
              <w:rPr>
                <w:lang w:val="lv-LV"/>
              </w:rPr>
              <w:t>Regulas Nr.</w:t>
            </w:r>
            <w:r w:rsidR="001F19BE" w:rsidRPr="004B6E42">
              <w:rPr>
                <w:lang w:val="lv-LV"/>
              </w:rPr>
              <w:t>1308</w:t>
            </w:r>
            <w:r w:rsidRPr="004B6E42">
              <w:rPr>
                <w:lang w:val="lv-LV"/>
              </w:rPr>
              <w:t>/2013 34.panta 4.</w:t>
            </w:r>
            <w:r w:rsidR="00E712BF" w:rsidRPr="004B6E42">
              <w:rPr>
                <w:lang w:val="lv-LV"/>
              </w:rPr>
              <w:t>punkts</w:t>
            </w:r>
          </w:p>
        </w:tc>
        <w:tc>
          <w:tcPr>
            <w:tcW w:w="1132" w:type="pct"/>
            <w:gridSpan w:val="2"/>
            <w:tcBorders>
              <w:top w:val="outset" w:sz="6" w:space="0" w:color="414142"/>
              <w:left w:val="outset" w:sz="6" w:space="0" w:color="414142"/>
              <w:bottom w:val="outset" w:sz="6" w:space="0" w:color="414142"/>
              <w:right w:val="outset" w:sz="6" w:space="0" w:color="414142"/>
            </w:tcBorders>
          </w:tcPr>
          <w:p w:rsidR="00B4121D" w:rsidRPr="004B6E42" w:rsidRDefault="00551341">
            <w:pPr>
              <w:rPr>
                <w:lang w:val="lv-LV"/>
              </w:rPr>
            </w:pPr>
            <w:r w:rsidRPr="004B6E42">
              <w:rPr>
                <w:lang w:val="lv-LV"/>
              </w:rPr>
              <w:t>3.</w:t>
            </w:r>
            <w:r w:rsidR="00190AEE" w:rsidRPr="004B6E42">
              <w:rPr>
                <w:lang w:val="lv-LV"/>
              </w:rPr>
              <w:t xml:space="preserve"> un 4.</w:t>
            </w:r>
            <w:r w:rsidRPr="004B6E42">
              <w:rPr>
                <w:lang w:val="lv-LV"/>
              </w:rPr>
              <w:t>punkts</w:t>
            </w:r>
            <w:r w:rsidR="00E712BF" w:rsidRPr="004B6E42">
              <w:rPr>
                <w:lang w:val="lv-LV"/>
              </w:rPr>
              <w:t>, kas paredz jaunu 65.</w:t>
            </w:r>
            <w:r w:rsidR="00E712BF" w:rsidRPr="004B6E42">
              <w:rPr>
                <w:vertAlign w:val="superscript"/>
                <w:lang w:val="lv-LV"/>
              </w:rPr>
              <w:t>2</w:t>
            </w:r>
            <w:r w:rsidR="00E712BF" w:rsidRPr="004B6E42">
              <w:rPr>
                <w:lang w:val="lv-LV"/>
              </w:rPr>
              <w:t xml:space="preserve"> punktu</w:t>
            </w:r>
          </w:p>
        </w:tc>
        <w:tc>
          <w:tcPr>
            <w:tcW w:w="1441" w:type="pct"/>
            <w:gridSpan w:val="2"/>
            <w:tcBorders>
              <w:top w:val="outset" w:sz="6" w:space="0" w:color="414142"/>
              <w:left w:val="outset" w:sz="6" w:space="0" w:color="414142"/>
              <w:bottom w:val="outset" w:sz="6" w:space="0" w:color="414142"/>
              <w:right w:val="outset" w:sz="6" w:space="0" w:color="414142"/>
            </w:tcBorders>
          </w:tcPr>
          <w:p w:rsidR="00B4121D" w:rsidRPr="003B78CD" w:rsidRDefault="00B4121D">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B4121D" w:rsidRPr="003B78CD" w:rsidRDefault="00B4121D">
            <w:pPr>
              <w:pStyle w:val="tvhtml"/>
              <w:spacing w:line="293" w:lineRule="atLeast"/>
              <w:rPr>
                <w:lang w:val="lv-LV"/>
              </w:rPr>
            </w:pPr>
            <w:r w:rsidRPr="003B78CD">
              <w:rPr>
                <w:lang w:val="lv-LV"/>
              </w:rPr>
              <w:t>neparedz stingrākas prasības</w:t>
            </w:r>
          </w:p>
        </w:tc>
      </w:tr>
      <w:tr w:rsidR="001F19BE"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1F19BE" w:rsidRDefault="001F19BE" w:rsidP="00B4121D">
            <w:pPr>
              <w:rPr>
                <w:lang w:val="lv-LV"/>
              </w:rPr>
            </w:pPr>
            <w:r>
              <w:rPr>
                <w:lang w:val="lv-LV"/>
              </w:rPr>
              <w:t>Regulas Nr.543/2011 80.panta 1.punkts</w:t>
            </w:r>
          </w:p>
        </w:tc>
        <w:tc>
          <w:tcPr>
            <w:tcW w:w="1132" w:type="pct"/>
            <w:gridSpan w:val="2"/>
            <w:tcBorders>
              <w:top w:val="outset" w:sz="6" w:space="0" w:color="414142"/>
              <w:left w:val="outset" w:sz="6" w:space="0" w:color="414142"/>
              <w:bottom w:val="outset" w:sz="6" w:space="0" w:color="414142"/>
              <w:right w:val="outset" w:sz="6" w:space="0" w:color="414142"/>
            </w:tcBorders>
          </w:tcPr>
          <w:p w:rsidR="001F19BE" w:rsidRPr="00B740E2" w:rsidRDefault="001F19BE">
            <w:pPr>
              <w:rPr>
                <w:color w:val="FF0000"/>
                <w:lang w:val="lv-LV"/>
              </w:rPr>
            </w:pPr>
            <w:r w:rsidRPr="00190AEE">
              <w:rPr>
                <w:lang w:val="lv-LV"/>
              </w:rPr>
              <w:t>4.punkts</w:t>
            </w:r>
          </w:p>
        </w:tc>
        <w:tc>
          <w:tcPr>
            <w:tcW w:w="1441" w:type="pct"/>
            <w:gridSpan w:val="2"/>
            <w:tcBorders>
              <w:top w:val="outset" w:sz="6" w:space="0" w:color="414142"/>
              <w:left w:val="outset" w:sz="6" w:space="0" w:color="414142"/>
              <w:bottom w:val="outset" w:sz="6" w:space="0" w:color="414142"/>
              <w:right w:val="outset" w:sz="6" w:space="0" w:color="414142"/>
            </w:tcBorders>
          </w:tcPr>
          <w:p w:rsidR="001F19BE" w:rsidRPr="003B78CD" w:rsidRDefault="001F19BE">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1F19BE" w:rsidRPr="003B78CD" w:rsidRDefault="001F19BE">
            <w:pPr>
              <w:pStyle w:val="tvhtml"/>
              <w:spacing w:line="293" w:lineRule="atLeast"/>
              <w:rPr>
                <w:lang w:val="lv-LV"/>
              </w:rPr>
            </w:pPr>
            <w:r w:rsidRPr="003B78CD">
              <w:rPr>
                <w:lang w:val="lv-LV"/>
              </w:rPr>
              <w:t>neparedz stingrākas prasības</w:t>
            </w:r>
          </w:p>
        </w:tc>
      </w:tr>
      <w:tr w:rsidR="00731E63" w:rsidRPr="003B78CD" w:rsidTr="00551341">
        <w:trPr>
          <w:jc w:val="center"/>
        </w:trPr>
        <w:tc>
          <w:tcPr>
            <w:tcW w:w="1086" w:type="pct"/>
            <w:tcBorders>
              <w:top w:val="outset" w:sz="6" w:space="0" w:color="414142"/>
              <w:left w:val="outset" w:sz="6" w:space="0" w:color="414142"/>
              <w:bottom w:val="outset" w:sz="6" w:space="0" w:color="414142"/>
              <w:right w:val="outset" w:sz="6" w:space="0" w:color="414142"/>
            </w:tcBorders>
          </w:tcPr>
          <w:p w:rsidR="00190AEE" w:rsidRDefault="00166E02" w:rsidP="00190AEE">
            <w:pPr>
              <w:rPr>
                <w:lang w:val="lv-LV"/>
              </w:rPr>
            </w:pPr>
            <w:r w:rsidRPr="00190AEE">
              <w:rPr>
                <w:lang w:val="lv-LV"/>
              </w:rPr>
              <w:t xml:space="preserve">Regulas Nr. </w:t>
            </w:r>
            <w:r w:rsidR="00190AEE" w:rsidRPr="00190AEE">
              <w:rPr>
                <w:lang w:val="lv-LV"/>
              </w:rPr>
              <w:t>1031</w:t>
            </w:r>
            <w:r w:rsidRPr="00190AEE">
              <w:rPr>
                <w:lang w:val="lv-LV"/>
              </w:rPr>
              <w:t>/2014</w:t>
            </w:r>
          </w:p>
          <w:p w:rsidR="00731E63" w:rsidRPr="003B78CD" w:rsidRDefault="00166E02" w:rsidP="00190AEE">
            <w:pPr>
              <w:rPr>
                <w:lang w:val="lv-LV"/>
              </w:rPr>
            </w:pPr>
            <w:r w:rsidRPr="00190AEE">
              <w:rPr>
                <w:lang w:val="lv-LV"/>
              </w:rPr>
              <w:t>1</w:t>
            </w:r>
            <w:r>
              <w:rPr>
                <w:lang w:val="lv-LV"/>
              </w:rPr>
              <w:t>.pants</w:t>
            </w:r>
          </w:p>
        </w:tc>
        <w:tc>
          <w:tcPr>
            <w:tcW w:w="1132" w:type="pct"/>
            <w:gridSpan w:val="2"/>
            <w:tcBorders>
              <w:top w:val="outset" w:sz="6" w:space="0" w:color="414142"/>
              <w:left w:val="outset" w:sz="6" w:space="0" w:color="414142"/>
              <w:bottom w:val="outset" w:sz="6" w:space="0" w:color="414142"/>
              <w:right w:val="outset" w:sz="6" w:space="0" w:color="414142"/>
            </w:tcBorders>
          </w:tcPr>
          <w:p w:rsidR="00731E63" w:rsidRPr="00190AEE" w:rsidRDefault="00190AEE">
            <w:pPr>
              <w:rPr>
                <w:lang w:val="lv-LV"/>
              </w:rPr>
            </w:pPr>
            <w:r w:rsidRPr="00190AEE">
              <w:rPr>
                <w:lang w:val="lv-LV"/>
              </w:rPr>
              <w:t>7</w:t>
            </w:r>
            <w:r w:rsidR="00166E02" w:rsidRPr="00190AEE">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hideMark/>
          </w:tcPr>
          <w:p w:rsidR="00731E63" w:rsidRPr="003B78CD" w:rsidRDefault="00B4121D">
            <w:pPr>
              <w:pStyle w:val="tvhtml"/>
              <w:spacing w:line="293" w:lineRule="atLeast"/>
              <w:rPr>
                <w:lang w:val="lv-LV"/>
              </w:rPr>
            </w:pPr>
            <w:r w:rsidRPr="003B78CD">
              <w:rPr>
                <w:lang w:val="lv-LV"/>
              </w:rPr>
              <w:t>ieviestas pilnībā</w:t>
            </w:r>
          </w:p>
          <w:p w:rsidR="000B59AD" w:rsidRPr="003B78CD" w:rsidRDefault="000B59AD">
            <w:pPr>
              <w:pStyle w:val="tvhtml"/>
              <w:spacing w:line="293" w:lineRule="atLeast"/>
              <w:rPr>
                <w:lang w:val="lv-LV"/>
              </w:rPr>
            </w:pPr>
          </w:p>
        </w:tc>
        <w:tc>
          <w:tcPr>
            <w:tcW w:w="1341" w:type="pct"/>
            <w:tcBorders>
              <w:top w:val="outset" w:sz="6" w:space="0" w:color="414142"/>
              <w:left w:val="outset" w:sz="6" w:space="0" w:color="414142"/>
              <w:bottom w:val="outset" w:sz="6" w:space="0" w:color="414142"/>
              <w:right w:val="outset" w:sz="6" w:space="0" w:color="414142"/>
            </w:tcBorders>
            <w:hideMark/>
          </w:tcPr>
          <w:p w:rsidR="00731E63" w:rsidRPr="003B78CD" w:rsidRDefault="00B4121D">
            <w:pPr>
              <w:pStyle w:val="tvhtml"/>
              <w:spacing w:line="293" w:lineRule="atLeast"/>
              <w:rPr>
                <w:lang w:val="lv-LV"/>
              </w:rPr>
            </w:pPr>
            <w:r w:rsidRPr="003B78CD">
              <w:rPr>
                <w:lang w:val="lv-LV"/>
              </w:rPr>
              <w:t>neparedz stingrākas prasības</w:t>
            </w:r>
          </w:p>
        </w:tc>
      </w:tr>
      <w:tr w:rsidR="00B4121D"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190AEE" w:rsidRDefault="00166E02" w:rsidP="00190AEE">
            <w:pPr>
              <w:rPr>
                <w:lang w:val="lv-LV"/>
              </w:rPr>
            </w:pPr>
            <w:r>
              <w:rPr>
                <w:lang w:val="lv-LV"/>
              </w:rPr>
              <w:t xml:space="preserve">Regulas Nr. </w:t>
            </w:r>
            <w:r w:rsidR="00190AEE" w:rsidRPr="00190AEE">
              <w:rPr>
                <w:lang w:val="lv-LV"/>
              </w:rPr>
              <w:t>1031/2014</w:t>
            </w:r>
          </w:p>
          <w:p w:rsidR="00B4121D" w:rsidRPr="00A839E9" w:rsidRDefault="00166E02" w:rsidP="00190AEE">
            <w:pPr>
              <w:rPr>
                <w:lang w:val="lv-LV"/>
              </w:rPr>
            </w:pPr>
            <w:r>
              <w:rPr>
                <w:lang w:val="lv-LV"/>
              </w:rPr>
              <w:t xml:space="preserve">1.panta </w:t>
            </w:r>
            <w:r w:rsidR="00521162">
              <w:rPr>
                <w:lang w:val="lv-LV"/>
              </w:rPr>
              <w:t>3</w:t>
            </w:r>
            <w:r>
              <w:rPr>
                <w:lang w:val="lv-LV"/>
              </w:rPr>
              <w:t xml:space="preserve">. </w:t>
            </w:r>
            <w:r w:rsidR="00190AEE">
              <w:rPr>
                <w:lang w:val="lv-LV"/>
              </w:rPr>
              <w:t>p</w:t>
            </w:r>
            <w:r>
              <w:rPr>
                <w:lang w:val="lv-LV"/>
              </w:rPr>
              <w:t>unkts</w:t>
            </w:r>
          </w:p>
        </w:tc>
        <w:tc>
          <w:tcPr>
            <w:tcW w:w="1132" w:type="pct"/>
            <w:gridSpan w:val="2"/>
            <w:tcBorders>
              <w:top w:val="outset" w:sz="6" w:space="0" w:color="414142"/>
              <w:left w:val="outset" w:sz="6" w:space="0" w:color="414142"/>
              <w:bottom w:val="outset" w:sz="6" w:space="0" w:color="414142"/>
              <w:right w:val="outset" w:sz="6" w:space="0" w:color="414142"/>
            </w:tcBorders>
          </w:tcPr>
          <w:p w:rsidR="00B4121D" w:rsidRPr="00B740E2" w:rsidRDefault="00190AEE">
            <w:pPr>
              <w:rPr>
                <w:color w:val="FF0000"/>
                <w:lang w:val="lv-LV"/>
              </w:rPr>
            </w:pPr>
            <w:r w:rsidRPr="00190AEE">
              <w:rPr>
                <w:lang w:val="lv-LV"/>
              </w:rPr>
              <w:t>7</w:t>
            </w:r>
            <w:r w:rsidR="00166E02" w:rsidRPr="00190AEE">
              <w:rPr>
                <w:lang w:val="lv-LV"/>
              </w:rPr>
              <w:t>.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B4121D" w:rsidRPr="00A839E9" w:rsidRDefault="00B4121D">
            <w:pPr>
              <w:pStyle w:val="tvhtml"/>
              <w:spacing w:line="293" w:lineRule="atLeast"/>
              <w:rPr>
                <w:lang w:val="lv-LV"/>
              </w:rPr>
            </w:pPr>
            <w:r w:rsidRPr="00A839E9">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B4121D" w:rsidRPr="00A839E9" w:rsidRDefault="00B4121D">
            <w:pPr>
              <w:pStyle w:val="tvhtml"/>
              <w:spacing w:line="293" w:lineRule="atLeast"/>
              <w:rPr>
                <w:lang w:val="lv-LV"/>
              </w:rPr>
            </w:pPr>
            <w:r w:rsidRPr="00A839E9">
              <w:rPr>
                <w:lang w:val="lv-LV"/>
              </w:rPr>
              <w:t>neparedz stingrākas prasības</w:t>
            </w:r>
          </w:p>
        </w:tc>
      </w:tr>
      <w:tr w:rsidR="00190AEE"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190AEE" w:rsidRDefault="00190AEE" w:rsidP="009D46CB">
            <w:pPr>
              <w:rPr>
                <w:lang w:val="lv-LV"/>
              </w:rPr>
            </w:pPr>
            <w:r>
              <w:rPr>
                <w:lang w:val="lv-LV"/>
              </w:rPr>
              <w:t xml:space="preserve">Regulas Nr. </w:t>
            </w:r>
            <w:r w:rsidRPr="00190AEE">
              <w:rPr>
                <w:lang w:val="lv-LV"/>
              </w:rPr>
              <w:lastRenderedPageBreak/>
              <w:t>1031/2014</w:t>
            </w:r>
          </w:p>
          <w:p w:rsidR="00190AEE" w:rsidRPr="00A839E9" w:rsidRDefault="00190AEE" w:rsidP="00190AEE">
            <w:pPr>
              <w:rPr>
                <w:lang w:val="lv-LV"/>
              </w:rPr>
            </w:pPr>
            <w:r>
              <w:rPr>
                <w:lang w:val="lv-LV"/>
              </w:rPr>
              <w:t>3.pants</w:t>
            </w:r>
          </w:p>
        </w:tc>
        <w:tc>
          <w:tcPr>
            <w:tcW w:w="1132" w:type="pct"/>
            <w:gridSpan w:val="2"/>
            <w:tcBorders>
              <w:top w:val="outset" w:sz="6" w:space="0" w:color="414142"/>
              <w:left w:val="outset" w:sz="6" w:space="0" w:color="414142"/>
              <w:bottom w:val="outset" w:sz="6" w:space="0" w:color="414142"/>
              <w:right w:val="outset" w:sz="6" w:space="0" w:color="414142"/>
            </w:tcBorders>
          </w:tcPr>
          <w:p w:rsidR="00190AEE" w:rsidRPr="00B740E2" w:rsidRDefault="00190AEE" w:rsidP="009D46CB">
            <w:pPr>
              <w:rPr>
                <w:color w:val="FF0000"/>
                <w:lang w:val="lv-LV"/>
              </w:rPr>
            </w:pPr>
            <w:r w:rsidRPr="00190AEE">
              <w:rPr>
                <w:lang w:val="lv-LV"/>
              </w:rPr>
              <w:lastRenderedPageBreak/>
              <w:t>7.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190AEE" w:rsidRPr="00A839E9" w:rsidRDefault="00190AEE" w:rsidP="009D46CB">
            <w:pPr>
              <w:pStyle w:val="tvhtml"/>
              <w:spacing w:line="293" w:lineRule="atLeast"/>
              <w:rPr>
                <w:lang w:val="lv-LV"/>
              </w:rPr>
            </w:pPr>
            <w:r w:rsidRPr="00A839E9">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190AEE" w:rsidRPr="00A839E9" w:rsidRDefault="00190AEE" w:rsidP="009D46CB">
            <w:pPr>
              <w:pStyle w:val="tvhtml"/>
              <w:spacing w:line="293" w:lineRule="atLeast"/>
              <w:rPr>
                <w:lang w:val="lv-LV"/>
              </w:rPr>
            </w:pPr>
            <w:r w:rsidRPr="00A839E9">
              <w:rPr>
                <w:lang w:val="lv-LV"/>
              </w:rPr>
              <w:t xml:space="preserve">neparedz stingrākas </w:t>
            </w:r>
            <w:r w:rsidRPr="00A839E9">
              <w:rPr>
                <w:lang w:val="lv-LV"/>
              </w:rPr>
              <w:lastRenderedPageBreak/>
              <w:t>prasības</w:t>
            </w:r>
          </w:p>
        </w:tc>
      </w:tr>
      <w:tr w:rsidR="00190AEE"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190AEE" w:rsidRDefault="00190AEE" w:rsidP="00190AEE">
            <w:pPr>
              <w:rPr>
                <w:lang w:val="lv-LV"/>
              </w:rPr>
            </w:pPr>
            <w:r>
              <w:rPr>
                <w:lang w:val="lv-LV"/>
              </w:rPr>
              <w:lastRenderedPageBreak/>
              <w:t xml:space="preserve">Regulas Nr. </w:t>
            </w:r>
            <w:r w:rsidRPr="00190AEE">
              <w:rPr>
                <w:lang w:val="lv-LV"/>
              </w:rPr>
              <w:t>1031/2014</w:t>
            </w:r>
          </w:p>
          <w:p w:rsidR="00190AEE" w:rsidRDefault="00190AEE" w:rsidP="00190AEE">
            <w:pPr>
              <w:rPr>
                <w:lang w:val="lv-LV"/>
              </w:rPr>
            </w:pPr>
            <w:r>
              <w:rPr>
                <w:lang w:val="lv-LV"/>
              </w:rPr>
              <w:t>4.pants</w:t>
            </w:r>
          </w:p>
        </w:tc>
        <w:tc>
          <w:tcPr>
            <w:tcW w:w="1132" w:type="pct"/>
            <w:gridSpan w:val="2"/>
            <w:tcBorders>
              <w:top w:val="outset" w:sz="6" w:space="0" w:color="414142"/>
              <w:left w:val="outset" w:sz="6" w:space="0" w:color="414142"/>
              <w:bottom w:val="outset" w:sz="6" w:space="0" w:color="414142"/>
              <w:right w:val="outset" w:sz="6" w:space="0" w:color="414142"/>
            </w:tcBorders>
          </w:tcPr>
          <w:p w:rsidR="00190AEE" w:rsidRDefault="00190AEE">
            <w:pPr>
              <w:rPr>
                <w:color w:val="FF0000"/>
                <w:lang w:val="lv-LV"/>
              </w:rPr>
            </w:pPr>
            <w:r w:rsidRPr="00190AEE">
              <w:rPr>
                <w:lang w:val="lv-LV"/>
              </w:rPr>
              <w:t>7.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190AEE" w:rsidRPr="003B78CD" w:rsidRDefault="00190AEE" w:rsidP="00955FE9">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190AEE" w:rsidRPr="003B78CD" w:rsidRDefault="00190AEE" w:rsidP="00955FE9">
            <w:pPr>
              <w:pStyle w:val="tvhtml"/>
              <w:spacing w:line="293" w:lineRule="atLeast"/>
              <w:rPr>
                <w:lang w:val="lv-LV"/>
              </w:rPr>
            </w:pPr>
            <w:r w:rsidRPr="003B78CD">
              <w:rPr>
                <w:lang w:val="lv-LV"/>
              </w:rPr>
              <w:t>neparedz stingrākas prasības</w:t>
            </w:r>
          </w:p>
        </w:tc>
      </w:tr>
      <w:tr w:rsidR="00190AEE"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190AEE" w:rsidRDefault="00190AEE" w:rsidP="00190AEE">
            <w:pPr>
              <w:rPr>
                <w:lang w:val="lv-LV"/>
              </w:rPr>
            </w:pPr>
            <w:r>
              <w:rPr>
                <w:lang w:val="lv-LV"/>
              </w:rPr>
              <w:t xml:space="preserve">Regulas Nr. </w:t>
            </w:r>
            <w:r w:rsidRPr="00190AEE">
              <w:rPr>
                <w:lang w:val="lv-LV"/>
              </w:rPr>
              <w:t>1031/2014</w:t>
            </w:r>
          </w:p>
          <w:p w:rsidR="00190AEE" w:rsidRDefault="00190AEE" w:rsidP="00521162">
            <w:pPr>
              <w:rPr>
                <w:lang w:val="lv-LV"/>
              </w:rPr>
            </w:pPr>
            <w:r>
              <w:rPr>
                <w:lang w:val="lv-LV"/>
              </w:rPr>
              <w:t>5.pants</w:t>
            </w:r>
          </w:p>
        </w:tc>
        <w:tc>
          <w:tcPr>
            <w:tcW w:w="1132" w:type="pct"/>
            <w:gridSpan w:val="2"/>
            <w:tcBorders>
              <w:top w:val="outset" w:sz="6" w:space="0" w:color="414142"/>
              <w:left w:val="outset" w:sz="6" w:space="0" w:color="414142"/>
              <w:bottom w:val="outset" w:sz="6" w:space="0" w:color="414142"/>
              <w:right w:val="outset" w:sz="6" w:space="0" w:color="414142"/>
            </w:tcBorders>
          </w:tcPr>
          <w:p w:rsidR="00190AEE" w:rsidRDefault="00190AEE">
            <w:pPr>
              <w:rPr>
                <w:color w:val="FF0000"/>
                <w:lang w:val="lv-LV"/>
              </w:rPr>
            </w:pPr>
            <w:r w:rsidRPr="00190AEE">
              <w:rPr>
                <w:lang w:val="lv-LV"/>
              </w:rPr>
              <w:t>7.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190AEE" w:rsidRPr="003B78CD" w:rsidRDefault="00190AEE" w:rsidP="00955FE9">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190AEE" w:rsidRPr="003B78CD" w:rsidRDefault="00190AEE" w:rsidP="00955FE9">
            <w:pPr>
              <w:pStyle w:val="tvhtml"/>
              <w:spacing w:line="293" w:lineRule="atLeast"/>
              <w:rPr>
                <w:lang w:val="lv-LV"/>
              </w:rPr>
            </w:pPr>
            <w:r w:rsidRPr="003B78CD">
              <w:rPr>
                <w:lang w:val="lv-LV"/>
              </w:rPr>
              <w:t>neparedz stingrākas prasības</w:t>
            </w:r>
          </w:p>
        </w:tc>
      </w:tr>
      <w:tr w:rsidR="00190AEE"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190AEE" w:rsidRDefault="00190AEE" w:rsidP="00190AEE">
            <w:pPr>
              <w:rPr>
                <w:lang w:val="lv-LV"/>
              </w:rPr>
            </w:pPr>
            <w:r>
              <w:rPr>
                <w:lang w:val="lv-LV"/>
              </w:rPr>
              <w:t xml:space="preserve">Regulas Nr. </w:t>
            </w:r>
            <w:r w:rsidRPr="00190AEE">
              <w:rPr>
                <w:lang w:val="lv-LV"/>
              </w:rPr>
              <w:t>1031/2014</w:t>
            </w:r>
          </w:p>
          <w:p w:rsidR="00190AEE" w:rsidRDefault="00190AEE" w:rsidP="00521162">
            <w:pPr>
              <w:rPr>
                <w:lang w:val="lv-LV"/>
              </w:rPr>
            </w:pPr>
            <w:r>
              <w:rPr>
                <w:lang w:val="lv-LV"/>
              </w:rPr>
              <w:t>6.pants</w:t>
            </w:r>
          </w:p>
        </w:tc>
        <w:tc>
          <w:tcPr>
            <w:tcW w:w="1132" w:type="pct"/>
            <w:gridSpan w:val="2"/>
            <w:tcBorders>
              <w:top w:val="outset" w:sz="6" w:space="0" w:color="414142"/>
              <w:left w:val="outset" w:sz="6" w:space="0" w:color="414142"/>
              <w:bottom w:val="outset" w:sz="6" w:space="0" w:color="414142"/>
              <w:right w:val="outset" w:sz="6" w:space="0" w:color="414142"/>
            </w:tcBorders>
          </w:tcPr>
          <w:p w:rsidR="00190AEE" w:rsidRDefault="00190AEE">
            <w:pPr>
              <w:rPr>
                <w:color w:val="FF0000"/>
                <w:lang w:val="lv-LV"/>
              </w:rPr>
            </w:pPr>
            <w:r w:rsidRPr="00190AEE">
              <w:rPr>
                <w:lang w:val="lv-LV"/>
              </w:rPr>
              <w:t>7.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190AEE" w:rsidRPr="003B78CD" w:rsidRDefault="00190AEE" w:rsidP="00955FE9">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190AEE" w:rsidRPr="003B78CD" w:rsidRDefault="00190AEE" w:rsidP="00955FE9">
            <w:pPr>
              <w:pStyle w:val="tvhtml"/>
              <w:spacing w:line="293" w:lineRule="atLeast"/>
              <w:rPr>
                <w:lang w:val="lv-LV"/>
              </w:rPr>
            </w:pPr>
            <w:r w:rsidRPr="003B78CD">
              <w:rPr>
                <w:lang w:val="lv-LV"/>
              </w:rPr>
              <w:t>neparedz stingrākas prasības</w:t>
            </w:r>
          </w:p>
        </w:tc>
      </w:tr>
      <w:tr w:rsidR="00190AEE"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190AEE" w:rsidRPr="004B6E42" w:rsidRDefault="00190AEE" w:rsidP="00190AEE">
            <w:pPr>
              <w:rPr>
                <w:lang w:val="lv-LV"/>
              </w:rPr>
            </w:pPr>
            <w:r w:rsidRPr="004B6E42">
              <w:rPr>
                <w:lang w:val="lv-LV"/>
              </w:rPr>
              <w:t>Regulas Nr. 1031/2014</w:t>
            </w:r>
          </w:p>
          <w:p w:rsidR="00190AEE" w:rsidRPr="004B6E42" w:rsidRDefault="00190AEE" w:rsidP="00521162">
            <w:pPr>
              <w:rPr>
                <w:lang w:val="lv-LV"/>
              </w:rPr>
            </w:pPr>
            <w:r w:rsidRPr="004B6E42">
              <w:rPr>
                <w:lang w:val="lv-LV"/>
              </w:rPr>
              <w:t>7.pants</w:t>
            </w:r>
          </w:p>
        </w:tc>
        <w:tc>
          <w:tcPr>
            <w:tcW w:w="1132" w:type="pct"/>
            <w:gridSpan w:val="2"/>
            <w:tcBorders>
              <w:top w:val="outset" w:sz="6" w:space="0" w:color="414142"/>
              <w:left w:val="outset" w:sz="6" w:space="0" w:color="414142"/>
              <w:bottom w:val="outset" w:sz="6" w:space="0" w:color="414142"/>
              <w:right w:val="outset" w:sz="6" w:space="0" w:color="414142"/>
            </w:tcBorders>
          </w:tcPr>
          <w:p w:rsidR="00190AEE" w:rsidRPr="004B6E42" w:rsidRDefault="00190AEE">
            <w:pPr>
              <w:rPr>
                <w:lang w:val="lv-LV"/>
              </w:rPr>
            </w:pPr>
            <w:r w:rsidRPr="004B6E42">
              <w:rPr>
                <w:lang w:val="lv-LV"/>
              </w:rPr>
              <w:t>7.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190AEE" w:rsidRPr="004B6E42" w:rsidRDefault="00190AEE" w:rsidP="00955FE9">
            <w:pPr>
              <w:pStyle w:val="tvhtml"/>
              <w:spacing w:line="293" w:lineRule="atLeast"/>
              <w:rPr>
                <w:lang w:val="lv-LV"/>
              </w:rPr>
            </w:pPr>
            <w:r w:rsidRPr="004B6E42">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190AEE" w:rsidRPr="004B6E42" w:rsidRDefault="00190AEE" w:rsidP="00955FE9">
            <w:pPr>
              <w:pStyle w:val="tvhtml"/>
              <w:spacing w:line="293" w:lineRule="atLeast"/>
              <w:rPr>
                <w:lang w:val="lv-LV"/>
              </w:rPr>
            </w:pPr>
            <w:r w:rsidRPr="004B6E42">
              <w:rPr>
                <w:lang w:val="lv-LV"/>
              </w:rPr>
              <w:t>neparedz stingrākas prasības</w:t>
            </w:r>
          </w:p>
        </w:tc>
      </w:tr>
      <w:tr w:rsidR="00C75C3B"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C75C3B" w:rsidRPr="004B6E42" w:rsidRDefault="00C75C3B" w:rsidP="00190AEE">
            <w:pPr>
              <w:rPr>
                <w:lang w:val="lv-LV"/>
              </w:rPr>
            </w:pPr>
            <w:r w:rsidRPr="004B6E42">
              <w:rPr>
                <w:lang w:val="lv-LV"/>
              </w:rPr>
              <w:t>Regulas Nr. 1031/2014 9.pants</w:t>
            </w:r>
          </w:p>
        </w:tc>
        <w:tc>
          <w:tcPr>
            <w:tcW w:w="1132" w:type="pct"/>
            <w:gridSpan w:val="2"/>
            <w:tcBorders>
              <w:top w:val="outset" w:sz="6" w:space="0" w:color="414142"/>
              <w:left w:val="outset" w:sz="6" w:space="0" w:color="414142"/>
              <w:bottom w:val="outset" w:sz="6" w:space="0" w:color="414142"/>
              <w:right w:val="outset" w:sz="6" w:space="0" w:color="414142"/>
            </w:tcBorders>
          </w:tcPr>
          <w:p w:rsidR="00C75C3B" w:rsidRPr="004B6E42" w:rsidRDefault="00C75C3B" w:rsidP="00C75C3B">
            <w:pPr>
              <w:rPr>
                <w:lang w:val="lv-LV"/>
              </w:rPr>
            </w:pPr>
            <w:r w:rsidRPr="004B6E42">
              <w:rPr>
                <w:lang w:val="lv-LV"/>
              </w:rPr>
              <w:t>7. un 8.punkts (13., 14.pielikums)</w:t>
            </w:r>
          </w:p>
        </w:tc>
        <w:tc>
          <w:tcPr>
            <w:tcW w:w="1441" w:type="pct"/>
            <w:gridSpan w:val="2"/>
            <w:tcBorders>
              <w:top w:val="outset" w:sz="6" w:space="0" w:color="414142"/>
              <w:left w:val="outset" w:sz="6" w:space="0" w:color="414142"/>
              <w:bottom w:val="outset" w:sz="6" w:space="0" w:color="414142"/>
              <w:right w:val="outset" w:sz="6" w:space="0" w:color="414142"/>
            </w:tcBorders>
          </w:tcPr>
          <w:p w:rsidR="00C75C3B" w:rsidRPr="004B6E42" w:rsidRDefault="00C75C3B" w:rsidP="009E7187">
            <w:pPr>
              <w:pStyle w:val="tvhtml"/>
              <w:spacing w:line="293" w:lineRule="atLeast"/>
              <w:rPr>
                <w:lang w:val="lv-LV"/>
              </w:rPr>
            </w:pPr>
            <w:r w:rsidRPr="004B6E42">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C75C3B" w:rsidRPr="004B6E42" w:rsidRDefault="00C75C3B" w:rsidP="009E7187">
            <w:pPr>
              <w:pStyle w:val="tvhtml"/>
              <w:spacing w:line="293" w:lineRule="atLeast"/>
              <w:rPr>
                <w:lang w:val="lv-LV"/>
              </w:rPr>
            </w:pPr>
            <w:r w:rsidRPr="004B6E42">
              <w:rPr>
                <w:lang w:val="lv-LV"/>
              </w:rPr>
              <w:t>neparedz stingrākas prasības</w:t>
            </w:r>
          </w:p>
        </w:tc>
      </w:tr>
      <w:tr w:rsidR="00C75C3B" w:rsidRPr="00C75C3B"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C75C3B" w:rsidRPr="004B6E42" w:rsidRDefault="00C75C3B" w:rsidP="00190AEE">
            <w:pPr>
              <w:rPr>
                <w:lang w:val="lv-LV"/>
              </w:rPr>
            </w:pPr>
            <w:r w:rsidRPr="004B6E42">
              <w:rPr>
                <w:lang w:val="lv-LV"/>
              </w:rPr>
              <w:t>Regulas Nr. 1031/2014 2.panta 3.apakšpunkts, 8., 9.. 10.pants</w:t>
            </w:r>
          </w:p>
        </w:tc>
        <w:tc>
          <w:tcPr>
            <w:tcW w:w="1132" w:type="pct"/>
            <w:gridSpan w:val="2"/>
            <w:tcBorders>
              <w:top w:val="outset" w:sz="6" w:space="0" w:color="414142"/>
              <w:left w:val="outset" w:sz="6" w:space="0" w:color="414142"/>
              <w:bottom w:val="outset" w:sz="6" w:space="0" w:color="414142"/>
              <w:right w:val="outset" w:sz="6" w:space="0" w:color="414142"/>
            </w:tcBorders>
          </w:tcPr>
          <w:p w:rsidR="00C75C3B" w:rsidRPr="004B6E42" w:rsidRDefault="00C75C3B" w:rsidP="009E7187">
            <w:pPr>
              <w:rPr>
                <w:lang w:val="lv-LV"/>
              </w:rPr>
            </w:pPr>
            <w:r w:rsidRPr="004B6E42">
              <w:rPr>
                <w:lang w:val="lv-LV"/>
              </w:rPr>
              <w:t>7.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C75C3B" w:rsidRPr="004B6E42" w:rsidRDefault="00C75C3B" w:rsidP="009E7187">
            <w:pPr>
              <w:pStyle w:val="tvhtml"/>
              <w:spacing w:line="293" w:lineRule="atLeast"/>
              <w:rPr>
                <w:lang w:val="lv-LV"/>
              </w:rPr>
            </w:pPr>
            <w:r w:rsidRPr="004B6E42">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C75C3B" w:rsidRPr="004B6E42" w:rsidRDefault="00C75C3B" w:rsidP="009E7187">
            <w:pPr>
              <w:pStyle w:val="tvhtml"/>
              <w:spacing w:line="293" w:lineRule="atLeast"/>
              <w:rPr>
                <w:lang w:val="lv-LV"/>
              </w:rPr>
            </w:pPr>
            <w:r w:rsidRPr="004B6E42">
              <w:rPr>
                <w:lang w:val="lv-LV"/>
              </w:rPr>
              <w:t>neparedz stingrākas prasības</w:t>
            </w:r>
          </w:p>
        </w:tc>
      </w:tr>
      <w:tr w:rsidR="00C75C3B"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C75C3B" w:rsidRPr="004B6E42" w:rsidRDefault="00C75C3B" w:rsidP="00166E02">
            <w:pPr>
              <w:rPr>
                <w:lang w:val="lv-LV"/>
              </w:rPr>
            </w:pPr>
            <w:r w:rsidRPr="004B6E42">
              <w:rPr>
                <w:lang w:val="lv-LV"/>
              </w:rPr>
              <w:t>Regulas Nr.543/2011</w:t>
            </w:r>
          </w:p>
          <w:p w:rsidR="00C75C3B" w:rsidRPr="004B6E42" w:rsidRDefault="00C75C3B" w:rsidP="00166E02">
            <w:pPr>
              <w:rPr>
                <w:lang w:val="lv-LV"/>
              </w:rPr>
            </w:pPr>
            <w:r w:rsidRPr="004B6E42">
              <w:rPr>
                <w:lang w:val="lv-LV"/>
              </w:rPr>
              <w:t>81. pants.</w:t>
            </w:r>
          </w:p>
        </w:tc>
        <w:tc>
          <w:tcPr>
            <w:tcW w:w="1132" w:type="pct"/>
            <w:gridSpan w:val="2"/>
            <w:tcBorders>
              <w:top w:val="outset" w:sz="6" w:space="0" w:color="414142"/>
              <w:left w:val="outset" w:sz="6" w:space="0" w:color="414142"/>
              <w:bottom w:val="outset" w:sz="6" w:space="0" w:color="414142"/>
              <w:right w:val="outset" w:sz="6" w:space="0" w:color="414142"/>
            </w:tcBorders>
          </w:tcPr>
          <w:p w:rsidR="00C75C3B" w:rsidRPr="004B6E42" w:rsidRDefault="00C75C3B" w:rsidP="00A033A5">
            <w:pPr>
              <w:rPr>
                <w:lang w:val="lv-LV"/>
              </w:rPr>
            </w:pPr>
            <w:r w:rsidRPr="004B6E42">
              <w:rPr>
                <w:lang w:val="lv-LV"/>
              </w:rPr>
              <w:t>7.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C75C3B" w:rsidRPr="004B6E42" w:rsidRDefault="00C75C3B" w:rsidP="00A033A5">
            <w:pPr>
              <w:pStyle w:val="tvhtml"/>
              <w:spacing w:line="293" w:lineRule="atLeast"/>
              <w:rPr>
                <w:lang w:val="lv-LV"/>
              </w:rPr>
            </w:pPr>
            <w:r w:rsidRPr="004B6E42">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C75C3B" w:rsidRPr="004B6E42" w:rsidRDefault="00C75C3B" w:rsidP="00A033A5">
            <w:pPr>
              <w:pStyle w:val="tvhtml"/>
              <w:spacing w:line="293" w:lineRule="atLeast"/>
              <w:rPr>
                <w:lang w:val="lv-LV"/>
              </w:rPr>
            </w:pPr>
            <w:r w:rsidRPr="004B6E42">
              <w:rPr>
                <w:lang w:val="lv-LV"/>
              </w:rPr>
              <w:t>neparedz stingrākas prasības</w:t>
            </w:r>
          </w:p>
        </w:tc>
      </w:tr>
      <w:tr w:rsidR="00C75C3B"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C75C3B" w:rsidRDefault="00C75C3B" w:rsidP="00F55060">
            <w:pPr>
              <w:rPr>
                <w:lang w:val="lv-LV"/>
              </w:rPr>
            </w:pPr>
            <w:r>
              <w:rPr>
                <w:lang w:val="lv-LV"/>
              </w:rPr>
              <w:t>Regulas Nr.543/2011</w:t>
            </w:r>
          </w:p>
          <w:p w:rsidR="00C75C3B" w:rsidRPr="00F55060" w:rsidRDefault="00C75C3B" w:rsidP="00F55060">
            <w:pPr>
              <w:rPr>
                <w:lang w:val="lv-LV"/>
              </w:rPr>
            </w:pPr>
            <w:r>
              <w:rPr>
                <w:lang w:val="lv-LV"/>
              </w:rPr>
              <w:t>82. pants.</w:t>
            </w:r>
          </w:p>
        </w:tc>
        <w:tc>
          <w:tcPr>
            <w:tcW w:w="1132" w:type="pct"/>
            <w:gridSpan w:val="2"/>
            <w:tcBorders>
              <w:top w:val="outset" w:sz="6" w:space="0" w:color="414142"/>
              <w:left w:val="outset" w:sz="6" w:space="0" w:color="414142"/>
              <w:bottom w:val="outset" w:sz="6" w:space="0" w:color="414142"/>
              <w:right w:val="outset" w:sz="6" w:space="0" w:color="414142"/>
            </w:tcBorders>
          </w:tcPr>
          <w:p w:rsidR="00C75C3B" w:rsidRPr="00B740E2" w:rsidRDefault="00C75C3B">
            <w:pPr>
              <w:rPr>
                <w:color w:val="FF0000"/>
                <w:lang w:val="lv-LV"/>
              </w:rPr>
            </w:pPr>
            <w:r w:rsidRPr="00190AEE">
              <w:rPr>
                <w:lang w:val="lv-LV"/>
              </w:rPr>
              <w:t>7.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C75C3B" w:rsidRPr="003B78CD" w:rsidRDefault="00C75C3B">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C75C3B" w:rsidRPr="003B78CD" w:rsidRDefault="00C75C3B">
            <w:pPr>
              <w:pStyle w:val="tvhtml"/>
              <w:spacing w:line="293" w:lineRule="atLeast"/>
              <w:rPr>
                <w:lang w:val="lv-LV"/>
              </w:rPr>
            </w:pPr>
            <w:r w:rsidRPr="003B78CD">
              <w:rPr>
                <w:lang w:val="lv-LV"/>
              </w:rPr>
              <w:t>neparedz stingrākas prasības</w:t>
            </w:r>
          </w:p>
        </w:tc>
      </w:tr>
      <w:tr w:rsidR="00C75C3B"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C75C3B" w:rsidRDefault="00C75C3B" w:rsidP="00190AEE">
            <w:pPr>
              <w:rPr>
                <w:lang w:val="lv-LV"/>
              </w:rPr>
            </w:pPr>
            <w:r>
              <w:rPr>
                <w:lang w:val="lv-LV"/>
              </w:rPr>
              <w:t xml:space="preserve">Regulas Nr. </w:t>
            </w:r>
            <w:r w:rsidRPr="00190AEE">
              <w:rPr>
                <w:lang w:val="lv-LV"/>
              </w:rPr>
              <w:t>1031/2014</w:t>
            </w:r>
          </w:p>
          <w:p w:rsidR="00C75C3B" w:rsidRPr="003B78CD" w:rsidRDefault="00C75C3B" w:rsidP="00AF2FCC">
            <w:pPr>
              <w:rPr>
                <w:lang w:val="lv-LV"/>
              </w:rPr>
            </w:pPr>
            <w:r>
              <w:rPr>
                <w:lang w:val="lv-LV"/>
              </w:rPr>
              <w:t>5.panta 4.punkts</w:t>
            </w:r>
          </w:p>
        </w:tc>
        <w:tc>
          <w:tcPr>
            <w:tcW w:w="1132" w:type="pct"/>
            <w:gridSpan w:val="2"/>
            <w:tcBorders>
              <w:top w:val="outset" w:sz="6" w:space="0" w:color="414142"/>
              <w:left w:val="outset" w:sz="6" w:space="0" w:color="414142"/>
              <w:bottom w:val="outset" w:sz="6" w:space="0" w:color="414142"/>
              <w:right w:val="outset" w:sz="6" w:space="0" w:color="414142"/>
            </w:tcBorders>
          </w:tcPr>
          <w:p w:rsidR="00C75C3B" w:rsidRPr="00B740E2" w:rsidRDefault="00C75C3B">
            <w:pPr>
              <w:rPr>
                <w:color w:val="FF0000"/>
                <w:lang w:val="lv-LV"/>
              </w:rPr>
            </w:pPr>
            <w:r w:rsidRPr="00190AEE">
              <w:rPr>
                <w:lang w:val="lv-LV"/>
              </w:rPr>
              <w:t>7.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C75C3B" w:rsidRPr="003B78CD" w:rsidRDefault="00C75C3B">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C75C3B" w:rsidRPr="003B78CD" w:rsidRDefault="00C75C3B">
            <w:pPr>
              <w:pStyle w:val="tvhtml"/>
              <w:spacing w:line="293" w:lineRule="atLeast"/>
              <w:rPr>
                <w:lang w:val="lv-LV"/>
              </w:rPr>
            </w:pPr>
            <w:r w:rsidRPr="003B78CD">
              <w:rPr>
                <w:lang w:val="lv-LV"/>
              </w:rPr>
              <w:t>neparedz stingrākas prasības</w:t>
            </w:r>
          </w:p>
        </w:tc>
      </w:tr>
      <w:tr w:rsidR="00C75C3B"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C75C3B" w:rsidRDefault="00C75C3B" w:rsidP="009D46CB">
            <w:pPr>
              <w:rPr>
                <w:lang w:val="lv-LV"/>
              </w:rPr>
            </w:pPr>
            <w:r>
              <w:rPr>
                <w:lang w:val="lv-LV"/>
              </w:rPr>
              <w:t xml:space="preserve">Regulas Nr. </w:t>
            </w:r>
            <w:r w:rsidRPr="00190AEE">
              <w:rPr>
                <w:lang w:val="lv-LV"/>
              </w:rPr>
              <w:t>1031/2014</w:t>
            </w:r>
          </w:p>
          <w:p w:rsidR="00C75C3B" w:rsidRPr="003B78CD" w:rsidRDefault="00C75C3B" w:rsidP="00190AEE">
            <w:pPr>
              <w:rPr>
                <w:lang w:val="lv-LV"/>
              </w:rPr>
            </w:pPr>
            <w:r>
              <w:rPr>
                <w:lang w:val="lv-LV"/>
              </w:rPr>
              <w:t>2.panta 3.punkts, 8., 10.pants</w:t>
            </w:r>
          </w:p>
        </w:tc>
        <w:tc>
          <w:tcPr>
            <w:tcW w:w="1132" w:type="pct"/>
            <w:gridSpan w:val="2"/>
            <w:tcBorders>
              <w:top w:val="outset" w:sz="6" w:space="0" w:color="414142"/>
              <w:left w:val="outset" w:sz="6" w:space="0" w:color="414142"/>
              <w:bottom w:val="outset" w:sz="6" w:space="0" w:color="414142"/>
              <w:right w:val="outset" w:sz="6" w:space="0" w:color="414142"/>
            </w:tcBorders>
          </w:tcPr>
          <w:p w:rsidR="00C75C3B" w:rsidRPr="00B740E2" w:rsidRDefault="00C75C3B" w:rsidP="009D46CB">
            <w:pPr>
              <w:rPr>
                <w:color w:val="FF0000"/>
                <w:lang w:val="lv-LV"/>
              </w:rPr>
            </w:pPr>
            <w:r w:rsidRPr="00190AEE">
              <w:rPr>
                <w:lang w:val="lv-LV"/>
              </w:rPr>
              <w:t>7. punkts</w:t>
            </w:r>
          </w:p>
        </w:tc>
        <w:tc>
          <w:tcPr>
            <w:tcW w:w="1441" w:type="pct"/>
            <w:gridSpan w:val="2"/>
            <w:tcBorders>
              <w:top w:val="outset" w:sz="6" w:space="0" w:color="414142"/>
              <w:left w:val="outset" w:sz="6" w:space="0" w:color="414142"/>
              <w:bottom w:val="outset" w:sz="6" w:space="0" w:color="414142"/>
              <w:right w:val="outset" w:sz="6" w:space="0" w:color="414142"/>
            </w:tcBorders>
          </w:tcPr>
          <w:p w:rsidR="00C75C3B" w:rsidRPr="003B78CD" w:rsidRDefault="00C75C3B" w:rsidP="009D46CB">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C75C3B" w:rsidRPr="003B78CD" w:rsidRDefault="00C75C3B" w:rsidP="009D46CB">
            <w:pPr>
              <w:pStyle w:val="tvhtml"/>
              <w:spacing w:line="293" w:lineRule="atLeast"/>
              <w:rPr>
                <w:lang w:val="lv-LV"/>
              </w:rPr>
            </w:pPr>
            <w:r w:rsidRPr="003B78CD">
              <w:rPr>
                <w:lang w:val="lv-LV"/>
              </w:rPr>
              <w:t>neparedz stingrākas prasības</w:t>
            </w:r>
          </w:p>
        </w:tc>
      </w:tr>
      <w:tr w:rsidR="00C75C3B" w:rsidRPr="003B78CD" w:rsidTr="00DC2887">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C75C3B" w:rsidRPr="003B78CD" w:rsidRDefault="00C75C3B">
            <w:pPr>
              <w:rPr>
                <w:lang w:val="lv-LV"/>
              </w:rPr>
            </w:pPr>
            <w:r w:rsidRPr="003B78CD">
              <w:rPr>
                <w:lang w:val="lv-LV"/>
              </w:rPr>
              <w:t>Kā ir izmantota ES tiesību aktā paredzētā rīcības brīvība dalībvalstij pārņemt vai ieviest noteiktas ES tiesību akta normas?</w:t>
            </w:r>
            <w:r w:rsidRPr="003B78CD">
              <w:rPr>
                <w:lang w:val="lv-LV"/>
              </w:rPr>
              <w:br/>
              <w:t>Kādēļ?</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C75C3B" w:rsidRPr="003B78CD" w:rsidRDefault="00C75C3B">
            <w:pPr>
              <w:rPr>
                <w:lang w:val="lv-LV"/>
              </w:rPr>
            </w:pPr>
            <w:r w:rsidRPr="003B78CD">
              <w:rPr>
                <w:lang w:val="lv-LV"/>
              </w:rPr>
              <w:t>Projekts šo jomu neskar.</w:t>
            </w:r>
          </w:p>
        </w:tc>
      </w:tr>
      <w:tr w:rsidR="00C75C3B" w:rsidRPr="003B78CD" w:rsidTr="00DC2887">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C75C3B" w:rsidRPr="003B78CD" w:rsidRDefault="00C75C3B">
            <w:pPr>
              <w:rPr>
                <w:lang w:val="lv-LV"/>
              </w:rPr>
            </w:pPr>
            <w:r w:rsidRPr="003B78CD">
              <w:rPr>
                <w:lang w:val="lv-LV"/>
              </w:rPr>
              <w:t xml:space="preserve">Saistības sniegt paziņojumu ES institūcijām un ES </w:t>
            </w:r>
            <w:r w:rsidRPr="003B78CD">
              <w:rPr>
                <w:lang w:val="lv-LV"/>
              </w:rPr>
              <w:lastRenderedPageBreak/>
              <w:t>dalībvalstīm atbilstoši normatīvajiem aktiem, kas regulē informācijas sniegšanu par tehnisko noteikumu, valsts atbalsta piešķiršanas un finanšu noteikumu (attiecībā uz monetāro politiku) projektiem</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C75C3B" w:rsidRPr="003B78CD" w:rsidRDefault="00C75C3B">
            <w:pPr>
              <w:rPr>
                <w:lang w:val="lv-LV"/>
              </w:rPr>
            </w:pPr>
            <w:r w:rsidRPr="003B78CD">
              <w:rPr>
                <w:lang w:val="lv-LV"/>
              </w:rPr>
              <w:lastRenderedPageBreak/>
              <w:t>Projekts šo jomu neskar.</w:t>
            </w:r>
          </w:p>
        </w:tc>
      </w:tr>
      <w:tr w:rsidR="00C75C3B" w:rsidRPr="003B78CD" w:rsidTr="00DC2887">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C75C3B" w:rsidRPr="003B78CD" w:rsidRDefault="00C75C3B">
            <w:pPr>
              <w:rPr>
                <w:lang w:val="lv-LV"/>
              </w:rPr>
            </w:pPr>
            <w:r w:rsidRPr="003B78CD">
              <w:rPr>
                <w:lang w:val="lv-LV"/>
              </w:rPr>
              <w:lastRenderedPageBreak/>
              <w:t>Cita informācija</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C75C3B" w:rsidRPr="003B78CD" w:rsidRDefault="00C75C3B">
            <w:pPr>
              <w:pStyle w:val="tvhtml"/>
              <w:spacing w:line="293" w:lineRule="atLeast"/>
              <w:rPr>
                <w:lang w:val="lv-LV"/>
              </w:rPr>
            </w:pPr>
            <w:r w:rsidRPr="003B78CD">
              <w:rPr>
                <w:lang w:val="lv-LV"/>
              </w:rPr>
              <w:t>Nav</w:t>
            </w:r>
          </w:p>
        </w:tc>
      </w:tr>
      <w:tr w:rsidR="00C75C3B" w:rsidRPr="003B78CD" w:rsidTr="00DC2887">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C75C3B" w:rsidRPr="003B78CD" w:rsidRDefault="00C75C3B">
            <w:pPr>
              <w:pStyle w:val="tvhtml"/>
              <w:spacing w:line="293" w:lineRule="atLeast"/>
              <w:jc w:val="center"/>
              <w:rPr>
                <w:b/>
                <w:bCs/>
                <w:lang w:val="lv-LV"/>
              </w:rPr>
            </w:pPr>
            <w:r w:rsidRPr="003B78CD">
              <w:rPr>
                <w:b/>
                <w:bCs/>
                <w:lang w:val="lv-LV"/>
              </w:rPr>
              <w:t>2.tabula</w:t>
            </w:r>
            <w:r w:rsidRPr="003B78CD">
              <w:rPr>
                <w:b/>
                <w:bCs/>
                <w:lang w:val="lv-LV"/>
              </w:rPr>
              <w:br/>
              <w:t>Ar tiesību akta projektu izpildītās vai uzņemtās saistības, kas izriet no starptautiskajiem tiesību aktiem vai starptautiskas institūcijas vai organizācijas dokumentiem.</w:t>
            </w:r>
            <w:r w:rsidRPr="003B78CD">
              <w:rPr>
                <w:b/>
                <w:bCs/>
                <w:lang w:val="lv-LV"/>
              </w:rPr>
              <w:br/>
              <w:t>Pasākumi šo saistību izpildei</w:t>
            </w:r>
          </w:p>
        </w:tc>
      </w:tr>
      <w:tr w:rsidR="00C75C3B" w:rsidRPr="003B78CD" w:rsidTr="00DC2887">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C75C3B" w:rsidRPr="003B78CD" w:rsidRDefault="00C75C3B">
            <w:pPr>
              <w:rPr>
                <w:lang w:val="lv-LV"/>
              </w:rPr>
            </w:pPr>
            <w:r w:rsidRPr="003B78CD">
              <w:rPr>
                <w:lang w:val="lv-LV"/>
              </w:rPr>
              <w:t>Attiecīgā starptautiskā tiesību akta vai starptautiskas institūcijas vai organizācijas dokumenta (turpmāk – starptautiskais dokuments) datums, numurs un nosaukums</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C75C3B" w:rsidRPr="003B78CD" w:rsidRDefault="00C75C3B">
            <w:pPr>
              <w:rPr>
                <w:lang w:val="lv-LV"/>
              </w:rPr>
            </w:pPr>
            <w:r w:rsidRPr="003B78CD">
              <w:rPr>
                <w:lang w:val="lv-LV"/>
              </w:rPr>
              <w:t>Projekts šo jomu neskar.</w:t>
            </w:r>
          </w:p>
        </w:tc>
      </w:tr>
      <w:tr w:rsidR="00C75C3B" w:rsidRPr="003B78CD" w:rsidTr="00DC2887">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C75C3B" w:rsidRPr="003B78CD" w:rsidRDefault="00C75C3B">
            <w:pPr>
              <w:pStyle w:val="tvhtml"/>
              <w:spacing w:line="293" w:lineRule="atLeast"/>
              <w:jc w:val="center"/>
              <w:rPr>
                <w:lang w:val="lv-LV"/>
              </w:rPr>
            </w:pPr>
            <w:r w:rsidRPr="003B78CD">
              <w:rPr>
                <w:lang w:val="lv-LV"/>
              </w:rPr>
              <w:t>A</w:t>
            </w:r>
          </w:p>
        </w:tc>
        <w:tc>
          <w:tcPr>
            <w:tcW w:w="1698" w:type="pct"/>
            <w:gridSpan w:val="2"/>
            <w:tcBorders>
              <w:top w:val="outset" w:sz="6" w:space="0" w:color="414142"/>
              <w:left w:val="outset" w:sz="6" w:space="0" w:color="414142"/>
              <w:bottom w:val="outset" w:sz="6" w:space="0" w:color="414142"/>
              <w:right w:val="outset" w:sz="6" w:space="0" w:color="414142"/>
            </w:tcBorders>
            <w:vAlign w:val="center"/>
            <w:hideMark/>
          </w:tcPr>
          <w:p w:rsidR="00C75C3B" w:rsidRPr="003B78CD" w:rsidRDefault="00C75C3B">
            <w:pPr>
              <w:pStyle w:val="tvhtml"/>
              <w:spacing w:line="293" w:lineRule="atLeast"/>
              <w:jc w:val="center"/>
              <w:rPr>
                <w:lang w:val="lv-LV"/>
              </w:rPr>
            </w:pPr>
            <w:r w:rsidRPr="003B78CD">
              <w:rPr>
                <w:lang w:val="lv-LV"/>
              </w:rPr>
              <w:t>B</w:t>
            </w:r>
          </w:p>
        </w:tc>
        <w:tc>
          <w:tcPr>
            <w:tcW w:w="2061" w:type="pct"/>
            <w:gridSpan w:val="2"/>
            <w:tcBorders>
              <w:top w:val="outset" w:sz="6" w:space="0" w:color="414142"/>
              <w:left w:val="outset" w:sz="6" w:space="0" w:color="414142"/>
              <w:bottom w:val="outset" w:sz="6" w:space="0" w:color="414142"/>
              <w:right w:val="outset" w:sz="6" w:space="0" w:color="414142"/>
            </w:tcBorders>
            <w:vAlign w:val="center"/>
            <w:hideMark/>
          </w:tcPr>
          <w:p w:rsidR="00C75C3B" w:rsidRPr="003B78CD" w:rsidRDefault="00C75C3B">
            <w:pPr>
              <w:pStyle w:val="tvhtml"/>
              <w:spacing w:line="293" w:lineRule="atLeast"/>
              <w:jc w:val="center"/>
              <w:rPr>
                <w:lang w:val="lv-LV"/>
              </w:rPr>
            </w:pPr>
            <w:r w:rsidRPr="003B78CD">
              <w:rPr>
                <w:lang w:val="lv-LV"/>
              </w:rPr>
              <w:t>C</w:t>
            </w:r>
          </w:p>
        </w:tc>
      </w:tr>
      <w:tr w:rsidR="00C75C3B" w:rsidRPr="00176A4E" w:rsidTr="00DC2887">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C75C3B" w:rsidRPr="003B78CD" w:rsidRDefault="00C75C3B">
            <w:pPr>
              <w:rPr>
                <w:lang w:val="lv-LV"/>
              </w:rPr>
            </w:pPr>
            <w:r w:rsidRPr="003B78CD">
              <w:rPr>
                <w:lang w:val="lv-LV"/>
              </w:rPr>
              <w:t>Starptautiskās saistības (pēc būtības), kas izriet no norādītā starptautiskā dokumenta.</w:t>
            </w:r>
          </w:p>
          <w:p w:rsidR="00C75C3B" w:rsidRPr="003B78CD" w:rsidRDefault="00C75C3B">
            <w:pPr>
              <w:pStyle w:val="tvhtml"/>
              <w:spacing w:line="293" w:lineRule="atLeast"/>
              <w:rPr>
                <w:lang w:val="lv-LV"/>
              </w:rPr>
            </w:pPr>
            <w:r w:rsidRPr="003B78CD">
              <w:rPr>
                <w:lang w:val="lv-LV"/>
              </w:rPr>
              <w:t>Konkrēti veicamie pasākumi vai uzdevumi, kas nepieciešami šo starptautisko saistību izpildei</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C75C3B" w:rsidRPr="003B78CD" w:rsidRDefault="00C75C3B">
            <w:pPr>
              <w:rPr>
                <w:lang w:val="lv-LV"/>
              </w:rPr>
            </w:pPr>
            <w:r w:rsidRPr="003B78CD">
              <w:rPr>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C75C3B" w:rsidRPr="003B78CD" w:rsidRDefault="00C75C3B">
            <w:pPr>
              <w:rPr>
                <w:lang w:val="lv-LV"/>
              </w:rPr>
            </w:pPr>
            <w:r w:rsidRPr="003B78CD">
              <w:rPr>
                <w:lang w:val="lv-LV"/>
              </w:rPr>
              <w:t>Informācija par to, vai starptautiskās saistības, kas minētas šīs tabulas A ailē, tiek izpildītas pilnībā vai daļēji.</w:t>
            </w:r>
          </w:p>
          <w:p w:rsidR="00C75C3B" w:rsidRPr="003B78CD" w:rsidRDefault="00C75C3B">
            <w:pPr>
              <w:pStyle w:val="tvhtml"/>
              <w:spacing w:line="293" w:lineRule="atLeast"/>
              <w:rPr>
                <w:lang w:val="lv-LV"/>
              </w:rPr>
            </w:pPr>
            <w:r w:rsidRPr="003B78CD">
              <w:rPr>
                <w:lang w:val="lv-LV"/>
              </w:rPr>
              <w:t>Ja attiecīgās starptautiskās saistības tiek izpildītas daļēji, sniedz skaidrojumu, kā arī precīzi norāda, kad un kādā veidā starptautiskās saistības tiks izpildītas pilnībā.</w:t>
            </w:r>
          </w:p>
          <w:p w:rsidR="00C75C3B" w:rsidRPr="003B78CD" w:rsidRDefault="00C75C3B">
            <w:pPr>
              <w:pStyle w:val="tvhtml"/>
              <w:spacing w:line="293" w:lineRule="atLeast"/>
              <w:rPr>
                <w:lang w:val="lv-LV"/>
              </w:rPr>
            </w:pPr>
            <w:r w:rsidRPr="003B78CD">
              <w:rPr>
                <w:lang w:val="lv-LV"/>
              </w:rPr>
              <w:t>Norāda institūciju, kas ir atbildīga par šo saistību izpildi pilnībā</w:t>
            </w:r>
          </w:p>
        </w:tc>
      </w:tr>
      <w:tr w:rsidR="00C75C3B" w:rsidRPr="003B78CD" w:rsidTr="00DC2887">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C75C3B" w:rsidRPr="003B78CD" w:rsidRDefault="00C75C3B" w:rsidP="008521C3">
            <w:pPr>
              <w:rPr>
                <w:lang w:val="lv-LV"/>
              </w:rPr>
            </w:pPr>
            <w:r w:rsidRPr="003B78CD">
              <w:rPr>
                <w:lang w:val="lv-LV"/>
              </w:rPr>
              <w:t>Projekts šo jomu neskar.</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C75C3B" w:rsidRPr="003B78CD" w:rsidRDefault="00C75C3B" w:rsidP="008521C3">
            <w:pPr>
              <w:rPr>
                <w:lang w:val="lv-LV"/>
              </w:rPr>
            </w:pPr>
            <w:r w:rsidRPr="003B78CD">
              <w:rPr>
                <w:lang w:val="lv-LV"/>
              </w:rPr>
              <w:t>Projekts šo jomu neskar.</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C75C3B" w:rsidRPr="003B78CD" w:rsidRDefault="00C75C3B" w:rsidP="008521C3">
            <w:pPr>
              <w:rPr>
                <w:lang w:val="lv-LV"/>
              </w:rPr>
            </w:pPr>
            <w:r w:rsidRPr="003B78CD">
              <w:rPr>
                <w:lang w:val="lv-LV"/>
              </w:rPr>
              <w:t>Projekts šo jomu neskar.</w:t>
            </w:r>
          </w:p>
        </w:tc>
      </w:tr>
      <w:tr w:rsidR="00C75C3B" w:rsidRPr="003B78CD" w:rsidTr="00DC2887">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C75C3B" w:rsidRPr="003B78CD" w:rsidRDefault="00C75C3B">
            <w:pPr>
              <w:rPr>
                <w:lang w:val="lv-LV"/>
              </w:rPr>
            </w:pPr>
            <w:r w:rsidRPr="003B78CD">
              <w:rPr>
                <w:lang w:val="lv-LV"/>
              </w:rPr>
              <w:lastRenderedPageBreak/>
              <w:t>Vai starptautiskajā dokumentā paredzētās saistības nav pretrunā ar jau esošajām Latvijas Republikas starptautiskajām saistībām</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C75C3B" w:rsidRPr="003B78CD" w:rsidRDefault="00C75C3B" w:rsidP="008521C3">
            <w:pPr>
              <w:rPr>
                <w:lang w:val="lv-LV"/>
              </w:rPr>
            </w:pPr>
            <w:r w:rsidRPr="003B78CD">
              <w:rPr>
                <w:lang w:val="lv-LV"/>
              </w:rPr>
              <w:t>Projekts šo jomu neskar.</w:t>
            </w:r>
          </w:p>
        </w:tc>
      </w:tr>
      <w:tr w:rsidR="00C75C3B" w:rsidRPr="003B78CD" w:rsidTr="00DC2887">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C75C3B" w:rsidRPr="003B78CD" w:rsidRDefault="00C75C3B">
            <w:pPr>
              <w:rPr>
                <w:lang w:val="lv-LV"/>
              </w:rPr>
            </w:pPr>
            <w:r w:rsidRPr="003B78CD">
              <w:rPr>
                <w:lang w:val="lv-LV"/>
              </w:rPr>
              <w:t>Cita informācija</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C75C3B" w:rsidRPr="003B78CD" w:rsidRDefault="00C75C3B">
            <w:pPr>
              <w:pStyle w:val="tvhtml"/>
              <w:spacing w:line="293" w:lineRule="atLeast"/>
              <w:rPr>
                <w:lang w:val="lv-LV"/>
              </w:rPr>
            </w:pPr>
            <w:r w:rsidRPr="003B78CD">
              <w:rPr>
                <w:lang w:val="lv-LV"/>
              </w:rPr>
              <w:t>Nav.</w:t>
            </w:r>
          </w:p>
        </w:tc>
      </w:tr>
    </w:tbl>
    <w:p w:rsidR="00731E63" w:rsidRPr="003B78CD" w:rsidRDefault="00731E63" w:rsidP="000B59AD">
      <w:pPr>
        <w:pStyle w:val="tvhtml"/>
        <w:shd w:val="clear" w:color="auto" w:fill="FFFFFF"/>
        <w:spacing w:line="293" w:lineRule="atLeast"/>
        <w:ind w:firstLine="300"/>
        <w:rPr>
          <w:i/>
          <w:lang w:val="lv-LV"/>
        </w:rPr>
      </w:pPr>
      <w:r w:rsidRPr="003B78CD">
        <w:rPr>
          <w:i/>
          <w:lang w:val="lv-LV"/>
        </w:rPr>
        <w:t> </w:t>
      </w:r>
      <w:r w:rsidR="000B59AD" w:rsidRPr="003B78CD">
        <w:rPr>
          <w:i/>
          <w:lang w:val="lv-LV"/>
        </w:rPr>
        <w:t>Anotācijas VI.sadaļa – projekts šo jomu neskar.</w:t>
      </w:r>
      <w:r w:rsidRPr="003B78CD">
        <w:rPr>
          <w:color w:val="414142"/>
          <w:sz w:val="20"/>
          <w:szCs w:val="20"/>
          <w:lang w:val="lv-LV"/>
        </w:rPr>
        <w:t> </w:t>
      </w:r>
    </w:p>
    <w:tbl>
      <w:tblPr>
        <w:tblW w:w="4813"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7"/>
        <w:gridCol w:w="2372"/>
        <w:gridCol w:w="5851"/>
      </w:tblGrid>
      <w:tr w:rsidR="00683260" w:rsidRPr="00176A4E" w:rsidTr="00DC2887">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b/>
                <w:bCs/>
                <w:lang w:val="lv-LV"/>
              </w:rPr>
            </w:pPr>
            <w:r w:rsidRPr="003B78CD">
              <w:rPr>
                <w:b/>
                <w:bCs/>
                <w:lang w:val="lv-LV"/>
              </w:rPr>
              <w:t>VII. Tiesību akta projekta izpildes nodrošināšana un tās ietekme uz institūcijām</w:t>
            </w:r>
          </w:p>
        </w:tc>
      </w:tr>
      <w:tr w:rsidR="00683260" w:rsidRPr="00F55060" w:rsidTr="00DC2887">
        <w:tc>
          <w:tcPr>
            <w:tcW w:w="323"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1.</w:t>
            </w:r>
          </w:p>
        </w:tc>
        <w:tc>
          <w:tcPr>
            <w:tcW w:w="1349"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Projekta izpildē iesaistītās institūcijas</w:t>
            </w:r>
          </w:p>
        </w:tc>
        <w:tc>
          <w:tcPr>
            <w:tcW w:w="3328" w:type="pct"/>
            <w:tcBorders>
              <w:top w:val="outset" w:sz="6" w:space="0" w:color="000000"/>
              <w:left w:val="outset" w:sz="6" w:space="0" w:color="000000"/>
              <w:bottom w:val="outset" w:sz="6" w:space="0" w:color="000000"/>
              <w:right w:val="outset" w:sz="6" w:space="0" w:color="000000"/>
            </w:tcBorders>
          </w:tcPr>
          <w:p w:rsidR="00683260" w:rsidRPr="003B78CD" w:rsidRDefault="00355352" w:rsidP="00166E02">
            <w:pPr>
              <w:pStyle w:val="naisf"/>
              <w:rPr>
                <w:lang w:val="lv-LV"/>
              </w:rPr>
            </w:pPr>
            <w:r w:rsidRPr="003B78CD">
              <w:rPr>
                <w:lang w:val="lv-LV"/>
              </w:rPr>
              <w:t xml:space="preserve">Lauku atbalsta dienests, </w:t>
            </w:r>
            <w:r w:rsidR="00683260" w:rsidRPr="003B78CD">
              <w:rPr>
                <w:lang w:val="lv-LV"/>
              </w:rPr>
              <w:t>Pārtikas un veterinārais dienests,</w:t>
            </w:r>
            <w:r w:rsidRPr="003B78CD">
              <w:rPr>
                <w:lang w:val="lv-LV"/>
              </w:rPr>
              <w:t xml:space="preserve"> </w:t>
            </w:r>
            <w:r w:rsidR="00166E02">
              <w:rPr>
                <w:lang w:val="lv-LV"/>
              </w:rPr>
              <w:t>Valsts augu aizsardzības dienests.</w:t>
            </w:r>
          </w:p>
        </w:tc>
      </w:tr>
      <w:tr w:rsidR="00683260" w:rsidRPr="003B78CD" w:rsidTr="00DC2887">
        <w:tc>
          <w:tcPr>
            <w:tcW w:w="323"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2.</w:t>
            </w:r>
          </w:p>
        </w:tc>
        <w:tc>
          <w:tcPr>
            <w:tcW w:w="1349"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 xml:space="preserve">Projekta izpildes ietekme uz pārvaldes funkcijām un institucionālo struktūru. </w:t>
            </w:r>
          </w:p>
          <w:p w:rsidR="00683260" w:rsidRPr="003B78CD" w:rsidRDefault="00683260" w:rsidP="006B57D4">
            <w:pPr>
              <w:pStyle w:val="naisf"/>
              <w:rPr>
                <w:lang w:val="lv-LV"/>
              </w:rPr>
            </w:pPr>
            <w:r w:rsidRPr="003B78CD">
              <w:rPr>
                <w:lang w:val="lv-LV"/>
              </w:rPr>
              <w:t>Jaunu institūciju izveide, esošu institūciju likvidācija vai reorganizācija, to ietekme uz institūcijas cilvēkresursiem</w:t>
            </w:r>
          </w:p>
        </w:tc>
        <w:tc>
          <w:tcPr>
            <w:tcW w:w="3328"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Projekts šo jomu neskar.</w:t>
            </w:r>
          </w:p>
        </w:tc>
      </w:tr>
      <w:tr w:rsidR="00683260" w:rsidRPr="003B78CD" w:rsidTr="00DC2887">
        <w:tc>
          <w:tcPr>
            <w:tcW w:w="323"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3.</w:t>
            </w:r>
          </w:p>
        </w:tc>
        <w:tc>
          <w:tcPr>
            <w:tcW w:w="1349"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Cita informācija</w:t>
            </w:r>
          </w:p>
        </w:tc>
        <w:tc>
          <w:tcPr>
            <w:tcW w:w="3328"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Nav.</w:t>
            </w:r>
          </w:p>
        </w:tc>
      </w:tr>
    </w:tbl>
    <w:p w:rsidR="00683260" w:rsidRPr="003B78CD" w:rsidRDefault="00683260" w:rsidP="006B57D4">
      <w:pPr>
        <w:pStyle w:val="naisf"/>
        <w:spacing w:before="0" w:beforeAutospacing="0" w:after="0" w:afterAutospacing="0"/>
        <w:rPr>
          <w:sz w:val="28"/>
          <w:szCs w:val="28"/>
          <w:lang w:val="lv-LV"/>
        </w:rPr>
      </w:pPr>
      <w:r w:rsidRPr="003B78CD">
        <w:rPr>
          <w:sz w:val="28"/>
          <w:szCs w:val="28"/>
          <w:lang w:val="lv-LV"/>
        </w:rPr>
        <w:tab/>
      </w:r>
    </w:p>
    <w:p w:rsidR="00683260" w:rsidRPr="003B78CD" w:rsidRDefault="00683260" w:rsidP="006B57D4">
      <w:pPr>
        <w:pStyle w:val="naisf"/>
        <w:spacing w:before="0" w:beforeAutospacing="0" w:after="0" w:afterAutospacing="0"/>
        <w:rPr>
          <w:sz w:val="28"/>
          <w:szCs w:val="28"/>
          <w:lang w:val="lv-LV"/>
        </w:rPr>
      </w:pPr>
      <w:r w:rsidRPr="003B78CD">
        <w:rPr>
          <w:sz w:val="28"/>
          <w:szCs w:val="28"/>
          <w:lang w:val="lv-LV"/>
        </w:rPr>
        <w:tab/>
        <w:t>Zemkopības ministrs</w:t>
      </w:r>
      <w:r w:rsidRPr="003B78CD">
        <w:rPr>
          <w:sz w:val="28"/>
          <w:szCs w:val="28"/>
          <w:lang w:val="lv-LV"/>
        </w:rPr>
        <w:tab/>
      </w:r>
      <w:r w:rsidRPr="003B78CD">
        <w:rPr>
          <w:sz w:val="28"/>
          <w:szCs w:val="28"/>
          <w:lang w:val="lv-LV"/>
        </w:rPr>
        <w:tab/>
      </w:r>
      <w:r w:rsidRPr="003B78CD">
        <w:rPr>
          <w:sz w:val="28"/>
          <w:szCs w:val="28"/>
          <w:lang w:val="lv-LV"/>
        </w:rPr>
        <w:tab/>
      </w:r>
      <w:r w:rsidRPr="003B78CD">
        <w:rPr>
          <w:sz w:val="28"/>
          <w:szCs w:val="28"/>
          <w:lang w:val="lv-LV"/>
        </w:rPr>
        <w:tab/>
      </w:r>
      <w:r w:rsidRPr="003B78CD">
        <w:rPr>
          <w:sz w:val="28"/>
          <w:szCs w:val="28"/>
          <w:lang w:val="lv-LV"/>
        </w:rPr>
        <w:tab/>
      </w:r>
      <w:r w:rsidRPr="003B78CD">
        <w:rPr>
          <w:sz w:val="28"/>
          <w:szCs w:val="28"/>
          <w:lang w:val="lv-LV"/>
        </w:rPr>
        <w:tab/>
        <w:t>J.Dūklavs</w:t>
      </w:r>
    </w:p>
    <w:p w:rsidR="00683260" w:rsidRDefault="00683260" w:rsidP="006B57D4">
      <w:pPr>
        <w:pStyle w:val="naisf"/>
        <w:spacing w:before="0" w:beforeAutospacing="0" w:after="0" w:afterAutospacing="0"/>
        <w:rPr>
          <w:sz w:val="20"/>
          <w:szCs w:val="20"/>
          <w:lang w:val="lv-LV"/>
        </w:rPr>
      </w:pPr>
    </w:p>
    <w:p w:rsidR="00EE649C" w:rsidRDefault="00EE649C" w:rsidP="006B57D4">
      <w:pPr>
        <w:pStyle w:val="naisf"/>
        <w:spacing w:before="0" w:beforeAutospacing="0" w:after="0" w:afterAutospacing="0"/>
        <w:rPr>
          <w:sz w:val="20"/>
          <w:szCs w:val="20"/>
          <w:lang w:val="lv-LV"/>
        </w:rPr>
      </w:pPr>
    </w:p>
    <w:p w:rsidR="00EE649C" w:rsidRDefault="00EE649C" w:rsidP="006B57D4">
      <w:pPr>
        <w:pStyle w:val="naisf"/>
        <w:spacing w:before="0" w:beforeAutospacing="0" w:after="0" w:afterAutospacing="0"/>
        <w:rPr>
          <w:sz w:val="20"/>
          <w:szCs w:val="20"/>
          <w:lang w:val="lv-LV"/>
        </w:rPr>
      </w:pPr>
    </w:p>
    <w:p w:rsidR="00EE649C" w:rsidRDefault="00EE649C" w:rsidP="006B57D4">
      <w:pPr>
        <w:pStyle w:val="naisf"/>
        <w:spacing w:before="0" w:beforeAutospacing="0" w:after="0" w:afterAutospacing="0"/>
        <w:rPr>
          <w:sz w:val="20"/>
          <w:szCs w:val="20"/>
          <w:lang w:val="lv-LV"/>
        </w:rPr>
      </w:pPr>
    </w:p>
    <w:p w:rsidR="00EE649C" w:rsidRDefault="00EE649C" w:rsidP="006B57D4">
      <w:pPr>
        <w:pStyle w:val="naisf"/>
        <w:spacing w:before="0" w:beforeAutospacing="0" w:after="0" w:afterAutospacing="0"/>
        <w:rPr>
          <w:sz w:val="20"/>
          <w:szCs w:val="20"/>
          <w:lang w:val="lv-LV"/>
        </w:rPr>
      </w:pPr>
    </w:p>
    <w:p w:rsidR="00176A4E" w:rsidRDefault="00176A4E" w:rsidP="006B57D4">
      <w:pPr>
        <w:pStyle w:val="naisf"/>
        <w:spacing w:before="0" w:beforeAutospacing="0" w:after="0" w:afterAutospacing="0"/>
        <w:rPr>
          <w:sz w:val="20"/>
          <w:szCs w:val="20"/>
          <w:lang w:val="lv-LV"/>
        </w:rPr>
      </w:pPr>
    </w:p>
    <w:p w:rsidR="00176A4E" w:rsidRDefault="00176A4E" w:rsidP="006B57D4">
      <w:pPr>
        <w:pStyle w:val="naisf"/>
        <w:spacing w:before="0" w:beforeAutospacing="0" w:after="0" w:afterAutospacing="0"/>
        <w:rPr>
          <w:sz w:val="20"/>
          <w:szCs w:val="20"/>
          <w:lang w:val="lv-LV"/>
        </w:rPr>
      </w:pPr>
    </w:p>
    <w:p w:rsidR="00176A4E" w:rsidRDefault="00176A4E" w:rsidP="006B57D4">
      <w:pPr>
        <w:pStyle w:val="naisf"/>
        <w:spacing w:before="0" w:beforeAutospacing="0" w:after="0" w:afterAutospacing="0"/>
        <w:rPr>
          <w:sz w:val="20"/>
          <w:szCs w:val="20"/>
          <w:lang w:val="lv-LV"/>
        </w:rPr>
      </w:pPr>
    </w:p>
    <w:p w:rsidR="00176A4E" w:rsidRDefault="00176A4E" w:rsidP="006B57D4">
      <w:pPr>
        <w:pStyle w:val="naisf"/>
        <w:spacing w:before="0" w:beforeAutospacing="0" w:after="0" w:afterAutospacing="0"/>
        <w:rPr>
          <w:sz w:val="20"/>
          <w:szCs w:val="20"/>
          <w:lang w:val="lv-LV"/>
        </w:rPr>
      </w:pPr>
    </w:p>
    <w:p w:rsidR="00176A4E" w:rsidRDefault="00176A4E" w:rsidP="006B57D4">
      <w:pPr>
        <w:pStyle w:val="naisf"/>
        <w:spacing w:before="0" w:beforeAutospacing="0" w:after="0" w:afterAutospacing="0"/>
        <w:rPr>
          <w:sz w:val="20"/>
          <w:szCs w:val="20"/>
          <w:lang w:val="lv-LV"/>
        </w:rPr>
      </w:pPr>
    </w:p>
    <w:p w:rsidR="00176A4E" w:rsidRDefault="00176A4E" w:rsidP="006B57D4">
      <w:pPr>
        <w:pStyle w:val="naisf"/>
        <w:spacing w:before="0" w:beforeAutospacing="0" w:after="0" w:afterAutospacing="0"/>
        <w:rPr>
          <w:sz w:val="20"/>
          <w:szCs w:val="20"/>
          <w:lang w:val="lv-LV"/>
        </w:rPr>
      </w:pPr>
    </w:p>
    <w:p w:rsidR="00176A4E" w:rsidRDefault="00176A4E" w:rsidP="006B57D4">
      <w:pPr>
        <w:pStyle w:val="naisf"/>
        <w:spacing w:before="0" w:beforeAutospacing="0" w:after="0" w:afterAutospacing="0"/>
        <w:rPr>
          <w:sz w:val="20"/>
          <w:szCs w:val="20"/>
          <w:lang w:val="lv-LV"/>
        </w:rPr>
      </w:pPr>
    </w:p>
    <w:p w:rsidR="00176A4E" w:rsidRDefault="00176A4E" w:rsidP="006B57D4">
      <w:pPr>
        <w:pStyle w:val="naisf"/>
        <w:spacing w:before="0" w:beforeAutospacing="0" w:after="0" w:afterAutospacing="0"/>
        <w:rPr>
          <w:sz w:val="20"/>
          <w:szCs w:val="20"/>
          <w:lang w:val="lv-LV"/>
        </w:rPr>
      </w:pPr>
    </w:p>
    <w:p w:rsidR="00176A4E" w:rsidRDefault="00176A4E" w:rsidP="006B57D4">
      <w:pPr>
        <w:pStyle w:val="naisf"/>
        <w:spacing w:before="0" w:beforeAutospacing="0" w:after="0" w:afterAutospacing="0"/>
        <w:rPr>
          <w:sz w:val="20"/>
          <w:szCs w:val="20"/>
          <w:lang w:val="lv-LV"/>
        </w:rPr>
      </w:pPr>
    </w:p>
    <w:p w:rsidR="00EE649C" w:rsidRDefault="00EE649C" w:rsidP="006B57D4">
      <w:pPr>
        <w:pStyle w:val="naisf"/>
        <w:spacing w:before="0" w:beforeAutospacing="0" w:after="0" w:afterAutospacing="0"/>
        <w:rPr>
          <w:sz w:val="20"/>
          <w:szCs w:val="20"/>
          <w:lang w:val="lv-LV"/>
        </w:rPr>
      </w:pPr>
    </w:p>
    <w:p w:rsidR="00EE649C" w:rsidRDefault="00EE649C" w:rsidP="006B57D4">
      <w:pPr>
        <w:pStyle w:val="naisf"/>
        <w:spacing w:before="0" w:beforeAutospacing="0" w:after="0" w:afterAutospacing="0"/>
        <w:rPr>
          <w:sz w:val="20"/>
          <w:szCs w:val="20"/>
          <w:lang w:val="lv-LV"/>
        </w:rPr>
      </w:pPr>
    </w:p>
    <w:p w:rsidR="00EE649C" w:rsidRPr="003B78CD" w:rsidRDefault="00EE649C" w:rsidP="006B57D4">
      <w:pPr>
        <w:pStyle w:val="naisf"/>
        <w:spacing w:before="0" w:beforeAutospacing="0" w:after="0" w:afterAutospacing="0"/>
        <w:rPr>
          <w:sz w:val="20"/>
          <w:szCs w:val="20"/>
          <w:lang w:val="lv-LV"/>
        </w:rPr>
      </w:pPr>
    </w:p>
    <w:bookmarkEnd w:id="0"/>
    <w:bookmarkEnd w:id="1"/>
    <w:p w:rsidR="00176A4E" w:rsidRDefault="00176A4E" w:rsidP="00EB6DD8">
      <w:pPr>
        <w:pStyle w:val="naisf"/>
        <w:spacing w:before="0" w:beforeAutospacing="0" w:after="0" w:afterAutospacing="0"/>
        <w:rPr>
          <w:sz w:val="20"/>
          <w:szCs w:val="20"/>
          <w:lang w:val="lv-LV"/>
        </w:rPr>
      </w:pPr>
      <w:r>
        <w:rPr>
          <w:sz w:val="20"/>
          <w:szCs w:val="20"/>
          <w:lang w:val="lv-LV"/>
        </w:rPr>
        <w:t>07.10.2014. 11:24</w:t>
      </w:r>
    </w:p>
    <w:p w:rsidR="00176A4E" w:rsidRDefault="00176A4E" w:rsidP="00EB6DD8">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2527</w:t>
      </w:r>
      <w:r>
        <w:rPr>
          <w:sz w:val="20"/>
          <w:szCs w:val="20"/>
          <w:lang w:val="lv-LV"/>
        </w:rPr>
        <w:fldChar w:fldCharType="end"/>
      </w:r>
    </w:p>
    <w:p w:rsidR="00EB6DD8" w:rsidRPr="00EB6DD8" w:rsidRDefault="00190AEE" w:rsidP="00EB6DD8">
      <w:pPr>
        <w:pStyle w:val="naisf"/>
        <w:spacing w:before="0" w:beforeAutospacing="0" w:after="0" w:afterAutospacing="0"/>
        <w:rPr>
          <w:sz w:val="20"/>
          <w:szCs w:val="20"/>
          <w:lang w:val="lv-LV"/>
        </w:rPr>
      </w:pPr>
      <w:bookmarkStart w:id="2" w:name="_GoBack"/>
      <w:bookmarkEnd w:id="2"/>
      <w:r>
        <w:rPr>
          <w:sz w:val="20"/>
          <w:szCs w:val="20"/>
          <w:lang w:val="lv-LV"/>
        </w:rPr>
        <w:t>D.Freimane</w:t>
      </w:r>
    </w:p>
    <w:p w:rsidR="004242BE" w:rsidRPr="003B78CD" w:rsidRDefault="00190AEE" w:rsidP="00EB6DD8">
      <w:pPr>
        <w:pStyle w:val="naisf"/>
        <w:spacing w:before="0" w:beforeAutospacing="0" w:after="0" w:afterAutospacing="0"/>
        <w:rPr>
          <w:lang w:val="lv-LV"/>
        </w:rPr>
      </w:pPr>
      <w:r>
        <w:rPr>
          <w:sz w:val="20"/>
          <w:szCs w:val="20"/>
          <w:lang w:val="lv-LV"/>
        </w:rPr>
        <w:t>Dace.freimane</w:t>
      </w:r>
      <w:r w:rsidR="00EB6DD8" w:rsidRPr="00EB6DD8">
        <w:rPr>
          <w:sz w:val="20"/>
          <w:szCs w:val="20"/>
          <w:lang w:val="lv-LV"/>
        </w:rPr>
        <w:t>@zm.gov.lv</w:t>
      </w:r>
    </w:p>
    <w:sectPr w:rsidR="004242BE" w:rsidRPr="003B78CD" w:rsidSect="002F255F">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FD" w:rsidRDefault="00FF5DFD" w:rsidP="002232F9">
      <w:r>
        <w:separator/>
      </w:r>
    </w:p>
  </w:endnote>
  <w:endnote w:type="continuationSeparator" w:id="0">
    <w:p w:rsidR="00FF5DFD" w:rsidRDefault="00FF5DFD" w:rsidP="0022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1" w:rsidRDefault="00B40211" w:rsidP="002F255F">
    <w:pPr>
      <w:pStyle w:val="Galvene"/>
    </w:pPr>
  </w:p>
  <w:p w:rsidR="00B40211" w:rsidRPr="002232F9" w:rsidRDefault="004B0A03" w:rsidP="002232F9">
    <w:pPr>
      <w:pStyle w:val="Bezatstarpm"/>
      <w:jc w:val="both"/>
      <w:rPr>
        <w:sz w:val="20"/>
        <w:szCs w:val="20"/>
        <w:lang w:val="lv-LV"/>
      </w:rPr>
    </w:pPr>
    <w:r w:rsidRPr="002232F9">
      <w:rPr>
        <w:sz w:val="20"/>
        <w:szCs w:val="20"/>
        <w:lang w:val="lv-LV"/>
      </w:rPr>
      <w:t>ZM</w:t>
    </w:r>
    <w:r>
      <w:rPr>
        <w:sz w:val="20"/>
        <w:szCs w:val="20"/>
        <w:lang w:val="lv-LV"/>
      </w:rPr>
      <w:t>A</w:t>
    </w:r>
    <w:r w:rsidRPr="002232F9">
      <w:rPr>
        <w:sz w:val="20"/>
        <w:szCs w:val="20"/>
        <w:lang w:val="lv-LV"/>
      </w:rPr>
      <w:t>not_</w:t>
    </w:r>
    <w:r w:rsidR="00F611AC">
      <w:rPr>
        <w:sz w:val="20"/>
        <w:szCs w:val="20"/>
        <w:lang w:val="lv-LV"/>
      </w:rPr>
      <w:t>07</w:t>
    </w:r>
    <w:r>
      <w:rPr>
        <w:sz w:val="20"/>
        <w:szCs w:val="20"/>
        <w:lang w:val="lv-LV"/>
      </w:rPr>
      <w:t>1014</w:t>
    </w:r>
    <w:r w:rsidRPr="000B54FD">
      <w:rPr>
        <w:sz w:val="20"/>
        <w:szCs w:val="20"/>
        <w:lang w:val="lv-LV"/>
      </w:rPr>
      <w:t>_</w:t>
    </w:r>
    <w:r>
      <w:rPr>
        <w:sz w:val="20"/>
        <w:szCs w:val="20"/>
        <w:lang w:val="lv-LV"/>
      </w:rPr>
      <w:t>razotajuorg</w:t>
    </w:r>
    <w:r w:rsidRPr="000B54FD">
      <w:rPr>
        <w:sz w:val="20"/>
        <w:szCs w:val="20"/>
        <w:lang w:val="lv-LV"/>
      </w:rPr>
      <w:t xml:space="preserve">; </w:t>
    </w:r>
    <w:r>
      <w:rPr>
        <w:sz w:val="20"/>
        <w:szCs w:val="20"/>
        <w:lang w:val="lv-LV"/>
      </w:rPr>
      <w:t>Ministru kabineta noteikumu projekts „</w:t>
    </w:r>
    <w:r w:rsidRPr="000B54FD">
      <w:rPr>
        <w:sz w:val="20"/>
        <w:szCs w:val="20"/>
        <w:lang w:val="lv-LV"/>
      </w:rPr>
      <w:t>Grozīju</w:t>
    </w:r>
    <w:r>
      <w:rPr>
        <w:sz w:val="20"/>
        <w:szCs w:val="20"/>
        <w:lang w:val="lv-LV"/>
      </w:rPr>
      <w:t>mi Ministru kabineta 2011.gada 21</w:t>
    </w:r>
    <w:r w:rsidRPr="000B54FD">
      <w:rPr>
        <w:sz w:val="20"/>
        <w:szCs w:val="20"/>
        <w:lang w:val="lv-LV"/>
      </w:rPr>
      <w:t>.</w:t>
    </w:r>
    <w:r>
      <w:rPr>
        <w:sz w:val="20"/>
        <w:szCs w:val="20"/>
        <w:lang w:val="lv-LV"/>
      </w:rPr>
      <w:t>jūnija noteikumos Nr.453</w:t>
    </w:r>
    <w:r w:rsidRPr="000B54FD">
      <w:rPr>
        <w:sz w:val="20"/>
        <w:szCs w:val="20"/>
        <w:lang w:val="lv-LV"/>
      </w:rPr>
      <w:t xml:space="preserve"> „</w:t>
    </w:r>
    <w:r w:rsidRPr="000B54FD">
      <w:rPr>
        <w:bCs/>
        <w:sz w:val="20"/>
        <w:szCs w:val="20"/>
        <w:lang w:val="lv-LV"/>
      </w:rPr>
      <w:t xml:space="preserve">Noteikumi par augļu un dārzeņu ražotāju </w:t>
    </w:r>
    <w:r>
      <w:rPr>
        <w:bCs/>
        <w:sz w:val="20"/>
        <w:szCs w:val="20"/>
        <w:lang w:val="lv-LV"/>
      </w:rPr>
      <w:t>organizāciju</w:t>
    </w:r>
    <w:r w:rsidRPr="000B54FD">
      <w:rPr>
        <w:bCs/>
        <w:sz w:val="20"/>
        <w:szCs w:val="20"/>
        <w:lang w:val="lv-LV"/>
      </w:rPr>
      <w:t xml:space="preserve"> atzīšanu, to darbības nosacījumiem un kontroli, kā arī kārtību, kādā piešķir, administrē un uzrauga Eiropas Savienības atbalstu augļu un dārzeņu ražotāju </w:t>
    </w:r>
    <w:r>
      <w:rPr>
        <w:bCs/>
        <w:sz w:val="20"/>
        <w:szCs w:val="20"/>
        <w:lang w:val="lv-LV"/>
      </w:rPr>
      <w:t>organizācijām</w:t>
    </w:r>
    <w:r w:rsidRPr="000B54FD">
      <w:rPr>
        <w:sz w:val="20"/>
        <w:szCs w:val="20"/>
        <w:lang w:val="lv-LV"/>
      </w:rPr>
      <w:t>”</w:t>
    </w:r>
    <w:r>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F2" w:rsidRPr="002232F9" w:rsidRDefault="009873F2" w:rsidP="009873F2">
    <w:pPr>
      <w:pStyle w:val="Bezatstarpm"/>
      <w:jc w:val="both"/>
      <w:rPr>
        <w:sz w:val="20"/>
        <w:szCs w:val="20"/>
        <w:lang w:val="lv-LV"/>
      </w:rPr>
    </w:pPr>
    <w:r w:rsidRPr="002232F9">
      <w:rPr>
        <w:sz w:val="20"/>
        <w:szCs w:val="20"/>
        <w:lang w:val="lv-LV"/>
      </w:rPr>
      <w:t>ZM</w:t>
    </w:r>
    <w:r>
      <w:rPr>
        <w:sz w:val="20"/>
        <w:szCs w:val="20"/>
        <w:lang w:val="lv-LV"/>
      </w:rPr>
      <w:t>A</w:t>
    </w:r>
    <w:r w:rsidRPr="002232F9">
      <w:rPr>
        <w:sz w:val="20"/>
        <w:szCs w:val="20"/>
        <w:lang w:val="lv-LV"/>
      </w:rPr>
      <w:t>not_</w:t>
    </w:r>
    <w:r w:rsidR="00F611AC">
      <w:rPr>
        <w:sz w:val="20"/>
        <w:szCs w:val="20"/>
        <w:lang w:val="lv-LV"/>
      </w:rPr>
      <w:t>07</w:t>
    </w:r>
    <w:r w:rsidR="004B0A03">
      <w:rPr>
        <w:sz w:val="20"/>
        <w:szCs w:val="20"/>
        <w:lang w:val="lv-LV"/>
      </w:rPr>
      <w:t>1014</w:t>
    </w:r>
    <w:r w:rsidRPr="000B54FD">
      <w:rPr>
        <w:sz w:val="20"/>
        <w:szCs w:val="20"/>
        <w:lang w:val="lv-LV"/>
      </w:rPr>
      <w:t>_</w:t>
    </w:r>
    <w:r w:rsidR="004B0A03">
      <w:rPr>
        <w:sz w:val="20"/>
        <w:szCs w:val="20"/>
        <w:lang w:val="lv-LV"/>
      </w:rPr>
      <w:t>razotajuorg</w:t>
    </w:r>
    <w:r w:rsidRPr="000B54FD">
      <w:rPr>
        <w:sz w:val="20"/>
        <w:szCs w:val="20"/>
        <w:lang w:val="lv-LV"/>
      </w:rPr>
      <w:t xml:space="preserve">; </w:t>
    </w:r>
    <w:r>
      <w:rPr>
        <w:sz w:val="20"/>
        <w:szCs w:val="20"/>
        <w:lang w:val="lv-LV"/>
      </w:rPr>
      <w:t>Ministru kabineta noteikumu projekts „</w:t>
    </w:r>
    <w:r w:rsidRPr="000B54FD">
      <w:rPr>
        <w:sz w:val="20"/>
        <w:szCs w:val="20"/>
        <w:lang w:val="lv-LV"/>
      </w:rPr>
      <w:t>Grozīju</w:t>
    </w:r>
    <w:r>
      <w:rPr>
        <w:sz w:val="20"/>
        <w:szCs w:val="20"/>
        <w:lang w:val="lv-LV"/>
      </w:rPr>
      <w:t>mi Ministru kabineta 2011.gada 21</w:t>
    </w:r>
    <w:r w:rsidRPr="000B54FD">
      <w:rPr>
        <w:sz w:val="20"/>
        <w:szCs w:val="20"/>
        <w:lang w:val="lv-LV"/>
      </w:rPr>
      <w:t>.</w:t>
    </w:r>
    <w:r>
      <w:rPr>
        <w:sz w:val="20"/>
        <w:szCs w:val="20"/>
        <w:lang w:val="lv-LV"/>
      </w:rPr>
      <w:t>jūnija noteikumos Nr.453</w:t>
    </w:r>
    <w:r w:rsidRPr="000B54FD">
      <w:rPr>
        <w:sz w:val="20"/>
        <w:szCs w:val="20"/>
        <w:lang w:val="lv-LV"/>
      </w:rPr>
      <w:t xml:space="preserve"> „</w:t>
    </w:r>
    <w:r w:rsidRPr="000B54FD">
      <w:rPr>
        <w:bCs/>
        <w:sz w:val="20"/>
        <w:szCs w:val="20"/>
        <w:lang w:val="lv-LV"/>
      </w:rPr>
      <w:t xml:space="preserve">Noteikumi par augļu un dārzeņu ražotāju </w:t>
    </w:r>
    <w:r>
      <w:rPr>
        <w:bCs/>
        <w:sz w:val="20"/>
        <w:szCs w:val="20"/>
        <w:lang w:val="lv-LV"/>
      </w:rPr>
      <w:t>organizāciju</w:t>
    </w:r>
    <w:r w:rsidRPr="000B54FD">
      <w:rPr>
        <w:bCs/>
        <w:sz w:val="20"/>
        <w:szCs w:val="20"/>
        <w:lang w:val="lv-LV"/>
      </w:rPr>
      <w:t xml:space="preserve"> atzīšanu, to darbības nosacījumiem un kontroli, kā arī kārtību, kādā piešķir, administrē un uzrauga Eiropas Savienības atbalstu augļu un dārzeņu ražotāju </w:t>
    </w:r>
    <w:r>
      <w:rPr>
        <w:bCs/>
        <w:sz w:val="20"/>
        <w:szCs w:val="20"/>
        <w:lang w:val="lv-LV"/>
      </w:rPr>
      <w:t>organizācijām</w:t>
    </w:r>
    <w:r w:rsidRPr="000B54FD">
      <w:rPr>
        <w:sz w:val="20"/>
        <w:szCs w:val="20"/>
        <w:lang w:val="lv-LV"/>
      </w:rPr>
      <w:t>”</w:t>
    </w:r>
    <w:r>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FD" w:rsidRDefault="00FF5DFD" w:rsidP="002232F9">
      <w:r>
        <w:separator/>
      </w:r>
    </w:p>
  </w:footnote>
  <w:footnote w:type="continuationSeparator" w:id="0">
    <w:p w:rsidR="00FF5DFD" w:rsidRDefault="00FF5DFD" w:rsidP="0022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1" w:rsidRDefault="00B4021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40211" w:rsidRDefault="00B4021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1" w:rsidRDefault="00B4021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76A4E">
      <w:rPr>
        <w:rStyle w:val="Lappusesnumurs"/>
        <w:noProof/>
      </w:rPr>
      <w:t>11</w:t>
    </w:r>
    <w:r>
      <w:rPr>
        <w:rStyle w:val="Lappusesnumurs"/>
      </w:rPr>
      <w:fldChar w:fldCharType="end"/>
    </w:r>
  </w:p>
  <w:p w:rsidR="00B40211" w:rsidRDefault="00B4021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14329A"/>
    <w:multiLevelType w:val="hybridMultilevel"/>
    <w:tmpl w:val="4BA67082"/>
    <w:lvl w:ilvl="0" w:tplc="0BFE57D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C69ED"/>
    <w:multiLevelType w:val="hybridMultilevel"/>
    <w:tmpl w:val="B686BA6C"/>
    <w:lvl w:ilvl="0" w:tplc="57B07F5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60"/>
    <w:rsid w:val="0005447F"/>
    <w:rsid w:val="00063C7E"/>
    <w:rsid w:val="00064B63"/>
    <w:rsid w:val="000769AC"/>
    <w:rsid w:val="00093F64"/>
    <w:rsid w:val="000B59AD"/>
    <w:rsid w:val="000D1327"/>
    <w:rsid w:val="000F0DC0"/>
    <w:rsid w:val="00113FF4"/>
    <w:rsid w:val="001315F2"/>
    <w:rsid w:val="00133B13"/>
    <w:rsid w:val="00144729"/>
    <w:rsid w:val="00166E02"/>
    <w:rsid w:val="00176A4E"/>
    <w:rsid w:val="00190AEE"/>
    <w:rsid w:val="001A04AC"/>
    <w:rsid w:val="001B1E4D"/>
    <w:rsid w:val="001D22B0"/>
    <w:rsid w:val="001F19BE"/>
    <w:rsid w:val="002232F9"/>
    <w:rsid w:val="00254168"/>
    <w:rsid w:val="00256D2C"/>
    <w:rsid w:val="002B4679"/>
    <w:rsid w:val="002F255F"/>
    <w:rsid w:val="00326277"/>
    <w:rsid w:val="00345CFC"/>
    <w:rsid w:val="00355352"/>
    <w:rsid w:val="003B78CD"/>
    <w:rsid w:val="003E0E60"/>
    <w:rsid w:val="003F64C8"/>
    <w:rsid w:val="0042304B"/>
    <w:rsid w:val="004242BE"/>
    <w:rsid w:val="004261BB"/>
    <w:rsid w:val="004B0A03"/>
    <w:rsid w:val="004B614A"/>
    <w:rsid w:val="004B6E42"/>
    <w:rsid w:val="004C0A51"/>
    <w:rsid w:val="004F5720"/>
    <w:rsid w:val="004F79DD"/>
    <w:rsid w:val="00505D69"/>
    <w:rsid w:val="00506D8F"/>
    <w:rsid w:val="00513407"/>
    <w:rsid w:val="00521162"/>
    <w:rsid w:val="0052700C"/>
    <w:rsid w:val="00551341"/>
    <w:rsid w:val="00564D50"/>
    <w:rsid w:val="005A213D"/>
    <w:rsid w:val="005C182A"/>
    <w:rsid w:val="005C4D6E"/>
    <w:rsid w:val="005D0EDC"/>
    <w:rsid w:val="005D73D4"/>
    <w:rsid w:val="005E707F"/>
    <w:rsid w:val="006034B9"/>
    <w:rsid w:val="00617810"/>
    <w:rsid w:val="00630E92"/>
    <w:rsid w:val="00647BF7"/>
    <w:rsid w:val="006540BC"/>
    <w:rsid w:val="00683260"/>
    <w:rsid w:val="006B57D4"/>
    <w:rsid w:val="006B5C07"/>
    <w:rsid w:val="006E2D0A"/>
    <w:rsid w:val="00727A42"/>
    <w:rsid w:val="00731E63"/>
    <w:rsid w:val="0075670D"/>
    <w:rsid w:val="007964C0"/>
    <w:rsid w:val="007B7712"/>
    <w:rsid w:val="007C39A4"/>
    <w:rsid w:val="007C6B7D"/>
    <w:rsid w:val="007E72FB"/>
    <w:rsid w:val="007F769B"/>
    <w:rsid w:val="00800688"/>
    <w:rsid w:val="00810E0A"/>
    <w:rsid w:val="00892528"/>
    <w:rsid w:val="008D5FFB"/>
    <w:rsid w:val="008D7653"/>
    <w:rsid w:val="008D79F7"/>
    <w:rsid w:val="008F5B7C"/>
    <w:rsid w:val="009506B3"/>
    <w:rsid w:val="009873F2"/>
    <w:rsid w:val="009B726E"/>
    <w:rsid w:val="009C0031"/>
    <w:rsid w:val="009D23F3"/>
    <w:rsid w:val="009D40DD"/>
    <w:rsid w:val="009F2926"/>
    <w:rsid w:val="00A52509"/>
    <w:rsid w:val="00A55F36"/>
    <w:rsid w:val="00A71D2C"/>
    <w:rsid w:val="00A818E4"/>
    <w:rsid w:val="00A839E9"/>
    <w:rsid w:val="00AC3B61"/>
    <w:rsid w:val="00AC4DF0"/>
    <w:rsid w:val="00AF2FCC"/>
    <w:rsid w:val="00AF3AA6"/>
    <w:rsid w:val="00B26507"/>
    <w:rsid w:val="00B40211"/>
    <w:rsid w:val="00B4121D"/>
    <w:rsid w:val="00B55720"/>
    <w:rsid w:val="00B61D2D"/>
    <w:rsid w:val="00B740E2"/>
    <w:rsid w:val="00B77BF8"/>
    <w:rsid w:val="00BA7AC2"/>
    <w:rsid w:val="00BB0F21"/>
    <w:rsid w:val="00C553DF"/>
    <w:rsid w:val="00C61BA2"/>
    <w:rsid w:val="00C75C3B"/>
    <w:rsid w:val="00C841BE"/>
    <w:rsid w:val="00C93194"/>
    <w:rsid w:val="00CE1D9A"/>
    <w:rsid w:val="00CE59BE"/>
    <w:rsid w:val="00CF3BD2"/>
    <w:rsid w:val="00D01D35"/>
    <w:rsid w:val="00D0784D"/>
    <w:rsid w:val="00D262CF"/>
    <w:rsid w:val="00D45279"/>
    <w:rsid w:val="00D511E5"/>
    <w:rsid w:val="00D51735"/>
    <w:rsid w:val="00D6049A"/>
    <w:rsid w:val="00D60DBE"/>
    <w:rsid w:val="00DC2887"/>
    <w:rsid w:val="00DD51F0"/>
    <w:rsid w:val="00E3614F"/>
    <w:rsid w:val="00E712BF"/>
    <w:rsid w:val="00EB6DD8"/>
    <w:rsid w:val="00ED5261"/>
    <w:rsid w:val="00EE649C"/>
    <w:rsid w:val="00EE71B4"/>
    <w:rsid w:val="00F050D7"/>
    <w:rsid w:val="00F17294"/>
    <w:rsid w:val="00F37D4A"/>
    <w:rsid w:val="00F44D01"/>
    <w:rsid w:val="00F55060"/>
    <w:rsid w:val="00F611AC"/>
    <w:rsid w:val="00F812E4"/>
    <w:rsid w:val="00FA3617"/>
    <w:rsid w:val="00FB76DC"/>
    <w:rsid w:val="00FF1B84"/>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0E872-E9BC-4538-B66F-C7CD609D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3260"/>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83260"/>
    <w:pPr>
      <w:spacing w:before="100" w:beforeAutospacing="1" w:after="100" w:afterAutospacing="1"/>
      <w:jc w:val="both"/>
    </w:pPr>
    <w:rPr>
      <w:rFonts w:eastAsia="Arial Unicode MS"/>
    </w:rPr>
  </w:style>
  <w:style w:type="paragraph" w:styleId="Kjene">
    <w:name w:val="footer"/>
    <w:basedOn w:val="Parasts"/>
    <w:link w:val="KjeneRakstz"/>
    <w:rsid w:val="00683260"/>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683260"/>
    <w:rPr>
      <w:rFonts w:ascii="RimTimes" w:eastAsia="Times New Roman" w:hAnsi="RimTimes" w:cs="Times New Roman"/>
      <w:sz w:val="28"/>
      <w:szCs w:val="20"/>
    </w:rPr>
  </w:style>
  <w:style w:type="paragraph" w:styleId="Galvene">
    <w:name w:val="header"/>
    <w:basedOn w:val="Parasts"/>
    <w:link w:val="GalveneRakstz"/>
    <w:rsid w:val="00683260"/>
    <w:pPr>
      <w:tabs>
        <w:tab w:val="center" w:pos="4153"/>
        <w:tab w:val="right" w:pos="8306"/>
      </w:tabs>
    </w:pPr>
  </w:style>
  <w:style w:type="character" w:customStyle="1" w:styleId="GalveneRakstz">
    <w:name w:val="Galvene Rakstz."/>
    <w:basedOn w:val="Noklusjumarindkopasfonts"/>
    <w:link w:val="Galvene"/>
    <w:rsid w:val="00683260"/>
    <w:rPr>
      <w:rFonts w:ascii="Times New Roman" w:eastAsia="Times New Roman" w:hAnsi="Times New Roman" w:cs="Times New Roman"/>
      <w:sz w:val="24"/>
      <w:szCs w:val="24"/>
      <w:lang w:val="en-GB"/>
    </w:rPr>
  </w:style>
  <w:style w:type="character" w:styleId="Lappusesnumurs">
    <w:name w:val="page number"/>
    <w:basedOn w:val="Noklusjumarindkopasfonts"/>
    <w:rsid w:val="00683260"/>
  </w:style>
  <w:style w:type="character" w:styleId="Hipersaite">
    <w:name w:val="Hyperlink"/>
    <w:basedOn w:val="Noklusjumarindkopasfonts"/>
    <w:uiPriority w:val="99"/>
    <w:unhideWhenUsed/>
    <w:rsid w:val="002232F9"/>
    <w:rPr>
      <w:color w:val="0000FF" w:themeColor="hyperlink"/>
      <w:u w:val="single"/>
    </w:rPr>
  </w:style>
  <w:style w:type="paragraph" w:styleId="Bezatstarpm">
    <w:name w:val="No Spacing"/>
    <w:uiPriority w:val="1"/>
    <w:qFormat/>
    <w:rsid w:val="002232F9"/>
    <w:pPr>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Noklusjumarindkopasfonts"/>
    <w:rsid w:val="008D5FFB"/>
  </w:style>
  <w:style w:type="paragraph" w:customStyle="1" w:styleId="Default">
    <w:name w:val="Default"/>
    <w:uiPriority w:val="99"/>
    <w:rsid w:val="008D7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uper">
    <w:name w:val="super"/>
    <w:basedOn w:val="Noklusjumarindkopasfonts"/>
    <w:rsid w:val="00AC4DF0"/>
  </w:style>
  <w:style w:type="character" w:styleId="Izteiksmgs">
    <w:name w:val="Strong"/>
    <w:basedOn w:val="Noklusjumarindkopasfonts"/>
    <w:uiPriority w:val="22"/>
    <w:qFormat/>
    <w:rsid w:val="002F255F"/>
    <w:rPr>
      <w:b/>
      <w:bCs/>
    </w:rPr>
  </w:style>
  <w:style w:type="paragraph" w:customStyle="1" w:styleId="norm">
    <w:name w:val="norm"/>
    <w:basedOn w:val="Parasts"/>
    <w:rsid w:val="002F255F"/>
    <w:pPr>
      <w:spacing w:before="100" w:beforeAutospacing="1" w:after="100" w:afterAutospacing="1"/>
    </w:pPr>
    <w:rPr>
      <w:lang w:val="en-US"/>
    </w:rPr>
  </w:style>
  <w:style w:type="character" w:styleId="Komentraatsauce">
    <w:name w:val="annotation reference"/>
    <w:basedOn w:val="Noklusjumarindkopasfonts"/>
    <w:uiPriority w:val="99"/>
    <w:semiHidden/>
    <w:unhideWhenUsed/>
    <w:rsid w:val="00355352"/>
    <w:rPr>
      <w:sz w:val="16"/>
      <w:szCs w:val="16"/>
    </w:rPr>
  </w:style>
  <w:style w:type="paragraph" w:styleId="Komentrateksts">
    <w:name w:val="annotation text"/>
    <w:basedOn w:val="Parasts"/>
    <w:link w:val="KomentratekstsRakstz"/>
    <w:uiPriority w:val="99"/>
    <w:semiHidden/>
    <w:unhideWhenUsed/>
    <w:rsid w:val="00355352"/>
    <w:rPr>
      <w:sz w:val="20"/>
      <w:szCs w:val="20"/>
    </w:rPr>
  </w:style>
  <w:style w:type="character" w:customStyle="1" w:styleId="KomentratekstsRakstz">
    <w:name w:val="Komentāra teksts Rakstz."/>
    <w:basedOn w:val="Noklusjumarindkopasfonts"/>
    <w:link w:val="Komentrateksts"/>
    <w:uiPriority w:val="99"/>
    <w:semiHidden/>
    <w:rsid w:val="0035535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355352"/>
    <w:rPr>
      <w:b/>
      <w:bCs/>
    </w:rPr>
  </w:style>
  <w:style w:type="character" w:customStyle="1" w:styleId="KomentratmaRakstz">
    <w:name w:val="Komentāra tēma Rakstz."/>
    <w:basedOn w:val="KomentratekstsRakstz"/>
    <w:link w:val="Komentratma"/>
    <w:uiPriority w:val="99"/>
    <w:semiHidden/>
    <w:rsid w:val="00355352"/>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3553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55352"/>
    <w:rPr>
      <w:rFonts w:ascii="Tahoma" w:eastAsia="Times New Roman" w:hAnsi="Tahoma" w:cs="Tahoma"/>
      <w:sz w:val="16"/>
      <w:szCs w:val="16"/>
      <w:lang w:val="en-GB"/>
    </w:rPr>
  </w:style>
  <w:style w:type="paragraph" w:customStyle="1" w:styleId="tvhtml">
    <w:name w:val="tv_html"/>
    <w:basedOn w:val="Parasts"/>
    <w:rsid w:val="00731E63"/>
    <w:pPr>
      <w:spacing w:before="100" w:beforeAutospacing="1" w:after="100" w:afterAutospacing="1"/>
    </w:pPr>
    <w:rPr>
      <w:lang w:val="en-US"/>
    </w:rPr>
  </w:style>
  <w:style w:type="paragraph" w:customStyle="1" w:styleId="Parasts1">
    <w:name w:val="Parasts1"/>
    <w:basedOn w:val="Parasts"/>
    <w:rsid w:val="00B40211"/>
    <w:pPr>
      <w:spacing w:before="100" w:beforeAutospacing="1" w:after="100" w:afterAutospacing="1"/>
    </w:pPr>
    <w:rPr>
      <w:lang w:val="en-US"/>
    </w:rPr>
  </w:style>
  <w:style w:type="paragraph" w:styleId="Sarakstarindkopa">
    <w:name w:val="List Paragraph"/>
    <w:basedOn w:val="Parasts"/>
    <w:uiPriority w:val="34"/>
    <w:qFormat/>
    <w:rsid w:val="00B40211"/>
    <w:pPr>
      <w:ind w:left="720"/>
      <w:contextualSpacing/>
    </w:pPr>
  </w:style>
  <w:style w:type="paragraph" w:styleId="Beiguvresteksts">
    <w:name w:val="endnote text"/>
    <w:basedOn w:val="Parasts"/>
    <w:link w:val="BeiguvrestekstsRakstz"/>
    <w:uiPriority w:val="99"/>
    <w:semiHidden/>
    <w:unhideWhenUsed/>
    <w:rsid w:val="0075670D"/>
    <w:rPr>
      <w:sz w:val="20"/>
      <w:szCs w:val="20"/>
    </w:rPr>
  </w:style>
  <w:style w:type="character" w:customStyle="1" w:styleId="BeiguvrestekstsRakstz">
    <w:name w:val="Beigu vēres teksts Rakstz."/>
    <w:basedOn w:val="Noklusjumarindkopasfonts"/>
    <w:link w:val="Beiguvresteksts"/>
    <w:uiPriority w:val="99"/>
    <w:semiHidden/>
    <w:rsid w:val="0075670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56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60284">
      <w:bodyDiv w:val="1"/>
      <w:marLeft w:val="0"/>
      <w:marRight w:val="0"/>
      <w:marTop w:val="0"/>
      <w:marBottom w:val="0"/>
      <w:divBdr>
        <w:top w:val="none" w:sz="0" w:space="0" w:color="auto"/>
        <w:left w:val="none" w:sz="0" w:space="0" w:color="auto"/>
        <w:bottom w:val="none" w:sz="0" w:space="0" w:color="auto"/>
        <w:right w:val="none" w:sz="0" w:space="0" w:color="auto"/>
      </w:divBdr>
    </w:div>
    <w:div w:id="455298253">
      <w:bodyDiv w:val="1"/>
      <w:marLeft w:val="0"/>
      <w:marRight w:val="0"/>
      <w:marTop w:val="0"/>
      <w:marBottom w:val="0"/>
      <w:divBdr>
        <w:top w:val="none" w:sz="0" w:space="0" w:color="auto"/>
        <w:left w:val="none" w:sz="0" w:space="0" w:color="auto"/>
        <w:bottom w:val="none" w:sz="0" w:space="0" w:color="auto"/>
        <w:right w:val="none" w:sz="0" w:space="0" w:color="auto"/>
      </w:divBdr>
    </w:div>
    <w:div w:id="687801661">
      <w:bodyDiv w:val="1"/>
      <w:marLeft w:val="0"/>
      <w:marRight w:val="0"/>
      <w:marTop w:val="0"/>
      <w:marBottom w:val="0"/>
      <w:divBdr>
        <w:top w:val="none" w:sz="0" w:space="0" w:color="auto"/>
        <w:left w:val="none" w:sz="0" w:space="0" w:color="auto"/>
        <w:bottom w:val="none" w:sz="0" w:space="0" w:color="auto"/>
        <w:right w:val="none" w:sz="0" w:space="0" w:color="auto"/>
      </w:divBdr>
    </w:div>
    <w:div w:id="848451250">
      <w:bodyDiv w:val="1"/>
      <w:marLeft w:val="0"/>
      <w:marRight w:val="0"/>
      <w:marTop w:val="0"/>
      <w:marBottom w:val="0"/>
      <w:divBdr>
        <w:top w:val="none" w:sz="0" w:space="0" w:color="auto"/>
        <w:left w:val="none" w:sz="0" w:space="0" w:color="auto"/>
        <w:bottom w:val="none" w:sz="0" w:space="0" w:color="auto"/>
        <w:right w:val="none" w:sz="0" w:space="0" w:color="auto"/>
      </w:divBdr>
    </w:div>
    <w:div w:id="1236210760">
      <w:bodyDiv w:val="1"/>
      <w:marLeft w:val="0"/>
      <w:marRight w:val="0"/>
      <w:marTop w:val="0"/>
      <w:marBottom w:val="0"/>
      <w:divBdr>
        <w:top w:val="none" w:sz="0" w:space="0" w:color="auto"/>
        <w:left w:val="none" w:sz="0" w:space="0" w:color="auto"/>
        <w:bottom w:val="none" w:sz="0" w:space="0" w:color="auto"/>
        <w:right w:val="none" w:sz="0" w:space="0" w:color="auto"/>
      </w:divBdr>
    </w:div>
    <w:div w:id="12931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475D3-B582-4086-8498-EBCDB567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2561</Words>
  <Characters>17288</Characters>
  <Application>Microsoft Office Word</Application>
  <DocSecurity>0</DocSecurity>
  <Lines>909</Lines>
  <Paragraphs>296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2014.gada 2.jūlija rīkojumā Nr.322 Par ārkārtējās situācijas izsludināšanu</vt:lpstr>
      <vt:lpstr>Grozījumi Ministru kabineta 2014.gada 2.jūlija rīkojumā Nr.322 Par ārkārtējās situācijas izsludināšanu</vt:lpstr>
    </vt:vector>
  </TitlesOfParts>
  <Manager>Veterinārais un pārtikas departaments</Manager>
  <Company>Zemkopības Ministrija</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2.jūlija rīkojumā Nr.322 Par ārkārtējās situācijas izsludināšanu</dc:title>
  <dc:subject>MK rīkojuma anotācija</dc:subject>
  <dc:creator>Sanita Vanaga, Linda Gurecka</dc:creator>
  <dc:description>Sanita.Vanaga@zm.gov.lv, 67027363,
Linda.Gurecka@zm.gov.lv, 67027063</dc:description>
  <cp:lastModifiedBy>Renārs Žagars</cp:lastModifiedBy>
  <cp:revision>10</cp:revision>
  <cp:lastPrinted>2014-09-18T06:07:00Z</cp:lastPrinted>
  <dcterms:created xsi:type="dcterms:W3CDTF">2014-10-07T06:13:00Z</dcterms:created>
  <dcterms:modified xsi:type="dcterms:W3CDTF">2014-10-07T08:24:00Z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692739030</vt:i4>
  </property>
  <property fmtid="{D5CDD505-2E9C-101B-9397-08002B2CF9AE}" pid="3" name="_NewReviewCycle">
    <vt:lpwstr/>
  </property>
  <property fmtid="{D5CDD505-2E9C-101B-9397-08002B2CF9AE}" pid="4" name="_ReviewingToolsShownOnce">
    <vt:lpwstr/>
  </property>
</Properties>
</file>