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F4" w:rsidRDefault="009117F4" w:rsidP="00400F6B">
      <w:pPr>
        <w:jc w:val="center"/>
        <w:rPr>
          <w:b/>
          <w:sz w:val="28"/>
          <w:szCs w:val="28"/>
          <w:lang w:eastAsia="en-US"/>
        </w:rPr>
      </w:pPr>
      <w:r w:rsidRPr="000E5392">
        <w:rPr>
          <w:b/>
          <w:sz w:val="28"/>
          <w:szCs w:val="28"/>
          <w:lang w:eastAsia="en-US"/>
        </w:rPr>
        <w:t xml:space="preserve">Ministru kabineta noteikumu projekta </w:t>
      </w:r>
      <w:bookmarkStart w:id="0" w:name="OLE_LINK1"/>
      <w:bookmarkStart w:id="1" w:name="OLE_LINK2"/>
      <w:r w:rsidRPr="000E5392">
        <w:rPr>
          <w:b/>
          <w:sz w:val="28"/>
          <w:szCs w:val="28"/>
          <w:lang w:eastAsia="en-US"/>
        </w:rPr>
        <w:t>„</w:t>
      </w:r>
      <w:bookmarkEnd w:id="0"/>
      <w:bookmarkEnd w:id="1"/>
      <w:r w:rsidR="00032CCB" w:rsidRPr="00032CCB">
        <w:rPr>
          <w:b/>
          <w:sz w:val="28"/>
          <w:szCs w:val="28"/>
          <w:lang w:eastAsia="en-US"/>
        </w:rPr>
        <w:t xml:space="preserve">Grozījumi Ministru kabineta </w:t>
      </w:r>
      <w:proofErr w:type="gramStart"/>
      <w:r w:rsidR="00032CCB" w:rsidRPr="00032CCB">
        <w:rPr>
          <w:b/>
          <w:sz w:val="28"/>
          <w:szCs w:val="28"/>
          <w:lang w:eastAsia="en-US"/>
        </w:rPr>
        <w:t>2013.gada</w:t>
      </w:r>
      <w:proofErr w:type="gramEnd"/>
      <w:r w:rsidR="00032CCB" w:rsidRPr="00032CCB">
        <w:rPr>
          <w:b/>
          <w:sz w:val="28"/>
          <w:szCs w:val="28"/>
          <w:lang w:eastAsia="en-US"/>
        </w:rPr>
        <w:t xml:space="preserve"> 12.marta noteikumos Nr.139 „Kārtība, kādā tiek piešķirts valsts un Eiropas Savienības atbalsts lauksaimniecībai tiešā atbalsta shēmu ietvaros”</w:t>
      </w:r>
      <w:r w:rsidRPr="000E5392">
        <w:rPr>
          <w:b/>
          <w:sz w:val="28"/>
          <w:szCs w:val="28"/>
          <w:lang w:eastAsia="en-US"/>
        </w:rPr>
        <w:t xml:space="preserve">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0E5392">
          <w:rPr>
            <w:b/>
            <w:sz w:val="28"/>
            <w:szCs w:val="28"/>
            <w:lang w:eastAsia="en-US"/>
          </w:rPr>
          <w:t>ziņojums</w:t>
        </w:r>
      </w:smartTag>
      <w:r w:rsidRPr="000E5392">
        <w:rPr>
          <w:b/>
          <w:sz w:val="28"/>
          <w:szCs w:val="28"/>
          <w:lang w:eastAsia="en-US"/>
        </w:rPr>
        <w:t xml:space="preserve"> (anotācija)</w:t>
      </w:r>
    </w:p>
    <w:p w:rsidR="00400F6B" w:rsidRPr="000E5392" w:rsidRDefault="00400F6B" w:rsidP="00400F6B">
      <w:pPr>
        <w:jc w:val="center"/>
        <w:rPr>
          <w:sz w:val="28"/>
          <w:szCs w:val="28"/>
          <w:lang w:eastAsia="en-US"/>
        </w:rPr>
      </w:pPr>
    </w:p>
    <w:p w:rsidR="009117F4" w:rsidRPr="00110153" w:rsidRDefault="009117F4" w:rsidP="006B42E1">
      <w:pPr>
        <w:ind w:firstLine="301"/>
        <w:rPr>
          <w:sz w:val="10"/>
        </w:rPr>
      </w:pPr>
      <w:r w:rsidRPr="00110153">
        <w:rPr>
          <w:sz w:val="10"/>
        </w:rPr>
        <w:t> 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  <w:gridCol w:w="2103"/>
        <w:gridCol w:w="6379"/>
      </w:tblGrid>
      <w:tr w:rsidR="009117F4" w:rsidRPr="00E06138" w:rsidTr="00E06138">
        <w:tc>
          <w:tcPr>
            <w:tcW w:w="8897" w:type="dxa"/>
            <w:gridSpan w:val="3"/>
          </w:tcPr>
          <w:p w:rsidR="009117F4" w:rsidRPr="00E06138" w:rsidRDefault="009117F4" w:rsidP="00E06138">
            <w:pPr>
              <w:jc w:val="center"/>
            </w:pPr>
            <w:r w:rsidRPr="00E06138">
              <w:rPr>
                <w:b/>
                <w:bCs/>
              </w:rPr>
              <w:t>I. Tiesību akta projekta izstrādes nepieciešamība</w:t>
            </w:r>
          </w:p>
        </w:tc>
      </w:tr>
      <w:tr w:rsidR="009117F4" w:rsidRPr="00E06138" w:rsidTr="00110153">
        <w:tc>
          <w:tcPr>
            <w:tcW w:w="415" w:type="dxa"/>
          </w:tcPr>
          <w:p w:rsidR="009117F4" w:rsidRPr="00E06138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E06138">
              <w:t>1.</w:t>
            </w:r>
          </w:p>
        </w:tc>
        <w:tc>
          <w:tcPr>
            <w:tcW w:w="2103" w:type="dxa"/>
          </w:tcPr>
          <w:p w:rsidR="009117F4" w:rsidRPr="00E06138" w:rsidRDefault="009117F4" w:rsidP="00E06138">
            <w:r w:rsidRPr="00E06138">
              <w:t>Pamatojums</w:t>
            </w:r>
          </w:p>
        </w:tc>
        <w:tc>
          <w:tcPr>
            <w:tcW w:w="6379" w:type="dxa"/>
          </w:tcPr>
          <w:p w:rsidR="009117F4" w:rsidRPr="00E06138" w:rsidRDefault="009117F4" w:rsidP="00DC5758">
            <w:pPr>
              <w:jc w:val="both"/>
            </w:pPr>
            <w:r w:rsidRPr="00C80D34">
              <w:rPr>
                <w:lang w:eastAsia="en-US"/>
              </w:rPr>
              <w:t xml:space="preserve">Lauksaimniecības un lauku attīstības likuma </w:t>
            </w:r>
            <w:r w:rsidR="00DC5758">
              <w:rPr>
                <w:lang w:eastAsia="en-US"/>
              </w:rPr>
              <w:t>5.panta ceturtā daļa</w:t>
            </w:r>
            <w:r w:rsidRPr="00E06138">
              <w:rPr>
                <w:lang w:eastAsia="en-US"/>
              </w:rPr>
              <w:t>.</w:t>
            </w:r>
          </w:p>
        </w:tc>
      </w:tr>
      <w:tr w:rsidR="009117F4" w:rsidRPr="00E06138" w:rsidTr="00110153">
        <w:tc>
          <w:tcPr>
            <w:tcW w:w="415" w:type="dxa"/>
          </w:tcPr>
          <w:p w:rsidR="009117F4" w:rsidRPr="00E06138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E06138">
              <w:t>2.</w:t>
            </w:r>
          </w:p>
        </w:tc>
        <w:tc>
          <w:tcPr>
            <w:tcW w:w="2103" w:type="dxa"/>
          </w:tcPr>
          <w:p w:rsidR="009117F4" w:rsidRPr="00E06138" w:rsidRDefault="009117F4" w:rsidP="00E06138">
            <w:r w:rsidRPr="00E06138">
              <w:t>Pašreizējā situācija un problēmas, kuru risināšanai tiesību akta projekts izstrādāts, tiesiskā regulējuma mērķis un būtība</w:t>
            </w:r>
          </w:p>
        </w:tc>
        <w:tc>
          <w:tcPr>
            <w:tcW w:w="6379" w:type="dxa"/>
          </w:tcPr>
          <w:p w:rsidR="007F2259" w:rsidRDefault="00371839" w:rsidP="00110153">
            <w:pPr>
              <w:spacing w:after="120"/>
              <w:jc w:val="both"/>
              <w:rPr>
                <w:lang w:eastAsia="en-US"/>
              </w:rPr>
            </w:pPr>
            <w:r w:rsidRPr="00371839">
              <w:rPr>
                <w:lang w:eastAsia="en-US"/>
              </w:rPr>
              <w:t>Grozījumi Ministru kabineta 2013.gada 12.marta noteikumos Nr.139 „Kārtība, kādā tiek piešķirts valsts un Eiropas Savienības atbalsts lauksaimniecībai</w:t>
            </w:r>
            <w:r>
              <w:rPr>
                <w:lang w:eastAsia="en-US"/>
              </w:rPr>
              <w:t xml:space="preserve"> tiešā atbalsta shēmu ietvaros” </w:t>
            </w:r>
            <w:r w:rsidR="00C72789">
              <w:rPr>
                <w:lang w:eastAsia="en-US"/>
              </w:rPr>
              <w:t xml:space="preserve">(turpmāk – noteikumi Nr.139) </w:t>
            </w:r>
            <w:r w:rsidRPr="00371839">
              <w:rPr>
                <w:lang w:eastAsia="en-US"/>
              </w:rPr>
              <w:t xml:space="preserve">ir jāizdara, lai </w:t>
            </w:r>
            <w:r w:rsidR="00C72789">
              <w:rPr>
                <w:lang w:eastAsia="en-US"/>
              </w:rPr>
              <w:t>at</w:t>
            </w:r>
            <w:r w:rsidR="00352976">
              <w:rPr>
                <w:lang w:eastAsia="en-US"/>
              </w:rPr>
              <w:t xml:space="preserve">risinātu </w:t>
            </w:r>
            <w:r w:rsidR="00C72789">
              <w:rPr>
                <w:lang w:eastAsia="en-US"/>
              </w:rPr>
              <w:t>vairākas</w:t>
            </w:r>
            <w:r w:rsidR="00352976">
              <w:rPr>
                <w:lang w:eastAsia="en-US"/>
              </w:rPr>
              <w:t xml:space="preserve"> problēmas</w:t>
            </w:r>
            <w:r w:rsidR="00C72789">
              <w:rPr>
                <w:lang w:eastAsia="en-US"/>
              </w:rPr>
              <w:t>.</w:t>
            </w:r>
          </w:p>
          <w:p w:rsidR="00D93092" w:rsidRDefault="005D3DB2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52976">
              <w:rPr>
                <w:lang w:eastAsia="en-US"/>
              </w:rPr>
              <w:t>.</w:t>
            </w:r>
            <w:r w:rsidR="00371839">
              <w:rPr>
                <w:lang w:eastAsia="en-US"/>
              </w:rPr>
              <w:t xml:space="preserve"> </w:t>
            </w:r>
            <w:r w:rsidR="00C72789">
              <w:t>N</w:t>
            </w:r>
            <w:r w:rsidR="00FC12B3">
              <w:t>oteikum</w:t>
            </w:r>
            <w:r w:rsidR="00C72789">
              <w:t>os</w:t>
            </w:r>
            <w:r w:rsidR="00FC12B3">
              <w:t xml:space="preserve"> </w:t>
            </w:r>
            <w:r w:rsidR="00FC12B3" w:rsidRPr="00FC12B3">
              <w:rPr>
                <w:lang w:eastAsia="en-US"/>
              </w:rPr>
              <w:t>Nr.139</w:t>
            </w:r>
            <w:r w:rsidR="00FC12B3">
              <w:rPr>
                <w:lang w:eastAsia="en-US"/>
              </w:rPr>
              <w:t xml:space="preserve"> kā viens no laba lauksaimniecības un stāvokļa nosacījumiem ir</w:t>
            </w:r>
            <w:r w:rsidR="00234811">
              <w:rPr>
                <w:lang w:eastAsia="en-US"/>
              </w:rPr>
              <w:t xml:space="preserve"> iekļauta</w:t>
            </w:r>
            <w:r w:rsidR="00FC12B3">
              <w:rPr>
                <w:lang w:eastAsia="en-US"/>
              </w:rPr>
              <w:t xml:space="preserve"> prasība par </w:t>
            </w:r>
            <w:r w:rsidR="00FC12B3" w:rsidRPr="00FC12B3">
              <w:rPr>
                <w:lang w:eastAsia="en-US"/>
              </w:rPr>
              <w:t>minimāl</w:t>
            </w:r>
            <w:r w:rsidR="00FC12B3">
              <w:rPr>
                <w:lang w:eastAsia="en-US"/>
              </w:rPr>
              <w:t>ā</w:t>
            </w:r>
            <w:r w:rsidR="00FC12B3" w:rsidRPr="00FC12B3">
              <w:rPr>
                <w:lang w:eastAsia="en-US"/>
              </w:rPr>
              <w:t xml:space="preserve"> la</w:t>
            </w:r>
            <w:r w:rsidR="00FC12B3">
              <w:rPr>
                <w:lang w:eastAsia="en-US"/>
              </w:rPr>
              <w:t>uksaimniecības dzīvnieku blīvuma nodrošināšanu</w:t>
            </w:r>
            <w:r w:rsidR="00FC12B3" w:rsidRPr="00FC12B3">
              <w:rPr>
                <w:lang w:eastAsia="en-US"/>
              </w:rPr>
              <w:t xml:space="preserve"> pastāvīgo pļavu un ganību, aramzemē sēto zālāju un nektāraugu </w:t>
            </w:r>
            <w:r w:rsidR="00FC12B3">
              <w:rPr>
                <w:lang w:eastAsia="en-US"/>
              </w:rPr>
              <w:t xml:space="preserve">platībās, ar nosacījumu, ka </w:t>
            </w:r>
            <w:r w:rsidR="00FC12B3" w:rsidRPr="00FC12B3">
              <w:rPr>
                <w:lang w:eastAsia="en-US"/>
              </w:rPr>
              <w:t xml:space="preserve">lauksaimniecības zemes platība ir vismaz 30 hektāru un pastāvīgo pļavu un ganību, aramzemē sēto zālāju un nektāraugu hektāru </w:t>
            </w:r>
            <w:r w:rsidR="00FC12B3">
              <w:rPr>
                <w:lang w:eastAsia="en-US"/>
              </w:rPr>
              <w:t>īpatsvars ir vismaz 30 procentu</w:t>
            </w:r>
            <w:r w:rsidR="00D93092">
              <w:rPr>
                <w:lang w:eastAsia="en-US"/>
              </w:rPr>
              <w:t xml:space="preserve">. </w:t>
            </w:r>
            <w:r w:rsidR="00C72789">
              <w:rPr>
                <w:lang w:eastAsia="en-US"/>
              </w:rPr>
              <w:t>Tāpat</w:t>
            </w:r>
            <w:r w:rsidR="00D93092">
              <w:rPr>
                <w:lang w:eastAsia="en-US"/>
              </w:rPr>
              <w:t xml:space="preserve"> ir paredzēti arī izņēmumi, lai </w:t>
            </w:r>
            <w:r w:rsidR="00234811">
              <w:rPr>
                <w:lang w:eastAsia="en-US"/>
              </w:rPr>
              <w:t xml:space="preserve">no </w:t>
            </w:r>
            <w:r w:rsidR="00D93092">
              <w:rPr>
                <w:lang w:eastAsia="en-US"/>
              </w:rPr>
              <w:t>š</w:t>
            </w:r>
            <w:r w:rsidR="00234811">
              <w:rPr>
                <w:lang w:eastAsia="en-US"/>
              </w:rPr>
              <w:t>īs</w:t>
            </w:r>
            <w:r w:rsidR="00D93092">
              <w:rPr>
                <w:lang w:eastAsia="en-US"/>
              </w:rPr>
              <w:t xml:space="preserve"> prasīb</w:t>
            </w:r>
            <w:r w:rsidR="00234811">
              <w:rPr>
                <w:lang w:eastAsia="en-US"/>
              </w:rPr>
              <w:t>as ievērošanas atbrīvotu</w:t>
            </w:r>
            <w:r w:rsidR="00D93092">
              <w:rPr>
                <w:lang w:eastAsia="en-US"/>
              </w:rPr>
              <w:t xml:space="preserve"> lauksaimniek</w:t>
            </w:r>
            <w:r w:rsidR="00234811">
              <w:rPr>
                <w:lang w:eastAsia="en-US"/>
              </w:rPr>
              <w:t>us</w:t>
            </w:r>
            <w:r w:rsidR="00D93092">
              <w:rPr>
                <w:lang w:eastAsia="en-US"/>
              </w:rPr>
              <w:t>, k</w:t>
            </w:r>
            <w:r w:rsidR="00C72789">
              <w:rPr>
                <w:lang w:eastAsia="en-US"/>
              </w:rPr>
              <w:t>as</w:t>
            </w:r>
            <w:r w:rsidR="00D93092">
              <w:rPr>
                <w:lang w:eastAsia="en-US"/>
              </w:rPr>
              <w:t xml:space="preserve"> </w:t>
            </w:r>
            <w:r w:rsidR="00D93092" w:rsidRPr="00FC12B3">
              <w:rPr>
                <w:lang w:eastAsia="en-US"/>
              </w:rPr>
              <w:t>aramzemē sēto</w:t>
            </w:r>
            <w:r w:rsidR="00D93092">
              <w:rPr>
                <w:lang w:eastAsia="en-US"/>
              </w:rPr>
              <w:t>s</w:t>
            </w:r>
            <w:r w:rsidR="00D93092" w:rsidRPr="00FC12B3">
              <w:rPr>
                <w:lang w:eastAsia="en-US"/>
              </w:rPr>
              <w:t xml:space="preserve"> zālāju</w:t>
            </w:r>
            <w:r w:rsidR="00D93092">
              <w:rPr>
                <w:lang w:eastAsia="en-US"/>
              </w:rPr>
              <w:t xml:space="preserve">s </w:t>
            </w:r>
            <w:r w:rsidR="00C72789">
              <w:rPr>
                <w:lang w:eastAsia="en-US"/>
              </w:rPr>
              <w:t xml:space="preserve">izmanto </w:t>
            </w:r>
            <w:r w:rsidR="00D93092">
              <w:rPr>
                <w:lang w:eastAsia="en-US"/>
              </w:rPr>
              <w:t>sēklaudzēšanas nolūk</w:t>
            </w:r>
            <w:r w:rsidR="00C72789">
              <w:rPr>
                <w:lang w:eastAsia="en-US"/>
              </w:rPr>
              <w:t>ā</w:t>
            </w:r>
            <w:r w:rsidR="00D93092">
              <w:rPr>
                <w:lang w:eastAsia="en-US"/>
              </w:rPr>
              <w:t>,</w:t>
            </w:r>
            <w:r w:rsidR="00234811">
              <w:rPr>
                <w:lang w:eastAsia="en-US"/>
              </w:rPr>
              <w:t xml:space="preserve"> nevis dzīvnieku turēšanai</w:t>
            </w:r>
            <w:r w:rsidR="00C72789">
              <w:rPr>
                <w:lang w:eastAsia="en-US"/>
              </w:rPr>
              <w:t>,</w:t>
            </w:r>
            <w:r w:rsidR="00D93092">
              <w:rPr>
                <w:lang w:eastAsia="en-US"/>
              </w:rPr>
              <w:t xml:space="preserve"> </w:t>
            </w:r>
            <w:r w:rsidR="00C72789">
              <w:rPr>
                <w:lang w:eastAsia="en-US"/>
              </w:rPr>
              <w:t>bet</w:t>
            </w:r>
            <w:r w:rsidR="00D93092">
              <w:rPr>
                <w:lang w:eastAsia="en-US"/>
              </w:rPr>
              <w:t xml:space="preserve"> šiem lauksaimniekiem ir jābūt reģistrētiem </w:t>
            </w:r>
            <w:r w:rsidR="00D93092" w:rsidRPr="00D93092">
              <w:rPr>
                <w:lang w:eastAsia="en-US"/>
              </w:rPr>
              <w:t>Valsts augu aizsardzības</w:t>
            </w:r>
            <w:r w:rsidR="00D93092">
              <w:rPr>
                <w:lang w:eastAsia="en-US"/>
              </w:rPr>
              <w:t xml:space="preserve"> dienestā. </w:t>
            </w:r>
            <w:r w:rsidR="00C72789">
              <w:rPr>
                <w:lang w:eastAsia="en-US"/>
              </w:rPr>
              <w:t>G</w:t>
            </w:r>
            <w:r w:rsidR="00D93092">
              <w:rPr>
                <w:lang w:eastAsia="en-US"/>
              </w:rPr>
              <w:t xml:space="preserve">rozījumi </w:t>
            </w:r>
            <w:r w:rsidR="00D93092">
              <w:t xml:space="preserve">noteikumos </w:t>
            </w:r>
            <w:r w:rsidR="00D93092" w:rsidRPr="00FC12B3">
              <w:rPr>
                <w:lang w:eastAsia="en-US"/>
              </w:rPr>
              <w:t>Nr.139</w:t>
            </w:r>
            <w:r w:rsidR="00D93092">
              <w:rPr>
                <w:lang w:eastAsia="en-US"/>
              </w:rPr>
              <w:t xml:space="preserve"> </w:t>
            </w:r>
            <w:r w:rsidR="00C72789">
              <w:rPr>
                <w:lang w:eastAsia="en-US"/>
              </w:rPr>
              <w:t>paredz, ka:</w:t>
            </w:r>
            <w:r w:rsidR="00D93092">
              <w:rPr>
                <w:lang w:eastAsia="en-US"/>
              </w:rPr>
              <w:t xml:space="preserve"> </w:t>
            </w:r>
          </w:p>
          <w:p w:rsidR="00D93092" w:rsidRDefault="00D93092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  <w:r w:rsidR="0035297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minētajiem lauksaimniekiem ir jābūt reģistrētiem </w:t>
            </w:r>
            <w:r w:rsidRPr="009F2315">
              <w:rPr>
                <w:lang w:eastAsia="en-US"/>
              </w:rPr>
              <w:t>Kultūraugu uzraudzības valsts informācijas sistēmas sēklaudzētāju un sēklu tirgotāju reģistrā</w:t>
            </w:r>
            <w:r w:rsidR="00234811">
              <w:rPr>
                <w:lang w:eastAsia="en-US"/>
              </w:rPr>
              <w:t>;</w:t>
            </w:r>
          </w:p>
          <w:p w:rsidR="00D93092" w:rsidRDefault="00D93092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izņēmums tiek attiecināts ar</w:t>
            </w:r>
            <w:r w:rsidR="001221B8">
              <w:rPr>
                <w:lang w:eastAsia="en-US"/>
              </w:rPr>
              <w:t>ī uz iepriekšējā gadā sētām platībām, kas tiek audzētas bez virsauga, pieteiktas lauku apskatei un reģistrētas minētajā reģistrā</w:t>
            </w:r>
            <w:r w:rsidR="00234811">
              <w:rPr>
                <w:lang w:eastAsia="en-US"/>
              </w:rPr>
              <w:t>.</w:t>
            </w:r>
          </w:p>
          <w:p w:rsidR="001221B8" w:rsidRDefault="001221B8" w:rsidP="00FC12B3">
            <w:pPr>
              <w:spacing w:after="12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2</w:t>
            </w:r>
            <w:r w:rsidR="0035297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Uz lauksaimniekiem, kas audzē kaņepes un vēlas saņemt </w:t>
            </w:r>
            <w:r>
              <w:rPr>
                <w:bCs/>
                <w:lang w:eastAsia="en-US"/>
              </w:rPr>
              <w:t>v</w:t>
            </w:r>
            <w:r w:rsidRPr="00371839">
              <w:rPr>
                <w:bCs/>
                <w:lang w:eastAsia="en-US"/>
              </w:rPr>
              <w:t>ienot</w:t>
            </w:r>
            <w:r>
              <w:rPr>
                <w:bCs/>
                <w:lang w:eastAsia="en-US"/>
              </w:rPr>
              <w:t>o</w:t>
            </w:r>
            <w:r w:rsidRPr="00371839">
              <w:rPr>
                <w:bCs/>
                <w:lang w:eastAsia="en-US"/>
              </w:rPr>
              <w:t xml:space="preserve"> platības maksājum</w:t>
            </w:r>
            <w:r>
              <w:rPr>
                <w:bCs/>
                <w:lang w:eastAsia="en-US"/>
              </w:rPr>
              <w:t>u, attiecas īpaši nosacījumi, t</w:t>
            </w:r>
            <w:r w:rsidR="00C72789">
              <w:rPr>
                <w:bCs/>
                <w:lang w:eastAsia="en-US"/>
              </w:rPr>
              <w:t>ostarp</w:t>
            </w:r>
            <w:r>
              <w:rPr>
                <w:bCs/>
                <w:lang w:eastAsia="en-US"/>
              </w:rPr>
              <w:t xml:space="preserve"> prasība iesniegt iesēto </w:t>
            </w:r>
            <w:r w:rsidRPr="001221B8">
              <w:rPr>
                <w:lang w:eastAsia="en-US"/>
              </w:rPr>
              <w:t>kaņepju sēklas iepakojuma etiķetes</w:t>
            </w:r>
            <w:r>
              <w:rPr>
                <w:lang w:eastAsia="en-US"/>
              </w:rPr>
              <w:t xml:space="preserve">, </w:t>
            </w:r>
            <w:r w:rsidR="00D94886">
              <w:rPr>
                <w:lang w:eastAsia="en-US"/>
              </w:rPr>
              <w:t>sē</w:t>
            </w:r>
            <w:r w:rsidR="00C72789">
              <w:rPr>
                <w:lang w:eastAsia="en-US"/>
              </w:rPr>
              <w:t>t</w:t>
            </w:r>
            <w:r w:rsidR="00D94886">
              <w:rPr>
                <w:lang w:eastAsia="en-US"/>
              </w:rPr>
              <w:t xml:space="preserve"> sertificētas sēklas u</w:t>
            </w:r>
            <w:r w:rsidR="00C72789">
              <w:rPr>
                <w:lang w:eastAsia="en-US"/>
              </w:rPr>
              <w:t>.</w:t>
            </w:r>
            <w:r w:rsidR="00D94886">
              <w:rPr>
                <w:lang w:eastAsia="en-US"/>
              </w:rPr>
              <w:t xml:space="preserve"> c.</w:t>
            </w:r>
          </w:p>
          <w:p w:rsidR="001221B8" w:rsidRDefault="001221B8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Ar grozījumiem</w:t>
            </w:r>
            <w:r>
              <w:t xml:space="preserve"> noteikumos </w:t>
            </w:r>
            <w:r w:rsidRPr="00FC12B3">
              <w:rPr>
                <w:lang w:eastAsia="en-US"/>
              </w:rPr>
              <w:t>Nr.139</w:t>
            </w:r>
            <w:r>
              <w:rPr>
                <w:lang w:eastAsia="en-US"/>
              </w:rPr>
              <w:t xml:space="preserve"> tiek precizēt</w:t>
            </w:r>
            <w:r w:rsidR="004F698B">
              <w:rPr>
                <w:lang w:eastAsia="en-US"/>
              </w:rPr>
              <w:t>s, ka</w:t>
            </w:r>
            <w:r>
              <w:rPr>
                <w:lang w:eastAsia="en-US"/>
              </w:rPr>
              <w:t>:</w:t>
            </w:r>
          </w:p>
          <w:p w:rsidR="001221B8" w:rsidRDefault="001221B8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 </w:t>
            </w:r>
            <w:r w:rsidR="004F698B" w:rsidRPr="00D93092">
              <w:rPr>
                <w:lang w:eastAsia="en-US"/>
              </w:rPr>
              <w:t>Valsts augu aizsardzības</w:t>
            </w:r>
            <w:r w:rsidR="004F698B">
              <w:rPr>
                <w:lang w:eastAsia="en-US"/>
              </w:rPr>
              <w:t xml:space="preserve"> dienestā </w:t>
            </w:r>
            <w:r>
              <w:rPr>
                <w:lang w:eastAsia="en-US"/>
              </w:rPr>
              <w:t xml:space="preserve">iesniedzams </w:t>
            </w:r>
            <w:r w:rsidR="00D94886">
              <w:rPr>
                <w:bCs/>
                <w:lang w:eastAsia="en-US"/>
              </w:rPr>
              <w:t xml:space="preserve">iesēto </w:t>
            </w:r>
            <w:r w:rsidR="00D94886" w:rsidRPr="001221B8">
              <w:rPr>
                <w:lang w:eastAsia="en-US"/>
              </w:rPr>
              <w:t xml:space="preserve">kaņepju sēklas </w:t>
            </w:r>
            <w:r w:rsidRPr="001221B8">
              <w:rPr>
                <w:lang w:eastAsia="en-US"/>
              </w:rPr>
              <w:t>iepakojuma oficiālās etiķetes oriģināl</w:t>
            </w:r>
            <w:r>
              <w:rPr>
                <w:lang w:eastAsia="en-US"/>
              </w:rPr>
              <w:t>s;</w:t>
            </w:r>
          </w:p>
          <w:p w:rsidR="001221B8" w:rsidRDefault="001221B8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2.2. </w:t>
            </w:r>
            <w:r w:rsidR="00D94886">
              <w:rPr>
                <w:lang w:eastAsia="en-US"/>
              </w:rPr>
              <w:t xml:space="preserve">tiek sētas </w:t>
            </w:r>
            <w:proofErr w:type="spellStart"/>
            <w:r w:rsidR="00D94886" w:rsidRPr="00D94886">
              <w:rPr>
                <w:lang w:eastAsia="en-US"/>
              </w:rPr>
              <w:t>atbalsttiesīgas</w:t>
            </w:r>
            <w:proofErr w:type="spellEnd"/>
            <w:r w:rsidR="00D94886" w:rsidRPr="00D94886">
              <w:rPr>
                <w:lang w:eastAsia="en-US"/>
              </w:rPr>
              <w:t xml:space="preserve"> kaņepju šķirnes sēklas, kas</w:t>
            </w:r>
            <w:r w:rsidR="007131DB">
              <w:rPr>
                <w:lang w:eastAsia="en-US"/>
              </w:rPr>
              <w:t xml:space="preserve"> </w:t>
            </w:r>
            <w:r w:rsidR="007131DB" w:rsidRPr="007131DB">
              <w:rPr>
                <w:lang w:eastAsia="en-US"/>
              </w:rPr>
              <w:t>atbilst eļļas augu un šķiedraugu sēklaudzēšanas un sēklu tirdzniecības noteikumu prasībām</w:t>
            </w:r>
            <w:r w:rsidR="007131DB">
              <w:rPr>
                <w:lang w:eastAsia="en-US"/>
              </w:rPr>
              <w:t>.</w:t>
            </w:r>
          </w:p>
          <w:p w:rsidR="00986D2E" w:rsidRDefault="00986D2E" w:rsidP="00FC12B3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52976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C72789">
              <w:rPr>
                <w:lang w:eastAsia="en-US"/>
              </w:rPr>
              <w:t>T</w:t>
            </w:r>
            <w:r>
              <w:rPr>
                <w:lang w:eastAsia="en-US"/>
              </w:rPr>
              <w:t xml:space="preserve">iek saskaņotas normas, </w:t>
            </w:r>
            <w:r w:rsidR="00C72789">
              <w:rPr>
                <w:lang w:eastAsia="en-US"/>
              </w:rPr>
              <w:t>paredzot</w:t>
            </w:r>
            <w:r>
              <w:rPr>
                <w:lang w:eastAsia="en-US"/>
              </w:rPr>
              <w:t xml:space="preserve"> atbalstu nepiešķir</w:t>
            </w:r>
            <w:r w:rsidR="00C72789">
              <w:rPr>
                <w:lang w:eastAsia="en-US"/>
              </w:rPr>
              <w:t>t, ja nav ievērota prasība</w:t>
            </w:r>
            <w:r>
              <w:rPr>
                <w:lang w:eastAsia="en-US"/>
              </w:rPr>
              <w:t xml:space="preserve"> par </w:t>
            </w:r>
            <w:r w:rsidR="00352976">
              <w:rPr>
                <w:lang w:eastAsia="en-US"/>
              </w:rPr>
              <w:t>30</w:t>
            </w:r>
            <w:r w:rsidR="00C72789">
              <w:rPr>
                <w:lang w:eastAsia="en-US"/>
              </w:rPr>
              <w:t> </w:t>
            </w:r>
            <w:r w:rsidR="00352976">
              <w:rPr>
                <w:lang w:eastAsia="en-US"/>
              </w:rPr>
              <w:t xml:space="preserve">ha </w:t>
            </w:r>
            <w:r w:rsidR="00C72789">
              <w:rPr>
                <w:lang w:eastAsia="en-US"/>
              </w:rPr>
              <w:t xml:space="preserve">lielu platību </w:t>
            </w:r>
            <w:r w:rsidR="00352976">
              <w:rPr>
                <w:lang w:eastAsia="en-US"/>
              </w:rPr>
              <w:t>un 30% īpatsvar</w:t>
            </w:r>
            <w:r w:rsidR="00C72789">
              <w:rPr>
                <w:lang w:eastAsia="en-US"/>
              </w:rPr>
              <w:t>u, kā arī</w:t>
            </w:r>
            <w:r w:rsidR="00352976">
              <w:rPr>
                <w:lang w:eastAsia="en-US"/>
              </w:rPr>
              <w:t xml:space="preserve"> tiek konstatēts, ka atbalsta pretendents ir veicis pasākumus, lai apietu šo nosacījumu, </w:t>
            </w:r>
            <w:r>
              <w:rPr>
                <w:lang w:eastAsia="en-US"/>
              </w:rPr>
              <w:t>atbilstoši</w:t>
            </w:r>
            <w:r w:rsidR="00352976">
              <w:rPr>
                <w:lang w:eastAsia="en-US"/>
              </w:rPr>
              <w:t xml:space="preserve"> izņēmumiem, kas paredzēti </w:t>
            </w:r>
            <w:r>
              <w:rPr>
                <w:lang w:eastAsia="en-US"/>
              </w:rPr>
              <w:t xml:space="preserve">laba lauksaimniecības un vides stāvokļa nosacījumos </w:t>
            </w:r>
            <w:r w:rsidR="00352976">
              <w:rPr>
                <w:lang w:eastAsia="en-US"/>
              </w:rPr>
              <w:t>par</w:t>
            </w:r>
            <w:r>
              <w:rPr>
                <w:lang w:eastAsia="en-US"/>
              </w:rPr>
              <w:t xml:space="preserve"> lopu </w:t>
            </w:r>
            <w:r>
              <w:rPr>
                <w:lang w:eastAsia="en-US"/>
              </w:rPr>
              <w:lastRenderedPageBreak/>
              <w:t xml:space="preserve">blīvuma </w:t>
            </w:r>
            <w:r w:rsidRPr="00986D2E">
              <w:rPr>
                <w:lang w:eastAsia="en-US"/>
              </w:rPr>
              <w:t>nodrošināšanu pastāvīgo pļavu un ganību, aramzemē sēto zālāju un nektāraugu platībās</w:t>
            </w:r>
            <w:r w:rsidR="00352976">
              <w:rPr>
                <w:lang w:eastAsia="en-US"/>
              </w:rPr>
              <w:t>.</w:t>
            </w:r>
          </w:p>
          <w:p w:rsidR="00410FA7" w:rsidRPr="00E06138" w:rsidRDefault="00410FA7" w:rsidP="00352976">
            <w:pPr>
              <w:spacing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52976">
              <w:rPr>
                <w:lang w:eastAsia="en-US"/>
              </w:rPr>
              <w:t>.</w:t>
            </w:r>
            <w:r w:rsidR="0081762F">
              <w:rPr>
                <w:lang w:eastAsia="en-US"/>
              </w:rPr>
              <w:t xml:space="preserve"> Ministru kabineta noteikumu 11. pielikumā ir iekļautas </w:t>
            </w:r>
            <w:r w:rsidR="00C72789">
              <w:rPr>
                <w:lang w:eastAsia="en-US"/>
              </w:rPr>
              <w:t>o</w:t>
            </w:r>
            <w:r w:rsidR="0081762F" w:rsidRPr="0081762F">
              <w:rPr>
                <w:lang w:eastAsia="en-US"/>
              </w:rPr>
              <w:t>bligātās pārvaldības prasības</w:t>
            </w:r>
            <w:r w:rsidR="0081762F">
              <w:rPr>
                <w:lang w:eastAsia="en-US"/>
              </w:rPr>
              <w:t xml:space="preserve"> – </w:t>
            </w:r>
            <w:r w:rsidR="00C72789">
              <w:rPr>
                <w:lang w:eastAsia="en-US"/>
              </w:rPr>
              <w:t>to normatīvo aktu</w:t>
            </w:r>
            <w:r w:rsidR="0081762F">
              <w:rPr>
                <w:lang w:eastAsia="en-US"/>
              </w:rPr>
              <w:t xml:space="preserve"> normu kopums, kur</w:t>
            </w:r>
            <w:r w:rsidR="009F2315">
              <w:rPr>
                <w:lang w:eastAsia="en-US"/>
              </w:rPr>
              <w:t>as</w:t>
            </w:r>
            <w:r w:rsidR="0081762F">
              <w:rPr>
                <w:lang w:eastAsia="en-US"/>
              </w:rPr>
              <w:t xml:space="preserve"> jāievēro lauksaimniek</w:t>
            </w:r>
            <w:r w:rsidR="009F2315">
              <w:rPr>
                <w:lang w:eastAsia="en-US"/>
              </w:rPr>
              <w:t>a</w:t>
            </w:r>
            <w:r w:rsidR="0081762F">
              <w:rPr>
                <w:lang w:eastAsia="en-US"/>
              </w:rPr>
              <w:t>m, lai saņemtu tiešos maksājumus.</w:t>
            </w:r>
            <w:r w:rsidR="00D5623C">
              <w:rPr>
                <w:lang w:eastAsia="en-US"/>
              </w:rPr>
              <w:t xml:space="preserve"> Ar </w:t>
            </w:r>
            <w:r w:rsidR="00C72789" w:rsidRPr="00B63D37">
              <w:rPr>
                <w:lang w:eastAsia="en-US"/>
              </w:rPr>
              <w:t>Mini</w:t>
            </w:r>
            <w:r w:rsidR="00C72789" w:rsidRPr="00C72789">
              <w:rPr>
                <w:lang w:eastAsia="en-US"/>
              </w:rPr>
              <w:t>stru kabineta noteikumu projekt</w:t>
            </w:r>
            <w:r w:rsidR="00C72789">
              <w:rPr>
                <w:lang w:eastAsia="en-US"/>
              </w:rPr>
              <w:t>u</w:t>
            </w:r>
            <w:r w:rsidR="00C72789" w:rsidRPr="00B63D37">
              <w:rPr>
                <w:lang w:eastAsia="en-US"/>
              </w:rPr>
              <w:t xml:space="preserve"> „Grozījumi Ministru kabineta 2013.gada 12.marta noteikumos Nr.139 „Kārtība, kādā tiek piešķirts valsts un Eiropas Savienības atbalsts lauksaimniecībai tiešā atbalsta shēmu ietvaros””</w:t>
            </w:r>
            <w:r w:rsidR="00C72789">
              <w:rPr>
                <w:lang w:eastAsia="en-US"/>
              </w:rPr>
              <w:t xml:space="preserve"> (turpmāk – noteikumu projekts)</w:t>
            </w:r>
            <w:r w:rsidR="00C72789" w:rsidRPr="000E5392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D5623C">
              <w:rPr>
                <w:lang w:eastAsia="en-US"/>
              </w:rPr>
              <w:t xml:space="preserve">tiek </w:t>
            </w:r>
            <w:r w:rsidR="0081762F">
              <w:rPr>
                <w:lang w:eastAsia="en-US"/>
              </w:rPr>
              <w:t>precizē</w:t>
            </w:r>
            <w:r w:rsidR="00D5623C">
              <w:rPr>
                <w:lang w:eastAsia="en-US"/>
              </w:rPr>
              <w:t>tas</w:t>
            </w:r>
            <w:r w:rsidR="0081762F">
              <w:rPr>
                <w:lang w:eastAsia="en-US"/>
              </w:rPr>
              <w:t xml:space="preserve"> 11.pielikumā iekļautās</w:t>
            </w:r>
            <w:r>
              <w:rPr>
                <w:lang w:eastAsia="en-US"/>
              </w:rPr>
              <w:t xml:space="preserve"> </w:t>
            </w:r>
            <w:r w:rsidR="00AD0A35">
              <w:rPr>
                <w:lang w:eastAsia="en-US"/>
              </w:rPr>
              <w:t>atsauces uz normatīvajiem aktiem o</w:t>
            </w:r>
            <w:r w:rsidR="00AD0A35" w:rsidRPr="00AD0A35">
              <w:rPr>
                <w:lang w:eastAsia="en-US"/>
              </w:rPr>
              <w:t>bligāt</w:t>
            </w:r>
            <w:r w:rsidR="00AD0A35">
              <w:rPr>
                <w:lang w:eastAsia="en-US"/>
              </w:rPr>
              <w:t>ajām</w:t>
            </w:r>
            <w:r w:rsidR="00AD0A35" w:rsidRPr="00AD0A35">
              <w:rPr>
                <w:lang w:eastAsia="en-US"/>
              </w:rPr>
              <w:t xml:space="preserve"> pārvaldības prasīb</w:t>
            </w:r>
            <w:r w:rsidR="00AD0A35">
              <w:rPr>
                <w:lang w:eastAsia="en-US"/>
              </w:rPr>
              <w:t xml:space="preserve">ām, </w:t>
            </w:r>
            <w:r w:rsidR="00E85507">
              <w:rPr>
                <w:lang w:eastAsia="en-US"/>
              </w:rPr>
              <w:t xml:space="preserve">jo </w:t>
            </w:r>
            <w:r>
              <w:rPr>
                <w:lang w:eastAsia="en-US"/>
              </w:rPr>
              <w:t>spēk</w:t>
            </w:r>
            <w:r w:rsidR="00AD0A35">
              <w:rPr>
                <w:lang w:eastAsia="en-US"/>
              </w:rPr>
              <w:t xml:space="preserve">u ir zaudējuši </w:t>
            </w:r>
            <w:r w:rsidR="00AD0A35" w:rsidRPr="00AD0A35">
              <w:rPr>
                <w:lang w:eastAsia="en-US"/>
              </w:rPr>
              <w:t>Ministru kabineta 2011.gada 16.augusta noteikum</w:t>
            </w:r>
            <w:r w:rsidR="00AD0A35">
              <w:rPr>
                <w:lang w:eastAsia="en-US"/>
              </w:rPr>
              <w:t>i</w:t>
            </w:r>
            <w:r w:rsidR="00AD0A35" w:rsidRPr="00AD0A35">
              <w:rPr>
                <w:lang w:eastAsia="en-US"/>
              </w:rPr>
              <w:t xml:space="preserve"> Nr.650 "Lauksaimniecības dzīvnieku, to ganāmpulku un novietņu reģistrēšanas kārtība un lauksaimniecības dzīvnieku apzīmēšanas kārtība"</w:t>
            </w:r>
            <w:r w:rsidR="00AD0A35">
              <w:rPr>
                <w:lang w:eastAsia="en-US"/>
              </w:rPr>
              <w:t>.</w:t>
            </w:r>
          </w:p>
        </w:tc>
      </w:tr>
      <w:tr w:rsidR="009117F4" w:rsidRPr="00E06138" w:rsidTr="00110153">
        <w:tc>
          <w:tcPr>
            <w:tcW w:w="415" w:type="dxa"/>
          </w:tcPr>
          <w:p w:rsidR="009117F4" w:rsidRPr="00E06138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E06138">
              <w:lastRenderedPageBreak/>
              <w:t>3.</w:t>
            </w:r>
          </w:p>
        </w:tc>
        <w:tc>
          <w:tcPr>
            <w:tcW w:w="2103" w:type="dxa"/>
          </w:tcPr>
          <w:p w:rsidR="009117F4" w:rsidRPr="00E06138" w:rsidRDefault="00110153" w:rsidP="00E06138">
            <w:r>
              <w:t xml:space="preserve">Projekta izstrādē iesaistītās </w:t>
            </w:r>
            <w:r w:rsidR="009117F4" w:rsidRPr="00E06138">
              <w:t>institūcijas</w:t>
            </w:r>
          </w:p>
        </w:tc>
        <w:tc>
          <w:tcPr>
            <w:tcW w:w="6379" w:type="dxa"/>
          </w:tcPr>
          <w:p w:rsidR="009117F4" w:rsidRPr="00E06138" w:rsidRDefault="009117F4" w:rsidP="00E06138">
            <w:pPr>
              <w:jc w:val="both"/>
              <w:rPr>
                <w:bCs/>
                <w:lang w:eastAsia="en-US"/>
              </w:rPr>
            </w:pPr>
            <w:r w:rsidRPr="00E06138">
              <w:rPr>
                <w:lang w:eastAsia="en-US"/>
              </w:rPr>
              <w:t>Zemkopības ministrija</w:t>
            </w:r>
            <w:r w:rsidR="007F2259">
              <w:rPr>
                <w:lang w:eastAsia="en-US"/>
              </w:rPr>
              <w:t>,</w:t>
            </w:r>
            <w:r w:rsidRPr="00E06138">
              <w:rPr>
                <w:lang w:eastAsia="en-US"/>
              </w:rPr>
              <w:t xml:space="preserve"> </w:t>
            </w:r>
            <w:r w:rsidR="00DC5758">
              <w:rPr>
                <w:lang w:eastAsia="en-US"/>
              </w:rPr>
              <w:t>Valsts augu aizsardzības</w:t>
            </w:r>
            <w:r w:rsidR="007F2259">
              <w:rPr>
                <w:lang w:eastAsia="en-US"/>
              </w:rPr>
              <w:t xml:space="preserve"> atbalsta dienests</w:t>
            </w:r>
            <w:r w:rsidR="00E85507">
              <w:rPr>
                <w:lang w:eastAsia="en-US"/>
              </w:rPr>
              <w:t xml:space="preserve"> un</w:t>
            </w:r>
            <w:r w:rsidR="007F2259">
              <w:rPr>
                <w:lang w:eastAsia="en-US"/>
              </w:rPr>
              <w:t xml:space="preserve"> Lauku atbalsta dienests</w:t>
            </w:r>
          </w:p>
        </w:tc>
      </w:tr>
      <w:tr w:rsidR="009117F4" w:rsidRPr="00E06138" w:rsidTr="00110153">
        <w:tc>
          <w:tcPr>
            <w:tcW w:w="415" w:type="dxa"/>
          </w:tcPr>
          <w:p w:rsidR="009117F4" w:rsidRPr="00E06138" w:rsidRDefault="009117F4" w:rsidP="00E06138">
            <w:pPr>
              <w:spacing w:before="100" w:beforeAutospacing="1" w:after="100" w:afterAutospacing="1" w:line="360" w:lineRule="auto"/>
              <w:ind w:firstLine="19"/>
              <w:jc w:val="both"/>
            </w:pPr>
            <w:r w:rsidRPr="00E06138">
              <w:t>4.</w:t>
            </w:r>
          </w:p>
        </w:tc>
        <w:tc>
          <w:tcPr>
            <w:tcW w:w="2103" w:type="dxa"/>
          </w:tcPr>
          <w:p w:rsidR="009117F4" w:rsidRPr="00E06138" w:rsidRDefault="009117F4" w:rsidP="00E06138">
            <w:r w:rsidRPr="00E06138">
              <w:t>Cita informācija</w:t>
            </w:r>
          </w:p>
        </w:tc>
        <w:tc>
          <w:tcPr>
            <w:tcW w:w="6379" w:type="dxa"/>
          </w:tcPr>
          <w:p w:rsidR="009117F4" w:rsidRPr="00E06138" w:rsidRDefault="009117F4" w:rsidP="00E06138">
            <w:pPr>
              <w:spacing w:before="100" w:beforeAutospacing="1" w:after="100" w:afterAutospacing="1" w:line="360" w:lineRule="auto"/>
            </w:pPr>
            <w:r w:rsidRPr="00E06138">
              <w:t>Nav</w:t>
            </w:r>
          </w:p>
        </w:tc>
      </w:tr>
    </w:tbl>
    <w:p w:rsidR="009117F4" w:rsidRPr="00110153" w:rsidRDefault="009117F4" w:rsidP="006B42E1">
      <w:pPr>
        <w:ind w:firstLine="301"/>
        <w:rPr>
          <w:sz w:val="18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702"/>
        <w:gridCol w:w="5733"/>
      </w:tblGrid>
      <w:tr w:rsidR="009117F4" w:rsidRPr="00E06138" w:rsidTr="00E06138">
        <w:trPr>
          <w:trHeight w:val="555"/>
        </w:trPr>
        <w:tc>
          <w:tcPr>
            <w:tcW w:w="5000" w:type="pct"/>
            <w:gridSpan w:val="3"/>
          </w:tcPr>
          <w:p w:rsidR="009117F4" w:rsidRPr="00E06138" w:rsidRDefault="009117F4" w:rsidP="00E06138">
            <w:pPr>
              <w:spacing w:before="100" w:beforeAutospacing="1" w:after="100" w:afterAutospacing="1"/>
              <w:ind w:firstLine="301"/>
              <w:jc w:val="center"/>
              <w:rPr>
                <w:b/>
                <w:bCs/>
              </w:rPr>
            </w:pPr>
            <w:r w:rsidRPr="00E06138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9117F4" w:rsidRPr="00E06138" w:rsidTr="00E06138">
        <w:trPr>
          <w:trHeight w:val="465"/>
        </w:trPr>
        <w:tc>
          <w:tcPr>
            <w:tcW w:w="246" w:type="pct"/>
          </w:tcPr>
          <w:p w:rsidR="009117F4" w:rsidRPr="00E06138" w:rsidRDefault="009117F4" w:rsidP="00E06138">
            <w:r w:rsidRPr="00E06138">
              <w:t>1.</w:t>
            </w:r>
          </w:p>
        </w:tc>
        <w:tc>
          <w:tcPr>
            <w:tcW w:w="1523" w:type="pct"/>
          </w:tcPr>
          <w:p w:rsidR="009117F4" w:rsidRPr="00E06138" w:rsidRDefault="009117F4" w:rsidP="00E06138">
            <w:pPr>
              <w:rPr>
                <w:lang w:eastAsia="en-US"/>
              </w:rPr>
            </w:pPr>
            <w:r w:rsidRPr="00E06138">
              <w:rPr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3231" w:type="pct"/>
          </w:tcPr>
          <w:p w:rsidR="009117F4" w:rsidRPr="00E06138" w:rsidRDefault="00371839" w:rsidP="00A364B1">
            <w:pPr>
              <w:jc w:val="both"/>
            </w:pPr>
            <w:bookmarkStart w:id="2" w:name="n2"/>
            <w:r>
              <w:rPr>
                <w:bCs/>
                <w:lang w:eastAsia="en-US"/>
              </w:rPr>
              <w:t>V</w:t>
            </w:r>
            <w:r w:rsidRPr="00371839">
              <w:rPr>
                <w:bCs/>
                <w:lang w:eastAsia="en-US"/>
              </w:rPr>
              <w:t>ienot</w:t>
            </w:r>
            <w:r>
              <w:rPr>
                <w:bCs/>
                <w:lang w:eastAsia="en-US"/>
              </w:rPr>
              <w:t>ā</w:t>
            </w:r>
            <w:r w:rsidRPr="00371839">
              <w:rPr>
                <w:bCs/>
                <w:lang w:eastAsia="en-US"/>
              </w:rPr>
              <w:t xml:space="preserve"> platības maksājum</w:t>
            </w:r>
            <w:r>
              <w:rPr>
                <w:bCs/>
                <w:lang w:eastAsia="en-US"/>
              </w:rPr>
              <w:t>a</w:t>
            </w:r>
            <w:r w:rsidRPr="00371839">
              <w:rPr>
                <w:bCs/>
                <w:lang w:eastAsia="en-US"/>
              </w:rPr>
              <w:t xml:space="preserve"> pretendenti, k</w:t>
            </w:r>
            <w:r w:rsidR="00E85507">
              <w:rPr>
                <w:bCs/>
                <w:lang w:eastAsia="en-US"/>
              </w:rPr>
              <w:t>as</w:t>
            </w:r>
            <w:r>
              <w:rPr>
                <w:bCs/>
                <w:lang w:eastAsia="en-US"/>
              </w:rPr>
              <w:t xml:space="preserve"> izmanto savas aramzemes platības </w:t>
            </w:r>
            <w:r w:rsidR="000C1D81">
              <w:rPr>
                <w:lang w:eastAsia="en-US"/>
              </w:rPr>
              <w:t>zālāju</w:t>
            </w:r>
            <w:r w:rsidRPr="00371839">
              <w:rPr>
                <w:lang w:eastAsia="en-US"/>
              </w:rPr>
              <w:t xml:space="preserve"> sēklaudzēšanai</w:t>
            </w:r>
            <w:bookmarkEnd w:id="2"/>
            <w:r w:rsidR="00C72789">
              <w:rPr>
                <w:lang w:eastAsia="en-US"/>
              </w:rPr>
              <w:t xml:space="preserve"> un</w:t>
            </w:r>
            <w:r>
              <w:rPr>
                <w:lang w:eastAsia="en-US"/>
              </w:rPr>
              <w:t xml:space="preserve"> kaņepju audzēšanai</w:t>
            </w:r>
          </w:p>
        </w:tc>
      </w:tr>
      <w:tr w:rsidR="009117F4" w:rsidRPr="00E06138" w:rsidTr="00E06138">
        <w:trPr>
          <w:trHeight w:val="510"/>
        </w:trPr>
        <w:tc>
          <w:tcPr>
            <w:tcW w:w="246" w:type="pct"/>
          </w:tcPr>
          <w:p w:rsidR="009117F4" w:rsidRPr="00E06138" w:rsidRDefault="009117F4" w:rsidP="00E06138">
            <w:r w:rsidRPr="00E06138">
              <w:t>2.</w:t>
            </w:r>
          </w:p>
        </w:tc>
        <w:tc>
          <w:tcPr>
            <w:tcW w:w="1523" w:type="pct"/>
          </w:tcPr>
          <w:p w:rsidR="009117F4" w:rsidRPr="00E06138" w:rsidRDefault="009117F4" w:rsidP="00E06138">
            <w:pPr>
              <w:rPr>
                <w:lang w:eastAsia="en-US"/>
              </w:rPr>
            </w:pPr>
            <w:r w:rsidRPr="00E06138">
              <w:rPr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3231" w:type="pct"/>
          </w:tcPr>
          <w:p w:rsidR="000C1D81" w:rsidRPr="00E06138" w:rsidRDefault="009C2D35" w:rsidP="00091E42">
            <w:pPr>
              <w:jc w:val="both"/>
            </w:pPr>
            <w:r>
              <w:rPr>
                <w:lang w:eastAsia="en-US"/>
              </w:rPr>
              <w:t>Projekts šo jomu neskar</w:t>
            </w:r>
            <w:r w:rsidR="00E85507">
              <w:rPr>
                <w:lang w:eastAsia="en-US"/>
              </w:rPr>
              <w:t>.</w:t>
            </w:r>
          </w:p>
        </w:tc>
      </w:tr>
      <w:tr w:rsidR="009117F4" w:rsidRPr="00E06138" w:rsidTr="00E06138">
        <w:trPr>
          <w:trHeight w:val="510"/>
        </w:trPr>
        <w:tc>
          <w:tcPr>
            <w:tcW w:w="246" w:type="pct"/>
          </w:tcPr>
          <w:p w:rsidR="009117F4" w:rsidRPr="00E06138" w:rsidRDefault="009117F4" w:rsidP="00E06138">
            <w:r w:rsidRPr="00E06138">
              <w:t>3.</w:t>
            </w:r>
          </w:p>
        </w:tc>
        <w:tc>
          <w:tcPr>
            <w:tcW w:w="1523" w:type="pct"/>
          </w:tcPr>
          <w:p w:rsidR="009117F4" w:rsidRPr="00E06138" w:rsidRDefault="009117F4" w:rsidP="00E06138">
            <w:pPr>
              <w:rPr>
                <w:lang w:eastAsia="en-US"/>
              </w:rPr>
            </w:pPr>
            <w:r w:rsidRPr="00E06138">
              <w:rPr>
                <w:lang w:eastAsia="en-US"/>
              </w:rPr>
              <w:t>Administratīvo izmaksu monetārs novērtējums</w:t>
            </w:r>
          </w:p>
        </w:tc>
        <w:tc>
          <w:tcPr>
            <w:tcW w:w="3231" w:type="pct"/>
          </w:tcPr>
          <w:p w:rsidR="009117F4" w:rsidRPr="00E06138" w:rsidRDefault="009C2D35" w:rsidP="00371839">
            <w:pPr>
              <w:jc w:val="both"/>
            </w:pPr>
            <w:bookmarkStart w:id="3" w:name="p-468669"/>
            <w:bookmarkStart w:id="4" w:name="p24"/>
            <w:bookmarkEnd w:id="3"/>
            <w:bookmarkEnd w:id="4"/>
            <w:r>
              <w:rPr>
                <w:lang w:eastAsia="en-US"/>
              </w:rPr>
              <w:t>Projekts šo jomu neskar</w:t>
            </w:r>
            <w:r w:rsidR="00E85507">
              <w:rPr>
                <w:lang w:eastAsia="en-US"/>
              </w:rPr>
              <w:t>.</w:t>
            </w:r>
          </w:p>
        </w:tc>
      </w:tr>
      <w:tr w:rsidR="009117F4" w:rsidRPr="00E06138" w:rsidTr="00E06138">
        <w:trPr>
          <w:trHeight w:val="345"/>
        </w:trPr>
        <w:tc>
          <w:tcPr>
            <w:tcW w:w="246" w:type="pct"/>
          </w:tcPr>
          <w:p w:rsidR="009117F4" w:rsidRPr="00E06138" w:rsidRDefault="009117F4" w:rsidP="00E06138">
            <w:r w:rsidRPr="00E06138">
              <w:t>4.</w:t>
            </w:r>
          </w:p>
        </w:tc>
        <w:tc>
          <w:tcPr>
            <w:tcW w:w="1523" w:type="pct"/>
          </w:tcPr>
          <w:p w:rsidR="009117F4" w:rsidRPr="00E06138" w:rsidRDefault="009117F4" w:rsidP="00E06138">
            <w:pPr>
              <w:rPr>
                <w:lang w:eastAsia="en-US"/>
              </w:rPr>
            </w:pPr>
            <w:r w:rsidRPr="00E06138">
              <w:rPr>
                <w:lang w:eastAsia="en-US"/>
              </w:rPr>
              <w:t>Cita informācija</w:t>
            </w:r>
          </w:p>
        </w:tc>
        <w:tc>
          <w:tcPr>
            <w:tcW w:w="3231" w:type="pct"/>
          </w:tcPr>
          <w:p w:rsidR="009117F4" w:rsidRPr="00E06138" w:rsidRDefault="009C2D35" w:rsidP="00E06138">
            <w:pPr>
              <w:spacing w:before="100" w:beforeAutospacing="1" w:after="100" w:afterAutospacing="1" w:line="360" w:lineRule="auto"/>
            </w:pPr>
            <w:r>
              <w:t>Nav</w:t>
            </w:r>
          </w:p>
        </w:tc>
      </w:tr>
    </w:tbl>
    <w:p w:rsidR="009117F4" w:rsidRPr="00110153" w:rsidRDefault="009117F4" w:rsidP="006B42E1">
      <w:pPr>
        <w:ind w:firstLine="301"/>
        <w:rPr>
          <w:sz w:val="18"/>
        </w:rPr>
      </w:pPr>
      <w:r w:rsidRPr="00110153">
        <w:rPr>
          <w:sz w:val="18"/>
        </w:rPr>
        <w:t> </w:t>
      </w:r>
    </w:p>
    <w:p w:rsidR="009117F4" w:rsidRDefault="009117F4" w:rsidP="000C1D81">
      <w:r w:rsidRPr="000E5392">
        <w:t> </w:t>
      </w:r>
      <w:r w:rsidR="009C2D35">
        <w:t xml:space="preserve">Anotācijas </w:t>
      </w:r>
      <w:r w:rsidR="00371839" w:rsidRPr="00371839">
        <w:t xml:space="preserve">III un </w:t>
      </w:r>
      <w:r w:rsidR="00943E4E">
        <w:t>I</w:t>
      </w:r>
      <w:r w:rsidR="00371839" w:rsidRPr="00371839">
        <w:t xml:space="preserve">V </w:t>
      </w:r>
      <w:r>
        <w:t>sadaļa – projekts š</w:t>
      </w:r>
      <w:r w:rsidR="009C2D35">
        <w:t>īs</w:t>
      </w:r>
      <w:r>
        <w:t xml:space="preserve"> jom</w:t>
      </w:r>
      <w:r w:rsidR="009C2D35">
        <w:t>as</w:t>
      </w:r>
      <w:r>
        <w:t xml:space="preserve"> neskar.</w:t>
      </w:r>
    </w:p>
    <w:p w:rsidR="00943E4E" w:rsidRPr="00943E4E" w:rsidRDefault="00943E4E" w:rsidP="00943E4E">
      <w:r w:rsidRPr="00943E4E">
        <w:t> 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529"/>
        <w:gridCol w:w="5907"/>
      </w:tblGrid>
      <w:tr w:rsidR="00943E4E" w:rsidRPr="00943E4E" w:rsidTr="00BF7AE0">
        <w:tc>
          <w:tcPr>
            <w:tcW w:w="5000" w:type="pct"/>
            <w:gridSpan w:val="3"/>
          </w:tcPr>
          <w:p w:rsidR="00943E4E" w:rsidRPr="00943E4E" w:rsidRDefault="00943E4E" w:rsidP="00943E4E">
            <w:pPr>
              <w:rPr>
                <w:b/>
                <w:bCs/>
              </w:rPr>
            </w:pPr>
            <w:r w:rsidRPr="00943E4E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943E4E" w:rsidRPr="00943E4E" w:rsidTr="00BF7AE0">
        <w:tc>
          <w:tcPr>
            <w:tcW w:w="246" w:type="pct"/>
          </w:tcPr>
          <w:p w:rsidR="00943E4E" w:rsidRPr="00943E4E" w:rsidRDefault="00943E4E" w:rsidP="00943E4E">
            <w:r w:rsidRPr="00943E4E">
              <w:t>1.</w:t>
            </w:r>
          </w:p>
        </w:tc>
        <w:tc>
          <w:tcPr>
            <w:tcW w:w="1425" w:type="pct"/>
          </w:tcPr>
          <w:p w:rsidR="00943E4E" w:rsidRPr="00943E4E" w:rsidRDefault="00943E4E" w:rsidP="00943E4E">
            <w:r w:rsidRPr="00943E4E">
              <w:t>Saistības pret Eiropas Savienību</w:t>
            </w:r>
          </w:p>
        </w:tc>
        <w:tc>
          <w:tcPr>
            <w:tcW w:w="3329" w:type="pct"/>
          </w:tcPr>
          <w:p w:rsidR="00943E4E" w:rsidRPr="00943E4E" w:rsidRDefault="00C72789" w:rsidP="0029537C">
            <w:pPr>
              <w:jc w:val="both"/>
            </w:pPr>
            <w:r>
              <w:t>N</w:t>
            </w:r>
            <w:r w:rsidR="00943E4E" w:rsidRPr="00943E4E">
              <w:t>oteiku</w:t>
            </w:r>
            <w:r>
              <w:t>mu projekts</w:t>
            </w:r>
            <w:r w:rsidR="00943E4E" w:rsidRPr="00943E4E">
              <w:t xml:space="preserve"> ir sagatavoti, pamatojoties uz </w:t>
            </w:r>
            <w:r w:rsidR="00897874" w:rsidRPr="00897874">
              <w:t xml:space="preserve">Padomes 2009.gada 19.janvāra Regulu Nr. 73/2009 (EK), ar ko paredz kopējus noteikumus tiešā atbalsta shēmām saskaņā ar kopējo lauksaimniecības politiku un izveido dažas atbalsta shēmas lauksaimniekiem, kā arī groza Regulas Nr. 1290/2005, (EK) Nr.247/2006, (EK) Nr.378/2007 un atceļ Regulu (EK) Nr. 1782/2003 </w:t>
            </w:r>
            <w:r w:rsidR="00897874">
              <w:t xml:space="preserve">un </w:t>
            </w:r>
            <w:r w:rsidR="0029537C">
              <w:t xml:space="preserve">Komisijas 2009. gada 29. oktobra Regulu (EK) Nr. 1120/2009, ar ko nosaka sīki izstrādātus noteikumus par to, kā īstenot vienotā maksājuma shēmu, kura paredzēta III sadaļā Padomes Regulā (EK) Nr. 73/2009, ar ko paredz kopējus noteikumus tiešā atbalsta shēmām saskaņā ar </w:t>
            </w:r>
            <w:r w:rsidR="0029537C">
              <w:lastRenderedPageBreak/>
              <w:t xml:space="preserve">kopējo lauksaimniecības politiku un izveido dažas atbalsta shēmas lauksaimniekiem (turpmāk </w:t>
            </w:r>
            <w:r>
              <w:t>–</w:t>
            </w:r>
            <w:r w:rsidR="0029537C">
              <w:t xml:space="preserve"> </w:t>
            </w:r>
            <w:r w:rsidR="0029537C">
              <w:rPr>
                <w:bCs/>
              </w:rPr>
              <w:t>Regula</w:t>
            </w:r>
            <w:r w:rsidR="00943E4E" w:rsidRPr="00943E4E">
              <w:rPr>
                <w:bCs/>
              </w:rPr>
              <w:t xml:space="preserve"> Nr.</w:t>
            </w:r>
            <w:r w:rsidR="00897874" w:rsidRPr="00897874">
              <w:rPr>
                <w:bCs/>
              </w:rPr>
              <w:t xml:space="preserve"> 1120/2009</w:t>
            </w:r>
            <w:r w:rsidR="0029537C">
              <w:rPr>
                <w:bCs/>
              </w:rPr>
              <w:t>)</w:t>
            </w:r>
            <w:r w:rsidR="00897874">
              <w:rPr>
                <w:bCs/>
              </w:rPr>
              <w:t>.</w:t>
            </w:r>
          </w:p>
        </w:tc>
      </w:tr>
      <w:tr w:rsidR="00943E4E" w:rsidRPr="00943E4E" w:rsidTr="00BF7AE0">
        <w:tc>
          <w:tcPr>
            <w:tcW w:w="246" w:type="pct"/>
          </w:tcPr>
          <w:p w:rsidR="00943E4E" w:rsidRPr="00943E4E" w:rsidRDefault="00943E4E" w:rsidP="00943E4E">
            <w:r w:rsidRPr="00943E4E">
              <w:lastRenderedPageBreak/>
              <w:t>2.</w:t>
            </w:r>
          </w:p>
        </w:tc>
        <w:tc>
          <w:tcPr>
            <w:tcW w:w="1425" w:type="pct"/>
          </w:tcPr>
          <w:p w:rsidR="00943E4E" w:rsidRPr="00943E4E" w:rsidRDefault="00943E4E" w:rsidP="00943E4E">
            <w:r w:rsidRPr="00943E4E">
              <w:t>Citas starptautiskās saistības</w:t>
            </w:r>
          </w:p>
        </w:tc>
        <w:tc>
          <w:tcPr>
            <w:tcW w:w="3329" w:type="pct"/>
          </w:tcPr>
          <w:p w:rsidR="00943E4E" w:rsidRPr="00943E4E" w:rsidRDefault="00943E4E" w:rsidP="00943E4E">
            <w:r w:rsidRPr="00943E4E">
              <w:t>Nav</w:t>
            </w:r>
          </w:p>
        </w:tc>
      </w:tr>
      <w:tr w:rsidR="00943E4E" w:rsidRPr="00943E4E" w:rsidTr="00BF7AE0">
        <w:tc>
          <w:tcPr>
            <w:tcW w:w="246" w:type="pct"/>
          </w:tcPr>
          <w:p w:rsidR="00943E4E" w:rsidRPr="00943E4E" w:rsidRDefault="00943E4E" w:rsidP="00943E4E">
            <w:r w:rsidRPr="00943E4E">
              <w:t>3.</w:t>
            </w:r>
          </w:p>
        </w:tc>
        <w:tc>
          <w:tcPr>
            <w:tcW w:w="1425" w:type="pct"/>
          </w:tcPr>
          <w:p w:rsidR="00943E4E" w:rsidRPr="00943E4E" w:rsidRDefault="00943E4E" w:rsidP="00943E4E">
            <w:r w:rsidRPr="00943E4E">
              <w:t>Cita informācija</w:t>
            </w:r>
          </w:p>
        </w:tc>
        <w:tc>
          <w:tcPr>
            <w:tcW w:w="3329" w:type="pct"/>
          </w:tcPr>
          <w:p w:rsidR="00943E4E" w:rsidRPr="00943E4E" w:rsidRDefault="00943E4E" w:rsidP="00943E4E">
            <w:r w:rsidRPr="00943E4E">
              <w:t>Nav</w:t>
            </w:r>
          </w:p>
        </w:tc>
      </w:tr>
    </w:tbl>
    <w:p w:rsidR="00943E4E" w:rsidRPr="00943E4E" w:rsidRDefault="00943E4E" w:rsidP="00943E4E">
      <w:r w:rsidRPr="00943E4E">
        <w:t> 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134"/>
        <w:gridCol w:w="1418"/>
        <w:gridCol w:w="596"/>
        <w:gridCol w:w="2497"/>
      </w:tblGrid>
      <w:tr w:rsidR="00943E4E" w:rsidRPr="00943E4E" w:rsidTr="00BF7AE0">
        <w:tc>
          <w:tcPr>
            <w:tcW w:w="5000" w:type="pct"/>
            <w:gridSpan w:val="5"/>
          </w:tcPr>
          <w:p w:rsidR="00943E4E" w:rsidRPr="00943E4E" w:rsidRDefault="00943E4E" w:rsidP="00943E4E">
            <w:pPr>
              <w:rPr>
                <w:b/>
                <w:bCs/>
              </w:rPr>
            </w:pPr>
            <w:r w:rsidRPr="00943E4E">
              <w:rPr>
                <w:b/>
                <w:bCs/>
              </w:rPr>
              <w:t>1.tabula</w:t>
            </w:r>
            <w:r w:rsidRPr="00943E4E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943E4E" w:rsidRPr="00943E4E" w:rsidTr="0081762F">
        <w:tc>
          <w:tcPr>
            <w:tcW w:w="1819" w:type="pct"/>
          </w:tcPr>
          <w:p w:rsidR="00943E4E" w:rsidRPr="00943E4E" w:rsidRDefault="00943E4E" w:rsidP="00943E4E">
            <w:r w:rsidRPr="00943E4E">
              <w:t>Attiecīgā ES tiesību akta datums, numurs un nosaukums</w:t>
            </w:r>
          </w:p>
        </w:tc>
        <w:tc>
          <w:tcPr>
            <w:tcW w:w="3181" w:type="pct"/>
            <w:gridSpan w:val="4"/>
          </w:tcPr>
          <w:p w:rsidR="00943E4E" w:rsidRPr="00943E4E" w:rsidRDefault="00943E4E" w:rsidP="00943E4E">
            <w:r w:rsidRPr="00943E4E">
              <w:rPr>
                <w:bCs/>
              </w:rPr>
              <w:t>Regula Nr.</w:t>
            </w:r>
            <w:r w:rsidR="00897874" w:rsidRPr="00897874">
              <w:t xml:space="preserve"> </w:t>
            </w:r>
            <w:r w:rsidR="00897874" w:rsidRPr="00897874">
              <w:rPr>
                <w:bCs/>
              </w:rPr>
              <w:t xml:space="preserve">1120/2009 </w:t>
            </w:r>
          </w:p>
        </w:tc>
      </w:tr>
      <w:tr w:rsidR="00943E4E" w:rsidRPr="00943E4E" w:rsidTr="0081762F">
        <w:tc>
          <w:tcPr>
            <w:tcW w:w="1819" w:type="pct"/>
          </w:tcPr>
          <w:p w:rsidR="00943E4E" w:rsidRPr="00943E4E" w:rsidRDefault="00943E4E" w:rsidP="00943E4E">
            <w:r w:rsidRPr="00943E4E">
              <w:t>A</w:t>
            </w:r>
          </w:p>
        </w:tc>
        <w:tc>
          <w:tcPr>
            <w:tcW w:w="639" w:type="pct"/>
          </w:tcPr>
          <w:p w:rsidR="00943E4E" w:rsidRPr="00943E4E" w:rsidRDefault="00943E4E" w:rsidP="00943E4E">
            <w:r w:rsidRPr="00943E4E">
              <w:t>B</w:t>
            </w:r>
          </w:p>
        </w:tc>
        <w:tc>
          <w:tcPr>
            <w:tcW w:w="1135" w:type="pct"/>
            <w:gridSpan w:val="2"/>
          </w:tcPr>
          <w:p w:rsidR="00943E4E" w:rsidRPr="00943E4E" w:rsidRDefault="00943E4E" w:rsidP="00943E4E">
            <w:r w:rsidRPr="00943E4E">
              <w:t>C</w:t>
            </w:r>
          </w:p>
        </w:tc>
        <w:tc>
          <w:tcPr>
            <w:tcW w:w="1407" w:type="pct"/>
          </w:tcPr>
          <w:p w:rsidR="00943E4E" w:rsidRPr="00943E4E" w:rsidRDefault="00943E4E" w:rsidP="00943E4E">
            <w:r w:rsidRPr="00943E4E">
              <w:t>D</w:t>
            </w:r>
          </w:p>
        </w:tc>
      </w:tr>
      <w:tr w:rsidR="00943E4E" w:rsidRPr="00943E4E" w:rsidTr="0081762F">
        <w:tc>
          <w:tcPr>
            <w:tcW w:w="1819" w:type="pct"/>
          </w:tcPr>
          <w:p w:rsidR="00943E4E" w:rsidRPr="00943E4E" w:rsidRDefault="00943E4E" w:rsidP="00897874">
            <w:r w:rsidRPr="00943E4E">
              <w:t>Regulas Nr.</w:t>
            </w:r>
            <w:r>
              <w:t>1120</w:t>
            </w:r>
            <w:r w:rsidRPr="00943E4E">
              <w:t>/20</w:t>
            </w:r>
            <w:r>
              <w:t>09</w:t>
            </w:r>
            <w:r w:rsidRPr="00943E4E">
              <w:t xml:space="preserve"> 1</w:t>
            </w:r>
            <w:r w:rsidR="00897874">
              <w:t>0</w:t>
            </w:r>
            <w:r w:rsidRPr="00943E4E">
              <w:t>. pants</w:t>
            </w:r>
          </w:p>
        </w:tc>
        <w:tc>
          <w:tcPr>
            <w:tcW w:w="639" w:type="pct"/>
          </w:tcPr>
          <w:p w:rsidR="00943E4E" w:rsidRPr="00943E4E" w:rsidRDefault="00943E4E" w:rsidP="00943E4E">
            <w:r>
              <w:t>3</w:t>
            </w:r>
            <w:r w:rsidRPr="00943E4E">
              <w:t>. punkts</w:t>
            </w:r>
          </w:p>
        </w:tc>
        <w:tc>
          <w:tcPr>
            <w:tcW w:w="1135" w:type="pct"/>
            <w:gridSpan w:val="2"/>
          </w:tcPr>
          <w:p w:rsidR="00943E4E" w:rsidRPr="00943E4E" w:rsidRDefault="00943E4E" w:rsidP="00943E4E">
            <w:r w:rsidRPr="00943E4E">
              <w:t>Ieviests pilnībā</w:t>
            </w:r>
          </w:p>
        </w:tc>
        <w:tc>
          <w:tcPr>
            <w:tcW w:w="1407" w:type="pct"/>
          </w:tcPr>
          <w:p w:rsidR="00943E4E" w:rsidRPr="00943E4E" w:rsidRDefault="00943E4E" w:rsidP="00943E4E">
            <w:r w:rsidRPr="00943E4E">
              <w:t>Neparedz stingrākas prasības kā ES tiesību normas.</w:t>
            </w:r>
          </w:p>
        </w:tc>
      </w:tr>
      <w:tr w:rsidR="00943E4E" w:rsidRPr="00943E4E" w:rsidTr="0081762F">
        <w:tc>
          <w:tcPr>
            <w:tcW w:w="1819" w:type="pct"/>
          </w:tcPr>
          <w:p w:rsidR="00943E4E" w:rsidRPr="00943E4E" w:rsidRDefault="00943E4E" w:rsidP="00943E4E">
            <w:r w:rsidRPr="00943E4E">
              <w:t>Kā ir izmantota ES tiesību aktā paredzētā rīcības brīvība dalībvalstij pārņemt vai ieviest noteiktas ES tiesību akta normas?</w:t>
            </w:r>
            <w:r w:rsidRPr="00943E4E">
              <w:br/>
              <w:t>Kādēļ?</w:t>
            </w:r>
          </w:p>
        </w:tc>
        <w:tc>
          <w:tcPr>
            <w:tcW w:w="3181" w:type="pct"/>
            <w:gridSpan w:val="4"/>
            <w:shd w:val="clear" w:color="auto" w:fill="auto"/>
          </w:tcPr>
          <w:p w:rsidR="00943E4E" w:rsidRPr="00943E4E" w:rsidRDefault="00943E4E" w:rsidP="00AE5AA6">
            <w:pPr>
              <w:jc w:val="both"/>
            </w:pPr>
            <w:r w:rsidRPr="00943E4E">
              <w:t>Regulas Nr.</w:t>
            </w:r>
            <w:r w:rsidR="00897874" w:rsidRPr="00897874">
              <w:rPr>
                <w:bCs/>
              </w:rPr>
              <w:t xml:space="preserve"> 1120/2009 </w:t>
            </w:r>
            <w:r w:rsidR="00AE5AA6" w:rsidRPr="00943E4E">
              <w:t>1</w:t>
            </w:r>
            <w:r w:rsidR="00AE5AA6">
              <w:t>0</w:t>
            </w:r>
            <w:r w:rsidR="00AE5AA6" w:rsidRPr="00943E4E">
              <w:t>. pant</w:t>
            </w:r>
            <w:r w:rsidR="00AE5AA6">
              <w:t>a</w:t>
            </w:r>
            <w:r w:rsidR="00AE5AA6" w:rsidRPr="00943E4E">
              <w:t xml:space="preserve"> </w:t>
            </w:r>
            <w:r w:rsidRPr="00943E4E">
              <w:t>nosacījumi ir jāievieš katrā dalībvalstī, lai piešķirtu</w:t>
            </w:r>
            <w:r w:rsidR="00897874">
              <w:t xml:space="preserve"> vienoto platības maksājumu par tām platībām, kurās tiek audzētas kaņepes</w:t>
            </w:r>
            <w:r w:rsidRPr="00943E4E">
              <w:t>.</w:t>
            </w:r>
          </w:p>
          <w:p w:rsidR="00943E4E" w:rsidRPr="00943E4E" w:rsidRDefault="00943E4E" w:rsidP="00AE5AA6">
            <w:pPr>
              <w:jc w:val="both"/>
            </w:pPr>
            <w:r w:rsidRPr="00943E4E">
              <w:t xml:space="preserve">Regulas </w:t>
            </w:r>
            <w:r w:rsidR="00897874" w:rsidRPr="00943E4E">
              <w:t>Nr.</w:t>
            </w:r>
            <w:r w:rsidR="00897874">
              <w:t>1120</w:t>
            </w:r>
            <w:r w:rsidR="00897874" w:rsidRPr="00943E4E">
              <w:t>/20</w:t>
            </w:r>
            <w:r w:rsidR="00897874">
              <w:t>09</w:t>
            </w:r>
            <w:r w:rsidR="00897874" w:rsidRPr="00943E4E">
              <w:t xml:space="preserve"> 1</w:t>
            </w:r>
            <w:r w:rsidR="00897874">
              <w:t>0</w:t>
            </w:r>
            <w:r w:rsidR="00897874" w:rsidRPr="00943E4E">
              <w:t xml:space="preserve">. pants </w:t>
            </w:r>
            <w:r w:rsidR="00897874">
              <w:t>n</w:t>
            </w:r>
            <w:r w:rsidRPr="00943E4E">
              <w:t>eparedz rīcības brīvību.</w:t>
            </w:r>
          </w:p>
        </w:tc>
      </w:tr>
      <w:tr w:rsidR="00943E4E" w:rsidRPr="00943E4E" w:rsidTr="0081762F">
        <w:tc>
          <w:tcPr>
            <w:tcW w:w="1819" w:type="pct"/>
          </w:tcPr>
          <w:p w:rsidR="00943E4E" w:rsidRPr="00943E4E" w:rsidRDefault="00943E4E" w:rsidP="00943E4E">
            <w:r w:rsidRPr="00943E4E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181" w:type="pct"/>
            <w:gridSpan w:val="4"/>
          </w:tcPr>
          <w:p w:rsidR="00943E4E" w:rsidRPr="00943E4E" w:rsidRDefault="00943E4E" w:rsidP="00943E4E">
            <w:r w:rsidRPr="00943E4E">
              <w:t>Projekts šo jomu neskar.</w:t>
            </w:r>
          </w:p>
          <w:p w:rsidR="00943E4E" w:rsidRPr="00943E4E" w:rsidRDefault="00943E4E" w:rsidP="00943E4E"/>
          <w:p w:rsidR="00943E4E" w:rsidRPr="00943E4E" w:rsidRDefault="00943E4E" w:rsidP="00943E4E"/>
          <w:p w:rsidR="00943E4E" w:rsidRPr="00943E4E" w:rsidRDefault="00943E4E" w:rsidP="00943E4E"/>
          <w:p w:rsidR="00943E4E" w:rsidRPr="00943E4E" w:rsidRDefault="00943E4E" w:rsidP="00943E4E"/>
        </w:tc>
      </w:tr>
      <w:tr w:rsidR="00943E4E" w:rsidRPr="00943E4E" w:rsidTr="0081762F">
        <w:tc>
          <w:tcPr>
            <w:tcW w:w="1819" w:type="pct"/>
          </w:tcPr>
          <w:p w:rsidR="00943E4E" w:rsidRPr="00943E4E" w:rsidRDefault="00943E4E" w:rsidP="00943E4E">
            <w:r w:rsidRPr="00943E4E">
              <w:t>Cita informācija</w:t>
            </w:r>
          </w:p>
        </w:tc>
        <w:tc>
          <w:tcPr>
            <w:tcW w:w="3181" w:type="pct"/>
            <w:gridSpan w:val="4"/>
          </w:tcPr>
          <w:p w:rsidR="00943E4E" w:rsidRPr="00943E4E" w:rsidRDefault="00943E4E" w:rsidP="00943E4E">
            <w:r w:rsidRPr="00943E4E">
              <w:t>Nav.</w:t>
            </w:r>
          </w:p>
        </w:tc>
      </w:tr>
      <w:tr w:rsidR="00943E4E" w:rsidRPr="00943E4E" w:rsidTr="00BF7AE0">
        <w:tc>
          <w:tcPr>
            <w:tcW w:w="5000" w:type="pct"/>
            <w:gridSpan w:val="5"/>
          </w:tcPr>
          <w:p w:rsidR="00943E4E" w:rsidRPr="00943E4E" w:rsidRDefault="00943E4E" w:rsidP="00943E4E">
            <w:pPr>
              <w:rPr>
                <w:b/>
                <w:bCs/>
              </w:rPr>
            </w:pPr>
            <w:r w:rsidRPr="00943E4E">
              <w:rPr>
                <w:b/>
                <w:bCs/>
              </w:rPr>
              <w:t>2.tabula</w:t>
            </w:r>
            <w:r w:rsidRPr="00943E4E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43E4E">
              <w:rPr>
                <w:b/>
                <w:bCs/>
              </w:rPr>
              <w:br/>
              <w:t>Pasākumi šo saistību izpildei</w:t>
            </w:r>
          </w:p>
        </w:tc>
      </w:tr>
      <w:tr w:rsidR="00943E4E" w:rsidRPr="00943E4E" w:rsidTr="00BF7AE0">
        <w:tc>
          <w:tcPr>
            <w:tcW w:w="1819" w:type="pct"/>
          </w:tcPr>
          <w:p w:rsidR="00943E4E" w:rsidRPr="00943E4E" w:rsidRDefault="00943E4E" w:rsidP="00943E4E">
            <w:r w:rsidRPr="00943E4E"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181" w:type="pct"/>
            <w:gridSpan w:val="4"/>
          </w:tcPr>
          <w:p w:rsidR="00943E4E" w:rsidRPr="00943E4E" w:rsidRDefault="00943E4E" w:rsidP="00943E4E">
            <w:r w:rsidRPr="00943E4E">
              <w:t>Nav</w:t>
            </w:r>
          </w:p>
        </w:tc>
      </w:tr>
      <w:tr w:rsidR="00943E4E" w:rsidRPr="00943E4E" w:rsidTr="00943E4E">
        <w:tc>
          <w:tcPr>
            <w:tcW w:w="1819" w:type="pct"/>
          </w:tcPr>
          <w:p w:rsidR="00943E4E" w:rsidRPr="00943E4E" w:rsidRDefault="00943E4E" w:rsidP="00943E4E">
            <w:r w:rsidRPr="00943E4E">
              <w:t>A</w:t>
            </w:r>
          </w:p>
        </w:tc>
        <w:tc>
          <w:tcPr>
            <w:tcW w:w="1438" w:type="pct"/>
            <w:gridSpan w:val="2"/>
          </w:tcPr>
          <w:p w:rsidR="00943E4E" w:rsidRPr="00943E4E" w:rsidRDefault="00943E4E" w:rsidP="00943E4E">
            <w:r w:rsidRPr="00943E4E">
              <w:t>B</w:t>
            </w:r>
          </w:p>
        </w:tc>
        <w:tc>
          <w:tcPr>
            <w:tcW w:w="1743" w:type="pct"/>
            <w:gridSpan w:val="2"/>
          </w:tcPr>
          <w:p w:rsidR="00943E4E" w:rsidRPr="00943E4E" w:rsidRDefault="00943E4E" w:rsidP="00943E4E">
            <w:r w:rsidRPr="00943E4E">
              <w:t>C</w:t>
            </w:r>
          </w:p>
        </w:tc>
      </w:tr>
      <w:tr w:rsidR="00943E4E" w:rsidRPr="00943E4E" w:rsidTr="00943E4E">
        <w:tc>
          <w:tcPr>
            <w:tcW w:w="1819" w:type="pct"/>
          </w:tcPr>
          <w:p w:rsidR="00943E4E" w:rsidRPr="00943E4E" w:rsidRDefault="00943E4E" w:rsidP="00943E4E">
            <w:r w:rsidRPr="00943E4E">
              <w:t>-</w:t>
            </w:r>
          </w:p>
        </w:tc>
        <w:tc>
          <w:tcPr>
            <w:tcW w:w="1438" w:type="pct"/>
            <w:gridSpan w:val="2"/>
          </w:tcPr>
          <w:p w:rsidR="00943E4E" w:rsidRPr="00943E4E" w:rsidRDefault="00943E4E" w:rsidP="00943E4E">
            <w:r w:rsidRPr="00943E4E">
              <w:t>-</w:t>
            </w:r>
          </w:p>
        </w:tc>
        <w:tc>
          <w:tcPr>
            <w:tcW w:w="1743" w:type="pct"/>
            <w:gridSpan w:val="2"/>
          </w:tcPr>
          <w:p w:rsidR="00943E4E" w:rsidRPr="00943E4E" w:rsidRDefault="00943E4E" w:rsidP="00943E4E">
            <w:r w:rsidRPr="00943E4E">
              <w:t>-</w:t>
            </w:r>
          </w:p>
        </w:tc>
      </w:tr>
      <w:tr w:rsidR="00943E4E" w:rsidRPr="00943E4E" w:rsidTr="00943E4E">
        <w:tc>
          <w:tcPr>
            <w:tcW w:w="1819" w:type="pct"/>
          </w:tcPr>
          <w:p w:rsidR="00943E4E" w:rsidRPr="00943E4E" w:rsidRDefault="00943E4E" w:rsidP="00943E4E"/>
        </w:tc>
        <w:tc>
          <w:tcPr>
            <w:tcW w:w="1438" w:type="pct"/>
            <w:gridSpan w:val="2"/>
          </w:tcPr>
          <w:p w:rsidR="00943E4E" w:rsidRPr="00943E4E" w:rsidRDefault="00943E4E" w:rsidP="00943E4E"/>
        </w:tc>
        <w:tc>
          <w:tcPr>
            <w:tcW w:w="1743" w:type="pct"/>
            <w:gridSpan w:val="2"/>
          </w:tcPr>
          <w:p w:rsidR="00943E4E" w:rsidRPr="00943E4E" w:rsidRDefault="00943E4E" w:rsidP="00943E4E"/>
        </w:tc>
      </w:tr>
      <w:tr w:rsidR="00943E4E" w:rsidRPr="00943E4E" w:rsidTr="00BF7AE0">
        <w:tc>
          <w:tcPr>
            <w:tcW w:w="1819" w:type="pct"/>
          </w:tcPr>
          <w:p w:rsidR="00943E4E" w:rsidRPr="00943E4E" w:rsidRDefault="00943E4E" w:rsidP="00943E4E">
            <w:r w:rsidRPr="00943E4E">
              <w:t>Vai starptautiskajā dokumentā paredzētās saistības nav pretrunā ar jau esošajām Latvijas Republikas starptautiskajām saistībām</w:t>
            </w:r>
          </w:p>
        </w:tc>
        <w:tc>
          <w:tcPr>
            <w:tcW w:w="3181" w:type="pct"/>
            <w:gridSpan w:val="4"/>
          </w:tcPr>
          <w:p w:rsidR="00943E4E" w:rsidRPr="00943E4E" w:rsidRDefault="00943E4E" w:rsidP="00943E4E">
            <w:r w:rsidRPr="00943E4E">
              <w:t>Projekts šo jomu neskar.</w:t>
            </w:r>
          </w:p>
        </w:tc>
      </w:tr>
      <w:tr w:rsidR="00943E4E" w:rsidRPr="00943E4E" w:rsidTr="00BF7AE0">
        <w:tc>
          <w:tcPr>
            <w:tcW w:w="1819" w:type="pct"/>
          </w:tcPr>
          <w:p w:rsidR="00943E4E" w:rsidRPr="00943E4E" w:rsidRDefault="00943E4E" w:rsidP="00943E4E">
            <w:r w:rsidRPr="00943E4E">
              <w:lastRenderedPageBreak/>
              <w:t>Cita informācija</w:t>
            </w:r>
          </w:p>
        </w:tc>
        <w:tc>
          <w:tcPr>
            <w:tcW w:w="3181" w:type="pct"/>
            <w:gridSpan w:val="4"/>
          </w:tcPr>
          <w:p w:rsidR="00943E4E" w:rsidRPr="00943E4E" w:rsidRDefault="00943E4E" w:rsidP="00943E4E">
            <w:r w:rsidRPr="00943E4E">
              <w:t>Nav.</w:t>
            </w:r>
          </w:p>
        </w:tc>
      </w:tr>
    </w:tbl>
    <w:p w:rsidR="00943E4E" w:rsidRPr="00943E4E" w:rsidRDefault="00943E4E" w:rsidP="00943E4E">
      <w:r w:rsidRPr="00943E4E">
        <w:t> </w:t>
      </w:r>
    </w:p>
    <w:p w:rsidR="00943E4E" w:rsidRPr="00943E4E" w:rsidRDefault="00943E4E" w:rsidP="00943E4E">
      <w:r w:rsidRPr="00943E4E">
        <w:t>Anotācijas VI sadaļa – projekts šīs jomas neskar.</w:t>
      </w:r>
    </w:p>
    <w:p w:rsidR="009117F4" w:rsidRPr="00110153" w:rsidRDefault="009117F4" w:rsidP="006B42E1">
      <w:pPr>
        <w:ind w:firstLine="300"/>
        <w:rPr>
          <w:sz w:val="14"/>
        </w:rPr>
      </w:pPr>
      <w:r w:rsidRPr="00110153">
        <w:rPr>
          <w:sz w:val="18"/>
        </w:rPr>
        <w:t> 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"/>
        <w:gridCol w:w="3315"/>
        <w:gridCol w:w="5123"/>
      </w:tblGrid>
      <w:tr w:rsidR="009117F4" w:rsidRPr="00E06138" w:rsidTr="00E06138">
        <w:trPr>
          <w:trHeight w:val="375"/>
        </w:trPr>
        <w:tc>
          <w:tcPr>
            <w:tcW w:w="5000" w:type="pct"/>
            <w:gridSpan w:val="3"/>
          </w:tcPr>
          <w:p w:rsidR="009117F4" w:rsidRPr="00E06138" w:rsidRDefault="009117F4" w:rsidP="00E06138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E06138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117F4" w:rsidRPr="00E06138" w:rsidTr="00E06138">
        <w:trPr>
          <w:trHeight w:val="420"/>
        </w:trPr>
        <w:tc>
          <w:tcPr>
            <w:tcW w:w="245" w:type="pct"/>
          </w:tcPr>
          <w:p w:rsidR="009117F4" w:rsidRPr="00E06138" w:rsidRDefault="009117F4" w:rsidP="00E06138">
            <w:r w:rsidRPr="00E06138">
              <w:t>1.</w:t>
            </w:r>
          </w:p>
        </w:tc>
        <w:tc>
          <w:tcPr>
            <w:tcW w:w="1868" w:type="pct"/>
          </w:tcPr>
          <w:p w:rsidR="009117F4" w:rsidRPr="00E06138" w:rsidRDefault="009117F4" w:rsidP="00E06138">
            <w:r w:rsidRPr="00E06138">
              <w:t>Projekta izpildē iesaistītās institūcijas</w:t>
            </w:r>
          </w:p>
        </w:tc>
        <w:tc>
          <w:tcPr>
            <w:tcW w:w="2887" w:type="pct"/>
          </w:tcPr>
          <w:p w:rsidR="009117F4" w:rsidRPr="00E06138" w:rsidRDefault="004C259C" w:rsidP="004C259C">
            <w:pPr>
              <w:jc w:val="both"/>
              <w:rPr>
                <w:lang w:eastAsia="en-US"/>
              </w:rPr>
            </w:pPr>
            <w:r w:rsidRPr="004C259C">
              <w:rPr>
                <w:lang w:eastAsia="en-US"/>
              </w:rPr>
              <w:t xml:space="preserve">Valsts augu aizsardzības </w:t>
            </w:r>
            <w:r w:rsidR="009117F4">
              <w:rPr>
                <w:lang w:eastAsia="en-US"/>
              </w:rPr>
              <w:t>dienests</w:t>
            </w:r>
            <w:r w:rsidR="00E85507">
              <w:rPr>
                <w:lang w:eastAsia="en-US"/>
              </w:rPr>
              <w:t xml:space="preserve"> un</w:t>
            </w:r>
            <w:r w:rsidR="002F4C88">
              <w:rPr>
                <w:lang w:eastAsia="en-US"/>
              </w:rPr>
              <w:t xml:space="preserve"> Lauku atbalsta dienests</w:t>
            </w:r>
          </w:p>
        </w:tc>
      </w:tr>
      <w:tr w:rsidR="009117F4" w:rsidRPr="00E06138" w:rsidTr="00E06138">
        <w:trPr>
          <w:trHeight w:val="450"/>
        </w:trPr>
        <w:tc>
          <w:tcPr>
            <w:tcW w:w="245" w:type="pct"/>
          </w:tcPr>
          <w:p w:rsidR="009117F4" w:rsidRPr="00E06138" w:rsidRDefault="009117F4" w:rsidP="00E06138">
            <w:r w:rsidRPr="00E06138">
              <w:t>2.</w:t>
            </w:r>
          </w:p>
        </w:tc>
        <w:tc>
          <w:tcPr>
            <w:tcW w:w="1868" w:type="pct"/>
          </w:tcPr>
          <w:p w:rsidR="009117F4" w:rsidRPr="00E06138" w:rsidRDefault="009117F4" w:rsidP="00E06138">
            <w:r w:rsidRPr="00E06138"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87" w:type="pct"/>
          </w:tcPr>
          <w:p w:rsidR="009117F4" w:rsidRPr="00E06138" w:rsidRDefault="009C2D35" w:rsidP="00E06138">
            <w:r>
              <w:rPr>
                <w:lang w:eastAsia="en-US"/>
              </w:rPr>
              <w:t>Projekts šo jomu neskar</w:t>
            </w:r>
            <w:r w:rsidR="00E85507">
              <w:rPr>
                <w:lang w:eastAsia="en-US"/>
              </w:rPr>
              <w:t>.</w:t>
            </w:r>
          </w:p>
        </w:tc>
      </w:tr>
      <w:tr w:rsidR="009117F4" w:rsidRPr="00E06138" w:rsidTr="00E06138">
        <w:trPr>
          <w:trHeight w:val="390"/>
        </w:trPr>
        <w:tc>
          <w:tcPr>
            <w:tcW w:w="245" w:type="pct"/>
          </w:tcPr>
          <w:p w:rsidR="009117F4" w:rsidRPr="00E06138" w:rsidRDefault="009117F4" w:rsidP="00E06138">
            <w:r w:rsidRPr="00E06138">
              <w:t>3.</w:t>
            </w:r>
          </w:p>
        </w:tc>
        <w:tc>
          <w:tcPr>
            <w:tcW w:w="1868" w:type="pct"/>
          </w:tcPr>
          <w:p w:rsidR="009117F4" w:rsidRPr="00E06138" w:rsidRDefault="009117F4" w:rsidP="00E06138">
            <w:r w:rsidRPr="00E06138">
              <w:t>Cita informācija</w:t>
            </w:r>
          </w:p>
        </w:tc>
        <w:tc>
          <w:tcPr>
            <w:tcW w:w="2887" w:type="pct"/>
          </w:tcPr>
          <w:p w:rsidR="009117F4" w:rsidRPr="00E06138" w:rsidRDefault="009C2D35" w:rsidP="00E06138">
            <w:pPr>
              <w:spacing w:before="100" w:beforeAutospacing="1" w:after="100" w:afterAutospacing="1" w:line="360" w:lineRule="auto"/>
            </w:pPr>
            <w:r>
              <w:t>Nav</w:t>
            </w:r>
          </w:p>
        </w:tc>
      </w:tr>
    </w:tbl>
    <w:p w:rsidR="00110153" w:rsidRDefault="00110153" w:rsidP="00232AA2">
      <w:pPr>
        <w:spacing w:after="160" w:line="259" w:lineRule="auto"/>
        <w:rPr>
          <w:lang w:eastAsia="en-US"/>
        </w:rPr>
      </w:pPr>
    </w:p>
    <w:p w:rsidR="00110153" w:rsidRPr="00110153" w:rsidRDefault="00110153" w:rsidP="00232AA2">
      <w:pPr>
        <w:spacing w:after="160" w:line="259" w:lineRule="auto"/>
        <w:rPr>
          <w:sz w:val="20"/>
          <w:lang w:eastAsia="en-US"/>
        </w:rPr>
      </w:pPr>
    </w:p>
    <w:p w:rsidR="009117F4" w:rsidRPr="000E5392" w:rsidRDefault="009117F4" w:rsidP="00400F6B">
      <w:pPr>
        <w:ind w:firstLine="720"/>
        <w:jc w:val="both"/>
        <w:rPr>
          <w:sz w:val="28"/>
          <w:szCs w:val="28"/>
          <w:lang w:eastAsia="en-US"/>
        </w:rPr>
      </w:pPr>
      <w:r w:rsidRPr="000E5392">
        <w:rPr>
          <w:sz w:val="28"/>
          <w:szCs w:val="28"/>
          <w:lang w:eastAsia="en-US"/>
        </w:rPr>
        <w:t xml:space="preserve">Zemkopības ministrs </w:t>
      </w:r>
      <w:r w:rsidRPr="000E5392">
        <w:rPr>
          <w:sz w:val="28"/>
          <w:szCs w:val="28"/>
          <w:lang w:eastAsia="en-US"/>
        </w:rPr>
        <w:tab/>
      </w:r>
      <w:r w:rsidRPr="000E5392">
        <w:rPr>
          <w:sz w:val="28"/>
          <w:szCs w:val="28"/>
          <w:lang w:eastAsia="en-US"/>
        </w:rPr>
        <w:tab/>
      </w:r>
      <w:r w:rsidRPr="000E5392">
        <w:rPr>
          <w:sz w:val="28"/>
          <w:szCs w:val="28"/>
          <w:lang w:eastAsia="en-US"/>
        </w:rPr>
        <w:tab/>
      </w:r>
      <w:r w:rsidRPr="000E5392">
        <w:rPr>
          <w:sz w:val="28"/>
          <w:szCs w:val="28"/>
          <w:lang w:eastAsia="en-US"/>
        </w:rPr>
        <w:tab/>
      </w:r>
      <w:r w:rsidRPr="000E5392">
        <w:rPr>
          <w:sz w:val="28"/>
          <w:szCs w:val="28"/>
          <w:lang w:eastAsia="en-US"/>
        </w:rPr>
        <w:tab/>
      </w:r>
      <w:r w:rsidR="00400F6B">
        <w:rPr>
          <w:sz w:val="28"/>
          <w:szCs w:val="28"/>
          <w:lang w:eastAsia="en-US"/>
        </w:rPr>
        <w:tab/>
      </w:r>
      <w:r w:rsidRPr="000E5392">
        <w:rPr>
          <w:sz w:val="28"/>
          <w:szCs w:val="28"/>
          <w:lang w:eastAsia="en-US"/>
        </w:rPr>
        <w:t>J.Dūklavs</w:t>
      </w:r>
    </w:p>
    <w:p w:rsidR="00110153" w:rsidRDefault="00110153" w:rsidP="00232AA2">
      <w:pPr>
        <w:jc w:val="both"/>
        <w:rPr>
          <w:sz w:val="20"/>
          <w:szCs w:val="20"/>
          <w:lang w:eastAsia="en-US"/>
        </w:rPr>
      </w:pPr>
      <w:bookmarkStart w:id="5" w:name="OLE_LINK5"/>
      <w:bookmarkStart w:id="6" w:name="OLE_LINK6"/>
    </w:p>
    <w:p w:rsidR="00371839" w:rsidRDefault="00371839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6825B4" w:rsidP="006825B4">
      <w:pPr>
        <w:tabs>
          <w:tab w:val="left" w:pos="1454"/>
        </w:tabs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352976" w:rsidRDefault="00352976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AD04FA" w:rsidRDefault="00AD04FA" w:rsidP="00232AA2">
      <w:pPr>
        <w:jc w:val="both"/>
        <w:rPr>
          <w:sz w:val="20"/>
          <w:szCs w:val="20"/>
          <w:lang w:eastAsia="en-US"/>
        </w:rPr>
      </w:pPr>
    </w:p>
    <w:p w:rsidR="00371839" w:rsidRDefault="00371839" w:rsidP="00232AA2">
      <w:pPr>
        <w:jc w:val="both"/>
        <w:rPr>
          <w:sz w:val="20"/>
          <w:szCs w:val="20"/>
          <w:lang w:eastAsia="en-US"/>
        </w:rPr>
      </w:pPr>
    </w:p>
    <w:p w:rsidR="00371839" w:rsidRDefault="00371839" w:rsidP="00232AA2">
      <w:pPr>
        <w:jc w:val="both"/>
        <w:rPr>
          <w:sz w:val="20"/>
          <w:szCs w:val="20"/>
          <w:lang w:eastAsia="en-US"/>
        </w:rPr>
      </w:pPr>
    </w:p>
    <w:p w:rsidR="005D3DB2" w:rsidRDefault="005D3DB2" w:rsidP="00232AA2">
      <w:pPr>
        <w:jc w:val="both"/>
        <w:rPr>
          <w:sz w:val="20"/>
          <w:szCs w:val="20"/>
          <w:lang w:eastAsia="en-US"/>
        </w:rPr>
      </w:pPr>
    </w:p>
    <w:bookmarkEnd w:id="5"/>
    <w:bookmarkEnd w:id="6"/>
    <w:p w:rsidR="00400F6B" w:rsidRDefault="00400F6B" w:rsidP="00AD04FA">
      <w:pPr>
        <w:rPr>
          <w:sz w:val="20"/>
          <w:szCs w:val="20"/>
        </w:rPr>
      </w:pPr>
      <w:r>
        <w:rPr>
          <w:sz w:val="20"/>
          <w:szCs w:val="20"/>
        </w:rPr>
        <w:t>2014.08.18. 15:41</w:t>
      </w:r>
    </w:p>
    <w:p w:rsidR="00CC3E9A" w:rsidRDefault="00CC3E9A" w:rsidP="00AD04FA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912</w:t>
      </w:r>
      <w:r>
        <w:rPr>
          <w:sz w:val="20"/>
          <w:szCs w:val="20"/>
        </w:rPr>
        <w:fldChar w:fldCharType="end"/>
      </w:r>
      <w:bookmarkStart w:id="7" w:name="_GoBack"/>
      <w:bookmarkEnd w:id="7"/>
    </w:p>
    <w:p w:rsidR="00AD04FA" w:rsidRDefault="00AD04FA" w:rsidP="00AD04FA">
      <w:pPr>
        <w:rPr>
          <w:sz w:val="20"/>
          <w:szCs w:val="20"/>
        </w:rPr>
      </w:pPr>
      <w:r>
        <w:rPr>
          <w:sz w:val="20"/>
          <w:szCs w:val="20"/>
        </w:rPr>
        <w:t>Orlovskis</w:t>
      </w:r>
    </w:p>
    <w:p w:rsidR="00AD04FA" w:rsidRDefault="00AD04FA" w:rsidP="00AD04FA">
      <w:pPr>
        <w:jc w:val="both"/>
      </w:pPr>
      <w:r>
        <w:rPr>
          <w:sz w:val="20"/>
          <w:szCs w:val="20"/>
        </w:rPr>
        <w:t>67027370, Andris.Orlovskis@</w:t>
      </w:r>
      <w:smartTag w:uri="urn:schemas-microsoft-com:office:smarttags" w:element="PersonName">
        <w:r>
          <w:rPr>
            <w:sz w:val="20"/>
            <w:szCs w:val="20"/>
          </w:rPr>
          <w:t>zm</w:t>
        </w:r>
      </w:smartTag>
      <w:r>
        <w:rPr>
          <w:sz w:val="20"/>
          <w:szCs w:val="20"/>
        </w:rPr>
        <w:t>.gov.lv</w:t>
      </w:r>
    </w:p>
    <w:p w:rsidR="009117F4" w:rsidRPr="000E5392" w:rsidRDefault="009117F4" w:rsidP="00AD04FA">
      <w:pPr>
        <w:jc w:val="both"/>
        <w:rPr>
          <w:lang w:eastAsia="en-US"/>
        </w:rPr>
      </w:pPr>
    </w:p>
    <w:sectPr w:rsidR="009117F4" w:rsidRPr="000E5392" w:rsidSect="00400F6B">
      <w:headerReference w:type="default" r:id="rId7"/>
      <w:footerReference w:type="default" r:id="rId8"/>
      <w:footerReference w:type="first" r:id="rId9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F6" w:rsidRDefault="000649F6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0649F6" w:rsidRDefault="000649F6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EUAlbertin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F4" w:rsidRPr="006B42E1" w:rsidRDefault="00CC3E9A" w:rsidP="00B96AD4">
    <w:pPr>
      <w:pStyle w:val="Kjene"/>
      <w:jc w:val="both"/>
      <w:rPr>
        <w:rFonts w:ascii="Times New Roman" w:hAnsi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B379D1" w:rsidRPr="00B379D1">
      <w:rPr>
        <w:rFonts w:ascii="Times New Roman" w:hAnsi="Times New Roman"/>
        <w:noProof/>
        <w:sz w:val="20"/>
        <w:szCs w:val="20"/>
      </w:rPr>
      <w:t>ZMAnot_130814</w:t>
    </w:r>
    <w:r>
      <w:rPr>
        <w:rFonts w:ascii="Times New Roman" w:hAnsi="Times New Roman"/>
        <w:noProof/>
        <w:sz w:val="20"/>
        <w:szCs w:val="20"/>
      </w:rPr>
      <w:fldChar w:fldCharType="end"/>
    </w:r>
    <w:r w:rsidR="009117F4" w:rsidRPr="006B42E1">
      <w:rPr>
        <w:rFonts w:ascii="Times New Roman" w:hAnsi="Times New Roman"/>
        <w:sz w:val="20"/>
      </w:rPr>
      <w:t xml:space="preserve">; </w:t>
    </w:r>
    <w:r w:rsidR="00032CCB" w:rsidRPr="00032CCB">
      <w:rPr>
        <w:rFonts w:ascii="Times New Roman" w:hAnsi="Times New Roman"/>
        <w:sz w:val="20"/>
      </w:rPr>
      <w:t>Grozījumi Ministru kabineta 2013.gada 12.marta noteikumos Nr.139 „Kārtība, kādā tiek piešķirts valsts un Eiropas Savienības atbalsts lauksaimniecībai tiešā atbalsta shēmu ietvaros”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6B" w:rsidRPr="006B42E1" w:rsidRDefault="00400F6B" w:rsidP="00400F6B">
    <w:pPr>
      <w:pStyle w:val="Kjene"/>
      <w:jc w:val="both"/>
      <w:rPr>
        <w:rFonts w:ascii="Times New Roman" w:hAnsi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Pr="00B379D1">
      <w:rPr>
        <w:rFonts w:ascii="Times New Roman" w:hAnsi="Times New Roman"/>
        <w:noProof/>
        <w:sz w:val="20"/>
        <w:szCs w:val="20"/>
      </w:rPr>
      <w:t>ZMAnot_130814</w:t>
    </w:r>
    <w:r>
      <w:rPr>
        <w:rFonts w:ascii="Times New Roman" w:hAnsi="Times New Roman"/>
        <w:noProof/>
        <w:sz w:val="20"/>
        <w:szCs w:val="20"/>
      </w:rPr>
      <w:fldChar w:fldCharType="end"/>
    </w:r>
    <w:r w:rsidRPr="006B42E1">
      <w:rPr>
        <w:rFonts w:ascii="Times New Roman" w:hAnsi="Times New Roman"/>
        <w:sz w:val="20"/>
      </w:rPr>
      <w:t xml:space="preserve">; </w:t>
    </w:r>
    <w:r w:rsidRPr="00032CCB">
      <w:rPr>
        <w:rFonts w:ascii="Times New Roman" w:hAnsi="Times New Roman"/>
        <w:sz w:val="20"/>
      </w:rPr>
      <w:t xml:space="preserve">Grozījumi Ministru kabineta </w:t>
    </w:r>
    <w:proofErr w:type="gramStart"/>
    <w:r w:rsidRPr="00032CCB">
      <w:rPr>
        <w:rFonts w:ascii="Times New Roman" w:hAnsi="Times New Roman"/>
        <w:sz w:val="20"/>
      </w:rPr>
      <w:t>2013.gada</w:t>
    </w:r>
    <w:proofErr w:type="gramEnd"/>
    <w:r w:rsidRPr="00032CCB">
      <w:rPr>
        <w:rFonts w:ascii="Times New Roman" w:hAnsi="Times New Roman"/>
        <w:sz w:val="20"/>
      </w:rPr>
      <w:t xml:space="preserve"> 12.marta noteikumos Nr.139 „Kārtība, kādā tiek piešķirts valsts un Eiropas Savienības atbalsts lauksaimniecībai tiešā atbalsta shēmu ietvaros”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F6" w:rsidRDefault="000649F6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0649F6" w:rsidRDefault="000649F6" w:rsidP="006B42E1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F4" w:rsidRPr="006B42E1" w:rsidRDefault="009117F4" w:rsidP="006B42E1">
    <w:pPr>
      <w:pStyle w:val="Galvene"/>
      <w:jc w:val="center"/>
      <w:rPr>
        <w:rFonts w:ascii="Times New Roman" w:hAnsi="Times New Roman"/>
        <w:sz w:val="24"/>
        <w:szCs w:val="24"/>
      </w:rPr>
    </w:pPr>
    <w:r w:rsidRPr="006B42E1">
      <w:rPr>
        <w:rFonts w:ascii="Times New Roman" w:hAnsi="Times New Roman"/>
        <w:sz w:val="24"/>
        <w:szCs w:val="24"/>
      </w:rPr>
      <w:fldChar w:fldCharType="begin"/>
    </w:r>
    <w:r w:rsidRPr="006B42E1">
      <w:rPr>
        <w:rFonts w:ascii="Times New Roman" w:hAnsi="Times New Roman"/>
        <w:sz w:val="24"/>
        <w:szCs w:val="24"/>
      </w:rPr>
      <w:instrText>PAGE   \* MERGEFORMAT</w:instrText>
    </w:r>
    <w:r w:rsidRPr="006B42E1">
      <w:rPr>
        <w:rFonts w:ascii="Times New Roman" w:hAnsi="Times New Roman"/>
        <w:sz w:val="24"/>
        <w:szCs w:val="24"/>
      </w:rPr>
      <w:fldChar w:fldCharType="separate"/>
    </w:r>
    <w:r w:rsidR="00CC3E9A">
      <w:rPr>
        <w:rFonts w:ascii="Times New Roman" w:hAnsi="Times New Roman"/>
        <w:noProof/>
        <w:sz w:val="24"/>
        <w:szCs w:val="24"/>
      </w:rPr>
      <w:t>2</w:t>
    </w:r>
    <w:r w:rsidRPr="006B42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DF0"/>
    <w:multiLevelType w:val="hybridMultilevel"/>
    <w:tmpl w:val="576E9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1B49"/>
    <w:multiLevelType w:val="hybridMultilevel"/>
    <w:tmpl w:val="45B8FFF2"/>
    <w:lvl w:ilvl="0" w:tplc="920664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C55A11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DE1666"/>
    <w:multiLevelType w:val="hybridMultilevel"/>
    <w:tmpl w:val="B636DFCA"/>
    <w:lvl w:ilvl="0" w:tplc="CF7C7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95DFE"/>
    <w:multiLevelType w:val="hybridMultilevel"/>
    <w:tmpl w:val="507AB2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27091D"/>
    <w:multiLevelType w:val="hybridMultilevel"/>
    <w:tmpl w:val="507AB2E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6D5A41"/>
    <w:multiLevelType w:val="hybridMultilevel"/>
    <w:tmpl w:val="DFA07D88"/>
    <w:lvl w:ilvl="0" w:tplc="72B054AA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7046C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629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8C3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2BAD4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122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BACB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C661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0A36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E1"/>
    <w:rsid w:val="00032CCB"/>
    <w:rsid w:val="00033E73"/>
    <w:rsid w:val="000440CD"/>
    <w:rsid w:val="000454C9"/>
    <w:rsid w:val="000504C9"/>
    <w:rsid w:val="00063D28"/>
    <w:rsid w:val="000649F6"/>
    <w:rsid w:val="000801E3"/>
    <w:rsid w:val="00091E42"/>
    <w:rsid w:val="000A5E3C"/>
    <w:rsid w:val="000C0408"/>
    <w:rsid w:val="000C1D81"/>
    <w:rsid w:val="000C3050"/>
    <w:rsid w:val="000E5392"/>
    <w:rsid w:val="000F442A"/>
    <w:rsid w:val="000F6C06"/>
    <w:rsid w:val="000F7756"/>
    <w:rsid w:val="00110153"/>
    <w:rsid w:val="00115B9E"/>
    <w:rsid w:val="001166CE"/>
    <w:rsid w:val="001175B7"/>
    <w:rsid w:val="001221B8"/>
    <w:rsid w:val="001543E8"/>
    <w:rsid w:val="00155754"/>
    <w:rsid w:val="001569AB"/>
    <w:rsid w:val="00187981"/>
    <w:rsid w:val="002046BC"/>
    <w:rsid w:val="00207BD9"/>
    <w:rsid w:val="00217B23"/>
    <w:rsid w:val="00232AA2"/>
    <w:rsid w:val="00234811"/>
    <w:rsid w:val="002407C0"/>
    <w:rsid w:val="00242542"/>
    <w:rsid w:val="0024414A"/>
    <w:rsid w:val="00282674"/>
    <w:rsid w:val="00286AD9"/>
    <w:rsid w:val="002878F6"/>
    <w:rsid w:val="0029537C"/>
    <w:rsid w:val="002A73B3"/>
    <w:rsid w:val="002D34BA"/>
    <w:rsid w:val="002D38B2"/>
    <w:rsid w:val="002F4C88"/>
    <w:rsid w:val="003057DA"/>
    <w:rsid w:val="00352976"/>
    <w:rsid w:val="00365593"/>
    <w:rsid w:val="00371839"/>
    <w:rsid w:val="003A6DEF"/>
    <w:rsid w:val="00400F6B"/>
    <w:rsid w:val="00406D01"/>
    <w:rsid w:val="00407235"/>
    <w:rsid w:val="00410FA7"/>
    <w:rsid w:val="00411EAD"/>
    <w:rsid w:val="00414C2F"/>
    <w:rsid w:val="00475F87"/>
    <w:rsid w:val="004976CD"/>
    <w:rsid w:val="004A1446"/>
    <w:rsid w:val="004A64C6"/>
    <w:rsid w:val="004C259C"/>
    <w:rsid w:val="004E78FE"/>
    <w:rsid w:val="004F698B"/>
    <w:rsid w:val="00507389"/>
    <w:rsid w:val="0053269A"/>
    <w:rsid w:val="00537069"/>
    <w:rsid w:val="00584B97"/>
    <w:rsid w:val="005A7131"/>
    <w:rsid w:val="005D378D"/>
    <w:rsid w:val="005D3DB2"/>
    <w:rsid w:val="005D3E62"/>
    <w:rsid w:val="005D5A78"/>
    <w:rsid w:val="0060161B"/>
    <w:rsid w:val="00615D84"/>
    <w:rsid w:val="00636649"/>
    <w:rsid w:val="00640D7A"/>
    <w:rsid w:val="00652835"/>
    <w:rsid w:val="006825B4"/>
    <w:rsid w:val="006837FD"/>
    <w:rsid w:val="00694786"/>
    <w:rsid w:val="00695CA2"/>
    <w:rsid w:val="006B42E1"/>
    <w:rsid w:val="006E63EB"/>
    <w:rsid w:val="006F7F35"/>
    <w:rsid w:val="00712137"/>
    <w:rsid w:val="007131DB"/>
    <w:rsid w:val="00713973"/>
    <w:rsid w:val="007214B3"/>
    <w:rsid w:val="00747171"/>
    <w:rsid w:val="00756595"/>
    <w:rsid w:val="007A6285"/>
    <w:rsid w:val="007E5913"/>
    <w:rsid w:val="007F2259"/>
    <w:rsid w:val="007F4058"/>
    <w:rsid w:val="0081762F"/>
    <w:rsid w:val="00844242"/>
    <w:rsid w:val="00860EE4"/>
    <w:rsid w:val="00872F1F"/>
    <w:rsid w:val="0087347E"/>
    <w:rsid w:val="00897874"/>
    <w:rsid w:val="008E11FB"/>
    <w:rsid w:val="008E5AF8"/>
    <w:rsid w:val="008F0704"/>
    <w:rsid w:val="009117F4"/>
    <w:rsid w:val="00916218"/>
    <w:rsid w:val="00927AD8"/>
    <w:rsid w:val="009313EC"/>
    <w:rsid w:val="00943E4E"/>
    <w:rsid w:val="009519C6"/>
    <w:rsid w:val="00955F30"/>
    <w:rsid w:val="009656B0"/>
    <w:rsid w:val="00986D2E"/>
    <w:rsid w:val="00993017"/>
    <w:rsid w:val="009B13DB"/>
    <w:rsid w:val="009C0C91"/>
    <w:rsid w:val="009C2D35"/>
    <w:rsid w:val="009C769E"/>
    <w:rsid w:val="009E130B"/>
    <w:rsid w:val="009F2315"/>
    <w:rsid w:val="009F55ED"/>
    <w:rsid w:val="00A14FFA"/>
    <w:rsid w:val="00A23590"/>
    <w:rsid w:val="00A364B1"/>
    <w:rsid w:val="00A403C0"/>
    <w:rsid w:val="00A50B78"/>
    <w:rsid w:val="00A52144"/>
    <w:rsid w:val="00A71AD1"/>
    <w:rsid w:val="00A9015D"/>
    <w:rsid w:val="00A9468D"/>
    <w:rsid w:val="00AD04FA"/>
    <w:rsid w:val="00AD0A35"/>
    <w:rsid w:val="00AE5AA6"/>
    <w:rsid w:val="00B06D15"/>
    <w:rsid w:val="00B242F3"/>
    <w:rsid w:val="00B27603"/>
    <w:rsid w:val="00B379D1"/>
    <w:rsid w:val="00B63D37"/>
    <w:rsid w:val="00B96AD4"/>
    <w:rsid w:val="00BC2483"/>
    <w:rsid w:val="00C20A0E"/>
    <w:rsid w:val="00C43D6F"/>
    <w:rsid w:val="00C72789"/>
    <w:rsid w:val="00C771E8"/>
    <w:rsid w:val="00C80105"/>
    <w:rsid w:val="00C80D34"/>
    <w:rsid w:val="00CC22CD"/>
    <w:rsid w:val="00CC3E9A"/>
    <w:rsid w:val="00CD62E9"/>
    <w:rsid w:val="00D124D2"/>
    <w:rsid w:val="00D47335"/>
    <w:rsid w:val="00D53344"/>
    <w:rsid w:val="00D5623C"/>
    <w:rsid w:val="00D57959"/>
    <w:rsid w:val="00D71DD5"/>
    <w:rsid w:val="00D73309"/>
    <w:rsid w:val="00D93092"/>
    <w:rsid w:val="00D93AB5"/>
    <w:rsid w:val="00D94886"/>
    <w:rsid w:val="00D9493C"/>
    <w:rsid w:val="00DC5758"/>
    <w:rsid w:val="00E02A4F"/>
    <w:rsid w:val="00E06138"/>
    <w:rsid w:val="00E2575D"/>
    <w:rsid w:val="00E27AF0"/>
    <w:rsid w:val="00E424D5"/>
    <w:rsid w:val="00E67821"/>
    <w:rsid w:val="00E85507"/>
    <w:rsid w:val="00E9256A"/>
    <w:rsid w:val="00E952EC"/>
    <w:rsid w:val="00EB27A2"/>
    <w:rsid w:val="00EB3F83"/>
    <w:rsid w:val="00ED1EA4"/>
    <w:rsid w:val="00EE576A"/>
    <w:rsid w:val="00EF06E9"/>
    <w:rsid w:val="00F23FFF"/>
    <w:rsid w:val="00F75912"/>
    <w:rsid w:val="00F86000"/>
    <w:rsid w:val="00FC12B3"/>
    <w:rsid w:val="00FC3030"/>
    <w:rsid w:val="00FC6B2F"/>
    <w:rsid w:val="00FD3369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3AF1FB0F-1441-452E-BB45-4E1C8670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5A78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410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F23FFF"/>
    <w:pPr>
      <w:keepNext/>
      <w:keepLines/>
      <w:spacing w:before="200" w:line="259" w:lineRule="auto"/>
      <w:outlineLvl w:val="3"/>
    </w:pPr>
    <w:rPr>
      <w:rFonts w:ascii="Calibri Light" w:hAnsi="Calibri Light"/>
      <w:b/>
      <w:bCs/>
      <w:i/>
      <w:iCs/>
      <w:color w:val="5B9BD5"/>
      <w:sz w:val="22"/>
      <w:szCs w:val="22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232AA2"/>
    <w:pPr>
      <w:suppressAutoHyphens/>
      <w:spacing w:before="240" w:after="60"/>
      <w:outlineLvl w:val="4"/>
    </w:pPr>
    <w:rPr>
      <w:b/>
      <w:bCs/>
      <w:i/>
      <w:iCs/>
      <w:kern w:val="1"/>
      <w:sz w:val="26"/>
      <w:szCs w:val="26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link w:val="Virsraksts4"/>
    <w:uiPriority w:val="99"/>
    <w:semiHidden/>
    <w:locked/>
    <w:rsid w:val="00F23FFF"/>
    <w:rPr>
      <w:rFonts w:ascii="Calibri Light" w:hAnsi="Calibri Light" w:cs="Times New Roman"/>
      <w:b/>
      <w:bCs/>
      <w:i/>
      <w:iCs/>
      <w:color w:val="5B9BD5"/>
    </w:rPr>
  </w:style>
  <w:style w:type="character" w:customStyle="1" w:styleId="Virsraksts5Rakstz">
    <w:name w:val="Virsraksts 5 Rakstz."/>
    <w:link w:val="Virsraksts5"/>
    <w:uiPriority w:val="99"/>
    <w:locked/>
    <w:rsid w:val="00232AA2"/>
    <w:rPr>
      <w:rFonts w:ascii="Times New Roman" w:hAnsi="Times New Roman" w:cs="Times New Roman"/>
      <w:b/>
      <w:bCs/>
      <w:i/>
      <w:iCs/>
      <w:kern w:val="1"/>
      <w:sz w:val="26"/>
      <w:szCs w:val="26"/>
      <w:lang w:eastAsia="ar-SA" w:bidi="ar-SA"/>
    </w:rPr>
  </w:style>
  <w:style w:type="paragraph" w:customStyle="1" w:styleId="labojumupamats1">
    <w:name w:val="labojumu_pamats1"/>
    <w:basedOn w:val="Parasts"/>
    <w:uiPriority w:val="99"/>
    <w:rsid w:val="006B42E1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Galvene">
    <w:name w:val="header"/>
    <w:basedOn w:val="Parasts"/>
    <w:link w:val="GalveneRakstz"/>
    <w:uiPriority w:val="99"/>
    <w:rsid w:val="006B42E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link w:val="Galvene"/>
    <w:uiPriority w:val="99"/>
    <w:locked/>
    <w:rsid w:val="006B42E1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B42E1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jeneRakstz">
    <w:name w:val="Kājene Rakstz."/>
    <w:link w:val="Kjene"/>
    <w:uiPriority w:val="99"/>
    <w:locked/>
    <w:rsid w:val="006B42E1"/>
    <w:rPr>
      <w:rFonts w:cs="Times New Roman"/>
    </w:rPr>
  </w:style>
  <w:style w:type="table" w:styleId="Reatabula">
    <w:name w:val="Table Grid"/>
    <w:basedOn w:val="Parastatabula"/>
    <w:uiPriority w:val="99"/>
    <w:rsid w:val="00EE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99"/>
    <w:qFormat/>
    <w:rsid w:val="00EB3F83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main1">
    <w:name w:val="main1"/>
    <w:uiPriority w:val="99"/>
    <w:rsid w:val="006837FD"/>
    <w:rPr>
      <w:rFonts w:ascii="Verdana" w:hAnsi="Verdana" w:cs="Times New Roman"/>
      <w:color w:val="333333"/>
      <w:sz w:val="17"/>
      <w:szCs w:val="17"/>
    </w:rPr>
  </w:style>
  <w:style w:type="paragraph" w:customStyle="1" w:styleId="tv2131">
    <w:name w:val="tv2131"/>
    <w:basedOn w:val="Parasts"/>
    <w:uiPriority w:val="99"/>
    <w:rsid w:val="006837FD"/>
    <w:pPr>
      <w:spacing w:line="360" w:lineRule="auto"/>
      <w:ind w:firstLine="300"/>
    </w:pPr>
    <w:rPr>
      <w:color w:val="414142"/>
      <w:sz w:val="20"/>
      <w:szCs w:val="20"/>
    </w:rPr>
  </w:style>
  <w:style w:type="paragraph" w:styleId="Parakstszemobjekta">
    <w:name w:val="caption"/>
    <w:basedOn w:val="Parasts"/>
    <w:next w:val="Parasts"/>
    <w:uiPriority w:val="99"/>
    <w:qFormat/>
    <w:rsid w:val="005D5A78"/>
    <w:rPr>
      <w:sz w:val="28"/>
      <w:szCs w:val="28"/>
      <w:lang w:val="en-GB" w:eastAsia="en-US"/>
    </w:rPr>
  </w:style>
  <w:style w:type="character" w:styleId="Hipersaite">
    <w:name w:val="Hyperlink"/>
    <w:uiPriority w:val="99"/>
    <w:rsid w:val="005D5A78"/>
    <w:rPr>
      <w:rFonts w:cs="Times New Roman"/>
      <w:color w:val="0000FF"/>
      <w:u w:val="single"/>
    </w:rPr>
  </w:style>
  <w:style w:type="paragraph" w:customStyle="1" w:styleId="CM1">
    <w:name w:val="CM1"/>
    <w:basedOn w:val="Parasts"/>
    <w:next w:val="Parasts"/>
    <w:uiPriority w:val="99"/>
    <w:rsid w:val="005D5A78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uiPriority w:val="99"/>
    <w:rsid w:val="002407C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2407C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407C0"/>
    <w:rPr>
      <w:rFonts w:cs="Times New Roman"/>
      <w:color w:val="auto"/>
    </w:rPr>
  </w:style>
  <w:style w:type="paragraph" w:styleId="Balonteksts">
    <w:name w:val="Balloon Text"/>
    <w:basedOn w:val="Parasts"/>
    <w:link w:val="BalontekstsRakstz"/>
    <w:uiPriority w:val="99"/>
    <w:semiHidden/>
    <w:rsid w:val="000F775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link w:val="Balonteksts"/>
    <w:uiPriority w:val="99"/>
    <w:semiHidden/>
    <w:locked/>
    <w:rsid w:val="000F7756"/>
    <w:rPr>
      <w:rFonts w:ascii="Segoe UI" w:hAnsi="Segoe UI" w:cs="Segoe UI"/>
      <w:sz w:val="18"/>
      <w:szCs w:val="18"/>
    </w:rPr>
  </w:style>
  <w:style w:type="paragraph" w:customStyle="1" w:styleId="naislab">
    <w:name w:val="naislab"/>
    <w:basedOn w:val="Parasts"/>
    <w:uiPriority w:val="99"/>
    <w:rsid w:val="00C80D34"/>
    <w:pPr>
      <w:spacing w:before="100" w:after="100"/>
      <w:jc w:val="right"/>
    </w:pPr>
    <w:rPr>
      <w:rFonts w:eastAsia="Calibri"/>
    </w:rPr>
  </w:style>
  <w:style w:type="character" w:styleId="Komentraatsauce">
    <w:name w:val="annotation reference"/>
    <w:uiPriority w:val="99"/>
    <w:semiHidden/>
    <w:rsid w:val="00CD62E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D62E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F1DE4"/>
    <w:rPr>
      <w:rFonts w:ascii="Times New Roman" w:eastAsia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D62E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F1DE4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Virsraksts3Rakstz">
    <w:name w:val="Virsraksts 3 Rakstz."/>
    <w:basedOn w:val="Noklusjumarindkopasfonts"/>
    <w:link w:val="Virsraksts3"/>
    <w:semiHidden/>
    <w:rsid w:val="00410F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6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7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347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929</Words>
  <Characters>6386</Characters>
  <Application>Microsoft Office Word</Application>
  <DocSecurity>0</DocSecurity>
  <Lines>277</Lines>
  <Paragraphs>107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Sākotnējās ietekmes novērtējuma ziņojums (anotācija)</vt:lpstr>
    </vt:vector>
  </TitlesOfParts>
  <Company>ZM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Ministru kabineta noteikumu projekta „Grozījumi Ministru kabineta 2009.gada 17.jūnija noteikumos Nr.573 „Kārtība, kādā administrē Eiropas Lauksaimniecības garantiju fondu, Eiropas Lauksaimniecības fondu lauku attīstībai un Eiropas Zivsaimniecības fondu, k</dc:subject>
  <dc:creator>Andris.Orlovskis@zm.gov.lv</dc:creator>
  <cp:lastModifiedBy>ZM Lietvedibas nodala</cp:lastModifiedBy>
  <cp:revision>11</cp:revision>
  <cp:lastPrinted>2014-01-22T10:58:00Z</cp:lastPrinted>
  <dcterms:created xsi:type="dcterms:W3CDTF">2014-08-13T13:33:00Z</dcterms:created>
  <dcterms:modified xsi:type="dcterms:W3CDTF">2014-08-18T12:41:00Z</dcterms:modified>
</cp:coreProperties>
</file>