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61" w:rsidRPr="00150EE3" w:rsidRDefault="00C45472" w:rsidP="00677A61">
      <w:pPr>
        <w:jc w:val="center"/>
        <w:rPr>
          <w:b/>
          <w:sz w:val="28"/>
          <w:szCs w:val="28"/>
        </w:rPr>
      </w:pPr>
      <w:bookmarkStart w:id="0" w:name="OLE_LINK6"/>
      <w:bookmarkStart w:id="1" w:name="OLE_LINK7"/>
      <w:r>
        <w:rPr>
          <w:b/>
          <w:bCs/>
          <w:sz w:val="28"/>
        </w:rPr>
        <w:t>Likum</w:t>
      </w:r>
      <w:r w:rsidR="00677A61" w:rsidRPr="00074178">
        <w:rPr>
          <w:b/>
          <w:bCs/>
          <w:sz w:val="28"/>
        </w:rPr>
        <w:t xml:space="preserve">projekta </w:t>
      </w:r>
      <w:r w:rsidR="00677A61" w:rsidRPr="00150EE3">
        <w:rPr>
          <w:b/>
          <w:sz w:val="28"/>
          <w:szCs w:val="28"/>
        </w:rPr>
        <w:t>„Grozījum</w:t>
      </w:r>
      <w:r w:rsidR="00677A61">
        <w:rPr>
          <w:b/>
          <w:sz w:val="28"/>
          <w:szCs w:val="28"/>
        </w:rPr>
        <w:t>i</w:t>
      </w:r>
      <w:r>
        <w:rPr>
          <w:b/>
          <w:sz w:val="28"/>
          <w:szCs w:val="28"/>
        </w:rPr>
        <w:t xml:space="preserve"> Veterinārmedicīnas likumā</w:t>
      </w:r>
      <w:r w:rsidR="00677A61" w:rsidRPr="00150EE3">
        <w:rPr>
          <w:b/>
          <w:sz w:val="28"/>
          <w:szCs w:val="28"/>
        </w:rPr>
        <w:t>”</w:t>
      </w:r>
      <w:r w:rsidR="00677A61">
        <w:rPr>
          <w:b/>
          <w:bCs/>
          <w:sz w:val="28"/>
        </w:rPr>
        <w:t xml:space="preserve"> </w:t>
      </w:r>
    </w:p>
    <w:p w:rsidR="00677A61" w:rsidRPr="00074178" w:rsidRDefault="00677A61" w:rsidP="00677A61">
      <w:pPr>
        <w:jc w:val="center"/>
        <w:rPr>
          <w:b/>
          <w:sz w:val="28"/>
        </w:rPr>
      </w:pPr>
      <w:r w:rsidRPr="00074178">
        <w:rPr>
          <w:b/>
          <w:sz w:val="28"/>
        </w:rPr>
        <w:t>sākotnējās ietekmes novērtējuma ziņojums (anotācija</w:t>
      </w:r>
      <w:bookmarkEnd w:id="0"/>
      <w:bookmarkEnd w:id="1"/>
      <w:r w:rsidRPr="00074178">
        <w:rPr>
          <w:b/>
          <w:sz w:val="28"/>
        </w:rPr>
        <w:t>)</w:t>
      </w:r>
    </w:p>
    <w:p w:rsidR="00677A61" w:rsidRDefault="00677A61" w:rsidP="00677A61">
      <w:pPr>
        <w:pStyle w:val="naisc"/>
        <w:widowControl w:val="0"/>
        <w:spacing w:before="0" w:beforeAutospacing="0" w:after="0" w:afterAutospacing="0"/>
        <w:jc w:val="center"/>
      </w:pPr>
    </w:p>
    <w:tbl>
      <w:tblPr>
        <w:tblW w:w="4975"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2231"/>
        <w:gridCol w:w="6352"/>
      </w:tblGrid>
      <w:tr w:rsidR="00677A61" w:rsidRPr="00906B31" w:rsidTr="000962D8">
        <w:trPr>
          <w:jc w:val="center"/>
        </w:trPr>
        <w:tc>
          <w:tcPr>
            <w:tcW w:w="5000" w:type="pct"/>
            <w:gridSpan w:val="3"/>
          </w:tcPr>
          <w:p w:rsidR="00677A61" w:rsidRPr="00787D30" w:rsidRDefault="00677A61" w:rsidP="00AC7C5D">
            <w:pPr>
              <w:pStyle w:val="naisnod"/>
              <w:spacing w:before="0" w:beforeAutospacing="0" w:after="0" w:afterAutospacing="0"/>
              <w:jc w:val="center"/>
            </w:pPr>
            <w:r w:rsidRPr="00906B31">
              <w:rPr>
                <w:b/>
                <w:bCs/>
              </w:rPr>
              <w:t xml:space="preserve">I. </w:t>
            </w:r>
            <w:r>
              <w:rPr>
                <w:b/>
                <w:bCs/>
              </w:rPr>
              <w:t>Tiesību akta projekta izstrādes nepieciešamība</w:t>
            </w:r>
          </w:p>
        </w:tc>
      </w:tr>
      <w:tr w:rsidR="00677A61" w:rsidRPr="00906B31" w:rsidTr="000962D8">
        <w:trPr>
          <w:jc w:val="center"/>
        </w:trPr>
        <w:tc>
          <w:tcPr>
            <w:tcW w:w="356" w:type="pct"/>
          </w:tcPr>
          <w:p w:rsidR="00677A61" w:rsidRPr="00787D30" w:rsidRDefault="00677A61" w:rsidP="00AC7C5D">
            <w:pPr>
              <w:pStyle w:val="naiskr"/>
              <w:tabs>
                <w:tab w:val="left" w:pos="3044"/>
              </w:tabs>
              <w:spacing w:before="0" w:beforeAutospacing="0" w:after="0" w:afterAutospacing="0"/>
              <w:jc w:val="both"/>
            </w:pPr>
            <w:r w:rsidRPr="00787D30">
              <w:t xml:space="preserve">1. </w:t>
            </w:r>
          </w:p>
        </w:tc>
        <w:tc>
          <w:tcPr>
            <w:tcW w:w="1207" w:type="pct"/>
          </w:tcPr>
          <w:p w:rsidR="00677A61" w:rsidRPr="00787D30" w:rsidRDefault="00677A61" w:rsidP="00AC7C5D">
            <w:pPr>
              <w:pStyle w:val="naiskr"/>
              <w:tabs>
                <w:tab w:val="left" w:pos="3044"/>
              </w:tabs>
              <w:spacing w:before="0" w:beforeAutospacing="0" w:after="0" w:afterAutospacing="0"/>
              <w:jc w:val="both"/>
            </w:pPr>
            <w:r w:rsidRPr="000A0D36">
              <w:rPr>
                <w:color w:val="000000"/>
              </w:rPr>
              <w:t>Pamatojums</w:t>
            </w:r>
          </w:p>
        </w:tc>
        <w:tc>
          <w:tcPr>
            <w:tcW w:w="3437" w:type="pct"/>
          </w:tcPr>
          <w:p w:rsidR="00677A61" w:rsidRPr="000B4B7F" w:rsidRDefault="00677A61" w:rsidP="00AC7C5D">
            <w:pPr>
              <w:jc w:val="both"/>
            </w:pPr>
          </w:p>
        </w:tc>
      </w:tr>
      <w:tr w:rsidR="00677A61" w:rsidRPr="00906B31" w:rsidTr="000962D8">
        <w:trPr>
          <w:jc w:val="center"/>
        </w:trPr>
        <w:tc>
          <w:tcPr>
            <w:tcW w:w="356" w:type="pct"/>
          </w:tcPr>
          <w:p w:rsidR="00677A61" w:rsidRPr="00D44EB0" w:rsidRDefault="00677A61" w:rsidP="00AC7C5D">
            <w:pPr>
              <w:pStyle w:val="Pamatteksts"/>
              <w:widowControl w:val="0"/>
              <w:jc w:val="both"/>
              <w:rPr>
                <w:b w:val="0"/>
                <w:sz w:val="24"/>
                <w:szCs w:val="24"/>
                <w:lang w:eastAsia="en-US"/>
              </w:rPr>
            </w:pPr>
            <w:r w:rsidRPr="00D44EB0">
              <w:rPr>
                <w:b w:val="0"/>
                <w:sz w:val="24"/>
                <w:szCs w:val="24"/>
                <w:lang w:eastAsia="en-US"/>
              </w:rPr>
              <w:t xml:space="preserve">2. </w:t>
            </w:r>
          </w:p>
        </w:tc>
        <w:tc>
          <w:tcPr>
            <w:tcW w:w="1207" w:type="pct"/>
          </w:tcPr>
          <w:p w:rsidR="00677A61" w:rsidRPr="00D44EB0" w:rsidRDefault="00677A61" w:rsidP="00AC7C5D">
            <w:pPr>
              <w:pStyle w:val="Pamatteksts"/>
              <w:widowControl w:val="0"/>
              <w:jc w:val="both"/>
              <w:rPr>
                <w:b w:val="0"/>
                <w:sz w:val="24"/>
                <w:szCs w:val="24"/>
                <w:lang w:eastAsia="en-US"/>
              </w:rPr>
            </w:pPr>
            <w:r w:rsidRPr="00D44EB0">
              <w:rPr>
                <w:b w:val="0"/>
                <w:color w:val="000000"/>
                <w:sz w:val="24"/>
                <w:szCs w:val="24"/>
                <w:lang w:eastAsia="en-US"/>
              </w:rPr>
              <w:t>Pašreizējā situācija un problēmas</w:t>
            </w:r>
          </w:p>
        </w:tc>
        <w:tc>
          <w:tcPr>
            <w:tcW w:w="3437" w:type="pct"/>
            <w:tcBorders>
              <w:bottom w:val="single" w:sz="4" w:space="0" w:color="auto"/>
            </w:tcBorders>
          </w:tcPr>
          <w:p w:rsidR="009325A0" w:rsidRPr="004318C2" w:rsidRDefault="00F17BB9" w:rsidP="00296081">
            <w:pPr>
              <w:jc w:val="both"/>
            </w:pPr>
            <w:r w:rsidRPr="004318C2">
              <w:t xml:space="preserve">1. </w:t>
            </w:r>
            <w:r w:rsidR="005C33B9" w:rsidRPr="004318C2">
              <w:t xml:space="preserve">Ar </w:t>
            </w:r>
            <w:r w:rsidR="009325A0" w:rsidRPr="004318C2">
              <w:t>Ministru kabineta 2012.gada 3.augusta rīkojum</w:t>
            </w:r>
            <w:r w:rsidR="005C33B9" w:rsidRPr="004318C2">
              <w:t>u</w:t>
            </w:r>
            <w:r w:rsidR="009325A0" w:rsidRPr="004318C2">
              <w:t xml:space="preserve"> Nr.369 </w:t>
            </w:r>
            <w:r w:rsidR="005C33B9" w:rsidRPr="004318C2">
              <w:t xml:space="preserve">tiek </w:t>
            </w:r>
            <w:r w:rsidR="009325A0" w:rsidRPr="004318C2">
              <w:t>groz</w:t>
            </w:r>
            <w:r w:rsidR="005C33B9" w:rsidRPr="004318C2">
              <w:t>īts</w:t>
            </w:r>
            <w:r w:rsidR="009325A0" w:rsidRPr="004318C2">
              <w:t xml:space="preserve"> 2009.gada 19.oktobra rīkojum</w:t>
            </w:r>
            <w:r w:rsidR="005C33B9" w:rsidRPr="004318C2">
              <w:t>s</w:t>
            </w:r>
            <w:r w:rsidR="009325A0" w:rsidRPr="004318C2">
              <w:t xml:space="preserve"> Nr.714 „Par Pārtikas un veterinārā dienesta un valsts aģentūras „Latvijas Zivju resursu aģentūra” reorganizāciju un valsts zinātniskā institūta „Pārtikas drošības, dzīvnieku veselības un vides zinātniskais institūts” izveidi”, papildinot Pārtikas drošības, dzīvnieku veselības un vides zinātniskā institūta (turpmāk – institūts) nosaukumu ar </w:t>
            </w:r>
            <w:r w:rsidR="005E36F7" w:rsidRPr="004318C2">
              <w:t>vārdu</w:t>
            </w:r>
            <w:r w:rsidR="009325A0" w:rsidRPr="004318C2">
              <w:t xml:space="preserve"> „BIOR”. Veterinārmedicīnas likumā ir nepieciešams </w:t>
            </w:r>
            <w:r w:rsidR="005C33B9" w:rsidRPr="004318C2">
              <w:t xml:space="preserve">attiecīgi </w:t>
            </w:r>
            <w:r w:rsidR="009325A0" w:rsidRPr="004318C2">
              <w:t xml:space="preserve">precizēt institūta nosaukumu, </w:t>
            </w:r>
            <w:r w:rsidR="005C33B9" w:rsidRPr="004318C2">
              <w:t xml:space="preserve">izdarot </w:t>
            </w:r>
            <w:r w:rsidR="009325A0" w:rsidRPr="004318C2">
              <w:t>arī cit</w:t>
            </w:r>
            <w:r w:rsidR="005C33B9" w:rsidRPr="004318C2">
              <w:t>us</w:t>
            </w:r>
            <w:r w:rsidR="009325A0" w:rsidRPr="004318C2">
              <w:t xml:space="preserve"> grozījum</w:t>
            </w:r>
            <w:r w:rsidR="005C33B9" w:rsidRPr="004318C2">
              <w:t>us</w:t>
            </w:r>
            <w:r w:rsidR="009325A0" w:rsidRPr="004318C2">
              <w:t xml:space="preserve">. </w:t>
            </w:r>
          </w:p>
          <w:p w:rsidR="007B0EF9" w:rsidRPr="004318C2" w:rsidRDefault="00F17BB9" w:rsidP="007B0EF9">
            <w:pPr>
              <w:autoSpaceDE w:val="0"/>
              <w:autoSpaceDN w:val="0"/>
              <w:adjustRightInd w:val="0"/>
              <w:jc w:val="both"/>
            </w:pPr>
            <w:r w:rsidRPr="004318C2">
              <w:t xml:space="preserve">2. </w:t>
            </w:r>
            <w:r w:rsidR="007B0EF9" w:rsidRPr="004318C2">
              <w:t>Lai valsts uzraudzību un kontroli dzīvnieku infekcijas slimību profilakses un apkarošanas, kā arī dzīvnieku izcelsmes produktu aprites jomā veiktu atbilstoši un sasniegtu vispārīgo mērķi – cilvēku veselības un dzīvības augsta līmeņa aizsardzību, kā arī īstenotu Eiropas Savienības normatīvajos aktos noteiktos uzdevumus, nepieciešams veidot uz riska analīzi balstītas uzraudzības un kontroles programmas.</w:t>
            </w:r>
          </w:p>
          <w:p w:rsidR="007B0EF9" w:rsidRPr="004318C2" w:rsidRDefault="007B0EF9" w:rsidP="007B0EF9">
            <w:pPr>
              <w:autoSpaceDE w:val="0"/>
              <w:autoSpaceDN w:val="0"/>
              <w:adjustRightInd w:val="0"/>
              <w:jc w:val="both"/>
              <w:rPr>
                <w:rFonts w:ascii="TimesNewRoman" w:hAnsi="TimesNewRoman" w:cs="TimesNewRoman"/>
              </w:rPr>
            </w:pPr>
            <w:r w:rsidRPr="004318C2">
              <w:t>Eiropas Parlamenta un Padomes 2002.gada 28.janvāra Regulas (EK) Nr.178/2002, ar ko paredz pārtikas aprites tiesību aktu vispārīgus principus un prasības, izveido Eiropas Pārtikas nekaitīguma iestādi un paredz procedūras saistībā ar pārtikas nekaitīgumu</w:t>
            </w:r>
            <w:r w:rsidR="005B5238">
              <w:t>,</w:t>
            </w:r>
            <w:r w:rsidRPr="004318C2">
              <w:t xml:space="preserve"> (turpmāk – Regula Nr.178/2002) 3.panta </w:t>
            </w:r>
            <w:r w:rsidRPr="004318C2">
              <w:rPr>
                <w:rFonts w:ascii="TimesNewRoman" w:hAnsi="TimesNewRoman" w:cs="TimesNewRoman"/>
              </w:rPr>
              <w:t>10.punkts nosaka, ka riska anal</w:t>
            </w:r>
            <w:r w:rsidRPr="004318C2">
              <w:rPr>
                <w:rFonts w:ascii="TimesNewRoman+01" w:hAnsi="TimesNewRoman+01" w:cs="TimesNewRoman+01"/>
              </w:rPr>
              <w:t>ī</w:t>
            </w:r>
            <w:r w:rsidRPr="004318C2">
              <w:rPr>
                <w:rFonts w:ascii="TimesNewRoman" w:hAnsi="TimesNewRoman" w:cs="TimesNewRoman"/>
              </w:rPr>
              <w:t>ze</w:t>
            </w:r>
            <w:r w:rsidRPr="004318C2">
              <w:rPr>
                <w:rFonts w:ascii="TimesNewRoman+20" w:hAnsi="TimesNewRoman+20" w:cs="TimesNewRoman+20"/>
              </w:rPr>
              <w:t xml:space="preserve"> </w:t>
            </w:r>
            <w:r w:rsidRPr="004318C2">
              <w:rPr>
                <w:rFonts w:ascii="TimesNewRoman" w:hAnsi="TimesNewRoman" w:cs="TimesNewRoman"/>
              </w:rPr>
              <w:t>ir process, ko veido tr</w:t>
            </w:r>
            <w:r w:rsidRPr="004318C2">
              <w:rPr>
                <w:rFonts w:ascii="TimesNewRoman+01" w:hAnsi="TimesNewRoman+01" w:cs="TimesNewRoman+01"/>
              </w:rPr>
              <w:t>ī</w:t>
            </w:r>
            <w:r w:rsidRPr="004318C2">
              <w:rPr>
                <w:rFonts w:ascii="TimesNewRoman" w:hAnsi="TimesNewRoman" w:cs="TimesNewRoman"/>
              </w:rPr>
              <w:t>s savstarp</w:t>
            </w:r>
            <w:r w:rsidRPr="004318C2">
              <w:rPr>
                <w:rFonts w:ascii="TimesNewRoman+01" w:hAnsi="TimesNewRoman+01" w:cs="TimesNewRoman+01"/>
              </w:rPr>
              <w:t>ē</w:t>
            </w:r>
            <w:r w:rsidRPr="004318C2">
              <w:rPr>
                <w:rFonts w:ascii="TimesNewRoman" w:hAnsi="TimesNewRoman" w:cs="TimesNewRoman"/>
              </w:rPr>
              <w:t>ji saist</w:t>
            </w:r>
            <w:r w:rsidRPr="004318C2">
              <w:rPr>
                <w:rFonts w:ascii="TimesNewRoman+01" w:hAnsi="TimesNewRoman+01" w:cs="TimesNewRoman+01"/>
              </w:rPr>
              <w:t>ī</w:t>
            </w:r>
            <w:r w:rsidRPr="004318C2">
              <w:rPr>
                <w:rFonts w:ascii="TimesNewRoman" w:hAnsi="TimesNewRoman" w:cs="TimesNewRoman"/>
              </w:rPr>
              <w:t>tas da</w:t>
            </w:r>
            <w:r w:rsidRPr="004318C2">
              <w:rPr>
                <w:rFonts w:ascii="TimesNewRoman+01" w:hAnsi="TimesNewRoman+01" w:cs="TimesNewRoman+01"/>
              </w:rPr>
              <w:t>ļ</w:t>
            </w:r>
            <w:r w:rsidRPr="004318C2">
              <w:rPr>
                <w:rFonts w:ascii="TimesNewRoman" w:hAnsi="TimesNewRoman" w:cs="TimesNewRoman"/>
              </w:rPr>
              <w:t>as – riska nov</w:t>
            </w:r>
            <w:r w:rsidRPr="004318C2">
              <w:rPr>
                <w:rFonts w:ascii="TimesNewRoman+01" w:hAnsi="TimesNewRoman+01" w:cs="TimesNewRoman+01"/>
              </w:rPr>
              <w:t>ē</w:t>
            </w:r>
            <w:r w:rsidRPr="004318C2">
              <w:rPr>
                <w:rFonts w:ascii="TimesNewRoman" w:hAnsi="TimesNewRoman" w:cs="TimesNewRoman"/>
              </w:rPr>
              <w:t>rt</w:t>
            </w:r>
            <w:r w:rsidRPr="004318C2">
              <w:rPr>
                <w:rFonts w:ascii="TimesNewRoman+01" w:hAnsi="TimesNewRoman+01" w:cs="TimesNewRoman+01"/>
              </w:rPr>
              <w:t>ē</w:t>
            </w:r>
            <w:r w:rsidRPr="004318C2">
              <w:rPr>
                <w:rFonts w:ascii="TimesNewRoman" w:hAnsi="TimesNewRoman" w:cs="TimesNewRoman"/>
              </w:rPr>
              <w:t>jums, riska p</w:t>
            </w:r>
            <w:r w:rsidRPr="004318C2">
              <w:rPr>
                <w:rFonts w:ascii="TimesNewRoman+01" w:hAnsi="TimesNewRoman+01" w:cs="TimesNewRoman+01"/>
              </w:rPr>
              <w:t>ā</w:t>
            </w:r>
            <w:r w:rsidRPr="004318C2">
              <w:rPr>
                <w:rFonts w:ascii="TimesNewRoman" w:hAnsi="TimesNewRoman" w:cs="TimesNewRoman"/>
              </w:rPr>
              <w:t>rvald</w:t>
            </w:r>
            <w:r w:rsidRPr="004318C2">
              <w:rPr>
                <w:rFonts w:ascii="TimesNewRoman+01" w:hAnsi="TimesNewRoman+01" w:cs="TimesNewRoman+01"/>
              </w:rPr>
              <w:t>ī</w:t>
            </w:r>
            <w:r w:rsidRPr="004318C2">
              <w:rPr>
                <w:rFonts w:ascii="TimesNewRoman" w:hAnsi="TimesNewRoman" w:cs="TimesNewRoman"/>
              </w:rPr>
              <w:t>ba un riska pazi</w:t>
            </w:r>
            <w:r w:rsidRPr="004318C2">
              <w:rPr>
                <w:rFonts w:ascii="TimesNewRoman+01" w:hAnsi="TimesNewRoman+01" w:cs="TimesNewRoman+01"/>
              </w:rPr>
              <w:t>ņ</w:t>
            </w:r>
            <w:r w:rsidRPr="004318C2">
              <w:rPr>
                <w:rFonts w:ascii="TimesNewRoman" w:hAnsi="TimesNewRoman" w:cs="TimesNewRoman"/>
              </w:rPr>
              <w:t>o</w:t>
            </w:r>
            <w:r w:rsidRPr="004318C2">
              <w:rPr>
                <w:rFonts w:ascii="TimesNewRoman+01" w:hAnsi="TimesNewRoman+01" w:cs="TimesNewRoman+01"/>
              </w:rPr>
              <w:t>š</w:t>
            </w:r>
            <w:r w:rsidRPr="004318C2">
              <w:rPr>
                <w:rFonts w:ascii="TimesNewRoman" w:hAnsi="TimesNewRoman" w:cs="TimesNewRoman"/>
              </w:rPr>
              <w:t xml:space="preserve">ana, savukārt </w:t>
            </w:r>
            <w:r w:rsidRPr="004318C2">
              <w:t xml:space="preserve">11.punkts nosaka, ka </w:t>
            </w:r>
            <w:r w:rsidRPr="004318C2">
              <w:rPr>
                <w:rFonts w:ascii="TimesNewRoman" w:hAnsi="TimesNewRoman" w:cs="TimesNewRoman"/>
              </w:rPr>
              <w:t>riska nov</w:t>
            </w:r>
            <w:r w:rsidRPr="004318C2">
              <w:rPr>
                <w:rFonts w:ascii="TimesNewRoman+01" w:hAnsi="TimesNewRoman+01" w:cs="TimesNewRoman+01"/>
              </w:rPr>
              <w:t>ē</w:t>
            </w:r>
            <w:r w:rsidRPr="004318C2">
              <w:rPr>
                <w:rFonts w:ascii="TimesNewRoman" w:hAnsi="TimesNewRoman" w:cs="TimesNewRoman"/>
              </w:rPr>
              <w:t>rt</w:t>
            </w:r>
            <w:r w:rsidRPr="004318C2">
              <w:rPr>
                <w:rFonts w:ascii="TimesNewRoman+01" w:hAnsi="TimesNewRoman+01" w:cs="TimesNewRoman+01"/>
              </w:rPr>
              <w:t>ē</w:t>
            </w:r>
            <w:r w:rsidRPr="004318C2">
              <w:rPr>
                <w:rFonts w:ascii="TimesNewRoman" w:hAnsi="TimesNewRoman" w:cs="TimesNewRoman"/>
              </w:rPr>
              <w:t>jums</w:t>
            </w:r>
            <w:r w:rsidRPr="004318C2">
              <w:rPr>
                <w:rFonts w:ascii="TimesNewRoman+20" w:hAnsi="TimesNewRoman+20" w:cs="TimesNewRoman+20"/>
              </w:rPr>
              <w:t xml:space="preserve"> </w:t>
            </w:r>
            <w:r w:rsidRPr="004318C2">
              <w:rPr>
                <w:rFonts w:ascii="TimesNewRoman" w:hAnsi="TimesNewRoman" w:cs="TimesNewRoman"/>
              </w:rPr>
              <w:t>ir zin</w:t>
            </w:r>
            <w:r w:rsidRPr="004318C2">
              <w:rPr>
                <w:rFonts w:ascii="TimesNewRoman+01" w:hAnsi="TimesNewRoman+01" w:cs="TimesNewRoman+01"/>
              </w:rPr>
              <w:t>ā</w:t>
            </w:r>
            <w:r w:rsidRPr="004318C2">
              <w:rPr>
                <w:rFonts w:ascii="TimesNewRoman" w:hAnsi="TimesNewRoman" w:cs="TimesNewRoman"/>
              </w:rPr>
              <w:t xml:space="preserve">tniski pamatots process, ko veido </w:t>
            </w:r>
            <w:r w:rsidRPr="004318C2">
              <w:rPr>
                <w:rFonts w:ascii="TimesNewRoman+01" w:hAnsi="TimesNewRoman+01" w:cs="TimesNewRoman+01"/>
              </w:rPr>
              <w:t>č</w:t>
            </w:r>
            <w:r w:rsidRPr="004318C2">
              <w:rPr>
                <w:rFonts w:ascii="TimesNewRoman" w:hAnsi="TimesNewRoman" w:cs="TimesNewRoman"/>
              </w:rPr>
              <w:t>etri posmi</w:t>
            </w:r>
            <w:r w:rsidR="005B5238">
              <w:rPr>
                <w:rFonts w:ascii="TimesNewRoman" w:hAnsi="TimesNewRoman" w:cs="TimesNewRoman"/>
              </w:rPr>
              <w:t> –</w:t>
            </w:r>
            <w:r w:rsidRPr="004318C2">
              <w:rPr>
                <w:rFonts w:ascii="TimesNewRoman" w:hAnsi="TimesNewRoman" w:cs="TimesNewRoman"/>
              </w:rPr>
              <w:t xml:space="preserve"> apdraud</w:t>
            </w:r>
            <w:r w:rsidRPr="004318C2">
              <w:rPr>
                <w:rFonts w:ascii="TimesNewRoman+01" w:hAnsi="TimesNewRoman+01" w:cs="TimesNewRoman+01"/>
              </w:rPr>
              <w:t>ē</w:t>
            </w:r>
            <w:r w:rsidRPr="004318C2">
              <w:rPr>
                <w:rFonts w:ascii="TimesNewRoman" w:hAnsi="TimesNewRoman" w:cs="TimesNewRoman"/>
              </w:rPr>
              <w:t>juma identific</w:t>
            </w:r>
            <w:r w:rsidRPr="004318C2">
              <w:rPr>
                <w:rFonts w:ascii="TimesNewRoman+01" w:hAnsi="TimesNewRoman+01" w:cs="TimesNewRoman+01"/>
              </w:rPr>
              <w:t>ēš</w:t>
            </w:r>
            <w:r w:rsidRPr="004318C2">
              <w:rPr>
                <w:rFonts w:ascii="TimesNewRoman" w:hAnsi="TimesNewRoman" w:cs="TimesNewRoman"/>
              </w:rPr>
              <w:t>ana, apdraud</w:t>
            </w:r>
            <w:r w:rsidRPr="004318C2">
              <w:rPr>
                <w:rFonts w:ascii="TimesNewRoman+01" w:hAnsi="TimesNewRoman+01" w:cs="TimesNewRoman+01"/>
              </w:rPr>
              <w:t>ē</w:t>
            </w:r>
            <w:r w:rsidRPr="004318C2">
              <w:rPr>
                <w:rFonts w:ascii="TimesNewRoman" w:hAnsi="TimesNewRoman" w:cs="TimesNewRoman"/>
              </w:rPr>
              <w:t>juma raksturojums, iedarb</w:t>
            </w:r>
            <w:r w:rsidRPr="004318C2">
              <w:rPr>
                <w:rFonts w:ascii="TimesNewRoman+01" w:hAnsi="TimesNewRoman+01" w:cs="TimesNewRoman+01"/>
              </w:rPr>
              <w:t>ī</w:t>
            </w:r>
            <w:r w:rsidRPr="004318C2">
              <w:rPr>
                <w:rFonts w:ascii="TimesNewRoman" w:hAnsi="TimesNewRoman" w:cs="TimesNewRoman"/>
              </w:rPr>
              <w:t>bas nov</w:t>
            </w:r>
            <w:r w:rsidRPr="004318C2">
              <w:rPr>
                <w:rFonts w:ascii="TimesNewRoman+01" w:hAnsi="TimesNewRoman+01" w:cs="TimesNewRoman+01"/>
              </w:rPr>
              <w:t>ē</w:t>
            </w:r>
            <w:r w:rsidRPr="004318C2">
              <w:rPr>
                <w:rFonts w:ascii="TimesNewRoman" w:hAnsi="TimesNewRoman" w:cs="TimesNewRoman"/>
              </w:rPr>
              <w:t>rt</w:t>
            </w:r>
            <w:r w:rsidRPr="004318C2">
              <w:rPr>
                <w:rFonts w:ascii="TimesNewRoman+01" w:hAnsi="TimesNewRoman+01" w:cs="TimesNewRoman+01"/>
              </w:rPr>
              <w:t>ē</w:t>
            </w:r>
            <w:r w:rsidRPr="004318C2">
              <w:rPr>
                <w:rFonts w:ascii="TimesNewRoman" w:hAnsi="TimesNewRoman" w:cs="TimesNewRoman"/>
              </w:rPr>
              <w:t xml:space="preserve">jums un riska raksturojums. </w:t>
            </w:r>
            <w:r w:rsidRPr="004318C2">
              <w:t>Regula Nr.178/2002 arī nosaka, ka r</w:t>
            </w:r>
            <w:r w:rsidRPr="004318C2">
              <w:rPr>
                <w:rFonts w:ascii="TimesNewRoman" w:hAnsi="TimesNewRoman" w:cs="TimesNewRoman"/>
              </w:rPr>
              <w:t>iska nov</w:t>
            </w:r>
            <w:r w:rsidRPr="004318C2">
              <w:rPr>
                <w:rFonts w:ascii="TimesNewRoman+01" w:hAnsi="TimesNewRoman+01" w:cs="TimesNewRoman+01"/>
              </w:rPr>
              <w:t>ē</w:t>
            </w:r>
            <w:r w:rsidRPr="004318C2">
              <w:rPr>
                <w:rFonts w:ascii="TimesNewRoman" w:hAnsi="TimesNewRoman" w:cs="TimesNewRoman"/>
              </w:rPr>
              <w:t>rt</w:t>
            </w:r>
            <w:r w:rsidRPr="004318C2">
              <w:rPr>
                <w:rFonts w:ascii="TimesNewRoman+01" w:hAnsi="TimesNewRoman+01" w:cs="TimesNewRoman+01"/>
              </w:rPr>
              <w:t>ēš</w:t>
            </w:r>
            <w:r w:rsidRPr="004318C2">
              <w:rPr>
                <w:rFonts w:ascii="TimesNewRoman" w:hAnsi="TimesNewRoman" w:cs="TimesNewRoman"/>
              </w:rPr>
              <w:t>anu pamato ar pieejamiem zin</w:t>
            </w:r>
            <w:r w:rsidRPr="004318C2">
              <w:rPr>
                <w:rFonts w:ascii="TimesNewRoman+01" w:hAnsi="TimesNewRoman+01" w:cs="TimesNewRoman+01"/>
              </w:rPr>
              <w:t>ā</w:t>
            </w:r>
            <w:r w:rsidRPr="004318C2">
              <w:rPr>
                <w:rFonts w:ascii="TimesNewRoman" w:hAnsi="TimesNewRoman" w:cs="TimesNewRoman"/>
              </w:rPr>
              <w:t>tniskiem pier</w:t>
            </w:r>
            <w:r w:rsidRPr="004318C2">
              <w:rPr>
                <w:rFonts w:ascii="TimesNewRoman+01" w:hAnsi="TimesNewRoman+01" w:cs="TimesNewRoman+01"/>
              </w:rPr>
              <w:t>ā</w:t>
            </w:r>
            <w:r w:rsidRPr="004318C2">
              <w:rPr>
                <w:rFonts w:ascii="TimesNewRoman" w:hAnsi="TimesNewRoman" w:cs="TimesNewRoman"/>
              </w:rPr>
              <w:t>d</w:t>
            </w:r>
            <w:r w:rsidRPr="004318C2">
              <w:rPr>
                <w:rFonts w:ascii="TimesNewRoman+01" w:hAnsi="TimesNewRoman+01" w:cs="TimesNewRoman+01"/>
              </w:rPr>
              <w:t>ī</w:t>
            </w:r>
            <w:r w:rsidRPr="004318C2">
              <w:rPr>
                <w:rFonts w:ascii="TimesNewRoman" w:hAnsi="TimesNewRoman" w:cs="TimesNewRoman"/>
              </w:rPr>
              <w:t>jumiem un veic neatkar</w:t>
            </w:r>
            <w:r w:rsidRPr="004318C2">
              <w:rPr>
                <w:rFonts w:ascii="TimesNewRoman+01" w:hAnsi="TimesNewRoman+01" w:cs="TimesNewRoman+01"/>
              </w:rPr>
              <w:t>ī</w:t>
            </w:r>
            <w:r w:rsidRPr="004318C2">
              <w:rPr>
                <w:rFonts w:ascii="TimesNewRoman" w:hAnsi="TimesNewRoman" w:cs="TimesNewRoman"/>
              </w:rPr>
              <w:t>gi, objekt</w:t>
            </w:r>
            <w:r w:rsidRPr="004318C2">
              <w:rPr>
                <w:rFonts w:ascii="TimesNewRoman+01" w:hAnsi="TimesNewRoman+01" w:cs="TimesNewRoman+01"/>
              </w:rPr>
              <w:t>ī</w:t>
            </w:r>
            <w:r w:rsidRPr="004318C2">
              <w:rPr>
                <w:rFonts w:ascii="TimesNewRoman" w:hAnsi="TimesNewRoman" w:cs="TimesNewRoman"/>
              </w:rPr>
              <w:t>vi un p</w:t>
            </w:r>
            <w:r w:rsidRPr="004318C2">
              <w:rPr>
                <w:rFonts w:ascii="TimesNewRoman+01" w:hAnsi="TimesNewRoman+01" w:cs="TimesNewRoman+01"/>
              </w:rPr>
              <w:t>ā</w:t>
            </w:r>
            <w:r w:rsidRPr="004318C2">
              <w:rPr>
                <w:rFonts w:ascii="TimesNewRoman" w:hAnsi="TimesNewRoman" w:cs="TimesNewRoman"/>
              </w:rPr>
              <w:t>rredzami, kā arī, lai sasniegtu p</w:t>
            </w:r>
            <w:r w:rsidRPr="004318C2">
              <w:rPr>
                <w:rFonts w:ascii="TimesNewRoman+01" w:hAnsi="TimesNewRoman+01" w:cs="TimesNewRoman+01"/>
              </w:rPr>
              <w:t>ā</w:t>
            </w:r>
            <w:r w:rsidRPr="004318C2">
              <w:rPr>
                <w:rFonts w:ascii="TimesNewRoman" w:hAnsi="TimesNewRoman" w:cs="TimesNewRoman"/>
              </w:rPr>
              <w:t>rtikas aprites ties</w:t>
            </w:r>
            <w:r w:rsidRPr="004318C2">
              <w:rPr>
                <w:rFonts w:ascii="TimesNewRoman+01" w:hAnsi="TimesNewRoman+01" w:cs="TimesNewRoman+01"/>
              </w:rPr>
              <w:t>ī</w:t>
            </w:r>
            <w:r w:rsidRPr="004318C2">
              <w:rPr>
                <w:rFonts w:ascii="TimesNewRoman" w:hAnsi="TimesNewRoman" w:cs="TimesNewRoman"/>
              </w:rPr>
              <w:t>bu aktu visp</w:t>
            </w:r>
            <w:r w:rsidRPr="004318C2">
              <w:rPr>
                <w:rFonts w:ascii="TimesNewRoman+01" w:hAnsi="TimesNewRoman+01" w:cs="TimesNewRoman+01"/>
              </w:rPr>
              <w:t>ā</w:t>
            </w:r>
            <w:r w:rsidRPr="004318C2">
              <w:rPr>
                <w:rFonts w:ascii="TimesNewRoman" w:hAnsi="TimesNewRoman" w:cs="TimesNewRoman"/>
              </w:rPr>
              <w:t>r</w:t>
            </w:r>
            <w:r w:rsidRPr="004318C2">
              <w:rPr>
                <w:rFonts w:ascii="TimesNewRoman+01" w:hAnsi="TimesNewRoman+01" w:cs="TimesNewRoman+01"/>
              </w:rPr>
              <w:t>ī</w:t>
            </w:r>
            <w:r w:rsidRPr="004318C2">
              <w:rPr>
                <w:rFonts w:ascii="TimesNewRoman" w:hAnsi="TimesNewRoman" w:cs="TimesNewRoman"/>
              </w:rPr>
              <w:t>gos m</w:t>
            </w:r>
            <w:r w:rsidRPr="004318C2">
              <w:rPr>
                <w:rFonts w:ascii="TimesNewRoman+01" w:hAnsi="TimesNewRoman+01" w:cs="TimesNewRoman+01"/>
              </w:rPr>
              <w:t>ē</w:t>
            </w:r>
            <w:r w:rsidRPr="004318C2">
              <w:rPr>
                <w:rFonts w:ascii="TimesNewRoman" w:hAnsi="TimesNewRoman" w:cs="TimesNewRoman"/>
              </w:rPr>
              <w:t>r</w:t>
            </w:r>
            <w:r w:rsidRPr="004318C2">
              <w:rPr>
                <w:rFonts w:ascii="TimesNewRoman+01" w:hAnsi="TimesNewRoman+01" w:cs="TimesNewRoman+01"/>
              </w:rPr>
              <w:t>ķ</w:t>
            </w:r>
            <w:r w:rsidRPr="004318C2">
              <w:rPr>
                <w:rFonts w:ascii="TimesNewRoman" w:hAnsi="TimesNewRoman" w:cs="TimesNewRoman"/>
              </w:rPr>
              <w:t>us, veicot riska p</w:t>
            </w:r>
            <w:r w:rsidRPr="004318C2">
              <w:rPr>
                <w:rFonts w:ascii="TimesNewRoman+01" w:hAnsi="TimesNewRoman+01" w:cs="TimesNewRoman+01"/>
              </w:rPr>
              <w:t>ā</w:t>
            </w:r>
            <w:r w:rsidRPr="004318C2">
              <w:rPr>
                <w:rFonts w:ascii="TimesNewRoman" w:hAnsi="TimesNewRoman" w:cs="TimesNewRoman"/>
              </w:rPr>
              <w:t>rvald</w:t>
            </w:r>
            <w:r w:rsidRPr="004318C2">
              <w:rPr>
                <w:rFonts w:ascii="TimesNewRoman+01" w:hAnsi="TimesNewRoman+01" w:cs="TimesNewRoman+01"/>
              </w:rPr>
              <w:t>ī</w:t>
            </w:r>
            <w:r w:rsidRPr="004318C2">
              <w:rPr>
                <w:rFonts w:ascii="TimesNewRoman" w:hAnsi="TimesNewRoman" w:cs="TimesNewRoman"/>
              </w:rPr>
              <w:t xml:space="preserve">bu, </w:t>
            </w:r>
            <w:r w:rsidRPr="004318C2">
              <w:rPr>
                <w:rFonts w:ascii="TimesNewRoman+01" w:hAnsi="TimesNewRoman+01" w:cs="TimesNewRoman+01"/>
              </w:rPr>
              <w:t>ņ</w:t>
            </w:r>
            <w:r w:rsidRPr="004318C2">
              <w:rPr>
                <w:rFonts w:ascii="TimesNewRoman" w:hAnsi="TimesNewRoman" w:cs="TimesNewRoman"/>
              </w:rPr>
              <w:t>em v</w:t>
            </w:r>
            <w:r w:rsidRPr="004318C2">
              <w:rPr>
                <w:rFonts w:ascii="TimesNewRoman+01" w:hAnsi="TimesNewRoman+01" w:cs="TimesNewRoman+01"/>
              </w:rPr>
              <w:t>ē</w:t>
            </w:r>
            <w:r w:rsidRPr="004318C2">
              <w:rPr>
                <w:rFonts w:ascii="TimesNewRoman" w:hAnsi="TimesNewRoman" w:cs="TimesNewRoman"/>
              </w:rPr>
              <w:t>r</w:t>
            </w:r>
            <w:r w:rsidRPr="004318C2">
              <w:rPr>
                <w:rFonts w:ascii="TimesNewRoman+01" w:hAnsi="TimesNewRoman+01" w:cs="TimesNewRoman+01"/>
              </w:rPr>
              <w:t xml:space="preserve">ā </w:t>
            </w:r>
            <w:r w:rsidRPr="004318C2">
              <w:rPr>
                <w:rFonts w:ascii="TimesNewRoman" w:hAnsi="TimesNewRoman" w:cs="TimesNewRoman"/>
              </w:rPr>
              <w:t>riska nov</w:t>
            </w:r>
            <w:r w:rsidRPr="004318C2">
              <w:rPr>
                <w:rFonts w:ascii="TimesNewRoman+01" w:hAnsi="TimesNewRoman+01" w:cs="TimesNewRoman+01"/>
              </w:rPr>
              <w:t>ē</w:t>
            </w:r>
            <w:r w:rsidRPr="004318C2">
              <w:rPr>
                <w:rFonts w:ascii="TimesNewRoman" w:hAnsi="TimesNewRoman" w:cs="TimesNewRoman"/>
              </w:rPr>
              <w:t>rt</w:t>
            </w:r>
            <w:r w:rsidRPr="004318C2">
              <w:rPr>
                <w:rFonts w:ascii="TimesNewRoman+01" w:hAnsi="TimesNewRoman+01" w:cs="TimesNewRoman+01"/>
              </w:rPr>
              <w:t>ēš</w:t>
            </w:r>
            <w:r w:rsidRPr="004318C2">
              <w:rPr>
                <w:rFonts w:ascii="TimesNewRoman" w:hAnsi="TimesNewRoman" w:cs="TimesNewRoman"/>
              </w:rPr>
              <w:t>anas rezult</w:t>
            </w:r>
            <w:r w:rsidRPr="004318C2">
              <w:rPr>
                <w:rFonts w:ascii="TimesNewRoman+01" w:hAnsi="TimesNewRoman+01" w:cs="TimesNewRoman+01"/>
              </w:rPr>
              <w:t>ā</w:t>
            </w:r>
            <w:r w:rsidRPr="004318C2">
              <w:rPr>
                <w:rFonts w:ascii="TimesNewRoman" w:hAnsi="TimesNewRoman" w:cs="TimesNewRoman"/>
              </w:rPr>
              <w:t>tus.</w:t>
            </w:r>
          </w:p>
          <w:p w:rsidR="007B0EF9" w:rsidRPr="004318C2" w:rsidRDefault="007B0EF9" w:rsidP="007B0EF9">
            <w:pPr>
              <w:autoSpaceDE w:val="0"/>
              <w:autoSpaceDN w:val="0"/>
              <w:adjustRightInd w:val="0"/>
              <w:jc w:val="both"/>
            </w:pPr>
            <w:r w:rsidRPr="004318C2">
              <w:rPr>
                <w:rFonts w:ascii="TimesNewRoman" w:hAnsi="TimesNewRoman" w:cs="TimesNewRoman"/>
              </w:rPr>
              <w:t>Pārtikas un veterinārais dienests (turpmāk – dienests) pārtikas aprites un dzīvnieku veselības uzraudzības un kontroles jomā veic riska p</w:t>
            </w:r>
            <w:r w:rsidRPr="004318C2">
              <w:rPr>
                <w:rFonts w:ascii="TimesNewRoman+01" w:hAnsi="TimesNewRoman+01" w:cs="TimesNewRoman+01"/>
              </w:rPr>
              <w:t>ā</w:t>
            </w:r>
            <w:r w:rsidRPr="004318C2">
              <w:rPr>
                <w:rFonts w:ascii="TimesNewRoman" w:hAnsi="TimesNewRoman" w:cs="TimesNewRoman"/>
              </w:rPr>
              <w:t>rvald</w:t>
            </w:r>
            <w:r w:rsidRPr="004318C2">
              <w:rPr>
                <w:rFonts w:ascii="TimesNewRoman+01" w:hAnsi="TimesNewRoman+01" w:cs="TimesNewRoman+01"/>
              </w:rPr>
              <w:t>ī</w:t>
            </w:r>
            <w:r w:rsidRPr="004318C2">
              <w:rPr>
                <w:rFonts w:ascii="TimesNewRoman" w:hAnsi="TimesNewRoman" w:cs="TimesNewRoman"/>
              </w:rPr>
              <w:t>bas un riska pazi</w:t>
            </w:r>
            <w:r w:rsidRPr="004318C2">
              <w:rPr>
                <w:rFonts w:ascii="TimesNewRoman+01" w:hAnsi="TimesNewRoman+01" w:cs="TimesNewRoman+01"/>
              </w:rPr>
              <w:t>ņ</w:t>
            </w:r>
            <w:r w:rsidRPr="004318C2">
              <w:rPr>
                <w:rFonts w:ascii="TimesNewRoman" w:hAnsi="TimesNewRoman" w:cs="TimesNewRoman"/>
              </w:rPr>
              <w:t>o</w:t>
            </w:r>
            <w:r w:rsidRPr="004318C2">
              <w:rPr>
                <w:rFonts w:ascii="TimesNewRoman+01" w:hAnsi="TimesNewRoman+01" w:cs="TimesNewRoman+01"/>
              </w:rPr>
              <w:t>š</w:t>
            </w:r>
            <w:r w:rsidRPr="004318C2">
              <w:rPr>
                <w:rFonts w:ascii="TimesNewRoman" w:hAnsi="TimesNewRoman" w:cs="TimesNewRoman"/>
              </w:rPr>
              <w:t>anas funkcijas, bet nevar veikt riska novērtējumu.</w:t>
            </w:r>
          </w:p>
          <w:p w:rsidR="007B0EF9" w:rsidRPr="004318C2" w:rsidRDefault="007B0EF9" w:rsidP="007B0EF9">
            <w:pPr>
              <w:autoSpaceDE w:val="0"/>
              <w:autoSpaceDN w:val="0"/>
              <w:adjustRightInd w:val="0"/>
              <w:jc w:val="both"/>
            </w:pPr>
            <w:r w:rsidRPr="004318C2">
              <w:t>Ar 2010.gada 1.janvāri izveidojot institūtu kā zemkopības ministra pārraudzībā esošu valsts zinātnisko institūtu – atvasinātu publisko personu (</w:t>
            </w:r>
            <w:r w:rsidRPr="004318C2">
              <w:rPr>
                <w:bCs/>
              </w:rPr>
              <w:t xml:space="preserve">Ministru kabineta </w:t>
            </w:r>
            <w:r w:rsidRPr="004318C2">
              <w:t xml:space="preserve">2009.gada 19.oktobra </w:t>
            </w:r>
            <w:r w:rsidRPr="004318C2">
              <w:rPr>
                <w:bCs/>
              </w:rPr>
              <w:t>rīkojums Nr.714), tam tika nodota</w:t>
            </w:r>
            <w:r w:rsidRPr="004318C2">
              <w:t xml:space="preserve"> dienesta struktūrvienība – Nacionālais diagnostikas centrs, kas veica laboratoriskos un diagnostiskos izmeklējumus </w:t>
            </w:r>
            <w:r w:rsidR="005B5238">
              <w:t xml:space="preserve">saistībā ar </w:t>
            </w:r>
            <w:r w:rsidRPr="004318C2">
              <w:t>valsts uzraudzīb</w:t>
            </w:r>
            <w:r w:rsidR="005B5238">
              <w:t>u</w:t>
            </w:r>
            <w:r w:rsidRPr="004318C2">
              <w:t xml:space="preserve"> un kontrol</w:t>
            </w:r>
            <w:r w:rsidR="005B5238">
              <w:t>i</w:t>
            </w:r>
            <w:r w:rsidRPr="004318C2">
              <w:t xml:space="preserve">. </w:t>
            </w:r>
            <w:r w:rsidR="005B5238">
              <w:t>V</w:t>
            </w:r>
            <w:r w:rsidRPr="004318C2">
              <w:t xml:space="preserve">iena no galvenajām institūta funkcijām zinātniskās darbības jomā </w:t>
            </w:r>
            <w:r w:rsidR="005B5238">
              <w:t xml:space="preserve">ir </w:t>
            </w:r>
            <w:r w:rsidRPr="004318C2">
              <w:t xml:space="preserve">īstenot pētījumu projektus, lai novērtētu risku pārtikas nekaitīguma un dzīvnieku </w:t>
            </w:r>
            <w:r w:rsidRPr="004318C2">
              <w:lastRenderedPageBreak/>
              <w:t xml:space="preserve">infekcijas slimību (arī </w:t>
            </w:r>
            <w:proofErr w:type="spellStart"/>
            <w:r w:rsidRPr="004318C2">
              <w:t>zoonožu</w:t>
            </w:r>
            <w:proofErr w:type="spellEnd"/>
            <w:r w:rsidRPr="004318C2">
              <w:t xml:space="preserve">) jomā, nodrošinot efektīvu sadarbību ar minētās jomas institūcijām, citām zinātniskajām institūcijām un organizācijām, un sniegt informāciju riska vadības nodrošināšanai dzīvnieku infekcijas slimību (arī </w:t>
            </w:r>
            <w:proofErr w:type="spellStart"/>
            <w:r w:rsidRPr="004318C2">
              <w:t>zoonožu</w:t>
            </w:r>
            <w:proofErr w:type="spellEnd"/>
            <w:r w:rsidRPr="004318C2">
              <w:t>) jomā.</w:t>
            </w:r>
          </w:p>
          <w:p w:rsidR="007B0EF9" w:rsidRPr="004318C2" w:rsidRDefault="007B0EF9" w:rsidP="007B0EF9">
            <w:pPr>
              <w:jc w:val="both"/>
            </w:pPr>
            <w:r w:rsidRPr="004318C2">
              <w:t>Ar Ministru kabineta 2007.gada 27.jūnija rīkojumu Nr.397 „Par Latvijas Republikas dalību Eiropas Savienības aģentūrās” Zemkopības ministrija ir noteikta par atbildīgo institūciju sadarbībai ar Eiropas Pārtikas nekaitīguma iestādi (turpmāk – EFSA). Zemkopības ministrija ir uzticējusi institūtam pārstāvēt Latviju EFSA Konsultatīvajā padomē, un tas ir EFSA tiešās sadarbības partneris saskaņā ar Regulu Nr.178/2002.</w:t>
            </w:r>
          </w:p>
          <w:p w:rsidR="007B0EF9" w:rsidRPr="004318C2" w:rsidRDefault="007B0EF9" w:rsidP="007B0EF9">
            <w:pPr>
              <w:autoSpaceDE w:val="0"/>
              <w:autoSpaceDN w:val="0"/>
              <w:adjustRightInd w:val="0"/>
              <w:jc w:val="both"/>
            </w:pPr>
            <w:r w:rsidRPr="004318C2">
              <w:t>Nacionālais kontaktpunkts nodrošina informācijas apmaiņu un sadarbību starp institūcijām, kas minētas Regulas Nr.178/2002 36.pantā, EFSA pasākumu un darba rezultātu popularizēšanu, kā arī interesentu konsultēšanu un informēšanu par iestādes misijas jomām (</w:t>
            </w:r>
            <w:r w:rsidRPr="004318C2">
              <w:rPr>
                <w:rFonts w:eastAsiaTheme="minorHAnsi"/>
              </w:rPr>
              <w:t>veicināt augstu cilvēku dzīvības un veselības aizsardzības līmeni, saistībā ar iekšējā tirgus darbību ņemot vērā dzīvnieku veselību un labturību, augu veselību un vidi).</w:t>
            </w:r>
          </w:p>
          <w:p w:rsidR="007B0EF9" w:rsidRPr="004318C2" w:rsidRDefault="007B0EF9" w:rsidP="007B0EF9">
            <w:pPr>
              <w:pStyle w:val="Parasts1"/>
              <w:jc w:val="both"/>
            </w:pPr>
            <w:r w:rsidRPr="004318C2">
              <w:t>Saskaņā ar Regulu Nr.178/2002 riska novērtēšanas kompetentā institūcija ir neatkarīgs zinātnisko konsultāciju, informācijas un riska paziņošanas avots.</w:t>
            </w:r>
          </w:p>
          <w:p w:rsidR="007B0EF9" w:rsidRPr="004318C2" w:rsidRDefault="007B0EF9" w:rsidP="007B0EF9">
            <w:pPr>
              <w:pStyle w:val="Parasts1"/>
              <w:jc w:val="both"/>
            </w:pPr>
            <w:r w:rsidRPr="004318C2">
              <w:t xml:space="preserve">Institūta darbības joma vistiešāk atbilst EFSA uzdevumiem, jo tas pārsvarā veic zinātnisko darbību veterinārmedicīnas, pārtikas kvalitātes un nekaitīguma, zivsaimniecības un sabiedrības veselības jomā, nodrošinot neatkarīgu zinātnisko pamatojumu attīstības stratēģiju izstrādei zinātnes un augstākās izglītības sadarbības veicināšanai minētajās jomās, īsteno pētījumu projektus, lai novērtētu risku pārtikas nekaitīguma un dzīvnieku infekcijas slimību (arī </w:t>
            </w:r>
            <w:proofErr w:type="spellStart"/>
            <w:r w:rsidRPr="004318C2">
              <w:t>zoonožu</w:t>
            </w:r>
            <w:proofErr w:type="spellEnd"/>
            <w:r w:rsidRPr="004318C2">
              <w:t>) jomā, nodrošinot efektīvu sadarbību ar atbilstošajām institūcijām, citām zinātniskajām institūcijām un organizācijām, un sniedz informāciju riska vadības nodrošināšanai dzīvnieku infekcijas slimību jomā, veic laboratoriskos un diagnostiskos izmeklējumus saistībā ar valsts uzraudzību un kontroli pārtikas aprites, dzīvnieku veselības aizsardzības, dzīvnieku barības aprites un veterināro zāļu aprites jomā, pilda references laboratorijas funkcijas normatīvajos aktos noteiktajās jomās u.c.</w:t>
            </w:r>
          </w:p>
          <w:p w:rsidR="007B0EF9" w:rsidRPr="004318C2" w:rsidRDefault="007B0EF9" w:rsidP="007B0EF9">
            <w:pPr>
              <w:autoSpaceDE w:val="0"/>
              <w:autoSpaceDN w:val="0"/>
              <w:adjustRightInd w:val="0"/>
              <w:jc w:val="both"/>
            </w:pPr>
            <w:r w:rsidRPr="004318C2">
              <w:t>Lai nodrošinātu atbilstošu riska novērtēšanu Latvijā, riska novērtēšanas uzdevumi dzīvnieku un sabiedrības veselības jomā nododami institūtam.</w:t>
            </w:r>
          </w:p>
          <w:p w:rsidR="007B0EF9" w:rsidRPr="004318C2" w:rsidRDefault="007B0EF9" w:rsidP="007B0EF9">
            <w:pPr>
              <w:jc w:val="both"/>
            </w:pPr>
            <w:r w:rsidRPr="004318C2">
              <w:t>Pamatojoties uz minēto, Veterinārmedicīnas likumā institūtam noteiktie uzdevumi ir jāpapildina ar pienākumiem veikt riska novērtēšanu dzīvnieku veselības un sabiedrības veselības jomā.</w:t>
            </w:r>
          </w:p>
          <w:p w:rsidR="007B0EF9" w:rsidRPr="004318C2" w:rsidRDefault="007B0EF9" w:rsidP="007B0EF9">
            <w:pPr>
              <w:pStyle w:val="Parasts1"/>
              <w:jc w:val="both"/>
            </w:pPr>
            <w:r w:rsidRPr="004318C2">
              <w:t xml:space="preserve">Uzdevumu izpilde tiks nodrošināta </w:t>
            </w:r>
            <w:r w:rsidR="005B5238">
              <w:t xml:space="preserve">no </w:t>
            </w:r>
            <w:r w:rsidRPr="004318C2">
              <w:t>piešķirt</w:t>
            </w:r>
            <w:r w:rsidR="005B5238">
              <w:t>ajiem</w:t>
            </w:r>
            <w:r w:rsidRPr="004318C2">
              <w:t xml:space="preserve"> budžeta līdzekļ</w:t>
            </w:r>
            <w:r w:rsidR="005B5238">
              <w:t>iem</w:t>
            </w:r>
            <w:r w:rsidRPr="004318C2">
              <w:t>, riska novērtēšana</w:t>
            </w:r>
            <w:r w:rsidR="005B5238">
              <w:t>i</w:t>
            </w:r>
            <w:r w:rsidRPr="004318C2">
              <w:t xml:space="preserve"> izmantojot </w:t>
            </w:r>
            <w:r w:rsidR="005B5238">
              <w:t xml:space="preserve">saistībā ar </w:t>
            </w:r>
            <w:r w:rsidRPr="004318C2">
              <w:t>valsts uzraudzības un kontroles programm</w:t>
            </w:r>
            <w:r w:rsidR="005B5238">
              <w:t>ām</w:t>
            </w:r>
            <w:r w:rsidRPr="004318C2">
              <w:t xml:space="preserve"> noņemto paraugu laboratorisko izmeklējumu rezultātus, kā arī </w:t>
            </w:r>
            <w:r w:rsidR="005B5238">
              <w:t xml:space="preserve">veicot </w:t>
            </w:r>
            <w:r w:rsidRPr="004318C2">
              <w:t>zinātnisko</w:t>
            </w:r>
            <w:r w:rsidR="005B5238">
              <w:t>s</w:t>
            </w:r>
            <w:r w:rsidRPr="004318C2">
              <w:t xml:space="preserve"> projektu</w:t>
            </w:r>
            <w:r w:rsidR="005B5238">
              <w:t>s</w:t>
            </w:r>
            <w:r w:rsidRPr="004318C2">
              <w:t xml:space="preserve"> un pētījumus.</w:t>
            </w:r>
          </w:p>
          <w:p w:rsidR="00FA0CD9" w:rsidRPr="004318C2" w:rsidRDefault="00F17BB9" w:rsidP="00FA0CD9">
            <w:pPr>
              <w:jc w:val="both"/>
            </w:pPr>
            <w:r w:rsidRPr="004318C2">
              <w:t xml:space="preserve">3. </w:t>
            </w:r>
            <w:r w:rsidR="005C33B9" w:rsidRPr="004318C2">
              <w:t>Tā kā</w:t>
            </w:r>
            <w:r w:rsidR="00FA0CD9" w:rsidRPr="004318C2">
              <w:t xml:space="preserve"> ar 2014.gada 29.decembri stā</w:t>
            </w:r>
            <w:r w:rsidR="0058753B" w:rsidRPr="004318C2">
              <w:t>sies</w:t>
            </w:r>
            <w:r w:rsidR="00FA0CD9" w:rsidRPr="004318C2">
              <w:t xml:space="preserve"> spēkā Eiropas </w:t>
            </w:r>
            <w:r w:rsidR="00FA0CD9" w:rsidRPr="004318C2">
              <w:lastRenderedPageBreak/>
              <w:t xml:space="preserve">Parlamenta un Padomes 2013.gada 12.jūnija Regula (EK) Nr.576/2013 par </w:t>
            </w:r>
            <w:proofErr w:type="spellStart"/>
            <w:r w:rsidR="00FA0CD9" w:rsidRPr="004318C2">
              <w:t>lolojumdzīvnieku</w:t>
            </w:r>
            <w:proofErr w:type="spellEnd"/>
            <w:r w:rsidR="00FA0CD9" w:rsidRPr="004318C2">
              <w:t xml:space="preserve"> nekomerciālu pārvietošanu un par Regulas (EK) Nr.998/2003 atcelšanu (turpmāk – Regula Nr.576/2013), ir nepieciešams noteikt atbildīgās personas, kas nodrošinās</w:t>
            </w:r>
            <w:r w:rsidR="00244375" w:rsidRPr="004318C2">
              <w:t xml:space="preserve"> regul</w:t>
            </w:r>
            <w:r w:rsidR="005B5238">
              <w:t>as</w:t>
            </w:r>
            <w:r w:rsidR="00244375" w:rsidRPr="004318C2">
              <w:t xml:space="preserve"> normu izpildi.</w:t>
            </w:r>
          </w:p>
          <w:p w:rsidR="00EE7D04" w:rsidRPr="004318C2" w:rsidRDefault="00F17BB9" w:rsidP="00EE7D04">
            <w:pPr>
              <w:pStyle w:val="Bezatstarpm"/>
              <w:jc w:val="both"/>
              <w:rPr>
                <w:rFonts w:ascii="Times New Roman" w:hAnsi="Times New Roman" w:cs="Times New Roman"/>
                <w:sz w:val="24"/>
                <w:szCs w:val="24"/>
              </w:rPr>
            </w:pPr>
            <w:r w:rsidRPr="004318C2">
              <w:rPr>
                <w:rFonts w:ascii="Times New Roman" w:hAnsi="Times New Roman" w:cs="Times New Roman"/>
                <w:sz w:val="24"/>
                <w:szCs w:val="24"/>
              </w:rPr>
              <w:t xml:space="preserve">4. </w:t>
            </w:r>
            <w:r w:rsidR="00EE7D04" w:rsidRPr="004318C2">
              <w:rPr>
                <w:rFonts w:ascii="Times New Roman" w:hAnsi="Times New Roman" w:cs="Times New Roman"/>
                <w:sz w:val="24"/>
                <w:szCs w:val="24"/>
              </w:rPr>
              <w:t>Saskaņā ar Veterinārmedicīnas likuma 25.panta 19</w:t>
            </w:r>
            <w:r w:rsidR="00804543" w:rsidRPr="004318C2">
              <w:rPr>
                <w:rFonts w:ascii="Times New Roman" w:hAnsi="Times New Roman" w:cs="Times New Roman"/>
                <w:sz w:val="24"/>
                <w:szCs w:val="24"/>
              </w:rPr>
              <w:t>.</w:t>
            </w:r>
            <w:r w:rsidR="00EE7D04" w:rsidRPr="004318C2">
              <w:rPr>
                <w:rFonts w:ascii="Times New Roman" w:hAnsi="Times New Roman" w:cs="Times New Roman"/>
                <w:sz w:val="24"/>
                <w:szCs w:val="24"/>
              </w:rPr>
              <w:t xml:space="preserve">punktu Ministru kabinets nosaka dzīvnieku sugas, kategorijas un populācijas, attiecībā uz kurām nepieciešams izstrādāt </w:t>
            </w:r>
            <w:proofErr w:type="spellStart"/>
            <w:r w:rsidR="00EE7D04" w:rsidRPr="004318C2">
              <w:rPr>
                <w:rFonts w:ascii="Times New Roman" w:hAnsi="Times New Roman" w:cs="Times New Roman"/>
                <w:sz w:val="24"/>
                <w:szCs w:val="24"/>
              </w:rPr>
              <w:t>biodrošības</w:t>
            </w:r>
            <w:proofErr w:type="spellEnd"/>
            <w:r w:rsidR="00EE7D04" w:rsidRPr="004318C2">
              <w:rPr>
                <w:rFonts w:ascii="Times New Roman" w:hAnsi="Times New Roman" w:cs="Times New Roman"/>
                <w:sz w:val="24"/>
                <w:szCs w:val="24"/>
              </w:rPr>
              <w:t xml:space="preserve"> pasākumu kopumu, kā arī prasības </w:t>
            </w:r>
            <w:proofErr w:type="spellStart"/>
            <w:r w:rsidR="00EE7D04" w:rsidRPr="004318C2">
              <w:rPr>
                <w:rFonts w:ascii="Times New Roman" w:hAnsi="Times New Roman" w:cs="Times New Roman"/>
                <w:sz w:val="24"/>
                <w:szCs w:val="24"/>
              </w:rPr>
              <w:t>biodrošības</w:t>
            </w:r>
            <w:proofErr w:type="spellEnd"/>
            <w:r w:rsidR="00EE7D04" w:rsidRPr="004318C2">
              <w:rPr>
                <w:rFonts w:ascii="Times New Roman" w:hAnsi="Times New Roman" w:cs="Times New Roman"/>
                <w:sz w:val="24"/>
                <w:szCs w:val="24"/>
              </w:rPr>
              <w:t xml:space="preserve"> pasākumu izstrādei dzīvnieku turēšanas vietās un kārtību, kādā šīs prasības saskaņojamas ar Pārtikas un veterināro dienestu. </w:t>
            </w:r>
            <w:r w:rsidR="005C33B9" w:rsidRPr="004318C2">
              <w:rPr>
                <w:rFonts w:ascii="Times New Roman" w:hAnsi="Times New Roman" w:cs="Times New Roman"/>
                <w:sz w:val="24"/>
                <w:szCs w:val="24"/>
              </w:rPr>
              <w:t>Tāpēc</w:t>
            </w:r>
            <w:r w:rsidR="00EE7D04" w:rsidRPr="004318C2">
              <w:rPr>
                <w:rFonts w:ascii="Times New Roman" w:hAnsi="Times New Roman" w:cs="Times New Roman"/>
                <w:sz w:val="24"/>
                <w:szCs w:val="24"/>
              </w:rPr>
              <w:t xml:space="preserve"> lauksaimniecības dzīvnieku īpašniekiem un turētājiem, kuriem saskaņā ar Ministru kabinet</w:t>
            </w:r>
            <w:r w:rsidR="00B743EF" w:rsidRPr="004318C2">
              <w:rPr>
                <w:rFonts w:ascii="Times New Roman" w:hAnsi="Times New Roman" w:cs="Times New Roman"/>
                <w:sz w:val="24"/>
                <w:szCs w:val="24"/>
              </w:rPr>
              <w:t>a</w:t>
            </w:r>
            <w:r w:rsidR="00B35854" w:rsidRPr="004318C2">
              <w:rPr>
                <w:rFonts w:ascii="Times New Roman" w:hAnsi="Times New Roman" w:cs="Times New Roman"/>
                <w:sz w:val="24"/>
                <w:szCs w:val="24"/>
              </w:rPr>
              <w:t xml:space="preserve"> </w:t>
            </w:r>
            <w:r w:rsidR="00227AF8" w:rsidRPr="004318C2">
              <w:rPr>
                <w:rFonts w:ascii="Times New Roman" w:hAnsi="Times New Roman" w:cs="Times New Roman"/>
                <w:sz w:val="24"/>
                <w:szCs w:val="24"/>
              </w:rPr>
              <w:t>2013.gada 20.augusta</w:t>
            </w:r>
            <w:r w:rsidR="00227AF8" w:rsidRPr="004318C2" w:rsidDel="00B743EF">
              <w:rPr>
                <w:rFonts w:ascii="Times New Roman" w:hAnsi="Times New Roman" w:cs="Times New Roman"/>
                <w:sz w:val="24"/>
                <w:szCs w:val="24"/>
              </w:rPr>
              <w:t xml:space="preserve"> </w:t>
            </w:r>
            <w:r w:rsidR="00EE7D04" w:rsidRPr="004318C2">
              <w:rPr>
                <w:rFonts w:ascii="Times New Roman" w:hAnsi="Times New Roman" w:cs="Times New Roman"/>
                <w:sz w:val="24"/>
                <w:szCs w:val="24"/>
              </w:rPr>
              <w:t xml:space="preserve">noteikumiem </w:t>
            </w:r>
            <w:r w:rsidR="00B743EF" w:rsidRPr="004318C2">
              <w:rPr>
                <w:rFonts w:ascii="Times New Roman" w:hAnsi="Times New Roman" w:cs="Times New Roman"/>
                <w:sz w:val="24"/>
                <w:szCs w:val="24"/>
              </w:rPr>
              <w:t>Nr.</w:t>
            </w:r>
            <w:r w:rsidR="00C0691A" w:rsidRPr="004318C2">
              <w:rPr>
                <w:rFonts w:ascii="Times New Roman" w:hAnsi="Times New Roman" w:cs="Times New Roman"/>
                <w:sz w:val="24"/>
                <w:szCs w:val="24"/>
              </w:rPr>
              <w:t xml:space="preserve">621 </w:t>
            </w:r>
            <w:r w:rsidR="00EE7D04" w:rsidRPr="004318C2">
              <w:rPr>
                <w:rFonts w:ascii="Times New Roman" w:hAnsi="Times New Roman" w:cs="Times New Roman"/>
                <w:sz w:val="24"/>
                <w:szCs w:val="24"/>
              </w:rPr>
              <w:t>„</w:t>
            </w:r>
            <w:r w:rsidR="00B35854" w:rsidRPr="004318C2">
              <w:rPr>
                <w:rFonts w:ascii="Times New Roman" w:hAnsi="Times New Roman" w:cs="Times New Roman"/>
                <w:sz w:val="24"/>
                <w:szCs w:val="24"/>
              </w:rPr>
              <w:t xml:space="preserve">Prasības </w:t>
            </w:r>
            <w:proofErr w:type="spellStart"/>
            <w:r w:rsidR="00B35854" w:rsidRPr="004318C2">
              <w:rPr>
                <w:rFonts w:ascii="Times New Roman" w:hAnsi="Times New Roman" w:cs="Times New Roman"/>
                <w:sz w:val="24"/>
                <w:szCs w:val="24"/>
              </w:rPr>
              <w:t>biodrošības</w:t>
            </w:r>
            <w:proofErr w:type="spellEnd"/>
            <w:r w:rsidR="00B35854" w:rsidRPr="004318C2">
              <w:rPr>
                <w:rFonts w:ascii="Times New Roman" w:hAnsi="Times New Roman" w:cs="Times New Roman"/>
                <w:sz w:val="24"/>
                <w:szCs w:val="24"/>
              </w:rPr>
              <w:t xml:space="preserve"> pasākumu izstrādei dzīvnieku turēšanas vietās un kārtība, kādā šīs prasības tiek saskaņotas ar Pārtikas un veterināro dienestu</w:t>
            </w:r>
            <w:r w:rsidR="00EE7D04" w:rsidRPr="004318C2">
              <w:rPr>
                <w:rFonts w:ascii="Times New Roman" w:hAnsi="Times New Roman" w:cs="Times New Roman"/>
                <w:sz w:val="24"/>
                <w:szCs w:val="24"/>
              </w:rPr>
              <w:t>”</w:t>
            </w:r>
            <w:r w:rsidR="00FA0CD9" w:rsidRPr="004318C2">
              <w:rPr>
                <w:rFonts w:ascii="Times New Roman" w:hAnsi="Times New Roman" w:cs="Times New Roman"/>
                <w:sz w:val="24"/>
                <w:szCs w:val="24"/>
              </w:rPr>
              <w:t xml:space="preserve"> (turpmāk – noteikumi Nr.621)</w:t>
            </w:r>
            <w:r w:rsidR="00EE7D04" w:rsidRPr="004318C2">
              <w:rPr>
                <w:rFonts w:ascii="Times New Roman" w:hAnsi="Times New Roman" w:cs="Times New Roman"/>
                <w:sz w:val="24"/>
                <w:szCs w:val="24"/>
              </w:rPr>
              <w:t xml:space="preserve"> ir pienākums dzīvnieku turēšanas vietās izstrādāt un ieviest </w:t>
            </w:r>
            <w:proofErr w:type="spellStart"/>
            <w:r w:rsidR="00EE7D04" w:rsidRPr="004318C2">
              <w:rPr>
                <w:rFonts w:ascii="Times New Roman" w:hAnsi="Times New Roman" w:cs="Times New Roman"/>
                <w:sz w:val="24"/>
                <w:szCs w:val="24"/>
              </w:rPr>
              <w:t>biodrošības</w:t>
            </w:r>
            <w:proofErr w:type="spellEnd"/>
            <w:r w:rsidR="00EE7D04" w:rsidRPr="004318C2">
              <w:rPr>
                <w:rFonts w:ascii="Times New Roman" w:hAnsi="Times New Roman" w:cs="Times New Roman"/>
                <w:sz w:val="24"/>
                <w:szCs w:val="24"/>
              </w:rPr>
              <w:t xml:space="preserve"> pasākumu kopumu, ir radīts papildu administratīvais slogs</w:t>
            </w:r>
            <w:r w:rsidR="005C33B9" w:rsidRPr="004318C2">
              <w:rPr>
                <w:rFonts w:ascii="Times New Roman" w:hAnsi="Times New Roman" w:cs="Times New Roman"/>
                <w:sz w:val="24"/>
                <w:szCs w:val="24"/>
              </w:rPr>
              <w:t xml:space="preserve">, t.i., </w:t>
            </w:r>
            <w:r w:rsidR="00EE7D04" w:rsidRPr="004318C2">
              <w:rPr>
                <w:rFonts w:ascii="Times New Roman" w:hAnsi="Times New Roman" w:cs="Times New Roman"/>
                <w:sz w:val="24"/>
                <w:szCs w:val="24"/>
              </w:rPr>
              <w:t xml:space="preserve">pienākums saskaņot izstrādāto </w:t>
            </w:r>
            <w:proofErr w:type="spellStart"/>
            <w:r w:rsidR="00EE7D04" w:rsidRPr="004318C2">
              <w:rPr>
                <w:rFonts w:ascii="Times New Roman" w:hAnsi="Times New Roman" w:cs="Times New Roman"/>
                <w:sz w:val="24"/>
                <w:szCs w:val="24"/>
              </w:rPr>
              <w:t>biodrošības</w:t>
            </w:r>
            <w:proofErr w:type="spellEnd"/>
            <w:r w:rsidR="00EE7D04" w:rsidRPr="004318C2">
              <w:rPr>
                <w:rFonts w:ascii="Times New Roman" w:hAnsi="Times New Roman" w:cs="Times New Roman"/>
                <w:sz w:val="24"/>
                <w:szCs w:val="24"/>
              </w:rPr>
              <w:t xml:space="preserve"> pasākumu plānu ar Pārtikas un veterināro dienestu. </w:t>
            </w:r>
            <w:r w:rsidR="00D559B2" w:rsidRPr="004318C2">
              <w:rPr>
                <w:rFonts w:ascii="Times New Roman" w:hAnsi="Times New Roman" w:cs="Times New Roman"/>
                <w:sz w:val="24"/>
                <w:szCs w:val="24"/>
              </w:rPr>
              <w:t>Noteikumi Nr.621 ir spēkā no 2014.gada 1.janvāra</w:t>
            </w:r>
            <w:r w:rsidR="005B5238">
              <w:rPr>
                <w:rFonts w:ascii="Times New Roman" w:hAnsi="Times New Roman" w:cs="Times New Roman"/>
                <w:sz w:val="24"/>
                <w:szCs w:val="24"/>
              </w:rPr>
              <w:t>,</w:t>
            </w:r>
            <w:r w:rsidR="00D559B2" w:rsidRPr="004318C2">
              <w:rPr>
                <w:rFonts w:ascii="Times New Roman" w:hAnsi="Times New Roman" w:cs="Times New Roman"/>
                <w:sz w:val="24"/>
                <w:szCs w:val="24"/>
              </w:rPr>
              <w:t xml:space="preserve"> un noteikumu teksts atbilst Veterinārmedicīnas likuma 25.panta 19.punktā noteiktajam pilnvarojumam.</w:t>
            </w:r>
          </w:p>
          <w:p w:rsidR="00EE7D04" w:rsidRPr="004318C2" w:rsidRDefault="00EE7D04" w:rsidP="00EE7D04">
            <w:pPr>
              <w:pStyle w:val="Bezatstarpm"/>
              <w:jc w:val="both"/>
              <w:rPr>
                <w:rFonts w:ascii="Times New Roman" w:hAnsi="Times New Roman" w:cs="Times New Roman"/>
                <w:sz w:val="24"/>
                <w:szCs w:val="24"/>
              </w:rPr>
            </w:pPr>
            <w:r w:rsidRPr="004318C2">
              <w:rPr>
                <w:rFonts w:ascii="Times New Roman" w:hAnsi="Times New Roman" w:cs="Times New Roman"/>
                <w:sz w:val="24"/>
                <w:szCs w:val="24"/>
              </w:rPr>
              <w:t xml:space="preserve">Turklāt Eiropas Savienības normatīvajos aktos </w:t>
            </w:r>
            <w:r w:rsidR="005B5238" w:rsidRPr="004318C2">
              <w:rPr>
                <w:rFonts w:ascii="Times New Roman" w:hAnsi="Times New Roman" w:cs="Times New Roman"/>
                <w:sz w:val="24"/>
                <w:szCs w:val="24"/>
              </w:rPr>
              <w:t xml:space="preserve">dzīvnieku īpašniekam </w:t>
            </w:r>
            <w:r w:rsidRPr="004318C2">
              <w:rPr>
                <w:rFonts w:ascii="Times New Roman" w:hAnsi="Times New Roman" w:cs="Times New Roman"/>
                <w:sz w:val="24"/>
                <w:szCs w:val="24"/>
              </w:rPr>
              <w:t>nav noteikt</w:t>
            </w:r>
            <w:r w:rsidR="00227AF8" w:rsidRPr="004318C2">
              <w:rPr>
                <w:rFonts w:ascii="Times New Roman" w:hAnsi="Times New Roman" w:cs="Times New Roman"/>
                <w:sz w:val="24"/>
                <w:szCs w:val="24"/>
              </w:rPr>
              <w:t>s</w:t>
            </w:r>
            <w:r w:rsidRPr="004318C2">
              <w:rPr>
                <w:rFonts w:ascii="Times New Roman" w:hAnsi="Times New Roman" w:cs="Times New Roman"/>
                <w:sz w:val="24"/>
                <w:szCs w:val="24"/>
              </w:rPr>
              <w:t xml:space="preserve"> </w:t>
            </w:r>
            <w:r w:rsidR="00227AF8" w:rsidRPr="004318C2">
              <w:rPr>
                <w:rFonts w:ascii="Times New Roman" w:hAnsi="Times New Roman" w:cs="Times New Roman"/>
                <w:sz w:val="24"/>
                <w:szCs w:val="24"/>
              </w:rPr>
              <w:t>pienākums</w:t>
            </w:r>
            <w:r w:rsidRPr="004318C2">
              <w:rPr>
                <w:rFonts w:ascii="Times New Roman" w:hAnsi="Times New Roman" w:cs="Times New Roman"/>
                <w:sz w:val="24"/>
                <w:szCs w:val="24"/>
              </w:rPr>
              <w:t xml:space="preserve"> šāda veida pasākumu plānu saskaņot ar kompetento iestādi. </w:t>
            </w:r>
          </w:p>
          <w:p w:rsidR="00EE7D04" w:rsidRPr="004318C2" w:rsidRDefault="005C33B9" w:rsidP="00EE7D04">
            <w:pPr>
              <w:pStyle w:val="Bezatstarpm"/>
              <w:jc w:val="both"/>
              <w:rPr>
                <w:rFonts w:ascii="Times New Roman" w:hAnsi="Times New Roman" w:cs="Times New Roman"/>
                <w:sz w:val="24"/>
                <w:szCs w:val="24"/>
              </w:rPr>
            </w:pPr>
            <w:r w:rsidRPr="004318C2">
              <w:rPr>
                <w:rFonts w:ascii="Times New Roman" w:hAnsi="Times New Roman" w:cs="Times New Roman"/>
                <w:sz w:val="24"/>
                <w:szCs w:val="24"/>
              </w:rPr>
              <w:t>Tāpēc</w:t>
            </w:r>
            <w:r w:rsidR="00EE7D04" w:rsidRPr="004318C2">
              <w:rPr>
                <w:rFonts w:ascii="Times New Roman" w:hAnsi="Times New Roman" w:cs="Times New Roman"/>
                <w:sz w:val="24"/>
                <w:szCs w:val="24"/>
              </w:rPr>
              <w:t xml:space="preserve"> precizē</w:t>
            </w:r>
            <w:r w:rsidRPr="004318C2">
              <w:rPr>
                <w:rFonts w:ascii="Times New Roman" w:hAnsi="Times New Roman" w:cs="Times New Roman"/>
                <w:sz w:val="24"/>
                <w:szCs w:val="24"/>
              </w:rPr>
              <w:t>jams</w:t>
            </w:r>
            <w:r w:rsidR="00EE7D04" w:rsidRPr="004318C2">
              <w:rPr>
                <w:rFonts w:ascii="Times New Roman" w:hAnsi="Times New Roman" w:cs="Times New Roman"/>
                <w:sz w:val="24"/>
                <w:szCs w:val="24"/>
              </w:rPr>
              <w:t xml:space="preserve"> 25.panta 19.punktā noteikt</w:t>
            </w:r>
            <w:r w:rsidRPr="004318C2">
              <w:rPr>
                <w:rFonts w:ascii="Times New Roman" w:hAnsi="Times New Roman" w:cs="Times New Roman"/>
                <w:sz w:val="24"/>
                <w:szCs w:val="24"/>
              </w:rPr>
              <w:t>ais</w:t>
            </w:r>
            <w:r w:rsidR="00EE7D04" w:rsidRPr="004318C2">
              <w:rPr>
                <w:rFonts w:ascii="Times New Roman" w:hAnsi="Times New Roman" w:cs="Times New Roman"/>
                <w:sz w:val="24"/>
                <w:szCs w:val="24"/>
              </w:rPr>
              <w:t xml:space="preserve"> </w:t>
            </w:r>
            <w:r w:rsidR="00FF49B4" w:rsidRPr="004318C2">
              <w:rPr>
                <w:rFonts w:ascii="Times New Roman" w:hAnsi="Times New Roman" w:cs="Times New Roman"/>
                <w:sz w:val="24"/>
                <w:szCs w:val="24"/>
              </w:rPr>
              <w:t>pilnvarojum</w:t>
            </w:r>
            <w:r w:rsidRPr="004318C2">
              <w:rPr>
                <w:rFonts w:ascii="Times New Roman" w:hAnsi="Times New Roman" w:cs="Times New Roman"/>
                <w:sz w:val="24"/>
                <w:szCs w:val="24"/>
              </w:rPr>
              <w:t>s</w:t>
            </w:r>
            <w:r w:rsidR="00FF49B4" w:rsidRPr="004318C2">
              <w:rPr>
                <w:rFonts w:ascii="Times New Roman" w:hAnsi="Times New Roman" w:cs="Times New Roman"/>
                <w:sz w:val="24"/>
                <w:szCs w:val="24"/>
              </w:rPr>
              <w:t xml:space="preserve"> </w:t>
            </w:r>
            <w:r w:rsidR="00EE7D04" w:rsidRPr="004318C2">
              <w:rPr>
                <w:rFonts w:ascii="Times New Roman" w:hAnsi="Times New Roman" w:cs="Times New Roman"/>
                <w:sz w:val="24"/>
                <w:szCs w:val="24"/>
              </w:rPr>
              <w:t xml:space="preserve">Ministru kabinetam, svītrojot normu par </w:t>
            </w:r>
            <w:proofErr w:type="spellStart"/>
            <w:r w:rsidR="00EE7D04" w:rsidRPr="004318C2">
              <w:rPr>
                <w:rFonts w:ascii="Times New Roman" w:hAnsi="Times New Roman" w:cs="Times New Roman"/>
                <w:sz w:val="24"/>
                <w:szCs w:val="24"/>
              </w:rPr>
              <w:t>biodrošības</w:t>
            </w:r>
            <w:proofErr w:type="spellEnd"/>
            <w:r w:rsidR="00EE7D04" w:rsidRPr="004318C2">
              <w:rPr>
                <w:rFonts w:ascii="Times New Roman" w:hAnsi="Times New Roman" w:cs="Times New Roman"/>
                <w:sz w:val="24"/>
                <w:szCs w:val="24"/>
              </w:rPr>
              <w:t xml:space="preserve"> pasākumu plāna saskaņošanu ar Pārtikas un veterināro dienestu.</w:t>
            </w:r>
          </w:p>
          <w:p w:rsidR="00677A61" w:rsidRPr="004318C2" w:rsidRDefault="00F17BB9" w:rsidP="00296081">
            <w:pPr>
              <w:jc w:val="both"/>
            </w:pPr>
            <w:r w:rsidRPr="004318C2">
              <w:t xml:space="preserve">5. </w:t>
            </w:r>
            <w:r w:rsidR="00296081" w:rsidRPr="004318C2">
              <w:t>Dzīvnieku veselības jomu reg</w:t>
            </w:r>
            <w:r w:rsidR="00EC7C1C" w:rsidRPr="004318C2">
              <w:t>lamentē</w:t>
            </w:r>
            <w:r w:rsidR="00296081" w:rsidRPr="004318C2">
              <w:t xml:space="preserve"> </w:t>
            </w:r>
            <w:r w:rsidR="005C33B9" w:rsidRPr="004318C2">
              <w:t xml:space="preserve">ne tikai </w:t>
            </w:r>
            <w:r w:rsidR="00296081" w:rsidRPr="004318C2">
              <w:t>Latvijas Republik</w:t>
            </w:r>
            <w:r w:rsidR="00EC7C1C" w:rsidRPr="004318C2">
              <w:t>as</w:t>
            </w:r>
            <w:r w:rsidR="005C33B9" w:rsidRPr="004318C2">
              <w:t>, bet arī</w:t>
            </w:r>
            <w:r w:rsidR="00296081" w:rsidRPr="004318C2">
              <w:t xml:space="preserve"> Eiropas Savienības normatīvie akti</w:t>
            </w:r>
            <w:r w:rsidR="00F3513E" w:rsidRPr="004318C2">
              <w:t xml:space="preserve">, </w:t>
            </w:r>
            <w:r w:rsidR="00EC7C1C" w:rsidRPr="004318C2">
              <w:t>tostarp</w:t>
            </w:r>
            <w:r w:rsidR="00F3513E" w:rsidRPr="004318C2">
              <w:t xml:space="preserve"> </w:t>
            </w:r>
            <w:r w:rsidR="005B5238">
              <w:t>tieši piemērojamā</w:t>
            </w:r>
            <w:r w:rsidR="005B5238" w:rsidRPr="004318C2">
              <w:t xml:space="preserve">s </w:t>
            </w:r>
            <w:r w:rsidR="00F3513E" w:rsidRPr="004318C2">
              <w:t>regulas</w:t>
            </w:r>
            <w:r w:rsidR="00296081" w:rsidRPr="004318C2">
              <w:t>. Dzīvnieku īpašniekam un turētājam ir jāievēro vis</w:t>
            </w:r>
            <w:r w:rsidR="005C33B9" w:rsidRPr="004318C2">
              <w:t>u</w:t>
            </w:r>
            <w:r w:rsidR="00296081" w:rsidRPr="004318C2">
              <w:t xml:space="preserve"> dzīvnieku veselības jomu reg</w:t>
            </w:r>
            <w:r w:rsidR="006008F8" w:rsidRPr="004318C2">
              <w:t>lamentējoš</w:t>
            </w:r>
            <w:r w:rsidR="005C33B9" w:rsidRPr="004318C2">
              <w:t>o</w:t>
            </w:r>
            <w:r w:rsidR="00296081" w:rsidRPr="004318C2">
              <w:t xml:space="preserve"> normatīv</w:t>
            </w:r>
            <w:r w:rsidR="005C33B9" w:rsidRPr="004318C2">
              <w:t>o</w:t>
            </w:r>
            <w:r w:rsidR="00296081" w:rsidRPr="004318C2">
              <w:t xml:space="preserve"> akt</w:t>
            </w:r>
            <w:r w:rsidR="005C33B9" w:rsidRPr="004318C2">
              <w:t>u prasības, jo</w:t>
            </w:r>
            <w:r w:rsidR="00296081" w:rsidRPr="004318C2">
              <w:t xml:space="preserve"> tikai t</w:t>
            </w:r>
            <w:r w:rsidR="005C33B9" w:rsidRPr="004318C2">
              <w:t>a</w:t>
            </w:r>
            <w:r w:rsidR="005B5238">
              <w:t>d</w:t>
            </w:r>
            <w:r w:rsidR="00296081" w:rsidRPr="004318C2">
              <w:t xml:space="preserve"> epizootij</w:t>
            </w:r>
            <w:r w:rsidR="005C33B9" w:rsidRPr="004318C2">
              <w:t>as</w:t>
            </w:r>
            <w:r w:rsidR="00296081" w:rsidRPr="004318C2">
              <w:t xml:space="preserve"> un </w:t>
            </w:r>
            <w:r w:rsidR="005B5238">
              <w:t>vairāk</w:t>
            </w:r>
            <w:r w:rsidR="00296081" w:rsidRPr="004318C2">
              <w:t xml:space="preserve">u valsts kontrolē esošu dzīvnieku infekcijas slimību uzliesmojuma gadījumā dzīvnieku īpašnieks var pretendēt uz </w:t>
            </w:r>
            <w:r w:rsidR="00135245" w:rsidRPr="004318C2">
              <w:t>epizootij</w:t>
            </w:r>
            <w:r w:rsidR="005C33B9" w:rsidRPr="004318C2">
              <w:t>as</w:t>
            </w:r>
            <w:r w:rsidR="00135245" w:rsidRPr="004318C2">
              <w:t xml:space="preserve"> vai valsts kontrolē esošu dzīvnieku infekcijas </w:t>
            </w:r>
            <w:r w:rsidR="00296081" w:rsidRPr="004318C2">
              <w:t>slimību apkarošanas rezultātā radīto zaudējumu kompensāciju no valsts budžeta.</w:t>
            </w:r>
          </w:p>
          <w:p w:rsidR="00F3513E" w:rsidRPr="004318C2" w:rsidRDefault="005B5238" w:rsidP="00296081">
            <w:pPr>
              <w:jc w:val="both"/>
            </w:pPr>
            <w:r>
              <w:t>S</w:t>
            </w:r>
            <w:r w:rsidR="00F3513E" w:rsidRPr="004318C2">
              <w:t xml:space="preserve">pēkā </w:t>
            </w:r>
            <w:r>
              <w:t>esošajos</w:t>
            </w:r>
            <w:r w:rsidR="00F3513E" w:rsidRPr="004318C2">
              <w:t xml:space="preserve"> Ministru kabineta 2005.gada 15.marta noteikumi Nr.177 „Kārtība, kādā piešķir un dzīvnieku īpašnieks saņem kompensāciju par zaudējumiem, kas radušies valsts uzraudzībā esošās dzīvnieku infekcijas slimības vai epizootijas uzliesmojuma laikā” (turpmāk – noteikumi Nr.177)</w:t>
            </w:r>
            <w:r w:rsidR="00D04DF4" w:rsidRPr="004318C2">
              <w:t xml:space="preserve"> ir </w:t>
            </w:r>
            <w:r w:rsidR="005C33B9" w:rsidRPr="004318C2">
              <w:t>noteik</w:t>
            </w:r>
            <w:r w:rsidR="00D04DF4" w:rsidRPr="004318C2">
              <w:t>ta kārtība, kādā piešķir un dzīvnieku īpašnieks saņem kompensāciju par zaudējumiem, kā arī kritēriji kompensācijas samazināšanai. Tā kā Veterinārmedicīnas likuma 35.panta otrajā daļā un 38.panta otrajā daļā, uz kuru pamata ir izdoti noteikumi Nr.177</w:t>
            </w:r>
            <w:r w:rsidR="005C33B9" w:rsidRPr="004318C2">
              <w:t>,</w:t>
            </w:r>
            <w:r w:rsidR="00D04DF4" w:rsidRPr="004318C2">
              <w:t xml:space="preserve"> nav </w:t>
            </w:r>
            <w:r w:rsidR="005C33B9" w:rsidRPr="004318C2">
              <w:t>do</w:t>
            </w:r>
            <w:r w:rsidR="006925F1" w:rsidRPr="004318C2">
              <w:t xml:space="preserve">ts pilnvarojums </w:t>
            </w:r>
            <w:r w:rsidR="00D04DF4" w:rsidRPr="004318C2">
              <w:t xml:space="preserve">Ministru kabinetam noteikt kritērijus kompensācijas samazināšanai, tad ir nepieciešams attiecīgi precizēt minēto </w:t>
            </w:r>
            <w:r w:rsidR="006241A0" w:rsidRPr="004318C2">
              <w:t xml:space="preserve">pilnvarojumu </w:t>
            </w:r>
            <w:r w:rsidR="00D04DF4" w:rsidRPr="004318C2">
              <w:t>redakcij</w:t>
            </w:r>
            <w:r w:rsidR="005C33B9" w:rsidRPr="004318C2">
              <w:t>u</w:t>
            </w:r>
            <w:r w:rsidR="00D04DF4" w:rsidRPr="004318C2">
              <w:t>.</w:t>
            </w:r>
          </w:p>
          <w:p w:rsidR="00F11AF5" w:rsidRPr="004318C2" w:rsidRDefault="00F11AF5" w:rsidP="00296081">
            <w:pPr>
              <w:jc w:val="both"/>
            </w:pPr>
            <w:r w:rsidRPr="004318C2">
              <w:lastRenderedPageBreak/>
              <w:t>Dzīvnieku slimību apkarošana rada ļoti lielus zaudējumus dzīvnieku īpašniekiem</w:t>
            </w:r>
            <w:r w:rsidR="005B5238">
              <w:t>,</w:t>
            </w:r>
            <w:r w:rsidRPr="004318C2">
              <w:t xml:space="preserve"> un </w:t>
            </w:r>
            <w:r w:rsidR="005B5238">
              <w:t xml:space="preserve">ir </w:t>
            </w:r>
            <w:r w:rsidRPr="004318C2">
              <w:t xml:space="preserve">svarīgi noteikt tās slimības, kuru uzliesmojuma gadījumā dzīvnieku īpašnieks ir tiesīgs saņemt zaudējumu kompensāciju no valsts. Tā kā zaudējumu kompensācijas </w:t>
            </w:r>
            <w:r w:rsidR="005B5238">
              <w:t xml:space="preserve">tiek </w:t>
            </w:r>
            <w:r w:rsidRPr="004318C2">
              <w:t>se</w:t>
            </w:r>
            <w:r w:rsidR="005B5238">
              <w:t xml:space="preserve">gtas </w:t>
            </w:r>
            <w:r w:rsidRPr="004318C2">
              <w:t>no valsts budžeta, tad kompensējamo slimību sarakstu ir nepieciešams noteikt likumā un kārtību, kādā dzīvnieku īpašniekam piešķir un izmaksā zaudējumu kompensāciju</w:t>
            </w:r>
            <w:r w:rsidR="005B5238">
              <w:t>,</w:t>
            </w:r>
            <w:r w:rsidRPr="004318C2">
              <w:t xml:space="preserve"> noteikt Ministru kabineta noteikumos. Pēc likumprojekta pieņemšanas Saeimā būs </w:t>
            </w:r>
            <w:r w:rsidR="005B5238">
              <w:t>jāizdara</w:t>
            </w:r>
            <w:r w:rsidRPr="004318C2">
              <w:t xml:space="preserve"> grozījum</w:t>
            </w:r>
            <w:r w:rsidR="005B5238">
              <w:t>i</w:t>
            </w:r>
            <w:r w:rsidRPr="004318C2">
              <w:t xml:space="preserve"> noteikumos Nr.177, no tiem svītrojot slimīb</w:t>
            </w:r>
            <w:r w:rsidR="0008072D" w:rsidRPr="004318C2">
              <w:t>as</w:t>
            </w:r>
            <w:r w:rsidRPr="004318C2">
              <w:t>, kuru uzliesmojuma gadījumā var saņemt zaudējuma kompensāciju.</w:t>
            </w:r>
          </w:p>
          <w:p w:rsidR="003D5193" w:rsidRPr="004318C2" w:rsidRDefault="003D5193" w:rsidP="00296081">
            <w:pPr>
              <w:jc w:val="both"/>
            </w:pPr>
            <w:r w:rsidRPr="004318C2">
              <w:t xml:space="preserve">6. 2012.gadā Latvija Eiropas Komisijā </w:t>
            </w:r>
            <w:r w:rsidR="005C33B9" w:rsidRPr="004318C2">
              <w:t xml:space="preserve">iesniedza </w:t>
            </w:r>
            <w:r w:rsidRPr="004318C2">
              <w:t xml:space="preserve">pieteikumu valsts atzīšanai par brīvu no govju enzootiskās leikozes. Eiropas Komisija, izvērtējot iesniegto pieteikumu un sniegto pamatojumu, atzina Latviju par brīvu no govju enzootiskās leikozes (Eiropas Komisijas 2012.gada 27.jūlija ieviesošais lēmums Nr.2012/449/ES). Valsts interesēs ir saglabāt šādu statusu, jo tas atvieglo dzīvnieku un to produktu tirdzniecību </w:t>
            </w:r>
            <w:r w:rsidR="005C33B9" w:rsidRPr="004318C2">
              <w:t xml:space="preserve">starp </w:t>
            </w:r>
            <w:r w:rsidRPr="004318C2">
              <w:t>Eiropas Savienības dalībvalst</w:t>
            </w:r>
            <w:r w:rsidR="005C33B9" w:rsidRPr="004318C2">
              <w:t>īm</w:t>
            </w:r>
            <w:r w:rsidRPr="004318C2">
              <w:t>, kā arī tirdzniecību ar trešajām valstī</w:t>
            </w:r>
            <w:r w:rsidR="005B5238">
              <w:t>m</w:t>
            </w:r>
            <w:r w:rsidRPr="004318C2">
              <w:t xml:space="preserve">. </w:t>
            </w:r>
            <w:r w:rsidR="005C33B9" w:rsidRPr="004318C2">
              <w:t>Tāpēc</w:t>
            </w:r>
            <w:r w:rsidRPr="004318C2">
              <w:t xml:space="preserve"> ir </w:t>
            </w:r>
            <w:r w:rsidR="005C33B9" w:rsidRPr="004318C2">
              <w:t>jā</w:t>
            </w:r>
            <w:r w:rsidRPr="004318C2">
              <w:t>paredz kompensācij</w:t>
            </w:r>
            <w:r w:rsidR="005C33B9" w:rsidRPr="004318C2">
              <w:t>a</w:t>
            </w:r>
            <w:r w:rsidRPr="004318C2">
              <w:t xml:space="preserve"> dzīvnieku īpašniekiem, ja to dzīvnieku</w:t>
            </w:r>
            <w:r w:rsidR="005C33B9" w:rsidRPr="004318C2">
              <w:t>s</w:t>
            </w:r>
            <w:r w:rsidRPr="004318C2">
              <w:t xml:space="preserve"> nokauj, lai apkarotu govju enzootisko leikozi. 2012.gadā govju enzootiskā leikoze konstatēta 3 novietnēs 7 liellopiem un 2013.gada 9 mēnešos</w:t>
            </w:r>
            <w:r w:rsidR="005C33B9" w:rsidRPr="004318C2">
              <w:t> – vienā</w:t>
            </w:r>
            <w:r w:rsidRPr="004318C2">
              <w:t xml:space="preserve"> novietnē vienam liellopam. </w:t>
            </w:r>
            <w:r w:rsidR="00CA55BF" w:rsidRPr="004318C2">
              <w:t>Kompensācij</w:t>
            </w:r>
            <w:r w:rsidR="005B5238">
              <w:t>as</w:t>
            </w:r>
            <w:r w:rsidR="00CA55BF" w:rsidRPr="004318C2">
              <w:t xml:space="preserve"> ap</w:t>
            </w:r>
            <w:r w:rsidR="005C33B9" w:rsidRPr="004318C2">
              <w:t>mēru</w:t>
            </w:r>
            <w:r w:rsidR="00CA55BF" w:rsidRPr="004318C2">
              <w:t xml:space="preserve"> nav iespējams precīzi aprēķināt, jo n</w:t>
            </w:r>
            <w:r w:rsidR="005C33B9" w:rsidRPr="004318C2">
              <w:t>evar</w:t>
            </w:r>
            <w:r w:rsidR="00CA55BF" w:rsidRPr="004318C2">
              <w:t xml:space="preserve"> paredzēt</w:t>
            </w:r>
            <w:r w:rsidR="005C33B9" w:rsidRPr="004318C2">
              <w:t>,</w:t>
            </w:r>
            <w:r w:rsidR="00CA55BF" w:rsidRPr="004318C2">
              <w:t xml:space="preserve"> cik dzīvnieku saslims turpmākajos gados. Kompensācijas </w:t>
            </w:r>
            <w:r w:rsidR="005C33B9" w:rsidRPr="004318C2">
              <w:t xml:space="preserve">tiek </w:t>
            </w:r>
            <w:r w:rsidR="00CA55BF" w:rsidRPr="004318C2">
              <w:t>izmaksā</w:t>
            </w:r>
            <w:r w:rsidR="005C33B9" w:rsidRPr="004318C2">
              <w:t>tas</w:t>
            </w:r>
            <w:r w:rsidR="00CA55BF" w:rsidRPr="004318C2">
              <w:t xml:space="preserve"> no valsts budžeta programmas 02.00.00. „Līdzekļi neparedzētiem gadījumiem”.</w:t>
            </w:r>
          </w:p>
          <w:p w:rsidR="00296081" w:rsidRPr="004318C2" w:rsidRDefault="00CA55BF" w:rsidP="00BF7301">
            <w:pPr>
              <w:jc w:val="both"/>
            </w:pPr>
            <w:r w:rsidRPr="004318C2">
              <w:t>7</w:t>
            </w:r>
            <w:r w:rsidR="00F17BB9" w:rsidRPr="004318C2">
              <w:t xml:space="preserve">. </w:t>
            </w:r>
            <w:r w:rsidR="00BF7301" w:rsidRPr="004318C2">
              <w:t>Amerikas peru puves uzliesmojuma apkarošana rada ievērojamus zaudējumus medus bišu dravu īpašniekiem. Lai veicinātu Amerikas peru puves apkarošanu valstī</w:t>
            </w:r>
            <w:r w:rsidR="00FF6EFE" w:rsidRPr="004318C2">
              <w:t>,</w:t>
            </w:r>
            <w:r w:rsidR="00BF7301" w:rsidRPr="004318C2">
              <w:t xml:space="preserve"> ir nepieciešams bišu dravu īpašniekiem </w:t>
            </w:r>
            <w:r w:rsidR="005B5238" w:rsidRPr="004318C2">
              <w:t xml:space="preserve">segt </w:t>
            </w:r>
            <w:r w:rsidR="00135245" w:rsidRPr="004318C2">
              <w:t xml:space="preserve">Amerikas peru puves uzliesmojuma </w:t>
            </w:r>
            <w:r w:rsidR="00BF7301" w:rsidRPr="004318C2">
              <w:t xml:space="preserve">apkarošanas laikā radušos zaudējumus. </w:t>
            </w:r>
            <w:r w:rsidR="00F84E6F" w:rsidRPr="004318C2">
              <w:t xml:space="preserve">Tāpēc </w:t>
            </w:r>
            <w:r w:rsidR="00324829" w:rsidRPr="004318C2">
              <w:t xml:space="preserve">Veterinārmedicīnas </w:t>
            </w:r>
            <w:r w:rsidR="00BF7301" w:rsidRPr="004318C2">
              <w:t xml:space="preserve">likumā noteikto kompensējamo slimību saraksts jāpapildina ar </w:t>
            </w:r>
            <w:r w:rsidR="007D4AC8" w:rsidRPr="004318C2">
              <w:t>slimības „</w:t>
            </w:r>
            <w:r w:rsidR="00BF7301" w:rsidRPr="004318C2">
              <w:t>Amerikas peru puve</w:t>
            </w:r>
            <w:r w:rsidR="007D4AC8" w:rsidRPr="004318C2">
              <w:t>”</w:t>
            </w:r>
            <w:r w:rsidR="00BF7301" w:rsidRPr="004318C2">
              <w:t xml:space="preserve"> nosaukumu. </w:t>
            </w:r>
          </w:p>
          <w:p w:rsidR="00D04DF4" w:rsidRPr="004318C2" w:rsidRDefault="00CA55BF" w:rsidP="00F84E6F">
            <w:pPr>
              <w:jc w:val="both"/>
            </w:pPr>
            <w:r w:rsidRPr="004318C2">
              <w:t>8</w:t>
            </w:r>
            <w:r w:rsidR="00721D1B" w:rsidRPr="004318C2">
              <w:t xml:space="preserve">. </w:t>
            </w:r>
            <w:r w:rsidR="00F84E6F" w:rsidRPr="004318C2">
              <w:t xml:space="preserve">Tā kā </w:t>
            </w:r>
            <w:r w:rsidR="00BF7301" w:rsidRPr="004318C2">
              <w:t xml:space="preserve">Latvijā </w:t>
            </w:r>
            <w:r w:rsidR="00F84E6F" w:rsidRPr="004318C2">
              <w:t xml:space="preserve">epizootiskā situācija ar </w:t>
            </w:r>
            <w:r w:rsidR="00BF7301" w:rsidRPr="004318C2">
              <w:t>trakumsērg</w:t>
            </w:r>
            <w:r w:rsidR="00F84E6F" w:rsidRPr="004318C2">
              <w:t>u</w:t>
            </w:r>
            <w:r w:rsidR="00BF7301" w:rsidRPr="004318C2">
              <w:t xml:space="preserve"> ir ļoti laba</w:t>
            </w:r>
            <w:r w:rsidR="00F84E6F" w:rsidRPr="004318C2">
              <w:t>,</w:t>
            </w:r>
            <w:r w:rsidR="00BF7301" w:rsidRPr="004318C2">
              <w:t xml:space="preserve"> </w:t>
            </w:r>
            <w:r w:rsidR="00135245" w:rsidRPr="004318C2">
              <w:t>tika izstrādāti</w:t>
            </w:r>
            <w:r w:rsidR="00BF7301" w:rsidRPr="004318C2">
              <w:t xml:space="preserve"> grozījumi Veterinārmedicīnas likumā</w:t>
            </w:r>
            <w:r w:rsidR="00603424" w:rsidRPr="004318C2">
              <w:t xml:space="preserve"> (Saeimā pieņemti</w:t>
            </w:r>
            <w:r w:rsidR="00022528" w:rsidRPr="004318C2">
              <w:t xml:space="preserve"> 2013.gada 4.aprīlī)</w:t>
            </w:r>
            <w:r w:rsidR="00BF7301" w:rsidRPr="004318C2">
              <w:t xml:space="preserve">, nosakot, ka suņi, kaķi un mājas (istabas) seski pret trakumsērgu jāvakcinē saskaņā ar vakcīnas ražotāja instrukcijā noteikto kārtību. </w:t>
            </w:r>
            <w:r w:rsidR="00191489" w:rsidRPr="004318C2">
              <w:t>Pārtikas un veterinārais dienests, kontrolējot</w:t>
            </w:r>
            <w:r w:rsidR="00F84E6F" w:rsidRPr="004318C2">
              <w:t>,</w:t>
            </w:r>
            <w:r w:rsidR="00191489" w:rsidRPr="004318C2">
              <w:t xml:space="preserve"> kā tiek veikti trakumsērgas profilakses pasākumi, konstatēja nepieciešamību likumā noteikt vecumu, k</w:t>
            </w:r>
            <w:r w:rsidR="00F84E6F" w:rsidRPr="004318C2">
              <w:t>urā</w:t>
            </w:r>
            <w:r w:rsidR="00191489" w:rsidRPr="004318C2">
              <w:t xml:space="preserve"> </w:t>
            </w:r>
            <w:r w:rsidRPr="004318C2">
              <w:t xml:space="preserve">jāveic mājas (istabas) dzīvnieku pirmreizējā profilaktiskā </w:t>
            </w:r>
            <w:r w:rsidR="00191489" w:rsidRPr="004318C2">
              <w:t>vakcinācija pret trakumsērgu.</w:t>
            </w:r>
            <w:r w:rsidRPr="004318C2">
              <w:t xml:space="preserve"> Ja dzīvniek</w:t>
            </w:r>
            <w:r w:rsidR="00F84E6F" w:rsidRPr="004318C2">
              <w:t>i</w:t>
            </w:r>
            <w:r w:rsidRPr="004318C2">
              <w:t xml:space="preserve"> ne</w:t>
            </w:r>
            <w:r w:rsidR="00F84E6F" w:rsidRPr="004318C2">
              <w:t xml:space="preserve">tiek </w:t>
            </w:r>
            <w:r w:rsidRPr="004318C2">
              <w:t>izvakcinē</w:t>
            </w:r>
            <w:r w:rsidR="00F84E6F" w:rsidRPr="004318C2">
              <w:t>ti</w:t>
            </w:r>
            <w:r w:rsidRPr="004318C2">
              <w:t xml:space="preserve"> pret trakumsērgu, tie var saslimt un tā apdraudēt </w:t>
            </w:r>
            <w:r w:rsidR="00F84E6F" w:rsidRPr="004318C2">
              <w:t xml:space="preserve">gan </w:t>
            </w:r>
            <w:r w:rsidRPr="004318C2">
              <w:t>citus dzīvniekus</w:t>
            </w:r>
            <w:r w:rsidR="00F84E6F" w:rsidRPr="004318C2">
              <w:t>, gan</w:t>
            </w:r>
            <w:r w:rsidRPr="004318C2">
              <w:t xml:space="preserve"> cilvēkus, jo trakumsērgu izraisa vīruss, ar kuru var inficēties gan dzīvnieki</w:t>
            </w:r>
            <w:r w:rsidR="00F84E6F" w:rsidRPr="004318C2">
              <w:t>,</w:t>
            </w:r>
            <w:r w:rsidRPr="004318C2">
              <w:t xml:space="preserve"> gan cilvēki.</w:t>
            </w:r>
          </w:p>
        </w:tc>
      </w:tr>
      <w:tr w:rsidR="00677A61" w:rsidRPr="00906B31" w:rsidTr="000962D8">
        <w:trPr>
          <w:jc w:val="center"/>
        </w:trPr>
        <w:tc>
          <w:tcPr>
            <w:tcW w:w="356" w:type="pct"/>
          </w:tcPr>
          <w:p w:rsidR="00677A61" w:rsidRPr="00D44EB0" w:rsidRDefault="00677A61" w:rsidP="00AC7C5D">
            <w:pPr>
              <w:pStyle w:val="Pamatteksts"/>
              <w:widowControl w:val="0"/>
              <w:jc w:val="both"/>
              <w:rPr>
                <w:b w:val="0"/>
                <w:sz w:val="24"/>
                <w:szCs w:val="24"/>
                <w:lang w:eastAsia="en-US"/>
              </w:rPr>
            </w:pPr>
            <w:r w:rsidRPr="00D44EB0">
              <w:rPr>
                <w:b w:val="0"/>
                <w:sz w:val="24"/>
                <w:szCs w:val="24"/>
                <w:lang w:eastAsia="en-US"/>
              </w:rPr>
              <w:lastRenderedPageBreak/>
              <w:t>3.</w:t>
            </w:r>
            <w:r w:rsidRPr="00D44EB0">
              <w:rPr>
                <w:b w:val="0"/>
                <w:color w:val="000000"/>
                <w:sz w:val="24"/>
                <w:szCs w:val="24"/>
                <w:lang w:eastAsia="en-US"/>
              </w:rPr>
              <w:t xml:space="preserve"> </w:t>
            </w:r>
          </w:p>
        </w:tc>
        <w:tc>
          <w:tcPr>
            <w:tcW w:w="1207" w:type="pct"/>
          </w:tcPr>
          <w:p w:rsidR="00677A61" w:rsidRPr="00D44EB0" w:rsidRDefault="00677A61" w:rsidP="00AC7C5D">
            <w:pPr>
              <w:pStyle w:val="Pamatteksts"/>
              <w:widowControl w:val="0"/>
              <w:jc w:val="both"/>
              <w:rPr>
                <w:b w:val="0"/>
                <w:sz w:val="24"/>
                <w:szCs w:val="24"/>
                <w:lang w:eastAsia="en-US"/>
              </w:rPr>
            </w:pPr>
            <w:r w:rsidRPr="00D44EB0">
              <w:rPr>
                <w:b w:val="0"/>
                <w:color w:val="000000"/>
                <w:sz w:val="24"/>
                <w:szCs w:val="24"/>
                <w:lang w:eastAsia="en-US"/>
              </w:rPr>
              <w:t xml:space="preserve">Saistītie politikas ietekmes novērtējumi un </w:t>
            </w:r>
            <w:r w:rsidRPr="00D44EB0">
              <w:rPr>
                <w:b w:val="0"/>
                <w:color w:val="000000"/>
                <w:sz w:val="24"/>
                <w:szCs w:val="24"/>
                <w:lang w:eastAsia="en-US"/>
              </w:rPr>
              <w:lastRenderedPageBreak/>
              <w:t>pētījumi</w:t>
            </w:r>
          </w:p>
        </w:tc>
        <w:tc>
          <w:tcPr>
            <w:tcW w:w="3437" w:type="pct"/>
            <w:tcBorders>
              <w:bottom w:val="single" w:sz="4" w:space="0" w:color="auto"/>
            </w:tcBorders>
          </w:tcPr>
          <w:p w:rsidR="00677A61" w:rsidRPr="00DF3721" w:rsidRDefault="00677A61" w:rsidP="00AC7C5D">
            <w:pPr>
              <w:jc w:val="both"/>
            </w:pPr>
            <w:r>
              <w:lastRenderedPageBreak/>
              <w:t>Projekts šo jomu neskar</w:t>
            </w:r>
            <w:r w:rsidRPr="000A0D36">
              <w:t>.</w:t>
            </w:r>
          </w:p>
        </w:tc>
      </w:tr>
      <w:tr w:rsidR="00677A61" w:rsidRPr="00906B31" w:rsidTr="000962D8">
        <w:trPr>
          <w:jc w:val="center"/>
        </w:trPr>
        <w:tc>
          <w:tcPr>
            <w:tcW w:w="356" w:type="pct"/>
            <w:tcBorders>
              <w:right w:val="single" w:sz="4" w:space="0" w:color="auto"/>
            </w:tcBorders>
          </w:tcPr>
          <w:p w:rsidR="00677A61" w:rsidRPr="00683765" w:rsidRDefault="00677A61" w:rsidP="00AC7C5D">
            <w:pPr>
              <w:pStyle w:val="naiskr"/>
              <w:spacing w:before="0" w:beforeAutospacing="0" w:after="0" w:afterAutospacing="0"/>
              <w:jc w:val="both"/>
            </w:pPr>
            <w:r>
              <w:lastRenderedPageBreak/>
              <w:t>4</w:t>
            </w:r>
            <w:r w:rsidRPr="00683765">
              <w:t xml:space="preserve">. </w:t>
            </w:r>
          </w:p>
        </w:tc>
        <w:tc>
          <w:tcPr>
            <w:tcW w:w="1207" w:type="pct"/>
            <w:tcBorders>
              <w:right w:val="single" w:sz="4" w:space="0" w:color="auto"/>
            </w:tcBorders>
          </w:tcPr>
          <w:p w:rsidR="00677A61" w:rsidRPr="00683765" w:rsidRDefault="00677A61" w:rsidP="00AC7C5D">
            <w:pPr>
              <w:pStyle w:val="naiskr"/>
              <w:spacing w:before="0" w:beforeAutospacing="0" w:after="0" w:afterAutospacing="0"/>
              <w:jc w:val="both"/>
            </w:pPr>
            <w:r w:rsidRPr="000A0D36">
              <w:rPr>
                <w:color w:val="000000"/>
              </w:rPr>
              <w:t>Tiesiskā regulējuma mērķis un būtība</w:t>
            </w:r>
          </w:p>
        </w:tc>
        <w:tc>
          <w:tcPr>
            <w:tcW w:w="3437" w:type="pct"/>
            <w:tcBorders>
              <w:top w:val="single" w:sz="4" w:space="0" w:color="auto"/>
              <w:left w:val="single" w:sz="4" w:space="0" w:color="auto"/>
              <w:bottom w:val="single" w:sz="4" w:space="0" w:color="auto"/>
              <w:right w:val="single" w:sz="4" w:space="0" w:color="auto"/>
            </w:tcBorders>
          </w:tcPr>
          <w:p w:rsidR="001306CA" w:rsidRDefault="001851EE" w:rsidP="001306CA">
            <w:pPr>
              <w:jc w:val="both"/>
            </w:pPr>
            <w:r>
              <w:t>Sagatavots likumprojekts „Grozījumi Veterinārmedicīnas likumā</w:t>
            </w:r>
            <w:r w:rsidR="005B5238">
              <w:t>”</w:t>
            </w:r>
            <w:r>
              <w:t xml:space="preserve"> (turpmāk – l</w:t>
            </w:r>
            <w:r w:rsidR="00191489">
              <w:t>ikumprojekts</w:t>
            </w:r>
            <w:r>
              <w:t>), kas</w:t>
            </w:r>
            <w:r w:rsidR="00191489">
              <w:t xml:space="preserve"> paredz, ka:</w:t>
            </w:r>
          </w:p>
          <w:p w:rsidR="001306CA" w:rsidRDefault="00191489" w:rsidP="001306CA">
            <w:pPr>
              <w:jc w:val="both"/>
            </w:pPr>
            <w:r>
              <w:t>1</w:t>
            </w:r>
            <w:r w:rsidR="001306CA">
              <w:t>) praktizējošs veterinārārsts nodrošinās Regulā</w:t>
            </w:r>
            <w:r w:rsidR="001306CA" w:rsidRPr="00CA1FC9">
              <w:t xml:space="preserve"> </w:t>
            </w:r>
            <w:r w:rsidR="001306CA">
              <w:t>Nr.576/2</w:t>
            </w:r>
            <w:r w:rsidR="001306CA" w:rsidRPr="00CA1FC9">
              <w:t xml:space="preserve">013 </w:t>
            </w:r>
            <w:r w:rsidR="001306CA">
              <w:t>noteiktās pilnvarotā veterinārārsta darbības, t.i.</w:t>
            </w:r>
            <w:r w:rsidR="00F84E6F">
              <w:t>,</w:t>
            </w:r>
            <w:r w:rsidR="001306CA">
              <w:t xml:space="preserve"> izsniegs un aizpildīs mājas (istabas) dzīvnieku pasi, pārbaudīs dzīvnieka apzīmējumu, vakcinēs dzīvnieku pret trakumsērgu, noņems asins paraugus trakumsērgas antivielu titrēšanas testam;</w:t>
            </w:r>
          </w:p>
          <w:p w:rsidR="004318C2" w:rsidRPr="001D23A0" w:rsidRDefault="004318C2" w:rsidP="001306CA">
            <w:pPr>
              <w:jc w:val="both"/>
            </w:pPr>
            <w:r w:rsidRPr="001D23A0">
              <w:t>2) no trešajām valstīm ievestos mājas (istabas) dzīvniekus saskaņā ar regulu Nr.576/2013 robežšķērsošanas vietās, kurās veic muitas kontroli, tāpat kā līdz šim kontrolēs Valsts ieņēmumu dienests;</w:t>
            </w:r>
          </w:p>
          <w:p w:rsidR="001306CA" w:rsidRDefault="00693E08" w:rsidP="001306CA">
            <w:pPr>
              <w:jc w:val="both"/>
            </w:pPr>
            <w:r w:rsidRPr="001D23A0">
              <w:t>3</w:t>
            </w:r>
            <w:r w:rsidR="001306CA" w:rsidRPr="001D23A0">
              <w:t>)</w:t>
            </w:r>
            <w:r w:rsidR="001306CA" w:rsidRPr="00CE3068">
              <w:t xml:space="preserve"> </w:t>
            </w:r>
            <w:r w:rsidR="00191489" w:rsidRPr="00CE3068">
              <w:t>Pārtikas un veterinārais dienests nediskriminējošā veidā veiks dokumentu un identitātes pārbaud</w:t>
            </w:r>
            <w:r w:rsidR="00F84E6F">
              <w:t>i</w:t>
            </w:r>
            <w:r w:rsidR="00191489" w:rsidRPr="00CE3068">
              <w:t xml:space="preserve"> mājas (istabas) dzīvniekiem, kurus nekomerciālos nolūkos ieved Latvijas teritorijā no citas </w:t>
            </w:r>
            <w:r w:rsidR="00526E0D">
              <w:t xml:space="preserve">Eiropas Savienības </w:t>
            </w:r>
            <w:r w:rsidR="00191489" w:rsidRPr="00CE3068">
              <w:t>dalībvalsts</w:t>
            </w:r>
            <w:r w:rsidR="00191489">
              <w:t xml:space="preserve">, </w:t>
            </w:r>
            <w:r w:rsidR="001306CA" w:rsidRPr="00CE3068">
              <w:t>lai varētu pārbaudīt atbilstību Regula</w:t>
            </w:r>
            <w:r w:rsidR="005B5238">
              <w:t>s</w:t>
            </w:r>
            <w:r w:rsidR="001306CA" w:rsidRPr="00CE3068">
              <w:t xml:space="preserve"> Nr.576/2013 </w:t>
            </w:r>
            <w:r w:rsidR="005B5238">
              <w:t xml:space="preserve">prasībām </w:t>
            </w:r>
            <w:r w:rsidR="001306CA" w:rsidRPr="00CE3068">
              <w:t>un attiecīgi rīkoties</w:t>
            </w:r>
            <w:r w:rsidR="001306CA">
              <w:t>;</w:t>
            </w:r>
          </w:p>
          <w:p w:rsidR="00191489" w:rsidRPr="001D23A0" w:rsidRDefault="00693E08" w:rsidP="001306CA">
            <w:pPr>
              <w:jc w:val="both"/>
            </w:pPr>
            <w:r w:rsidRPr="001D23A0">
              <w:t>4</w:t>
            </w:r>
            <w:r w:rsidR="000E5ED7" w:rsidRPr="001D23A0">
              <w:t xml:space="preserve">) </w:t>
            </w:r>
            <w:r w:rsidR="00191489" w:rsidRPr="001D23A0">
              <w:t>mājas (istabas) dzīvnieku</w:t>
            </w:r>
            <w:r w:rsidR="000E5ED7" w:rsidRPr="001D23A0">
              <w:t xml:space="preserve"> īpašniekiem vai turētājiem jānodrošina mājas (istabas) dzīvnieku vakcinācij</w:t>
            </w:r>
            <w:r w:rsidR="0001672B" w:rsidRPr="001D23A0">
              <w:t>a</w:t>
            </w:r>
            <w:r w:rsidR="00191489" w:rsidRPr="001D23A0">
              <w:t xml:space="preserve"> pret trakumsērgu trīs mēnešu</w:t>
            </w:r>
            <w:r w:rsidR="000B6024">
              <w:t>s</w:t>
            </w:r>
            <w:r w:rsidR="00191489" w:rsidRPr="001D23A0">
              <w:t xml:space="preserve"> vec</w:t>
            </w:r>
            <w:r w:rsidR="000B6024">
              <w:t xml:space="preserve">am </w:t>
            </w:r>
            <w:r w:rsidR="005B5238" w:rsidRPr="001D23A0">
              <w:t>dzīvniek</w:t>
            </w:r>
            <w:r w:rsidR="005B5238">
              <w:t>a</w:t>
            </w:r>
            <w:r w:rsidR="000B6024">
              <w:t>m</w:t>
            </w:r>
            <w:r w:rsidR="00191489" w:rsidRPr="001D23A0">
              <w:t>;</w:t>
            </w:r>
          </w:p>
          <w:p w:rsidR="00191489" w:rsidRPr="001D23A0" w:rsidRDefault="00693E08" w:rsidP="001306CA">
            <w:pPr>
              <w:jc w:val="both"/>
            </w:pPr>
            <w:r w:rsidRPr="001D23A0">
              <w:t>5</w:t>
            </w:r>
            <w:r w:rsidR="000E5ED7" w:rsidRPr="001D23A0">
              <w:t xml:space="preserve">) dzīvnieku īpašnieks </w:t>
            </w:r>
            <w:r w:rsidR="000B6024" w:rsidRPr="001D23A0">
              <w:t xml:space="preserve">vai turētājs </w:t>
            </w:r>
            <w:r w:rsidR="000E5ED7" w:rsidRPr="001D23A0">
              <w:t>kompensāciju par valsts uzraudzībā esošas dzīvnieku infekcijas slimības vai epizootijas uzliesmojuma laikā radītajiem zaudējumiem var saņemt tikai t</w:t>
            </w:r>
            <w:r w:rsidR="00F84E6F" w:rsidRPr="001D23A0">
              <w:t>ad</w:t>
            </w:r>
            <w:r w:rsidR="000E5ED7" w:rsidRPr="001D23A0">
              <w:t>, ja ir izpildījis vis</w:t>
            </w:r>
            <w:r w:rsidR="006E597D" w:rsidRPr="001D23A0">
              <w:t>a</w:t>
            </w:r>
            <w:r w:rsidR="000E5ED7" w:rsidRPr="001D23A0">
              <w:t>s dzīvnieku veselības jom</w:t>
            </w:r>
            <w:r w:rsidR="00E60696" w:rsidRPr="001D23A0">
              <w:t>u reglamentējoš</w:t>
            </w:r>
            <w:r w:rsidR="00A133FB" w:rsidRPr="001D23A0">
              <w:t>ajos</w:t>
            </w:r>
            <w:r w:rsidR="000E5ED7" w:rsidRPr="001D23A0">
              <w:t xml:space="preserve"> normatīvajos aktos noteiktās prasības. Likumprojekts precizē deleģējumu Ministru kabinetam noteikt </w:t>
            </w:r>
            <w:r w:rsidR="006E597D" w:rsidRPr="001D23A0">
              <w:t xml:space="preserve">kārtību, </w:t>
            </w:r>
            <w:r w:rsidR="000E5ED7" w:rsidRPr="001D23A0">
              <w:t>kādā dzīvnieku īpašnieks var saņemt kompensāciju, kā arī kompensācijas ap</w:t>
            </w:r>
            <w:r w:rsidR="00F84E6F" w:rsidRPr="001D23A0">
              <w:t>mēru</w:t>
            </w:r>
            <w:r w:rsidR="000E5ED7" w:rsidRPr="001D23A0">
              <w:t xml:space="preserve"> un kritērijus kompensācijas samazināšanai;</w:t>
            </w:r>
          </w:p>
          <w:p w:rsidR="00C4712D" w:rsidRPr="001D23A0" w:rsidRDefault="00693E08" w:rsidP="00C4712D">
            <w:pPr>
              <w:jc w:val="both"/>
              <w:rPr>
                <w:color w:val="000000"/>
              </w:rPr>
            </w:pPr>
            <w:r w:rsidRPr="001D23A0">
              <w:t>6</w:t>
            </w:r>
            <w:r w:rsidR="00B04902" w:rsidRPr="001D23A0">
              <w:t>) dzīvnieku īpašniekiem pienāksies kompensācija par</w:t>
            </w:r>
            <w:r w:rsidR="00CA55BF" w:rsidRPr="001D23A0">
              <w:t xml:space="preserve"> govju enzootiskās leikozes apkarošanas laikā nokauto liellopu un </w:t>
            </w:r>
            <w:r w:rsidR="00B04902" w:rsidRPr="001D23A0">
              <w:rPr>
                <w:color w:val="000000"/>
              </w:rPr>
              <w:t>Amerikas peru puves apkarošanas laikā iznīcinātajām bišu saimēm</w:t>
            </w:r>
            <w:r w:rsidR="00C4712D" w:rsidRPr="001D23A0">
              <w:rPr>
                <w:color w:val="000000"/>
              </w:rPr>
              <w:t>;</w:t>
            </w:r>
          </w:p>
          <w:p w:rsidR="00B35854" w:rsidRPr="001D23A0" w:rsidRDefault="00693E08" w:rsidP="00671EE2">
            <w:pPr>
              <w:jc w:val="both"/>
              <w:rPr>
                <w:color w:val="000000"/>
              </w:rPr>
            </w:pPr>
            <w:r w:rsidRPr="001D23A0">
              <w:rPr>
                <w:color w:val="000000"/>
              </w:rPr>
              <w:t>7</w:t>
            </w:r>
            <w:r w:rsidR="00C4712D" w:rsidRPr="001D23A0">
              <w:rPr>
                <w:color w:val="000000"/>
              </w:rPr>
              <w:t xml:space="preserve">) praktizējošam veterinārārstam ir pienākums pēc mājas (istabas) dzīvnieka vakcinācijas pret trakumsērgu </w:t>
            </w:r>
            <w:r w:rsidR="000B6024">
              <w:rPr>
                <w:color w:val="000000"/>
              </w:rPr>
              <w:t>izdarīt</w:t>
            </w:r>
            <w:r w:rsidR="00C4712D" w:rsidRPr="001D23A0">
              <w:rPr>
                <w:color w:val="000000"/>
              </w:rPr>
              <w:t xml:space="preserve"> ierakstu par vakcināciju </w:t>
            </w:r>
            <w:r w:rsidR="00671EE2" w:rsidRPr="001D23A0">
              <w:rPr>
                <w:color w:val="000000"/>
              </w:rPr>
              <w:t xml:space="preserve">mājas (istabas) dzīvnieka </w:t>
            </w:r>
            <w:r w:rsidR="00C4712D" w:rsidRPr="001D23A0">
              <w:rPr>
                <w:color w:val="000000"/>
              </w:rPr>
              <w:t>Eiropas Savien</w:t>
            </w:r>
            <w:r w:rsidR="00671EE2" w:rsidRPr="001D23A0">
              <w:rPr>
                <w:color w:val="000000"/>
              </w:rPr>
              <w:t xml:space="preserve">ības </w:t>
            </w:r>
            <w:r w:rsidR="00C4712D" w:rsidRPr="001D23A0">
              <w:rPr>
                <w:color w:val="000000"/>
              </w:rPr>
              <w:t>pasē vai vakcinācijas apliecībā</w:t>
            </w:r>
            <w:r w:rsidR="00B35854" w:rsidRPr="001D23A0">
              <w:rPr>
                <w:color w:val="000000"/>
              </w:rPr>
              <w:t>;</w:t>
            </w:r>
          </w:p>
          <w:p w:rsidR="00E71A84" w:rsidRPr="001D23A0" w:rsidRDefault="00693E08" w:rsidP="00671EE2">
            <w:pPr>
              <w:jc w:val="both"/>
              <w:rPr>
                <w:color w:val="000000"/>
              </w:rPr>
            </w:pPr>
            <w:r w:rsidRPr="001D23A0">
              <w:rPr>
                <w:color w:val="000000"/>
              </w:rPr>
              <w:t>8</w:t>
            </w:r>
            <w:r w:rsidR="00B35854" w:rsidRPr="001D23A0">
              <w:rPr>
                <w:color w:val="000000"/>
              </w:rPr>
              <w:t xml:space="preserve">) </w:t>
            </w:r>
            <w:r w:rsidR="00E71A84" w:rsidRPr="001D23A0">
              <w:rPr>
                <w:color w:val="000000"/>
              </w:rPr>
              <w:t xml:space="preserve">turpmāk lauksaimniecības dzīvnieku īpašniekiem </w:t>
            </w:r>
            <w:r w:rsidR="000B6024" w:rsidRPr="001D23A0">
              <w:rPr>
                <w:color w:val="000000"/>
              </w:rPr>
              <w:t xml:space="preserve">ar Pārtikas un veterināro dienestu </w:t>
            </w:r>
            <w:r w:rsidR="00E71A84" w:rsidRPr="001D23A0">
              <w:rPr>
                <w:color w:val="000000"/>
              </w:rPr>
              <w:t xml:space="preserve">nebūs jāsaskaņo izstrādātais </w:t>
            </w:r>
            <w:proofErr w:type="spellStart"/>
            <w:r w:rsidR="00E71A84" w:rsidRPr="001D23A0">
              <w:rPr>
                <w:color w:val="000000"/>
              </w:rPr>
              <w:t>biodrošības</w:t>
            </w:r>
            <w:proofErr w:type="spellEnd"/>
            <w:r w:rsidR="00E71A84" w:rsidRPr="001D23A0">
              <w:rPr>
                <w:color w:val="000000"/>
              </w:rPr>
              <w:t xml:space="preserve"> pasākumu plāns; </w:t>
            </w:r>
          </w:p>
          <w:p w:rsidR="0091751A" w:rsidRPr="001D23A0" w:rsidRDefault="00693E08" w:rsidP="00671EE2">
            <w:pPr>
              <w:jc w:val="both"/>
              <w:rPr>
                <w:color w:val="000000"/>
              </w:rPr>
            </w:pPr>
            <w:r w:rsidRPr="001D23A0">
              <w:rPr>
                <w:color w:val="000000"/>
              </w:rPr>
              <w:t>9</w:t>
            </w:r>
            <w:r w:rsidR="005E3AD4" w:rsidRPr="001D23A0">
              <w:rPr>
                <w:color w:val="000000"/>
              </w:rPr>
              <w:t>) tiek precizēts instit</w:t>
            </w:r>
            <w:r w:rsidR="0091751A" w:rsidRPr="001D23A0">
              <w:rPr>
                <w:color w:val="000000"/>
              </w:rPr>
              <w:t>ūta nosaukums;</w:t>
            </w:r>
          </w:p>
          <w:p w:rsidR="00677A61" w:rsidRPr="001D23A0" w:rsidRDefault="00693E08" w:rsidP="00671EE2">
            <w:pPr>
              <w:jc w:val="both"/>
              <w:rPr>
                <w:color w:val="000000"/>
              </w:rPr>
            </w:pPr>
            <w:r w:rsidRPr="001D23A0">
              <w:rPr>
                <w:color w:val="000000"/>
              </w:rPr>
              <w:t>10</w:t>
            </w:r>
            <w:r w:rsidR="0091751A" w:rsidRPr="001D23A0">
              <w:rPr>
                <w:color w:val="000000"/>
              </w:rPr>
              <w:t xml:space="preserve">) institūtam </w:t>
            </w:r>
            <w:r w:rsidR="00846074" w:rsidRPr="001D23A0">
              <w:rPr>
                <w:color w:val="000000"/>
              </w:rPr>
              <w:t>uzdots veikt riska novērtēšanu dzīvnieku vesel</w:t>
            </w:r>
            <w:r w:rsidR="00F647F5" w:rsidRPr="001D23A0">
              <w:rPr>
                <w:color w:val="000000"/>
              </w:rPr>
              <w:t xml:space="preserve">ības un </w:t>
            </w:r>
            <w:r w:rsidR="00846074" w:rsidRPr="001D23A0">
              <w:rPr>
                <w:color w:val="000000"/>
              </w:rPr>
              <w:t>sabiedrības veselības jomā</w:t>
            </w:r>
            <w:r w:rsidR="00C4712D" w:rsidRPr="001D23A0">
              <w:rPr>
                <w:color w:val="000000"/>
              </w:rPr>
              <w:t>.</w:t>
            </w:r>
          </w:p>
          <w:p w:rsidR="004D09E3" w:rsidRPr="006E597D" w:rsidRDefault="00901480" w:rsidP="00671EE2">
            <w:pPr>
              <w:jc w:val="both"/>
              <w:rPr>
                <w:color w:val="000000"/>
              </w:rPr>
            </w:pPr>
            <w:r w:rsidRPr="001D23A0">
              <w:t>Likumprojekts</w:t>
            </w:r>
            <w:r w:rsidRPr="00E73271">
              <w:t xml:space="preserve"> pilnībā atrisinās šīs anotācijas I sadaļas 2.punktā minētās problēmas.</w:t>
            </w:r>
          </w:p>
        </w:tc>
      </w:tr>
      <w:tr w:rsidR="00677A61" w:rsidRPr="00906B31" w:rsidTr="000962D8">
        <w:trPr>
          <w:jc w:val="center"/>
        </w:trPr>
        <w:tc>
          <w:tcPr>
            <w:tcW w:w="356" w:type="pct"/>
            <w:tcBorders>
              <w:right w:val="single" w:sz="4" w:space="0" w:color="auto"/>
            </w:tcBorders>
          </w:tcPr>
          <w:p w:rsidR="00677A61" w:rsidRDefault="00677A61" w:rsidP="00AC7C5D">
            <w:pPr>
              <w:pStyle w:val="naiskr"/>
              <w:spacing w:before="0" w:beforeAutospacing="0" w:after="0" w:afterAutospacing="0"/>
              <w:jc w:val="both"/>
            </w:pPr>
            <w:r>
              <w:t xml:space="preserve">5. </w:t>
            </w:r>
          </w:p>
        </w:tc>
        <w:tc>
          <w:tcPr>
            <w:tcW w:w="1207" w:type="pct"/>
            <w:tcBorders>
              <w:right w:val="single" w:sz="4" w:space="0" w:color="auto"/>
            </w:tcBorders>
          </w:tcPr>
          <w:p w:rsidR="00677A61" w:rsidRDefault="00677A61" w:rsidP="00AC7C5D">
            <w:pPr>
              <w:pStyle w:val="naiskr"/>
              <w:spacing w:before="0" w:beforeAutospacing="0" w:after="0" w:afterAutospacing="0"/>
              <w:jc w:val="both"/>
            </w:pPr>
            <w:r w:rsidRPr="000A0D36">
              <w:rPr>
                <w:color w:val="000000"/>
              </w:rPr>
              <w:t>Projekta izstrādē iesaistītās institūcijas</w:t>
            </w:r>
          </w:p>
        </w:tc>
        <w:tc>
          <w:tcPr>
            <w:tcW w:w="3437" w:type="pct"/>
            <w:tcBorders>
              <w:top w:val="single" w:sz="4" w:space="0" w:color="auto"/>
              <w:left w:val="single" w:sz="4" w:space="0" w:color="auto"/>
              <w:bottom w:val="single" w:sz="4" w:space="0" w:color="auto"/>
              <w:right w:val="single" w:sz="4" w:space="0" w:color="auto"/>
            </w:tcBorders>
          </w:tcPr>
          <w:p w:rsidR="00677A61" w:rsidRDefault="00677A61" w:rsidP="00FE3296">
            <w:pPr>
              <w:pStyle w:val="naiskr"/>
              <w:jc w:val="both"/>
              <w:rPr>
                <w:color w:val="000000"/>
              </w:rPr>
            </w:pPr>
            <w:r>
              <w:t>Pārtikas un veterinārais dienests</w:t>
            </w:r>
            <w:r w:rsidR="00FE3296">
              <w:t xml:space="preserve">, </w:t>
            </w:r>
            <w:r w:rsidR="00F84E6F">
              <w:t xml:space="preserve">kā arī </w:t>
            </w:r>
            <w:r w:rsidR="00FE3296">
              <w:t>Pārtikas drošības, dzīvnieku veselības un vides zinātniskais institūts „BIOR”</w:t>
            </w:r>
            <w:r w:rsidR="00FE3296" w:rsidRPr="000B4B7F">
              <w:t>.</w:t>
            </w:r>
          </w:p>
        </w:tc>
      </w:tr>
      <w:tr w:rsidR="00677A61" w:rsidRPr="00906B31" w:rsidTr="000962D8">
        <w:trPr>
          <w:jc w:val="center"/>
        </w:trPr>
        <w:tc>
          <w:tcPr>
            <w:tcW w:w="356" w:type="pct"/>
            <w:tcBorders>
              <w:right w:val="single" w:sz="4" w:space="0" w:color="auto"/>
            </w:tcBorders>
          </w:tcPr>
          <w:p w:rsidR="00677A61" w:rsidRDefault="00677A61" w:rsidP="00AC7C5D">
            <w:pPr>
              <w:pStyle w:val="naiskr"/>
              <w:spacing w:before="0" w:beforeAutospacing="0" w:after="0" w:afterAutospacing="0"/>
              <w:jc w:val="both"/>
            </w:pPr>
            <w:r>
              <w:rPr>
                <w:color w:val="000000"/>
              </w:rPr>
              <w:t xml:space="preserve">6. </w:t>
            </w:r>
          </w:p>
        </w:tc>
        <w:tc>
          <w:tcPr>
            <w:tcW w:w="1207" w:type="pct"/>
            <w:tcBorders>
              <w:right w:val="single" w:sz="4" w:space="0" w:color="auto"/>
            </w:tcBorders>
          </w:tcPr>
          <w:p w:rsidR="00677A61" w:rsidRDefault="00677A61" w:rsidP="00AC7C5D">
            <w:pPr>
              <w:pStyle w:val="naiskr"/>
              <w:spacing w:before="0" w:beforeAutospacing="0" w:after="0" w:afterAutospacing="0"/>
              <w:jc w:val="both"/>
            </w:pPr>
            <w:r w:rsidRPr="000A0D36">
              <w:rPr>
                <w:color w:val="000000"/>
              </w:rPr>
              <w:t xml:space="preserve">Iemesli, kādēļ netika nodrošināta </w:t>
            </w:r>
            <w:r w:rsidRPr="000A0D36">
              <w:rPr>
                <w:color w:val="000000"/>
              </w:rPr>
              <w:lastRenderedPageBreak/>
              <w:t>sabiedrības līdzdalība</w:t>
            </w:r>
          </w:p>
        </w:tc>
        <w:tc>
          <w:tcPr>
            <w:tcW w:w="3437" w:type="pct"/>
            <w:tcBorders>
              <w:top w:val="single" w:sz="4" w:space="0" w:color="auto"/>
              <w:left w:val="single" w:sz="4" w:space="0" w:color="auto"/>
              <w:bottom w:val="single" w:sz="4" w:space="0" w:color="auto"/>
              <w:right w:val="single" w:sz="4" w:space="0" w:color="auto"/>
            </w:tcBorders>
          </w:tcPr>
          <w:p w:rsidR="00677A61" w:rsidRPr="00DF3721" w:rsidRDefault="00677A61" w:rsidP="00AC7C5D">
            <w:pPr>
              <w:jc w:val="both"/>
            </w:pPr>
            <w:r>
              <w:lastRenderedPageBreak/>
              <w:t>Projekts šo jomu neskar</w:t>
            </w:r>
            <w:r w:rsidRPr="000A0D36">
              <w:t>.</w:t>
            </w:r>
          </w:p>
        </w:tc>
      </w:tr>
      <w:tr w:rsidR="00677A61" w:rsidRPr="00906B31" w:rsidTr="000962D8">
        <w:trPr>
          <w:trHeight w:val="232"/>
          <w:jc w:val="center"/>
        </w:trPr>
        <w:tc>
          <w:tcPr>
            <w:tcW w:w="356" w:type="pct"/>
          </w:tcPr>
          <w:p w:rsidR="00677A61" w:rsidRPr="00787D30" w:rsidRDefault="00677A61" w:rsidP="00AC7C5D">
            <w:pPr>
              <w:pStyle w:val="naiskr"/>
              <w:spacing w:before="0" w:beforeAutospacing="0" w:after="0" w:afterAutospacing="0"/>
              <w:jc w:val="both"/>
            </w:pPr>
            <w:r>
              <w:lastRenderedPageBreak/>
              <w:t>7</w:t>
            </w:r>
            <w:r w:rsidRPr="00787D30">
              <w:t xml:space="preserve">. </w:t>
            </w:r>
          </w:p>
        </w:tc>
        <w:tc>
          <w:tcPr>
            <w:tcW w:w="1207" w:type="pct"/>
          </w:tcPr>
          <w:p w:rsidR="00677A61" w:rsidRPr="00787D30" w:rsidRDefault="00677A61" w:rsidP="00AC7C5D">
            <w:pPr>
              <w:pStyle w:val="naiskr"/>
              <w:spacing w:before="0" w:beforeAutospacing="0" w:after="0" w:afterAutospacing="0"/>
              <w:jc w:val="both"/>
            </w:pPr>
            <w:r w:rsidRPr="00787D30">
              <w:t>Cita informācija</w:t>
            </w:r>
          </w:p>
        </w:tc>
        <w:tc>
          <w:tcPr>
            <w:tcW w:w="3437" w:type="pct"/>
            <w:tcBorders>
              <w:top w:val="single" w:sz="4" w:space="0" w:color="auto"/>
            </w:tcBorders>
          </w:tcPr>
          <w:p w:rsidR="00677A61" w:rsidRPr="00150EE3" w:rsidRDefault="00677A61" w:rsidP="00AC7C5D">
            <w:pPr>
              <w:jc w:val="both"/>
            </w:pPr>
            <w:r w:rsidRPr="00150EE3">
              <w:t>Nav.</w:t>
            </w:r>
          </w:p>
        </w:tc>
      </w:tr>
      <w:tr w:rsidR="00677A61" w:rsidRPr="00906B31" w:rsidTr="000962D8">
        <w:trPr>
          <w:jc w:val="center"/>
        </w:trPr>
        <w:tc>
          <w:tcPr>
            <w:tcW w:w="5000" w:type="pct"/>
            <w:gridSpan w:val="3"/>
          </w:tcPr>
          <w:p w:rsidR="00677A61" w:rsidRPr="00787D30" w:rsidRDefault="00677A61" w:rsidP="00AC7C5D">
            <w:pPr>
              <w:pStyle w:val="naisnod"/>
              <w:spacing w:before="0" w:beforeAutospacing="0" w:after="0" w:afterAutospacing="0"/>
              <w:jc w:val="center"/>
            </w:pPr>
            <w:r w:rsidRPr="00906B31">
              <w:rPr>
                <w:b/>
                <w:bCs/>
              </w:rPr>
              <w:t>I</w:t>
            </w:r>
            <w:r>
              <w:rPr>
                <w:b/>
                <w:bCs/>
              </w:rPr>
              <w:t>I</w:t>
            </w:r>
            <w:r w:rsidRPr="00906B31">
              <w:rPr>
                <w:b/>
                <w:bCs/>
              </w:rPr>
              <w:t xml:space="preserve">. </w:t>
            </w:r>
            <w:r>
              <w:rPr>
                <w:b/>
                <w:bCs/>
              </w:rPr>
              <w:t xml:space="preserve">Tiesību </w:t>
            </w:r>
            <w:r w:rsidRPr="00906B31">
              <w:rPr>
                <w:b/>
                <w:bCs/>
              </w:rPr>
              <w:t>akt</w:t>
            </w:r>
            <w:r>
              <w:rPr>
                <w:b/>
                <w:bCs/>
              </w:rPr>
              <w:t>a projekta ietekme uz sabiedrību</w:t>
            </w:r>
          </w:p>
        </w:tc>
      </w:tr>
      <w:tr w:rsidR="00677A61" w:rsidRPr="00906B31" w:rsidTr="000962D8">
        <w:trPr>
          <w:jc w:val="center"/>
        </w:trPr>
        <w:tc>
          <w:tcPr>
            <w:tcW w:w="356" w:type="pct"/>
          </w:tcPr>
          <w:p w:rsidR="00677A61" w:rsidRPr="00787D30" w:rsidRDefault="00677A61" w:rsidP="00AC7C5D">
            <w:pPr>
              <w:pStyle w:val="naiskr"/>
              <w:tabs>
                <w:tab w:val="left" w:pos="3044"/>
              </w:tabs>
              <w:spacing w:before="0" w:beforeAutospacing="0" w:after="0" w:afterAutospacing="0"/>
              <w:jc w:val="both"/>
            </w:pPr>
            <w:r w:rsidRPr="00787D30">
              <w:t xml:space="preserve">1. </w:t>
            </w:r>
          </w:p>
        </w:tc>
        <w:tc>
          <w:tcPr>
            <w:tcW w:w="1207" w:type="pct"/>
          </w:tcPr>
          <w:p w:rsidR="00677A61" w:rsidRPr="00787D30" w:rsidRDefault="00677A61" w:rsidP="00AC7C5D">
            <w:pPr>
              <w:pStyle w:val="naiskr"/>
              <w:tabs>
                <w:tab w:val="left" w:pos="3044"/>
              </w:tabs>
              <w:spacing w:before="0" w:beforeAutospacing="0" w:after="0" w:afterAutospacing="0"/>
              <w:jc w:val="both"/>
            </w:pPr>
            <w:r>
              <w:rPr>
                <w:color w:val="000000"/>
              </w:rPr>
              <w:t xml:space="preserve">Sabiedrības </w:t>
            </w:r>
            <w:proofErr w:type="spellStart"/>
            <w:r>
              <w:rPr>
                <w:color w:val="000000"/>
              </w:rPr>
              <w:t>mērķgrupa</w:t>
            </w:r>
            <w:proofErr w:type="spellEnd"/>
          </w:p>
        </w:tc>
        <w:tc>
          <w:tcPr>
            <w:tcW w:w="3437" w:type="pct"/>
          </w:tcPr>
          <w:p w:rsidR="00681885" w:rsidRPr="00BC46BE" w:rsidRDefault="0090569A" w:rsidP="00F84E6F">
            <w:pPr>
              <w:jc w:val="both"/>
            </w:pPr>
            <w:r>
              <w:t>Aptuveni 43 949 l</w:t>
            </w:r>
            <w:r w:rsidR="00681885">
              <w:t xml:space="preserve">auksaimniecības dzīvnieku īpašnieki </w:t>
            </w:r>
            <w:r w:rsidR="00677470">
              <w:t xml:space="preserve">(turētāji) </w:t>
            </w:r>
            <w:r>
              <w:t xml:space="preserve">(Lauksaimniecības datu centra datubāzē </w:t>
            </w:r>
            <w:r w:rsidR="00F84E6F">
              <w:t>pēc stāvokļa</w:t>
            </w:r>
            <w:r>
              <w:t xml:space="preserve"> 2013.gada 1.jūlij</w:t>
            </w:r>
            <w:r w:rsidR="00F84E6F">
              <w:t>ā</w:t>
            </w:r>
            <w:r>
              <w:t xml:space="preserve"> reģistrētas 43 949 novietnes) </w:t>
            </w:r>
            <w:r w:rsidR="00681885">
              <w:t>un mājas (istabas) dzīvnieku īpašnieki</w:t>
            </w:r>
            <w:r>
              <w:t xml:space="preserve"> (precīzu skaitu nav iespējams norādīt, jo Latvijā nav vienotas mājas (istabas) dzīvnieku reģistrācijas sistēmas)</w:t>
            </w:r>
            <w:r w:rsidR="00681885">
              <w:t>.</w:t>
            </w:r>
          </w:p>
        </w:tc>
      </w:tr>
      <w:tr w:rsidR="00677A61" w:rsidRPr="00906B31" w:rsidTr="000962D8">
        <w:trPr>
          <w:jc w:val="center"/>
        </w:trPr>
        <w:tc>
          <w:tcPr>
            <w:tcW w:w="356" w:type="pct"/>
          </w:tcPr>
          <w:p w:rsidR="00677A61" w:rsidRDefault="00677A61" w:rsidP="00AC7C5D">
            <w:pPr>
              <w:jc w:val="both"/>
            </w:pPr>
            <w:r>
              <w:t xml:space="preserve"> 2. </w:t>
            </w:r>
          </w:p>
        </w:tc>
        <w:tc>
          <w:tcPr>
            <w:tcW w:w="1207" w:type="pct"/>
          </w:tcPr>
          <w:p w:rsidR="00677A61" w:rsidRDefault="00677A61" w:rsidP="00AC7C5D">
            <w:pPr>
              <w:jc w:val="both"/>
            </w:pPr>
            <w:r>
              <w:t xml:space="preserve">Citas sabiedrības grupas (bez </w:t>
            </w:r>
            <w:proofErr w:type="spellStart"/>
            <w:r>
              <w:t>mērķgrupas</w:t>
            </w:r>
            <w:proofErr w:type="spellEnd"/>
            <w:r>
              <w:t>), kuras tiesiskais regulējums arī ietekmē vai varētu ietekmēt</w:t>
            </w:r>
          </w:p>
        </w:tc>
        <w:tc>
          <w:tcPr>
            <w:tcW w:w="3437" w:type="pct"/>
            <w:tcBorders>
              <w:bottom w:val="single" w:sz="4" w:space="0" w:color="auto"/>
            </w:tcBorders>
          </w:tcPr>
          <w:p w:rsidR="00677A61" w:rsidRPr="00DF3721" w:rsidRDefault="00677A61" w:rsidP="00AC7C5D">
            <w:pPr>
              <w:jc w:val="both"/>
            </w:pPr>
            <w:r>
              <w:t>Projekts šo jomu neskar</w:t>
            </w:r>
            <w:r w:rsidRPr="000A0D36">
              <w:t>.</w:t>
            </w:r>
          </w:p>
        </w:tc>
      </w:tr>
      <w:tr w:rsidR="00677A61" w:rsidRPr="00906B31" w:rsidTr="000962D8">
        <w:trPr>
          <w:jc w:val="center"/>
        </w:trPr>
        <w:tc>
          <w:tcPr>
            <w:tcW w:w="356" w:type="pct"/>
          </w:tcPr>
          <w:p w:rsidR="00677A61" w:rsidRDefault="00677A61" w:rsidP="00AC7C5D">
            <w:pPr>
              <w:jc w:val="both"/>
            </w:pPr>
            <w:r>
              <w:t xml:space="preserve"> 3. </w:t>
            </w:r>
          </w:p>
        </w:tc>
        <w:tc>
          <w:tcPr>
            <w:tcW w:w="1207" w:type="pct"/>
          </w:tcPr>
          <w:p w:rsidR="00677A61" w:rsidRDefault="00677A61" w:rsidP="00AC7C5D">
            <w:pPr>
              <w:jc w:val="both"/>
            </w:pPr>
            <w:r>
              <w:t>Tiesiskā regulējuma finansiālā ietekme</w:t>
            </w:r>
          </w:p>
        </w:tc>
        <w:tc>
          <w:tcPr>
            <w:tcW w:w="3437" w:type="pct"/>
            <w:tcBorders>
              <w:bottom w:val="single" w:sz="4" w:space="0" w:color="auto"/>
            </w:tcBorders>
          </w:tcPr>
          <w:p w:rsidR="00677A61" w:rsidRPr="00DF3721" w:rsidRDefault="00677A61" w:rsidP="00AC7C5D">
            <w:pPr>
              <w:jc w:val="both"/>
            </w:pPr>
            <w:r>
              <w:t>Projekts šo jomu neskar</w:t>
            </w:r>
            <w:r w:rsidRPr="000A0D36">
              <w:t>.</w:t>
            </w:r>
          </w:p>
        </w:tc>
      </w:tr>
      <w:tr w:rsidR="00677A61" w:rsidRPr="00906B31" w:rsidTr="000962D8">
        <w:trPr>
          <w:jc w:val="center"/>
        </w:trPr>
        <w:tc>
          <w:tcPr>
            <w:tcW w:w="356" w:type="pct"/>
            <w:tcBorders>
              <w:right w:val="single" w:sz="4" w:space="0" w:color="auto"/>
            </w:tcBorders>
          </w:tcPr>
          <w:p w:rsidR="00677A61" w:rsidRDefault="00677A61" w:rsidP="00AC7C5D">
            <w:pPr>
              <w:jc w:val="both"/>
            </w:pPr>
            <w:r>
              <w:t xml:space="preserve"> 4. </w:t>
            </w:r>
          </w:p>
        </w:tc>
        <w:tc>
          <w:tcPr>
            <w:tcW w:w="1207" w:type="pct"/>
            <w:tcBorders>
              <w:right w:val="single" w:sz="4" w:space="0" w:color="auto"/>
            </w:tcBorders>
          </w:tcPr>
          <w:p w:rsidR="00677A61" w:rsidRDefault="00677A61" w:rsidP="00AC7C5D">
            <w:pPr>
              <w:jc w:val="both"/>
            </w:pPr>
            <w:r>
              <w:t>Tiesiskā regulējuma nefinansiālā ietekme</w:t>
            </w:r>
          </w:p>
        </w:tc>
        <w:tc>
          <w:tcPr>
            <w:tcW w:w="3437" w:type="pct"/>
            <w:tcBorders>
              <w:top w:val="single" w:sz="4" w:space="0" w:color="auto"/>
              <w:left w:val="single" w:sz="4" w:space="0" w:color="auto"/>
              <w:bottom w:val="single" w:sz="4" w:space="0" w:color="auto"/>
              <w:right w:val="single" w:sz="4" w:space="0" w:color="auto"/>
            </w:tcBorders>
          </w:tcPr>
          <w:p w:rsidR="00677A61" w:rsidRPr="00DF3721" w:rsidRDefault="00681885" w:rsidP="0058753B">
            <w:pPr>
              <w:jc w:val="both"/>
            </w:pPr>
            <w:r>
              <w:t>Lauksaimniecības dzīvnieku īpašniekiem tiks samazināts administratīva</w:t>
            </w:r>
            <w:r w:rsidR="0058753B">
              <w:t>i</w:t>
            </w:r>
            <w:r>
              <w:t xml:space="preserve">s slogs, jo izstrādātais </w:t>
            </w:r>
            <w:proofErr w:type="spellStart"/>
            <w:r>
              <w:t>biodrošības</w:t>
            </w:r>
            <w:proofErr w:type="spellEnd"/>
            <w:r>
              <w:t xml:space="preserve"> pas</w:t>
            </w:r>
            <w:r w:rsidR="0058753B">
              <w:t>ā</w:t>
            </w:r>
            <w:r>
              <w:t>kumu plāns</w:t>
            </w:r>
            <w:r w:rsidR="0058753B">
              <w:t xml:space="preserve"> nebūs jāsaskaņo ar Pārtikas un veterināro dienestu</w:t>
            </w:r>
            <w:r>
              <w:t>.</w:t>
            </w:r>
          </w:p>
        </w:tc>
      </w:tr>
      <w:tr w:rsidR="00677A61" w:rsidRPr="00906B31" w:rsidTr="000962D8">
        <w:trPr>
          <w:jc w:val="center"/>
        </w:trPr>
        <w:tc>
          <w:tcPr>
            <w:tcW w:w="356" w:type="pct"/>
            <w:tcBorders>
              <w:right w:val="single" w:sz="4" w:space="0" w:color="auto"/>
            </w:tcBorders>
          </w:tcPr>
          <w:p w:rsidR="00677A61" w:rsidRDefault="00677A61" w:rsidP="00AC7C5D">
            <w:pPr>
              <w:jc w:val="both"/>
            </w:pPr>
            <w:r>
              <w:t> 5.</w:t>
            </w:r>
          </w:p>
        </w:tc>
        <w:tc>
          <w:tcPr>
            <w:tcW w:w="1207" w:type="pct"/>
            <w:tcBorders>
              <w:right w:val="single" w:sz="4" w:space="0" w:color="auto"/>
            </w:tcBorders>
          </w:tcPr>
          <w:p w:rsidR="00677A61" w:rsidRDefault="00677A61" w:rsidP="00AC7C5D">
            <w:pPr>
              <w:jc w:val="both"/>
            </w:pPr>
            <w:r>
              <w:t>Administratīvās procedūras raksturojums</w:t>
            </w:r>
          </w:p>
        </w:tc>
        <w:tc>
          <w:tcPr>
            <w:tcW w:w="3437" w:type="pct"/>
            <w:tcBorders>
              <w:top w:val="single" w:sz="4" w:space="0" w:color="auto"/>
              <w:left w:val="single" w:sz="4" w:space="0" w:color="auto"/>
              <w:bottom w:val="single" w:sz="4" w:space="0" w:color="auto"/>
              <w:right w:val="single" w:sz="4" w:space="0" w:color="auto"/>
            </w:tcBorders>
          </w:tcPr>
          <w:p w:rsidR="00677A61" w:rsidRDefault="00681885" w:rsidP="00681885">
            <w:pPr>
              <w:jc w:val="both"/>
            </w:pPr>
            <w:r>
              <w:t>Mājas (istabas) dzīvnieku īpašniekiem jānodrošina savu dzīvnieku vakcinācija pret trakumsērgu</w:t>
            </w:r>
            <w:r w:rsidR="000B6024">
              <w:t>, kad tie sasniedz</w:t>
            </w:r>
            <w:r>
              <w:t xml:space="preserve"> trīs mēnešu vecum</w:t>
            </w:r>
            <w:r w:rsidR="000B6024">
              <w:t>u</w:t>
            </w:r>
            <w:r>
              <w:t>.</w:t>
            </w:r>
          </w:p>
        </w:tc>
      </w:tr>
      <w:tr w:rsidR="00677A61" w:rsidRPr="00906B31" w:rsidTr="000962D8">
        <w:trPr>
          <w:jc w:val="center"/>
        </w:trPr>
        <w:tc>
          <w:tcPr>
            <w:tcW w:w="356" w:type="pct"/>
            <w:tcBorders>
              <w:right w:val="single" w:sz="4" w:space="0" w:color="auto"/>
            </w:tcBorders>
          </w:tcPr>
          <w:p w:rsidR="00677A61" w:rsidRDefault="00677A61" w:rsidP="00AC7C5D">
            <w:pPr>
              <w:jc w:val="both"/>
            </w:pPr>
            <w:r>
              <w:t>6.  </w:t>
            </w:r>
          </w:p>
        </w:tc>
        <w:tc>
          <w:tcPr>
            <w:tcW w:w="1207" w:type="pct"/>
            <w:tcBorders>
              <w:right w:val="single" w:sz="4" w:space="0" w:color="auto"/>
            </w:tcBorders>
          </w:tcPr>
          <w:p w:rsidR="00677A61" w:rsidRDefault="00677A61" w:rsidP="00AC7C5D">
            <w:pPr>
              <w:jc w:val="both"/>
            </w:pPr>
            <w:r>
              <w:t>Administratīvo izmaksu monetārs novērtējums</w:t>
            </w:r>
          </w:p>
        </w:tc>
        <w:tc>
          <w:tcPr>
            <w:tcW w:w="3437" w:type="pct"/>
            <w:tcBorders>
              <w:top w:val="single" w:sz="4" w:space="0" w:color="auto"/>
              <w:left w:val="single" w:sz="4" w:space="0" w:color="auto"/>
              <w:bottom w:val="single" w:sz="4" w:space="0" w:color="auto"/>
              <w:right w:val="single" w:sz="4" w:space="0" w:color="auto"/>
            </w:tcBorders>
          </w:tcPr>
          <w:p w:rsidR="00677A61" w:rsidRPr="00DF3721" w:rsidRDefault="00677A61" w:rsidP="00AC7C5D">
            <w:pPr>
              <w:jc w:val="both"/>
            </w:pPr>
            <w:r>
              <w:t>Projekts šo jomu neskar</w:t>
            </w:r>
            <w:r w:rsidRPr="000A0D36">
              <w:t>.</w:t>
            </w:r>
          </w:p>
        </w:tc>
      </w:tr>
      <w:tr w:rsidR="00677A61" w:rsidRPr="00906B31" w:rsidTr="000962D8">
        <w:trPr>
          <w:trHeight w:val="232"/>
          <w:jc w:val="center"/>
        </w:trPr>
        <w:tc>
          <w:tcPr>
            <w:tcW w:w="356" w:type="pct"/>
          </w:tcPr>
          <w:p w:rsidR="00677A61" w:rsidRDefault="00677A61" w:rsidP="00AC7C5D">
            <w:pPr>
              <w:jc w:val="both"/>
            </w:pPr>
            <w:r>
              <w:t>7.  </w:t>
            </w:r>
          </w:p>
        </w:tc>
        <w:tc>
          <w:tcPr>
            <w:tcW w:w="1207" w:type="pct"/>
          </w:tcPr>
          <w:p w:rsidR="00677A61" w:rsidRDefault="00677A61" w:rsidP="00AC7C5D">
            <w:pPr>
              <w:jc w:val="both"/>
            </w:pPr>
            <w:r>
              <w:t>Cita informācija</w:t>
            </w:r>
          </w:p>
        </w:tc>
        <w:tc>
          <w:tcPr>
            <w:tcW w:w="3437" w:type="pct"/>
            <w:tcBorders>
              <w:top w:val="single" w:sz="4" w:space="0" w:color="auto"/>
            </w:tcBorders>
          </w:tcPr>
          <w:p w:rsidR="00677A61" w:rsidRDefault="00677A61" w:rsidP="00AC7C5D">
            <w:pPr>
              <w:jc w:val="both"/>
            </w:pPr>
            <w:r>
              <w:t>Nav</w:t>
            </w:r>
          </w:p>
        </w:tc>
      </w:tr>
    </w:tbl>
    <w:p w:rsidR="00011108" w:rsidRDefault="00011108" w:rsidP="00677A61">
      <w:pPr>
        <w:rPr>
          <w:i/>
        </w:rPr>
      </w:pPr>
    </w:p>
    <w:tbl>
      <w:tblPr>
        <w:tblW w:w="50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134"/>
        <w:gridCol w:w="1134"/>
        <w:gridCol w:w="427"/>
        <w:gridCol w:w="1417"/>
        <w:gridCol w:w="1559"/>
        <w:gridCol w:w="1561"/>
      </w:tblGrid>
      <w:tr w:rsidR="00CA55BF" w:rsidRPr="00CA55BF" w:rsidTr="00CA55BF">
        <w:tc>
          <w:tcPr>
            <w:tcW w:w="5000" w:type="pct"/>
            <w:gridSpan w:val="7"/>
          </w:tcPr>
          <w:p w:rsidR="00CA55BF" w:rsidRPr="00CA55BF" w:rsidRDefault="00CA55BF" w:rsidP="00745355">
            <w:pPr>
              <w:pStyle w:val="Bezatstarpm"/>
              <w:jc w:val="center"/>
              <w:rPr>
                <w:rFonts w:ascii="Times New Roman" w:hAnsi="Times New Roman" w:cs="Times New Roman"/>
                <w:sz w:val="24"/>
                <w:szCs w:val="24"/>
              </w:rPr>
            </w:pPr>
            <w:r w:rsidRPr="00CA55BF">
              <w:rPr>
                <w:rFonts w:ascii="Times New Roman" w:hAnsi="Times New Roman" w:cs="Times New Roman"/>
                <w:b/>
                <w:bCs/>
                <w:sz w:val="24"/>
                <w:szCs w:val="24"/>
              </w:rPr>
              <w:t>III. Tiesību akta projekta ietekme uz valsts budžetu un pašvaldību budžetiem</w:t>
            </w:r>
          </w:p>
        </w:tc>
      </w:tr>
      <w:tr w:rsidR="00CA55BF" w:rsidRPr="00CA55BF" w:rsidTr="00CA55BF">
        <w:tc>
          <w:tcPr>
            <w:tcW w:w="1136" w:type="pct"/>
            <w:vMerge w:val="restar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b/>
                <w:bCs/>
                <w:sz w:val="24"/>
                <w:szCs w:val="24"/>
              </w:rPr>
              <w:t>Rādītāji</w:t>
            </w:r>
          </w:p>
        </w:tc>
        <w:tc>
          <w:tcPr>
            <w:tcW w:w="1440" w:type="pct"/>
            <w:gridSpan w:val="3"/>
            <w:vMerge w:val="restar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b/>
                <w:bCs/>
                <w:sz w:val="24"/>
                <w:szCs w:val="24"/>
              </w:rPr>
              <w:t>2013.gads</w:t>
            </w:r>
          </w:p>
        </w:tc>
        <w:tc>
          <w:tcPr>
            <w:tcW w:w="2424" w:type="pct"/>
            <w:gridSpan w:val="3"/>
          </w:tcPr>
          <w:p w:rsidR="00CA55BF" w:rsidRPr="00CA55BF" w:rsidRDefault="00CA55BF" w:rsidP="00914111">
            <w:pPr>
              <w:pStyle w:val="Bezatstarpm"/>
              <w:rPr>
                <w:rFonts w:ascii="Times New Roman" w:hAnsi="Times New Roman" w:cs="Times New Roman"/>
                <w:b/>
                <w:sz w:val="24"/>
                <w:szCs w:val="24"/>
              </w:rPr>
            </w:pPr>
            <w:r w:rsidRPr="00CA55BF">
              <w:rPr>
                <w:rFonts w:ascii="Times New Roman" w:hAnsi="Times New Roman" w:cs="Times New Roman"/>
                <w:b/>
                <w:sz w:val="24"/>
                <w:szCs w:val="24"/>
              </w:rPr>
              <w:t>Turpmākie trīs gadi (</w:t>
            </w:r>
            <w:proofErr w:type="spellStart"/>
            <w:r w:rsidR="00914111" w:rsidRPr="00914111">
              <w:rPr>
                <w:rFonts w:ascii="Times New Roman" w:hAnsi="Times New Roman" w:cs="Times New Roman"/>
                <w:b/>
                <w:i/>
                <w:sz w:val="24"/>
                <w:szCs w:val="24"/>
              </w:rPr>
              <w:t>euro</w:t>
            </w:r>
            <w:proofErr w:type="spellEnd"/>
            <w:r w:rsidRPr="00CA55BF">
              <w:rPr>
                <w:rFonts w:ascii="Times New Roman" w:hAnsi="Times New Roman" w:cs="Times New Roman"/>
                <w:b/>
                <w:sz w:val="24"/>
                <w:szCs w:val="24"/>
              </w:rPr>
              <w:t>)</w:t>
            </w:r>
          </w:p>
        </w:tc>
      </w:tr>
      <w:tr w:rsidR="00CA55BF" w:rsidRPr="00CA55BF" w:rsidTr="00CA55BF">
        <w:tc>
          <w:tcPr>
            <w:tcW w:w="1136" w:type="pct"/>
            <w:vMerge/>
          </w:tcPr>
          <w:p w:rsidR="00CA55BF" w:rsidRPr="00CA55BF" w:rsidRDefault="00CA55BF" w:rsidP="00745355">
            <w:pPr>
              <w:pStyle w:val="Bezatstarpm"/>
              <w:rPr>
                <w:rFonts w:ascii="Times New Roman" w:hAnsi="Times New Roman" w:cs="Times New Roman"/>
                <w:sz w:val="24"/>
                <w:szCs w:val="24"/>
              </w:rPr>
            </w:pPr>
          </w:p>
        </w:tc>
        <w:tc>
          <w:tcPr>
            <w:tcW w:w="1440" w:type="pct"/>
            <w:gridSpan w:val="3"/>
            <w:vMerge/>
          </w:tcPr>
          <w:p w:rsidR="00CA55BF" w:rsidRPr="00CA55BF" w:rsidRDefault="00CA55BF" w:rsidP="00745355">
            <w:pPr>
              <w:pStyle w:val="Bezatstarpm"/>
              <w:rPr>
                <w:rFonts w:ascii="Times New Roman" w:hAnsi="Times New Roman" w:cs="Times New Roman"/>
                <w:sz w:val="24"/>
                <w:szCs w:val="24"/>
              </w:rPr>
            </w:pPr>
          </w:p>
        </w:tc>
        <w:tc>
          <w:tcPr>
            <w:tcW w:w="757"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b/>
                <w:bCs/>
                <w:sz w:val="24"/>
                <w:szCs w:val="24"/>
              </w:rPr>
              <w:t>(2014.gads)</w:t>
            </w:r>
          </w:p>
        </w:tc>
        <w:tc>
          <w:tcPr>
            <w:tcW w:w="833"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b/>
                <w:bCs/>
                <w:sz w:val="24"/>
                <w:szCs w:val="24"/>
              </w:rPr>
              <w:t>(2015.gads)</w:t>
            </w:r>
          </w:p>
        </w:tc>
        <w:tc>
          <w:tcPr>
            <w:tcW w:w="834"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b/>
                <w:bCs/>
                <w:sz w:val="24"/>
                <w:szCs w:val="24"/>
              </w:rPr>
              <w:t xml:space="preserve"> (2016.gads)</w:t>
            </w:r>
          </w:p>
        </w:tc>
      </w:tr>
      <w:tr w:rsidR="00CA55BF" w:rsidRPr="00CA55BF" w:rsidTr="00CA55BF">
        <w:tc>
          <w:tcPr>
            <w:tcW w:w="1136" w:type="pct"/>
            <w:vMerge/>
          </w:tcPr>
          <w:p w:rsidR="00CA55BF" w:rsidRPr="00CA55BF" w:rsidRDefault="00CA55BF" w:rsidP="00745355">
            <w:pPr>
              <w:pStyle w:val="Bezatstarpm"/>
              <w:rPr>
                <w:rFonts w:ascii="Times New Roman" w:hAnsi="Times New Roman" w:cs="Times New Roman"/>
                <w:sz w:val="24"/>
                <w:szCs w:val="24"/>
              </w:rPr>
            </w:pPr>
          </w:p>
        </w:tc>
        <w:tc>
          <w:tcPr>
            <w:tcW w:w="60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 Saskaņā ar valsts budžetu kārtējam gadam</w:t>
            </w:r>
          </w:p>
        </w:tc>
        <w:tc>
          <w:tcPr>
            <w:tcW w:w="834" w:type="pct"/>
            <w:gridSpan w:val="2"/>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 Izmaiņas kārtējā gadā, salīdzinot ar budžetu kārtējam gadam</w:t>
            </w:r>
          </w:p>
        </w:tc>
        <w:tc>
          <w:tcPr>
            <w:tcW w:w="757"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Izmaiņas, salīdzinot ar kārtējo (n) gadu</w:t>
            </w:r>
          </w:p>
        </w:tc>
        <w:tc>
          <w:tcPr>
            <w:tcW w:w="833"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Izmaiņas, salīdzinot ar kārtējo (n) gadu</w:t>
            </w:r>
          </w:p>
        </w:tc>
        <w:tc>
          <w:tcPr>
            <w:tcW w:w="834"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 Izmaiņas, salīdzinot ar kārtējo (n) gadu</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1</w:t>
            </w:r>
          </w:p>
        </w:tc>
        <w:tc>
          <w:tcPr>
            <w:tcW w:w="60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2</w:t>
            </w:r>
          </w:p>
        </w:tc>
        <w:tc>
          <w:tcPr>
            <w:tcW w:w="834" w:type="pct"/>
            <w:gridSpan w:val="2"/>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3</w:t>
            </w:r>
          </w:p>
        </w:tc>
        <w:tc>
          <w:tcPr>
            <w:tcW w:w="757"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4</w:t>
            </w:r>
          </w:p>
        </w:tc>
        <w:tc>
          <w:tcPr>
            <w:tcW w:w="833"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5</w:t>
            </w:r>
          </w:p>
        </w:tc>
        <w:tc>
          <w:tcPr>
            <w:tcW w:w="834"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6</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1. Budžeta ieņēmumi:</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1.1. valsts pamatbudžets, tai skaitā ieņēmumi no maksas pakalpojumiem un citi pašu ieņēmumi</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1.2. valsts speciālais budžets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 xml:space="preserve">1.3. pašvaldību </w:t>
            </w:r>
            <w:r w:rsidRPr="00CA55BF">
              <w:rPr>
                <w:rFonts w:ascii="Times New Roman" w:hAnsi="Times New Roman" w:cs="Times New Roman"/>
                <w:sz w:val="24"/>
                <w:szCs w:val="24"/>
              </w:rPr>
              <w:lastRenderedPageBreak/>
              <w:t>budžets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lastRenderedPageBreak/>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lastRenderedPageBreak/>
              <w:t>2. Budžeta izdevumi:</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2.1. valsts pamatbudžets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2.2. valsts speciālais budžets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2.3. pašvaldību budžets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3. Finansiālā ietekme:</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3.1. valsts pamatbudžets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3.2. speciālais budžets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3.3. pašvaldību budžets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vMerge w:val="restar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4. Finanšu līdzekļi papildu izde</w:t>
            </w:r>
            <w:r w:rsidRPr="00CA55BF">
              <w:rPr>
                <w:rFonts w:ascii="Times New Roman" w:hAnsi="Times New Roman" w:cs="Times New Roman"/>
                <w:sz w:val="24"/>
                <w:szCs w:val="24"/>
              </w:rPr>
              <w:softHyphen/>
              <w:t>vumu finansēšanai (kompensējošu izdevumu samazinājumu norāda ar "+" zīmi)</w:t>
            </w:r>
          </w:p>
        </w:tc>
        <w:tc>
          <w:tcPr>
            <w:tcW w:w="1212" w:type="pct"/>
            <w:gridSpan w:val="2"/>
            <w:vMerge w:val="restar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X</w:t>
            </w:r>
          </w:p>
        </w:tc>
        <w:tc>
          <w:tcPr>
            <w:tcW w:w="2652" w:type="pct"/>
            <w:gridSpan w:val="4"/>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vMerge/>
          </w:tcPr>
          <w:p w:rsidR="00CA55BF" w:rsidRPr="00CA55BF" w:rsidRDefault="00CA55BF" w:rsidP="00745355">
            <w:pPr>
              <w:pStyle w:val="Bezatstarpm"/>
              <w:rPr>
                <w:rFonts w:ascii="Times New Roman" w:hAnsi="Times New Roman" w:cs="Times New Roman"/>
                <w:sz w:val="24"/>
                <w:szCs w:val="24"/>
              </w:rPr>
            </w:pPr>
          </w:p>
        </w:tc>
        <w:tc>
          <w:tcPr>
            <w:tcW w:w="1212" w:type="pct"/>
            <w:gridSpan w:val="2"/>
            <w:vMerge/>
          </w:tcPr>
          <w:p w:rsidR="00CA55BF" w:rsidRPr="00CA55BF" w:rsidRDefault="00CA55BF" w:rsidP="00745355">
            <w:pPr>
              <w:pStyle w:val="Bezatstarpm"/>
              <w:rPr>
                <w:rFonts w:ascii="Times New Roman" w:hAnsi="Times New Roman" w:cs="Times New Roman"/>
                <w:sz w:val="24"/>
                <w:szCs w:val="24"/>
              </w:rPr>
            </w:pPr>
          </w:p>
        </w:tc>
        <w:tc>
          <w:tcPr>
            <w:tcW w:w="2652" w:type="pct"/>
            <w:gridSpan w:val="4"/>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vMerge/>
          </w:tcPr>
          <w:p w:rsidR="00CA55BF" w:rsidRPr="00CA55BF" w:rsidRDefault="00CA55BF" w:rsidP="00745355">
            <w:pPr>
              <w:pStyle w:val="Bezatstarpm"/>
              <w:rPr>
                <w:rFonts w:ascii="Times New Roman" w:hAnsi="Times New Roman" w:cs="Times New Roman"/>
                <w:sz w:val="24"/>
                <w:szCs w:val="24"/>
              </w:rPr>
            </w:pPr>
          </w:p>
        </w:tc>
        <w:tc>
          <w:tcPr>
            <w:tcW w:w="1212" w:type="pct"/>
            <w:gridSpan w:val="2"/>
            <w:vMerge/>
          </w:tcPr>
          <w:p w:rsidR="00CA55BF" w:rsidRPr="00CA55BF" w:rsidRDefault="00CA55BF" w:rsidP="00745355">
            <w:pPr>
              <w:pStyle w:val="Bezatstarpm"/>
              <w:rPr>
                <w:rFonts w:ascii="Times New Roman" w:hAnsi="Times New Roman" w:cs="Times New Roman"/>
                <w:sz w:val="24"/>
                <w:szCs w:val="24"/>
              </w:rPr>
            </w:pPr>
          </w:p>
        </w:tc>
        <w:tc>
          <w:tcPr>
            <w:tcW w:w="2652" w:type="pct"/>
            <w:gridSpan w:val="4"/>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5. Precizēta finansiālā ietekme:</w:t>
            </w:r>
          </w:p>
        </w:tc>
        <w:tc>
          <w:tcPr>
            <w:tcW w:w="1212" w:type="pct"/>
            <w:gridSpan w:val="2"/>
            <w:vMerge w:val="restar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X</w:t>
            </w:r>
          </w:p>
        </w:tc>
        <w:tc>
          <w:tcPr>
            <w:tcW w:w="2652" w:type="pct"/>
            <w:gridSpan w:val="4"/>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5.1. valsts pamatbudžets</w:t>
            </w:r>
          </w:p>
        </w:tc>
        <w:tc>
          <w:tcPr>
            <w:tcW w:w="1212" w:type="pct"/>
            <w:gridSpan w:val="2"/>
            <w:vMerge/>
          </w:tcPr>
          <w:p w:rsidR="00CA55BF" w:rsidRPr="00CA55BF" w:rsidRDefault="00CA55BF" w:rsidP="00745355">
            <w:pPr>
              <w:pStyle w:val="Bezatstarpm"/>
              <w:rPr>
                <w:rFonts w:ascii="Times New Roman" w:hAnsi="Times New Roman" w:cs="Times New Roman"/>
                <w:sz w:val="24"/>
                <w:szCs w:val="24"/>
              </w:rPr>
            </w:pPr>
          </w:p>
        </w:tc>
        <w:tc>
          <w:tcPr>
            <w:tcW w:w="2652" w:type="pct"/>
            <w:gridSpan w:val="4"/>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5.2. speciālais budžets</w:t>
            </w:r>
          </w:p>
        </w:tc>
        <w:tc>
          <w:tcPr>
            <w:tcW w:w="1212" w:type="pct"/>
            <w:gridSpan w:val="2"/>
            <w:vMerge/>
          </w:tcPr>
          <w:p w:rsidR="00CA55BF" w:rsidRPr="00CA55BF" w:rsidRDefault="00CA55BF" w:rsidP="00745355">
            <w:pPr>
              <w:pStyle w:val="Bezatstarpm"/>
              <w:rPr>
                <w:rFonts w:ascii="Times New Roman" w:hAnsi="Times New Roman" w:cs="Times New Roman"/>
                <w:sz w:val="24"/>
                <w:szCs w:val="24"/>
              </w:rPr>
            </w:pPr>
          </w:p>
        </w:tc>
        <w:tc>
          <w:tcPr>
            <w:tcW w:w="2652" w:type="pct"/>
            <w:gridSpan w:val="4"/>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 5.3. pašvaldību budžets</w:t>
            </w:r>
          </w:p>
        </w:tc>
        <w:tc>
          <w:tcPr>
            <w:tcW w:w="1212" w:type="pct"/>
            <w:gridSpan w:val="2"/>
            <w:vMerge/>
          </w:tcPr>
          <w:p w:rsidR="00CA55BF" w:rsidRPr="00CA55BF" w:rsidRDefault="00CA55BF" w:rsidP="00745355">
            <w:pPr>
              <w:pStyle w:val="Bezatstarpm"/>
              <w:rPr>
                <w:rFonts w:ascii="Times New Roman" w:hAnsi="Times New Roman" w:cs="Times New Roman"/>
                <w:sz w:val="24"/>
                <w:szCs w:val="24"/>
              </w:rPr>
            </w:pPr>
          </w:p>
        </w:tc>
        <w:tc>
          <w:tcPr>
            <w:tcW w:w="2652" w:type="pct"/>
            <w:gridSpan w:val="4"/>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6. Detalizēts ieņēmumu un izdevu</w:t>
            </w:r>
            <w:r w:rsidRPr="00CA55BF">
              <w:rPr>
                <w:rFonts w:ascii="Times New Roman" w:hAnsi="Times New Roman" w:cs="Times New Roman"/>
                <w:sz w:val="24"/>
                <w:szCs w:val="24"/>
              </w:rPr>
              <w:softHyphen/>
              <w:t>mu aprēķins (ja nepieciešams, detalizētu ieņēmumu un izdevumu aprēķinu var pievienot anotācijas pielikumā):</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6.1. detalizēts ieņēmumu aprēķins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6.2. detalizēts izdevumu aprēķins</w:t>
            </w:r>
          </w:p>
        </w:tc>
        <w:tc>
          <w:tcPr>
            <w:tcW w:w="3864" w:type="pct"/>
            <w:gridSpan w:val="6"/>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Nav precīzi aprēķināms.</w:t>
            </w:r>
          </w:p>
        </w:tc>
      </w:tr>
      <w:tr w:rsidR="00CA55BF" w:rsidRPr="00CA55BF" w:rsidTr="00CA55BF">
        <w:tc>
          <w:tcPr>
            <w:tcW w:w="1136" w:type="pct"/>
          </w:tcPr>
          <w:p w:rsidR="00CA55BF" w:rsidRPr="00CA55BF" w:rsidRDefault="00CA55BF" w:rsidP="00745355">
            <w:pPr>
              <w:pStyle w:val="Bezatstarpm"/>
              <w:rPr>
                <w:rFonts w:ascii="Times New Roman" w:hAnsi="Times New Roman" w:cs="Times New Roman"/>
                <w:sz w:val="24"/>
                <w:szCs w:val="24"/>
              </w:rPr>
            </w:pPr>
            <w:r w:rsidRPr="00CA55BF">
              <w:rPr>
                <w:rFonts w:ascii="Times New Roman" w:hAnsi="Times New Roman" w:cs="Times New Roman"/>
                <w:sz w:val="24"/>
                <w:szCs w:val="24"/>
              </w:rPr>
              <w:t>7. Cita informācija</w:t>
            </w:r>
          </w:p>
        </w:tc>
        <w:tc>
          <w:tcPr>
            <w:tcW w:w="3864" w:type="pct"/>
            <w:gridSpan w:val="6"/>
          </w:tcPr>
          <w:p w:rsidR="00CA55BF" w:rsidRPr="00CA55BF" w:rsidRDefault="00CA55BF" w:rsidP="000B6024">
            <w:pPr>
              <w:pStyle w:val="Bezatstarpm"/>
              <w:jc w:val="both"/>
              <w:rPr>
                <w:rFonts w:ascii="Times New Roman" w:hAnsi="Times New Roman" w:cs="Times New Roman"/>
                <w:sz w:val="24"/>
                <w:szCs w:val="24"/>
              </w:rPr>
            </w:pPr>
            <w:r w:rsidRPr="00CA55BF">
              <w:rPr>
                <w:rFonts w:ascii="Times New Roman" w:hAnsi="Times New Roman" w:cs="Times New Roman"/>
                <w:sz w:val="24"/>
                <w:szCs w:val="24"/>
              </w:rPr>
              <w:t xml:space="preserve">Kompensācijas tiek izmaksātas no valsts budžeta programmas 02.00.00. „Līdzekļi neparedzētiem gadījumiem” un līdzekļi kompensāciju izmaksai pieprasīti saskaņā ar Ministru kabineta 2009.gada 22.decembra noteikumiem Nr.1644 „Kārtība, kādā pieprasa un izlieto budžeta programmas „Līdzekļi neparedzētiem gadījumiem” līdzekļus”. </w:t>
            </w:r>
            <w:r w:rsidRPr="00CA55BF">
              <w:rPr>
                <w:rFonts w:ascii="Times New Roman" w:hAnsi="Times New Roman" w:cs="Times New Roman"/>
                <w:sz w:val="24"/>
                <w:szCs w:val="24"/>
              </w:rPr>
              <w:lastRenderedPageBreak/>
              <w:t>Sagaidāms, ka noteikumu projekts varētu palielināt izdevumus no valsts budžeta.</w:t>
            </w:r>
            <w:r w:rsidR="00A4758B">
              <w:rPr>
                <w:rFonts w:ascii="Times New Roman" w:hAnsi="Times New Roman" w:cs="Times New Roman"/>
                <w:sz w:val="24"/>
                <w:szCs w:val="24"/>
              </w:rPr>
              <w:t xml:space="preserve"> </w:t>
            </w:r>
            <w:r w:rsidR="000B6024">
              <w:rPr>
                <w:rFonts w:ascii="Times New Roman" w:hAnsi="Times New Roman" w:cs="Times New Roman"/>
                <w:sz w:val="24"/>
                <w:szCs w:val="24"/>
              </w:rPr>
              <w:t>Pēc</w:t>
            </w:r>
            <w:r w:rsidR="00A4758B" w:rsidRPr="00693E08">
              <w:rPr>
                <w:rFonts w:ascii="Times New Roman" w:hAnsi="Times New Roman" w:cs="Times New Roman"/>
                <w:sz w:val="24"/>
                <w:szCs w:val="24"/>
              </w:rPr>
              <w:t xml:space="preserve"> Latvijas Biškopības biedrības sniegt</w:t>
            </w:r>
            <w:r w:rsidR="000B6024">
              <w:rPr>
                <w:rFonts w:ascii="Times New Roman" w:hAnsi="Times New Roman" w:cs="Times New Roman"/>
                <w:sz w:val="24"/>
                <w:szCs w:val="24"/>
              </w:rPr>
              <w:t>ās</w:t>
            </w:r>
            <w:r w:rsidR="00A4758B" w:rsidRPr="00693E08">
              <w:rPr>
                <w:rFonts w:ascii="Times New Roman" w:hAnsi="Times New Roman" w:cs="Times New Roman"/>
                <w:sz w:val="24"/>
                <w:szCs w:val="24"/>
              </w:rPr>
              <w:t xml:space="preserve"> informācij</w:t>
            </w:r>
            <w:r w:rsidR="000B6024">
              <w:rPr>
                <w:rFonts w:ascii="Times New Roman" w:hAnsi="Times New Roman" w:cs="Times New Roman"/>
                <w:sz w:val="24"/>
                <w:szCs w:val="24"/>
              </w:rPr>
              <w:t>as,</w:t>
            </w:r>
            <w:r w:rsidR="00A4758B" w:rsidRPr="00693E08">
              <w:rPr>
                <w:rFonts w:ascii="Times New Roman" w:hAnsi="Times New Roman" w:cs="Times New Roman"/>
                <w:sz w:val="24"/>
                <w:szCs w:val="24"/>
              </w:rPr>
              <w:t xml:space="preserve"> vienas bišu saimes vērtība 2013.gada jūlijā aprēķināta </w:t>
            </w:r>
            <w:r w:rsidR="000B6024" w:rsidRPr="00693E08">
              <w:rPr>
                <w:rFonts w:ascii="Times New Roman" w:hAnsi="Times New Roman" w:cs="Times New Roman"/>
                <w:sz w:val="24"/>
                <w:szCs w:val="24"/>
              </w:rPr>
              <w:t xml:space="preserve">Ls </w:t>
            </w:r>
            <w:r w:rsidR="00A4758B" w:rsidRPr="00693E08">
              <w:rPr>
                <w:rFonts w:ascii="Times New Roman" w:hAnsi="Times New Roman" w:cs="Times New Roman"/>
                <w:sz w:val="24"/>
                <w:szCs w:val="24"/>
              </w:rPr>
              <w:t>126</w:t>
            </w:r>
            <w:r w:rsidR="000B6024">
              <w:rPr>
                <w:rFonts w:ascii="Times New Roman" w:hAnsi="Times New Roman" w:cs="Times New Roman"/>
                <w:sz w:val="24"/>
                <w:szCs w:val="24"/>
              </w:rPr>
              <w:t xml:space="preserve"> </w:t>
            </w:r>
            <w:r w:rsidR="00A4758B" w:rsidRPr="00693E08">
              <w:rPr>
                <w:rFonts w:ascii="Times New Roman" w:hAnsi="Times New Roman" w:cs="Times New Roman"/>
                <w:sz w:val="24"/>
                <w:szCs w:val="24"/>
              </w:rPr>
              <w:t>jeb 179,28</w:t>
            </w:r>
            <w:r w:rsidR="000B6024">
              <w:rPr>
                <w:rFonts w:ascii="Times New Roman" w:hAnsi="Times New Roman" w:cs="Times New Roman"/>
                <w:sz w:val="24"/>
                <w:szCs w:val="24"/>
              </w:rPr>
              <w:t xml:space="preserve"> </w:t>
            </w:r>
            <w:proofErr w:type="spellStart"/>
            <w:r w:rsidR="00A4758B" w:rsidRPr="00680D27">
              <w:rPr>
                <w:rFonts w:ascii="Times New Roman" w:hAnsi="Times New Roman" w:cs="Times New Roman"/>
                <w:i/>
                <w:sz w:val="24"/>
                <w:szCs w:val="24"/>
              </w:rPr>
              <w:t>euro</w:t>
            </w:r>
            <w:proofErr w:type="spellEnd"/>
            <w:r w:rsidR="000B6024">
              <w:rPr>
                <w:rFonts w:ascii="Times New Roman" w:hAnsi="Times New Roman" w:cs="Times New Roman"/>
                <w:sz w:val="24"/>
                <w:szCs w:val="24"/>
              </w:rPr>
              <w:t xml:space="preserve"> apmērā</w:t>
            </w:r>
            <w:r w:rsidR="00A4758B" w:rsidRPr="00693E08">
              <w:rPr>
                <w:rFonts w:ascii="Times New Roman" w:hAnsi="Times New Roman" w:cs="Times New Roman"/>
                <w:sz w:val="24"/>
                <w:szCs w:val="24"/>
              </w:rPr>
              <w:t>. Ņemot vērā Latvijas Biškopības biedrības ieteikumu</w:t>
            </w:r>
            <w:r w:rsidR="000B6024">
              <w:rPr>
                <w:rFonts w:ascii="Times New Roman" w:hAnsi="Times New Roman" w:cs="Times New Roman"/>
                <w:sz w:val="24"/>
                <w:szCs w:val="24"/>
              </w:rPr>
              <w:t>,</w:t>
            </w:r>
            <w:r w:rsidR="00A4758B" w:rsidRPr="00693E08">
              <w:rPr>
                <w:rFonts w:ascii="Times New Roman" w:hAnsi="Times New Roman" w:cs="Times New Roman"/>
                <w:sz w:val="24"/>
                <w:szCs w:val="24"/>
              </w:rPr>
              <w:t xml:space="preserve"> likumprojektā ir precizēts nosacījums par kompensāciju Amerikas peru puves uzliesmojuma gadījumā, nosakot kompensāciju 50% apmērā no bišu saimes vērtības. Tā kā valstī netiek uzskaitīti Amerikas peru puves uzliesmojumi, tad nav iespējams precīzi paredzēt no valsts budžeta kompensācijās izmaksājamo </w:t>
            </w:r>
            <w:r w:rsidR="00B72E4B" w:rsidRPr="00693E08">
              <w:rPr>
                <w:rFonts w:ascii="Times New Roman" w:hAnsi="Times New Roman" w:cs="Times New Roman"/>
                <w:sz w:val="24"/>
                <w:szCs w:val="24"/>
              </w:rPr>
              <w:t>naudas līdzekļu ap</w:t>
            </w:r>
            <w:r w:rsidR="000B6024">
              <w:rPr>
                <w:rFonts w:ascii="Times New Roman" w:hAnsi="Times New Roman" w:cs="Times New Roman"/>
                <w:sz w:val="24"/>
                <w:szCs w:val="24"/>
              </w:rPr>
              <w:t>mēru</w:t>
            </w:r>
            <w:r w:rsidR="00B72E4B" w:rsidRPr="00693E08">
              <w:rPr>
                <w:rFonts w:ascii="Times New Roman" w:hAnsi="Times New Roman" w:cs="Times New Roman"/>
                <w:sz w:val="24"/>
                <w:szCs w:val="24"/>
              </w:rPr>
              <w:t xml:space="preserve">. Noteikumos Nr.177 nav noteikts kompensācijas apmērs govju enzootiskās leikozes zaudējumu segšanai. Likumprojektā ir paredzēts zaudējumus dzīvnieku īpašniekam kompensēt līdz 50% apmērā no kautproduktu vidējās vērtības. Ņemot vērā iepriekšējo gadu pieredzi, vidēji dzīvnieku īpašniekam par vienu govi ir izmaksāti </w:t>
            </w:r>
            <w:r w:rsidR="000B6024" w:rsidRPr="00693E08">
              <w:rPr>
                <w:rFonts w:ascii="Times New Roman" w:hAnsi="Times New Roman" w:cs="Times New Roman"/>
                <w:sz w:val="24"/>
                <w:szCs w:val="24"/>
              </w:rPr>
              <w:t xml:space="preserve">Ls </w:t>
            </w:r>
            <w:r w:rsidR="00B72E4B" w:rsidRPr="00693E08">
              <w:rPr>
                <w:rFonts w:ascii="Times New Roman" w:hAnsi="Times New Roman" w:cs="Times New Roman"/>
                <w:sz w:val="24"/>
                <w:szCs w:val="24"/>
              </w:rPr>
              <w:t>150</w:t>
            </w:r>
            <w:r w:rsidR="000B6024">
              <w:rPr>
                <w:rFonts w:ascii="Times New Roman" w:hAnsi="Times New Roman" w:cs="Times New Roman"/>
                <w:sz w:val="24"/>
                <w:szCs w:val="24"/>
              </w:rPr>
              <w:t>–2</w:t>
            </w:r>
            <w:r w:rsidR="00B72E4B" w:rsidRPr="00693E08">
              <w:rPr>
                <w:rFonts w:ascii="Times New Roman" w:hAnsi="Times New Roman" w:cs="Times New Roman"/>
                <w:sz w:val="24"/>
                <w:szCs w:val="24"/>
              </w:rPr>
              <w:t>00 jeb 214</w:t>
            </w:r>
            <w:r w:rsidR="000B6024">
              <w:rPr>
                <w:rFonts w:ascii="Times New Roman" w:hAnsi="Times New Roman" w:cs="Times New Roman"/>
                <w:sz w:val="24"/>
                <w:szCs w:val="24"/>
              </w:rPr>
              <w:t>,</w:t>
            </w:r>
            <w:r w:rsidR="00B72E4B" w:rsidRPr="00693E08">
              <w:rPr>
                <w:rFonts w:ascii="Times New Roman" w:hAnsi="Times New Roman" w:cs="Times New Roman"/>
                <w:sz w:val="24"/>
                <w:szCs w:val="24"/>
              </w:rPr>
              <w:t>29</w:t>
            </w:r>
            <w:r w:rsidR="000B6024">
              <w:rPr>
                <w:rFonts w:ascii="Times New Roman" w:hAnsi="Times New Roman" w:cs="Times New Roman"/>
                <w:sz w:val="24"/>
                <w:szCs w:val="24"/>
              </w:rPr>
              <w:t>–</w:t>
            </w:r>
            <w:r w:rsidR="00B72E4B" w:rsidRPr="00693E08">
              <w:rPr>
                <w:rFonts w:ascii="Times New Roman" w:hAnsi="Times New Roman" w:cs="Times New Roman"/>
                <w:sz w:val="24"/>
                <w:szCs w:val="24"/>
              </w:rPr>
              <w:t>285</w:t>
            </w:r>
            <w:r w:rsidR="000B6024">
              <w:rPr>
                <w:rFonts w:ascii="Times New Roman" w:hAnsi="Times New Roman" w:cs="Times New Roman"/>
                <w:sz w:val="24"/>
                <w:szCs w:val="24"/>
              </w:rPr>
              <w:t>,</w:t>
            </w:r>
            <w:r w:rsidR="00B72E4B" w:rsidRPr="00693E08">
              <w:rPr>
                <w:rFonts w:ascii="Times New Roman" w:hAnsi="Times New Roman" w:cs="Times New Roman"/>
                <w:sz w:val="24"/>
                <w:szCs w:val="24"/>
              </w:rPr>
              <w:t>71</w:t>
            </w:r>
            <w:r w:rsidR="000B6024">
              <w:rPr>
                <w:rFonts w:ascii="Times New Roman" w:hAnsi="Times New Roman" w:cs="Times New Roman"/>
                <w:sz w:val="24"/>
                <w:szCs w:val="24"/>
              </w:rPr>
              <w:t xml:space="preserve"> </w:t>
            </w:r>
            <w:proofErr w:type="spellStart"/>
            <w:r w:rsidR="00B72E4B" w:rsidRPr="00680D27">
              <w:rPr>
                <w:rFonts w:ascii="Times New Roman" w:hAnsi="Times New Roman" w:cs="Times New Roman"/>
                <w:i/>
                <w:sz w:val="24"/>
                <w:szCs w:val="24"/>
              </w:rPr>
              <w:t>euro</w:t>
            </w:r>
            <w:proofErr w:type="spellEnd"/>
            <w:r w:rsidR="00B72E4B" w:rsidRPr="00693E08">
              <w:rPr>
                <w:rFonts w:ascii="Times New Roman" w:hAnsi="Times New Roman" w:cs="Times New Roman"/>
                <w:sz w:val="24"/>
                <w:szCs w:val="24"/>
              </w:rPr>
              <w:t>.</w:t>
            </w:r>
            <w:r w:rsidR="00B72E4B">
              <w:rPr>
                <w:rFonts w:ascii="Times New Roman" w:hAnsi="Times New Roman" w:cs="Times New Roman"/>
                <w:b/>
                <w:sz w:val="24"/>
                <w:szCs w:val="24"/>
              </w:rPr>
              <w:t xml:space="preserve"> </w:t>
            </w:r>
            <w:r w:rsidR="00B72E4B" w:rsidRPr="00B72E4B">
              <w:rPr>
                <w:rFonts w:ascii="Times New Roman" w:hAnsi="Times New Roman" w:cs="Times New Roman"/>
                <w:sz w:val="24"/>
                <w:szCs w:val="24"/>
              </w:rPr>
              <w:t xml:space="preserve"> </w:t>
            </w:r>
          </w:p>
        </w:tc>
      </w:tr>
    </w:tbl>
    <w:p w:rsidR="00FA0CD9" w:rsidRPr="00CA55BF" w:rsidRDefault="00FA0CD9" w:rsidP="00677A61">
      <w:pPr>
        <w:rPr>
          <w:i/>
        </w:rPr>
      </w:pPr>
    </w:p>
    <w:tbl>
      <w:tblPr>
        <w:tblW w:w="5040" w:type="pct"/>
        <w:tblInd w:w="-3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41"/>
        <w:gridCol w:w="2578"/>
        <w:gridCol w:w="6236"/>
      </w:tblGrid>
      <w:tr w:rsidR="00FA0CD9" w:rsidRPr="000B4B7F" w:rsidTr="0053032B">
        <w:tc>
          <w:tcPr>
            <w:tcW w:w="5000" w:type="pct"/>
            <w:gridSpan w:val="3"/>
            <w:tcBorders>
              <w:top w:val="outset" w:sz="6" w:space="0" w:color="auto"/>
              <w:left w:val="outset" w:sz="6" w:space="0" w:color="auto"/>
              <w:bottom w:val="outset" w:sz="6" w:space="0" w:color="auto"/>
              <w:right w:val="outset" w:sz="6" w:space="0" w:color="auto"/>
            </w:tcBorders>
          </w:tcPr>
          <w:p w:rsidR="00FA0CD9" w:rsidRPr="000B4B7F" w:rsidRDefault="00FA0CD9" w:rsidP="0053032B">
            <w:pPr>
              <w:jc w:val="center"/>
              <w:rPr>
                <w:b/>
              </w:rPr>
            </w:pPr>
            <w:r>
              <w:rPr>
                <w:b/>
              </w:rPr>
              <w:t>I</w:t>
            </w:r>
            <w:r w:rsidRPr="000B4B7F">
              <w:rPr>
                <w:b/>
              </w:rPr>
              <w:t xml:space="preserve">V. </w:t>
            </w:r>
            <w:r>
              <w:rPr>
                <w:b/>
              </w:rPr>
              <w:t>Tiesību akta projekta ietekme uz spēkā esošo tiesību normu sistēmu</w:t>
            </w:r>
          </w:p>
        </w:tc>
      </w:tr>
      <w:tr w:rsidR="00FA0CD9" w:rsidRPr="000B4B7F" w:rsidTr="00CA55BF">
        <w:tc>
          <w:tcPr>
            <w:tcW w:w="289" w:type="pct"/>
            <w:tcBorders>
              <w:top w:val="outset" w:sz="6" w:space="0" w:color="auto"/>
              <w:left w:val="outset" w:sz="6" w:space="0" w:color="auto"/>
              <w:bottom w:val="outset" w:sz="6" w:space="0" w:color="auto"/>
              <w:right w:val="outset" w:sz="6" w:space="0" w:color="auto"/>
            </w:tcBorders>
          </w:tcPr>
          <w:p w:rsidR="00FA0CD9" w:rsidRPr="000B4B7F" w:rsidRDefault="00FA0CD9" w:rsidP="0053032B">
            <w:pPr>
              <w:jc w:val="both"/>
            </w:pPr>
            <w:r>
              <w:t xml:space="preserve">1. </w:t>
            </w:r>
          </w:p>
        </w:tc>
        <w:tc>
          <w:tcPr>
            <w:tcW w:w="1378" w:type="pct"/>
            <w:tcBorders>
              <w:top w:val="outset" w:sz="6" w:space="0" w:color="auto"/>
              <w:left w:val="outset" w:sz="6" w:space="0" w:color="auto"/>
              <w:bottom w:val="outset" w:sz="6" w:space="0" w:color="auto"/>
              <w:right w:val="outset" w:sz="6" w:space="0" w:color="auto"/>
            </w:tcBorders>
          </w:tcPr>
          <w:p w:rsidR="00FA0CD9" w:rsidRPr="000B4B7F" w:rsidRDefault="00FA0CD9" w:rsidP="0053032B">
            <w:pPr>
              <w:jc w:val="both"/>
            </w:pPr>
            <w:r>
              <w:t>Nepieciešamie saistītie tiesību aktu projekti</w:t>
            </w:r>
          </w:p>
        </w:tc>
        <w:tc>
          <w:tcPr>
            <w:tcW w:w="3333" w:type="pct"/>
            <w:tcBorders>
              <w:top w:val="outset" w:sz="6" w:space="0" w:color="auto"/>
              <w:left w:val="outset" w:sz="6" w:space="0" w:color="auto"/>
              <w:bottom w:val="outset" w:sz="6" w:space="0" w:color="auto"/>
              <w:right w:val="outset" w:sz="6" w:space="0" w:color="auto"/>
            </w:tcBorders>
          </w:tcPr>
          <w:p w:rsidR="00A55643" w:rsidRPr="00693E08" w:rsidRDefault="003A2EF4" w:rsidP="0053032B">
            <w:pPr>
              <w:pStyle w:val="Bezatstarpm"/>
              <w:jc w:val="both"/>
              <w:rPr>
                <w:rFonts w:ascii="Times New Roman" w:hAnsi="Times New Roman" w:cs="Times New Roman"/>
                <w:sz w:val="24"/>
                <w:szCs w:val="24"/>
              </w:rPr>
            </w:pPr>
            <w:r w:rsidRPr="00693E08">
              <w:rPr>
                <w:rFonts w:ascii="Times New Roman" w:hAnsi="Times New Roman" w:cs="Times New Roman"/>
                <w:sz w:val="24"/>
                <w:szCs w:val="24"/>
              </w:rPr>
              <w:t>N</w:t>
            </w:r>
            <w:r w:rsidR="00A55643" w:rsidRPr="00693E08">
              <w:rPr>
                <w:rFonts w:ascii="Times New Roman" w:hAnsi="Times New Roman" w:cs="Times New Roman"/>
                <w:sz w:val="24"/>
                <w:szCs w:val="24"/>
              </w:rPr>
              <w:t>epieciešams sagatavot grozījumus šādos Ministru kabineta noteikumos:</w:t>
            </w:r>
          </w:p>
          <w:p w:rsidR="00FA0CD9" w:rsidRPr="00693E08" w:rsidRDefault="00FA0CD9" w:rsidP="0053032B">
            <w:pPr>
              <w:pStyle w:val="Bezatstarpm"/>
              <w:jc w:val="both"/>
              <w:rPr>
                <w:rFonts w:ascii="Times New Roman" w:hAnsi="Times New Roman" w:cs="Times New Roman"/>
                <w:color w:val="000000"/>
                <w:sz w:val="24"/>
                <w:szCs w:val="24"/>
              </w:rPr>
            </w:pPr>
            <w:r w:rsidRPr="00693E08">
              <w:rPr>
                <w:rFonts w:ascii="Times New Roman" w:hAnsi="Times New Roman" w:cs="Times New Roman"/>
                <w:sz w:val="24"/>
                <w:szCs w:val="24"/>
              </w:rPr>
              <w:t>1</w:t>
            </w:r>
            <w:r w:rsidR="00737501" w:rsidRPr="00693E08">
              <w:rPr>
                <w:rFonts w:ascii="Times New Roman" w:hAnsi="Times New Roman" w:cs="Times New Roman"/>
                <w:sz w:val="24"/>
                <w:szCs w:val="24"/>
              </w:rPr>
              <w:t>)</w:t>
            </w:r>
            <w:r w:rsidRPr="00693E08">
              <w:rPr>
                <w:rFonts w:ascii="Times New Roman" w:hAnsi="Times New Roman" w:cs="Times New Roman"/>
                <w:sz w:val="24"/>
                <w:szCs w:val="24"/>
              </w:rPr>
              <w:t xml:space="preserve"> Nr.177, </w:t>
            </w:r>
            <w:r w:rsidR="00417054" w:rsidRPr="00693E08">
              <w:rPr>
                <w:rFonts w:ascii="Times New Roman" w:hAnsi="Times New Roman" w:cs="Times New Roman"/>
                <w:sz w:val="24"/>
                <w:szCs w:val="24"/>
              </w:rPr>
              <w:t xml:space="preserve">esošo redakciju </w:t>
            </w:r>
            <w:r w:rsidRPr="00693E08">
              <w:rPr>
                <w:rFonts w:ascii="Times New Roman" w:hAnsi="Times New Roman" w:cs="Times New Roman"/>
                <w:sz w:val="24"/>
                <w:szCs w:val="24"/>
              </w:rPr>
              <w:t xml:space="preserve">papildinot ar </w:t>
            </w:r>
            <w:r w:rsidR="00417054" w:rsidRPr="00693E08">
              <w:rPr>
                <w:rFonts w:ascii="Times New Roman" w:hAnsi="Times New Roman" w:cs="Times New Roman"/>
                <w:sz w:val="24"/>
                <w:szCs w:val="24"/>
              </w:rPr>
              <w:t xml:space="preserve">normām par </w:t>
            </w:r>
            <w:r w:rsidRPr="00693E08">
              <w:rPr>
                <w:rFonts w:ascii="Times New Roman" w:hAnsi="Times New Roman" w:cs="Times New Roman"/>
                <w:sz w:val="24"/>
                <w:szCs w:val="24"/>
              </w:rPr>
              <w:t>zaudējumu ap</w:t>
            </w:r>
            <w:r w:rsidR="00F84E6F" w:rsidRPr="00693E08">
              <w:rPr>
                <w:rFonts w:ascii="Times New Roman" w:hAnsi="Times New Roman" w:cs="Times New Roman"/>
                <w:sz w:val="24"/>
                <w:szCs w:val="24"/>
              </w:rPr>
              <w:t>mēru</w:t>
            </w:r>
            <w:r w:rsidR="00E074F7" w:rsidRPr="00693E08">
              <w:rPr>
                <w:rFonts w:ascii="Times New Roman" w:hAnsi="Times New Roman" w:cs="Times New Roman"/>
                <w:sz w:val="24"/>
                <w:szCs w:val="24"/>
              </w:rPr>
              <w:t>,</w:t>
            </w:r>
            <w:r w:rsidRPr="00693E08">
              <w:rPr>
                <w:rFonts w:ascii="Times New Roman" w:hAnsi="Times New Roman" w:cs="Times New Roman"/>
                <w:sz w:val="24"/>
                <w:szCs w:val="24"/>
              </w:rPr>
              <w:t xml:space="preserve"> kādu </w:t>
            </w:r>
            <w:r w:rsidR="00E074F7" w:rsidRPr="00693E08">
              <w:rPr>
                <w:rFonts w:ascii="Times New Roman" w:hAnsi="Times New Roman" w:cs="Times New Roman"/>
                <w:sz w:val="24"/>
                <w:szCs w:val="24"/>
              </w:rPr>
              <w:t xml:space="preserve">kompensē </w:t>
            </w:r>
            <w:r w:rsidRPr="00693E08">
              <w:rPr>
                <w:rFonts w:ascii="Times New Roman" w:hAnsi="Times New Roman" w:cs="Times New Roman"/>
                <w:sz w:val="24"/>
                <w:szCs w:val="24"/>
              </w:rPr>
              <w:t xml:space="preserve">bišu dravas īpašniekam par </w:t>
            </w:r>
            <w:r w:rsidRPr="00693E08">
              <w:rPr>
                <w:rFonts w:ascii="Times New Roman" w:hAnsi="Times New Roman" w:cs="Times New Roman"/>
                <w:color w:val="000000"/>
                <w:sz w:val="24"/>
                <w:szCs w:val="24"/>
              </w:rPr>
              <w:t>Amerikas peru puves apkarošanas laikā iznīcinātajām bišu saimēm</w:t>
            </w:r>
            <w:r w:rsidR="000B6024">
              <w:rPr>
                <w:rFonts w:ascii="Times New Roman" w:hAnsi="Times New Roman" w:cs="Times New Roman"/>
                <w:color w:val="000000"/>
                <w:sz w:val="24"/>
                <w:szCs w:val="24"/>
              </w:rPr>
              <w:t>,</w:t>
            </w:r>
            <w:r w:rsidR="00A55643" w:rsidRPr="00693E08">
              <w:rPr>
                <w:rFonts w:ascii="Times New Roman" w:hAnsi="Times New Roman" w:cs="Times New Roman"/>
                <w:color w:val="000000"/>
                <w:sz w:val="24"/>
                <w:szCs w:val="24"/>
              </w:rPr>
              <w:t xml:space="preserve"> un </w:t>
            </w:r>
            <w:r w:rsidR="009926DF" w:rsidRPr="00693E08">
              <w:rPr>
                <w:rFonts w:ascii="Times New Roman" w:hAnsi="Times New Roman" w:cs="Times New Roman"/>
                <w:color w:val="000000"/>
                <w:sz w:val="24"/>
                <w:szCs w:val="24"/>
              </w:rPr>
              <w:t>svītro</w:t>
            </w:r>
            <w:r w:rsidR="000B6024">
              <w:rPr>
                <w:rFonts w:ascii="Times New Roman" w:hAnsi="Times New Roman" w:cs="Times New Roman"/>
                <w:color w:val="000000"/>
                <w:sz w:val="24"/>
                <w:szCs w:val="24"/>
              </w:rPr>
              <w:t>jo</w:t>
            </w:r>
            <w:r w:rsidR="009926DF" w:rsidRPr="00693E08">
              <w:rPr>
                <w:rFonts w:ascii="Times New Roman" w:hAnsi="Times New Roman" w:cs="Times New Roman"/>
                <w:color w:val="000000"/>
                <w:sz w:val="24"/>
                <w:szCs w:val="24"/>
              </w:rPr>
              <w:t>t slimību sarakstu</w:t>
            </w:r>
            <w:r w:rsidR="00A55643" w:rsidRPr="00693E08">
              <w:rPr>
                <w:rFonts w:ascii="Times New Roman" w:hAnsi="Times New Roman" w:cs="Times New Roman"/>
                <w:color w:val="000000"/>
                <w:sz w:val="24"/>
                <w:szCs w:val="24"/>
              </w:rPr>
              <w:t>, kuru uzliesmojuma gadījumā dzīvnieku īpašniekam izmaksā zaudējumu kompensāciju</w:t>
            </w:r>
            <w:r w:rsidRPr="00693E08">
              <w:rPr>
                <w:rFonts w:ascii="Times New Roman" w:hAnsi="Times New Roman" w:cs="Times New Roman"/>
                <w:color w:val="000000"/>
                <w:sz w:val="24"/>
                <w:szCs w:val="24"/>
              </w:rPr>
              <w:t>;</w:t>
            </w:r>
          </w:p>
          <w:p w:rsidR="003A2EF4" w:rsidRPr="00693E08" w:rsidRDefault="00FA0CD9" w:rsidP="0053032B">
            <w:pPr>
              <w:pStyle w:val="Bezatstarpm"/>
              <w:jc w:val="both"/>
              <w:rPr>
                <w:rFonts w:ascii="Times New Roman" w:hAnsi="Times New Roman" w:cs="Times New Roman"/>
                <w:color w:val="000000"/>
                <w:sz w:val="24"/>
                <w:szCs w:val="24"/>
              </w:rPr>
            </w:pPr>
            <w:r w:rsidRPr="00693E08">
              <w:rPr>
                <w:rFonts w:ascii="Times New Roman" w:hAnsi="Times New Roman" w:cs="Times New Roman"/>
                <w:color w:val="000000"/>
                <w:sz w:val="24"/>
                <w:szCs w:val="24"/>
              </w:rPr>
              <w:t>2</w:t>
            </w:r>
            <w:r w:rsidR="00737501" w:rsidRPr="00693E08">
              <w:rPr>
                <w:rFonts w:ascii="Times New Roman" w:hAnsi="Times New Roman" w:cs="Times New Roman"/>
                <w:color w:val="000000"/>
                <w:sz w:val="24"/>
                <w:szCs w:val="24"/>
              </w:rPr>
              <w:t>)</w:t>
            </w:r>
            <w:r w:rsidRPr="00693E08">
              <w:rPr>
                <w:rFonts w:ascii="Times New Roman" w:hAnsi="Times New Roman" w:cs="Times New Roman"/>
                <w:color w:val="000000"/>
                <w:sz w:val="24"/>
                <w:szCs w:val="24"/>
              </w:rPr>
              <w:t xml:space="preserve"> Nr.621, no </w:t>
            </w:r>
            <w:r w:rsidR="00B122B8" w:rsidRPr="00693E08">
              <w:rPr>
                <w:rFonts w:ascii="Times New Roman" w:hAnsi="Times New Roman" w:cs="Times New Roman"/>
                <w:color w:val="000000"/>
                <w:sz w:val="24"/>
                <w:szCs w:val="24"/>
              </w:rPr>
              <w:t xml:space="preserve">esošās redakcijas </w:t>
            </w:r>
            <w:r w:rsidRPr="00693E08">
              <w:rPr>
                <w:rFonts w:ascii="Times New Roman" w:hAnsi="Times New Roman" w:cs="Times New Roman"/>
                <w:color w:val="000000"/>
                <w:sz w:val="24"/>
                <w:szCs w:val="24"/>
              </w:rPr>
              <w:t xml:space="preserve">svītrojot prasību dzīvnieku īpašniekam izstrādāto </w:t>
            </w:r>
            <w:proofErr w:type="spellStart"/>
            <w:r w:rsidRPr="00693E08">
              <w:rPr>
                <w:rFonts w:ascii="Times New Roman" w:hAnsi="Times New Roman" w:cs="Times New Roman"/>
                <w:color w:val="000000"/>
                <w:sz w:val="24"/>
                <w:szCs w:val="24"/>
              </w:rPr>
              <w:t>biodro</w:t>
            </w:r>
            <w:r w:rsidR="00EB0900" w:rsidRPr="00693E08">
              <w:rPr>
                <w:rFonts w:ascii="Times New Roman" w:hAnsi="Times New Roman" w:cs="Times New Roman"/>
                <w:color w:val="000000"/>
                <w:sz w:val="24"/>
                <w:szCs w:val="24"/>
              </w:rPr>
              <w:t>š</w:t>
            </w:r>
            <w:r w:rsidRPr="00693E08">
              <w:rPr>
                <w:rFonts w:ascii="Times New Roman" w:hAnsi="Times New Roman" w:cs="Times New Roman"/>
                <w:color w:val="000000"/>
                <w:sz w:val="24"/>
                <w:szCs w:val="24"/>
              </w:rPr>
              <w:t>ības</w:t>
            </w:r>
            <w:proofErr w:type="spellEnd"/>
            <w:r w:rsidRPr="00693E08">
              <w:rPr>
                <w:rFonts w:ascii="Times New Roman" w:hAnsi="Times New Roman" w:cs="Times New Roman"/>
                <w:color w:val="000000"/>
                <w:sz w:val="24"/>
                <w:szCs w:val="24"/>
              </w:rPr>
              <w:t xml:space="preserve"> pasākumu plānu saskaņot ar Pārtikas un veterināro dienestu</w:t>
            </w:r>
            <w:r w:rsidR="003A2EF4" w:rsidRPr="00693E08">
              <w:rPr>
                <w:rFonts w:ascii="Times New Roman" w:hAnsi="Times New Roman" w:cs="Times New Roman"/>
                <w:color w:val="000000"/>
                <w:sz w:val="24"/>
                <w:szCs w:val="24"/>
              </w:rPr>
              <w:t>;</w:t>
            </w:r>
          </w:p>
          <w:p w:rsidR="00FA0CD9" w:rsidRPr="00693E08" w:rsidRDefault="003A2EF4" w:rsidP="0053032B">
            <w:pPr>
              <w:pStyle w:val="Bezatstarpm"/>
              <w:jc w:val="both"/>
              <w:rPr>
                <w:rFonts w:ascii="Times New Roman" w:hAnsi="Times New Roman" w:cs="Times New Roman"/>
                <w:sz w:val="24"/>
                <w:szCs w:val="24"/>
              </w:rPr>
            </w:pPr>
            <w:r w:rsidRPr="00693E08">
              <w:rPr>
                <w:rFonts w:ascii="Times New Roman" w:hAnsi="Times New Roman" w:cs="Times New Roman"/>
                <w:color w:val="000000"/>
                <w:sz w:val="24"/>
                <w:szCs w:val="24"/>
              </w:rPr>
              <w:t xml:space="preserve">3) </w:t>
            </w:r>
            <w:r w:rsidRPr="00693E08">
              <w:rPr>
                <w:rFonts w:ascii="Times New Roman" w:hAnsi="Times New Roman" w:cs="Times New Roman"/>
                <w:sz w:val="24"/>
                <w:szCs w:val="24"/>
              </w:rPr>
              <w:t>Ministru kabineta 2010.gada 27.jūlija noteikumos Nr.704 „Noteikumi par robežšķērsošanas vietām un tajās veicamajām pārbaudēm”, 3.pielikuma otrajā piezīmē svītrojot vārdus „mājas (istabas) putni”</w:t>
            </w:r>
            <w:r w:rsidR="00FA0CD9" w:rsidRPr="00693E08">
              <w:rPr>
                <w:rFonts w:ascii="Times New Roman" w:hAnsi="Times New Roman" w:cs="Times New Roman"/>
                <w:color w:val="000000"/>
                <w:sz w:val="24"/>
                <w:szCs w:val="24"/>
              </w:rPr>
              <w:t>.</w:t>
            </w:r>
          </w:p>
          <w:p w:rsidR="002E325D" w:rsidRPr="00693E08" w:rsidRDefault="00FA0CD9" w:rsidP="00A55643">
            <w:pPr>
              <w:pStyle w:val="Bezatstarpm"/>
              <w:jc w:val="both"/>
              <w:rPr>
                <w:rFonts w:ascii="Times New Roman" w:hAnsi="Times New Roman" w:cs="Times New Roman"/>
                <w:sz w:val="24"/>
                <w:szCs w:val="24"/>
              </w:rPr>
            </w:pPr>
            <w:r w:rsidRPr="00693E08">
              <w:rPr>
                <w:rFonts w:ascii="Times New Roman" w:hAnsi="Times New Roman" w:cs="Times New Roman"/>
                <w:sz w:val="24"/>
                <w:szCs w:val="24"/>
              </w:rPr>
              <w:t xml:space="preserve">Par normatīvo </w:t>
            </w:r>
            <w:r w:rsidR="00D34FD2" w:rsidRPr="00693E08">
              <w:rPr>
                <w:rFonts w:ascii="Times New Roman" w:hAnsi="Times New Roman" w:cs="Times New Roman"/>
                <w:sz w:val="24"/>
                <w:szCs w:val="24"/>
              </w:rPr>
              <w:t xml:space="preserve">aktu projektu </w:t>
            </w:r>
            <w:r w:rsidRPr="00693E08">
              <w:rPr>
                <w:rFonts w:ascii="Times New Roman" w:hAnsi="Times New Roman" w:cs="Times New Roman"/>
                <w:sz w:val="24"/>
                <w:szCs w:val="24"/>
              </w:rPr>
              <w:t>sagatavošanu atbildīga ir Zemkopības ministrija</w:t>
            </w:r>
            <w:r w:rsidR="00F84E6F" w:rsidRPr="00693E08">
              <w:rPr>
                <w:rFonts w:ascii="Times New Roman" w:hAnsi="Times New Roman" w:cs="Times New Roman"/>
                <w:sz w:val="24"/>
                <w:szCs w:val="24"/>
              </w:rPr>
              <w:t>,</w:t>
            </w:r>
            <w:r w:rsidRPr="00693E08">
              <w:rPr>
                <w:rFonts w:ascii="Times New Roman" w:hAnsi="Times New Roman" w:cs="Times New Roman"/>
                <w:sz w:val="24"/>
                <w:szCs w:val="24"/>
              </w:rPr>
              <w:t xml:space="preserve"> un normatīvos aktus </w:t>
            </w:r>
            <w:r w:rsidR="00D34FD2" w:rsidRPr="00693E08">
              <w:rPr>
                <w:rFonts w:ascii="Times New Roman" w:hAnsi="Times New Roman" w:cs="Times New Roman"/>
                <w:sz w:val="24"/>
                <w:szCs w:val="24"/>
              </w:rPr>
              <w:t xml:space="preserve">plānots </w:t>
            </w:r>
            <w:r w:rsidRPr="00693E08">
              <w:rPr>
                <w:rFonts w:ascii="Times New Roman" w:hAnsi="Times New Roman" w:cs="Times New Roman"/>
                <w:sz w:val="24"/>
                <w:szCs w:val="24"/>
              </w:rPr>
              <w:t>iesnieg</w:t>
            </w:r>
            <w:r w:rsidR="00D34FD2" w:rsidRPr="00693E08">
              <w:rPr>
                <w:rFonts w:ascii="Times New Roman" w:hAnsi="Times New Roman" w:cs="Times New Roman"/>
                <w:sz w:val="24"/>
                <w:szCs w:val="24"/>
              </w:rPr>
              <w:t>t</w:t>
            </w:r>
            <w:r w:rsidRPr="00693E08">
              <w:rPr>
                <w:rFonts w:ascii="Times New Roman" w:hAnsi="Times New Roman" w:cs="Times New Roman"/>
                <w:sz w:val="24"/>
                <w:szCs w:val="24"/>
              </w:rPr>
              <w:t xml:space="preserve"> Ministru kabinetā līdz 2014.gada 1.</w:t>
            </w:r>
            <w:r w:rsidR="00A55643" w:rsidRPr="00693E08">
              <w:rPr>
                <w:rFonts w:ascii="Times New Roman" w:hAnsi="Times New Roman" w:cs="Times New Roman"/>
                <w:sz w:val="24"/>
                <w:szCs w:val="24"/>
              </w:rPr>
              <w:t>augustam.</w:t>
            </w:r>
          </w:p>
        </w:tc>
      </w:tr>
      <w:tr w:rsidR="00FA0CD9" w:rsidRPr="000B4B7F" w:rsidTr="00CA55BF">
        <w:tc>
          <w:tcPr>
            <w:tcW w:w="289" w:type="pct"/>
            <w:tcBorders>
              <w:top w:val="outset" w:sz="6" w:space="0" w:color="auto"/>
              <w:left w:val="outset" w:sz="6" w:space="0" w:color="auto"/>
              <w:bottom w:val="outset" w:sz="6" w:space="0" w:color="auto"/>
              <w:right w:val="outset" w:sz="6" w:space="0" w:color="auto"/>
            </w:tcBorders>
          </w:tcPr>
          <w:p w:rsidR="00FA0CD9" w:rsidRDefault="00FA0CD9" w:rsidP="0053032B">
            <w:pPr>
              <w:jc w:val="both"/>
            </w:pPr>
            <w:r>
              <w:t xml:space="preserve">2. </w:t>
            </w:r>
          </w:p>
        </w:tc>
        <w:tc>
          <w:tcPr>
            <w:tcW w:w="1378" w:type="pct"/>
            <w:tcBorders>
              <w:top w:val="outset" w:sz="6" w:space="0" w:color="auto"/>
              <w:left w:val="outset" w:sz="6" w:space="0" w:color="auto"/>
              <w:bottom w:val="outset" w:sz="6" w:space="0" w:color="auto"/>
              <w:right w:val="outset" w:sz="6" w:space="0" w:color="auto"/>
            </w:tcBorders>
          </w:tcPr>
          <w:p w:rsidR="00FA0CD9" w:rsidRDefault="00FA0CD9" w:rsidP="0053032B">
            <w:pPr>
              <w:jc w:val="both"/>
            </w:pPr>
            <w:r>
              <w:t>Cita informācija</w:t>
            </w:r>
          </w:p>
        </w:tc>
        <w:tc>
          <w:tcPr>
            <w:tcW w:w="3333" w:type="pct"/>
            <w:tcBorders>
              <w:top w:val="outset" w:sz="6" w:space="0" w:color="auto"/>
              <w:left w:val="outset" w:sz="6" w:space="0" w:color="auto"/>
              <w:bottom w:val="outset" w:sz="6" w:space="0" w:color="auto"/>
              <w:right w:val="outset" w:sz="6" w:space="0" w:color="auto"/>
            </w:tcBorders>
          </w:tcPr>
          <w:p w:rsidR="00FA0CD9" w:rsidRPr="000B4B7F" w:rsidRDefault="00FA0CD9" w:rsidP="0053032B">
            <w:pPr>
              <w:jc w:val="both"/>
            </w:pPr>
            <w:r>
              <w:t>Nav</w:t>
            </w:r>
          </w:p>
        </w:tc>
      </w:tr>
    </w:tbl>
    <w:p w:rsidR="00011108" w:rsidRDefault="00011108" w:rsidP="00677A61">
      <w:pPr>
        <w:rPr>
          <w:i/>
        </w:rPr>
      </w:pPr>
    </w:p>
    <w:tbl>
      <w:tblPr>
        <w:tblW w:w="4975"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395"/>
        <w:gridCol w:w="5188"/>
      </w:tblGrid>
      <w:tr w:rsidR="00C17FDB" w:rsidRPr="00BC46BE" w:rsidTr="00BC5F20">
        <w:trPr>
          <w:jc w:val="center"/>
        </w:trPr>
        <w:tc>
          <w:tcPr>
            <w:tcW w:w="5000" w:type="pct"/>
            <w:gridSpan w:val="3"/>
          </w:tcPr>
          <w:p w:rsidR="00C17FDB" w:rsidRPr="00E71679" w:rsidRDefault="00C17FDB" w:rsidP="00BC5F20">
            <w:pPr>
              <w:jc w:val="both"/>
              <w:rPr>
                <w:b/>
              </w:rPr>
            </w:pPr>
            <w:r w:rsidRPr="00E71679">
              <w:rPr>
                <w:b/>
                <w:bCs/>
              </w:rPr>
              <w:t>V. Tiesību akta projekta atbilstība Latvijas Republikas starptautiskajām saistībām</w:t>
            </w:r>
          </w:p>
        </w:tc>
      </w:tr>
      <w:tr w:rsidR="00C17FDB" w:rsidRPr="00BC46BE" w:rsidTr="00BC5F20">
        <w:trPr>
          <w:jc w:val="center"/>
        </w:trPr>
        <w:tc>
          <w:tcPr>
            <w:tcW w:w="356" w:type="pct"/>
          </w:tcPr>
          <w:p w:rsidR="00C17FDB" w:rsidRPr="00787D30" w:rsidRDefault="00C17FDB" w:rsidP="00BC5F20">
            <w:pPr>
              <w:pStyle w:val="naiskr"/>
              <w:tabs>
                <w:tab w:val="left" w:pos="3044"/>
              </w:tabs>
              <w:spacing w:before="0" w:beforeAutospacing="0" w:after="0" w:afterAutospacing="0"/>
              <w:jc w:val="both"/>
            </w:pPr>
            <w:r w:rsidRPr="00787D30">
              <w:t xml:space="preserve">1. </w:t>
            </w:r>
          </w:p>
        </w:tc>
        <w:tc>
          <w:tcPr>
            <w:tcW w:w="1837" w:type="pct"/>
          </w:tcPr>
          <w:p w:rsidR="00C17FDB" w:rsidRPr="00E71679" w:rsidRDefault="00C17FDB" w:rsidP="00BC5F20">
            <w:pPr>
              <w:pStyle w:val="naiskr"/>
              <w:tabs>
                <w:tab w:val="left" w:pos="3044"/>
              </w:tabs>
              <w:spacing w:before="0" w:beforeAutospacing="0" w:after="0" w:afterAutospacing="0"/>
              <w:jc w:val="both"/>
            </w:pPr>
            <w:r w:rsidRPr="00E71679">
              <w:t>Saistības pret Eiropas Savienību</w:t>
            </w:r>
          </w:p>
        </w:tc>
        <w:tc>
          <w:tcPr>
            <w:tcW w:w="2807" w:type="pct"/>
          </w:tcPr>
          <w:p w:rsidR="00C17FDB" w:rsidRPr="00BC46BE" w:rsidRDefault="00C17FDB" w:rsidP="00912BC7">
            <w:pPr>
              <w:jc w:val="both"/>
            </w:pPr>
            <w:r>
              <w:t>Regula</w:t>
            </w:r>
            <w:r w:rsidRPr="00CA1FC9">
              <w:t xml:space="preserve"> Nr.576/2013 </w:t>
            </w:r>
            <w:r w:rsidRPr="00007AC0">
              <w:t>stājas spēkā 2014.gada 29.decembrī</w:t>
            </w:r>
            <w:r w:rsidR="0054532E">
              <w:t>.</w:t>
            </w:r>
            <w:r w:rsidR="00912BC7">
              <w:t xml:space="preserve"> Regula Nr.178/2002 ir spēkā no 2002.gada  21.februāra.</w:t>
            </w:r>
          </w:p>
        </w:tc>
      </w:tr>
      <w:tr w:rsidR="00C17FDB" w:rsidRPr="00DF3721" w:rsidTr="00BC5F20">
        <w:trPr>
          <w:jc w:val="center"/>
        </w:trPr>
        <w:tc>
          <w:tcPr>
            <w:tcW w:w="356" w:type="pct"/>
          </w:tcPr>
          <w:p w:rsidR="00C17FDB" w:rsidRDefault="00C17FDB" w:rsidP="00BC5F20">
            <w:pPr>
              <w:jc w:val="both"/>
            </w:pPr>
            <w:r>
              <w:t xml:space="preserve"> 2. </w:t>
            </w:r>
          </w:p>
        </w:tc>
        <w:tc>
          <w:tcPr>
            <w:tcW w:w="1837" w:type="pct"/>
          </w:tcPr>
          <w:p w:rsidR="00C17FDB" w:rsidRPr="00E71679" w:rsidRDefault="00C17FDB" w:rsidP="00BC5F20">
            <w:pPr>
              <w:jc w:val="both"/>
            </w:pPr>
            <w:r w:rsidRPr="00E71679">
              <w:t>Citas starptautiskās saistības</w:t>
            </w:r>
          </w:p>
        </w:tc>
        <w:tc>
          <w:tcPr>
            <w:tcW w:w="2807" w:type="pct"/>
            <w:tcBorders>
              <w:bottom w:val="single" w:sz="4" w:space="0" w:color="auto"/>
            </w:tcBorders>
          </w:tcPr>
          <w:p w:rsidR="00C17FDB" w:rsidRPr="00DF3721" w:rsidRDefault="00C17FDB" w:rsidP="00BC5F20">
            <w:pPr>
              <w:jc w:val="both"/>
            </w:pPr>
            <w:r>
              <w:t>P</w:t>
            </w:r>
            <w:r>
              <w:rPr>
                <w:iCs/>
              </w:rPr>
              <w:t>rojekts šo jomu neskar</w:t>
            </w:r>
            <w:r>
              <w:t>.</w:t>
            </w:r>
          </w:p>
        </w:tc>
      </w:tr>
      <w:tr w:rsidR="00C17FDB" w:rsidRPr="00DF3721" w:rsidTr="00BC5F20">
        <w:trPr>
          <w:jc w:val="center"/>
        </w:trPr>
        <w:tc>
          <w:tcPr>
            <w:tcW w:w="356" w:type="pct"/>
          </w:tcPr>
          <w:p w:rsidR="00C17FDB" w:rsidRDefault="00C17FDB" w:rsidP="00BC5F20">
            <w:pPr>
              <w:jc w:val="both"/>
            </w:pPr>
            <w:r>
              <w:t xml:space="preserve"> 3. </w:t>
            </w:r>
          </w:p>
        </w:tc>
        <w:tc>
          <w:tcPr>
            <w:tcW w:w="1837" w:type="pct"/>
          </w:tcPr>
          <w:p w:rsidR="00C17FDB" w:rsidRPr="00E71679" w:rsidRDefault="00C17FDB" w:rsidP="00BC5F20">
            <w:pPr>
              <w:jc w:val="both"/>
            </w:pPr>
            <w:r w:rsidRPr="00E71679">
              <w:t>Cita informācija</w:t>
            </w:r>
          </w:p>
        </w:tc>
        <w:tc>
          <w:tcPr>
            <w:tcW w:w="2807" w:type="pct"/>
            <w:tcBorders>
              <w:bottom w:val="single" w:sz="4" w:space="0" w:color="auto"/>
            </w:tcBorders>
          </w:tcPr>
          <w:p w:rsidR="00C17FDB" w:rsidRPr="00DF3721" w:rsidRDefault="00C17FDB" w:rsidP="00BC5F20">
            <w:pPr>
              <w:jc w:val="both"/>
            </w:pPr>
            <w:r>
              <w:t>Nav</w:t>
            </w:r>
          </w:p>
        </w:tc>
      </w:tr>
    </w:tbl>
    <w:p w:rsidR="00C17FDB" w:rsidRDefault="00C17FDB" w:rsidP="00C17FDB">
      <w:pPr>
        <w:rPr>
          <w:i/>
        </w:rPr>
      </w:pPr>
    </w:p>
    <w:p w:rsidR="00C17FDB" w:rsidRPr="00E71679" w:rsidRDefault="00C17FDB" w:rsidP="00C17FDB">
      <w:pPr>
        <w:rPr>
          <w:vanish/>
          <w:color w:val="414142"/>
        </w:rPr>
      </w:pPr>
    </w:p>
    <w:tbl>
      <w:tblPr>
        <w:tblStyle w:val="Reatabula"/>
        <w:tblW w:w="5037" w:type="pct"/>
        <w:tblInd w:w="-34" w:type="dxa"/>
        <w:tblLayout w:type="fixed"/>
        <w:tblLook w:val="04A0"/>
      </w:tblPr>
      <w:tblGrid>
        <w:gridCol w:w="2693"/>
        <w:gridCol w:w="1276"/>
        <w:gridCol w:w="2126"/>
        <w:gridCol w:w="3261"/>
      </w:tblGrid>
      <w:tr w:rsidR="00C17FDB" w:rsidRPr="00E71679" w:rsidTr="005B049B">
        <w:trPr>
          <w:trHeight w:val="510"/>
        </w:trPr>
        <w:tc>
          <w:tcPr>
            <w:tcW w:w="9356" w:type="dxa"/>
            <w:gridSpan w:val="4"/>
            <w:hideMark/>
          </w:tcPr>
          <w:p w:rsidR="00C17FDB" w:rsidRPr="00E71679" w:rsidRDefault="00C17FDB" w:rsidP="00BC5F20">
            <w:pPr>
              <w:spacing w:line="312" w:lineRule="auto"/>
              <w:ind w:firstLine="300"/>
              <w:jc w:val="center"/>
              <w:rPr>
                <w:b/>
                <w:bCs/>
                <w:color w:val="414142"/>
              </w:rPr>
            </w:pPr>
            <w:r w:rsidRPr="00E71679">
              <w:rPr>
                <w:b/>
                <w:bCs/>
                <w:color w:val="414142"/>
              </w:rPr>
              <w:t>1.tabula</w:t>
            </w:r>
            <w:r w:rsidRPr="00E71679">
              <w:rPr>
                <w:b/>
                <w:bCs/>
                <w:color w:val="414142"/>
              </w:rPr>
              <w:br/>
              <w:t>Tiesību akta projekta atbilstība ES tiesību aktiem</w:t>
            </w:r>
          </w:p>
        </w:tc>
      </w:tr>
      <w:tr w:rsidR="00C17FDB" w:rsidRPr="00E71679" w:rsidTr="005B049B">
        <w:tc>
          <w:tcPr>
            <w:tcW w:w="2693" w:type="dxa"/>
            <w:hideMark/>
          </w:tcPr>
          <w:p w:rsidR="00C17FDB" w:rsidRPr="00E71679" w:rsidRDefault="00C17FDB" w:rsidP="00BC5F20">
            <w:r w:rsidRPr="00E71679">
              <w:t xml:space="preserve">Attiecīgā ES tiesību akta datums, numurs un </w:t>
            </w:r>
            <w:r w:rsidRPr="00E71679">
              <w:lastRenderedPageBreak/>
              <w:t>nosaukums</w:t>
            </w:r>
          </w:p>
        </w:tc>
        <w:tc>
          <w:tcPr>
            <w:tcW w:w="6663" w:type="dxa"/>
            <w:gridSpan w:val="3"/>
            <w:hideMark/>
          </w:tcPr>
          <w:p w:rsidR="000B6024" w:rsidRDefault="00C17FDB" w:rsidP="00715078">
            <w:pPr>
              <w:jc w:val="both"/>
            </w:pPr>
            <w:r w:rsidRPr="00CA1FC9">
              <w:lastRenderedPageBreak/>
              <w:t>Eiropas Parlamenta un Padomes 2013.gada 12.jūnija</w:t>
            </w:r>
            <w:r>
              <w:t xml:space="preserve"> Regula</w:t>
            </w:r>
            <w:r w:rsidRPr="00CA1FC9">
              <w:t xml:space="preserve"> (EK) Nr.576/2013 par </w:t>
            </w:r>
            <w:proofErr w:type="spellStart"/>
            <w:r w:rsidRPr="00CA1FC9">
              <w:t>lolojumdzīvnieku</w:t>
            </w:r>
            <w:proofErr w:type="spellEnd"/>
            <w:r w:rsidRPr="00CA1FC9">
              <w:t xml:space="preserve"> nekomerciālu pārvietošanu un par </w:t>
            </w:r>
            <w:r w:rsidRPr="00CA1FC9">
              <w:lastRenderedPageBreak/>
              <w:t>Regulas (EK) Nr.998/2003 atcelšanu</w:t>
            </w:r>
            <w:r w:rsidR="00912BC7">
              <w:t xml:space="preserve"> un Eiropas Parlamenta un Padomes 2002.gada 28.janvāra Regula (EK) Nr.178/2002, ar ko paredz pārtikas aprites tiesību aktu vispārīgus principus un prasības, izveido Eiropas Pārtikas nekaitīguma iestādi un paredz procedūras saistībā ar pārtikas nekaitīgumu</w:t>
            </w:r>
            <w:r w:rsidR="00715078">
              <w:t xml:space="preserve"> (turpmāk – Regula Nr.178)</w:t>
            </w:r>
            <w:r w:rsidR="00912BC7">
              <w:t>.</w:t>
            </w:r>
            <w:r w:rsidR="005B2A61">
              <w:t xml:space="preserve"> </w:t>
            </w:r>
          </w:p>
          <w:p w:rsidR="00C17FDB" w:rsidRPr="00E71679" w:rsidRDefault="005B2A61" w:rsidP="00715078">
            <w:pPr>
              <w:jc w:val="both"/>
            </w:pPr>
            <w:r w:rsidRPr="005B2A61">
              <w:t>Padomes 1964.gada 26.jūnija Direktīv</w:t>
            </w:r>
            <w:r w:rsidR="00715078">
              <w:t>a</w:t>
            </w:r>
            <w:r w:rsidRPr="005B2A61">
              <w:t xml:space="preserve"> </w:t>
            </w:r>
            <w:r w:rsidR="00715078">
              <w:t>Nr.</w:t>
            </w:r>
            <w:r w:rsidRPr="005B2A61">
              <w:t>64/432/EEK par dzīvnieku veselības problēmām, kas ietekmē liellopu un cūku tirdzniecību Kopienā (turpmāk – Direktīva 64/432/EEK)</w:t>
            </w:r>
            <w:r>
              <w:t>.</w:t>
            </w:r>
          </w:p>
        </w:tc>
      </w:tr>
      <w:tr w:rsidR="00C17FDB" w:rsidRPr="00E71679" w:rsidTr="005B049B">
        <w:tc>
          <w:tcPr>
            <w:tcW w:w="2693" w:type="dxa"/>
            <w:hideMark/>
          </w:tcPr>
          <w:p w:rsidR="00C17FDB" w:rsidRPr="00E71679" w:rsidRDefault="00C17FDB" w:rsidP="00BC5F20">
            <w:pPr>
              <w:spacing w:line="312" w:lineRule="auto"/>
              <w:ind w:firstLine="300"/>
              <w:jc w:val="center"/>
              <w:rPr>
                <w:color w:val="414142"/>
              </w:rPr>
            </w:pPr>
            <w:r w:rsidRPr="00E71679">
              <w:rPr>
                <w:color w:val="414142"/>
              </w:rPr>
              <w:lastRenderedPageBreak/>
              <w:t>A</w:t>
            </w:r>
          </w:p>
        </w:tc>
        <w:tc>
          <w:tcPr>
            <w:tcW w:w="1276" w:type="dxa"/>
            <w:hideMark/>
          </w:tcPr>
          <w:p w:rsidR="00C17FDB" w:rsidRPr="00E71679" w:rsidRDefault="00C17FDB" w:rsidP="00BC5F20">
            <w:pPr>
              <w:spacing w:line="312" w:lineRule="auto"/>
              <w:ind w:firstLine="300"/>
              <w:jc w:val="center"/>
              <w:rPr>
                <w:color w:val="414142"/>
              </w:rPr>
            </w:pPr>
            <w:r w:rsidRPr="00E71679">
              <w:rPr>
                <w:color w:val="414142"/>
              </w:rPr>
              <w:t>B</w:t>
            </w:r>
          </w:p>
        </w:tc>
        <w:tc>
          <w:tcPr>
            <w:tcW w:w="2126" w:type="dxa"/>
            <w:hideMark/>
          </w:tcPr>
          <w:p w:rsidR="00C17FDB" w:rsidRPr="00E71679" w:rsidRDefault="00C17FDB" w:rsidP="00BC5F20">
            <w:pPr>
              <w:spacing w:line="312" w:lineRule="auto"/>
              <w:ind w:firstLine="300"/>
              <w:jc w:val="center"/>
              <w:rPr>
                <w:color w:val="414142"/>
              </w:rPr>
            </w:pPr>
            <w:r w:rsidRPr="00E71679">
              <w:rPr>
                <w:color w:val="414142"/>
              </w:rPr>
              <w:t>C</w:t>
            </w:r>
          </w:p>
        </w:tc>
        <w:tc>
          <w:tcPr>
            <w:tcW w:w="3261" w:type="dxa"/>
            <w:hideMark/>
          </w:tcPr>
          <w:p w:rsidR="00C17FDB" w:rsidRPr="00E71679" w:rsidRDefault="00C17FDB" w:rsidP="00BC5F20">
            <w:pPr>
              <w:spacing w:line="312" w:lineRule="auto"/>
              <w:ind w:firstLine="300"/>
              <w:jc w:val="center"/>
              <w:rPr>
                <w:color w:val="414142"/>
              </w:rPr>
            </w:pPr>
            <w:r w:rsidRPr="00E71679">
              <w:rPr>
                <w:color w:val="414142"/>
              </w:rPr>
              <w:t>D</w:t>
            </w:r>
          </w:p>
        </w:tc>
      </w:tr>
      <w:tr w:rsidR="00C4071E" w:rsidRPr="00E71679" w:rsidTr="005B049B">
        <w:tc>
          <w:tcPr>
            <w:tcW w:w="2693" w:type="dxa"/>
          </w:tcPr>
          <w:p w:rsidR="00C4071E" w:rsidRPr="00693E08" w:rsidRDefault="00C4071E" w:rsidP="000C124F">
            <w:r w:rsidRPr="00693E08">
              <w:t>Regulas Nr.576/2013 3.panta „g” punkts</w:t>
            </w:r>
          </w:p>
        </w:tc>
        <w:tc>
          <w:tcPr>
            <w:tcW w:w="1276" w:type="dxa"/>
          </w:tcPr>
          <w:p w:rsidR="00C4071E" w:rsidRPr="00693E08" w:rsidRDefault="00C4071E" w:rsidP="000C124F">
            <w:r w:rsidRPr="00693E08">
              <w:t>3.pants</w:t>
            </w:r>
          </w:p>
          <w:p w:rsidR="00C4071E" w:rsidRPr="00693E08" w:rsidRDefault="00C4071E" w:rsidP="000C124F">
            <w:r w:rsidRPr="00693E08">
              <w:t>(21.panta piektā daļa)</w:t>
            </w:r>
          </w:p>
        </w:tc>
        <w:tc>
          <w:tcPr>
            <w:tcW w:w="2126" w:type="dxa"/>
          </w:tcPr>
          <w:p w:rsidR="00C4071E" w:rsidRPr="00693E08" w:rsidRDefault="00C4071E" w:rsidP="000C124F">
            <w:r w:rsidRPr="00693E08">
              <w:t>ES tiesību akta vienība tiek ieviesta pilnībā.</w:t>
            </w:r>
          </w:p>
        </w:tc>
        <w:tc>
          <w:tcPr>
            <w:tcW w:w="3261" w:type="dxa"/>
          </w:tcPr>
          <w:p w:rsidR="00C4071E" w:rsidRPr="00693E08" w:rsidRDefault="00C4071E" w:rsidP="000C124F">
            <w:pPr>
              <w:jc w:val="both"/>
            </w:pPr>
            <w:r w:rsidRPr="00693E08">
              <w:t>Attiecīgais noteikumu projekta punkts neparedz stingrākas prasības kā ES tiesību aktā.</w:t>
            </w:r>
          </w:p>
        </w:tc>
      </w:tr>
      <w:tr w:rsidR="00C4071E" w:rsidRPr="00B77E8F" w:rsidTr="005B049B">
        <w:tc>
          <w:tcPr>
            <w:tcW w:w="2693" w:type="dxa"/>
          </w:tcPr>
          <w:p w:rsidR="00C4071E" w:rsidRPr="00693E08" w:rsidRDefault="00C4071E" w:rsidP="00ED6E77">
            <w:r w:rsidRPr="00693E08">
              <w:t>Regulas Nr.576/2013 33.panta 1.punkts</w:t>
            </w:r>
          </w:p>
        </w:tc>
        <w:tc>
          <w:tcPr>
            <w:tcW w:w="1276" w:type="dxa"/>
          </w:tcPr>
          <w:p w:rsidR="00C4071E" w:rsidRPr="00693E08" w:rsidRDefault="00C4071E" w:rsidP="00D36227">
            <w:r w:rsidRPr="00693E08">
              <w:t>1.pants (8.panta 7.punkts)</w:t>
            </w:r>
          </w:p>
          <w:p w:rsidR="00C4071E" w:rsidRPr="00693E08" w:rsidRDefault="00C4071E" w:rsidP="00D36227"/>
        </w:tc>
        <w:tc>
          <w:tcPr>
            <w:tcW w:w="2126" w:type="dxa"/>
          </w:tcPr>
          <w:p w:rsidR="00C4071E" w:rsidRPr="00693E08" w:rsidRDefault="00C4071E" w:rsidP="002374DC">
            <w:r w:rsidRPr="00693E08">
              <w:t>ES tiesību akta vienība tiek ieviesta pilnībā.</w:t>
            </w:r>
          </w:p>
        </w:tc>
        <w:tc>
          <w:tcPr>
            <w:tcW w:w="3261" w:type="dxa"/>
          </w:tcPr>
          <w:p w:rsidR="00C4071E" w:rsidRPr="00693E08" w:rsidRDefault="00C4071E" w:rsidP="002374DC">
            <w:pPr>
              <w:jc w:val="both"/>
            </w:pPr>
            <w:r w:rsidRPr="00693E08">
              <w:t>Attiecīgais noteikumu projekta punkts neparedz stingrākas prasības kā ES tiesību aktā.</w:t>
            </w:r>
          </w:p>
        </w:tc>
      </w:tr>
      <w:tr w:rsidR="00C4071E" w:rsidRPr="00B77E8F" w:rsidTr="005B049B">
        <w:tc>
          <w:tcPr>
            <w:tcW w:w="2693" w:type="dxa"/>
          </w:tcPr>
          <w:p w:rsidR="00C4071E" w:rsidRPr="00693E08" w:rsidRDefault="00C4071E" w:rsidP="00814D94">
            <w:pPr>
              <w:jc w:val="both"/>
            </w:pPr>
            <w:r w:rsidRPr="00693E08">
              <w:t>Regulas Nr.576/2013</w:t>
            </w:r>
          </w:p>
          <w:p w:rsidR="00C4071E" w:rsidRPr="00693E08" w:rsidRDefault="00C4071E" w:rsidP="00814D94">
            <w:pPr>
              <w:spacing w:line="312" w:lineRule="auto"/>
              <w:rPr>
                <w:color w:val="414142"/>
              </w:rPr>
            </w:pPr>
            <w:r w:rsidRPr="00693E08">
              <w:t>34.panta 1.punkts</w:t>
            </w:r>
          </w:p>
        </w:tc>
        <w:tc>
          <w:tcPr>
            <w:tcW w:w="1276" w:type="dxa"/>
          </w:tcPr>
          <w:p w:rsidR="00C4071E" w:rsidRPr="00693E08" w:rsidRDefault="00C4071E" w:rsidP="00814D94">
            <w:r w:rsidRPr="00693E08">
              <w:t>7.punkts</w:t>
            </w:r>
          </w:p>
          <w:p w:rsidR="00C4071E" w:rsidRPr="00693E08" w:rsidRDefault="00C4071E" w:rsidP="00814D94">
            <w:pPr>
              <w:rPr>
                <w:color w:val="414142"/>
              </w:rPr>
            </w:pPr>
            <w:r w:rsidRPr="00693E08">
              <w:t>(52.panta ceturtā daļa)</w:t>
            </w:r>
          </w:p>
        </w:tc>
        <w:tc>
          <w:tcPr>
            <w:tcW w:w="2126" w:type="dxa"/>
          </w:tcPr>
          <w:p w:rsidR="00C4071E" w:rsidRPr="00693E08" w:rsidRDefault="00C4071E" w:rsidP="00814D94">
            <w:r w:rsidRPr="00693E08">
              <w:t>ES tiesību akta vienība tiek ieviesta pilnībā.</w:t>
            </w:r>
          </w:p>
        </w:tc>
        <w:tc>
          <w:tcPr>
            <w:tcW w:w="3261" w:type="dxa"/>
          </w:tcPr>
          <w:p w:rsidR="00C4071E" w:rsidRPr="00693E08" w:rsidRDefault="00C4071E" w:rsidP="00814D94">
            <w:pPr>
              <w:jc w:val="both"/>
            </w:pPr>
            <w:r w:rsidRPr="00693E08">
              <w:t>Attiecīgais noteikumu projekta punkts neparedz stingrākas prasības kā ES tiesību aktā.</w:t>
            </w:r>
          </w:p>
        </w:tc>
      </w:tr>
      <w:tr w:rsidR="00C4071E" w:rsidRPr="00B77E8F" w:rsidTr="005B049B">
        <w:tc>
          <w:tcPr>
            <w:tcW w:w="2693" w:type="dxa"/>
          </w:tcPr>
          <w:p w:rsidR="00B26C47" w:rsidRPr="00693E08" w:rsidRDefault="00B26C47" w:rsidP="00B26C47">
            <w:pPr>
              <w:jc w:val="both"/>
            </w:pPr>
            <w:r w:rsidRPr="00693E08">
              <w:t>Regulas Nr.576/2013</w:t>
            </w:r>
          </w:p>
          <w:p w:rsidR="00C4071E" w:rsidRPr="00693E08" w:rsidRDefault="00B26C47" w:rsidP="00B95DD0">
            <w:pPr>
              <w:spacing w:line="312" w:lineRule="auto"/>
              <w:rPr>
                <w:color w:val="414142"/>
                <w:highlight w:val="green"/>
              </w:rPr>
            </w:pPr>
            <w:r w:rsidRPr="00693E08">
              <w:t>22.panta 2.punkts</w:t>
            </w:r>
          </w:p>
        </w:tc>
        <w:tc>
          <w:tcPr>
            <w:tcW w:w="1276" w:type="dxa"/>
          </w:tcPr>
          <w:p w:rsidR="00C4071E" w:rsidRPr="00693E08" w:rsidRDefault="00C4071E" w:rsidP="00DD46C6">
            <w:r w:rsidRPr="00693E08">
              <w:t>8.pants</w:t>
            </w:r>
          </w:p>
          <w:p w:rsidR="00C4071E" w:rsidRPr="00693E08" w:rsidRDefault="00C4071E" w:rsidP="00DD46C6">
            <w:pPr>
              <w:rPr>
                <w:highlight w:val="cyan"/>
              </w:rPr>
            </w:pPr>
            <w:r w:rsidRPr="00693E08">
              <w:t>(56.panta 9.punkts)</w:t>
            </w:r>
          </w:p>
        </w:tc>
        <w:tc>
          <w:tcPr>
            <w:tcW w:w="2126" w:type="dxa"/>
          </w:tcPr>
          <w:p w:rsidR="00C4071E" w:rsidRPr="00693E08" w:rsidRDefault="00C4071E" w:rsidP="00DD46C6">
            <w:r w:rsidRPr="00693E08">
              <w:t>ES tiesību akta vienība tiek ieviesta pilnībā.</w:t>
            </w:r>
          </w:p>
        </w:tc>
        <w:tc>
          <w:tcPr>
            <w:tcW w:w="3261" w:type="dxa"/>
          </w:tcPr>
          <w:p w:rsidR="00C4071E" w:rsidRPr="00693E08" w:rsidRDefault="00C4071E" w:rsidP="00DD46C6">
            <w:pPr>
              <w:jc w:val="both"/>
            </w:pPr>
            <w:r w:rsidRPr="00693E08">
              <w:t>Attiecīgais noteikumu projekta punkts neparedz stingrākas prasības kā ES tiesību aktā.</w:t>
            </w:r>
          </w:p>
        </w:tc>
      </w:tr>
      <w:tr w:rsidR="00C4071E" w:rsidRPr="00B77E8F" w:rsidTr="005B049B">
        <w:tc>
          <w:tcPr>
            <w:tcW w:w="2693" w:type="dxa"/>
          </w:tcPr>
          <w:p w:rsidR="00C4071E" w:rsidRPr="00693E08" w:rsidRDefault="00C4071E" w:rsidP="00907A9F">
            <w:pPr>
              <w:jc w:val="both"/>
            </w:pPr>
            <w:r w:rsidRPr="00693E08">
              <w:t>Regulas Nr.576/2013</w:t>
            </w:r>
          </w:p>
          <w:p w:rsidR="00C4071E" w:rsidRPr="00693E08" w:rsidRDefault="00C4071E" w:rsidP="00907A9F">
            <w:pPr>
              <w:jc w:val="both"/>
            </w:pPr>
            <w:r w:rsidRPr="00693E08">
              <w:t>45.pants</w:t>
            </w:r>
          </w:p>
        </w:tc>
        <w:tc>
          <w:tcPr>
            <w:tcW w:w="1276" w:type="dxa"/>
          </w:tcPr>
          <w:p w:rsidR="00C4071E" w:rsidRPr="00693E08" w:rsidRDefault="00C4071E" w:rsidP="00907A9F">
            <w:r w:rsidRPr="00693E08">
              <w:t>10.pants (</w:t>
            </w:r>
            <w:r w:rsidR="000B6024">
              <w:t>p</w:t>
            </w:r>
            <w:r w:rsidRPr="00693E08">
              <w:t>ārejas noteikumu 25.,</w:t>
            </w:r>
            <w:r w:rsidR="000B6024">
              <w:t xml:space="preserve"> </w:t>
            </w:r>
            <w:r w:rsidRPr="00693E08">
              <w:t>26.,</w:t>
            </w:r>
            <w:r w:rsidR="000B6024">
              <w:t xml:space="preserve"> </w:t>
            </w:r>
            <w:r w:rsidRPr="00693E08">
              <w:t>27. punkts)</w:t>
            </w:r>
          </w:p>
        </w:tc>
        <w:tc>
          <w:tcPr>
            <w:tcW w:w="2126" w:type="dxa"/>
          </w:tcPr>
          <w:p w:rsidR="00C4071E" w:rsidRPr="00693E08" w:rsidRDefault="00C4071E" w:rsidP="00907A9F">
            <w:r w:rsidRPr="00693E08">
              <w:t>ES tiesību akta vienība tiek ieviesta pilnībā.</w:t>
            </w:r>
          </w:p>
        </w:tc>
        <w:tc>
          <w:tcPr>
            <w:tcW w:w="3261" w:type="dxa"/>
          </w:tcPr>
          <w:p w:rsidR="00C4071E" w:rsidRPr="00693E08" w:rsidRDefault="00C4071E" w:rsidP="00907A9F">
            <w:pPr>
              <w:jc w:val="both"/>
            </w:pPr>
            <w:r w:rsidRPr="00693E08">
              <w:t>Attiecīgais noteikumu projekta punkts neparedz stingrākas prasības kā ES tiesību aktā.</w:t>
            </w:r>
          </w:p>
        </w:tc>
      </w:tr>
      <w:tr w:rsidR="00C4071E" w:rsidRPr="00E71679" w:rsidTr="005B049B">
        <w:tc>
          <w:tcPr>
            <w:tcW w:w="2693" w:type="dxa"/>
          </w:tcPr>
          <w:p w:rsidR="00C4071E" w:rsidRPr="00693E08" w:rsidRDefault="00C4071E" w:rsidP="00BC5F20">
            <w:r w:rsidRPr="00693E08">
              <w:t>Regulas 178/2002 36.panta 2.punkts</w:t>
            </w:r>
          </w:p>
        </w:tc>
        <w:tc>
          <w:tcPr>
            <w:tcW w:w="1276" w:type="dxa"/>
          </w:tcPr>
          <w:p w:rsidR="00C4071E" w:rsidRPr="00693E08" w:rsidRDefault="00C4071E" w:rsidP="00A23C96">
            <w:r w:rsidRPr="00693E08">
              <w:t xml:space="preserve">2.pants </w:t>
            </w:r>
          </w:p>
        </w:tc>
        <w:tc>
          <w:tcPr>
            <w:tcW w:w="2126" w:type="dxa"/>
          </w:tcPr>
          <w:p w:rsidR="00C4071E" w:rsidRPr="00693E08" w:rsidRDefault="00C4071E" w:rsidP="007E1AF0">
            <w:pPr>
              <w:rPr>
                <w:rFonts w:ascii="Arial" w:hAnsi="Arial" w:cs="Arial"/>
                <w:color w:val="414142"/>
                <w:sz w:val="20"/>
                <w:szCs w:val="20"/>
              </w:rPr>
            </w:pPr>
            <w:r w:rsidRPr="00693E08">
              <w:t>ES tiesību akta vienība tiek ieviesta pilnībā.</w:t>
            </w:r>
          </w:p>
        </w:tc>
        <w:tc>
          <w:tcPr>
            <w:tcW w:w="3261" w:type="dxa"/>
          </w:tcPr>
          <w:p w:rsidR="00C4071E" w:rsidRPr="00693E08" w:rsidRDefault="00C4071E" w:rsidP="00F44B6C">
            <w:pPr>
              <w:jc w:val="both"/>
              <w:rPr>
                <w:rFonts w:ascii="Arial" w:hAnsi="Arial" w:cs="Arial"/>
                <w:color w:val="414142"/>
                <w:sz w:val="20"/>
                <w:szCs w:val="20"/>
              </w:rPr>
            </w:pPr>
            <w:r w:rsidRPr="00693E08">
              <w:t>Attiecīgais noteikumu projekta punkts neparedz stingrākas prasības kā ES tiesību aktā.</w:t>
            </w:r>
          </w:p>
        </w:tc>
      </w:tr>
      <w:tr w:rsidR="00C4071E" w:rsidRPr="00E71679" w:rsidTr="005B049B">
        <w:tc>
          <w:tcPr>
            <w:tcW w:w="2693" w:type="dxa"/>
          </w:tcPr>
          <w:p w:rsidR="00C4071E" w:rsidRPr="00693E08" w:rsidRDefault="00C4071E" w:rsidP="00BC5F20">
            <w:r w:rsidRPr="00693E08">
              <w:t xml:space="preserve">Direktīvas 64/432/EEK </w:t>
            </w:r>
            <w:r w:rsidR="00715078" w:rsidRPr="00693E08">
              <w:t xml:space="preserve">11.panta 1.punkta </w:t>
            </w:r>
            <w:r w:rsidR="000B6024">
              <w:t>„</w:t>
            </w:r>
            <w:r w:rsidR="00715078" w:rsidRPr="00693E08">
              <w:t>c</w:t>
            </w:r>
            <w:r w:rsidR="000B6024">
              <w:t xml:space="preserve">” </w:t>
            </w:r>
            <w:r w:rsidR="00715078" w:rsidRPr="00693E08">
              <w:t xml:space="preserve">un </w:t>
            </w:r>
            <w:r w:rsidR="000B6024">
              <w:t>„</w:t>
            </w:r>
            <w:r w:rsidR="00715078" w:rsidRPr="00693E08">
              <w:t>d</w:t>
            </w:r>
            <w:r w:rsidR="000B6024">
              <w:t>”</w:t>
            </w:r>
            <w:r w:rsidR="00715078" w:rsidRPr="00693E08">
              <w:t xml:space="preserve"> apakšpunkts</w:t>
            </w:r>
          </w:p>
          <w:p w:rsidR="00C4071E" w:rsidRPr="00693E08" w:rsidRDefault="00C4071E" w:rsidP="00BC5F20"/>
        </w:tc>
        <w:tc>
          <w:tcPr>
            <w:tcW w:w="1276" w:type="dxa"/>
          </w:tcPr>
          <w:p w:rsidR="00C4071E" w:rsidRPr="00693E08" w:rsidRDefault="00715078" w:rsidP="00BC5F20">
            <w:r w:rsidRPr="00693E08">
              <w:t>4.pants</w:t>
            </w:r>
          </w:p>
        </w:tc>
        <w:tc>
          <w:tcPr>
            <w:tcW w:w="2126" w:type="dxa"/>
          </w:tcPr>
          <w:p w:rsidR="00C4071E" w:rsidRPr="00693E08" w:rsidRDefault="00715078" w:rsidP="007E1AF0">
            <w:r w:rsidRPr="00693E08">
              <w:t>ES tiesību akta vienība tiek ieviesta pilnībā.</w:t>
            </w:r>
          </w:p>
        </w:tc>
        <w:tc>
          <w:tcPr>
            <w:tcW w:w="3261" w:type="dxa"/>
          </w:tcPr>
          <w:p w:rsidR="00C4071E" w:rsidRPr="00693E08" w:rsidRDefault="00715078" w:rsidP="007E1AF0">
            <w:r w:rsidRPr="00693E08">
              <w:t>Attiecīgais noteikumu projekta punkts neparedz stingrākas prasības kā ES tiesību aktā.</w:t>
            </w:r>
          </w:p>
        </w:tc>
      </w:tr>
      <w:tr w:rsidR="00715078" w:rsidRPr="00E71679" w:rsidTr="005B049B">
        <w:tc>
          <w:tcPr>
            <w:tcW w:w="2693" w:type="dxa"/>
          </w:tcPr>
          <w:p w:rsidR="00715078" w:rsidRPr="00693E08" w:rsidRDefault="00715078" w:rsidP="00715078">
            <w:r w:rsidRPr="00693E08">
              <w:t>Direktīvas 64/432/EEK 11.panta 2.punkts</w:t>
            </w:r>
          </w:p>
        </w:tc>
        <w:tc>
          <w:tcPr>
            <w:tcW w:w="1276" w:type="dxa"/>
          </w:tcPr>
          <w:p w:rsidR="00715078" w:rsidRPr="00693E08" w:rsidRDefault="00715078" w:rsidP="00BC5F20">
            <w:r w:rsidRPr="00693E08">
              <w:t>4.pants</w:t>
            </w:r>
          </w:p>
        </w:tc>
        <w:tc>
          <w:tcPr>
            <w:tcW w:w="2126" w:type="dxa"/>
          </w:tcPr>
          <w:p w:rsidR="00715078" w:rsidRPr="00693E08" w:rsidRDefault="00715078" w:rsidP="007E1AF0">
            <w:r w:rsidRPr="00693E08">
              <w:t>ES tiesību akta vienība tiek ieviesta pilnībā.</w:t>
            </w:r>
          </w:p>
        </w:tc>
        <w:tc>
          <w:tcPr>
            <w:tcW w:w="3261" w:type="dxa"/>
          </w:tcPr>
          <w:p w:rsidR="00715078" w:rsidRPr="00693E08" w:rsidRDefault="00715078" w:rsidP="007E1AF0">
            <w:r w:rsidRPr="00693E08">
              <w:t>Attiecīgais noteikumu projekta punkts neparedz stingrākas prasības kā ES tiesību aktā.</w:t>
            </w:r>
          </w:p>
        </w:tc>
      </w:tr>
      <w:tr w:rsidR="00715078" w:rsidRPr="00E71679" w:rsidTr="005B049B">
        <w:tc>
          <w:tcPr>
            <w:tcW w:w="2693" w:type="dxa"/>
          </w:tcPr>
          <w:p w:rsidR="00715078" w:rsidRPr="00693E08" w:rsidRDefault="00715078" w:rsidP="00715078">
            <w:r w:rsidRPr="00693E08">
              <w:t xml:space="preserve">Direktīvas 64/432/EEK 13.panta 1.punkta </w:t>
            </w:r>
            <w:r w:rsidR="00D002B1">
              <w:t>„</w:t>
            </w:r>
            <w:r w:rsidRPr="00693E08">
              <w:t>c</w:t>
            </w:r>
            <w:r w:rsidR="00D002B1">
              <w:t>”</w:t>
            </w:r>
            <w:r w:rsidRPr="00693E08">
              <w:t xml:space="preserve"> apakšpunkts</w:t>
            </w:r>
          </w:p>
        </w:tc>
        <w:tc>
          <w:tcPr>
            <w:tcW w:w="1276" w:type="dxa"/>
          </w:tcPr>
          <w:p w:rsidR="00715078" w:rsidRPr="00693E08" w:rsidRDefault="00715078" w:rsidP="00BC5F20">
            <w:r w:rsidRPr="00693E08">
              <w:t>4.pants</w:t>
            </w:r>
          </w:p>
        </w:tc>
        <w:tc>
          <w:tcPr>
            <w:tcW w:w="2126" w:type="dxa"/>
          </w:tcPr>
          <w:p w:rsidR="00715078" w:rsidRPr="00693E08" w:rsidRDefault="00715078" w:rsidP="007E1AF0">
            <w:r w:rsidRPr="00693E08">
              <w:t>ES tiesību akta vienība tiek ieviesta pilnībā.</w:t>
            </w:r>
          </w:p>
        </w:tc>
        <w:tc>
          <w:tcPr>
            <w:tcW w:w="3261" w:type="dxa"/>
          </w:tcPr>
          <w:p w:rsidR="00715078" w:rsidRPr="00693E08" w:rsidRDefault="00715078" w:rsidP="007E1AF0">
            <w:r w:rsidRPr="00693E08">
              <w:t>Attiecīgais noteikumu projekta punkts neparedz stingrākas prasības kā ES tiesību aktā.</w:t>
            </w:r>
          </w:p>
        </w:tc>
      </w:tr>
      <w:tr w:rsidR="00C4071E" w:rsidRPr="00E71679" w:rsidTr="005B049B">
        <w:tc>
          <w:tcPr>
            <w:tcW w:w="2693" w:type="dxa"/>
            <w:tcBorders>
              <w:bottom w:val="single" w:sz="4" w:space="0" w:color="auto"/>
            </w:tcBorders>
            <w:hideMark/>
          </w:tcPr>
          <w:p w:rsidR="00C4071E" w:rsidRPr="00E71679" w:rsidRDefault="00C4071E" w:rsidP="00BC5F20">
            <w:r w:rsidRPr="00E71679">
              <w:t xml:space="preserve">Kā ir izmantota ES tiesību aktā paredzētā rīcības brīvība dalībvalstij pārņemt vai ieviest noteiktas ES tiesību akta normas? </w:t>
            </w:r>
          </w:p>
          <w:p w:rsidR="00C4071E" w:rsidRPr="00E71679" w:rsidRDefault="00C4071E" w:rsidP="00BC5F20">
            <w:pPr>
              <w:spacing w:line="312" w:lineRule="auto"/>
              <w:ind w:firstLine="300"/>
            </w:pPr>
            <w:r w:rsidRPr="00E71679">
              <w:t>Kādēļ?</w:t>
            </w:r>
          </w:p>
        </w:tc>
        <w:tc>
          <w:tcPr>
            <w:tcW w:w="6663" w:type="dxa"/>
            <w:gridSpan w:val="3"/>
            <w:tcBorders>
              <w:bottom w:val="single" w:sz="4" w:space="0" w:color="auto"/>
            </w:tcBorders>
            <w:hideMark/>
          </w:tcPr>
          <w:p w:rsidR="00C4071E" w:rsidRPr="00E71679" w:rsidRDefault="001609AA" w:rsidP="00BC5F20">
            <w:r w:rsidRPr="007C4534">
              <w:t>P</w:t>
            </w:r>
            <w:r w:rsidRPr="007C4534">
              <w:rPr>
                <w:iCs/>
              </w:rPr>
              <w:t>rojekts šo jomu neskar</w:t>
            </w:r>
            <w:r w:rsidRPr="007C4534">
              <w:t>.</w:t>
            </w:r>
          </w:p>
        </w:tc>
      </w:tr>
      <w:tr w:rsidR="00C4071E" w:rsidRPr="00E71679" w:rsidTr="005B049B">
        <w:tc>
          <w:tcPr>
            <w:tcW w:w="2693" w:type="dxa"/>
            <w:tcBorders>
              <w:bottom w:val="single" w:sz="4" w:space="0" w:color="auto"/>
            </w:tcBorders>
            <w:hideMark/>
          </w:tcPr>
          <w:p w:rsidR="00C4071E" w:rsidRPr="00E71679" w:rsidRDefault="00C4071E" w:rsidP="00BC5F20">
            <w:r w:rsidRPr="00E71679">
              <w:t xml:space="preserve">Saistības sniegt paziņojumu ES institūcijām un ES dalībvalstīm atbilstoši normatīvajiem aktiem, kas regulē informācijas sniegšanu par tehnisko noteikumu, valsts atbalsta piešķiršanas un finanšu </w:t>
            </w:r>
            <w:r w:rsidRPr="00E71679">
              <w:lastRenderedPageBreak/>
              <w:t>noteikumu (attiecībā uz monetāro politiku) projektiem</w:t>
            </w:r>
          </w:p>
        </w:tc>
        <w:tc>
          <w:tcPr>
            <w:tcW w:w="6663" w:type="dxa"/>
            <w:gridSpan w:val="3"/>
            <w:tcBorders>
              <w:bottom w:val="single" w:sz="4" w:space="0" w:color="auto"/>
            </w:tcBorders>
            <w:hideMark/>
          </w:tcPr>
          <w:p w:rsidR="00C4071E" w:rsidRPr="00E71679" w:rsidRDefault="00C4071E" w:rsidP="00BC5F20">
            <w:r w:rsidRPr="007C4534">
              <w:lastRenderedPageBreak/>
              <w:t>P</w:t>
            </w:r>
            <w:r w:rsidRPr="007C4534">
              <w:rPr>
                <w:iCs/>
              </w:rPr>
              <w:t>rojekts šo jomu neskar</w:t>
            </w:r>
            <w:r w:rsidRPr="007C4534">
              <w:t>.</w:t>
            </w:r>
          </w:p>
        </w:tc>
      </w:tr>
      <w:tr w:rsidR="00C4071E" w:rsidRPr="00E71679" w:rsidTr="005B049B">
        <w:tc>
          <w:tcPr>
            <w:tcW w:w="2693" w:type="dxa"/>
            <w:tcBorders>
              <w:top w:val="single" w:sz="4" w:space="0" w:color="auto"/>
              <w:left w:val="single" w:sz="4" w:space="0" w:color="auto"/>
              <w:bottom w:val="single" w:sz="4" w:space="0" w:color="auto"/>
              <w:right w:val="single" w:sz="4" w:space="0" w:color="auto"/>
            </w:tcBorders>
            <w:hideMark/>
          </w:tcPr>
          <w:p w:rsidR="00C4071E" w:rsidRPr="00E71679" w:rsidRDefault="00C4071E" w:rsidP="00BC5F20">
            <w:r w:rsidRPr="00E71679">
              <w:lastRenderedPageBreak/>
              <w:t>Cita informācija</w:t>
            </w:r>
          </w:p>
        </w:tc>
        <w:tc>
          <w:tcPr>
            <w:tcW w:w="6663" w:type="dxa"/>
            <w:gridSpan w:val="3"/>
            <w:tcBorders>
              <w:top w:val="single" w:sz="4" w:space="0" w:color="auto"/>
              <w:left w:val="single" w:sz="4" w:space="0" w:color="auto"/>
              <w:bottom w:val="single" w:sz="4" w:space="0" w:color="auto"/>
              <w:right w:val="single" w:sz="4" w:space="0" w:color="auto"/>
            </w:tcBorders>
            <w:hideMark/>
          </w:tcPr>
          <w:p w:rsidR="00C4071E" w:rsidRPr="00E71679" w:rsidRDefault="00C4071E" w:rsidP="00BC5F20">
            <w:pPr>
              <w:spacing w:line="312" w:lineRule="auto"/>
            </w:pPr>
            <w:r>
              <w:t>Nav</w:t>
            </w:r>
          </w:p>
        </w:tc>
      </w:tr>
    </w:tbl>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70"/>
        <w:gridCol w:w="745"/>
        <w:gridCol w:w="1808"/>
        <w:gridCol w:w="2693"/>
      </w:tblGrid>
      <w:tr w:rsidR="00C17FDB" w:rsidTr="008775B6">
        <w:tc>
          <w:tcPr>
            <w:tcW w:w="5000" w:type="pct"/>
            <w:gridSpan w:val="5"/>
            <w:tcBorders>
              <w:top w:val="single" w:sz="4" w:space="0" w:color="auto"/>
              <w:left w:val="single" w:sz="4" w:space="0" w:color="auto"/>
              <w:bottom w:val="single" w:sz="4" w:space="0" w:color="auto"/>
              <w:right w:val="single" w:sz="4" w:space="0" w:color="auto"/>
            </w:tcBorders>
            <w:hideMark/>
          </w:tcPr>
          <w:p w:rsidR="00C17FDB" w:rsidRDefault="00C17FDB" w:rsidP="00BC5F20">
            <w:pPr>
              <w:jc w:val="center"/>
              <w:rPr>
                <w:b/>
              </w:rPr>
            </w:pPr>
            <w:r>
              <w:rPr>
                <w:b/>
              </w:rPr>
              <w:t>2.tabula</w:t>
            </w:r>
          </w:p>
          <w:p w:rsidR="00C17FDB" w:rsidRDefault="00C17FDB" w:rsidP="00BC5F20">
            <w:pPr>
              <w:jc w:val="center"/>
              <w:rPr>
                <w:b/>
              </w:rPr>
            </w:pPr>
            <w:r>
              <w:rPr>
                <w:b/>
              </w:rPr>
              <w:t>Ar tiesību akta projektu uzņemtās saistības, kas izriet no starptautiskajiem tiesību aktiem vai starptautiskas institūcijas vai organizācijas dokumentiem</w:t>
            </w:r>
          </w:p>
          <w:p w:rsidR="00C17FDB" w:rsidRDefault="00C17FDB" w:rsidP="00BC5F20">
            <w:pPr>
              <w:jc w:val="center"/>
              <w:rPr>
                <w:b/>
              </w:rPr>
            </w:pPr>
            <w:r>
              <w:rPr>
                <w:b/>
              </w:rPr>
              <w:t>Pasākumi šo saistību izpildei</w:t>
            </w:r>
          </w:p>
        </w:tc>
      </w:tr>
      <w:tr w:rsidR="00C17FDB" w:rsidTr="008775B6">
        <w:tc>
          <w:tcPr>
            <w:tcW w:w="2595" w:type="pct"/>
            <w:gridSpan w:val="3"/>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Attiecīga starptautiskā tiesību akta vai starptautiskas institūcijas vai organizācijas dokumentā (turpmāk – starptautiskais dokuments) datums, numurs un nosaukums</w:t>
            </w:r>
          </w:p>
        </w:tc>
        <w:tc>
          <w:tcPr>
            <w:tcW w:w="2405"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pPr>
            <w:r>
              <w:rPr>
                <w:iCs/>
              </w:rPr>
              <w:t>Projekts šo jomu neskar</w:t>
            </w:r>
            <w:r>
              <w:t>.</w:t>
            </w:r>
          </w:p>
        </w:tc>
      </w:tr>
      <w:tr w:rsidR="00C17FDB" w:rsidTr="002D66EE">
        <w:tc>
          <w:tcPr>
            <w:tcW w:w="2197"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rPr>
                <w:b/>
              </w:rPr>
            </w:pPr>
            <w:r>
              <w:rPr>
                <w:b/>
              </w:rPr>
              <w:t>A</w:t>
            </w:r>
          </w:p>
        </w:tc>
        <w:tc>
          <w:tcPr>
            <w:tcW w:w="1364"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rPr>
                <w:b/>
              </w:rPr>
            </w:pPr>
            <w:r>
              <w:rPr>
                <w:b/>
              </w:rPr>
              <w:t>B</w:t>
            </w:r>
          </w:p>
        </w:tc>
        <w:tc>
          <w:tcPr>
            <w:tcW w:w="1439" w:type="pct"/>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rPr>
                <w:b/>
              </w:rPr>
            </w:pPr>
            <w:r>
              <w:rPr>
                <w:b/>
              </w:rPr>
              <w:t>C</w:t>
            </w:r>
          </w:p>
        </w:tc>
      </w:tr>
      <w:tr w:rsidR="00C17FDB" w:rsidTr="002D66EE">
        <w:tc>
          <w:tcPr>
            <w:tcW w:w="2197"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Starptautiskās saistības (pēc būtības), kas izriet no norādītā starptautiskā dokumenta.</w:t>
            </w:r>
          </w:p>
          <w:p w:rsidR="00C17FDB" w:rsidRDefault="00C17FDB" w:rsidP="00BC5F20">
            <w:pPr>
              <w:pStyle w:val="naisc"/>
              <w:spacing w:before="0" w:after="0"/>
              <w:jc w:val="both"/>
              <w:rPr>
                <w:b/>
              </w:rPr>
            </w:pPr>
            <w:r>
              <w:t>Konkrēti veicamie pasākumi vai uzdevumi, kas nepieciešami šo starptautisko saistību izpildei</w:t>
            </w:r>
          </w:p>
        </w:tc>
        <w:tc>
          <w:tcPr>
            <w:tcW w:w="1364"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Ja pasākumi vai uzdevumi, ar ko tiks izpildītas starptautiskās saistības, tiek noteikti projektā, norāda attiecīgo projekta vienību.</w:t>
            </w:r>
          </w:p>
          <w:p w:rsidR="00C17FDB" w:rsidRDefault="00C17FDB" w:rsidP="00BC5F20">
            <w:pPr>
              <w:pStyle w:val="naisc"/>
              <w:spacing w:before="0" w:after="0"/>
              <w:jc w:val="both"/>
              <w:rPr>
                <w:b/>
              </w:rPr>
            </w:pPr>
            <w:r>
              <w:t>Vai arī norāda dokumentu, kurā sniegts izvērsts skaidrojums, kādā veidā tiks nodrošināta starptautisko saistību izpilde</w:t>
            </w:r>
          </w:p>
        </w:tc>
        <w:tc>
          <w:tcPr>
            <w:tcW w:w="1439" w:type="pct"/>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Informācija par to, vai starptautiskās saistības, kas minētas šis tabulas A ailē, tiek izpildītas pilnībā vai daļēji.</w:t>
            </w:r>
          </w:p>
          <w:p w:rsidR="00C17FDB" w:rsidRDefault="00C17FDB" w:rsidP="00BC5F20">
            <w:pPr>
              <w:pStyle w:val="naisc"/>
              <w:spacing w:before="0" w:after="0"/>
              <w:jc w:val="both"/>
            </w:pPr>
            <w:r>
              <w:t>Ja attiecīgās starptautiskās saistības tiek izpildītas daļēji, sniedz attiecīgu skaidrojumu, kā arī precīzi norāda, kad un kādā veidā starptautiskās saistības tiks izpildītas pilnībā.</w:t>
            </w:r>
          </w:p>
          <w:p w:rsidR="00C17FDB" w:rsidRDefault="00C17FDB" w:rsidP="00BC5F20">
            <w:pPr>
              <w:pStyle w:val="naisc"/>
              <w:spacing w:before="0" w:after="0"/>
              <w:jc w:val="both"/>
              <w:rPr>
                <w:b/>
              </w:rPr>
            </w:pPr>
            <w:r>
              <w:t>Norāda institūciju, kas ir atbildīga par šo saistību izpildi pilnībā</w:t>
            </w:r>
          </w:p>
        </w:tc>
      </w:tr>
      <w:tr w:rsidR="00C17FDB" w:rsidTr="002D66EE">
        <w:tc>
          <w:tcPr>
            <w:tcW w:w="2197"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Nav attiecināms.</w:t>
            </w:r>
          </w:p>
        </w:tc>
        <w:tc>
          <w:tcPr>
            <w:tcW w:w="1364"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rPr>
                <w:b/>
              </w:rPr>
            </w:pPr>
            <w:r>
              <w:t>P</w:t>
            </w:r>
            <w:r>
              <w:rPr>
                <w:iCs/>
              </w:rPr>
              <w:t>rojekts šo jomu neskar</w:t>
            </w:r>
            <w:r>
              <w:t>.</w:t>
            </w:r>
          </w:p>
        </w:tc>
        <w:tc>
          <w:tcPr>
            <w:tcW w:w="1439" w:type="pct"/>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rPr>
                <w:b/>
              </w:rPr>
            </w:pPr>
            <w:r>
              <w:t>P</w:t>
            </w:r>
            <w:r>
              <w:rPr>
                <w:iCs/>
              </w:rPr>
              <w:t>rojekts šo jomu neskar</w:t>
            </w:r>
            <w:r>
              <w:t>.</w:t>
            </w:r>
          </w:p>
        </w:tc>
      </w:tr>
      <w:tr w:rsidR="00C17FDB" w:rsidTr="002D66EE">
        <w:tc>
          <w:tcPr>
            <w:tcW w:w="2197"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Vai starptautiskajā dokumentā paredzētās saistības nav pretrunā ar jau esošajām Latvijas Republikas starptautiskajām saistībām</w:t>
            </w:r>
          </w:p>
        </w:tc>
        <w:tc>
          <w:tcPr>
            <w:tcW w:w="2803" w:type="pct"/>
            <w:gridSpan w:val="3"/>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P</w:t>
            </w:r>
            <w:r>
              <w:rPr>
                <w:iCs/>
              </w:rPr>
              <w:t>rojekts šo jomu neskar</w:t>
            </w:r>
            <w:r>
              <w:t>.</w:t>
            </w:r>
          </w:p>
        </w:tc>
      </w:tr>
      <w:tr w:rsidR="00C17FDB" w:rsidTr="002D66EE">
        <w:tc>
          <w:tcPr>
            <w:tcW w:w="2197" w:type="pct"/>
            <w:gridSpan w:val="2"/>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Cita informācija</w:t>
            </w:r>
          </w:p>
        </w:tc>
        <w:tc>
          <w:tcPr>
            <w:tcW w:w="2803" w:type="pct"/>
            <w:gridSpan w:val="3"/>
            <w:tcBorders>
              <w:top w:val="single" w:sz="4" w:space="0" w:color="auto"/>
              <w:left w:val="single" w:sz="4" w:space="0" w:color="auto"/>
              <w:bottom w:val="single" w:sz="4" w:space="0" w:color="auto"/>
              <w:right w:val="single" w:sz="4" w:space="0" w:color="auto"/>
            </w:tcBorders>
            <w:hideMark/>
          </w:tcPr>
          <w:p w:rsidR="00C17FDB" w:rsidRDefault="00C17FDB" w:rsidP="00BC5F20">
            <w:pPr>
              <w:pStyle w:val="naisc"/>
              <w:spacing w:before="0" w:after="0"/>
              <w:jc w:val="both"/>
            </w:pPr>
            <w:r>
              <w:t>Nav</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5000" w:type="pct"/>
            <w:gridSpan w:val="5"/>
            <w:tcBorders>
              <w:top w:val="outset" w:sz="6" w:space="0" w:color="auto"/>
              <w:left w:val="outset" w:sz="6" w:space="0" w:color="auto"/>
              <w:bottom w:val="outset" w:sz="6" w:space="0" w:color="auto"/>
              <w:right w:val="outset" w:sz="6" w:space="0" w:color="auto"/>
            </w:tcBorders>
          </w:tcPr>
          <w:p w:rsidR="00677A61" w:rsidRPr="000B4B7F" w:rsidRDefault="00677A61" w:rsidP="00AC7C5D">
            <w:pPr>
              <w:jc w:val="center"/>
              <w:rPr>
                <w:b/>
              </w:rPr>
            </w:pPr>
            <w:r w:rsidRPr="000B4B7F">
              <w:rPr>
                <w:b/>
              </w:rPr>
              <w:t xml:space="preserve">VI. </w:t>
            </w:r>
            <w:r>
              <w:rPr>
                <w:b/>
              </w:rPr>
              <w:t>Sabiedrības līdzdalība un šīs līdzdalības rezultāti</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Pr="000B4B7F" w:rsidRDefault="00677A61" w:rsidP="00AC7C5D">
            <w:pPr>
              <w:jc w:val="both"/>
            </w:pPr>
            <w:r>
              <w:t xml:space="preserve">1. </w:t>
            </w:r>
          </w:p>
        </w:tc>
        <w:tc>
          <w:tcPr>
            <w:tcW w:w="1908" w:type="pct"/>
            <w:tcBorders>
              <w:top w:val="outset" w:sz="6" w:space="0" w:color="auto"/>
              <w:left w:val="outset" w:sz="6" w:space="0" w:color="auto"/>
              <w:bottom w:val="outset" w:sz="6" w:space="0" w:color="auto"/>
              <w:right w:val="outset" w:sz="6" w:space="0" w:color="auto"/>
            </w:tcBorders>
          </w:tcPr>
          <w:p w:rsidR="00677A61" w:rsidRPr="000B4B7F" w:rsidRDefault="00677A61" w:rsidP="00AC7C5D">
            <w:pPr>
              <w:jc w:val="both"/>
            </w:pPr>
            <w:r>
              <w:t>Sabiedrības informēšana par projekta izstrādes uzsākšanu</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E00849" w:rsidP="00E00849">
            <w:pPr>
              <w:jc w:val="both"/>
            </w:pPr>
            <w:r>
              <w:t xml:space="preserve">Likumprojekts publicēts Zemkopības ministrijas </w:t>
            </w:r>
            <w:r w:rsidR="00F84E6F">
              <w:t>tīmekļa</w:t>
            </w:r>
            <w:r>
              <w:t xml:space="preserve"> vietnē.</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 xml:space="preserve">2. </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Sabiedrības līdzdalība projekta izstrādē</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677A61" w:rsidP="006F07BB">
            <w:pPr>
              <w:jc w:val="both"/>
            </w:pPr>
            <w:r w:rsidRPr="000B4B7F">
              <w:t xml:space="preserve">Noteikumu projekts ir </w:t>
            </w:r>
            <w:r>
              <w:t xml:space="preserve">elektroniski </w:t>
            </w:r>
            <w:r w:rsidRPr="000B4B7F">
              <w:t xml:space="preserve">saskaņots ar </w:t>
            </w:r>
            <w:r w:rsidR="006F07BB">
              <w:t>biedrību „</w:t>
            </w:r>
            <w:r w:rsidR="00E00849">
              <w:t>Lauksaimnieku organizācijas sadarbības padom</w:t>
            </w:r>
            <w:r w:rsidR="006F07BB">
              <w:t>e”</w:t>
            </w:r>
            <w:r w:rsidR="00E00849">
              <w:t xml:space="preserve">, biedrību „Zemnieku </w:t>
            </w:r>
            <w:r w:rsidR="008C14FD">
              <w:t>s</w:t>
            </w:r>
            <w:r w:rsidR="00E00849">
              <w:t xml:space="preserve">aeima” un Latvijas Veterinārārstu biedrību. </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3.</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Sabiedrības līdzdalības rezultāti</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677A61" w:rsidP="00E00849">
            <w:pPr>
              <w:jc w:val="both"/>
              <w:rPr>
                <w:bCs/>
              </w:rPr>
            </w:pP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lastRenderedPageBreak/>
              <w:t>4.</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Saeimas un ekspertu līdzdalība</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6E1B31" w:rsidP="00E00849">
            <w:pPr>
              <w:jc w:val="both"/>
            </w:pPr>
            <w:r>
              <w:t>Projekts šo jomu neskar</w:t>
            </w:r>
            <w:r w:rsidR="00677A61">
              <w:t>.</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5.</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Cita informācija</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677A61" w:rsidP="00AC7C5D">
            <w:pPr>
              <w:jc w:val="both"/>
            </w:pPr>
            <w:r w:rsidRPr="000B4B7F">
              <w:t xml:space="preserve">Nav </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5000" w:type="pct"/>
            <w:gridSpan w:val="5"/>
            <w:tcBorders>
              <w:top w:val="outset" w:sz="6" w:space="0" w:color="auto"/>
              <w:left w:val="outset" w:sz="6" w:space="0" w:color="auto"/>
              <w:bottom w:val="outset" w:sz="6" w:space="0" w:color="auto"/>
              <w:right w:val="outset" w:sz="6" w:space="0" w:color="auto"/>
            </w:tcBorders>
          </w:tcPr>
          <w:p w:rsidR="00677A61" w:rsidRPr="000B4B7F" w:rsidRDefault="00677A61" w:rsidP="00AC7C5D">
            <w:pPr>
              <w:jc w:val="center"/>
              <w:rPr>
                <w:b/>
              </w:rPr>
            </w:pPr>
            <w:r w:rsidRPr="000B4B7F">
              <w:rPr>
                <w:b/>
              </w:rPr>
              <w:t xml:space="preserve">VII. </w:t>
            </w:r>
            <w:r>
              <w:rPr>
                <w:b/>
              </w:rPr>
              <w:t>Tiesību akta projekta izpildes nodrošināšana un tās ietekme uz institūcijām</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Pr="000B4B7F" w:rsidRDefault="00677A61" w:rsidP="00AC7C5D">
            <w:pPr>
              <w:jc w:val="both"/>
            </w:pPr>
            <w:r>
              <w:t>1.</w:t>
            </w:r>
          </w:p>
        </w:tc>
        <w:tc>
          <w:tcPr>
            <w:tcW w:w="1908" w:type="pct"/>
            <w:tcBorders>
              <w:top w:val="outset" w:sz="6" w:space="0" w:color="auto"/>
              <w:left w:val="outset" w:sz="6" w:space="0" w:color="auto"/>
              <w:bottom w:val="outset" w:sz="6" w:space="0" w:color="auto"/>
              <w:right w:val="outset" w:sz="6" w:space="0" w:color="auto"/>
            </w:tcBorders>
          </w:tcPr>
          <w:p w:rsidR="00677A61" w:rsidRPr="000B4B7F" w:rsidRDefault="00677A61" w:rsidP="00AC7C5D">
            <w:pPr>
              <w:jc w:val="both"/>
            </w:pPr>
            <w:r>
              <w:t>Projekta izpildē iesaistītās institūcijas</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E00849" w:rsidP="00CE7349">
            <w:pPr>
              <w:jc w:val="both"/>
            </w:pPr>
            <w:r>
              <w:t>Likum</w:t>
            </w:r>
            <w:r w:rsidR="00677A61" w:rsidRPr="000B4B7F">
              <w:t>projektu pēc tā pieņemšanas īstenos</w:t>
            </w:r>
            <w:r w:rsidR="00677A61">
              <w:t xml:space="preserve"> </w:t>
            </w:r>
            <w:r>
              <w:t>praktizējošie</w:t>
            </w:r>
            <w:r w:rsidR="00677A61">
              <w:t xml:space="preserve"> veterinārārsti</w:t>
            </w:r>
            <w:r>
              <w:t>,</w:t>
            </w:r>
            <w:r w:rsidR="00677A61">
              <w:t xml:space="preserve"> </w:t>
            </w:r>
            <w:r>
              <w:t>Pārtikas un veterinārais dienests</w:t>
            </w:r>
            <w:r w:rsidR="00CE7349">
              <w:t>,</w:t>
            </w:r>
            <w:r>
              <w:t xml:space="preserve"> Lauku atbalsta dienests</w:t>
            </w:r>
            <w:r w:rsidR="00CE7349">
              <w:t xml:space="preserve"> un Pārtikas drošības, dzīvnieku veselības un vides zinātniskais institūts „BIOR”</w:t>
            </w:r>
            <w:r w:rsidR="00677A61" w:rsidRPr="000B4B7F">
              <w:t>.</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2.</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Projekta ietekme uz pārvaldes funkcijām</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E00849" w:rsidP="00E71A84">
            <w:pPr>
              <w:jc w:val="both"/>
            </w:pPr>
            <w:r>
              <w:t>Likum</w:t>
            </w:r>
            <w:r w:rsidR="00677A61">
              <w:t xml:space="preserve">projekts maina </w:t>
            </w:r>
            <w:r w:rsidR="00681885">
              <w:t xml:space="preserve">institūta </w:t>
            </w:r>
            <w:r w:rsidR="00677A61">
              <w:t>pārvaldes funkcijas</w:t>
            </w:r>
            <w:r w:rsidR="00681885">
              <w:t xml:space="preserve">, </w:t>
            </w:r>
            <w:r w:rsidR="00F84E6F">
              <w:t>nosakot</w:t>
            </w:r>
            <w:r w:rsidR="00681885">
              <w:t xml:space="preserve"> jaunu </w:t>
            </w:r>
            <w:r w:rsidR="00E71A84">
              <w:t>funkciju</w:t>
            </w:r>
            <w:r w:rsidR="00681885">
              <w:t xml:space="preserve"> – riska novērtēšan</w:t>
            </w:r>
            <w:r w:rsidR="00F84E6F">
              <w:t>u</w:t>
            </w:r>
            <w:r w:rsidR="00681885">
              <w:t xml:space="preserve"> </w:t>
            </w:r>
            <w:r w:rsidR="00E71A84" w:rsidRPr="006B5F1E">
              <w:t>dzīvnieku veselības un sabiedrības veselības jomā</w:t>
            </w:r>
            <w:r w:rsidR="00677A61">
              <w:t>.</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3.</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Projekta izpildes ietekme uz pārvaldes institucionālo struktūru. Jaunu institūciju izveide.</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6E1B31" w:rsidP="00AC7C5D">
            <w:pPr>
              <w:jc w:val="both"/>
            </w:pPr>
            <w:r>
              <w:t>Projekts šo jomu neskar</w:t>
            </w:r>
            <w:r w:rsidR="00677A61">
              <w:t xml:space="preserve">. </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4.</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Projekta izpildes ietekme uz pārvaldes institucionālo struktūru. Esošu institūciju likvidācija.</w:t>
            </w:r>
          </w:p>
        </w:tc>
        <w:tc>
          <w:tcPr>
            <w:tcW w:w="2803" w:type="pct"/>
            <w:gridSpan w:val="3"/>
            <w:tcBorders>
              <w:top w:val="outset" w:sz="6" w:space="0" w:color="auto"/>
              <w:left w:val="outset" w:sz="6" w:space="0" w:color="auto"/>
              <w:bottom w:val="outset" w:sz="6" w:space="0" w:color="auto"/>
              <w:right w:val="outset" w:sz="6" w:space="0" w:color="auto"/>
            </w:tcBorders>
          </w:tcPr>
          <w:p w:rsidR="00677A61" w:rsidRPr="000B4B7F" w:rsidRDefault="006E1B31" w:rsidP="00AC7C5D">
            <w:pPr>
              <w:jc w:val="both"/>
            </w:pPr>
            <w:r>
              <w:t>Projekts šo jomu neskar</w:t>
            </w:r>
            <w:r w:rsidR="00677A61">
              <w:t>.</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5.</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Projekta izpildes ietekme uz pārvaldes institucionālo struktūru. Esošu institūciju reorganizācija</w:t>
            </w:r>
          </w:p>
        </w:tc>
        <w:tc>
          <w:tcPr>
            <w:tcW w:w="2803" w:type="pct"/>
            <w:gridSpan w:val="3"/>
            <w:tcBorders>
              <w:top w:val="outset" w:sz="6" w:space="0" w:color="auto"/>
              <w:left w:val="outset" w:sz="6" w:space="0" w:color="auto"/>
              <w:bottom w:val="outset" w:sz="6" w:space="0" w:color="auto"/>
              <w:right w:val="outset" w:sz="6" w:space="0" w:color="auto"/>
            </w:tcBorders>
          </w:tcPr>
          <w:p w:rsidR="00677A61" w:rsidRDefault="006E1B31" w:rsidP="00E00849">
            <w:pPr>
              <w:jc w:val="both"/>
            </w:pPr>
            <w:r>
              <w:t>Projekts šo jomu neskar</w:t>
            </w:r>
            <w:r w:rsidR="00677A61">
              <w:t>.</w:t>
            </w:r>
          </w:p>
        </w:tc>
      </w:tr>
      <w:tr w:rsidR="00677A61" w:rsidRPr="000B4B7F" w:rsidTr="002D66E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c>
          <w:tcPr>
            <w:tcW w:w="289"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6.</w:t>
            </w:r>
          </w:p>
        </w:tc>
        <w:tc>
          <w:tcPr>
            <w:tcW w:w="1908" w:type="pct"/>
            <w:tcBorders>
              <w:top w:val="outset" w:sz="6" w:space="0" w:color="auto"/>
              <w:left w:val="outset" w:sz="6" w:space="0" w:color="auto"/>
              <w:bottom w:val="outset" w:sz="6" w:space="0" w:color="auto"/>
              <w:right w:val="outset" w:sz="6" w:space="0" w:color="auto"/>
            </w:tcBorders>
          </w:tcPr>
          <w:p w:rsidR="00677A61" w:rsidRDefault="00677A61" w:rsidP="00AC7C5D">
            <w:pPr>
              <w:jc w:val="both"/>
            </w:pPr>
            <w:r>
              <w:t>Cita informācija</w:t>
            </w:r>
          </w:p>
        </w:tc>
        <w:tc>
          <w:tcPr>
            <w:tcW w:w="2803" w:type="pct"/>
            <w:gridSpan w:val="3"/>
            <w:tcBorders>
              <w:top w:val="outset" w:sz="6" w:space="0" w:color="auto"/>
              <w:left w:val="outset" w:sz="6" w:space="0" w:color="auto"/>
              <w:bottom w:val="outset" w:sz="6" w:space="0" w:color="auto"/>
              <w:right w:val="outset" w:sz="6" w:space="0" w:color="auto"/>
            </w:tcBorders>
          </w:tcPr>
          <w:p w:rsidR="00677A61" w:rsidRDefault="00677A61" w:rsidP="00AC7C5D">
            <w:pPr>
              <w:jc w:val="both"/>
            </w:pPr>
            <w:r>
              <w:t>Nav</w:t>
            </w:r>
          </w:p>
        </w:tc>
      </w:tr>
    </w:tbl>
    <w:p w:rsidR="00677A61" w:rsidRPr="00025602" w:rsidRDefault="00677A61" w:rsidP="00677A61">
      <w:pPr>
        <w:pStyle w:val="naisf"/>
        <w:spacing w:before="0" w:beforeAutospacing="0" w:after="0" w:afterAutospacing="0"/>
        <w:ind w:firstLine="720"/>
      </w:pPr>
    </w:p>
    <w:p w:rsidR="001D5940" w:rsidRDefault="001D5940" w:rsidP="00677A61">
      <w:pPr>
        <w:pStyle w:val="naisf"/>
        <w:spacing w:before="0" w:beforeAutospacing="0" w:after="0" w:afterAutospacing="0"/>
        <w:ind w:firstLine="720"/>
        <w:rPr>
          <w:sz w:val="28"/>
          <w:szCs w:val="28"/>
        </w:rPr>
      </w:pPr>
    </w:p>
    <w:p w:rsidR="001D5940" w:rsidRDefault="001D5940" w:rsidP="00677A61">
      <w:pPr>
        <w:pStyle w:val="naisf"/>
        <w:spacing w:before="0" w:beforeAutospacing="0" w:after="0" w:afterAutospacing="0"/>
        <w:ind w:firstLine="720"/>
        <w:rPr>
          <w:sz w:val="28"/>
          <w:szCs w:val="28"/>
        </w:rPr>
      </w:pPr>
    </w:p>
    <w:p w:rsidR="00677A61" w:rsidRPr="00CA4937" w:rsidRDefault="00677A61" w:rsidP="00677A61">
      <w:pPr>
        <w:pStyle w:val="naisf"/>
        <w:spacing w:before="0" w:beforeAutospacing="0" w:after="0" w:afterAutospacing="0"/>
        <w:ind w:firstLine="720"/>
        <w:rPr>
          <w:sz w:val="28"/>
          <w:szCs w:val="28"/>
        </w:rPr>
      </w:pPr>
      <w:r>
        <w:rPr>
          <w:sz w:val="28"/>
          <w:szCs w:val="28"/>
        </w:rPr>
        <w:t>Zemkopības ministr</w:t>
      </w:r>
      <w:r w:rsidR="001609AA">
        <w:rPr>
          <w:sz w:val="28"/>
          <w:szCs w:val="28"/>
        </w:rPr>
        <w:t>s</w:t>
      </w:r>
      <w:r>
        <w:rPr>
          <w:sz w:val="28"/>
          <w:szCs w:val="28"/>
        </w:rPr>
        <w:tab/>
      </w:r>
      <w:r>
        <w:rPr>
          <w:sz w:val="28"/>
          <w:szCs w:val="28"/>
        </w:rPr>
        <w:tab/>
      </w:r>
      <w:r>
        <w:rPr>
          <w:sz w:val="28"/>
          <w:szCs w:val="28"/>
        </w:rPr>
        <w:tab/>
      </w:r>
      <w:r>
        <w:rPr>
          <w:sz w:val="28"/>
          <w:szCs w:val="28"/>
        </w:rPr>
        <w:tab/>
      </w:r>
      <w:r w:rsidRPr="00CA4937">
        <w:rPr>
          <w:sz w:val="28"/>
          <w:szCs w:val="28"/>
        </w:rPr>
        <w:tab/>
      </w:r>
      <w:r w:rsidRPr="00CA4937">
        <w:rPr>
          <w:sz w:val="28"/>
          <w:szCs w:val="28"/>
        </w:rPr>
        <w:tab/>
      </w:r>
      <w:proofErr w:type="spellStart"/>
      <w:r w:rsidR="001609AA">
        <w:rPr>
          <w:sz w:val="28"/>
          <w:szCs w:val="28"/>
        </w:rPr>
        <w:t>J.Dūklavs</w:t>
      </w:r>
      <w:proofErr w:type="spellEnd"/>
    </w:p>
    <w:p w:rsidR="00414649" w:rsidRDefault="00414649" w:rsidP="0071003F">
      <w:pPr>
        <w:pStyle w:val="naisf"/>
        <w:spacing w:before="0" w:beforeAutospacing="0" w:after="0" w:afterAutospacing="0"/>
        <w:ind w:firstLine="720"/>
        <w:rPr>
          <w:b/>
          <w:sz w:val="28"/>
          <w:szCs w:val="28"/>
        </w:rPr>
      </w:pPr>
    </w:p>
    <w:p w:rsidR="001D5940" w:rsidRDefault="001D5940" w:rsidP="0071003F">
      <w:pPr>
        <w:pStyle w:val="naisf"/>
        <w:spacing w:before="0" w:beforeAutospacing="0" w:after="0" w:afterAutospacing="0"/>
        <w:ind w:firstLine="720"/>
        <w:rPr>
          <w:b/>
          <w:sz w:val="28"/>
          <w:szCs w:val="28"/>
        </w:rPr>
      </w:pPr>
    </w:p>
    <w:p w:rsidR="001D5940" w:rsidRDefault="001D5940" w:rsidP="0071003F">
      <w:pPr>
        <w:pStyle w:val="naisf"/>
        <w:spacing w:before="0" w:beforeAutospacing="0" w:after="0" w:afterAutospacing="0"/>
        <w:ind w:firstLine="720"/>
        <w:rPr>
          <w:b/>
          <w:sz w:val="28"/>
          <w:szCs w:val="28"/>
        </w:rPr>
      </w:pPr>
    </w:p>
    <w:p w:rsidR="001D5940" w:rsidRDefault="001D5940" w:rsidP="0071003F">
      <w:pPr>
        <w:pStyle w:val="naisf"/>
        <w:spacing w:before="0" w:beforeAutospacing="0" w:after="0" w:afterAutospacing="0"/>
        <w:ind w:firstLine="720"/>
        <w:rPr>
          <w:b/>
          <w:sz w:val="28"/>
          <w:szCs w:val="28"/>
        </w:rPr>
      </w:pPr>
    </w:p>
    <w:p w:rsidR="001D5940" w:rsidRDefault="001D5940" w:rsidP="0071003F">
      <w:pPr>
        <w:pStyle w:val="naisf"/>
        <w:spacing w:before="0" w:beforeAutospacing="0" w:after="0" w:afterAutospacing="0"/>
        <w:ind w:firstLine="720"/>
        <w:rPr>
          <w:b/>
          <w:sz w:val="28"/>
          <w:szCs w:val="28"/>
        </w:rPr>
      </w:pPr>
    </w:p>
    <w:p w:rsidR="001D5940" w:rsidRDefault="001D5940" w:rsidP="0071003F">
      <w:pPr>
        <w:pStyle w:val="naisf"/>
        <w:spacing w:before="0" w:beforeAutospacing="0" w:after="0" w:afterAutospacing="0"/>
        <w:ind w:firstLine="720"/>
        <w:rPr>
          <w:b/>
          <w:sz w:val="28"/>
          <w:szCs w:val="28"/>
        </w:rPr>
      </w:pPr>
    </w:p>
    <w:p w:rsidR="001D5940" w:rsidRDefault="001D5940" w:rsidP="0071003F">
      <w:pPr>
        <w:pStyle w:val="naisf"/>
        <w:spacing w:before="0" w:beforeAutospacing="0" w:after="0" w:afterAutospacing="0"/>
        <w:ind w:firstLine="720"/>
        <w:rPr>
          <w:b/>
          <w:sz w:val="28"/>
          <w:szCs w:val="28"/>
        </w:rPr>
      </w:pPr>
    </w:p>
    <w:p w:rsidR="001D5940" w:rsidRDefault="001D5940" w:rsidP="0071003F">
      <w:pPr>
        <w:pStyle w:val="naisf"/>
        <w:spacing w:before="0" w:beforeAutospacing="0" w:after="0" w:afterAutospacing="0"/>
        <w:ind w:firstLine="720"/>
        <w:rPr>
          <w:b/>
          <w:sz w:val="28"/>
          <w:szCs w:val="28"/>
        </w:rPr>
      </w:pPr>
    </w:p>
    <w:p w:rsidR="001D5940" w:rsidRPr="0071003F" w:rsidRDefault="001D5940" w:rsidP="0071003F">
      <w:pPr>
        <w:pStyle w:val="naisf"/>
        <w:spacing w:before="0" w:beforeAutospacing="0" w:after="0" w:afterAutospacing="0"/>
        <w:ind w:firstLine="720"/>
        <w:rPr>
          <w:b/>
          <w:sz w:val="28"/>
          <w:szCs w:val="28"/>
        </w:rPr>
      </w:pPr>
    </w:p>
    <w:p w:rsidR="00414649" w:rsidRPr="0071003F" w:rsidRDefault="00414649" w:rsidP="0071003F">
      <w:pPr>
        <w:pStyle w:val="naisf"/>
        <w:spacing w:before="0" w:beforeAutospacing="0" w:after="0" w:afterAutospacing="0"/>
        <w:ind w:firstLine="720"/>
        <w:rPr>
          <w:b/>
          <w:sz w:val="28"/>
          <w:szCs w:val="28"/>
        </w:rPr>
      </w:pPr>
    </w:p>
    <w:p w:rsidR="00414649" w:rsidRPr="0071003F" w:rsidRDefault="00414649" w:rsidP="0071003F">
      <w:pPr>
        <w:pStyle w:val="naisf"/>
        <w:spacing w:before="0" w:beforeAutospacing="0" w:after="0" w:afterAutospacing="0"/>
        <w:ind w:firstLine="720"/>
        <w:rPr>
          <w:b/>
          <w:sz w:val="28"/>
          <w:szCs w:val="28"/>
        </w:rPr>
      </w:pPr>
    </w:p>
    <w:p w:rsidR="001D5940" w:rsidRDefault="001D5940" w:rsidP="00677A61">
      <w:pPr>
        <w:ind w:left="1680" w:hanging="1680"/>
        <w:jc w:val="both"/>
        <w:rPr>
          <w:sz w:val="20"/>
          <w:szCs w:val="20"/>
        </w:rPr>
      </w:pPr>
      <w:bookmarkStart w:id="2" w:name="_GoBack"/>
      <w:bookmarkEnd w:id="2"/>
      <w:r>
        <w:rPr>
          <w:sz w:val="20"/>
          <w:szCs w:val="20"/>
        </w:rPr>
        <w:t>2014.03.17. 8:21</w:t>
      </w:r>
    </w:p>
    <w:p w:rsidR="001D5940" w:rsidRDefault="001D5940" w:rsidP="00677A61">
      <w:pPr>
        <w:ind w:left="1680" w:hanging="1680"/>
        <w:jc w:val="both"/>
        <w:rPr>
          <w:sz w:val="20"/>
          <w:szCs w:val="20"/>
        </w:rPr>
      </w:pPr>
      <w:fldSimple w:instr=" NUMWORDS   \* MERGEFORMAT ">
        <w:r>
          <w:rPr>
            <w:noProof/>
            <w:sz w:val="20"/>
            <w:szCs w:val="20"/>
          </w:rPr>
          <w:t>3102</w:t>
        </w:r>
      </w:fldSimple>
    </w:p>
    <w:p w:rsidR="00677A61" w:rsidRDefault="00677A61" w:rsidP="00677A61">
      <w:pPr>
        <w:ind w:left="1680" w:hanging="1680"/>
        <w:jc w:val="both"/>
        <w:rPr>
          <w:sz w:val="20"/>
          <w:szCs w:val="20"/>
        </w:rPr>
      </w:pPr>
      <w:r>
        <w:rPr>
          <w:sz w:val="20"/>
          <w:szCs w:val="20"/>
        </w:rPr>
        <w:t>S.Vanaga</w:t>
      </w:r>
    </w:p>
    <w:p w:rsidR="009931C8" w:rsidRDefault="00677A61" w:rsidP="00446F1A">
      <w:pPr>
        <w:ind w:left="1680" w:hanging="1680"/>
        <w:jc w:val="both"/>
      </w:pPr>
      <w:r w:rsidRPr="00C71085">
        <w:rPr>
          <w:sz w:val="20"/>
          <w:szCs w:val="20"/>
        </w:rPr>
        <w:t>67027</w:t>
      </w:r>
      <w:r>
        <w:rPr>
          <w:sz w:val="20"/>
          <w:szCs w:val="20"/>
        </w:rPr>
        <w:t>363, Sanita.Vanaga</w:t>
      </w:r>
      <w:r w:rsidRPr="00C71085">
        <w:rPr>
          <w:sz w:val="20"/>
          <w:szCs w:val="20"/>
        </w:rPr>
        <w:t>@zm.gov.lv</w:t>
      </w:r>
    </w:p>
    <w:sectPr w:rsidR="009931C8" w:rsidSect="001D5940">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64" w:rsidRDefault="00271964" w:rsidP="00677A61">
      <w:r>
        <w:separator/>
      </w:r>
    </w:p>
  </w:endnote>
  <w:endnote w:type="continuationSeparator" w:id="0">
    <w:p w:rsidR="00271964" w:rsidRDefault="00271964" w:rsidP="00677A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01">
    <w:altName w:val="Times New Roman"/>
    <w:panose1 w:val="00000000000000000000"/>
    <w:charset w:val="EE"/>
    <w:family w:val="auto"/>
    <w:notTrueType/>
    <w:pitch w:val="default"/>
    <w:sig w:usb0="00000005" w:usb1="00000000" w:usb2="00000000" w:usb3="00000000" w:csb0="00000002" w:csb1="00000000"/>
  </w:font>
  <w:font w:name="TimesNewRoman+20">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68" w:rsidRPr="00D33629" w:rsidRDefault="008F55EB" w:rsidP="00C72768">
    <w:pPr>
      <w:jc w:val="both"/>
      <w:rPr>
        <w:sz w:val="20"/>
        <w:szCs w:val="20"/>
      </w:rPr>
    </w:pPr>
    <w:r>
      <w:rPr>
        <w:sz w:val="20"/>
        <w:szCs w:val="20"/>
      </w:rPr>
      <w:t>ZMAnot_</w:t>
    </w:r>
    <w:r w:rsidR="00680D27">
      <w:rPr>
        <w:sz w:val="20"/>
        <w:szCs w:val="20"/>
      </w:rPr>
      <w:t>14</w:t>
    </w:r>
    <w:r w:rsidR="00693E08">
      <w:rPr>
        <w:sz w:val="20"/>
        <w:szCs w:val="20"/>
      </w:rPr>
      <w:t>03</w:t>
    </w:r>
    <w:r w:rsidR="00FF120A">
      <w:rPr>
        <w:sz w:val="20"/>
        <w:szCs w:val="20"/>
      </w:rPr>
      <w:t>14</w:t>
    </w:r>
    <w:r>
      <w:rPr>
        <w:sz w:val="20"/>
        <w:szCs w:val="20"/>
      </w:rPr>
      <w:t>_</w:t>
    </w:r>
    <w:r w:rsidR="00677A61">
      <w:rPr>
        <w:sz w:val="20"/>
        <w:szCs w:val="20"/>
      </w:rPr>
      <w:t>vetmedlik</w:t>
    </w:r>
    <w:r w:rsidRPr="00474D96">
      <w:rPr>
        <w:sz w:val="20"/>
        <w:szCs w:val="20"/>
      </w:rPr>
      <w:t>;</w:t>
    </w:r>
    <w:r>
      <w:rPr>
        <w:sz w:val="20"/>
        <w:szCs w:val="20"/>
      </w:rPr>
      <w:t xml:space="preserve"> Anotācija </w:t>
    </w:r>
    <w:r w:rsidR="00677A61">
      <w:rPr>
        <w:sz w:val="20"/>
        <w:szCs w:val="20"/>
      </w:rPr>
      <w:t>likumprojektam</w:t>
    </w:r>
    <w:r w:rsidRPr="00D33629">
      <w:rPr>
        <w:sz w:val="20"/>
        <w:szCs w:val="20"/>
      </w:rPr>
      <w:t xml:space="preserve"> </w:t>
    </w:r>
    <w:r>
      <w:rPr>
        <w:sz w:val="20"/>
        <w:szCs w:val="20"/>
      </w:rPr>
      <w:t>„Grozījumi</w:t>
    </w:r>
    <w:r w:rsidR="00677A61">
      <w:rPr>
        <w:sz w:val="20"/>
        <w:szCs w:val="20"/>
      </w:rPr>
      <w:t xml:space="preserve"> Veterinārmedicīnas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E3" w:rsidRPr="00677A61" w:rsidRDefault="00677A61" w:rsidP="00677A61">
    <w:pPr>
      <w:jc w:val="both"/>
      <w:rPr>
        <w:sz w:val="20"/>
        <w:szCs w:val="20"/>
      </w:rPr>
    </w:pPr>
    <w:r>
      <w:rPr>
        <w:sz w:val="20"/>
        <w:szCs w:val="20"/>
      </w:rPr>
      <w:t>ZMAnot_</w:t>
    </w:r>
    <w:r w:rsidR="00680D27">
      <w:rPr>
        <w:sz w:val="20"/>
        <w:szCs w:val="20"/>
      </w:rPr>
      <w:t>14</w:t>
    </w:r>
    <w:r w:rsidR="00693E08">
      <w:rPr>
        <w:sz w:val="20"/>
        <w:szCs w:val="20"/>
      </w:rPr>
      <w:t>03</w:t>
    </w:r>
    <w:r w:rsidR="00FF120A">
      <w:rPr>
        <w:sz w:val="20"/>
        <w:szCs w:val="20"/>
      </w:rPr>
      <w:t>14</w:t>
    </w:r>
    <w:r>
      <w:rPr>
        <w:sz w:val="20"/>
        <w:szCs w:val="20"/>
      </w:rPr>
      <w:t>_vetmedlik</w:t>
    </w:r>
    <w:r w:rsidRPr="00474D96">
      <w:rPr>
        <w:sz w:val="20"/>
        <w:szCs w:val="20"/>
      </w:rPr>
      <w:t>;</w:t>
    </w:r>
    <w:r>
      <w:rPr>
        <w:sz w:val="20"/>
        <w:szCs w:val="20"/>
      </w:rPr>
      <w:t xml:space="preserve"> Anotācija likumprojektam</w:t>
    </w:r>
    <w:r w:rsidRPr="00D33629">
      <w:rPr>
        <w:sz w:val="20"/>
        <w:szCs w:val="20"/>
      </w:rPr>
      <w:t xml:space="preserve"> </w:t>
    </w:r>
    <w:r>
      <w:rPr>
        <w:sz w:val="20"/>
        <w:szCs w:val="20"/>
      </w:rPr>
      <w:t>„Grozījumi Veterinārmedicīnas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64" w:rsidRDefault="00271964" w:rsidP="00677A61">
      <w:r>
        <w:separator/>
      </w:r>
    </w:p>
  </w:footnote>
  <w:footnote w:type="continuationSeparator" w:id="0">
    <w:p w:rsidR="00271964" w:rsidRDefault="00271964" w:rsidP="00677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68" w:rsidRDefault="006E2CE4">
    <w:pPr>
      <w:pStyle w:val="Galvene"/>
      <w:framePr w:wrap="around" w:vAnchor="text" w:hAnchor="margin" w:xAlign="center" w:y="1"/>
      <w:rPr>
        <w:rStyle w:val="Lappusesnumurs"/>
      </w:rPr>
    </w:pPr>
    <w:r>
      <w:rPr>
        <w:rStyle w:val="Lappusesnumurs"/>
      </w:rPr>
      <w:fldChar w:fldCharType="begin"/>
    </w:r>
    <w:r w:rsidR="008F55EB">
      <w:rPr>
        <w:rStyle w:val="Lappusesnumurs"/>
      </w:rPr>
      <w:instrText xml:space="preserve">PAGE  </w:instrText>
    </w:r>
    <w:r>
      <w:rPr>
        <w:rStyle w:val="Lappusesnumurs"/>
      </w:rPr>
      <w:fldChar w:fldCharType="end"/>
    </w:r>
  </w:p>
  <w:p w:rsidR="00C72768" w:rsidRDefault="0027196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68" w:rsidRDefault="006E2CE4">
    <w:pPr>
      <w:pStyle w:val="Galvene"/>
      <w:framePr w:wrap="around" w:vAnchor="text" w:hAnchor="margin" w:xAlign="center" w:y="1"/>
      <w:rPr>
        <w:rStyle w:val="Lappusesnumurs"/>
      </w:rPr>
    </w:pPr>
    <w:r>
      <w:rPr>
        <w:rStyle w:val="Lappusesnumurs"/>
      </w:rPr>
      <w:fldChar w:fldCharType="begin"/>
    </w:r>
    <w:r w:rsidR="008F55EB">
      <w:rPr>
        <w:rStyle w:val="Lappusesnumurs"/>
      </w:rPr>
      <w:instrText xml:space="preserve">PAGE  </w:instrText>
    </w:r>
    <w:r>
      <w:rPr>
        <w:rStyle w:val="Lappusesnumurs"/>
      </w:rPr>
      <w:fldChar w:fldCharType="separate"/>
    </w:r>
    <w:r w:rsidR="001D5940">
      <w:rPr>
        <w:rStyle w:val="Lappusesnumurs"/>
        <w:noProof/>
      </w:rPr>
      <w:t>11</w:t>
    </w:r>
    <w:r>
      <w:rPr>
        <w:rStyle w:val="Lappusesnumurs"/>
      </w:rPr>
      <w:fldChar w:fldCharType="end"/>
    </w:r>
  </w:p>
  <w:p w:rsidR="00C72768" w:rsidRDefault="0027196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77A61"/>
    <w:rsid w:val="00006E7D"/>
    <w:rsid w:val="00007AC0"/>
    <w:rsid w:val="00011108"/>
    <w:rsid w:val="0001672B"/>
    <w:rsid w:val="00017267"/>
    <w:rsid w:val="00022528"/>
    <w:rsid w:val="000268BF"/>
    <w:rsid w:val="0006325D"/>
    <w:rsid w:val="0008072D"/>
    <w:rsid w:val="000901A4"/>
    <w:rsid w:val="00095A76"/>
    <w:rsid w:val="000962D8"/>
    <w:rsid w:val="000A00A3"/>
    <w:rsid w:val="000B6024"/>
    <w:rsid w:val="000D2A5B"/>
    <w:rsid w:val="000E0029"/>
    <w:rsid w:val="000E2C68"/>
    <w:rsid w:val="000E5ED7"/>
    <w:rsid w:val="00101324"/>
    <w:rsid w:val="00111ED2"/>
    <w:rsid w:val="0011376C"/>
    <w:rsid w:val="001300CC"/>
    <w:rsid w:val="001306CA"/>
    <w:rsid w:val="00135245"/>
    <w:rsid w:val="00151035"/>
    <w:rsid w:val="00156291"/>
    <w:rsid w:val="001609AA"/>
    <w:rsid w:val="00161928"/>
    <w:rsid w:val="00174577"/>
    <w:rsid w:val="001851EE"/>
    <w:rsid w:val="00191489"/>
    <w:rsid w:val="001A506D"/>
    <w:rsid w:val="001B027F"/>
    <w:rsid w:val="001C0D31"/>
    <w:rsid w:val="001D23A0"/>
    <w:rsid w:val="001D5940"/>
    <w:rsid w:val="001D6889"/>
    <w:rsid w:val="001E6421"/>
    <w:rsid w:val="00210ED6"/>
    <w:rsid w:val="0021236A"/>
    <w:rsid w:val="00222BBF"/>
    <w:rsid w:val="0022734C"/>
    <w:rsid w:val="00227AF8"/>
    <w:rsid w:val="00244375"/>
    <w:rsid w:val="00247B09"/>
    <w:rsid w:val="0025025E"/>
    <w:rsid w:val="00271964"/>
    <w:rsid w:val="002778D5"/>
    <w:rsid w:val="00282AA9"/>
    <w:rsid w:val="00285005"/>
    <w:rsid w:val="00292F6F"/>
    <w:rsid w:val="00296081"/>
    <w:rsid w:val="002A2AB7"/>
    <w:rsid w:val="002B36CE"/>
    <w:rsid w:val="002D294E"/>
    <w:rsid w:val="002D66EE"/>
    <w:rsid w:val="002E268A"/>
    <w:rsid w:val="002E325D"/>
    <w:rsid w:val="002F394A"/>
    <w:rsid w:val="00324829"/>
    <w:rsid w:val="00333197"/>
    <w:rsid w:val="003604D8"/>
    <w:rsid w:val="0039236C"/>
    <w:rsid w:val="0039394D"/>
    <w:rsid w:val="003A2EF4"/>
    <w:rsid w:val="003B7405"/>
    <w:rsid w:val="003C16CC"/>
    <w:rsid w:val="003D15D6"/>
    <w:rsid w:val="003D5193"/>
    <w:rsid w:val="003E71F0"/>
    <w:rsid w:val="00402923"/>
    <w:rsid w:val="00414649"/>
    <w:rsid w:val="00417054"/>
    <w:rsid w:val="004318C2"/>
    <w:rsid w:val="00446F1A"/>
    <w:rsid w:val="00480C7D"/>
    <w:rsid w:val="004932CF"/>
    <w:rsid w:val="004A6D22"/>
    <w:rsid w:val="004C6C7C"/>
    <w:rsid w:val="004D09E3"/>
    <w:rsid w:val="00526E0D"/>
    <w:rsid w:val="00533F99"/>
    <w:rsid w:val="00534B8C"/>
    <w:rsid w:val="00541E11"/>
    <w:rsid w:val="0054532E"/>
    <w:rsid w:val="00565768"/>
    <w:rsid w:val="0058753B"/>
    <w:rsid w:val="005A1976"/>
    <w:rsid w:val="005B049B"/>
    <w:rsid w:val="005B2A61"/>
    <w:rsid w:val="005B5238"/>
    <w:rsid w:val="005B7E92"/>
    <w:rsid w:val="005C33B9"/>
    <w:rsid w:val="005E36F7"/>
    <w:rsid w:val="005E3AD4"/>
    <w:rsid w:val="005E7E0F"/>
    <w:rsid w:val="005F75A2"/>
    <w:rsid w:val="006008F8"/>
    <w:rsid w:val="00603424"/>
    <w:rsid w:val="006241A0"/>
    <w:rsid w:val="00630541"/>
    <w:rsid w:val="0066184B"/>
    <w:rsid w:val="00671EE2"/>
    <w:rsid w:val="00677470"/>
    <w:rsid w:val="00677A61"/>
    <w:rsid w:val="00680D27"/>
    <w:rsid w:val="00681885"/>
    <w:rsid w:val="0069185B"/>
    <w:rsid w:val="006925F1"/>
    <w:rsid w:val="00693E08"/>
    <w:rsid w:val="006B4696"/>
    <w:rsid w:val="006B5F1E"/>
    <w:rsid w:val="006E1B31"/>
    <w:rsid w:val="006E2CE4"/>
    <w:rsid w:val="006E597D"/>
    <w:rsid w:val="006F07BB"/>
    <w:rsid w:val="006F4280"/>
    <w:rsid w:val="0071003F"/>
    <w:rsid w:val="00715078"/>
    <w:rsid w:val="00721D1B"/>
    <w:rsid w:val="00737501"/>
    <w:rsid w:val="007736CD"/>
    <w:rsid w:val="00777FEB"/>
    <w:rsid w:val="007A4263"/>
    <w:rsid w:val="007B0EF9"/>
    <w:rsid w:val="007D2817"/>
    <w:rsid w:val="007D2A3E"/>
    <w:rsid w:val="007D4AC8"/>
    <w:rsid w:val="007E197D"/>
    <w:rsid w:val="00804543"/>
    <w:rsid w:val="00830B6D"/>
    <w:rsid w:val="00837769"/>
    <w:rsid w:val="00846074"/>
    <w:rsid w:val="008775B6"/>
    <w:rsid w:val="008C14FD"/>
    <w:rsid w:val="008C23BF"/>
    <w:rsid w:val="008F55EB"/>
    <w:rsid w:val="008F7051"/>
    <w:rsid w:val="00901480"/>
    <w:rsid w:val="0090569A"/>
    <w:rsid w:val="00912221"/>
    <w:rsid w:val="00912BC7"/>
    <w:rsid w:val="00914111"/>
    <w:rsid w:val="00916C50"/>
    <w:rsid w:val="0091751A"/>
    <w:rsid w:val="009325A0"/>
    <w:rsid w:val="0093337E"/>
    <w:rsid w:val="00970FB8"/>
    <w:rsid w:val="009926DF"/>
    <w:rsid w:val="009931C8"/>
    <w:rsid w:val="0099322B"/>
    <w:rsid w:val="009A1A72"/>
    <w:rsid w:val="009A6EDA"/>
    <w:rsid w:val="009B7C43"/>
    <w:rsid w:val="00A1034D"/>
    <w:rsid w:val="00A133FB"/>
    <w:rsid w:val="00A23C96"/>
    <w:rsid w:val="00A34D4C"/>
    <w:rsid w:val="00A4758B"/>
    <w:rsid w:val="00A55643"/>
    <w:rsid w:val="00A6344A"/>
    <w:rsid w:val="00AC3746"/>
    <w:rsid w:val="00AC4640"/>
    <w:rsid w:val="00AE1BB5"/>
    <w:rsid w:val="00B011AD"/>
    <w:rsid w:val="00B04902"/>
    <w:rsid w:val="00B122B8"/>
    <w:rsid w:val="00B25282"/>
    <w:rsid w:val="00B26C47"/>
    <w:rsid w:val="00B30A10"/>
    <w:rsid w:val="00B35854"/>
    <w:rsid w:val="00B45003"/>
    <w:rsid w:val="00B65713"/>
    <w:rsid w:val="00B70BCE"/>
    <w:rsid w:val="00B72E4B"/>
    <w:rsid w:val="00B743EF"/>
    <w:rsid w:val="00B77E8F"/>
    <w:rsid w:val="00B8173C"/>
    <w:rsid w:val="00B941DC"/>
    <w:rsid w:val="00B95DD0"/>
    <w:rsid w:val="00B96B92"/>
    <w:rsid w:val="00BA5856"/>
    <w:rsid w:val="00BC7EC8"/>
    <w:rsid w:val="00BF7301"/>
    <w:rsid w:val="00C0691A"/>
    <w:rsid w:val="00C1588B"/>
    <w:rsid w:val="00C17FDB"/>
    <w:rsid w:val="00C4071E"/>
    <w:rsid w:val="00C45472"/>
    <w:rsid w:val="00C4712D"/>
    <w:rsid w:val="00C578BE"/>
    <w:rsid w:val="00C958A1"/>
    <w:rsid w:val="00CA55BF"/>
    <w:rsid w:val="00CE7349"/>
    <w:rsid w:val="00D002B1"/>
    <w:rsid w:val="00D04DF4"/>
    <w:rsid w:val="00D05304"/>
    <w:rsid w:val="00D12B20"/>
    <w:rsid w:val="00D22D42"/>
    <w:rsid w:val="00D34D6B"/>
    <w:rsid w:val="00D34FD2"/>
    <w:rsid w:val="00D36227"/>
    <w:rsid w:val="00D43FA4"/>
    <w:rsid w:val="00D559B2"/>
    <w:rsid w:val="00D55D62"/>
    <w:rsid w:val="00D81907"/>
    <w:rsid w:val="00DA2638"/>
    <w:rsid w:val="00DC553B"/>
    <w:rsid w:val="00DD4E64"/>
    <w:rsid w:val="00DE20EC"/>
    <w:rsid w:val="00E00849"/>
    <w:rsid w:val="00E074F7"/>
    <w:rsid w:val="00E509DA"/>
    <w:rsid w:val="00E53FFB"/>
    <w:rsid w:val="00E60696"/>
    <w:rsid w:val="00E70110"/>
    <w:rsid w:val="00E71601"/>
    <w:rsid w:val="00E71A84"/>
    <w:rsid w:val="00E77C2C"/>
    <w:rsid w:val="00E828F1"/>
    <w:rsid w:val="00E854E3"/>
    <w:rsid w:val="00E877E3"/>
    <w:rsid w:val="00EB0900"/>
    <w:rsid w:val="00EC7C1C"/>
    <w:rsid w:val="00ED6E77"/>
    <w:rsid w:val="00EE7D04"/>
    <w:rsid w:val="00F11AF5"/>
    <w:rsid w:val="00F11E2A"/>
    <w:rsid w:val="00F17BB9"/>
    <w:rsid w:val="00F3513E"/>
    <w:rsid w:val="00F37F8F"/>
    <w:rsid w:val="00F44B6C"/>
    <w:rsid w:val="00F647F5"/>
    <w:rsid w:val="00F70C5C"/>
    <w:rsid w:val="00F84E6F"/>
    <w:rsid w:val="00F87782"/>
    <w:rsid w:val="00F92CBE"/>
    <w:rsid w:val="00F96DFB"/>
    <w:rsid w:val="00FA0CD9"/>
    <w:rsid w:val="00FB7BC4"/>
    <w:rsid w:val="00FC310B"/>
    <w:rsid w:val="00FC4323"/>
    <w:rsid w:val="00FC5573"/>
    <w:rsid w:val="00FD733F"/>
    <w:rsid w:val="00FE067F"/>
    <w:rsid w:val="00FE3296"/>
    <w:rsid w:val="00FF120A"/>
    <w:rsid w:val="00FF49B4"/>
    <w:rsid w:val="00FF6E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77A6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677A61"/>
    <w:pPr>
      <w:spacing w:before="100" w:beforeAutospacing="1" w:after="100" w:afterAutospacing="1"/>
    </w:pPr>
  </w:style>
  <w:style w:type="paragraph" w:customStyle="1" w:styleId="naisnod">
    <w:name w:val="naisnod"/>
    <w:basedOn w:val="Parastais"/>
    <w:rsid w:val="00677A61"/>
    <w:pPr>
      <w:spacing w:before="100" w:beforeAutospacing="1" w:after="100" w:afterAutospacing="1"/>
    </w:pPr>
  </w:style>
  <w:style w:type="paragraph" w:customStyle="1" w:styleId="naiskr">
    <w:name w:val="naiskr"/>
    <w:basedOn w:val="Parastais"/>
    <w:rsid w:val="00677A61"/>
    <w:pPr>
      <w:spacing w:before="100" w:beforeAutospacing="1" w:after="100" w:afterAutospacing="1"/>
    </w:pPr>
  </w:style>
  <w:style w:type="paragraph" w:customStyle="1" w:styleId="naisf">
    <w:name w:val="naisf"/>
    <w:basedOn w:val="Parastais"/>
    <w:rsid w:val="00677A61"/>
    <w:pPr>
      <w:spacing w:before="100" w:beforeAutospacing="1" w:after="100" w:afterAutospacing="1"/>
    </w:pPr>
  </w:style>
  <w:style w:type="paragraph" w:styleId="Pamatteksts">
    <w:name w:val="Body Text"/>
    <w:basedOn w:val="Parastais"/>
    <w:link w:val="PamattekstsRakstz"/>
    <w:rsid w:val="00677A61"/>
    <w:pPr>
      <w:jc w:val="right"/>
    </w:pPr>
    <w:rPr>
      <w:b/>
      <w:sz w:val="28"/>
      <w:szCs w:val="20"/>
      <w:lang/>
    </w:rPr>
  </w:style>
  <w:style w:type="character" w:customStyle="1" w:styleId="PamattekstsRakstz">
    <w:name w:val="Pamatteksts Rakstz."/>
    <w:basedOn w:val="Noklusjumarindkopasfonts"/>
    <w:link w:val="Pamatteksts"/>
    <w:rsid w:val="00677A61"/>
    <w:rPr>
      <w:rFonts w:ascii="Times New Roman" w:eastAsia="Times New Roman" w:hAnsi="Times New Roman" w:cs="Times New Roman"/>
      <w:b/>
      <w:sz w:val="28"/>
      <w:szCs w:val="20"/>
      <w:lang/>
    </w:rPr>
  </w:style>
  <w:style w:type="paragraph" w:styleId="Galvene">
    <w:name w:val="header"/>
    <w:basedOn w:val="Parastais"/>
    <w:link w:val="GalveneRakstz"/>
    <w:rsid w:val="00677A61"/>
    <w:pPr>
      <w:tabs>
        <w:tab w:val="center" w:pos="4153"/>
        <w:tab w:val="right" w:pos="8306"/>
      </w:tabs>
    </w:pPr>
    <w:rPr>
      <w:lang/>
    </w:rPr>
  </w:style>
  <w:style w:type="character" w:customStyle="1" w:styleId="GalveneRakstz">
    <w:name w:val="Galvene Rakstz."/>
    <w:basedOn w:val="Noklusjumarindkopasfonts"/>
    <w:link w:val="Galvene"/>
    <w:rsid w:val="00677A61"/>
    <w:rPr>
      <w:rFonts w:ascii="Times New Roman" w:eastAsia="Times New Roman" w:hAnsi="Times New Roman" w:cs="Times New Roman"/>
      <w:sz w:val="24"/>
      <w:szCs w:val="24"/>
      <w:lang w:eastAsia="lv-LV"/>
    </w:rPr>
  </w:style>
  <w:style w:type="character" w:styleId="Lappusesnumurs">
    <w:name w:val="page number"/>
    <w:rsid w:val="00677A61"/>
    <w:rPr>
      <w:rFonts w:cs="Times New Roman"/>
    </w:rPr>
  </w:style>
  <w:style w:type="paragraph" w:styleId="Kjene">
    <w:name w:val="footer"/>
    <w:basedOn w:val="Parastais"/>
    <w:link w:val="KjeneRakstz"/>
    <w:rsid w:val="00677A61"/>
    <w:pPr>
      <w:tabs>
        <w:tab w:val="center" w:pos="4153"/>
        <w:tab w:val="right" w:pos="8306"/>
      </w:tabs>
    </w:pPr>
    <w:rPr>
      <w:lang/>
    </w:rPr>
  </w:style>
  <w:style w:type="character" w:customStyle="1" w:styleId="KjeneRakstz">
    <w:name w:val="Kājene Rakstz."/>
    <w:basedOn w:val="Noklusjumarindkopasfonts"/>
    <w:link w:val="Kjene"/>
    <w:rsid w:val="00677A61"/>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3513E"/>
    <w:rPr>
      <w:sz w:val="16"/>
      <w:szCs w:val="16"/>
    </w:rPr>
  </w:style>
  <w:style w:type="paragraph" w:styleId="Komentrateksts">
    <w:name w:val="annotation text"/>
    <w:basedOn w:val="Parastais"/>
    <w:link w:val="KomentratekstsRakstz"/>
    <w:uiPriority w:val="99"/>
    <w:semiHidden/>
    <w:unhideWhenUsed/>
    <w:rsid w:val="00F3513E"/>
    <w:rPr>
      <w:sz w:val="20"/>
      <w:szCs w:val="20"/>
    </w:rPr>
  </w:style>
  <w:style w:type="character" w:customStyle="1" w:styleId="KomentratekstsRakstz">
    <w:name w:val="Komentāra teksts Rakstz."/>
    <w:basedOn w:val="Noklusjumarindkopasfonts"/>
    <w:link w:val="Komentrateksts"/>
    <w:uiPriority w:val="99"/>
    <w:semiHidden/>
    <w:rsid w:val="00F3513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3513E"/>
    <w:rPr>
      <w:b/>
      <w:bCs/>
    </w:rPr>
  </w:style>
  <w:style w:type="character" w:customStyle="1" w:styleId="KomentratmaRakstz">
    <w:name w:val="Komentāra tēma Rakstz."/>
    <w:basedOn w:val="KomentratekstsRakstz"/>
    <w:link w:val="Komentratma"/>
    <w:uiPriority w:val="99"/>
    <w:semiHidden/>
    <w:rsid w:val="00F3513E"/>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uiPriority w:val="99"/>
    <w:semiHidden/>
    <w:unhideWhenUsed/>
    <w:rsid w:val="00F351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513E"/>
    <w:rPr>
      <w:rFonts w:ascii="Tahoma" w:eastAsia="Times New Roman" w:hAnsi="Tahoma" w:cs="Tahoma"/>
      <w:sz w:val="16"/>
      <w:szCs w:val="16"/>
      <w:lang w:eastAsia="lv-LV"/>
    </w:rPr>
  </w:style>
  <w:style w:type="paragraph" w:styleId="Bezatstarpm">
    <w:name w:val="No Spacing"/>
    <w:uiPriority w:val="1"/>
    <w:qFormat/>
    <w:rsid w:val="00EE7D04"/>
    <w:pPr>
      <w:spacing w:after="0" w:line="240" w:lineRule="auto"/>
    </w:pPr>
  </w:style>
  <w:style w:type="paragraph" w:customStyle="1" w:styleId="Parasts1">
    <w:name w:val="Parasts1"/>
    <w:uiPriority w:val="99"/>
    <w:rsid w:val="006B5F1E"/>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ais"/>
    <w:uiPriority w:val="34"/>
    <w:qFormat/>
    <w:rsid w:val="00F17BB9"/>
    <w:pPr>
      <w:ind w:left="720"/>
      <w:contextualSpacing/>
    </w:pPr>
  </w:style>
  <w:style w:type="table" w:styleId="Reatabula">
    <w:name w:val="Table Grid"/>
    <w:basedOn w:val="Parastatabula"/>
    <w:uiPriority w:val="59"/>
    <w:rsid w:val="00C1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7A6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677A61"/>
    <w:pPr>
      <w:spacing w:before="100" w:beforeAutospacing="1" w:after="100" w:afterAutospacing="1"/>
    </w:pPr>
  </w:style>
  <w:style w:type="paragraph" w:customStyle="1" w:styleId="naisnod">
    <w:name w:val="naisnod"/>
    <w:basedOn w:val="Parasts"/>
    <w:rsid w:val="00677A61"/>
    <w:pPr>
      <w:spacing w:before="100" w:beforeAutospacing="1" w:after="100" w:afterAutospacing="1"/>
    </w:pPr>
  </w:style>
  <w:style w:type="paragraph" w:customStyle="1" w:styleId="naiskr">
    <w:name w:val="naiskr"/>
    <w:basedOn w:val="Parasts"/>
    <w:rsid w:val="00677A61"/>
    <w:pPr>
      <w:spacing w:before="100" w:beforeAutospacing="1" w:after="100" w:afterAutospacing="1"/>
    </w:pPr>
  </w:style>
  <w:style w:type="paragraph" w:customStyle="1" w:styleId="naisf">
    <w:name w:val="naisf"/>
    <w:basedOn w:val="Parasts"/>
    <w:rsid w:val="00677A61"/>
    <w:pPr>
      <w:spacing w:before="100" w:beforeAutospacing="1" w:after="100" w:afterAutospacing="1"/>
    </w:pPr>
  </w:style>
  <w:style w:type="paragraph" w:styleId="Pamatteksts">
    <w:name w:val="Body Text"/>
    <w:basedOn w:val="Parasts"/>
    <w:link w:val="PamattekstsRakstz"/>
    <w:rsid w:val="00677A61"/>
    <w:pPr>
      <w:jc w:val="right"/>
    </w:pPr>
    <w:rPr>
      <w:b/>
      <w:sz w:val="28"/>
      <w:szCs w:val="20"/>
      <w:lang w:val="x-none" w:eastAsia="x-none"/>
    </w:rPr>
  </w:style>
  <w:style w:type="character" w:customStyle="1" w:styleId="PamattekstsRakstz">
    <w:name w:val="Pamatteksts Rakstz."/>
    <w:basedOn w:val="Noklusjumarindkopasfonts"/>
    <w:link w:val="Pamatteksts"/>
    <w:rsid w:val="00677A61"/>
    <w:rPr>
      <w:rFonts w:ascii="Times New Roman" w:eastAsia="Times New Roman" w:hAnsi="Times New Roman" w:cs="Times New Roman"/>
      <w:b/>
      <w:sz w:val="28"/>
      <w:szCs w:val="20"/>
      <w:lang w:val="x-none" w:eastAsia="x-none"/>
    </w:rPr>
  </w:style>
  <w:style w:type="paragraph" w:styleId="Galvene">
    <w:name w:val="header"/>
    <w:basedOn w:val="Parasts"/>
    <w:link w:val="GalveneRakstz"/>
    <w:rsid w:val="00677A61"/>
    <w:pPr>
      <w:tabs>
        <w:tab w:val="center" w:pos="4153"/>
        <w:tab w:val="right" w:pos="8306"/>
      </w:tabs>
    </w:pPr>
    <w:rPr>
      <w:lang w:val="x-none"/>
    </w:rPr>
  </w:style>
  <w:style w:type="character" w:customStyle="1" w:styleId="GalveneRakstz">
    <w:name w:val="Galvene Rakstz."/>
    <w:basedOn w:val="Noklusjumarindkopasfonts"/>
    <w:link w:val="Galvene"/>
    <w:rsid w:val="00677A61"/>
    <w:rPr>
      <w:rFonts w:ascii="Times New Roman" w:eastAsia="Times New Roman" w:hAnsi="Times New Roman" w:cs="Times New Roman"/>
      <w:sz w:val="24"/>
      <w:szCs w:val="24"/>
      <w:lang w:val="x-none" w:eastAsia="lv-LV"/>
    </w:rPr>
  </w:style>
  <w:style w:type="character" w:styleId="Lappusesnumurs">
    <w:name w:val="page number"/>
    <w:rsid w:val="00677A61"/>
    <w:rPr>
      <w:rFonts w:cs="Times New Roman"/>
    </w:rPr>
  </w:style>
  <w:style w:type="paragraph" w:styleId="Kjene">
    <w:name w:val="footer"/>
    <w:basedOn w:val="Parasts"/>
    <w:link w:val="KjeneRakstz"/>
    <w:rsid w:val="00677A61"/>
    <w:pPr>
      <w:tabs>
        <w:tab w:val="center" w:pos="4153"/>
        <w:tab w:val="right" w:pos="8306"/>
      </w:tabs>
    </w:pPr>
    <w:rPr>
      <w:lang w:val="x-none"/>
    </w:rPr>
  </w:style>
  <w:style w:type="character" w:customStyle="1" w:styleId="KjeneRakstz">
    <w:name w:val="Kājene Rakstz."/>
    <w:basedOn w:val="Noklusjumarindkopasfonts"/>
    <w:link w:val="Kjene"/>
    <w:rsid w:val="00677A61"/>
    <w:rPr>
      <w:rFonts w:ascii="Times New Roman" w:eastAsia="Times New Roman" w:hAnsi="Times New Roman" w:cs="Times New Roman"/>
      <w:sz w:val="24"/>
      <w:szCs w:val="24"/>
      <w:lang w:val="x-none" w:eastAsia="lv-LV"/>
    </w:rPr>
  </w:style>
  <w:style w:type="character" w:styleId="Komentraatsauce">
    <w:name w:val="annotation reference"/>
    <w:basedOn w:val="Noklusjumarindkopasfonts"/>
    <w:uiPriority w:val="99"/>
    <w:semiHidden/>
    <w:unhideWhenUsed/>
    <w:rsid w:val="00F3513E"/>
    <w:rPr>
      <w:sz w:val="16"/>
      <w:szCs w:val="16"/>
    </w:rPr>
  </w:style>
  <w:style w:type="paragraph" w:styleId="Komentrateksts">
    <w:name w:val="annotation text"/>
    <w:basedOn w:val="Parasts"/>
    <w:link w:val="KomentratekstsRakstz"/>
    <w:uiPriority w:val="99"/>
    <w:semiHidden/>
    <w:unhideWhenUsed/>
    <w:rsid w:val="00F3513E"/>
    <w:rPr>
      <w:sz w:val="20"/>
      <w:szCs w:val="20"/>
    </w:rPr>
  </w:style>
  <w:style w:type="character" w:customStyle="1" w:styleId="KomentratekstsRakstz">
    <w:name w:val="Komentāra teksts Rakstz."/>
    <w:basedOn w:val="Noklusjumarindkopasfonts"/>
    <w:link w:val="Komentrateksts"/>
    <w:uiPriority w:val="99"/>
    <w:semiHidden/>
    <w:rsid w:val="00F3513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3513E"/>
    <w:rPr>
      <w:b/>
      <w:bCs/>
    </w:rPr>
  </w:style>
  <w:style w:type="character" w:customStyle="1" w:styleId="KomentratmaRakstz">
    <w:name w:val="Komentāra tēma Rakstz."/>
    <w:basedOn w:val="KomentratekstsRakstz"/>
    <w:link w:val="Komentratma"/>
    <w:uiPriority w:val="99"/>
    <w:semiHidden/>
    <w:rsid w:val="00F3513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F351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513E"/>
    <w:rPr>
      <w:rFonts w:ascii="Tahoma" w:eastAsia="Times New Roman" w:hAnsi="Tahoma" w:cs="Tahoma"/>
      <w:sz w:val="16"/>
      <w:szCs w:val="16"/>
      <w:lang w:eastAsia="lv-LV"/>
    </w:rPr>
  </w:style>
  <w:style w:type="paragraph" w:styleId="Bezatstarpm">
    <w:name w:val="No Spacing"/>
    <w:uiPriority w:val="1"/>
    <w:qFormat/>
    <w:rsid w:val="00EE7D04"/>
    <w:pPr>
      <w:spacing w:after="0" w:line="240" w:lineRule="auto"/>
    </w:pPr>
  </w:style>
  <w:style w:type="paragraph" w:customStyle="1" w:styleId="Parasts1">
    <w:name w:val="Parasts1"/>
    <w:uiPriority w:val="99"/>
    <w:rsid w:val="006B5F1E"/>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17BB9"/>
    <w:pPr>
      <w:ind w:left="720"/>
      <w:contextualSpacing/>
    </w:pPr>
  </w:style>
  <w:style w:type="table" w:styleId="Reatabula">
    <w:name w:val="Table Grid"/>
    <w:basedOn w:val="Parastatabula"/>
    <w:uiPriority w:val="59"/>
    <w:rsid w:val="00C1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5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AA60-B568-4291-A488-465E8D84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3132</Words>
  <Characters>22432</Characters>
  <Application>Microsoft Office Word</Application>
  <DocSecurity>0</DocSecurity>
  <Lines>801</Lines>
  <Paragraphs>319</Paragraphs>
  <ScaleCrop>false</ScaleCrop>
  <HeadingPairs>
    <vt:vector size="2" baseType="variant">
      <vt:variant>
        <vt:lpstr>Nosaukums</vt:lpstr>
      </vt:variant>
      <vt:variant>
        <vt:i4>1</vt:i4>
      </vt:variant>
    </vt:vector>
  </HeadingPairs>
  <TitlesOfParts>
    <vt:vector size="1" baseType="lpstr">
      <vt:lpstr>Grozījumi Veterinārmedicīnas likumā</vt:lpstr>
    </vt:vector>
  </TitlesOfParts>
  <Manager>Veterinārais un pārtikas departaments</Manager>
  <Company>Zemkopības ministrija</Company>
  <LinksUpToDate>false</LinksUpToDate>
  <CharactersWithSpaces>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Veterinārmedicīnas likumā</dc:title>
  <dc:subject>likumprojekta sākotnējās ietekmes novērtējuma ziņojums (anotācija)</dc:subject>
  <dc:creator>sanita.vanaga</dc:creator>
  <dc:description>Sanita.Vanaga@zm.gov.lv, 67027363</dc:description>
  <cp:lastModifiedBy>Renārs Žagars</cp:lastModifiedBy>
  <cp:revision>4</cp:revision>
  <dcterms:created xsi:type="dcterms:W3CDTF">2014-03-14T10:44:00Z</dcterms:created>
  <dcterms:modified xsi:type="dcterms:W3CDTF">2014-03-17T06:21:00Z</dcterms:modified>
</cp:coreProperties>
</file>