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F4" w:rsidRPr="000E5392" w:rsidRDefault="009117F4" w:rsidP="006B42E1">
      <w:pPr>
        <w:spacing w:after="160" w:line="259" w:lineRule="auto"/>
        <w:jc w:val="center"/>
        <w:rPr>
          <w:sz w:val="28"/>
          <w:szCs w:val="28"/>
          <w:lang w:eastAsia="en-US"/>
        </w:rPr>
      </w:pPr>
      <w:r w:rsidRPr="000E5392">
        <w:rPr>
          <w:b/>
          <w:sz w:val="28"/>
          <w:szCs w:val="28"/>
          <w:lang w:eastAsia="en-US"/>
        </w:rPr>
        <w:t xml:space="preserve">Ministru kabineta noteikumu projekta </w:t>
      </w:r>
      <w:bookmarkStart w:id="0" w:name="OLE_LINK1"/>
      <w:bookmarkStart w:id="1" w:name="OLE_LINK2"/>
      <w:r w:rsidRPr="000E5392">
        <w:rPr>
          <w:b/>
          <w:sz w:val="28"/>
          <w:szCs w:val="28"/>
          <w:lang w:eastAsia="en-US"/>
        </w:rPr>
        <w:t>„</w:t>
      </w:r>
      <w:bookmarkEnd w:id="0"/>
      <w:bookmarkEnd w:id="1"/>
      <w:r w:rsidRPr="000E5392">
        <w:rPr>
          <w:b/>
          <w:sz w:val="28"/>
          <w:szCs w:val="28"/>
          <w:lang w:eastAsia="en-US"/>
        </w:rPr>
        <w:t>Grozījum</w:t>
      </w:r>
      <w:r>
        <w:rPr>
          <w:b/>
          <w:sz w:val="28"/>
          <w:szCs w:val="28"/>
          <w:lang w:eastAsia="en-US"/>
        </w:rPr>
        <w:t>i</w:t>
      </w:r>
      <w:r w:rsidRPr="000E5392">
        <w:rPr>
          <w:b/>
          <w:sz w:val="28"/>
          <w:szCs w:val="28"/>
          <w:lang w:eastAsia="en-US"/>
        </w:rPr>
        <w:t xml:space="preserve"> Ministru kabineta 2009.gada 17.jūnija noteikumos Nr.573 „Kārtība, kādā administrē Eiropas Lauksaimniecības garantiju fondu, Eiropas Lauksaimniecības fondu lauku attīstībai un Eiropas Zivsaimniecības fondu, kā arī valsts un Eiropas Savienības atbalstu lauksaimniecībai, lauku un zivsaimniecības attīstībai”” sākotnējās ietekmes novērtējuma </w:t>
      </w:r>
      <w:smartTag w:uri="schemas-tilde-lv/tildestengine" w:element="veidnes">
        <w:smartTagPr>
          <w:attr w:name="id" w:val="-1"/>
          <w:attr w:name="baseform" w:val="ziņojums"/>
          <w:attr w:name="text" w:val="ziņojums"/>
        </w:smartTagPr>
        <w:r w:rsidRPr="000E5392">
          <w:rPr>
            <w:b/>
            <w:sz w:val="28"/>
            <w:szCs w:val="28"/>
            <w:lang w:eastAsia="en-US"/>
          </w:rPr>
          <w:t>ziņojums</w:t>
        </w:r>
      </w:smartTag>
      <w:r w:rsidRPr="000E5392">
        <w:rPr>
          <w:b/>
          <w:sz w:val="28"/>
          <w:szCs w:val="28"/>
          <w:lang w:eastAsia="en-US"/>
        </w:rPr>
        <w:t xml:space="preserve"> (anotācija)</w:t>
      </w:r>
    </w:p>
    <w:p w:rsidR="009117F4" w:rsidRPr="00110153" w:rsidRDefault="009117F4" w:rsidP="006B42E1">
      <w:pPr>
        <w:ind w:firstLine="301"/>
        <w:rPr>
          <w:sz w:val="10"/>
        </w:rPr>
      </w:pPr>
      <w:r w:rsidRPr="00110153">
        <w:rPr>
          <w:sz w:val="10"/>
        </w:rPr>
        <w:t>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
        <w:gridCol w:w="2103"/>
        <w:gridCol w:w="6379"/>
      </w:tblGrid>
      <w:tr w:rsidR="009117F4" w:rsidRPr="00E06138" w:rsidTr="00E06138">
        <w:tc>
          <w:tcPr>
            <w:tcW w:w="8897" w:type="dxa"/>
            <w:gridSpan w:val="3"/>
          </w:tcPr>
          <w:p w:rsidR="009117F4" w:rsidRPr="00E06138" w:rsidRDefault="009117F4" w:rsidP="00E06138">
            <w:pPr>
              <w:jc w:val="center"/>
            </w:pPr>
            <w:r w:rsidRPr="00E06138">
              <w:rPr>
                <w:b/>
                <w:bCs/>
              </w:rPr>
              <w:t>I. Tiesību akta projekta izstrādes nepieciešamība</w:t>
            </w:r>
          </w:p>
        </w:tc>
      </w:tr>
      <w:tr w:rsidR="009117F4" w:rsidRPr="00E06138" w:rsidTr="00110153">
        <w:tc>
          <w:tcPr>
            <w:tcW w:w="415" w:type="dxa"/>
          </w:tcPr>
          <w:p w:rsidR="009117F4" w:rsidRPr="00E06138" w:rsidRDefault="009117F4" w:rsidP="00E06138">
            <w:pPr>
              <w:spacing w:before="100" w:beforeAutospacing="1" w:after="100" w:afterAutospacing="1" w:line="360" w:lineRule="auto"/>
              <w:ind w:firstLine="19"/>
              <w:jc w:val="both"/>
            </w:pPr>
            <w:r w:rsidRPr="00E06138">
              <w:t>1.</w:t>
            </w:r>
          </w:p>
        </w:tc>
        <w:tc>
          <w:tcPr>
            <w:tcW w:w="2103" w:type="dxa"/>
          </w:tcPr>
          <w:p w:rsidR="009117F4" w:rsidRPr="00E06138" w:rsidRDefault="009117F4" w:rsidP="00E06138">
            <w:r w:rsidRPr="00E06138">
              <w:t>Pamatojums</w:t>
            </w:r>
          </w:p>
        </w:tc>
        <w:tc>
          <w:tcPr>
            <w:tcW w:w="6379" w:type="dxa"/>
          </w:tcPr>
          <w:p w:rsidR="009117F4" w:rsidRPr="00E06138" w:rsidRDefault="009117F4" w:rsidP="008F0704">
            <w:pPr>
              <w:jc w:val="both"/>
            </w:pPr>
            <w:r w:rsidRPr="00C80D34">
              <w:rPr>
                <w:lang w:eastAsia="en-US"/>
              </w:rPr>
              <w:t xml:space="preserve">Lauksaimniecības un lauku attīstības likuma 5.panta </w:t>
            </w:r>
            <w:r>
              <w:rPr>
                <w:iCs/>
                <w:color w:val="414142"/>
              </w:rPr>
              <w:t>septītā, astotā</w:t>
            </w:r>
            <w:r w:rsidRPr="008F0704">
              <w:rPr>
                <w:iCs/>
                <w:color w:val="414142"/>
              </w:rPr>
              <w:t xml:space="preserve"> un</w:t>
            </w:r>
            <w:r>
              <w:rPr>
                <w:iCs/>
                <w:color w:val="414142"/>
              </w:rPr>
              <w:t xml:space="preserve"> devītā daļa</w:t>
            </w:r>
            <w:r w:rsidRPr="008F0704">
              <w:rPr>
                <w:iCs/>
                <w:color w:val="414142"/>
              </w:rPr>
              <w:t xml:space="preserve"> un 13.panta septīt</w:t>
            </w:r>
            <w:r>
              <w:rPr>
                <w:iCs/>
                <w:color w:val="414142"/>
              </w:rPr>
              <w:t>ā</w:t>
            </w:r>
            <w:r w:rsidRPr="00C80D34" w:rsidDel="00C80D34">
              <w:rPr>
                <w:lang w:eastAsia="en-US"/>
              </w:rPr>
              <w:t xml:space="preserve"> </w:t>
            </w:r>
            <w:r w:rsidRPr="00C80D34">
              <w:rPr>
                <w:lang w:eastAsia="en-US"/>
              </w:rPr>
              <w:t>daļa</w:t>
            </w:r>
            <w:r w:rsidRPr="00E06138">
              <w:rPr>
                <w:lang w:eastAsia="en-US"/>
              </w:rPr>
              <w:t>.</w:t>
            </w:r>
          </w:p>
        </w:tc>
      </w:tr>
      <w:tr w:rsidR="009117F4" w:rsidRPr="00E06138" w:rsidTr="00110153">
        <w:tc>
          <w:tcPr>
            <w:tcW w:w="415" w:type="dxa"/>
          </w:tcPr>
          <w:p w:rsidR="009117F4" w:rsidRPr="00E06138" w:rsidRDefault="009117F4" w:rsidP="00E06138">
            <w:pPr>
              <w:spacing w:before="100" w:beforeAutospacing="1" w:after="100" w:afterAutospacing="1" w:line="360" w:lineRule="auto"/>
              <w:ind w:firstLine="19"/>
              <w:jc w:val="both"/>
            </w:pPr>
            <w:r w:rsidRPr="00E06138">
              <w:t>2.</w:t>
            </w:r>
          </w:p>
        </w:tc>
        <w:tc>
          <w:tcPr>
            <w:tcW w:w="2103" w:type="dxa"/>
          </w:tcPr>
          <w:p w:rsidR="009117F4" w:rsidRPr="00E06138" w:rsidRDefault="009117F4" w:rsidP="00E06138">
            <w:r w:rsidRPr="00E06138">
              <w:t>Pašreizējā situācija un problēmas, kuru risināšanai tiesību akta projekts izstrādāts, tiesiskā regulējuma mērķis un būtība</w:t>
            </w:r>
          </w:p>
        </w:tc>
        <w:tc>
          <w:tcPr>
            <w:tcW w:w="6379" w:type="dxa"/>
          </w:tcPr>
          <w:p w:rsidR="00091E42" w:rsidRPr="00091E42" w:rsidRDefault="00091E42" w:rsidP="00110153">
            <w:pPr>
              <w:spacing w:after="120"/>
              <w:jc w:val="both"/>
              <w:rPr>
                <w:lang w:eastAsia="en-US"/>
              </w:rPr>
            </w:pPr>
            <w:r w:rsidRPr="00091E42">
              <w:rPr>
                <w:lang w:eastAsia="en-US"/>
              </w:rPr>
              <w:t xml:space="preserve">Ir stājusies spēkā Eiropas Parlamenta un Padomes 2013.gada 17.decembra Regula (ES) Nr.1310/2013, ar ko nosaka konkrētus pārejas posma noteikumus par atbalstu lauku attīstībai no Eiropas Lauksaimniecības fonda lauku attīstībai (ELFLA), groza Eiropas Parlamenta un Padomes Regulu (ES) Nr.1305/2013 attiecībā uz līdzekļiem un to sadalījumu 2014.gadam un groza Padomes Regulu (EK) Nr.73/2009 un Eiropas Parlamenta un Padomes Regulas (ES) Nr.1307/2013, (ES) Nr.1306/2013 un (ES) Nr.1308/2013 attiecībā uz to piemērošanu 2014.gadā, (turpmāk – Regula Nr.1310/2013), līdz ar to nepieciešams papildināt Ministru kabineta 2009.gada 17.jūnija noteikumus Nr.573 „Kārtība, kādā administrē Eiropas Lauksaimniecības garantiju fondu, Eiropas Lauksaimniecības fondu lauku attīstībai un Eiropas Zivsaimniecības fondu, kā arī valsts un Eiropas Savienības atbalstu lauksaimniecībai, lauku un zivsaimniecības attīstībai” (turpmāk – noteikumi Nr. 573) 1.punta redakciju, norādot atsauci uz šo Regulu. </w:t>
            </w:r>
          </w:p>
          <w:p w:rsidR="00407235" w:rsidRDefault="00407235" w:rsidP="00110153">
            <w:pPr>
              <w:spacing w:after="120"/>
              <w:jc w:val="both"/>
              <w:rPr>
                <w:lang w:eastAsia="en-US"/>
              </w:rPr>
            </w:pPr>
            <w:r>
              <w:rPr>
                <w:lang w:eastAsia="en-US"/>
              </w:rPr>
              <w:t xml:space="preserve">Ir stājusies spēkā </w:t>
            </w:r>
            <w:r w:rsidRPr="00407235">
              <w:rPr>
                <w:lang w:eastAsia="en-US"/>
              </w:rPr>
              <w:t>Eiropas Parlamenta un Padomes 2013.gada 17.decembra Regulas (ES) Nr.1306/2013 par kopējās lauksaimniecības politikas finansēšanu, pārvaldību un uzraudzību un Padomes Regulu (EEK) Nr. 352/78, (EK) Nr. 165/94, (EK) Nr. 2799/98, (EK) Nr. 814/2000, (EK) Nr. 1290/2005 un (EK) Nr. 485/2008 atcelšanu (turpmāk –</w:t>
            </w:r>
            <w:r w:rsidR="000F6C06">
              <w:rPr>
                <w:lang w:eastAsia="en-US"/>
              </w:rPr>
              <w:t xml:space="preserve"> Regula Nr.13</w:t>
            </w:r>
            <w:r w:rsidRPr="00407235">
              <w:rPr>
                <w:lang w:eastAsia="en-US"/>
              </w:rPr>
              <w:t>0</w:t>
            </w:r>
            <w:r w:rsidR="000F6C06">
              <w:rPr>
                <w:lang w:eastAsia="en-US"/>
              </w:rPr>
              <w:t>6</w:t>
            </w:r>
            <w:r w:rsidRPr="00407235">
              <w:rPr>
                <w:lang w:eastAsia="en-US"/>
              </w:rPr>
              <w:t>/2013)</w:t>
            </w:r>
            <w:r>
              <w:rPr>
                <w:lang w:eastAsia="en-US"/>
              </w:rPr>
              <w:t xml:space="preserve">, kuras </w:t>
            </w:r>
            <w:r w:rsidRPr="00407235">
              <w:rPr>
                <w:lang w:eastAsia="en-US"/>
              </w:rPr>
              <w:t>111.pant</w:t>
            </w:r>
            <w:r>
              <w:rPr>
                <w:lang w:eastAsia="en-US"/>
              </w:rPr>
              <w:t>s</w:t>
            </w:r>
            <w:r w:rsidRPr="00407235">
              <w:rPr>
                <w:lang w:eastAsia="en-US"/>
              </w:rPr>
              <w:t xml:space="preserve"> paredz, ka </w:t>
            </w:r>
            <w:r>
              <w:rPr>
                <w:lang w:eastAsia="en-US"/>
              </w:rPr>
              <w:t>dalībvalstīm ir jānodrošina fondu atbalsta saņēmēju ikgadēja publiskošana. Līdz ar to jāveic grozījumi</w:t>
            </w:r>
            <w:r w:rsidRPr="00091E42">
              <w:rPr>
                <w:lang w:eastAsia="en-US"/>
              </w:rPr>
              <w:t xml:space="preserve"> noteikum</w:t>
            </w:r>
            <w:r>
              <w:rPr>
                <w:lang w:eastAsia="en-US"/>
              </w:rPr>
              <w:t>u</w:t>
            </w:r>
            <w:r w:rsidRPr="00091E42">
              <w:rPr>
                <w:lang w:eastAsia="en-US"/>
              </w:rPr>
              <w:t xml:space="preserve"> Nr. 573</w:t>
            </w:r>
            <w:r>
              <w:rPr>
                <w:lang w:eastAsia="en-US"/>
              </w:rPr>
              <w:t xml:space="preserve"> 16. punktā, kas šobrīd paredz, </w:t>
            </w:r>
            <w:r w:rsidRPr="00407235">
              <w:rPr>
                <w:lang w:eastAsia="en-US"/>
              </w:rPr>
              <w:t>ka</w:t>
            </w:r>
            <w:r>
              <w:rPr>
                <w:lang w:eastAsia="en-US"/>
              </w:rPr>
              <w:t xml:space="preserve"> informācija par atbalsta saņemšanu tiek</w:t>
            </w:r>
            <w:r w:rsidRPr="00407235">
              <w:rPr>
                <w:lang w:eastAsia="en-US"/>
              </w:rPr>
              <w:t xml:space="preserve"> publisko</w:t>
            </w:r>
            <w:r>
              <w:rPr>
                <w:lang w:eastAsia="en-US"/>
              </w:rPr>
              <w:t>ta tikai par</w:t>
            </w:r>
            <w:r w:rsidRPr="00407235">
              <w:rPr>
                <w:lang w:eastAsia="en-US"/>
              </w:rPr>
              <w:t xml:space="preserve"> </w:t>
            </w:r>
            <w:r>
              <w:rPr>
                <w:lang w:eastAsia="en-US"/>
              </w:rPr>
              <w:t xml:space="preserve">juridiskām personām, </w:t>
            </w:r>
            <w:r w:rsidRPr="00407235">
              <w:rPr>
                <w:lang w:eastAsia="en-US"/>
              </w:rPr>
              <w:t>biedrībām un nodibinājumiem</w:t>
            </w:r>
            <w:r>
              <w:rPr>
                <w:lang w:eastAsia="en-US"/>
              </w:rPr>
              <w:t>.</w:t>
            </w:r>
          </w:p>
          <w:p w:rsidR="00110153" w:rsidRDefault="00110153" w:rsidP="00110153">
            <w:pPr>
              <w:spacing w:after="120"/>
              <w:jc w:val="both"/>
              <w:rPr>
                <w:lang w:eastAsia="en-US"/>
              </w:rPr>
            </w:pPr>
            <w:r>
              <w:rPr>
                <w:lang w:eastAsia="en-US"/>
              </w:rPr>
              <w:t xml:space="preserve">Ar </w:t>
            </w:r>
            <w:r w:rsidRPr="00110153">
              <w:rPr>
                <w:lang w:eastAsia="en-US"/>
              </w:rPr>
              <w:t>Komisijas 2013. gada 29. aprī</w:t>
            </w:r>
            <w:r>
              <w:rPr>
                <w:lang w:eastAsia="en-US"/>
              </w:rPr>
              <w:t>ļa</w:t>
            </w:r>
            <w:r w:rsidRPr="00110153">
              <w:rPr>
                <w:lang w:eastAsia="en-US"/>
              </w:rPr>
              <w:t xml:space="preserve"> Īstenošanas regul</w:t>
            </w:r>
            <w:r>
              <w:rPr>
                <w:lang w:eastAsia="en-US"/>
              </w:rPr>
              <w:t>u (ES) Nr. 393/2013</w:t>
            </w:r>
            <w:r w:rsidRPr="00110153">
              <w:rPr>
                <w:lang w:eastAsia="en-US"/>
              </w:rPr>
              <w:t>, ar ko groza Regulu (EK) Nr. 1120/2009 un Regulu (EK) Nr. 1122/2009 attiecībā uz atbilstības kritērijiem un prasībām sniegt paziņojumus par konkrētām kaņepju šķirnēm, lai īstenotu lauksaimniekiem paredzētās tiešā atbalsta shēmas</w:t>
            </w:r>
            <w:r>
              <w:rPr>
                <w:lang w:eastAsia="en-US"/>
              </w:rPr>
              <w:t xml:space="preserve"> 2. pantu tiek svītrots </w:t>
            </w:r>
            <w:r w:rsidRPr="00110153">
              <w:rPr>
                <w:lang w:eastAsia="en-US"/>
              </w:rPr>
              <w:t> Komisijas 2009. gada 29. oktobra Regul</w:t>
            </w:r>
            <w:r>
              <w:rPr>
                <w:lang w:eastAsia="en-US"/>
              </w:rPr>
              <w:t>as</w:t>
            </w:r>
            <w:r w:rsidRPr="00110153">
              <w:rPr>
                <w:lang w:eastAsia="en-US"/>
              </w:rPr>
              <w:t xml:space="preserve"> (EK) Nr. 1120/2009, ar ko nosaka sīki izstrādātus noteikumus par to, kā īstenot vienotā maksājuma shēmu, kura paredzēta III </w:t>
            </w:r>
            <w:r w:rsidRPr="00110153">
              <w:rPr>
                <w:lang w:eastAsia="en-US"/>
              </w:rPr>
              <w:lastRenderedPageBreak/>
              <w:t>sadaļā Padomes Regulā (EK) Nr. 73/2009, ar ko paredz kopējus noteikumus tiešā atbalsta shēmām saskaņā ar kopējo lauksaimniecības politiku un izveido dažas atbalsta shēmas lauksaimniekiem</w:t>
            </w:r>
            <w:r>
              <w:rPr>
                <w:lang w:eastAsia="en-US"/>
              </w:rPr>
              <w:t xml:space="preserve"> </w:t>
            </w:r>
            <w:r w:rsidRPr="00110153">
              <w:rPr>
                <w:lang w:eastAsia="en-US"/>
              </w:rPr>
              <w:t>40.panta 2.punkta otrā daļa</w:t>
            </w:r>
            <w:r>
              <w:rPr>
                <w:lang w:eastAsia="en-US"/>
              </w:rPr>
              <w:t xml:space="preserve">, līdz ar to ir jāsvītro </w:t>
            </w:r>
            <w:r w:rsidRPr="00110153">
              <w:rPr>
                <w:lang w:eastAsia="en-US"/>
              </w:rPr>
              <w:t>noteikum</w:t>
            </w:r>
            <w:r>
              <w:rPr>
                <w:lang w:eastAsia="en-US"/>
              </w:rPr>
              <w:t>u</w:t>
            </w:r>
            <w:r w:rsidRPr="00110153">
              <w:rPr>
                <w:lang w:eastAsia="en-US"/>
              </w:rPr>
              <w:t xml:space="preserve"> Nr. 573 17.</w:t>
            </w:r>
            <w:r w:rsidRPr="00110153">
              <w:rPr>
                <w:vertAlign w:val="superscript"/>
                <w:lang w:eastAsia="en-US"/>
              </w:rPr>
              <w:t>2</w:t>
            </w:r>
            <w:r w:rsidRPr="00110153">
              <w:rPr>
                <w:lang w:eastAsia="en-US"/>
              </w:rPr>
              <w:t>  punktu,</w:t>
            </w:r>
            <w:r>
              <w:rPr>
                <w:lang w:eastAsia="en-US"/>
              </w:rPr>
              <w:t xml:space="preserve"> kurā ir noteikta atsauce uz minēto punktu.</w:t>
            </w:r>
          </w:p>
          <w:p w:rsidR="00091E42" w:rsidRPr="00091E42" w:rsidRDefault="00091E42" w:rsidP="00110153">
            <w:pPr>
              <w:spacing w:after="120"/>
              <w:jc w:val="both"/>
              <w:rPr>
                <w:lang w:eastAsia="en-US"/>
              </w:rPr>
            </w:pPr>
            <w:r w:rsidRPr="00091E42">
              <w:rPr>
                <w:lang w:eastAsia="en-US"/>
              </w:rPr>
              <w:t>Papildus nepieciešams veikt tehnisku korekciju noteikumu Nr.573 17.</w:t>
            </w:r>
            <w:r w:rsidRPr="00091E42">
              <w:rPr>
                <w:vertAlign w:val="superscript"/>
                <w:lang w:eastAsia="en-US"/>
              </w:rPr>
              <w:t>3</w:t>
            </w:r>
            <w:r w:rsidRPr="00091E42">
              <w:rPr>
                <w:lang w:eastAsia="en-US"/>
              </w:rPr>
              <w:t xml:space="preserve"> punktā, tos papildinot ar termiņu, līdz kuram Valsts augu aizsardzības dienestam jāpaziņo atbalsta pretendentam par viņa saimniecībā veikto pārbaužu rezultātiem, attiecībā uz kaņepju aizņemtajām platībām saimniecībā.</w:t>
            </w:r>
          </w:p>
          <w:p w:rsidR="00091E42" w:rsidRPr="00E06138" w:rsidRDefault="00091E42" w:rsidP="007214B3">
            <w:pPr>
              <w:spacing w:after="120"/>
              <w:jc w:val="both"/>
              <w:rPr>
                <w:lang w:eastAsia="en-US"/>
              </w:rPr>
            </w:pPr>
            <w:r w:rsidRPr="00091E42">
              <w:rPr>
                <w:lang w:eastAsia="en-US"/>
              </w:rPr>
              <w:t>Regulas Nr.1310/2013 6.panta 10.punkts ar 2014.gadu atceļ ierobežojumu, ka tiešos maksājumus var saņemt tikai par to lauksaimniecībā izmantojamo zemi, kas ir bijusi labā lauksaimniecības stāvoklī 2003.gada 30.jūnijā.</w:t>
            </w:r>
            <w:r w:rsidR="009313EC">
              <w:rPr>
                <w:lang w:eastAsia="en-US"/>
              </w:rPr>
              <w:t>L</w:t>
            </w:r>
            <w:r w:rsidRPr="00091E42">
              <w:rPr>
                <w:lang w:eastAsia="en-US"/>
              </w:rPr>
              <w:t>ai Lauku atbalsta dienests pirms iesniegumu pieņemšanas vienotajam platības maksājumam varētu atbilstoši precizēt lauku reģistru un nekavētos administrēšana, ir jāizdara grozījumi</w:t>
            </w:r>
            <w:r>
              <w:rPr>
                <w:lang w:eastAsia="en-US"/>
              </w:rPr>
              <w:t xml:space="preserve"> </w:t>
            </w:r>
            <w:r w:rsidRPr="00091E42">
              <w:rPr>
                <w:lang w:eastAsia="en-US"/>
              </w:rPr>
              <w:t>noteikumu Nr. 573 4.pielikumā, kur noteikts, ka iesniegums lauku bloku kartes precizēšanai ir jāiesniedz vienlaikus ar platību maksājumu iesniegumu.</w:t>
            </w:r>
          </w:p>
        </w:tc>
      </w:tr>
      <w:tr w:rsidR="009117F4" w:rsidRPr="00E06138" w:rsidTr="00110153">
        <w:tc>
          <w:tcPr>
            <w:tcW w:w="415" w:type="dxa"/>
          </w:tcPr>
          <w:p w:rsidR="009117F4" w:rsidRPr="00E06138" w:rsidRDefault="009117F4" w:rsidP="00E06138">
            <w:pPr>
              <w:spacing w:before="100" w:beforeAutospacing="1" w:after="100" w:afterAutospacing="1" w:line="360" w:lineRule="auto"/>
              <w:ind w:firstLine="19"/>
              <w:jc w:val="both"/>
            </w:pPr>
            <w:r w:rsidRPr="00E06138">
              <w:lastRenderedPageBreak/>
              <w:t>3.</w:t>
            </w:r>
          </w:p>
        </w:tc>
        <w:tc>
          <w:tcPr>
            <w:tcW w:w="2103" w:type="dxa"/>
          </w:tcPr>
          <w:p w:rsidR="009117F4" w:rsidRPr="00E06138" w:rsidRDefault="00110153" w:rsidP="00E06138">
            <w:r>
              <w:t xml:space="preserve">Projekta izstrādē iesaistītās </w:t>
            </w:r>
            <w:r w:rsidR="009117F4" w:rsidRPr="00E06138">
              <w:t>institūcijas</w:t>
            </w:r>
          </w:p>
        </w:tc>
        <w:tc>
          <w:tcPr>
            <w:tcW w:w="6379" w:type="dxa"/>
          </w:tcPr>
          <w:p w:rsidR="009117F4" w:rsidRPr="00E06138" w:rsidRDefault="009117F4" w:rsidP="00E06138">
            <w:pPr>
              <w:jc w:val="both"/>
              <w:rPr>
                <w:bCs/>
                <w:lang w:eastAsia="en-US"/>
              </w:rPr>
            </w:pPr>
            <w:r w:rsidRPr="00E06138">
              <w:rPr>
                <w:lang w:eastAsia="en-US"/>
              </w:rPr>
              <w:t>Zemkopības ministrija</w:t>
            </w:r>
            <w:r w:rsidR="00207BD9">
              <w:rPr>
                <w:lang w:eastAsia="en-US"/>
              </w:rPr>
              <w:t xml:space="preserve"> un</w:t>
            </w:r>
            <w:r w:rsidRPr="00E06138">
              <w:rPr>
                <w:lang w:eastAsia="en-US"/>
              </w:rPr>
              <w:t xml:space="preserve"> Lauku atbalsta dienests </w:t>
            </w:r>
          </w:p>
          <w:p w:rsidR="009117F4" w:rsidRPr="00E06138" w:rsidRDefault="009117F4" w:rsidP="00E06138">
            <w:pPr>
              <w:jc w:val="both"/>
              <w:rPr>
                <w:bCs/>
                <w:lang w:eastAsia="en-US"/>
              </w:rPr>
            </w:pPr>
          </w:p>
        </w:tc>
      </w:tr>
      <w:tr w:rsidR="009117F4" w:rsidRPr="00E06138" w:rsidTr="00110153">
        <w:tc>
          <w:tcPr>
            <w:tcW w:w="415" w:type="dxa"/>
          </w:tcPr>
          <w:p w:rsidR="009117F4" w:rsidRPr="00E06138" w:rsidRDefault="009117F4" w:rsidP="00E06138">
            <w:pPr>
              <w:spacing w:before="100" w:beforeAutospacing="1" w:after="100" w:afterAutospacing="1" w:line="360" w:lineRule="auto"/>
              <w:ind w:firstLine="19"/>
              <w:jc w:val="both"/>
            </w:pPr>
            <w:r w:rsidRPr="00E06138">
              <w:t>4.</w:t>
            </w:r>
          </w:p>
        </w:tc>
        <w:tc>
          <w:tcPr>
            <w:tcW w:w="2103" w:type="dxa"/>
          </w:tcPr>
          <w:p w:rsidR="009117F4" w:rsidRPr="00E06138" w:rsidRDefault="009117F4" w:rsidP="00E06138">
            <w:r w:rsidRPr="00E06138">
              <w:t>Cita informācija</w:t>
            </w:r>
          </w:p>
        </w:tc>
        <w:tc>
          <w:tcPr>
            <w:tcW w:w="6379" w:type="dxa"/>
          </w:tcPr>
          <w:p w:rsidR="009117F4" w:rsidRPr="00E06138" w:rsidRDefault="009117F4" w:rsidP="00E06138">
            <w:pPr>
              <w:spacing w:before="100" w:beforeAutospacing="1" w:after="100" w:afterAutospacing="1" w:line="360" w:lineRule="auto"/>
            </w:pPr>
            <w:r w:rsidRPr="00E06138">
              <w:t>Nav</w:t>
            </w:r>
          </w:p>
        </w:tc>
      </w:tr>
    </w:tbl>
    <w:p w:rsidR="009117F4" w:rsidRPr="00110153" w:rsidRDefault="009117F4" w:rsidP="006B42E1">
      <w:pPr>
        <w:ind w:firstLine="301"/>
        <w:rPr>
          <w:sz w:val="18"/>
        </w:rPr>
      </w:pP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878"/>
        <w:gridCol w:w="6106"/>
      </w:tblGrid>
      <w:tr w:rsidR="009117F4" w:rsidRPr="00E06138" w:rsidTr="00E06138">
        <w:trPr>
          <w:trHeight w:val="555"/>
        </w:trPr>
        <w:tc>
          <w:tcPr>
            <w:tcW w:w="5000" w:type="pct"/>
            <w:gridSpan w:val="3"/>
          </w:tcPr>
          <w:p w:rsidR="009117F4" w:rsidRPr="00E06138" w:rsidRDefault="009117F4" w:rsidP="00E06138">
            <w:pPr>
              <w:spacing w:before="100" w:beforeAutospacing="1" w:after="100" w:afterAutospacing="1"/>
              <w:ind w:firstLine="301"/>
              <w:jc w:val="center"/>
              <w:rPr>
                <w:b/>
                <w:bCs/>
              </w:rPr>
            </w:pPr>
            <w:r w:rsidRPr="00E06138">
              <w:rPr>
                <w:b/>
                <w:bCs/>
              </w:rPr>
              <w:t>II. Tiesību akta projekta ietekme uz sabiedrību, tautsaimniecības attīstību un administratīvo slogu</w:t>
            </w:r>
          </w:p>
        </w:tc>
      </w:tr>
      <w:tr w:rsidR="009117F4" w:rsidRPr="00E06138" w:rsidTr="00E06138">
        <w:trPr>
          <w:trHeight w:val="465"/>
        </w:trPr>
        <w:tc>
          <w:tcPr>
            <w:tcW w:w="246" w:type="pct"/>
          </w:tcPr>
          <w:p w:rsidR="009117F4" w:rsidRPr="00E06138" w:rsidRDefault="009117F4" w:rsidP="00E06138">
            <w:r w:rsidRPr="00E06138">
              <w:t>1.</w:t>
            </w:r>
          </w:p>
        </w:tc>
        <w:tc>
          <w:tcPr>
            <w:tcW w:w="1523" w:type="pct"/>
          </w:tcPr>
          <w:p w:rsidR="009117F4" w:rsidRPr="00E06138" w:rsidRDefault="009117F4" w:rsidP="00E06138">
            <w:pPr>
              <w:rPr>
                <w:lang w:eastAsia="en-US"/>
              </w:rPr>
            </w:pPr>
            <w:r w:rsidRPr="00E06138">
              <w:rPr>
                <w:lang w:eastAsia="en-US"/>
              </w:rPr>
              <w:t>Sabiedrības mērķgrupas, kuras tiesiskais regulējums ietekmē vai varētu ietekmēt</w:t>
            </w:r>
          </w:p>
        </w:tc>
        <w:tc>
          <w:tcPr>
            <w:tcW w:w="3231" w:type="pct"/>
          </w:tcPr>
          <w:p w:rsidR="009117F4" w:rsidRPr="00E06138" w:rsidRDefault="009117F4" w:rsidP="00E952EC">
            <w:pPr>
              <w:jc w:val="both"/>
            </w:pPr>
            <w:r w:rsidRPr="00E06138">
              <w:rPr>
                <w:lang w:eastAsia="en-US"/>
              </w:rPr>
              <w:t xml:space="preserve">Grozījumi noteikumos Nr.573 attiecas uz </w:t>
            </w:r>
            <w:r w:rsidR="00E952EC">
              <w:t>administrējošām iestādēm.</w:t>
            </w:r>
          </w:p>
        </w:tc>
      </w:tr>
      <w:tr w:rsidR="009117F4" w:rsidRPr="00E06138" w:rsidTr="00E06138">
        <w:trPr>
          <w:trHeight w:val="510"/>
        </w:trPr>
        <w:tc>
          <w:tcPr>
            <w:tcW w:w="246" w:type="pct"/>
          </w:tcPr>
          <w:p w:rsidR="009117F4" w:rsidRPr="00E06138" w:rsidRDefault="009117F4" w:rsidP="00E06138">
            <w:r w:rsidRPr="00E06138">
              <w:t>2.</w:t>
            </w:r>
          </w:p>
        </w:tc>
        <w:tc>
          <w:tcPr>
            <w:tcW w:w="1523" w:type="pct"/>
          </w:tcPr>
          <w:p w:rsidR="009117F4" w:rsidRPr="00E06138" w:rsidRDefault="009117F4" w:rsidP="00E06138">
            <w:pPr>
              <w:rPr>
                <w:lang w:eastAsia="en-US"/>
              </w:rPr>
            </w:pPr>
            <w:r w:rsidRPr="00E06138">
              <w:rPr>
                <w:lang w:eastAsia="en-US"/>
              </w:rPr>
              <w:t>Tiesiskā regulējuma ietekme uz tautsaimniecību un administratīvo slogu</w:t>
            </w:r>
          </w:p>
        </w:tc>
        <w:tc>
          <w:tcPr>
            <w:tcW w:w="3231" w:type="pct"/>
          </w:tcPr>
          <w:p w:rsidR="009117F4" w:rsidRPr="00E06138" w:rsidRDefault="009117F4" w:rsidP="00091E42">
            <w:pPr>
              <w:jc w:val="both"/>
            </w:pPr>
            <w:r w:rsidRPr="00E06138">
              <w:t xml:space="preserve">Atceļot prasību iesniegt </w:t>
            </w:r>
            <w:r>
              <w:t>i</w:t>
            </w:r>
            <w:r w:rsidRPr="00E06138">
              <w:t>esniegumu lauku bloku kartes precizēšanai vienlai</w:t>
            </w:r>
            <w:r w:rsidR="00207BD9">
              <w:t>kus</w:t>
            </w:r>
            <w:r w:rsidRPr="00E06138">
              <w:t xml:space="preserve"> ar </w:t>
            </w:r>
            <w:r>
              <w:t>p</w:t>
            </w:r>
            <w:r w:rsidRPr="00E06138">
              <w:t>latību maksājumu iesniegum</w:t>
            </w:r>
            <w:r>
              <w:t>u</w:t>
            </w:r>
            <w:r w:rsidRPr="00E06138">
              <w:t xml:space="preserve">, lauksaimniekiem </w:t>
            </w:r>
            <w:r w:rsidR="00207BD9">
              <w:t>tiks dota iesp</w:t>
            </w:r>
            <w:r w:rsidR="00091E42">
              <w:t>ē</w:t>
            </w:r>
            <w:r w:rsidR="00207BD9">
              <w:t>ja</w:t>
            </w:r>
            <w:r w:rsidRPr="00E06138">
              <w:t xml:space="preserve"> iesniegt šo iesniegumu tiem ērtā laikā, lai Lauku atbalsta dienests varētu lai</w:t>
            </w:r>
            <w:r w:rsidR="00207BD9">
              <w:t>kus precizēt</w:t>
            </w:r>
            <w:r w:rsidRPr="00E06138">
              <w:t xml:space="preserve"> lauku bloku</w:t>
            </w:r>
            <w:r w:rsidR="00207BD9">
              <w:t>s</w:t>
            </w:r>
            <w:r w:rsidRPr="00E06138">
              <w:t xml:space="preserve"> 2014.gadā, atvieglojot pieteikša</w:t>
            </w:r>
            <w:r w:rsidR="00207BD9">
              <w:t>nos</w:t>
            </w:r>
            <w:r w:rsidRPr="00E06138">
              <w:t xml:space="preserve"> </w:t>
            </w:r>
            <w:r>
              <w:t>vienotajam platību maksājumam</w:t>
            </w:r>
            <w:r w:rsidR="00207BD9">
              <w:t>.</w:t>
            </w:r>
            <w:r w:rsidRPr="00E06138">
              <w:t xml:space="preserve"> </w:t>
            </w:r>
            <w:r w:rsidR="00207BD9">
              <w:t>Tas</w:t>
            </w:r>
            <w:r w:rsidRPr="00E06138">
              <w:t xml:space="preserve"> lauksaimniekiem </w:t>
            </w:r>
            <w:r w:rsidR="00207BD9">
              <w:t>dos</w:t>
            </w:r>
            <w:r w:rsidRPr="00E06138">
              <w:t xml:space="preserve"> iespēj</w:t>
            </w:r>
            <w:r w:rsidR="00207BD9">
              <w:t>u</w:t>
            </w:r>
            <w:r w:rsidRPr="00E06138">
              <w:t xml:space="preserve"> pretendēt uz atbalstu par papildu platībām, kuras agrāk nevarēja pieteikt atbalstam</w:t>
            </w:r>
            <w:r>
              <w:t>, jo</w:t>
            </w:r>
            <w:r w:rsidRPr="00E06138">
              <w:t xml:space="preserve"> 2003.gada 30.jūnij</w:t>
            </w:r>
            <w:r>
              <w:t xml:space="preserve">ā tās </w:t>
            </w:r>
            <w:r>
              <w:rPr>
                <w:lang w:eastAsia="en-US"/>
              </w:rPr>
              <w:t>nebija</w:t>
            </w:r>
            <w:r w:rsidRPr="00E06138">
              <w:rPr>
                <w:lang w:eastAsia="en-US"/>
              </w:rPr>
              <w:t xml:space="preserve"> labā lauksaimniecības stāvoklī</w:t>
            </w:r>
            <w:r w:rsidRPr="00E06138">
              <w:t>.</w:t>
            </w:r>
          </w:p>
        </w:tc>
      </w:tr>
      <w:tr w:rsidR="009117F4" w:rsidRPr="00E06138" w:rsidTr="00E06138">
        <w:trPr>
          <w:trHeight w:val="510"/>
        </w:trPr>
        <w:tc>
          <w:tcPr>
            <w:tcW w:w="246" w:type="pct"/>
          </w:tcPr>
          <w:p w:rsidR="009117F4" w:rsidRPr="00E06138" w:rsidRDefault="009117F4" w:rsidP="00E06138">
            <w:r w:rsidRPr="00E06138">
              <w:t>3.</w:t>
            </w:r>
          </w:p>
        </w:tc>
        <w:tc>
          <w:tcPr>
            <w:tcW w:w="1523" w:type="pct"/>
          </w:tcPr>
          <w:p w:rsidR="009117F4" w:rsidRPr="00E06138" w:rsidRDefault="009117F4" w:rsidP="00E06138">
            <w:pPr>
              <w:rPr>
                <w:lang w:eastAsia="en-US"/>
              </w:rPr>
            </w:pPr>
            <w:r w:rsidRPr="00E06138">
              <w:rPr>
                <w:lang w:eastAsia="en-US"/>
              </w:rPr>
              <w:t>Administratīvo izmaksu monetārs novērtējums</w:t>
            </w:r>
          </w:p>
        </w:tc>
        <w:tc>
          <w:tcPr>
            <w:tcW w:w="3231" w:type="pct"/>
          </w:tcPr>
          <w:p w:rsidR="009117F4" w:rsidRPr="00E06138" w:rsidRDefault="00411EAD" w:rsidP="00411EAD">
            <w:pPr>
              <w:jc w:val="both"/>
            </w:pPr>
            <w:bookmarkStart w:id="2" w:name="p-468669"/>
            <w:bookmarkStart w:id="3" w:name="p24"/>
            <w:bookmarkEnd w:id="2"/>
            <w:bookmarkEnd w:id="3"/>
            <w:r w:rsidRPr="00E06138">
              <w:rPr>
                <w:lang w:eastAsia="en-US"/>
              </w:rPr>
              <w:t xml:space="preserve">Grozījumi noteikumos Nr.573 </w:t>
            </w:r>
            <w:r w:rsidR="009117F4" w:rsidRPr="00E06138">
              <w:t>lauksaimniekiem neradīs p</w:t>
            </w:r>
            <w:r>
              <w:t>apildu administratīvās izmaksas, ņemot vērā, ka šie grozījumi attiecas uz administrējošām iestādēm.</w:t>
            </w:r>
            <w:r w:rsidR="009117F4" w:rsidRPr="00E06138">
              <w:t xml:space="preserve"> L</w:t>
            </w:r>
            <w:r w:rsidR="009117F4">
              <w:t>auku atbalsta dienests</w:t>
            </w:r>
            <w:r w:rsidR="009117F4" w:rsidRPr="00E06138">
              <w:t xml:space="preserve"> lauku bloku</w:t>
            </w:r>
            <w:r w:rsidR="00207BD9">
              <w:t>s</w:t>
            </w:r>
            <w:r w:rsidR="009117F4" w:rsidRPr="00E06138">
              <w:t xml:space="preserve"> precizē</w:t>
            </w:r>
            <w:r w:rsidR="00207BD9">
              <w:t>s par</w:t>
            </w:r>
            <w:r w:rsidR="009117F4" w:rsidRPr="00E06138">
              <w:t xml:space="preserve"> esošā budžeta </w:t>
            </w:r>
            <w:r w:rsidR="00207BD9">
              <w:t>līdzekļiem</w:t>
            </w:r>
            <w:r w:rsidR="009117F4" w:rsidRPr="00E06138">
              <w:t>.</w:t>
            </w:r>
          </w:p>
        </w:tc>
      </w:tr>
      <w:tr w:rsidR="009117F4" w:rsidRPr="00E06138" w:rsidTr="00E06138">
        <w:trPr>
          <w:trHeight w:val="345"/>
        </w:trPr>
        <w:tc>
          <w:tcPr>
            <w:tcW w:w="246" w:type="pct"/>
          </w:tcPr>
          <w:p w:rsidR="009117F4" w:rsidRPr="00E06138" w:rsidRDefault="009117F4" w:rsidP="00E06138">
            <w:r w:rsidRPr="00E06138">
              <w:t>4.</w:t>
            </w:r>
          </w:p>
        </w:tc>
        <w:tc>
          <w:tcPr>
            <w:tcW w:w="1523" w:type="pct"/>
          </w:tcPr>
          <w:p w:rsidR="009117F4" w:rsidRPr="00E06138" w:rsidRDefault="009117F4" w:rsidP="00E06138">
            <w:pPr>
              <w:rPr>
                <w:lang w:eastAsia="en-US"/>
              </w:rPr>
            </w:pPr>
            <w:r w:rsidRPr="00E06138">
              <w:rPr>
                <w:lang w:eastAsia="en-US"/>
              </w:rPr>
              <w:t>Cita informācija</w:t>
            </w:r>
          </w:p>
        </w:tc>
        <w:tc>
          <w:tcPr>
            <w:tcW w:w="3231" w:type="pct"/>
          </w:tcPr>
          <w:p w:rsidR="009117F4" w:rsidRPr="00E06138" w:rsidRDefault="009117F4" w:rsidP="00E06138">
            <w:pPr>
              <w:spacing w:before="100" w:beforeAutospacing="1" w:after="100" w:afterAutospacing="1" w:line="360" w:lineRule="auto"/>
            </w:pPr>
            <w:r w:rsidRPr="00E06138">
              <w:t>Nav.</w:t>
            </w:r>
          </w:p>
        </w:tc>
      </w:tr>
    </w:tbl>
    <w:p w:rsidR="009117F4" w:rsidRPr="00110153" w:rsidRDefault="009117F4" w:rsidP="006B42E1">
      <w:pPr>
        <w:ind w:firstLine="301"/>
        <w:rPr>
          <w:sz w:val="18"/>
        </w:rPr>
      </w:pPr>
      <w:r w:rsidRPr="00110153">
        <w:rPr>
          <w:sz w:val="18"/>
        </w:rPr>
        <w:t> </w:t>
      </w:r>
    </w:p>
    <w:p w:rsidR="009117F4" w:rsidRPr="000E5392" w:rsidRDefault="009117F4" w:rsidP="005D5A78">
      <w:r w:rsidRPr="000E5392">
        <w:lastRenderedPageBreak/>
        <w:t> </w:t>
      </w:r>
      <w:r>
        <w:t>III un IV sadaļa – projekts šo jomu neskar.</w:t>
      </w:r>
    </w:p>
    <w:p w:rsidR="009117F4" w:rsidRPr="00110153" w:rsidRDefault="009117F4" w:rsidP="006B42E1">
      <w:pPr>
        <w:ind w:firstLine="301"/>
        <w:rPr>
          <w:sz w:val="18"/>
        </w:rPr>
      </w:pPr>
      <w:r w:rsidRPr="00110153">
        <w:rPr>
          <w:sz w:val="18"/>
        </w:rPr>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693"/>
        <w:gridCol w:w="6291"/>
      </w:tblGrid>
      <w:tr w:rsidR="009117F4" w:rsidRPr="00E06138" w:rsidTr="00E06138">
        <w:tc>
          <w:tcPr>
            <w:tcW w:w="5000" w:type="pct"/>
            <w:gridSpan w:val="3"/>
          </w:tcPr>
          <w:p w:rsidR="009117F4" w:rsidRPr="00E06138" w:rsidRDefault="009117F4" w:rsidP="00E06138">
            <w:pPr>
              <w:spacing w:before="100" w:beforeAutospacing="1" w:after="100" w:afterAutospacing="1"/>
              <w:ind w:firstLine="301"/>
              <w:jc w:val="center"/>
              <w:rPr>
                <w:b/>
                <w:bCs/>
              </w:rPr>
            </w:pPr>
            <w:r w:rsidRPr="00E06138">
              <w:rPr>
                <w:b/>
                <w:bCs/>
              </w:rPr>
              <w:t>V. Tiesību akta projekta atbilstība Latvijas Republikas starptautiskajām saistībām</w:t>
            </w:r>
          </w:p>
        </w:tc>
      </w:tr>
      <w:tr w:rsidR="009117F4" w:rsidRPr="00E06138" w:rsidTr="00E06138">
        <w:tc>
          <w:tcPr>
            <w:tcW w:w="246" w:type="pct"/>
          </w:tcPr>
          <w:p w:rsidR="009117F4" w:rsidRPr="00E06138" w:rsidRDefault="009117F4" w:rsidP="00E06138">
            <w:r w:rsidRPr="00E06138">
              <w:t>1.</w:t>
            </w:r>
          </w:p>
        </w:tc>
        <w:tc>
          <w:tcPr>
            <w:tcW w:w="1425" w:type="pct"/>
          </w:tcPr>
          <w:p w:rsidR="009117F4" w:rsidRPr="00E06138" w:rsidRDefault="009117F4" w:rsidP="00E06138">
            <w:r w:rsidRPr="00E06138">
              <w:t>Saistības pret Eiropas Savienību</w:t>
            </w:r>
          </w:p>
        </w:tc>
        <w:tc>
          <w:tcPr>
            <w:tcW w:w="3329" w:type="pct"/>
          </w:tcPr>
          <w:p w:rsidR="009117F4" w:rsidRPr="00E06138" w:rsidRDefault="009117F4" w:rsidP="00756595">
            <w:pPr>
              <w:jc w:val="both"/>
              <w:rPr>
                <w:rFonts w:ascii="Calibri" w:hAnsi="Calibri"/>
                <w:sz w:val="28"/>
                <w:szCs w:val="28"/>
                <w:lang w:eastAsia="en-US"/>
              </w:rPr>
            </w:pPr>
            <w:r w:rsidRPr="00E06138">
              <w:t xml:space="preserve">Grozījumi </w:t>
            </w:r>
            <w:r w:rsidRPr="00E06138">
              <w:rPr>
                <w:lang w:eastAsia="en-US"/>
              </w:rPr>
              <w:t>noteikumos Nr.</w:t>
            </w:r>
            <w:r w:rsidR="00756595">
              <w:rPr>
                <w:lang w:eastAsia="en-US"/>
              </w:rPr>
              <w:t>573</w:t>
            </w:r>
            <w:r w:rsidRPr="00E06138">
              <w:rPr>
                <w:lang w:eastAsia="en-US"/>
              </w:rPr>
              <w:t xml:space="preserve"> ir sagatavoti</w:t>
            </w:r>
            <w:r w:rsidR="00207BD9">
              <w:rPr>
                <w:lang w:eastAsia="en-US"/>
              </w:rPr>
              <w:t>,</w:t>
            </w:r>
            <w:r w:rsidRPr="00E06138">
              <w:rPr>
                <w:lang w:eastAsia="en-US"/>
              </w:rPr>
              <w:t xml:space="preserve"> pamatojoties uz </w:t>
            </w:r>
            <w:r w:rsidRPr="00E06138">
              <w:rPr>
                <w:bCs/>
                <w:lang w:eastAsia="en-US"/>
              </w:rPr>
              <w:t>Regulu Nr.1310/2013</w:t>
            </w:r>
            <w:r w:rsidR="00207BD9">
              <w:rPr>
                <w:bCs/>
                <w:lang w:eastAsia="en-US"/>
              </w:rPr>
              <w:t>.</w:t>
            </w:r>
            <w:r w:rsidRPr="00E06138">
              <w:rPr>
                <w:bCs/>
                <w:lang w:eastAsia="en-US"/>
              </w:rPr>
              <w:t xml:space="preserve"> </w:t>
            </w:r>
          </w:p>
        </w:tc>
      </w:tr>
      <w:tr w:rsidR="009117F4" w:rsidRPr="00E06138" w:rsidTr="00E06138">
        <w:tc>
          <w:tcPr>
            <w:tcW w:w="246" w:type="pct"/>
          </w:tcPr>
          <w:p w:rsidR="009117F4" w:rsidRPr="00E06138" w:rsidRDefault="009117F4" w:rsidP="00E06138">
            <w:r w:rsidRPr="00E06138">
              <w:t>2.</w:t>
            </w:r>
          </w:p>
        </w:tc>
        <w:tc>
          <w:tcPr>
            <w:tcW w:w="1425" w:type="pct"/>
          </w:tcPr>
          <w:p w:rsidR="009117F4" w:rsidRPr="00E06138" w:rsidRDefault="009117F4" w:rsidP="00E06138">
            <w:r w:rsidRPr="00E06138">
              <w:t>Citas starptautiskās saistības</w:t>
            </w:r>
          </w:p>
        </w:tc>
        <w:tc>
          <w:tcPr>
            <w:tcW w:w="3329" w:type="pct"/>
          </w:tcPr>
          <w:p w:rsidR="009117F4" w:rsidRPr="00E06138" w:rsidRDefault="009117F4" w:rsidP="00E06138">
            <w:r w:rsidRPr="00E06138">
              <w:t>Nav</w:t>
            </w:r>
          </w:p>
        </w:tc>
      </w:tr>
      <w:tr w:rsidR="009117F4" w:rsidRPr="00E06138" w:rsidTr="00E06138">
        <w:tc>
          <w:tcPr>
            <w:tcW w:w="246" w:type="pct"/>
          </w:tcPr>
          <w:p w:rsidR="009117F4" w:rsidRPr="00E06138" w:rsidRDefault="009117F4" w:rsidP="00E06138">
            <w:r w:rsidRPr="00E06138">
              <w:t>3.</w:t>
            </w:r>
          </w:p>
        </w:tc>
        <w:tc>
          <w:tcPr>
            <w:tcW w:w="1425" w:type="pct"/>
          </w:tcPr>
          <w:p w:rsidR="009117F4" w:rsidRPr="00E06138" w:rsidRDefault="009117F4" w:rsidP="00E06138">
            <w:r w:rsidRPr="00E06138">
              <w:t>Cita informācija</w:t>
            </w:r>
          </w:p>
        </w:tc>
        <w:tc>
          <w:tcPr>
            <w:tcW w:w="3329" w:type="pct"/>
          </w:tcPr>
          <w:p w:rsidR="009117F4" w:rsidRPr="00E06138" w:rsidRDefault="009117F4" w:rsidP="00E06138">
            <w:pPr>
              <w:spacing w:before="100" w:beforeAutospacing="1" w:after="100" w:afterAutospacing="1" w:line="360" w:lineRule="auto"/>
            </w:pPr>
            <w:r w:rsidRPr="00E06138">
              <w:t>Nav</w:t>
            </w:r>
          </w:p>
        </w:tc>
      </w:tr>
    </w:tbl>
    <w:p w:rsidR="009117F4" w:rsidRPr="00110153" w:rsidRDefault="009117F4" w:rsidP="006B42E1">
      <w:pPr>
        <w:ind w:firstLine="300"/>
        <w:rPr>
          <w:sz w:val="18"/>
        </w:rPr>
      </w:pPr>
      <w:r w:rsidRPr="00110153">
        <w:rPr>
          <w:sz w:val="18"/>
        </w:rPr>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2"/>
        <w:gridCol w:w="756"/>
        <w:gridCol w:w="1056"/>
        <w:gridCol w:w="1661"/>
        <w:gridCol w:w="633"/>
        <w:gridCol w:w="2661"/>
      </w:tblGrid>
      <w:tr w:rsidR="009117F4" w:rsidRPr="00E06138" w:rsidTr="00A71AD1">
        <w:tc>
          <w:tcPr>
            <w:tcW w:w="5000" w:type="pct"/>
            <w:gridSpan w:val="6"/>
          </w:tcPr>
          <w:p w:rsidR="009117F4" w:rsidRPr="00E06138" w:rsidRDefault="009117F4" w:rsidP="00E06138">
            <w:pPr>
              <w:spacing w:before="100" w:beforeAutospacing="1" w:after="100" w:afterAutospacing="1" w:line="360" w:lineRule="auto"/>
              <w:ind w:firstLine="300"/>
              <w:jc w:val="center"/>
              <w:rPr>
                <w:b/>
                <w:bCs/>
              </w:rPr>
            </w:pPr>
            <w:r w:rsidRPr="00E06138">
              <w:rPr>
                <w:b/>
                <w:bCs/>
              </w:rPr>
              <w:t>1.tabula</w:t>
            </w:r>
            <w:r w:rsidRPr="00E06138">
              <w:rPr>
                <w:b/>
                <w:bCs/>
              </w:rPr>
              <w:br/>
              <w:t>Tiesību akta projekta atbilstība ES tiesību aktiem</w:t>
            </w:r>
          </w:p>
        </w:tc>
      </w:tr>
      <w:tr w:rsidR="009117F4" w:rsidRPr="00E06138" w:rsidTr="00A71AD1">
        <w:tc>
          <w:tcPr>
            <w:tcW w:w="1419" w:type="pct"/>
          </w:tcPr>
          <w:p w:rsidR="009117F4" w:rsidRPr="00E06138" w:rsidRDefault="009117F4" w:rsidP="00E06138">
            <w:r w:rsidRPr="00E06138">
              <w:t>Attiecīgā ES tiesību akta datums, numurs un nosaukums</w:t>
            </w:r>
          </w:p>
        </w:tc>
        <w:tc>
          <w:tcPr>
            <w:tcW w:w="3581" w:type="pct"/>
            <w:gridSpan w:val="5"/>
          </w:tcPr>
          <w:p w:rsidR="009117F4" w:rsidRPr="00E06138" w:rsidRDefault="009117F4" w:rsidP="00207BD9">
            <w:pPr>
              <w:jc w:val="both"/>
            </w:pPr>
            <w:r w:rsidRPr="00E06138">
              <w:rPr>
                <w:bCs/>
                <w:lang w:eastAsia="en-US"/>
              </w:rPr>
              <w:t>Regula Nr.1310/2013</w:t>
            </w:r>
          </w:p>
        </w:tc>
      </w:tr>
      <w:tr w:rsidR="009117F4" w:rsidRPr="00E06138" w:rsidTr="00A71AD1">
        <w:tc>
          <w:tcPr>
            <w:tcW w:w="1419" w:type="pct"/>
          </w:tcPr>
          <w:p w:rsidR="009117F4" w:rsidRPr="00E06138" w:rsidRDefault="009117F4" w:rsidP="00E06138">
            <w:pPr>
              <w:spacing w:before="100" w:beforeAutospacing="1" w:after="100" w:afterAutospacing="1" w:line="360" w:lineRule="auto"/>
              <w:ind w:firstLine="300"/>
              <w:jc w:val="center"/>
            </w:pPr>
            <w:r w:rsidRPr="00E06138">
              <w:t>A</w:t>
            </w:r>
          </w:p>
        </w:tc>
        <w:tc>
          <w:tcPr>
            <w:tcW w:w="959" w:type="pct"/>
            <w:gridSpan w:val="2"/>
          </w:tcPr>
          <w:p w:rsidR="009117F4" w:rsidRPr="00E06138" w:rsidRDefault="009117F4" w:rsidP="00E06138">
            <w:pPr>
              <w:spacing w:before="100" w:beforeAutospacing="1" w:after="100" w:afterAutospacing="1" w:line="360" w:lineRule="auto"/>
              <w:ind w:firstLine="300"/>
              <w:jc w:val="center"/>
            </w:pPr>
            <w:r w:rsidRPr="00E06138">
              <w:t>B</w:t>
            </w:r>
          </w:p>
        </w:tc>
        <w:tc>
          <w:tcPr>
            <w:tcW w:w="1214" w:type="pct"/>
            <w:gridSpan w:val="2"/>
          </w:tcPr>
          <w:p w:rsidR="009117F4" w:rsidRPr="00E06138" w:rsidRDefault="009117F4" w:rsidP="00E06138">
            <w:pPr>
              <w:spacing w:before="100" w:beforeAutospacing="1" w:after="100" w:afterAutospacing="1" w:line="360" w:lineRule="auto"/>
              <w:ind w:firstLine="300"/>
              <w:jc w:val="center"/>
            </w:pPr>
            <w:r w:rsidRPr="00E06138">
              <w:t>C</w:t>
            </w:r>
          </w:p>
        </w:tc>
        <w:tc>
          <w:tcPr>
            <w:tcW w:w="1408" w:type="pct"/>
          </w:tcPr>
          <w:p w:rsidR="009117F4" w:rsidRPr="00E06138" w:rsidRDefault="009117F4" w:rsidP="00E06138">
            <w:pPr>
              <w:spacing w:before="100" w:beforeAutospacing="1" w:after="100" w:afterAutospacing="1" w:line="360" w:lineRule="auto"/>
              <w:ind w:firstLine="300"/>
              <w:jc w:val="center"/>
            </w:pPr>
            <w:r w:rsidRPr="00E06138">
              <w:t>D</w:t>
            </w:r>
          </w:p>
        </w:tc>
      </w:tr>
      <w:tr w:rsidR="000F6C06" w:rsidRPr="00E06138" w:rsidTr="00A71AD1">
        <w:tc>
          <w:tcPr>
            <w:tcW w:w="1419" w:type="pct"/>
          </w:tcPr>
          <w:p w:rsidR="000F6C06" w:rsidRPr="00E06138" w:rsidRDefault="000F6C06" w:rsidP="00E06138">
            <w:pPr>
              <w:jc w:val="both"/>
            </w:pPr>
            <w:r w:rsidRPr="000F6C06">
              <w:t>Regula</w:t>
            </w:r>
            <w:r>
              <w:t>s</w:t>
            </w:r>
            <w:r w:rsidRPr="000F6C06">
              <w:t xml:space="preserve"> Nr.1306/2013</w:t>
            </w:r>
            <w:r w:rsidR="009C0C91">
              <w:t xml:space="preserve"> </w:t>
            </w:r>
            <w:r>
              <w:t>111. pants</w:t>
            </w:r>
          </w:p>
        </w:tc>
        <w:tc>
          <w:tcPr>
            <w:tcW w:w="959" w:type="pct"/>
            <w:gridSpan w:val="2"/>
          </w:tcPr>
          <w:p w:rsidR="000F6C06" w:rsidRDefault="009C0C91" w:rsidP="000F6C06">
            <w:pPr>
              <w:jc w:val="both"/>
            </w:pPr>
            <w:r>
              <w:t>2. punkts</w:t>
            </w:r>
          </w:p>
        </w:tc>
        <w:tc>
          <w:tcPr>
            <w:tcW w:w="1214" w:type="pct"/>
            <w:gridSpan w:val="2"/>
          </w:tcPr>
          <w:p w:rsidR="000F6C06" w:rsidRPr="00E06138" w:rsidRDefault="000F6C06" w:rsidP="00E06138">
            <w:pPr>
              <w:jc w:val="both"/>
              <w:rPr>
                <w:lang w:eastAsia="en-US"/>
              </w:rPr>
            </w:pPr>
            <w:r w:rsidRPr="00E06138">
              <w:rPr>
                <w:lang w:eastAsia="en-US"/>
              </w:rPr>
              <w:t>Ieviests pilnībā</w:t>
            </w:r>
          </w:p>
        </w:tc>
        <w:tc>
          <w:tcPr>
            <w:tcW w:w="1408" w:type="pct"/>
          </w:tcPr>
          <w:p w:rsidR="000F6C06" w:rsidRPr="00E06138" w:rsidRDefault="000F6C06" w:rsidP="00E06138">
            <w:pPr>
              <w:jc w:val="both"/>
              <w:rPr>
                <w:lang w:eastAsia="en-US"/>
              </w:rPr>
            </w:pPr>
            <w:r w:rsidRPr="00E06138">
              <w:rPr>
                <w:lang w:eastAsia="en-US"/>
              </w:rPr>
              <w:t>Neparedz stingrākas prasības kā ES tiesību normas.</w:t>
            </w:r>
          </w:p>
        </w:tc>
      </w:tr>
      <w:tr w:rsidR="009117F4" w:rsidRPr="00E06138" w:rsidTr="00A71AD1">
        <w:tc>
          <w:tcPr>
            <w:tcW w:w="1419" w:type="pct"/>
          </w:tcPr>
          <w:p w:rsidR="009117F4" w:rsidRPr="00E06138" w:rsidRDefault="009117F4" w:rsidP="00E06138">
            <w:pPr>
              <w:jc w:val="both"/>
            </w:pPr>
            <w:r w:rsidRPr="00E06138">
              <w:t>Regulas 1310/2013 6.panta 10.punkts</w:t>
            </w:r>
          </w:p>
        </w:tc>
        <w:tc>
          <w:tcPr>
            <w:tcW w:w="959" w:type="pct"/>
            <w:gridSpan w:val="2"/>
          </w:tcPr>
          <w:p w:rsidR="009117F4" w:rsidRPr="00E06138" w:rsidRDefault="000F6C06" w:rsidP="00A71AD1">
            <w:r>
              <w:t>4</w:t>
            </w:r>
            <w:r w:rsidR="009117F4">
              <w:t xml:space="preserve">. un </w:t>
            </w:r>
            <w:r>
              <w:t>5</w:t>
            </w:r>
            <w:r w:rsidR="009117F4">
              <w:t>.punkts</w:t>
            </w:r>
          </w:p>
        </w:tc>
        <w:tc>
          <w:tcPr>
            <w:tcW w:w="1214" w:type="pct"/>
            <w:gridSpan w:val="2"/>
          </w:tcPr>
          <w:p w:rsidR="009117F4" w:rsidRPr="00E06138" w:rsidRDefault="009117F4" w:rsidP="00E06138">
            <w:pPr>
              <w:jc w:val="both"/>
              <w:rPr>
                <w:lang w:eastAsia="en-US"/>
              </w:rPr>
            </w:pPr>
            <w:r w:rsidRPr="00E06138">
              <w:rPr>
                <w:lang w:eastAsia="en-US"/>
              </w:rPr>
              <w:t>Ieviests pilnībā</w:t>
            </w:r>
          </w:p>
        </w:tc>
        <w:tc>
          <w:tcPr>
            <w:tcW w:w="1408" w:type="pct"/>
          </w:tcPr>
          <w:p w:rsidR="009117F4" w:rsidRPr="00E06138" w:rsidRDefault="009117F4" w:rsidP="00E06138">
            <w:pPr>
              <w:jc w:val="both"/>
              <w:rPr>
                <w:lang w:eastAsia="en-US"/>
              </w:rPr>
            </w:pPr>
            <w:r w:rsidRPr="00E06138">
              <w:rPr>
                <w:lang w:eastAsia="en-US"/>
              </w:rPr>
              <w:t>Neparedz stingrākas prasības kā ES tiesību normas.</w:t>
            </w:r>
          </w:p>
        </w:tc>
      </w:tr>
      <w:tr w:rsidR="009117F4" w:rsidRPr="00E06138" w:rsidTr="00A71AD1">
        <w:tc>
          <w:tcPr>
            <w:tcW w:w="1419" w:type="pct"/>
          </w:tcPr>
          <w:p w:rsidR="009117F4" w:rsidRPr="00E06138" w:rsidRDefault="009117F4" w:rsidP="00E06138">
            <w:r w:rsidRPr="00E06138">
              <w:t>Kā ir izmantota ES tiesību aktā paredzētā rīcības brīvība dalībvalstij pārņemt vai ieviest noteiktas ES tiesību akta normas?</w:t>
            </w:r>
            <w:r w:rsidRPr="00E06138">
              <w:br/>
              <w:t>Kādēļ?</w:t>
            </w:r>
          </w:p>
        </w:tc>
        <w:tc>
          <w:tcPr>
            <w:tcW w:w="3581" w:type="pct"/>
            <w:gridSpan w:val="5"/>
            <w:shd w:val="clear" w:color="auto" w:fill="auto"/>
          </w:tcPr>
          <w:p w:rsidR="009C0C91" w:rsidRDefault="009C0C91" w:rsidP="00110153">
            <w:pPr>
              <w:spacing w:after="120"/>
              <w:jc w:val="both"/>
            </w:pPr>
            <w:r w:rsidRPr="009C0C91">
              <w:t>Regula</w:t>
            </w:r>
            <w:r>
              <w:t>s</w:t>
            </w:r>
            <w:r w:rsidRPr="009C0C91">
              <w:t xml:space="preserve"> Nr.1306/2013 un Regulas </w:t>
            </w:r>
            <w:r w:rsidR="005A7131">
              <w:t>Nr.</w:t>
            </w:r>
            <w:r w:rsidRPr="009C0C91">
              <w:t>1310/2013</w:t>
            </w:r>
            <w:r>
              <w:t xml:space="preserve"> nosacījumi ir jāievieš katrā dalībvalstī, lai </w:t>
            </w:r>
            <w:r w:rsidRPr="009C0C91">
              <w:t>administrē</w:t>
            </w:r>
            <w:r>
              <w:t xml:space="preserve">tu un piešķirtu atbalstu no </w:t>
            </w:r>
            <w:r w:rsidRPr="009C0C91">
              <w:t>Eiropas Lauksaimniecības garantiju fond</w:t>
            </w:r>
            <w:r>
              <w:t>a</w:t>
            </w:r>
            <w:r w:rsidRPr="009C0C91">
              <w:t>, Eiropas Lauksaimniecības fond</w:t>
            </w:r>
            <w:r>
              <w:t>a</w:t>
            </w:r>
            <w:r w:rsidRPr="009C0C91">
              <w:t xml:space="preserve"> lauku attīstībai un Eiropas Zivsaimniecības fond</w:t>
            </w:r>
            <w:r>
              <w:t>a</w:t>
            </w:r>
            <w:r w:rsidRPr="009C0C91">
              <w:t xml:space="preserve">, kā arī valsts un Eiropas Savienības atbalstu </w:t>
            </w:r>
            <w:r w:rsidRPr="009C0C91">
              <w:rPr>
                <w:lang w:eastAsia="en-US"/>
              </w:rPr>
              <w:t>lauksaimniecībai</w:t>
            </w:r>
            <w:r w:rsidRPr="009C0C91">
              <w:t>, lauku un zivsaimniecības attīstībai</w:t>
            </w:r>
            <w:r>
              <w:t>.</w:t>
            </w:r>
          </w:p>
          <w:p w:rsidR="009117F4" w:rsidRPr="00E06138" w:rsidRDefault="009C0C91" w:rsidP="00110153">
            <w:r w:rsidRPr="000F6C06">
              <w:t>Regula</w:t>
            </w:r>
            <w:r>
              <w:t>s</w:t>
            </w:r>
            <w:r w:rsidRPr="000F6C06">
              <w:t xml:space="preserve"> Nr.1306/2013</w:t>
            </w:r>
            <w:r>
              <w:t xml:space="preserve"> 111.pants un</w:t>
            </w:r>
            <w:r w:rsidRPr="008F0704">
              <w:t xml:space="preserve"> </w:t>
            </w:r>
            <w:r w:rsidR="008F0704" w:rsidRPr="008F0704">
              <w:t>Regulas 1310/2013 6.panta 10.punkts</w:t>
            </w:r>
            <w:r w:rsidR="008F0704" w:rsidRPr="008F0704" w:rsidDel="008F0704">
              <w:t xml:space="preserve"> </w:t>
            </w:r>
            <w:r w:rsidR="008F0704" w:rsidRPr="008F0704">
              <w:t>neparedz rīcības brīvību.</w:t>
            </w:r>
          </w:p>
        </w:tc>
      </w:tr>
      <w:tr w:rsidR="009117F4" w:rsidRPr="00E06138" w:rsidTr="00A71AD1">
        <w:tc>
          <w:tcPr>
            <w:tcW w:w="1419" w:type="pct"/>
          </w:tcPr>
          <w:p w:rsidR="009117F4" w:rsidRPr="00E06138" w:rsidRDefault="009117F4" w:rsidP="00E06138">
            <w:r w:rsidRPr="00E0613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81" w:type="pct"/>
            <w:gridSpan w:val="5"/>
          </w:tcPr>
          <w:p w:rsidR="009117F4" w:rsidRPr="00E06138" w:rsidRDefault="009117F4" w:rsidP="00E06138">
            <w:r>
              <w:t>Projekts šo jomu neskar.</w:t>
            </w:r>
          </w:p>
          <w:p w:rsidR="009117F4" w:rsidRPr="00E06138" w:rsidRDefault="009117F4" w:rsidP="00E06138">
            <w:pPr>
              <w:jc w:val="both"/>
            </w:pPr>
          </w:p>
          <w:p w:rsidR="009117F4" w:rsidRPr="00E06138" w:rsidRDefault="009117F4" w:rsidP="00E06138"/>
          <w:p w:rsidR="009117F4" w:rsidRPr="00E06138" w:rsidRDefault="009117F4" w:rsidP="00E06138"/>
          <w:p w:rsidR="009117F4" w:rsidRPr="00E06138" w:rsidRDefault="009117F4" w:rsidP="00E06138"/>
        </w:tc>
      </w:tr>
      <w:tr w:rsidR="009117F4" w:rsidRPr="00E06138" w:rsidTr="00A71AD1">
        <w:tc>
          <w:tcPr>
            <w:tcW w:w="1419" w:type="pct"/>
          </w:tcPr>
          <w:p w:rsidR="009117F4" w:rsidRPr="00E06138" w:rsidRDefault="009117F4" w:rsidP="00E06138">
            <w:r w:rsidRPr="00E06138">
              <w:t>Cita informācija</w:t>
            </w:r>
          </w:p>
        </w:tc>
        <w:tc>
          <w:tcPr>
            <w:tcW w:w="3581" w:type="pct"/>
            <w:gridSpan w:val="5"/>
          </w:tcPr>
          <w:p w:rsidR="009117F4" w:rsidRDefault="009117F4" w:rsidP="00E06138">
            <w:pPr>
              <w:spacing w:before="100" w:beforeAutospacing="1" w:after="100" w:afterAutospacing="1" w:line="360" w:lineRule="auto"/>
            </w:pPr>
            <w:r w:rsidRPr="00E06138">
              <w:t>Nav.</w:t>
            </w:r>
          </w:p>
          <w:p w:rsidR="00563EDD" w:rsidRDefault="00563EDD" w:rsidP="00E06138">
            <w:pPr>
              <w:spacing w:before="100" w:beforeAutospacing="1" w:after="100" w:afterAutospacing="1" w:line="360" w:lineRule="auto"/>
            </w:pPr>
          </w:p>
          <w:p w:rsidR="00563EDD" w:rsidRPr="00E06138" w:rsidRDefault="00563EDD" w:rsidP="00E06138">
            <w:pPr>
              <w:spacing w:before="100" w:beforeAutospacing="1" w:after="100" w:afterAutospacing="1" w:line="360" w:lineRule="auto"/>
            </w:pPr>
          </w:p>
        </w:tc>
      </w:tr>
      <w:tr w:rsidR="009117F4" w:rsidRPr="00E06138" w:rsidTr="00A71AD1">
        <w:tc>
          <w:tcPr>
            <w:tcW w:w="5000" w:type="pct"/>
            <w:gridSpan w:val="6"/>
          </w:tcPr>
          <w:p w:rsidR="009117F4" w:rsidRPr="00E06138" w:rsidRDefault="009117F4" w:rsidP="00E06138">
            <w:pPr>
              <w:spacing w:before="100" w:beforeAutospacing="1" w:after="100" w:afterAutospacing="1"/>
              <w:ind w:firstLine="300"/>
              <w:jc w:val="center"/>
              <w:rPr>
                <w:b/>
                <w:bCs/>
              </w:rPr>
            </w:pPr>
            <w:r w:rsidRPr="00E06138">
              <w:rPr>
                <w:b/>
                <w:bCs/>
              </w:rPr>
              <w:lastRenderedPageBreak/>
              <w:t>2.tabula</w:t>
            </w:r>
            <w:r w:rsidRPr="00E06138">
              <w:rPr>
                <w:b/>
                <w:bCs/>
              </w:rPr>
              <w:br/>
              <w:t>Ar tiesību akta projektu izpildītās vai uzņemtās saistības, kas izriet no starptautiskajiem tiesību aktiem vai starptautiskas institūcijas vai organizācijas dokumentiem.</w:t>
            </w:r>
            <w:r w:rsidRPr="00E06138">
              <w:rPr>
                <w:b/>
                <w:bCs/>
              </w:rPr>
              <w:br/>
              <w:t>Pasākumi šo saistību izpildei</w:t>
            </w:r>
          </w:p>
        </w:tc>
      </w:tr>
      <w:tr w:rsidR="009117F4" w:rsidRPr="00E06138" w:rsidTr="00110153">
        <w:tc>
          <w:tcPr>
            <w:tcW w:w="1819" w:type="pct"/>
            <w:gridSpan w:val="2"/>
          </w:tcPr>
          <w:p w:rsidR="009117F4" w:rsidRPr="00E06138" w:rsidRDefault="009117F4" w:rsidP="00E06138">
            <w:r w:rsidRPr="00E06138">
              <w:t>Attiecīgā starptautiskā tiesību akta vai starptautiskas institūcijas vai organizācijas dokumenta (turpmāk – starptautiskais dokuments) datums, numurs un nosaukums</w:t>
            </w:r>
          </w:p>
        </w:tc>
        <w:tc>
          <w:tcPr>
            <w:tcW w:w="3181" w:type="pct"/>
            <w:gridSpan w:val="4"/>
          </w:tcPr>
          <w:p w:rsidR="009117F4" w:rsidRPr="00E06138" w:rsidRDefault="009117F4" w:rsidP="00E06138">
            <w:r w:rsidRPr="00E06138">
              <w:t>Nav</w:t>
            </w:r>
          </w:p>
        </w:tc>
      </w:tr>
      <w:tr w:rsidR="009117F4" w:rsidRPr="00E06138" w:rsidTr="00110153">
        <w:tc>
          <w:tcPr>
            <w:tcW w:w="1819" w:type="pct"/>
            <w:gridSpan w:val="2"/>
          </w:tcPr>
          <w:p w:rsidR="009117F4" w:rsidRPr="00E06138" w:rsidRDefault="009117F4" w:rsidP="00E06138">
            <w:pPr>
              <w:spacing w:before="100" w:beforeAutospacing="1" w:after="100" w:afterAutospacing="1" w:line="360" w:lineRule="auto"/>
              <w:ind w:firstLine="300"/>
              <w:jc w:val="center"/>
            </w:pPr>
            <w:r w:rsidRPr="00E06138">
              <w:t>A</w:t>
            </w:r>
          </w:p>
        </w:tc>
        <w:tc>
          <w:tcPr>
            <w:tcW w:w="1438" w:type="pct"/>
            <w:gridSpan w:val="2"/>
          </w:tcPr>
          <w:p w:rsidR="009117F4" w:rsidRPr="00E06138" w:rsidRDefault="009117F4" w:rsidP="00E06138">
            <w:pPr>
              <w:spacing w:before="100" w:beforeAutospacing="1" w:after="100" w:afterAutospacing="1" w:line="360" w:lineRule="auto"/>
              <w:ind w:firstLine="300"/>
              <w:jc w:val="center"/>
            </w:pPr>
            <w:r w:rsidRPr="00E06138">
              <w:t>B</w:t>
            </w:r>
          </w:p>
        </w:tc>
        <w:tc>
          <w:tcPr>
            <w:tcW w:w="1744" w:type="pct"/>
            <w:gridSpan w:val="2"/>
          </w:tcPr>
          <w:p w:rsidR="009117F4" w:rsidRPr="00E06138" w:rsidRDefault="009117F4" w:rsidP="00E06138">
            <w:pPr>
              <w:spacing w:before="100" w:beforeAutospacing="1" w:after="100" w:afterAutospacing="1" w:line="360" w:lineRule="auto"/>
              <w:ind w:firstLine="300"/>
              <w:jc w:val="center"/>
            </w:pPr>
            <w:r w:rsidRPr="00E06138">
              <w:t>C</w:t>
            </w:r>
          </w:p>
        </w:tc>
      </w:tr>
      <w:tr w:rsidR="009117F4" w:rsidRPr="00E06138" w:rsidTr="00110153">
        <w:tc>
          <w:tcPr>
            <w:tcW w:w="1819" w:type="pct"/>
            <w:gridSpan w:val="2"/>
          </w:tcPr>
          <w:p w:rsidR="009117F4" w:rsidRPr="00E06138" w:rsidRDefault="009117F4" w:rsidP="00E06138">
            <w:pPr>
              <w:spacing w:before="100" w:beforeAutospacing="1" w:after="100" w:afterAutospacing="1"/>
              <w:ind w:firstLine="300"/>
              <w:jc w:val="center"/>
            </w:pPr>
            <w:r w:rsidRPr="00E06138">
              <w:t>-</w:t>
            </w:r>
          </w:p>
        </w:tc>
        <w:tc>
          <w:tcPr>
            <w:tcW w:w="1438" w:type="pct"/>
            <w:gridSpan w:val="2"/>
          </w:tcPr>
          <w:p w:rsidR="009117F4" w:rsidRPr="00E06138" w:rsidRDefault="009117F4" w:rsidP="00E06138">
            <w:pPr>
              <w:jc w:val="center"/>
            </w:pPr>
            <w:r w:rsidRPr="00E06138">
              <w:t>-</w:t>
            </w:r>
          </w:p>
        </w:tc>
        <w:tc>
          <w:tcPr>
            <w:tcW w:w="1744" w:type="pct"/>
            <w:gridSpan w:val="2"/>
          </w:tcPr>
          <w:p w:rsidR="009117F4" w:rsidRPr="00E06138" w:rsidRDefault="009117F4" w:rsidP="00E06138">
            <w:pPr>
              <w:spacing w:before="100" w:beforeAutospacing="1" w:after="100" w:afterAutospacing="1"/>
              <w:ind w:firstLine="300"/>
              <w:jc w:val="center"/>
            </w:pPr>
            <w:r w:rsidRPr="00E06138">
              <w:t>-</w:t>
            </w:r>
          </w:p>
        </w:tc>
      </w:tr>
      <w:tr w:rsidR="009117F4" w:rsidRPr="00E06138" w:rsidTr="00110153">
        <w:tc>
          <w:tcPr>
            <w:tcW w:w="1819" w:type="pct"/>
            <w:gridSpan w:val="2"/>
          </w:tcPr>
          <w:p w:rsidR="009117F4" w:rsidRPr="00E06138" w:rsidRDefault="009117F4" w:rsidP="00E06138"/>
        </w:tc>
        <w:tc>
          <w:tcPr>
            <w:tcW w:w="1438" w:type="pct"/>
            <w:gridSpan w:val="2"/>
          </w:tcPr>
          <w:p w:rsidR="009117F4" w:rsidRPr="00E06138" w:rsidRDefault="009117F4" w:rsidP="00E06138"/>
        </w:tc>
        <w:tc>
          <w:tcPr>
            <w:tcW w:w="1744" w:type="pct"/>
            <w:gridSpan w:val="2"/>
          </w:tcPr>
          <w:p w:rsidR="009117F4" w:rsidRPr="00E06138" w:rsidRDefault="009117F4" w:rsidP="00E06138">
            <w:pPr>
              <w:spacing w:before="100" w:beforeAutospacing="1" w:after="100" w:afterAutospacing="1"/>
              <w:ind w:firstLine="300"/>
            </w:pPr>
          </w:p>
        </w:tc>
      </w:tr>
      <w:tr w:rsidR="009117F4" w:rsidRPr="00E06138" w:rsidTr="00110153">
        <w:tc>
          <w:tcPr>
            <w:tcW w:w="1819" w:type="pct"/>
            <w:gridSpan w:val="2"/>
          </w:tcPr>
          <w:p w:rsidR="009117F4" w:rsidRPr="00E06138" w:rsidRDefault="009117F4" w:rsidP="00E06138">
            <w:r w:rsidRPr="00E06138">
              <w:t>Vai starptautiskajā dokumentā paredzētās saistības nav pretrunā ar jau esošajām Latvijas Republikas starptautiskajām saistībām</w:t>
            </w:r>
          </w:p>
        </w:tc>
        <w:tc>
          <w:tcPr>
            <w:tcW w:w="3181" w:type="pct"/>
            <w:gridSpan w:val="4"/>
          </w:tcPr>
          <w:p w:rsidR="009117F4" w:rsidRPr="00E06138" w:rsidRDefault="009117F4" w:rsidP="00E06138">
            <w:r w:rsidRPr="00E06138">
              <w:t>Projekts šo jomu neskar.</w:t>
            </w:r>
          </w:p>
        </w:tc>
      </w:tr>
      <w:tr w:rsidR="009117F4" w:rsidRPr="00E06138" w:rsidTr="00110153">
        <w:tc>
          <w:tcPr>
            <w:tcW w:w="1819" w:type="pct"/>
            <w:gridSpan w:val="2"/>
          </w:tcPr>
          <w:p w:rsidR="009117F4" w:rsidRPr="00E06138" w:rsidRDefault="009117F4" w:rsidP="00E06138">
            <w:r w:rsidRPr="00E06138">
              <w:t>Cita informācija</w:t>
            </w:r>
          </w:p>
        </w:tc>
        <w:tc>
          <w:tcPr>
            <w:tcW w:w="3181" w:type="pct"/>
            <w:gridSpan w:val="4"/>
          </w:tcPr>
          <w:p w:rsidR="009117F4" w:rsidRPr="00E06138" w:rsidRDefault="009117F4" w:rsidP="00E06138">
            <w:pPr>
              <w:spacing w:before="100" w:beforeAutospacing="1" w:after="100" w:afterAutospacing="1" w:line="360" w:lineRule="auto"/>
            </w:pPr>
            <w:r w:rsidRPr="00E06138">
              <w:t>Nav.</w:t>
            </w:r>
          </w:p>
        </w:tc>
      </w:tr>
    </w:tbl>
    <w:p w:rsidR="009117F4" w:rsidRPr="00110153" w:rsidRDefault="009117F4" w:rsidP="006B42E1">
      <w:pPr>
        <w:ind w:firstLine="300"/>
        <w:rPr>
          <w:sz w:val="12"/>
        </w:rPr>
      </w:pPr>
      <w:r w:rsidRPr="00110153">
        <w:rPr>
          <w:sz w:val="18"/>
        </w:rPr>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2971"/>
        <w:gridCol w:w="6013"/>
      </w:tblGrid>
      <w:tr w:rsidR="009117F4" w:rsidRPr="00E06138" w:rsidTr="00E06138">
        <w:trPr>
          <w:trHeight w:val="420"/>
        </w:trPr>
        <w:tc>
          <w:tcPr>
            <w:tcW w:w="5000" w:type="pct"/>
            <w:gridSpan w:val="3"/>
          </w:tcPr>
          <w:p w:rsidR="009117F4" w:rsidRPr="00E06138" w:rsidRDefault="009117F4" w:rsidP="00E06138">
            <w:pPr>
              <w:spacing w:before="100" w:beforeAutospacing="1" w:after="100" w:afterAutospacing="1" w:line="360" w:lineRule="auto"/>
              <w:ind w:firstLine="300"/>
              <w:jc w:val="center"/>
              <w:rPr>
                <w:b/>
                <w:bCs/>
              </w:rPr>
            </w:pPr>
            <w:r w:rsidRPr="00E06138">
              <w:rPr>
                <w:b/>
                <w:bCs/>
              </w:rPr>
              <w:t>VI. Sabiedrības līdzdalība un komunikācijas aktivitātes</w:t>
            </w:r>
          </w:p>
        </w:tc>
      </w:tr>
      <w:tr w:rsidR="009117F4" w:rsidRPr="00E06138" w:rsidTr="00A71AD1">
        <w:trPr>
          <w:trHeight w:val="540"/>
        </w:trPr>
        <w:tc>
          <w:tcPr>
            <w:tcW w:w="246" w:type="pct"/>
          </w:tcPr>
          <w:p w:rsidR="009117F4" w:rsidRPr="00E06138" w:rsidRDefault="009117F4" w:rsidP="00E06138">
            <w:r w:rsidRPr="00E06138">
              <w:t>1.</w:t>
            </w:r>
          </w:p>
        </w:tc>
        <w:tc>
          <w:tcPr>
            <w:tcW w:w="1572" w:type="pct"/>
          </w:tcPr>
          <w:p w:rsidR="009117F4" w:rsidRPr="00E06138" w:rsidRDefault="009117F4" w:rsidP="00E06138">
            <w:r w:rsidRPr="00E06138">
              <w:t>Plānotās sabiedrības līdzdalības un komunikācijas aktivitātes saistībā ar projektu</w:t>
            </w:r>
          </w:p>
        </w:tc>
        <w:tc>
          <w:tcPr>
            <w:tcW w:w="3181" w:type="pct"/>
          </w:tcPr>
          <w:p w:rsidR="009117F4" w:rsidRPr="00E06138" w:rsidRDefault="009117F4" w:rsidP="00207BD9">
            <w:pPr>
              <w:jc w:val="both"/>
            </w:pPr>
            <w:r w:rsidRPr="00E06138">
              <w:rPr>
                <w:lang w:eastAsia="en-US"/>
              </w:rPr>
              <w:t>Informācija par grozījumiem noteikumos Nr.573 ievietota Z</w:t>
            </w:r>
            <w:r>
              <w:rPr>
                <w:lang w:eastAsia="en-US"/>
              </w:rPr>
              <w:t>emkopības ministrijas</w:t>
            </w:r>
            <w:r w:rsidRPr="00E06138">
              <w:rPr>
                <w:lang w:eastAsia="en-US"/>
              </w:rPr>
              <w:t xml:space="preserve"> tīmekļa vietnē.</w:t>
            </w:r>
          </w:p>
        </w:tc>
      </w:tr>
      <w:tr w:rsidR="009117F4" w:rsidRPr="00E06138" w:rsidTr="00A71AD1">
        <w:trPr>
          <w:trHeight w:val="330"/>
        </w:trPr>
        <w:tc>
          <w:tcPr>
            <w:tcW w:w="246" w:type="pct"/>
          </w:tcPr>
          <w:p w:rsidR="009117F4" w:rsidRPr="00E06138" w:rsidRDefault="009117F4" w:rsidP="00E06138">
            <w:r w:rsidRPr="00E06138">
              <w:t>2.</w:t>
            </w:r>
          </w:p>
        </w:tc>
        <w:tc>
          <w:tcPr>
            <w:tcW w:w="1572" w:type="pct"/>
          </w:tcPr>
          <w:p w:rsidR="009117F4" w:rsidRPr="00E06138" w:rsidRDefault="009117F4" w:rsidP="00E06138">
            <w:r w:rsidRPr="00E06138">
              <w:t>Sabiedrības līdzdalība projekta izstrādē</w:t>
            </w:r>
          </w:p>
        </w:tc>
        <w:tc>
          <w:tcPr>
            <w:tcW w:w="3181" w:type="pct"/>
          </w:tcPr>
          <w:p w:rsidR="009117F4" w:rsidRPr="00E06138" w:rsidRDefault="009117F4" w:rsidP="00E06138">
            <w:pPr>
              <w:jc w:val="both"/>
              <w:rPr>
                <w:lang w:eastAsia="en-US"/>
              </w:rPr>
            </w:pPr>
            <w:r w:rsidRPr="00E06138">
              <w:t>Nav nepieciešama</w:t>
            </w:r>
          </w:p>
        </w:tc>
      </w:tr>
      <w:tr w:rsidR="009117F4" w:rsidRPr="00E06138" w:rsidTr="00A71AD1">
        <w:trPr>
          <w:trHeight w:val="465"/>
        </w:trPr>
        <w:tc>
          <w:tcPr>
            <w:tcW w:w="246" w:type="pct"/>
          </w:tcPr>
          <w:p w:rsidR="009117F4" w:rsidRPr="00E06138" w:rsidRDefault="009117F4" w:rsidP="00E06138">
            <w:r w:rsidRPr="00E06138">
              <w:t>3.</w:t>
            </w:r>
          </w:p>
        </w:tc>
        <w:tc>
          <w:tcPr>
            <w:tcW w:w="1572" w:type="pct"/>
          </w:tcPr>
          <w:p w:rsidR="009117F4" w:rsidRPr="00E06138" w:rsidRDefault="009117F4" w:rsidP="00E06138">
            <w:r w:rsidRPr="00E06138">
              <w:t>Sabiedrības līdzdalības rezultāti</w:t>
            </w:r>
          </w:p>
        </w:tc>
        <w:tc>
          <w:tcPr>
            <w:tcW w:w="3181" w:type="pct"/>
          </w:tcPr>
          <w:p w:rsidR="009117F4" w:rsidRPr="00E06138" w:rsidRDefault="009117F4" w:rsidP="00E06138">
            <w:pPr>
              <w:jc w:val="both"/>
            </w:pPr>
            <w:r w:rsidRPr="00E06138">
              <w:t>Neattiecas</w:t>
            </w:r>
          </w:p>
        </w:tc>
      </w:tr>
      <w:tr w:rsidR="009117F4" w:rsidRPr="00E06138" w:rsidTr="00A71AD1">
        <w:trPr>
          <w:trHeight w:val="465"/>
        </w:trPr>
        <w:tc>
          <w:tcPr>
            <w:tcW w:w="246" w:type="pct"/>
          </w:tcPr>
          <w:p w:rsidR="009117F4" w:rsidRPr="00E06138" w:rsidRDefault="009117F4" w:rsidP="00E06138">
            <w:r w:rsidRPr="00E06138">
              <w:t>4.</w:t>
            </w:r>
          </w:p>
        </w:tc>
        <w:tc>
          <w:tcPr>
            <w:tcW w:w="1572" w:type="pct"/>
          </w:tcPr>
          <w:p w:rsidR="009117F4" w:rsidRPr="00E06138" w:rsidRDefault="009117F4" w:rsidP="00E06138">
            <w:r w:rsidRPr="00E06138">
              <w:t>Cita informācija</w:t>
            </w:r>
          </w:p>
        </w:tc>
        <w:tc>
          <w:tcPr>
            <w:tcW w:w="3181" w:type="pct"/>
          </w:tcPr>
          <w:p w:rsidR="009117F4" w:rsidRPr="00E06138" w:rsidRDefault="009117F4" w:rsidP="00E06138">
            <w:pPr>
              <w:spacing w:before="100" w:beforeAutospacing="1" w:after="100" w:afterAutospacing="1" w:line="360" w:lineRule="auto"/>
            </w:pPr>
            <w:r w:rsidRPr="00E06138">
              <w:t>Nav.</w:t>
            </w:r>
          </w:p>
        </w:tc>
      </w:tr>
    </w:tbl>
    <w:p w:rsidR="009117F4" w:rsidRPr="00110153" w:rsidRDefault="009117F4" w:rsidP="006B42E1">
      <w:pPr>
        <w:ind w:firstLine="300"/>
        <w:rPr>
          <w:sz w:val="14"/>
        </w:rPr>
      </w:pPr>
      <w:r w:rsidRPr="00110153">
        <w:rPr>
          <w:sz w:val="18"/>
        </w:rPr>
        <w:t> </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
        <w:gridCol w:w="3530"/>
        <w:gridCol w:w="5456"/>
      </w:tblGrid>
      <w:tr w:rsidR="009117F4" w:rsidRPr="00E06138" w:rsidTr="00E06138">
        <w:trPr>
          <w:trHeight w:val="375"/>
        </w:trPr>
        <w:tc>
          <w:tcPr>
            <w:tcW w:w="5000" w:type="pct"/>
            <w:gridSpan w:val="3"/>
          </w:tcPr>
          <w:p w:rsidR="009117F4" w:rsidRPr="00E06138" w:rsidRDefault="009117F4" w:rsidP="00E06138">
            <w:pPr>
              <w:spacing w:before="100" w:beforeAutospacing="1" w:after="100" w:afterAutospacing="1" w:line="360" w:lineRule="auto"/>
              <w:ind w:firstLine="300"/>
              <w:jc w:val="center"/>
              <w:rPr>
                <w:b/>
                <w:bCs/>
              </w:rPr>
            </w:pPr>
            <w:r w:rsidRPr="00E06138">
              <w:rPr>
                <w:b/>
                <w:bCs/>
              </w:rPr>
              <w:t>VII. Tiesību akta projekta izpildes nodrošināšana un tās ietekme uz institūcijām</w:t>
            </w:r>
          </w:p>
        </w:tc>
      </w:tr>
      <w:tr w:rsidR="009117F4" w:rsidRPr="00E06138" w:rsidTr="00E06138">
        <w:trPr>
          <w:trHeight w:val="420"/>
        </w:trPr>
        <w:tc>
          <w:tcPr>
            <w:tcW w:w="245" w:type="pct"/>
          </w:tcPr>
          <w:p w:rsidR="009117F4" w:rsidRPr="00E06138" w:rsidRDefault="009117F4" w:rsidP="00E06138">
            <w:r w:rsidRPr="00E06138">
              <w:t>1.</w:t>
            </w:r>
          </w:p>
        </w:tc>
        <w:tc>
          <w:tcPr>
            <w:tcW w:w="1868" w:type="pct"/>
          </w:tcPr>
          <w:p w:rsidR="009117F4" w:rsidRPr="00E06138" w:rsidRDefault="009117F4" w:rsidP="00E06138">
            <w:r w:rsidRPr="00E06138">
              <w:t>Projekta izpildē iesaistītās institūcijas</w:t>
            </w:r>
          </w:p>
        </w:tc>
        <w:tc>
          <w:tcPr>
            <w:tcW w:w="2887" w:type="pct"/>
          </w:tcPr>
          <w:p w:rsidR="009117F4" w:rsidRPr="00E06138" w:rsidRDefault="009117F4" w:rsidP="00207BD9">
            <w:pPr>
              <w:jc w:val="both"/>
              <w:rPr>
                <w:lang w:eastAsia="en-US"/>
              </w:rPr>
            </w:pPr>
            <w:r w:rsidRPr="00E06138">
              <w:rPr>
                <w:lang w:eastAsia="en-US"/>
              </w:rPr>
              <w:t>L</w:t>
            </w:r>
            <w:r>
              <w:rPr>
                <w:lang w:eastAsia="en-US"/>
              </w:rPr>
              <w:t>auku atbalsta dienests</w:t>
            </w:r>
            <w:r w:rsidRPr="00E06138">
              <w:rPr>
                <w:lang w:eastAsia="en-US"/>
              </w:rPr>
              <w:t xml:space="preserve"> </w:t>
            </w:r>
            <w:r w:rsidR="00207BD9">
              <w:rPr>
                <w:lang w:eastAsia="en-US"/>
              </w:rPr>
              <w:t>administrēs un izmaksās</w:t>
            </w:r>
            <w:r w:rsidRPr="00E06138">
              <w:rPr>
                <w:lang w:eastAsia="en-US"/>
              </w:rPr>
              <w:t xml:space="preserve"> maksājumu</w:t>
            </w:r>
            <w:r w:rsidR="00207BD9">
              <w:rPr>
                <w:lang w:eastAsia="en-US"/>
              </w:rPr>
              <w:t>s</w:t>
            </w:r>
            <w:r w:rsidRPr="00E06138">
              <w:rPr>
                <w:lang w:eastAsia="en-US"/>
              </w:rPr>
              <w:t xml:space="preserve">, </w:t>
            </w:r>
            <w:r w:rsidR="00207BD9">
              <w:rPr>
                <w:lang w:eastAsia="en-US"/>
              </w:rPr>
              <w:t xml:space="preserve">kā arī precizēs </w:t>
            </w:r>
            <w:r w:rsidRPr="00E06138">
              <w:rPr>
                <w:lang w:eastAsia="en-US"/>
              </w:rPr>
              <w:t>lauku bloku</w:t>
            </w:r>
            <w:r w:rsidR="00207BD9">
              <w:rPr>
                <w:lang w:eastAsia="en-US"/>
              </w:rPr>
              <w:t>s</w:t>
            </w:r>
            <w:r w:rsidRPr="00E06138">
              <w:rPr>
                <w:lang w:eastAsia="en-US"/>
              </w:rPr>
              <w:t xml:space="preserve">. </w:t>
            </w:r>
          </w:p>
        </w:tc>
      </w:tr>
      <w:tr w:rsidR="009117F4" w:rsidRPr="00E06138" w:rsidTr="00E06138">
        <w:trPr>
          <w:trHeight w:val="450"/>
        </w:trPr>
        <w:tc>
          <w:tcPr>
            <w:tcW w:w="245" w:type="pct"/>
          </w:tcPr>
          <w:p w:rsidR="009117F4" w:rsidRPr="00E06138" w:rsidRDefault="009117F4" w:rsidP="00E06138">
            <w:r w:rsidRPr="00E06138">
              <w:t>2.</w:t>
            </w:r>
          </w:p>
        </w:tc>
        <w:tc>
          <w:tcPr>
            <w:tcW w:w="1868" w:type="pct"/>
          </w:tcPr>
          <w:p w:rsidR="009117F4" w:rsidRPr="00E06138" w:rsidRDefault="009117F4" w:rsidP="00E06138">
            <w:r w:rsidRPr="00E06138">
              <w:t>Projekta izpildes ietekme uz pārvaldes funkcijām un institucionālo struktūru. Jaunu institūciju izveide, esošu institūciju likvidācija vai reorganizācija, to ietekme uz institūcijas cilvēkresursiem</w:t>
            </w:r>
          </w:p>
        </w:tc>
        <w:tc>
          <w:tcPr>
            <w:tcW w:w="2887" w:type="pct"/>
          </w:tcPr>
          <w:p w:rsidR="009117F4" w:rsidRPr="00E06138" w:rsidRDefault="009117F4" w:rsidP="00E06138">
            <w:r w:rsidRPr="00E06138">
              <w:t>Projekts šo jomu neskar.</w:t>
            </w:r>
          </w:p>
        </w:tc>
      </w:tr>
      <w:tr w:rsidR="009117F4" w:rsidRPr="00E06138" w:rsidTr="00E06138">
        <w:trPr>
          <w:trHeight w:val="390"/>
        </w:trPr>
        <w:tc>
          <w:tcPr>
            <w:tcW w:w="245" w:type="pct"/>
          </w:tcPr>
          <w:p w:rsidR="009117F4" w:rsidRPr="00E06138" w:rsidRDefault="009117F4" w:rsidP="00E06138">
            <w:r w:rsidRPr="00E06138">
              <w:t>3.</w:t>
            </w:r>
          </w:p>
        </w:tc>
        <w:tc>
          <w:tcPr>
            <w:tcW w:w="1868" w:type="pct"/>
          </w:tcPr>
          <w:p w:rsidR="009117F4" w:rsidRPr="00E06138" w:rsidRDefault="009117F4" w:rsidP="00E06138">
            <w:r w:rsidRPr="00E06138">
              <w:t>Cita informācija</w:t>
            </w:r>
          </w:p>
        </w:tc>
        <w:tc>
          <w:tcPr>
            <w:tcW w:w="2887" w:type="pct"/>
          </w:tcPr>
          <w:p w:rsidR="009117F4" w:rsidRPr="00E06138" w:rsidRDefault="009117F4" w:rsidP="00E06138">
            <w:pPr>
              <w:spacing w:before="100" w:beforeAutospacing="1" w:after="100" w:afterAutospacing="1" w:line="360" w:lineRule="auto"/>
            </w:pPr>
            <w:r w:rsidRPr="00E06138">
              <w:t>Nav.</w:t>
            </w:r>
          </w:p>
        </w:tc>
      </w:tr>
    </w:tbl>
    <w:p w:rsidR="009117F4" w:rsidRPr="000E5392" w:rsidRDefault="009117F4" w:rsidP="00232AA2">
      <w:pPr>
        <w:ind w:firstLine="720"/>
        <w:jc w:val="both"/>
        <w:rPr>
          <w:sz w:val="28"/>
          <w:szCs w:val="28"/>
          <w:lang w:eastAsia="en-US"/>
        </w:rPr>
      </w:pPr>
      <w:r w:rsidRPr="000E5392">
        <w:rPr>
          <w:sz w:val="28"/>
          <w:szCs w:val="28"/>
          <w:lang w:eastAsia="en-US"/>
        </w:rPr>
        <w:t xml:space="preserve">Zemkopības ministrs </w:t>
      </w:r>
      <w:r w:rsidRPr="000E5392">
        <w:rPr>
          <w:sz w:val="28"/>
          <w:szCs w:val="28"/>
          <w:lang w:eastAsia="en-US"/>
        </w:rPr>
        <w:tab/>
      </w:r>
      <w:r w:rsidRPr="000E5392">
        <w:rPr>
          <w:sz w:val="28"/>
          <w:szCs w:val="28"/>
          <w:lang w:eastAsia="en-US"/>
        </w:rPr>
        <w:tab/>
      </w:r>
      <w:r w:rsidRPr="000E5392">
        <w:rPr>
          <w:sz w:val="28"/>
          <w:szCs w:val="28"/>
          <w:lang w:eastAsia="en-US"/>
        </w:rPr>
        <w:tab/>
      </w:r>
      <w:r w:rsidRPr="000E5392">
        <w:rPr>
          <w:sz w:val="28"/>
          <w:szCs w:val="28"/>
          <w:lang w:eastAsia="en-US"/>
        </w:rPr>
        <w:tab/>
      </w:r>
      <w:r w:rsidRPr="000E5392">
        <w:rPr>
          <w:sz w:val="28"/>
          <w:szCs w:val="28"/>
          <w:lang w:eastAsia="en-US"/>
        </w:rPr>
        <w:tab/>
      </w:r>
      <w:r w:rsidRPr="000E5392">
        <w:rPr>
          <w:sz w:val="28"/>
          <w:szCs w:val="28"/>
          <w:lang w:eastAsia="en-US"/>
        </w:rPr>
        <w:tab/>
      </w:r>
      <w:proofErr w:type="spellStart"/>
      <w:r w:rsidRPr="000E5392">
        <w:rPr>
          <w:sz w:val="28"/>
          <w:szCs w:val="28"/>
          <w:lang w:eastAsia="en-US"/>
        </w:rPr>
        <w:t>J.Dūklavs</w:t>
      </w:r>
      <w:proofErr w:type="spellEnd"/>
    </w:p>
    <w:p w:rsidR="00563EDD" w:rsidRPr="00563EDD" w:rsidRDefault="00563EDD" w:rsidP="00232AA2">
      <w:pPr>
        <w:jc w:val="both"/>
        <w:rPr>
          <w:sz w:val="20"/>
          <w:szCs w:val="20"/>
          <w:lang w:eastAsia="en-US"/>
        </w:rPr>
      </w:pPr>
      <w:bookmarkStart w:id="4" w:name="OLE_LINK5"/>
      <w:bookmarkStart w:id="5" w:name="OLE_LINK6"/>
      <w:r w:rsidRPr="00563EDD">
        <w:rPr>
          <w:sz w:val="20"/>
          <w:szCs w:val="20"/>
          <w:lang w:eastAsia="en-US"/>
        </w:rPr>
        <w:t>2014.03.19. 8:17</w:t>
      </w:r>
    </w:p>
    <w:bookmarkEnd w:id="4"/>
    <w:bookmarkEnd w:id="5"/>
    <w:p w:rsidR="00563EDD" w:rsidRDefault="00563EDD" w:rsidP="007E5913">
      <w:pPr>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1036</w:t>
      </w:r>
      <w:r>
        <w:rPr>
          <w:sz w:val="20"/>
          <w:szCs w:val="20"/>
        </w:rPr>
        <w:fldChar w:fldCharType="end"/>
      </w:r>
    </w:p>
    <w:p w:rsidR="009117F4" w:rsidRPr="00563EDD" w:rsidRDefault="009117F4" w:rsidP="007E5913">
      <w:pPr>
        <w:rPr>
          <w:sz w:val="20"/>
          <w:szCs w:val="20"/>
          <w:lang w:eastAsia="en-US"/>
        </w:rPr>
      </w:pPr>
      <w:r w:rsidRPr="00563EDD">
        <w:rPr>
          <w:sz w:val="20"/>
          <w:szCs w:val="20"/>
          <w:lang w:eastAsia="en-US"/>
        </w:rPr>
        <w:t>Orlovskis</w:t>
      </w:r>
    </w:p>
    <w:p w:rsidR="009117F4" w:rsidRPr="00563EDD" w:rsidRDefault="009117F4" w:rsidP="007E5913">
      <w:pPr>
        <w:rPr>
          <w:sz w:val="20"/>
          <w:szCs w:val="20"/>
          <w:lang w:eastAsia="en-US"/>
        </w:rPr>
      </w:pPr>
      <w:r w:rsidRPr="00563EDD">
        <w:rPr>
          <w:sz w:val="20"/>
          <w:szCs w:val="20"/>
          <w:lang w:eastAsia="en-US"/>
        </w:rPr>
        <w:t>67027370, Andris.Orlovskis@zm.gov.lv</w:t>
      </w:r>
    </w:p>
    <w:sectPr w:rsidR="009117F4" w:rsidRPr="00563EDD" w:rsidSect="00563EDD">
      <w:headerReference w:type="default" r:id="rId7"/>
      <w:footerReference w:type="default" r:id="rId8"/>
      <w:footerReference w:type="first" r:id="rId9"/>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6D" w:rsidRDefault="00D0076D" w:rsidP="006B42E1">
      <w:pPr>
        <w:rPr>
          <w:rFonts w:ascii="Calibri" w:hAnsi="Calibri"/>
          <w:sz w:val="22"/>
          <w:szCs w:val="22"/>
          <w:lang w:eastAsia="en-US"/>
        </w:rPr>
      </w:pPr>
      <w:r>
        <w:rPr>
          <w:rFonts w:ascii="Calibri" w:hAnsi="Calibri"/>
          <w:sz w:val="22"/>
          <w:szCs w:val="22"/>
          <w:lang w:eastAsia="en-US"/>
        </w:rPr>
        <w:separator/>
      </w:r>
    </w:p>
  </w:endnote>
  <w:endnote w:type="continuationSeparator" w:id="0">
    <w:p w:rsidR="00D0076D" w:rsidRDefault="00D0076D" w:rsidP="006B42E1">
      <w:pPr>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libri Light">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F4" w:rsidRPr="006B42E1" w:rsidRDefault="001A69C7" w:rsidP="00FC3030">
    <w:pPr>
      <w:pStyle w:val="Kjene"/>
      <w:rPr>
        <w:rFonts w:ascii="Times New Roman" w:hAnsi="Times New Roman"/>
      </w:rPr>
    </w:pPr>
    <w:fldSimple w:instr=" FILENAME   \* MERGEFORMAT ">
      <w:r w:rsidR="00A71AD1" w:rsidRPr="00A71AD1">
        <w:rPr>
          <w:rFonts w:ascii="Times New Roman" w:hAnsi="Times New Roman"/>
          <w:noProof/>
          <w:sz w:val="20"/>
          <w:szCs w:val="20"/>
        </w:rPr>
        <w:t>ZMAnot_180314</w:t>
      </w:r>
    </w:fldSimple>
    <w:r w:rsidR="009117F4" w:rsidRPr="006B42E1">
      <w:rPr>
        <w:rFonts w:ascii="Times New Roman" w:hAnsi="Times New Roman"/>
        <w:sz w:val="20"/>
      </w:rPr>
      <w:t xml:space="preserve">; </w:t>
    </w:r>
    <w:r w:rsidR="009117F4" w:rsidRPr="005D3E62">
      <w:rPr>
        <w:rFonts w:ascii="Times New Roman" w:hAnsi="Times New Roman"/>
        <w:sz w:val="20"/>
      </w:rPr>
      <w:t>Grozījum</w:t>
    </w:r>
    <w:r w:rsidR="00207BD9">
      <w:rPr>
        <w:rFonts w:ascii="Times New Roman" w:hAnsi="Times New Roman"/>
        <w:sz w:val="20"/>
      </w:rPr>
      <w:t>i</w:t>
    </w:r>
    <w:r w:rsidR="009117F4" w:rsidRPr="005D3E62">
      <w:rPr>
        <w:rFonts w:ascii="Times New Roman" w:hAnsi="Times New Roman"/>
        <w:sz w:val="20"/>
      </w:rPr>
      <w:t xml:space="preserve"> Ministru kabineta 2009.gada 17.jūnija noteikumos Nr.573 „Kārtība, kādā administrē Eiropas Lauksaimniecības garantiju fondu, Eiropas Lauksaimniecības fondu lauku attīstībai un Eiropas Zivsaimniecības fondu, kā arī valsts un Eiropas Savienības atbalstu lauksaimniecībai, lauku un zivsaimniecības attīstībai”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DD" w:rsidRPr="006B42E1" w:rsidRDefault="00563EDD" w:rsidP="00563EDD">
    <w:pPr>
      <w:pStyle w:val="Kjene"/>
      <w:rPr>
        <w:rFonts w:ascii="Times New Roman" w:hAnsi="Times New Roman"/>
      </w:rPr>
    </w:pPr>
    <w:r>
      <w:fldChar w:fldCharType="begin"/>
    </w:r>
    <w:r>
      <w:instrText xml:space="preserve"> FILENAME   \* MERGEFORMAT </w:instrText>
    </w:r>
    <w:r>
      <w:fldChar w:fldCharType="separate"/>
    </w:r>
    <w:r w:rsidRPr="00A71AD1">
      <w:rPr>
        <w:rFonts w:ascii="Times New Roman" w:hAnsi="Times New Roman"/>
        <w:noProof/>
        <w:sz w:val="20"/>
        <w:szCs w:val="20"/>
      </w:rPr>
      <w:t>ZMAnot_180314</w:t>
    </w:r>
    <w:r>
      <w:fldChar w:fldCharType="end"/>
    </w:r>
    <w:r w:rsidRPr="006B42E1">
      <w:rPr>
        <w:rFonts w:ascii="Times New Roman" w:hAnsi="Times New Roman"/>
        <w:sz w:val="20"/>
      </w:rPr>
      <w:t xml:space="preserve">; </w:t>
    </w:r>
    <w:r w:rsidRPr="005D3E62">
      <w:rPr>
        <w:rFonts w:ascii="Times New Roman" w:hAnsi="Times New Roman"/>
        <w:sz w:val="20"/>
      </w:rPr>
      <w:t>Grozījum</w:t>
    </w:r>
    <w:r>
      <w:rPr>
        <w:rFonts w:ascii="Times New Roman" w:hAnsi="Times New Roman"/>
        <w:sz w:val="20"/>
      </w:rPr>
      <w:t>i</w:t>
    </w:r>
    <w:r w:rsidRPr="005D3E62">
      <w:rPr>
        <w:rFonts w:ascii="Times New Roman" w:hAnsi="Times New Roman"/>
        <w:sz w:val="20"/>
      </w:rPr>
      <w:t xml:space="preserve"> Ministru kabineta 2009.gada 17.jūnija noteikumos Nr.573 „Kārtība, kādā administrē Eiropas Lauksaimniecības garantiju fondu, Eiropas Lauksaimniecības fondu lauku attīstībai un Eiropas Zivsaimniecības fondu, kā arī valsts un Eiropas Savienības atbalstu lauksaimniecībai, lauku un zivsaimniecības attīstībai”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6D" w:rsidRDefault="00D0076D" w:rsidP="006B42E1">
      <w:pPr>
        <w:rPr>
          <w:rFonts w:ascii="Calibri" w:hAnsi="Calibri"/>
          <w:sz w:val="22"/>
          <w:szCs w:val="22"/>
          <w:lang w:eastAsia="en-US"/>
        </w:rPr>
      </w:pPr>
      <w:r>
        <w:rPr>
          <w:rFonts w:ascii="Calibri" w:hAnsi="Calibri"/>
          <w:sz w:val="22"/>
          <w:szCs w:val="22"/>
          <w:lang w:eastAsia="en-US"/>
        </w:rPr>
        <w:separator/>
      </w:r>
    </w:p>
  </w:footnote>
  <w:footnote w:type="continuationSeparator" w:id="0">
    <w:p w:rsidR="00D0076D" w:rsidRDefault="00D0076D" w:rsidP="006B42E1">
      <w:pPr>
        <w:rPr>
          <w:rFonts w:ascii="Calibri" w:hAnsi="Calibri"/>
          <w:sz w:val="22"/>
          <w:szCs w:val="22"/>
          <w:lang w:eastAsia="en-US"/>
        </w:rPr>
      </w:pPr>
      <w:r>
        <w:rPr>
          <w:rFonts w:ascii="Calibri" w:hAnsi="Calibri"/>
          <w:sz w:val="22"/>
          <w:szCs w:val="22"/>
          <w:lang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F4" w:rsidRPr="006B42E1" w:rsidRDefault="001A69C7" w:rsidP="006B42E1">
    <w:pPr>
      <w:pStyle w:val="Galvene"/>
      <w:jc w:val="center"/>
      <w:rPr>
        <w:rFonts w:ascii="Times New Roman" w:hAnsi="Times New Roman"/>
        <w:sz w:val="24"/>
        <w:szCs w:val="24"/>
      </w:rPr>
    </w:pPr>
    <w:r w:rsidRPr="006B42E1">
      <w:rPr>
        <w:rFonts w:ascii="Times New Roman" w:hAnsi="Times New Roman"/>
        <w:sz w:val="24"/>
        <w:szCs w:val="24"/>
      </w:rPr>
      <w:fldChar w:fldCharType="begin"/>
    </w:r>
    <w:r w:rsidR="009117F4" w:rsidRPr="006B42E1">
      <w:rPr>
        <w:rFonts w:ascii="Times New Roman" w:hAnsi="Times New Roman"/>
        <w:sz w:val="24"/>
        <w:szCs w:val="24"/>
      </w:rPr>
      <w:instrText>PAGE   \* MERGEFORMAT</w:instrText>
    </w:r>
    <w:r w:rsidRPr="006B42E1">
      <w:rPr>
        <w:rFonts w:ascii="Times New Roman" w:hAnsi="Times New Roman"/>
        <w:sz w:val="24"/>
        <w:szCs w:val="24"/>
      </w:rPr>
      <w:fldChar w:fldCharType="separate"/>
    </w:r>
    <w:r w:rsidR="00563EDD">
      <w:rPr>
        <w:rFonts w:ascii="Times New Roman" w:hAnsi="Times New Roman"/>
        <w:noProof/>
        <w:sz w:val="24"/>
        <w:szCs w:val="24"/>
      </w:rPr>
      <w:t>4</w:t>
    </w:r>
    <w:r w:rsidRPr="006B42E1">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81B49"/>
    <w:multiLevelType w:val="hybridMultilevel"/>
    <w:tmpl w:val="45B8FFF2"/>
    <w:lvl w:ilvl="0" w:tplc="9206647C">
      <w:start w:val="1"/>
      <w:numFmt w:val="decimal"/>
      <w:lvlText w:val="%1)"/>
      <w:lvlJc w:val="left"/>
      <w:pPr>
        <w:ind w:left="720" w:hanging="360"/>
      </w:pPr>
      <w:rPr>
        <w:rFonts w:ascii="Times New Roman" w:hAnsi="Times New Roman" w:cs="Times New Roman" w:hint="default"/>
        <w:color w:val="C55A11"/>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41DE1666"/>
    <w:multiLevelType w:val="hybridMultilevel"/>
    <w:tmpl w:val="B636DFCA"/>
    <w:lvl w:ilvl="0" w:tplc="CF7C775E">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9D95DFE"/>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6027091D"/>
    <w:multiLevelType w:val="hybridMultilevel"/>
    <w:tmpl w:val="507AB2E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
    <w:nsid w:val="656D5A41"/>
    <w:multiLevelType w:val="hybridMultilevel"/>
    <w:tmpl w:val="DFA07D88"/>
    <w:lvl w:ilvl="0" w:tplc="72B054AA">
      <w:start w:val="1"/>
      <w:numFmt w:val="decimal"/>
      <w:lvlText w:val="%1."/>
      <w:lvlJc w:val="left"/>
      <w:pPr>
        <w:tabs>
          <w:tab w:val="num" w:pos="735"/>
        </w:tabs>
        <w:ind w:left="735" w:hanging="735"/>
      </w:pPr>
      <w:rPr>
        <w:rFonts w:cs="Times New Roman" w:hint="default"/>
      </w:rPr>
    </w:lvl>
    <w:lvl w:ilvl="1" w:tplc="7046CEBC">
      <w:numFmt w:val="none"/>
      <w:lvlText w:val=""/>
      <w:lvlJc w:val="left"/>
      <w:pPr>
        <w:tabs>
          <w:tab w:val="num" w:pos="360"/>
        </w:tabs>
      </w:pPr>
      <w:rPr>
        <w:rFonts w:cs="Times New Roman"/>
      </w:rPr>
    </w:lvl>
    <w:lvl w:ilvl="2" w:tplc="9E629F00">
      <w:numFmt w:val="none"/>
      <w:lvlText w:val=""/>
      <w:lvlJc w:val="left"/>
      <w:pPr>
        <w:tabs>
          <w:tab w:val="num" w:pos="360"/>
        </w:tabs>
      </w:pPr>
      <w:rPr>
        <w:rFonts w:cs="Times New Roman"/>
      </w:rPr>
    </w:lvl>
    <w:lvl w:ilvl="3" w:tplc="738C3EA4">
      <w:numFmt w:val="none"/>
      <w:lvlText w:val=""/>
      <w:lvlJc w:val="left"/>
      <w:pPr>
        <w:tabs>
          <w:tab w:val="num" w:pos="360"/>
        </w:tabs>
      </w:pPr>
      <w:rPr>
        <w:rFonts w:cs="Times New Roman"/>
      </w:rPr>
    </w:lvl>
    <w:lvl w:ilvl="4" w:tplc="62BAD478">
      <w:numFmt w:val="none"/>
      <w:lvlText w:val=""/>
      <w:lvlJc w:val="left"/>
      <w:pPr>
        <w:tabs>
          <w:tab w:val="num" w:pos="360"/>
        </w:tabs>
      </w:pPr>
      <w:rPr>
        <w:rFonts w:cs="Times New Roman"/>
      </w:rPr>
    </w:lvl>
    <w:lvl w:ilvl="5" w:tplc="9A122A92">
      <w:numFmt w:val="none"/>
      <w:lvlText w:val=""/>
      <w:lvlJc w:val="left"/>
      <w:pPr>
        <w:tabs>
          <w:tab w:val="num" w:pos="360"/>
        </w:tabs>
      </w:pPr>
      <w:rPr>
        <w:rFonts w:cs="Times New Roman"/>
      </w:rPr>
    </w:lvl>
    <w:lvl w:ilvl="6" w:tplc="7DBACBE6">
      <w:numFmt w:val="none"/>
      <w:lvlText w:val=""/>
      <w:lvlJc w:val="left"/>
      <w:pPr>
        <w:tabs>
          <w:tab w:val="num" w:pos="360"/>
        </w:tabs>
      </w:pPr>
      <w:rPr>
        <w:rFonts w:cs="Times New Roman"/>
      </w:rPr>
    </w:lvl>
    <w:lvl w:ilvl="7" w:tplc="BC66165C">
      <w:numFmt w:val="none"/>
      <w:lvlText w:val=""/>
      <w:lvlJc w:val="left"/>
      <w:pPr>
        <w:tabs>
          <w:tab w:val="num" w:pos="360"/>
        </w:tabs>
      </w:pPr>
      <w:rPr>
        <w:rFonts w:cs="Times New Roman"/>
      </w:rPr>
    </w:lvl>
    <w:lvl w:ilvl="8" w:tplc="1F0A3654">
      <w:numFmt w:val="none"/>
      <w:lvlText w:val=""/>
      <w:lvlJc w:val="left"/>
      <w:pPr>
        <w:tabs>
          <w:tab w:val="num" w:pos="360"/>
        </w:tabs>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ba Vecmane">
    <w15:presenceInfo w15:providerId="AD" w15:userId="S-1-5-21-1078081533-1682526488-1202660629-125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B42E1"/>
    <w:rsid w:val="00033E73"/>
    <w:rsid w:val="000440CD"/>
    <w:rsid w:val="000454C9"/>
    <w:rsid w:val="00063D28"/>
    <w:rsid w:val="000801E3"/>
    <w:rsid w:val="00091E42"/>
    <w:rsid w:val="000A5E3C"/>
    <w:rsid w:val="000C0408"/>
    <w:rsid w:val="000C3050"/>
    <w:rsid w:val="000E5392"/>
    <w:rsid w:val="000F442A"/>
    <w:rsid w:val="000F6C06"/>
    <w:rsid w:val="000F7756"/>
    <w:rsid w:val="00110153"/>
    <w:rsid w:val="001166CE"/>
    <w:rsid w:val="001175B7"/>
    <w:rsid w:val="00155754"/>
    <w:rsid w:val="001569AB"/>
    <w:rsid w:val="00187981"/>
    <w:rsid w:val="001A69C7"/>
    <w:rsid w:val="002046BC"/>
    <w:rsid w:val="00207BD9"/>
    <w:rsid w:val="00217B23"/>
    <w:rsid w:val="00232AA2"/>
    <w:rsid w:val="002407C0"/>
    <w:rsid w:val="00242542"/>
    <w:rsid w:val="0024414A"/>
    <w:rsid w:val="00282674"/>
    <w:rsid w:val="00286AD9"/>
    <w:rsid w:val="002878F6"/>
    <w:rsid w:val="002A73B3"/>
    <w:rsid w:val="002D34BA"/>
    <w:rsid w:val="002D38B2"/>
    <w:rsid w:val="003057DA"/>
    <w:rsid w:val="003A6DEF"/>
    <w:rsid w:val="00406D01"/>
    <w:rsid w:val="00407235"/>
    <w:rsid w:val="00411EAD"/>
    <w:rsid w:val="00414C2F"/>
    <w:rsid w:val="00475F87"/>
    <w:rsid w:val="004976CD"/>
    <w:rsid w:val="004A64C6"/>
    <w:rsid w:val="004E78FE"/>
    <w:rsid w:val="00507389"/>
    <w:rsid w:val="0053269A"/>
    <w:rsid w:val="00537069"/>
    <w:rsid w:val="00563EDD"/>
    <w:rsid w:val="005A7131"/>
    <w:rsid w:val="005D378D"/>
    <w:rsid w:val="005D3E62"/>
    <w:rsid w:val="005D5A78"/>
    <w:rsid w:val="0060161B"/>
    <w:rsid w:val="00615D84"/>
    <w:rsid w:val="00636649"/>
    <w:rsid w:val="00640D7A"/>
    <w:rsid w:val="00652835"/>
    <w:rsid w:val="006837FD"/>
    <w:rsid w:val="00694786"/>
    <w:rsid w:val="00695CA2"/>
    <w:rsid w:val="006B42E1"/>
    <w:rsid w:val="006E63EB"/>
    <w:rsid w:val="006F7F35"/>
    <w:rsid w:val="00712137"/>
    <w:rsid w:val="00713973"/>
    <w:rsid w:val="007214B3"/>
    <w:rsid w:val="00747171"/>
    <w:rsid w:val="00756595"/>
    <w:rsid w:val="007A6285"/>
    <w:rsid w:val="007E5913"/>
    <w:rsid w:val="007F4058"/>
    <w:rsid w:val="00844242"/>
    <w:rsid w:val="00860EE4"/>
    <w:rsid w:val="00872F1F"/>
    <w:rsid w:val="0087347E"/>
    <w:rsid w:val="008E11FB"/>
    <w:rsid w:val="008E5AF8"/>
    <w:rsid w:val="008F0704"/>
    <w:rsid w:val="009117F4"/>
    <w:rsid w:val="00916218"/>
    <w:rsid w:val="00927AD8"/>
    <w:rsid w:val="009313EC"/>
    <w:rsid w:val="00955F30"/>
    <w:rsid w:val="009656B0"/>
    <w:rsid w:val="009B13DB"/>
    <w:rsid w:val="009C0C91"/>
    <w:rsid w:val="009C769E"/>
    <w:rsid w:val="009F55ED"/>
    <w:rsid w:val="00A14FFA"/>
    <w:rsid w:val="00A23590"/>
    <w:rsid w:val="00A403C0"/>
    <w:rsid w:val="00A50B78"/>
    <w:rsid w:val="00A52144"/>
    <w:rsid w:val="00A71AD1"/>
    <w:rsid w:val="00A9015D"/>
    <w:rsid w:val="00A9468D"/>
    <w:rsid w:val="00B06D15"/>
    <w:rsid w:val="00B242F3"/>
    <w:rsid w:val="00B27603"/>
    <w:rsid w:val="00BC2483"/>
    <w:rsid w:val="00C20A0E"/>
    <w:rsid w:val="00C43D6F"/>
    <w:rsid w:val="00C771E8"/>
    <w:rsid w:val="00C80105"/>
    <w:rsid w:val="00C80D34"/>
    <w:rsid w:val="00CC22CD"/>
    <w:rsid w:val="00CD62E9"/>
    <w:rsid w:val="00D0076D"/>
    <w:rsid w:val="00D124D2"/>
    <w:rsid w:val="00D47335"/>
    <w:rsid w:val="00D53344"/>
    <w:rsid w:val="00D57959"/>
    <w:rsid w:val="00D71DD5"/>
    <w:rsid w:val="00D73309"/>
    <w:rsid w:val="00D9493C"/>
    <w:rsid w:val="00E06138"/>
    <w:rsid w:val="00E2575D"/>
    <w:rsid w:val="00E27AF0"/>
    <w:rsid w:val="00E67821"/>
    <w:rsid w:val="00E9256A"/>
    <w:rsid w:val="00E952EC"/>
    <w:rsid w:val="00EB27A2"/>
    <w:rsid w:val="00EB3F83"/>
    <w:rsid w:val="00EE576A"/>
    <w:rsid w:val="00EF06E9"/>
    <w:rsid w:val="00F23FFF"/>
    <w:rsid w:val="00F75912"/>
    <w:rsid w:val="00FC3030"/>
    <w:rsid w:val="00FC6B2F"/>
    <w:rsid w:val="00FD3369"/>
    <w:rsid w:val="00FF62A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D5A78"/>
    <w:rPr>
      <w:rFonts w:ascii="Times New Roman" w:eastAsia="Times New Roman" w:hAnsi="Times New Roman"/>
      <w:sz w:val="24"/>
      <w:szCs w:val="24"/>
    </w:rPr>
  </w:style>
  <w:style w:type="paragraph" w:styleId="Virsraksts4">
    <w:name w:val="heading 4"/>
    <w:basedOn w:val="Parastais"/>
    <w:next w:val="Parastai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ais"/>
    <w:next w:val="Parastai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ais"/>
    <w:uiPriority w:val="99"/>
    <w:rsid w:val="006B42E1"/>
    <w:pPr>
      <w:spacing w:before="45" w:line="360" w:lineRule="auto"/>
      <w:ind w:firstLine="300"/>
    </w:pPr>
    <w:rPr>
      <w:i/>
      <w:iCs/>
      <w:color w:val="414142"/>
      <w:sz w:val="20"/>
      <w:szCs w:val="20"/>
    </w:rPr>
  </w:style>
  <w:style w:type="paragraph" w:styleId="Galvene">
    <w:name w:val="header"/>
    <w:basedOn w:val="Parastai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ai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ai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ais"/>
    <w:uiPriority w:val="99"/>
    <w:rsid w:val="006837FD"/>
    <w:pPr>
      <w:spacing w:line="360" w:lineRule="auto"/>
      <w:ind w:firstLine="300"/>
    </w:pPr>
    <w:rPr>
      <w:color w:val="414142"/>
      <w:sz w:val="20"/>
      <w:szCs w:val="20"/>
    </w:rPr>
  </w:style>
  <w:style w:type="paragraph" w:styleId="Parakstszemobjekta">
    <w:name w:val="caption"/>
    <w:basedOn w:val="Parastais"/>
    <w:next w:val="Parastai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ais"/>
    <w:next w:val="Parastai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ai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ai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ai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D5A78"/>
    <w:rPr>
      <w:rFonts w:ascii="Times New Roman" w:eastAsia="Times New Roman" w:hAnsi="Times New Roman"/>
      <w:sz w:val="24"/>
      <w:szCs w:val="24"/>
    </w:rPr>
  </w:style>
  <w:style w:type="paragraph" w:styleId="Virsraksts4">
    <w:name w:val="heading 4"/>
    <w:basedOn w:val="Parasts"/>
    <w:next w:val="Parasts"/>
    <w:link w:val="Virsraksts4Rakstz"/>
    <w:uiPriority w:val="99"/>
    <w:qFormat/>
    <w:rsid w:val="00F23FFF"/>
    <w:pPr>
      <w:keepNext/>
      <w:keepLines/>
      <w:spacing w:before="200" w:line="259" w:lineRule="auto"/>
      <w:outlineLvl w:val="3"/>
    </w:pPr>
    <w:rPr>
      <w:rFonts w:ascii="Calibri Light" w:hAnsi="Calibri Light"/>
      <w:b/>
      <w:bCs/>
      <w:i/>
      <w:iCs/>
      <w:color w:val="5B9BD5"/>
      <w:sz w:val="22"/>
      <w:szCs w:val="22"/>
      <w:lang w:eastAsia="en-US"/>
    </w:rPr>
  </w:style>
  <w:style w:type="paragraph" w:styleId="Virsraksts5">
    <w:name w:val="heading 5"/>
    <w:basedOn w:val="Parasts"/>
    <w:next w:val="Parasts"/>
    <w:link w:val="Virsraksts5Rakstz"/>
    <w:uiPriority w:val="99"/>
    <w:qFormat/>
    <w:rsid w:val="00232AA2"/>
    <w:pPr>
      <w:suppressAutoHyphens/>
      <w:spacing w:before="240" w:after="60"/>
      <w:outlineLvl w:val="4"/>
    </w:pPr>
    <w:rPr>
      <w:b/>
      <w:bCs/>
      <w:i/>
      <w:iCs/>
      <w:kern w:val="1"/>
      <w:sz w:val="26"/>
      <w:szCs w:val="26"/>
      <w:lang w:eastAsia="ar-SA"/>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link w:val="Virsraksts4"/>
    <w:uiPriority w:val="99"/>
    <w:semiHidden/>
    <w:locked/>
    <w:rsid w:val="00F23FFF"/>
    <w:rPr>
      <w:rFonts w:ascii="Calibri Light" w:hAnsi="Calibri Light" w:cs="Times New Roman"/>
      <w:b/>
      <w:bCs/>
      <w:i/>
      <w:iCs/>
      <w:color w:val="5B9BD5"/>
    </w:rPr>
  </w:style>
  <w:style w:type="character" w:customStyle="1" w:styleId="Virsraksts5Rakstz">
    <w:name w:val="Virsraksts 5 Rakstz."/>
    <w:link w:val="Virsraksts5"/>
    <w:uiPriority w:val="99"/>
    <w:locked/>
    <w:rsid w:val="00232AA2"/>
    <w:rPr>
      <w:rFonts w:ascii="Times New Roman" w:hAnsi="Times New Roman" w:cs="Times New Roman"/>
      <w:b/>
      <w:bCs/>
      <w:i/>
      <w:iCs/>
      <w:kern w:val="1"/>
      <w:sz w:val="26"/>
      <w:szCs w:val="26"/>
      <w:lang w:eastAsia="ar-SA" w:bidi="ar-SA"/>
    </w:rPr>
  </w:style>
  <w:style w:type="paragraph" w:customStyle="1" w:styleId="labojumupamats1">
    <w:name w:val="labojumu_pamats1"/>
    <w:basedOn w:val="Parasts"/>
    <w:uiPriority w:val="99"/>
    <w:rsid w:val="006B42E1"/>
    <w:pPr>
      <w:spacing w:before="45" w:line="360" w:lineRule="auto"/>
      <w:ind w:firstLine="300"/>
    </w:pPr>
    <w:rPr>
      <w:i/>
      <w:iCs/>
      <w:color w:val="414142"/>
      <w:sz w:val="20"/>
      <w:szCs w:val="20"/>
    </w:rPr>
  </w:style>
  <w:style w:type="paragraph" w:styleId="Galvene">
    <w:name w:val="header"/>
    <w:basedOn w:val="Parasts"/>
    <w:link w:val="GalveneRakstz"/>
    <w:uiPriority w:val="99"/>
    <w:rsid w:val="006B42E1"/>
    <w:pPr>
      <w:tabs>
        <w:tab w:val="center" w:pos="4153"/>
        <w:tab w:val="right" w:pos="8306"/>
      </w:tabs>
    </w:pPr>
    <w:rPr>
      <w:rFonts w:ascii="Calibri" w:eastAsia="Calibri" w:hAnsi="Calibri"/>
      <w:sz w:val="22"/>
      <w:szCs w:val="22"/>
      <w:lang w:eastAsia="en-US"/>
    </w:rPr>
  </w:style>
  <w:style w:type="character" w:customStyle="1" w:styleId="GalveneRakstz">
    <w:name w:val="Galvene Rakstz."/>
    <w:link w:val="Galvene"/>
    <w:uiPriority w:val="99"/>
    <w:locked/>
    <w:rsid w:val="006B42E1"/>
    <w:rPr>
      <w:rFonts w:cs="Times New Roman"/>
    </w:rPr>
  </w:style>
  <w:style w:type="paragraph" w:styleId="Kjene">
    <w:name w:val="footer"/>
    <w:basedOn w:val="Parasts"/>
    <w:link w:val="KjeneRakstz"/>
    <w:uiPriority w:val="99"/>
    <w:rsid w:val="006B42E1"/>
    <w:pPr>
      <w:tabs>
        <w:tab w:val="center" w:pos="4153"/>
        <w:tab w:val="right" w:pos="8306"/>
      </w:tabs>
    </w:pPr>
    <w:rPr>
      <w:rFonts w:ascii="Calibri" w:eastAsia="Calibri" w:hAnsi="Calibri"/>
      <w:sz w:val="22"/>
      <w:szCs w:val="22"/>
      <w:lang w:eastAsia="en-US"/>
    </w:rPr>
  </w:style>
  <w:style w:type="character" w:customStyle="1" w:styleId="KjeneRakstz">
    <w:name w:val="Kājene Rakstz."/>
    <w:link w:val="Kjene"/>
    <w:uiPriority w:val="99"/>
    <w:locked/>
    <w:rsid w:val="006B42E1"/>
    <w:rPr>
      <w:rFonts w:cs="Times New Roman"/>
    </w:rPr>
  </w:style>
  <w:style w:type="table" w:styleId="Reatabula">
    <w:name w:val="Table Grid"/>
    <w:basedOn w:val="Parastatabula"/>
    <w:uiPriority w:val="99"/>
    <w:rsid w:val="00EE57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99"/>
    <w:qFormat/>
    <w:rsid w:val="00EB3F83"/>
    <w:pPr>
      <w:ind w:left="720"/>
    </w:pPr>
    <w:rPr>
      <w:rFonts w:ascii="Calibri" w:eastAsia="Calibri" w:hAnsi="Calibri"/>
      <w:sz w:val="22"/>
      <w:szCs w:val="22"/>
      <w:lang w:eastAsia="en-US"/>
    </w:rPr>
  </w:style>
  <w:style w:type="character" w:customStyle="1" w:styleId="main1">
    <w:name w:val="main1"/>
    <w:uiPriority w:val="99"/>
    <w:rsid w:val="006837FD"/>
    <w:rPr>
      <w:rFonts w:ascii="Verdana" w:hAnsi="Verdana" w:cs="Times New Roman"/>
      <w:color w:val="333333"/>
      <w:sz w:val="17"/>
      <w:szCs w:val="17"/>
    </w:rPr>
  </w:style>
  <w:style w:type="paragraph" w:customStyle="1" w:styleId="tv2131">
    <w:name w:val="tv2131"/>
    <w:basedOn w:val="Parasts"/>
    <w:uiPriority w:val="99"/>
    <w:rsid w:val="006837FD"/>
    <w:pPr>
      <w:spacing w:line="360" w:lineRule="auto"/>
      <w:ind w:firstLine="300"/>
    </w:pPr>
    <w:rPr>
      <w:color w:val="414142"/>
      <w:sz w:val="20"/>
      <w:szCs w:val="20"/>
    </w:rPr>
  </w:style>
  <w:style w:type="paragraph" w:styleId="Parakstszemobjekta">
    <w:name w:val="caption"/>
    <w:basedOn w:val="Parasts"/>
    <w:next w:val="Parasts"/>
    <w:uiPriority w:val="99"/>
    <w:qFormat/>
    <w:rsid w:val="005D5A78"/>
    <w:rPr>
      <w:sz w:val="28"/>
      <w:szCs w:val="28"/>
      <w:lang w:val="en-GB" w:eastAsia="en-US"/>
    </w:rPr>
  </w:style>
  <w:style w:type="character" w:styleId="Hipersaite">
    <w:name w:val="Hyperlink"/>
    <w:uiPriority w:val="99"/>
    <w:rsid w:val="005D5A78"/>
    <w:rPr>
      <w:rFonts w:cs="Times New Roman"/>
      <w:color w:val="0000FF"/>
      <w:u w:val="single"/>
    </w:rPr>
  </w:style>
  <w:style w:type="paragraph" w:customStyle="1" w:styleId="CM1">
    <w:name w:val="CM1"/>
    <w:basedOn w:val="Parasts"/>
    <w:next w:val="Parasts"/>
    <w:uiPriority w:val="99"/>
    <w:rsid w:val="005D5A78"/>
    <w:pPr>
      <w:autoSpaceDE w:val="0"/>
      <w:autoSpaceDN w:val="0"/>
      <w:adjustRightInd w:val="0"/>
    </w:pPr>
    <w:rPr>
      <w:rFonts w:ascii="EUAlbertina" w:hAnsi="EUAlbertina"/>
    </w:rPr>
  </w:style>
  <w:style w:type="paragraph" w:customStyle="1" w:styleId="Default">
    <w:name w:val="Default"/>
    <w:uiPriority w:val="99"/>
    <w:rsid w:val="002407C0"/>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2407C0"/>
    <w:rPr>
      <w:rFonts w:cs="Times New Roman"/>
      <w:color w:val="auto"/>
    </w:rPr>
  </w:style>
  <w:style w:type="paragraph" w:customStyle="1" w:styleId="CM4">
    <w:name w:val="CM4"/>
    <w:basedOn w:val="Default"/>
    <w:next w:val="Default"/>
    <w:uiPriority w:val="99"/>
    <w:rsid w:val="002407C0"/>
    <w:rPr>
      <w:rFonts w:cs="Times New Roman"/>
      <w:color w:val="auto"/>
    </w:rPr>
  </w:style>
  <w:style w:type="paragraph" w:styleId="Balonteksts">
    <w:name w:val="Balloon Text"/>
    <w:basedOn w:val="Parasts"/>
    <w:link w:val="BalontekstsRakstz"/>
    <w:uiPriority w:val="99"/>
    <w:semiHidden/>
    <w:rsid w:val="000F7756"/>
    <w:rPr>
      <w:rFonts w:ascii="Segoe UI" w:eastAsia="Calibri" w:hAnsi="Segoe UI" w:cs="Segoe UI"/>
      <w:sz w:val="18"/>
      <w:szCs w:val="18"/>
      <w:lang w:eastAsia="en-US"/>
    </w:rPr>
  </w:style>
  <w:style w:type="character" w:customStyle="1" w:styleId="BalontekstsRakstz">
    <w:name w:val="Balonteksts Rakstz."/>
    <w:link w:val="Balonteksts"/>
    <w:uiPriority w:val="99"/>
    <w:semiHidden/>
    <w:locked/>
    <w:rsid w:val="000F7756"/>
    <w:rPr>
      <w:rFonts w:ascii="Segoe UI" w:hAnsi="Segoe UI" w:cs="Segoe UI"/>
      <w:sz w:val="18"/>
      <w:szCs w:val="18"/>
    </w:rPr>
  </w:style>
  <w:style w:type="paragraph" w:customStyle="1" w:styleId="naislab">
    <w:name w:val="naislab"/>
    <w:basedOn w:val="Parasts"/>
    <w:uiPriority w:val="99"/>
    <w:rsid w:val="00C80D34"/>
    <w:pPr>
      <w:spacing w:before="100" w:after="100"/>
      <w:jc w:val="right"/>
    </w:pPr>
    <w:rPr>
      <w:rFonts w:eastAsia="Calibri"/>
    </w:rPr>
  </w:style>
  <w:style w:type="character" w:styleId="Komentraatsauce">
    <w:name w:val="annotation reference"/>
    <w:uiPriority w:val="99"/>
    <w:semiHidden/>
    <w:rsid w:val="00CD62E9"/>
    <w:rPr>
      <w:rFonts w:cs="Times New Roman"/>
      <w:sz w:val="16"/>
      <w:szCs w:val="16"/>
    </w:rPr>
  </w:style>
  <w:style w:type="paragraph" w:styleId="Komentrateksts">
    <w:name w:val="annotation text"/>
    <w:basedOn w:val="Parasts"/>
    <w:link w:val="KomentratekstsRakstz"/>
    <w:uiPriority w:val="99"/>
    <w:semiHidden/>
    <w:rsid w:val="00CD62E9"/>
    <w:rPr>
      <w:sz w:val="20"/>
      <w:szCs w:val="20"/>
    </w:rPr>
  </w:style>
  <w:style w:type="character" w:customStyle="1" w:styleId="KomentratekstsRakstz">
    <w:name w:val="Komentāra teksts Rakstz."/>
    <w:link w:val="Komentrateksts"/>
    <w:uiPriority w:val="99"/>
    <w:semiHidden/>
    <w:rsid w:val="002F1DE4"/>
    <w:rPr>
      <w:rFonts w:ascii="Times New Roman" w:eastAsia="Times New Roman" w:hAnsi="Times New Roman"/>
      <w:sz w:val="20"/>
      <w:szCs w:val="20"/>
    </w:rPr>
  </w:style>
  <w:style w:type="paragraph" w:styleId="Komentratma">
    <w:name w:val="annotation subject"/>
    <w:basedOn w:val="Komentrateksts"/>
    <w:next w:val="Komentrateksts"/>
    <w:link w:val="KomentratmaRakstz"/>
    <w:uiPriority w:val="99"/>
    <w:semiHidden/>
    <w:rsid w:val="00CD62E9"/>
    <w:rPr>
      <w:b/>
      <w:bCs/>
    </w:rPr>
  </w:style>
  <w:style w:type="character" w:customStyle="1" w:styleId="KomentratmaRakstz">
    <w:name w:val="Komentāra tēma Rakstz."/>
    <w:link w:val="Komentratma"/>
    <w:uiPriority w:val="99"/>
    <w:semiHidden/>
    <w:rsid w:val="002F1DE4"/>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484934765">
      <w:marLeft w:val="0"/>
      <w:marRight w:val="0"/>
      <w:marTop w:val="0"/>
      <w:marBottom w:val="0"/>
      <w:divBdr>
        <w:top w:val="none" w:sz="0" w:space="0" w:color="auto"/>
        <w:left w:val="none" w:sz="0" w:space="0" w:color="auto"/>
        <w:bottom w:val="none" w:sz="0" w:space="0" w:color="auto"/>
        <w:right w:val="none" w:sz="0" w:space="0" w:color="auto"/>
      </w:divBdr>
      <w:divsChild>
        <w:div w:id="1484934779">
          <w:marLeft w:val="0"/>
          <w:marRight w:val="0"/>
          <w:marTop w:val="0"/>
          <w:marBottom w:val="0"/>
          <w:divBdr>
            <w:top w:val="none" w:sz="0" w:space="0" w:color="auto"/>
            <w:left w:val="none" w:sz="0" w:space="0" w:color="auto"/>
            <w:bottom w:val="none" w:sz="0" w:space="0" w:color="auto"/>
            <w:right w:val="none" w:sz="0" w:space="0" w:color="auto"/>
          </w:divBdr>
          <w:divsChild>
            <w:div w:id="1484934788">
              <w:marLeft w:val="0"/>
              <w:marRight w:val="0"/>
              <w:marTop w:val="0"/>
              <w:marBottom w:val="0"/>
              <w:divBdr>
                <w:top w:val="none" w:sz="0" w:space="0" w:color="auto"/>
                <w:left w:val="none" w:sz="0" w:space="0" w:color="auto"/>
                <w:bottom w:val="none" w:sz="0" w:space="0" w:color="auto"/>
                <w:right w:val="none" w:sz="0" w:space="0" w:color="auto"/>
              </w:divBdr>
              <w:divsChild>
                <w:div w:id="1484934770">
                  <w:marLeft w:val="0"/>
                  <w:marRight w:val="0"/>
                  <w:marTop w:val="0"/>
                  <w:marBottom w:val="0"/>
                  <w:divBdr>
                    <w:top w:val="none" w:sz="0" w:space="0" w:color="auto"/>
                    <w:left w:val="none" w:sz="0" w:space="0" w:color="auto"/>
                    <w:bottom w:val="none" w:sz="0" w:space="0" w:color="auto"/>
                    <w:right w:val="none" w:sz="0" w:space="0" w:color="auto"/>
                  </w:divBdr>
                  <w:divsChild>
                    <w:div w:id="1484934769">
                      <w:marLeft w:val="0"/>
                      <w:marRight w:val="0"/>
                      <w:marTop w:val="0"/>
                      <w:marBottom w:val="0"/>
                      <w:divBdr>
                        <w:top w:val="none" w:sz="0" w:space="0" w:color="auto"/>
                        <w:left w:val="none" w:sz="0" w:space="0" w:color="auto"/>
                        <w:bottom w:val="none" w:sz="0" w:space="0" w:color="auto"/>
                        <w:right w:val="none" w:sz="0" w:space="0" w:color="auto"/>
                      </w:divBdr>
                      <w:divsChild>
                        <w:div w:id="1484934774">
                          <w:marLeft w:val="0"/>
                          <w:marRight w:val="0"/>
                          <w:marTop w:val="0"/>
                          <w:marBottom w:val="0"/>
                          <w:divBdr>
                            <w:top w:val="none" w:sz="0" w:space="0" w:color="auto"/>
                            <w:left w:val="none" w:sz="0" w:space="0" w:color="auto"/>
                            <w:bottom w:val="none" w:sz="0" w:space="0" w:color="auto"/>
                            <w:right w:val="none" w:sz="0" w:space="0" w:color="auto"/>
                          </w:divBdr>
                          <w:divsChild>
                            <w:div w:id="1484934768">
                              <w:marLeft w:val="0"/>
                              <w:marRight w:val="0"/>
                              <w:marTop w:val="400"/>
                              <w:marBottom w:val="0"/>
                              <w:divBdr>
                                <w:top w:val="none" w:sz="0" w:space="0" w:color="auto"/>
                                <w:left w:val="none" w:sz="0" w:space="0" w:color="auto"/>
                                <w:bottom w:val="none" w:sz="0" w:space="0" w:color="auto"/>
                                <w:right w:val="none" w:sz="0" w:space="0" w:color="auto"/>
                              </w:divBdr>
                            </w:div>
                            <w:div w:id="1484934790">
                              <w:marLeft w:val="0"/>
                              <w:marRight w:val="0"/>
                              <w:marTop w:val="240"/>
                              <w:marBottom w:val="0"/>
                              <w:divBdr>
                                <w:top w:val="none" w:sz="0" w:space="0" w:color="auto"/>
                                <w:left w:val="none" w:sz="0" w:space="0" w:color="auto"/>
                                <w:bottom w:val="none" w:sz="0" w:space="0" w:color="auto"/>
                                <w:right w:val="none" w:sz="0" w:space="0" w:color="auto"/>
                              </w:divBdr>
                            </w:div>
                            <w:div w:id="1484934792">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 w:id="1484934766">
      <w:marLeft w:val="0"/>
      <w:marRight w:val="0"/>
      <w:marTop w:val="0"/>
      <w:marBottom w:val="0"/>
      <w:divBdr>
        <w:top w:val="none" w:sz="0" w:space="0" w:color="auto"/>
        <w:left w:val="none" w:sz="0" w:space="0" w:color="auto"/>
        <w:bottom w:val="none" w:sz="0" w:space="0" w:color="auto"/>
        <w:right w:val="none" w:sz="0" w:space="0" w:color="auto"/>
      </w:divBdr>
    </w:div>
    <w:div w:id="1484934767">
      <w:marLeft w:val="0"/>
      <w:marRight w:val="0"/>
      <w:marTop w:val="0"/>
      <w:marBottom w:val="0"/>
      <w:divBdr>
        <w:top w:val="none" w:sz="0" w:space="0" w:color="auto"/>
        <w:left w:val="none" w:sz="0" w:space="0" w:color="auto"/>
        <w:bottom w:val="none" w:sz="0" w:space="0" w:color="auto"/>
        <w:right w:val="none" w:sz="0" w:space="0" w:color="auto"/>
      </w:divBdr>
    </w:div>
    <w:div w:id="1484934771">
      <w:marLeft w:val="0"/>
      <w:marRight w:val="0"/>
      <w:marTop w:val="0"/>
      <w:marBottom w:val="0"/>
      <w:divBdr>
        <w:top w:val="none" w:sz="0" w:space="0" w:color="auto"/>
        <w:left w:val="none" w:sz="0" w:space="0" w:color="auto"/>
        <w:bottom w:val="none" w:sz="0" w:space="0" w:color="auto"/>
        <w:right w:val="none" w:sz="0" w:space="0" w:color="auto"/>
      </w:divBdr>
    </w:div>
    <w:div w:id="1484934780">
      <w:marLeft w:val="0"/>
      <w:marRight w:val="0"/>
      <w:marTop w:val="0"/>
      <w:marBottom w:val="0"/>
      <w:divBdr>
        <w:top w:val="none" w:sz="0" w:space="0" w:color="auto"/>
        <w:left w:val="none" w:sz="0" w:space="0" w:color="auto"/>
        <w:bottom w:val="none" w:sz="0" w:space="0" w:color="auto"/>
        <w:right w:val="none" w:sz="0" w:space="0" w:color="auto"/>
      </w:divBdr>
    </w:div>
    <w:div w:id="1484934781">
      <w:marLeft w:val="0"/>
      <w:marRight w:val="0"/>
      <w:marTop w:val="0"/>
      <w:marBottom w:val="0"/>
      <w:divBdr>
        <w:top w:val="none" w:sz="0" w:space="0" w:color="auto"/>
        <w:left w:val="none" w:sz="0" w:space="0" w:color="auto"/>
        <w:bottom w:val="none" w:sz="0" w:space="0" w:color="auto"/>
        <w:right w:val="none" w:sz="0" w:space="0" w:color="auto"/>
      </w:divBdr>
      <w:divsChild>
        <w:div w:id="1484934782">
          <w:marLeft w:val="0"/>
          <w:marRight w:val="0"/>
          <w:marTop w:val="0"/>
          <w:marBottom w:val="0"/>
          <w:divBdr>
            <w:top w:val="none" w:sz="0" w:space="0" w:color="auto"/>
            <w:left w:val="none" w:sz="0" w:space="0" w:color="auto"/>
            <w:bottom w:val="none" w:sz="0" w:space="0" w:color="auto"/>
            <w:right w:val="none" w:sz="0" w:space="0" w:color="auto"/>
          </w:divBdr>
          <w:divsChild>
            <w:div w:id="1484934785">
              <w:marLeft w:val="0"/>
              <w:marRight w:val="0"/>
              <w:marTop w:val="0"/>
              <w:marBottom w:val="0"/>
              <w:divBdr>
                <w:top w:val="none" w:sz="0" w:space="0" w:color="auto"/>
                <w:left w:val="none" w:sz="0" w:space="0" w:color="auto"/>
                <w:bottom w:val="none" w:sz="0" w:space="0" w:color="auto"/>
                <w:right w:val="none" w:sz="0" w:space="0" w:color="auto"/>
              </w:divBdr>
              <w:divsChild>
                <w:div w:id="1484934776">
                  <w:marLeft w:val="0"/>
                  <w:marRight w:val="0"/>
                  <w:marTop w:val="0"/>
                  <w:marBottom w:val="0"/>
                  <w:divBdr>
                    <w:top w:val="none" w:sz="0" w:space="0" w:color="auto"/>
                    <w:left w:val="none" w:sz="0" w:space="0" w:color="auto"/>
                    <w:bottom w:val="none" w:sz="0" w:space="0" w:color="auto"/>
                    <w:right w:val="none" w:sz="0" w:space="0" w:color="auto"/>
                  </w:divBdr>
                  <w:divsChild>
                    <w:div w:id="1484934791">
                      <w:marLeft w:val="0"/>
                      <w:marRight w:val="0"/>
                      <w:marTop w:val="0"/>
                      <w:marBottom w:val="0"/>
                      <w:divBdr>
                        <w:top w:val="none" w:sz="0" w:space="0" w:color="auto"/>
                        <w:left w:val="none" w:sz="0" w:space="0" w:color="auto"/>
                        <w:bottom w:val="none" w:sz="0" w:space="0" w:color="auto"/>
                        <w:right w:val="none" w:sz="0" w:space="0" w:color="auto"/>
                      </w:divBdr>
                      <w:divsChild>
                        <w:div w:id="1484934784">
                          <w:marLeft w:val="0"/>
                          <w:marRight w:val="0"/>
                          <w:marTop w:val="0"/>
                          <w:marBottom w:val="0"/>
                          <w:divBdr>
                            <w:top w:val="none" w:sz="0" w:space="0" w:color="auto"/>
                            <w:left w:val="none" w:sz="0" w:space="0" w:color="auto"/>
                            <w:bottom w:val="none" w:sz="0" w:space="0" w:color="auto"/>
                            <w:right w:val="none" w:sz="0" w:space="0" w:color="auto"/>
                          </w:divBdr>
                          <w:divsChild>
                            <w:div w:id="14849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934787">
      <w:marLeft w:val="0"/>
      <w:marRight w:val="0"/>
      <w:marTop w:val="0"/>
      <w:marBottom w:val="0"/>
      <w:divBdr>
        <w:top w:val="none" w:sz="0" w:space="0" w:color="auto"/>
        <w:left w:val="none" w:sz="0" w:space="0" w:color="auto"/>
        <w:bottom w:val="none" w:sz="0" w:space="0" w:color="auto"/>
        <w:right w:val="none" w:sz="0" w:space="0" w:color="auto"/>
      </w:divBdr>
      <w:divsChild>
        <w:div w:id="1484934775">
          <w:marLeft w:val="0"/>
          <w:marRight w:val="0"/>
          <w:marTop w:val="0"/>
          <w:marBottom w:val="0"/>
          <w:divBdr>
            <w:top w:val="none" w:sz="0" w:space="0" w:color="auto"/>
            <w:left w:val="none" w:sz="0" w:space="0" w:color="auto"/>
            <w:bottom w:val="none" w:sz="0" w:space="0" w:color="auto"/>
            <w:right w:val="none" w:sz="0" w:space="0" w:color="auto"/>
          </w:divBdr>
          <w:divsChild>
            <w:div w:id="1484934789">
              <w:marLeft w:val="0"/>
              <w:marRight w:val="0"/>
              <w:marTop w:val="0"/>
              <w:marBottom w:val="0"/>
              <w:divBdr>
                <w:top w:val="none" w:sz="0" w:space="0" w:color="auto"/>
                <w:left w:val="none" w:sz="0" w:space="0" w:color="auto"/>
                <w:bottom w:val="none" w:sz="0" w:space="0" w:color="auto"/>
                <w:right w:val="none" w:sz="0" w:space="0" w:color="auto"/>
              </w:divBdr>
              <w:divsChild>
                <w:div w:id="1484934777">
                  <w:marLeft w:val="0"/>
                  <w:marRight w:val="0"/>
                  <w:marTop w:val="0"/>
                  <w:marBottom w:val="0"/>
                  <w:divBdr>
                    <w:top w:val="none" w:sz="0" w:space="0" w:color="auto"/>
                    <w:left w:val="none" w:sz="0" w:space="0" w:color="auto"/>
                    <w:bottom w:val="none" w:sz="0" w:space="0" w:color="auto"/>
                    <w:right w:val="none" w:sz="0" w:space="0" w:color="auto"/>
                  </w:divBdr>
                  <w:divsChild>
                    <w:div w:id="1484934783">
                      <w:marLeft w:val="0"/>
                      <w:marRight w:val="0"/>
                      <w:marTop w:val="0"/>
                      <w:marBottom w:val="0"/>
                      <w:divBdr>
                        <w:top w:val="none" w:sz="0" w:space="0" w:color="auto"/>
                        <w:left w:val="none" w:sz="0" w:space="0" w:color="auto"/>
                        <w:bottom w:val="none" w:sz="0" w:space="0" w:color="auto"/>
                        <w:right w:val="none" w:sz="0" w:space="0" w:color="auto"/>
                      </w:divBdr>
                      <w:divsChild>
                        <w:div w:id="1484934772">
                          <w:marLeft w:val="0"/>
                          <w:marRight w:val="0"/>
                          <w:marTop w:val="0"/>
                          <w:marBottom w:val="0"/>
                          <w:divBdr>
                            <w:top w:val="none" w:sz="0" w:space="0" w:color="auto"/>
                            <w:left w:val="none" w:sz="0" w:space="0" w:color="auto"/>
                            <w:bottom w:val="none" w:sz="0" w:space="0" w:color="auto"/>
                            <w:right w:val="none" w:sz="0" w:space="0" w:color="auto"/>
                          </w:divBdr>
                          <w:divsChild>
                            <w:div w:id="1484934786">
                              <w:marLeft w:val="0"/>
                              <w:marRight w:val="0"/>
                              <w:marTop w:val="0"/>
                              <w:marBottom w:val="0"/>
                              <w:divBdr>
                                <w:top w:val="none" w:sz="0" w:space="0" w:color="auto"/>
                                <w:left w:val="none" w:sz="0" w:space="0" w:color="auto"/>
                                <w:bottom w:val="none" w:sz="0" w:space="0" w:color="auto"/>
                                <w:right w:val="none" w:sz="0" w:space="0" w:color="auto"/>
                              </w:divBdr>
                              <w:divsChild>
                                <w:div w:id="14849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1051</Words>
  <Characters>7307</Characters>
  <Application>Microsoft Office Word</Application>
  <DocSecurity>0</DocSecurity>
  <Lines>281</Lines>
  <Paragraphs>119</Paragraphs>
  <ScaleCrop>false</ScaleCrop>
  <HeadingPairs>
    <vt:vector size="2" baseType="variant">
      <vt:variant>
        <vt:lpstr>Nosaukums</vt:lpstr>
      </vt:variant>
      <vt:variant>
        <vt:i4>1</vt:i4>
      </vt:variant>
    </vt:vector>
  </HeadingPairs>
  <TitlesOfParts>
    <vt:vector size="1" baseType="lpstr">
      <vt:lpstr>Sākotnējās ietekmes novērtējuma ziņojums (anotācija)</vt:lpstr>
    </vt:vector>
  </TitlesOfParts>
  <Company>ZM</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dc:title>
  <dc:subject>Ministru kabineta noteikumu projekta „Grozījumi Ministru kabineta 2009.gada 17.jūnija noteikumos Nr.573 „Kārtība, kādā administrē Eiropas Lauksaimniecības garantiju fondu, Eiropas Lauksaimniecības fondu lauku attīstībai un Eiropas Zivsaimniecības fondu, kā arī valsts un Eiropas Savienības atbalstu lauksaimniecībai, lauku un zivsaimniecības attīstībai””</dc:subject>
  <dc:creator>Andris.Orlovskis@zm.gov.lv</dc:creator>
  <dc:description>67027370, Andris.Orlovskis@zm.gov.lv</dc:description>
  <cp:lastModifiedBy>Renārs Žagars</cp:lastModifiedBy>
  <cp:revision>13</cp:revision>
  <cp:lastPrinted>2014-01-22T10:58:00Z</cp:lastPrinted>
  <dcterms:created xsi:type="dcterms:W3CDTF">2014-03-11T12:43:00Z</dcterms:created>
  <dcterms:modified xsi:type="dcterms:W3CDTF">2014-03-19T06:18:00Z</dcterms:modified>
</cp:coreProperties>
</file>