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Default="00422589" w:rsidP="00760B61">
      <w:pPr>
        <w:spacing w:after="0" w:line="240" w:lineRule="auto"/>
        <w:jc w:val="center"/>
      </w:pPr>
      <w:bookmarkStart w:id="0" w:name="OLE_LINK1"/>
      <w:bookmarkStart w:id="1" w:name="OLE_LINK2"/>
      <w:r w:rsidRPr="00E24A36">
        <w:rPr>
          <w:rFonts w:ascii="Times New Roman" w:hAnsi="Times New Roman"/>
          <w:b/>
          <w:sz w:val="28"/>
          <w:szCs w:val="28"/>
        </w:rPr>
        <w:t>Ministru kabineta noteikumu projekts „</w:t>
      </w:r>
      <w:r w:rsidR="007E7043">
        <w:rPr>
          <w:rFonts w:ascii="Times New Roman" w:hAnsi="Times New Roman"/>
          <w:b/>
          <w:sz w:val="28"/>
          <w:szCs w:val="28"/>
        </w:rPr>
        <w:t>Grozījumi Ministru kabineta 2013.gada 17.decembra n</w:t>
      </w:r>
      <w:r w:rsidRPr="00E24A36">
        <w:rPr>
          <w:rFonts w:ascii="Times New Roman" w:hAnsi="Times New Roman"/>
          <w:b/>
          <w:sz w:val="28"/>
          <w:szCs w:val="28"/>
        </w:rPr>
        <w:t>oteikum</w:t>
      </w:r>
      <w:r w:rsidR="007E7043">
        <w:rPr>
          <w:rFonts w:ascii="Times New Roman" w:hAnsi="Times New Roman"/>
          <w:b/>
          <w:sz w:val="28"/>
          <w:szCs w:val="28"/>
        </w:rPr>
        <w:t>os Nr.1524 „Noteikumi</w:t>
      </w:r>
      <w:r w:rsidRPr="00E24A36">
        <w:rPr>
          <w:rFonts w:ascii="Times New Roman" w:hAnsi="Times New Roman"/>
          <w:b/>
          <w:sz w:val="28"/>
          <w:szCs w:val="28"/>
        </w:rPr>
        <w:t xml:space="preserve"> par valsts atbalstu lauksaimniecībai”</w:t>
      </w:r>
      <w:r w:rsidR="007E7043">
        <w:rPr>
          <w:rFonts w:ascii="Times New Roman" w:hAnsi="Times New Roman"/>
          <w:b/>
          <w:sz w:val="28"/>
          <w:szCs w:val="28"/>
        </w:rPr>
        <w:t>”</w:t>
      </w:r>
      <w:r w:rsidRPr="00E24A36">
        <w:rPr>
          <w:rFonts w:ascii="Times New Roman" w:hAnsi="Times New Roman"/>
          <w:b/>
          <w:sz w:val="28"/>
          <w:szCs w:val="28"/>
        </w:rPr>
        <w:t xml:space="preserve"> </w:t>
      </w:r>
      <w:r w:rsidRPr="00E24A36">
        <w:rPr>
          <w:rFonts w:ascii="Times New Roman" w:hAnsi="Times New Roman"/>
          <w:b/>
          <w:bCs/>
          <w:sz w:val="28"/>
          <w:szCs w:val="28"/>
        </w:rPr>
        <w:t>sākotnējās ietekmes novērtējuma ziņojums</w:t>
      </w:r>
      <w:r w:rsidRPr="00E24A36">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DD7693">
            <w:pPr>
              <w:spacing w:after="0" w:line="240" w:lineRule="auto"/>
              <w:ind w:left="57" w:right="57" w:firstLine="189"/>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7E7043" w:rsidRPr="007E7043">
              <w:rPr>
                <w:rFonts w:ascii="Times New Roman" w:hAnsi="Times New Roman"/>
                <w:sz w:val="24"/>
                <w:szCs w:val="24"/>
              </w:rPr>
              <w:t xml:space="preserve">„Grozījumi Ministru kabineta 2013.gada 17.decembra noteikumos Nr.1524 </w:t>
            </w:r>
            <w:r w:rsidRPr="00CE61C7">
              <w:rPr>
                <w:rFonts w:ascii="Times New Roman" w:hAnsi="Times New Roman"/>
                <w:sz w:val="24"/>
                <w:szCs w:val="24"/>
              </w:rPr>
              <w:t>„Noteikumi par valsts atbalstu lauksaimniecībai</w:t>
            </w:r>
            <w:r>
              <w:rPr>
                <w:rFonts w:ascii="Times New Roman" w:hAnsi="Times New Roman"/>
                <w:sz w:val="24"/>
                <w:szCs w:val="24"/>
              </w:rPr>
              <w:t>”</w:t>
            </w:r>
            <w:r w:rsidR="00C80071">
              <w:rPr>
                <w:rFonts w:ascii="Times New Roman" w:hAnsi="Times New Roman"/>
                <w:sz w:val="24"/>
                <w:szCs w:val="24"/>
              </w:rPr>
              <w:t>”</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Pr>
                <w:rFonts w:ascii="Times New Roman" w:hAnsi="Times New Roman"/>
                <w:sz w:val="24"/>
                <w:szCs w:val="24"/>
              </w:rPr>
              <w:t xml:space="preserve"> un ceturto daļu. </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DD7693" w:rsidRDefault="00C80071" w:rsidP="00DD7693">
            <w:pPr>
              <w:spacing w:after="0" w:line="240" w:lineRule="auto"/>
              <w:ind w:firstLine="24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N</w:t>
            </w:r>
            <w:r w:rsidR="00AF1AC7" w:rsidRPr="00AF1AC7">
              <w:rPr>
                <w:rFonts w:ascii="Times New Roman" w:eastAsia="Calibri" w:hAnsi="Times New Roman" w:cs="Times New Roman"/>
                <w:sz w:val="24"/>
                <w:lang w:eastAsia="en-US"/>
              </w:rPr>
              <w:t>oteikumu projekts attiecas uz dabas resursu, lauksaimnieciskās ražošanas un pārstrādes politikas jomu.</w:t>
            </w:r>
          </w:p>
          <w:p w:rsidR="00DD7693" w:rsidRPr="00DD7693" w:rsidRDefault="00DD7693" w:rsidP="00DD7693">
            <w:pPr>
              <w:spacing w:after="0" w:line="240" w:lineRule="auto"/>
              <w:ind w:firstLine="246"/>
              <w:jc w:val="both"/>
              <w:rPr>
                <w:rFonts w:ascii="Times New Roman" w:eastAsia="Calibri" w:hAnsi="Times New Roman" w:cs="Times New Roman"/>
                <w:sz w:val="24"/>
                <w:lang w:eastAsia="en-US"/>
              </w:rPr>
            </w:pPr>
            <w:r w:rsidRPr="00DD7693">
              <w:rPr>
                <w:rFonts w:ascii="Times New Roman" w:eastAsia="Calibri" w:hAnsi="Times New Roman" w:cs="Times New Roman"/>
                <w:sz w:val="24"/>
                <w:lang w:eastAsia="en-US"/>
              </w:rPr>
              <w:t xml:space="preserve">Spēkā esošajos Ministru kabineta </w:t>
            </w:r>
            <w:r w:rsidRPr="00DD7693">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3</w:t>
            </w:r>
            <w:r w:rsidRPr="00DD7693">
              <w:rPr>
                <w:rFonts w:ascii="Times New Roman" w:eastAsia="Calibri" w:hAnsi="Times New Roman" w:cs="Times New Roman"/>
                <w:sz w:val="24"/>
                <w:szCs w:val="24"/>
                <w:lang w:eastAsia="en-US"/>
              </w:rPr>
              <w:t>.gada 1</w:t>
            </w:r>
            <w:r>
              <w:rPr>
                <w:rFonts w:ascii="Times New Roman" w:eastAsia="Calibri" w:hAnsi="Times New Roman" w:cs="Times New Roman"/>
                <w:sz w:val="24"/>
                <w:szCs w:val="24"/>
                <w:lang w:eastAsia="en-US"/>
              </w:rPr>
              <w:t>7</w:t>
            </w:r>
            <w:r w:rsidRPr="00DD769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decemb</w:t>
            </w:r>
            <w:r w:rsidRPr="00DD7693">
              <w:rPr>
                <w:rFonts w:ascii="Times New Roman" w:eastAsia="Calibri" w:hAnsi="Times New Roman" w:cs="Times New Roman"/>
                <w:sz w:val="24"/>
                <w:szCs w:val="24"/>
                <w:lang w:eastAsia="en-US"/>
              </w:rPr>
              <w:t>ra noteikumos Nr.1</w:t>
            </w:r>
            <w:r>
              <w:rPr>
                <w:rFonts w:ascii="Times New Roman" w:eastAsia="Calibri" w:hAnsi="Times New Roman" w:cs="Times New Roman"/>
                <w:sz w:val="24"/>
                <w:szCs w:val="24"/>
                <w:lang w:eastAsia="en-US"/>
              </w:rPr>
              <w:t>524</w:t>
            </w:r>
            <w:r w:rsidRPr="00DD7693">
              <w:rPr>
                <w:rFonts w:ascii="Times New Roman" w:eastAsia="Calibri" w:hAnsi="Times New Roman" w:cs="Times New Roman"/>
                <w:sz w:val="24"/>
                <w:szCs w:val="24"/>
                <w:lang w:eastAsia="en-US"/>
              </w:rPr>
              <w:t xml:space="preserve"> „Noteikumi par valsts atbalstu lauksaimniecībai” (turpmāk – noteikumi Nr.1</w:t>
            </w:r>
            <w:r>
              <w:rPr>
                <w:rFonts w:ascii="Times New Roman" w:eastAsia="Calibri" w:hAnsi="Times New Roman" w:cs="Times New Roman"/>
                <w:sz w:val="24"/>
                <w:szCs w:val="24"/>
                <w:lang w:eastAsia="en-US"/>
              </w:rPr>
              <w:t>524</w:t>
            </w:r>
            <w:r w:rsidRPr="00DD7693">
              <w:rPr>
                <w:rFonts w:ascii="Times New Roman" w:eastAsia="Calibri" w:hAnsi="Times New Roman" w:cs="Times New Roman"/>
                <w:sz w:val="24"/>
                <w:szCs w:val="24"/>
                <w:lang w:eastAsia="en-US"/>
              </w:rPr>
              <w:t xml:space="preserve">) </w:t>
            </w:r>
            <w:r w:rsidRPr="00DD7693">
              <w:rPr>
                <w:rFonts w:ascii="Times New Roman" w:eastAsia="Calibri" w:hAnsi="Times New Roman" w:cs="Times New Roman"/>
                <w:sz w:val="24"/>
                <w:lang w:eastAsia="en-US"/>
              </w:rPr>
              <w:t>ir noteikti valsts atbalsta pasākumi lauksaimniecības attīstībai, valsts atbalsta apmērs, piešķiršanas kritēriji un kārtība 201</w:t>
            </w:r>
            <w:r>
              <w:rPr>
                <w:rFonts w:ascii="Times New Roman" w:eastAsia="Calibri" w:hAnsi="Times New Roman" w:cs="Times New Roman"/>
                <w:sz w:val="24"/>
                <w:lang w:eastAsia="en-US"/>
              </w:rPr>
              <w:t>4</w:t>
            </w:r>
            <w:r w:rsidRPr="00DD7693">
              <w:rPr>
                <w:rFonts w:ascii="Times New Roman" w:eastAsia="Calibri" w:hAnsi="Times New Roman" w:cs="Times New Roman"/>
                <w:sz w:val="24"/>
                <w:lang w:eastAsia="en-US"/>
              </w:rPr>
              <w:t>.gadam.</w:t>
            </w:r>
          </w:p>
          <w:p w:rsid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4</w:t>
            </w:r>
            <w:r w:rsidRPr="00AF1AC7">
              <w:rPr>
                <w:rFonts w:ascii="Times New Roman" w:eastAsia="Calibri" w:hAnsi="Times New Roman" w:cs="Times New Roman"/>
                <w:sz w:val="24"/>
                <w:szCs w:val="24"/>
                <w:lang w:eastAsia="en-US"/>
              </w:rPr>
              <w:t>.gad</w:t>
            </w:r>
            <w:r w:rsidR="00C80071">
              <w:rPr>
                <w:rFonts w:ascii="Times New Roman" w:eastAsia="Calibri" w:hAnsi="Times New Roman" w:cs="Times New Roman"/>
                <w:sz w:val="24"/>
                <w:szCs w:val="24"/>
                <w:lang w:eastAsia="en-US"/>
              </w:rPr>
              <w:t>ā</w:t>
            </w:r>
            <w:r w:rsidRPr="00AF1AC7">
              <w:rPr>
                <w:rFonts w:ascii="Times New Roman" w:eastAsia="Calibri" w:hAnsi="Times New Roman" w:cs="Times New Roman"/>
                <w:sz w:val="24"/>
                <w:szCs w:val="24"/>
                <w:lang w:eastAsia="en-US"/>
              </w:rPr>
              <w:t xml:space="preserve">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316A48">
              <w:rPr>
                <w:rFonts w:ascii="Times New Roman" w:eastAsia="Calibri" w:hAnsi="Times New Roman" w:cs="Times New Roman"/>
                <w:bCs/>
                <w:color w:val="000000"/>
                <w:sz w:val="24"/>
                <w:szCs w:val="24"/>
              </w:rPr>
              <w:t xml:space="preserve">9 147 352 </w:t>
            </w:r>
            <w:r w:rsidR="00316A48" w:rsidRPr="00316A48">
              <w:rPr>
                <w:rFonts w:ascii="Times New Roman" w:eastAsia="Calibri" w:hAnsi="Times New Roman" w:cs="Times New Roman"/>
                <w:bCs/>
                <w:i/>
                <w:color w:val="000000"/>
                <w:sz w:val="24"/>
                <w:szCs w:val="24"/>
              </w:rPr>
              <w:t>euro</w:t>
            </w:r>
            <w:r w:rsidRPr="00AF1AC7">
              <w:rPr>
                <w:rFonts w:ascii="Times New Roman" w:eastAsia="Calibri" w:hAnsi="Times New Roman" w:cs="Times New Roman"/>
                <w:sz w:val="24"/>
                <w:szCs w:val="24"/>
                <w:lang w:eastAsia="en-US"/>
              </w:rPr>
              <w:t>.</w:t>
            </w:r>
          </w:p>
          <w:p w:rsidR="00701D0C" w:rsidRDefault="00DD7693"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Noteikumu Nr.1524 atbalsta pasākum</w:t>
            </w:r>
            <w:r w:rsidR="00701D0C">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„Atbalsts </w:t>
            </w:r>
            <w:r w:rsidR="00701D0C">
              <w:rPr>
                <w:rFonts w:ascii="Times New Roman" w:eastAsia="Calibri" w:hAnsi="Times New Roman" w:cs="Times New Roman"/>
                <w:sz w:val="24"/>
                <w:szCs w:val="24"/>
                <w:lang w:eastAsia="en-US"/>
              </w:rPr>
              <w:t>lauksaimniecībā izmantojamiem zinātnes projektiem</w:t>
            </w:r>
            <w:r>
              <w:rPr>
                <w:rFonts w:ascii="Times New Roman" w:eastAsia="Calibri" w:hAnsi="Times New Roman" w:cs="Times New Roman"/>
                <w:sz w:val="24"/>
                <w:szCs w:val="24"/>
                <w:lang w:eastAsia="en-US"/>
              </w:rPr>
              <w:t>”</w:t>
            </w:r>
            <w:r w:rsidR="00701D0C">
              <w:rPr>
                <w:rFonts w:ascii="Times New Roman" w:eastAsia="Calibri" w:hAnsi="Times New Roman" w:cs="Times New Roman"/>
                <w:sz w:val="24"/>
                <w:szCs w:val="24"/>
                <w:lang w:eastAsia="en-US"/>
              </w:rPr>
              <w:t xml:space="preserve"> mērķis</w:t>
            </w:r>
            <w:r w:rsidR="00AA05B9">
              <w:rPr>
                <w:rFonts w:ascii="Times New Roman" w:eastAsia="Calibri" w:hAnsi="Times New Roman" w:cs="Times New Roman"/>
                <w:sz w:val="24"/>
                <w:szCs w:val="24"/>
                <w:lang w:eastAsia="en-US"/>
              </w:rPr>
              <w:t xml:space="preserve"> ir </w:t>
            </w:r>
            <w:r w:rsidR="00701D0C">
              <w:rPr>
                <w:rFonts w:ascii="Times New Roman" w:eastAsia="Calibri" w:hAnsi="Times New Roman" w:cs="Times New Roman"/>
                <w:sz w:val="24"/>
                <w:szCs w:val="24"/>
                <w:lang w:eastAsia="en-US"/>
              </w:rPr>
              <w:t xml:space="preserve">veicināt zinātnes projektu praktisku izmantošanu lauksaimniecības produkcijas ražošanā. Augkopības nozarē galvenais produkcijas ražošanas avots ir lauksaimniecībā izmantojamā zeme (turpmāk – LIZ), kas ir arī Latvijas dabas resurss. </w:t>
            </w:r>
            <w:r w:rsidR="00BD130A">
              <w:rPr>
                <w:rFonts w:ascii="Times New Roman" w:eastAsia="Calibri" w:hAnsi="Times New Roman" w:cs="Times New Roman"/>
                <w:sz w:val="24"/>
                <w:szCs w:val="24"/>
                <w:lang w:eastAsia="en-US"/>
              </w:rPr>
              <w:t>Kopējā tirgus konkurences apstākļos, lai iegūtu maksimālās graudaugu ražas, LIZ tiek i</w:t>
            </w:r>
            <w:r w:rsidR="00701D0C">
              <w:rPr>
                <w:rFonts w:ascii="Times New Roman" w:eastAsia="Calibri" w:hAnsi="Times New Roman" w:cs="Times New Roman"/>
                <w:sz w:val="24"/>
                <w:szCs w:val="24"/>
                <w:lang w:eastAsia="en-US"/>
              </w:rPr>
              <w:t>ntensīvi izmantot</w:t>
            </w:r>
            <w:r w:rsidR="00BD130A">
              <w:rPr>
                <w:rFonts w:ascii="Times New Roman" w:eastAsia="Calibri" w:hAnsi="Times New Roman" w:cs="Times New Roman"/>
                <w:sz w:val="24"/>
                <w:szCs w:val="24"/>
                <w:lang w:eastAsia="en-US"/>
              </w:rPr>
              <w:t>a un ir</w:t>
            </w:r>
            <w:r w:rsidR="00701D0C">
              <w:rPr>
                <w:rFonts w:ascii="Times New Roman" w:eastAsia="Calibri" w:hAnsi="Times New Roman" w:cs="Times New Roman"/>
                <w:sz w:val="24"/>
                <w:szCs w:val="24"/>
                <w:lang w:eastAsia="en-US"/>
              </w:rPr>
              <w:t xml:space="preserve"> nepieciešams to bagātināt ar mēslošanas līdzekļiem. </w:t>
            </w:r>
            <w:r w:rsidR="005D5044">
              <w:rPr>
                <w:rFonts w:ascii="Times New Roman" w:eastAsia="Calibri" w:hAnsi="Times New Roman" w:cs="Times New Roman"/>
                <w:sz w:val="24"/>
                <w:szCs w:val="24"/>
                <w:lang w:eastAsia="en-US"/>
              </w:rPr>
              <w:t xml:space="preserve">Lai mazinātu lietoto minerālmēslu ietekmi uz </w:t>
            </w:r>
            <w:r w:rsidR="00BD130A">
              <w:rPr>
                <w:rFonts w:ascii="Times New Roman" w:eastAsia="Calibri" w:hAnsi="Times New Roman" w:cs="Times New Roman"/>
                <w:sz w:val="24"/>
                <w:szCs w:val="24"/>
                <w:lang w:eastAsia="en-US"/>
              </w:rPr>
              <w:t xml:space="preserve">apkārtējo </w:t>
            </w:r>
            <w:r w:rsidR="005D5044">
              <w:rPr>
                <w:rFonts w:ascii="Times New Roman" w:eastAsia="Calibri" w:hAnsi="Times New Roman" w:cs="Times New Roman"/>
                <w:sz w:val="24"/>
                <w:szCs w:val="24"/>
                <w:lang w:eastAsia="en-US"/>
              </w:rPr>
              <w:t>vidi, k</w:t>
            </w:r>
            <w:r w:rsidR="00701D0C">
              <w:rPr>
                <w:rFonts w:ascii="Times New Roman" w:eastAsia="Calibri" w:hAnsi="Times New Roman" w:cs="Times New Roman"/>
                <w:sz w:val="24"/>
                <w:szCs w:val="24"/>
                <w:lang w:eastAsia="en-US"/>
              </w:rPr>
              <w:t>opš 2008.gada ar valsts atbalstu ir īstenots</w:t>
            </w:r>
            <w:r w:rsidR="005D5044">
              <w:rPr>
                <w:rFonts w:ascii="Times New Roman" w:eastAsia="Calibri" w:hAnsi="Times New Roman" w:cs="Times New Roman"/>
                <w:sz w:val="24"/>
                <w:szCs w:val="24"/>
                <w:lang w:eastAsia="en-US"/>
              </w:rPr>
              <w:t xml:space="preserve"> zinātnes projekts „</w:t>
            </w:r>
            <w:r w:rsidR="005D5044" w:rsidRPr="005D5044">
              <w:rPr>
                <w:rFonts w:ascii="Times New Roman" w:eastAsia="Calibri" w:hAnsi="Times New Roman" w:cs="Times New Roman"/>
                <w:sz w:val="24"/>
                <w:szCs w:val="24"/>
                <w:lang w:eastAsia="en-US"/>
              </w:rPr>
              <w:t>Minerālmēslu maksimālo normu noteikšana kultūraugiem</w:t>
            </w:r>
            <w:r w:rsidR="005D5044">
              <w:rPr>
                <w:rFonts w:ascii="Times New Roman" w:eastAsia="Calibri" w:hAnsi="Times New Roman" w:cs="Times New Roman"/>
                <w:sz w:val="24"/>
                <w:szCs w:val="24"/>
                <w:lang w:eastAsia="en-US"/>
              </w:rPr>
              <w:t>”</w:t>
            </w:r>
            <w:r w:rsidR="00C42276">
              <w:rPr>
                <w:rFonts w:ascii="Times New Roman" w:eastAsia="Calibri" w:hAnsi="Times New Roman" w:cs="Times New Roman"/>
                <w:sz w:val="24"/>
                <w:szCs w:val="24"/>
                <w:lang w:eastAsia="en-US"/>
              </w:rPr>
              <w:t>.</w:t>
            </w:r>
            <w:r w:rsidR="00E77E7F">
              <w:rPr>
                <w:rFonts w:ascii="Times New Roman" w:eastAsia="Calibri" w:hAnsi="Times New Roman" w:cs="Times New Roman"/>
                <w:sz w:val="24"/>
                <w:szCs w:val="24"/>
                <w:lang w:eastAsia="en-US"/>
              </w:rPr>
              <w:t xml:space="preserve"> Lauksaimnieku nevalstiskās organizācijas ir izteikušas priekšlikumu šo zinātnes projektu turpināt arī šogad un nākamajos gados. Lai noteiktu augsnes agroķīmiskos rādītājus</w:t>
            </w:r>
            <w:r w:rsidR="00C80071">
              <w:rPr>
                <w:rFonts w:ascii="Times New Roman" w:eastAsia="Calibri" w:hAnsi="Times New Roman" w:cs="Times New Roman"/>
                <w:sz w:val="24"/>
                <w:szCs w:val="24"/>
                <w:lang w:eastAsia="en-US"/>
              </w:rPr>
              <w:t xml:space="preserve"> un</w:t>
            </w:r>
            <w:r w:rsidR="00E77E7F">
              <w:rPr>
                <w:rFonts w:ascii="Times New Roman" w:eastAsia="Calibri" w:hAnsi="Times New Roman" w:cs="Times New Roman"/>
                <w:sz w:val="24"/>
                <w:szCs w:val="24"/>
                <w:lang w:eastAsia="en-US"/>
              </w:rPr>
              <w:t xml:space="preserve"> slāpekļa dinamiku augsnē veģetācijas periodā, ir nepieciešams turpināt 2008.gadā uzsākto pētījumu par minerālmēslu maksimālo normu noteikšanu. Tāpēc noteikumu projekta 1. un 2.punktā ir palielināts finansējums</w:t>
            </w:r>
            <w:r w:rsidR="00E77E7F">
              <w:t xml:space="preserve"> </w:t>
            </w:r>
            <w:r w:rsidR="00E77E7F" w:rsidRPr="00E77E7F">
              <w:rPr>
                <w:rFonts w:ascii="Times New Roman" w:eastAsia="Calibri" w:hAnsi="Times New Roman" w:cs="Times New Roman"/>
                <w:sz w:val="24"/>
                <w:szCs w:val="24"/>
                <w:lang w:eastAsia="en-US"/>
              </w:rPr>
              <w:t xml:space="preserve">lauksaimniecībā izmantojamiem zinātnes projektiem </w:t>
            </w:r>
            <w:r w:rsidR="00E77E7F">
              <w:rPr>
                <w:rFonts w:ascii="Times New Roman" w:eastAsia="Calibri" w:hAnsi="Times New Roman" w:cs="Times New Roman"/>
                <w:sz w:val="24"/>
                <w:szCs w:val="24"/>
                <w:lang w:eastAsia="en-US"/>
              </w:rPr>
              <w:t xml:space="preserve">par 12 325 </w:t>
            </w:r>
            <w:r w:rsidR="00E77E7F" w:rsidRPr="00E77E7F">
              <w:rPr>
                <w:rFonts w:ascii="Times New Roman" w:eastAsia="Calibri" w:hAnsi="Times New Roman" w:cs="Times New Roman"/>
                <w:i/>
                <w:sz w:val="24"/>
                <w:szCs w:val="24"/>
                <w:lang w:eastAsia="en-US"/>
              </w:rPr>
              <w:t>euro</w:t>
            </w:r>
            <w:r w:rsidR="00E77E7F">
              <w:rPr>
                <w:rFonts w:ascii="Times New Roman" w:eastAsia="Calibri" w:hAnsi="Times New Roman" w:cs="Times New Roman"/>
                <w:sz w:val="24"/>
                <w:szCs w:val="24"/>
                <w:lang w:eastAsia="en-US"/>
              </w:rPr>
              <w:t xml:space="preserve"> un 3.punktā par minēto summu ir samazināts kopējais finansējums</w:t>
            </w:r>
            <w:r w:rsidR="009B77D1">
              <w:rPr>
                <w:rFonts w:ascii="Times New Roman" w:eastAsia="Calibri" w:hAnsi="Times New Roman" w:cs="Times New Roman"/>
                <w:sz w:val="24"/>
                <w:szCs w:val="24"/>
                <w:lang w:eastAsia="en-US"/>
              </w:rPr>
              <w:t xml:space="preserve">, jo noteikumu Nr.1524 2.8.apakšpunktā </w:t>
            </w:r>
            <w:r w:rsidR="00C80071">
              <w:rPr>
                <w:rFonts w:ascii="Times New Roman" w:eastAsia="Calibri" w:hAnsi="Times New Roman" w:cs="Times New Roman"/>
                <w:sz w:val="24"/>
                <w:szCs w:val="24"/>
                <w:lang w:eastAsia="en-US"/>
              </w:rPr>
              <w:t xml:space="preserve">minētajiem pasākumiem </w:t>
            </w:r>
            <w:r w:rsidR="009B77D1">
              <w:rPr>
                <w:rFonts w:ascii="Times New Roman" w:eastAsia="Calibri" w:hAnsi="Times New Roman" w:cs="Times New Roman"/>
                <w:sz w:val="24"/>
                <w:szCs w:val="24"/>
                <w:lang w:eastAsia="en-US"/>
              </w:rPr>
              <w:t>veidojas finansējuma pārpalikums</w:t>
            </w:r>
            <w:r w:rsidR="00E77E7F">
              <w:rPr>
                <w:rFonts w:ascii="Times New Roman" w:eastAsia="Calibri" w:hAnsi="Times New Roman" w:cs="Times New Roman"/>
                <w:sz w:val="24"/>
                <w:szCs w:val="24"/>
                <w:lang w:eastAsia="en-US"/>
              </w:rPr>
              <w:t xml:space="preserve">. Noteikumu </w:t>
            </w:r>
            <w:r w:rsidR="00C92886">
              <w:rPr>
                <w:rFonts w:ascii="Times New Roman" w:eastAsia="Calibri" w:hAnsi="Times New Roman" w:cs="Times New Roman"/>
                <w:sz w:val="24"/>
                <w:szCs w:val="24"/>
                <w:lang w:eastAsia="en-US"/>
              </w:rPr>
              <w:t>projekta 4.punktā, lai turpinātu uzsākto</w:t>
            </w:r>
            <w:r w:rsidR="00C92886">
              <w:t xml:space="preserve"> </w:t>
            </w:r>
            <w:r w:rsidR="00C92886" w:rsidRPr="00C92886">
              <w:rPr>
                <w:rFonts w:ascii="Times New Roman" w:eastAsia="Calibri" w:hAnsi="Times New Roman" w:cs="Times New Roman"/>
                <w:sz w:val="24"/>
                <w:szCs w:val="24"/>
                <w:lang w:eastAsia="en-US"/>
              </w:rPr>
              <w:t>zinātnes projekt</w:t>
            </w:r>
            <w:r w:rsidR="00C92886">
              <w:rPr>
                <w:rFonts w:ascii="Times New Roman" w:eastAsia="Calibri" w:hAnsi="Times New Roman" w:cs="Times New Roman"/>
                <w:sz w:val="24"/>
                <w:szCs w:val="24"/>
                <w:lang w:eastAsia="en-US"/>
              </w:rPr>
              <w:t>u</w:t>
            </w:r>
            <w:r w:rsidR="00C92886" w:rsidRPr="00C92886">
              <w:rPr>
                <w:rFonts w:ascii="Times New Roman" w:eastAsia="Calibri" w:hAnsi="Times New Roman" w:cs="Times New Roman"/>
                <w:sz w:val="24"/>
                <w:szCs w:val="24"/>
                <w:lang w:eastAsia="en-US"/>
              </w:rPr>
              <w:t xml:space="preserve"> „Minerālmēslu maksimālo normu noteikšana kultūraugiem”</w:t>
            </w:r>
            <w:r w:rsidR="00C92886">
              <w:rPr>
                <w:rFonts w:ascii="Times New Roman" w:eastAsia="Calibri" w:hAnsi="Times New Roman" w:cs="Times New Roman"/>
                <w:sz w:val="24"/>
                <w:szCs w:val="24"/>
                <w:lang w:eastAsia="en-US"/>
              </w:rPr>
              <w:t>, noteikumu Nr.1524 165.pun</w:t>
            </w:r>
            <w:r w:rsidR="00C80071">
              <w:rPr>
                <w:rFonts w:ascii="Times New Roman" w:eastAsia="Calibri" w:hAnsi="Times New Roman" w:cs="Times New Roman"/>
                <w:sz w:val="24"/>
                <w:szCs w:val="24"/>
                <w:lang w:eastAsia="en-US"/>
              </w:rPr>
              <w:t>k</w:t>
            </w:r>
            <w:r w:rsidR="00C92886">
              <w:rPr>
                <w:rFonts w:ascii="Times New Roman" w:eastAsia="Calibri" w:hAnsi="Times New Roman" w:cs="Times New Roman"/>
                <w:sz w:val="24"/>
                <w:szCs w:val="24"/>
                <w:lang w:eastAsia="en-US"/>
              </w:rPr>
              <w:t xml:space="preserve">ta tiesību norma ir papildināta ar 2008.gadu. Kārtība, kādā minētā projekta izpildītājs iesniedz pētījuma izmaksu tāmi un slēdz līgumu ar </w:t>
            </w:r>
            <w:r w:rsidR="00C92886">
              <w:rPr>
                <w:rFonts w:ascii="Times New Roman" w:eastAsia="Calibri" w:hAnsi="Times New Roman" w:cs="Times New Roman"/>
                <w:sz w:val="24"/>
                <w:szCs w:val="24"/>
                <w:lang w:eastAsia="en-US"/>
              </w:rPr>
              <w:lastRenderedPageBreak/>
              <w:t xml:space="preserve">Lauku atbalsta dienestu 2014.gadā, ir noteikta noteikumu projekta 10.punktā. </w:t>
            </w:r>
          </w:p>
          <w:p w:rsidR="00584115" w:rsidRDefault="0052133A" w:rsidP="00AF1AC7">
            <w:pPr>
              <w:spacing w:after="0" w:line="240" w:lineRule="auto"/>
              <w:ind w:firstLine="156"/>
              <w:jc w:val="both"/>
              <w:rPr>
                <w:rFonts w:ascii="Times New Roman" w:eastAsia="Calibri" w:hAnsi="Times New Roman" w:cs="Times New Roman"/>
                <w:sz w:val="24"/>
                <w:szCs w:val="24"/>
                <w:lang w:eastAsia="en-US"/>
              </w:rPr>
            </w:pPr>
            <w:r w:rsidRPr="0052133A">
              <w:rPr>
                <w:rFonts w:ascii="Times New Roman" w:eastAsia="Calibri" w:hAnsi="Times New Roman" w:cs="Times New Roman"/>
                <w:sz w:val="24"/>
                <w:szCs w:val="24"/>
                <w:lang w:eastAsia="en-US"/>
              </w:rPr>
              <w:t>2015.gadā izstādē „Internationale Gruene Woche Berlin -2015” Latvija piedalīsies partnervalsts statusā</w:t>
            </w:r>
            <w:r>
              <w:rPr>
                <w:rFonts w:ascii="Times New Roman" w:eastAsia="Calibri" w:hAnsi="Times New Roman" w:cs="Times New Roman"/>
                <w:sz w:val="24"/>
                <w:szCs w:val="24"/>
                <w:lang w:eastAsia="en-US"/>
              </w:rPr>
              <w:t xml:space="preserve">, tāpēc ir nepieciešams prezentēt valsti ar daudz plašāku ražojumu klāstu. Latvijas stendā ir plānots papildināt pārtikas preces ar mājražotāju un amatnieku izstrādājumiem, kas vispusīgāk raksturo uzņēmējdarbību un dzīvi Latvijas laukos. Lai īstenotu </w:t>
            </w:r>
            <w:r w:rsidR="00584115">
              <w:rPr>
                <w:rFonts w:ascii="Times New Roman" w:eastAsia="Calibri" w:hAnsi="Times New Roman" w:cs="Times New Roman"/>
                <w:sz w:val="24"/>
                <w:szCs w:val="24"/>
                <w:lang w:eastAsia="en-US"/>
              </w:rPr>
              <w:t>minēto ieceri, noteikumu projekta 5.punktā ir paplašināts</w:t>
            </w:r>
            <w:r w:rsidR="00584115">
              <w:t xml:space="preserve"> </w:t>
            </w:r>
            <w:r w:rsidR="00584115" w:rsidRPr="00584115">
              <w:rPr>
                <w:rFonts w:ascii="Times New Roman" w:eastAsia="Calibri" w:hAnsi="Times New Roman" w:cs="Times New Roman"/>
                <w:sz w:val="24"/>
                <w:szCs w:val="24"/>
                <w:lang w:eastAsia="en-US"/>
              </w:rPr>
              <w:t>Latviju reprezentējoš</w:t>
            </w:r>
            <w:r w:rsidR="00584115">
              <w:rPr>
                <w:rFonts w:ascii="Times New Roman" w:eastAsia="Calibri" w:hAnsi="Times New Roman" w:cs="Times New Roman"/>
                <w:sz w:val="24"/>
                <w:szCs w:val="24"/>
                <w:lang w:eastAsia="en-US"/>
              </w:rPr>
              <w:t>u produktu klāsts.</w:t>
            </w:r>
          </w:p>
          <w:p w:rsidR="0052133A" w:rsidRDefault="0058411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Lai pretendentiem mazinātu administratīvo slogu, noteikumu projekta 6.punkts paredz </w:t>
            </w:r>
            <w:r w:rsidR="0058561D">
              <w:rPr>
                <w:rFonts w:ascii="Times New Roman" w:eastAsia="Calibri" w:hAnsi="Times New Roman" w:cs="Times New Roman"/>
                <w:sz w:val="24"/>
                <w:szCs w:val="24"/>
                <w:lang w:eastAsia="en-US"/>
              </w:rPr>
              <w:t>iesniedzamo</w:t>
            </w:r>
            <w:r>
              <w:rPr>
                <w:rFonts w:ascii="Times New Roman" w:eastAsia="Calibri" w:hAnsi="Times New Roman" w:cs="Times New Roman"/>
                <w:sz w:val="24"/>
                <w:szCs w:val="24"/>
                <w:lang w:eastAsia="en-US"/>
              </w:rPr>
              <w:t xml:space="preserve"> Valsts ieņēmumu dienesta izziņu par nodokļu samaksu sagatavot</w:t>
            </w:r>
            <w:r w:rsidR="00C80071">
              <w:rPr>
                <w:rFonts w:ascii="Times New Roman" w:eastAsia="Calibri" w:hAnsi="Times New Roman" w:cs="Times New Roman"/>
                <w:sz w:val="24"/>
                <w:szCs w:val="24"/>
                <w:lang w:eastAsia="en-US"/>
              </w:rPr>
              <w:t>,</w:t>
            </w:r>
            <w:r w:rsidR="0058561D">
              <w:rPr>
                <w:rFonts w:ascii="Times New Roman" w:eastAsia="Calibri" w:hAnsi="Times New Roman" w:cs="Times New Roman"/>
                <w:sz w:val="24"/>
                <w:szCs w:val="24"/>
                <w:lang w:eastAsia="en-US"/>
              </w:rPr>
              <w:t xml:space="preserve"> izmantojot Valsts ieņēmumu dienesta elektronisko deklarēšanas sistēmu</w:t>
            </w:r>
            <w:r w:rsidR="00D65D99">
              <w:rPr>
                <w:rFonts w:ascii="Times New Roman" w:eastAsia="Calibri" w:hAnsi="Times New Roman" w:cs="Times New Roman"/>
                <w:sz w:val="24"/>
                <w:szCs w:val="24"/>
                <w:lang w:eastAsia="en-US"/>
              </w:rPr>
              <w:t>.</w:t>
            </w:r>
          </w:p>
          <w:p w:rsidR="00D65D99" w:rsidRDefault="00D65D99"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Noteikumu projekta 7.punktā ir papildināta spēkā esošā tiesību norma, kas dod iespēju saņemt valsts atbalstu un piedalīties starptautiskās izstādē arī tiem pretendentiem, par kuriem Valsts ieņēmumu dienests ir pieņēmis lēmumu par nodokļu maksājuma termiņa pagarināšanu vai atlikšanu uz laiku līdz vienam gadam.</w:t>
            </w:r>
          </w:p>
          <w:p w:rsidR="00275ED2" w:rsidRDefault="00D65D99"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w:t>
            </w:r>
            <w:r w:rsidR="00275ED2">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.punktā ir precizēta spēkā esošā</w:t>
            </w:r>
            <w:r w:rsidR="00275ED2">
              <w:rPr>
                <w:rFonts w:ascii="Times New Roman" w:eastAsia="Calibri" w:hAnsi="Times New Roman" w:cs="Times New Roman"/>
                <w:sz w:val="24"/>
                <w:szCs w:val="24"/>
                <w:lang w:eastAsia="en-US"/>
              </w:rPr>
              <w:t xml:space="preserve"> redakcija, konkretizējot komisijā izvērtējamos dokumentus.</w:t>
            </w:r>
          </w:p>
          <w:p w:rsidR="00A42BCC" w:rsidRDefault="00275ED2"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Lai neveidotos izmaksā</w:t>
            </w:r>
            <w:r w:rsidR="00F70754">
              <w:rPr>
                <w:rFonts w:ascii="Times New Roman" w:eastAsia="Calibri" w:hAnsi="Times New Roman" w:cs="Times New Roman"/>
                <w:sz w:val="24"/>
                <w:szCs w:val="24"/>
                <w:lang w:eastAsia="en-US"/>
              </w:rPr>
              <w:t>t</w:t>
            </w:r>
            <w:r>
              <w:rPr>
                <w:rFonts w:ascii="Times New Roman" w:eastAsia="Calibri" w:hAnsi="Times New Roman" w:cs="Times New Roman"/>
                <w:sz w:val="24"/>
                <w:szCs w:val="24"/>
                <w:lang w:eastAsia="en-US"/>
              </w:rPr>
              <w:t>ā līdzfinansējuma pārmaksa, noteikumu projekta 9.punktā ir noteikts, ka institūts līdzfinansējumu izmaksā</w:t>
            </w:r>
            <w:r w:rsidR="00C80071">
              <w:rPr>
                <w:rFonts w:ascii="Times New Roman" w:eastAsia="Calibri" w:hAnsi="Times New Roman" w:cs="Times New Roman"/>
                <w:sz w:val="24"/>
                <w:szCs w:val="24"/>
                <w:lang w:eastAsia="en-US"/>
              </w:rPr>
              <w:t>,</w:t>
            </w:r>
            <w:r w:rsidR="00A42BC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pamatojoties uz pretendenta iesniegto rēķinu.</w:t>
            </w:r>
            <w:r w:rsidR="00E348FF">
              <w:rPr>
                <w:rFonts w:ascii="Times New Roman" w:eastAsia="Calibri" w:hAnsi="Times New Roman" w:cs="Times New Roman"/>
                <w:sz w:val="24"/>
                <w:szCs w:val="24"/>
                <w:lang w:eastAsia="en-US"/>
              </w:rPr>
              <w:t xml:space="preserve"> </w:t>
            </w:r>
          </w:p>
          <w:p w:rsidR="00E348FF" w:rsidRDefault="000D363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w:t>
            </w:r>
            <w:r w:rsidR="00E348FF">
              <w:rPr>
                <w:rFonts w:ascii="Times New Roman" w:eastAsia="Calibri" w:hAnsi="Times New Roman" w:cs="Times New Roman"/>
                <w:sz w:val="24"/>
                <w:szCs w:val="24"/>
                <w:lang w:eastAsia="en-US"/>
              </w:rPr>
              <w:t xml:space="preserve">oteikumu Nr.1524 atbalsta pasākumā „Atbalsts tirgus veicināšanai” </w:t>
            </w:r>
            <w:r>
              <w:rPr>
                <w:rFonts w:ascii="Times New Roman" w:eastAsia="Calibri" w:hAnsi="Times New Roman" w:cs="Times New Roman"/>
                <w:sz w:val="24"/>
                <w:szCs w:val="24"/>
                <w:lang w:eastAsia="en-US"/>
              </w:rPr>
              <w:t xml:space="preserve">Lauku atbalsta dienests lēmumu par atbalsta piešķiršanu </w:t>
            </w:r>
            <w:r w:rsidR="00E348FF">
              <w:rPr>
                <w:rFonts w:ascii="Times New Roman" w:eastAsia="Calibri" w:hAnsi="Times New Roman" w:cs="Times New Roman"/>
                <w:sz w:val="24"/>
                <w:szCs w:val="24"/>
                <w:lang w:eastAsia="en-US"/>
              </w:rPr>
              <w:t>ir pieņēmis līdz 2014.gada 10.jūnijam un jaun</w:t>
            </w:r>
            <w:r>
              <w:rPr>
                <w:rFonts w:ascii="Times New Roman" w:eastAsia="Calibri" w:hAnsi="Times New Roman" w:cs="Times New Roman"/>
                <w:sz w:val="24"/>
                <w:szCs w:val="24"/>
                <w:lang w:eastAsia="en-US"/>
              </w:rPr>
              <w:t>u</w:t>
            </w:r>
            <w:r w:rsidR="00E348FF">
              <w:rPr>
                <w:rFonts w:ascii="Times New Roman" w:eastAsia="Calibri" w:hAnsi="Times New Roman" w:cs="Times New Roman"/>
                <w:sz w:val="24"/>
                <w:szCs w:val="24"/>
                <w:lang w:eastAsia="en-US"/>
              </w:rPr>
              <w:t xml:space="preserve"> lēmum</w:t>
            </w:r>
            <w:r>
              <w:rPr>
                <w:rFonts w:ascii="Times New Roman" w:eastAsia="Calibri" w:hAnsi="Times New Roman" w:cs="Times New Roman"/>
                <w:sz w:val="24"/>
                <w:szCs w:val="24"/>
                <w:lang w:eastAsia="en-US"/>
              </w:rPr>
              <w:t>u</w:t>
            </w:r>
            <w:r w:rsidR="00E348FF">
              <w:rPr>
                <w:rFonts w:ascii="Times New Roman" w:eastAsia="Calibri" w:hAnsi="Times New Roman" w:cs="Times New Roman"/>
                <w:sz w:val="24"/>
                <w:szCs w:val="24"/>
                <w:lang w:eastAsia="en-US"/>
              </w:rPr>
              <w:t xml:space="preserve"> šogad </w:t>
            </w:r>
            <w:r>
              <w:rPr>
                <w:rFonts w:ascii="Times New Roman" w:eastAsia="Calibri" w:hAnsi="Times New Roman" w:cs="Times New Roman"/>
                <w:sz w:val="24"/>
                <w:szCs w:val="24"/>
                <w:lang w:eastAsia="en-US"/>
              </w:rPr>
              <w:t>vairs</w:t>
            </w:r>
            <w:r w:rsidR="00E348F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ne</w:t>
            </w:r>
            <w:r w:rsidR="00E348FF">
              <w:rPr>
                <w:rFonts w:ascii="Times New Roman" w:eastAsia="Calibri" w:hAnsi="Times New Roman" w:cs="Times New Roman"/>
                <w:sz w:val="24"/>
                <w:szCs w:val="24"/>
                <w:lang w:eastAsia="en-US"/>
              </w:rPr>
              <w:t>pieņems</w:t>
            </w:r>
            <w:r w:rsidR="00C030AD">
              <w:rPr>
                <w:rFonts w:ascii="Times New Roman" w:eastAsia="Calibri" w:hAnsi="Times New Roman" w:cs="Times New Roman"/>
                <w:sz w:val="24"/>
                <w:szCs w:val="24"/>
                <w:lang w:eastAsia="en-US"/>
              </w:rPr>
              <w:t xml:space="preserve">, jo turpinās projektu ieviešana, </w:t>
            </w:r>
            <w:r>
              <w:rPr>
                <w:rFonts w:ascii="Times New Roman" w:eastAsia="Calibri" w:hAnsi="Times New Roman" w:cs="Times New Roman"/>
                <w:sz w:val="24"/>
                <w:szCs w:val="24"/>
                <w:lang w:eastAsia="en-US"/>
              </w:rPr>
              <w:t xml:space="preserve">par </w:t>
            </w:r>
            <w:r w:rsidR="00C030AD">
              <w:rPr>
                <w:rFonts w:ascii="Times New Roman" w:eastAsia="Calibri" w:hAnsi="Times New Roman" w:cs="Times New Roman"/>
                <w:sz w:val="24"/>
                <w:szCs w:val="24"/>
                <w:lang w:eastAsia="en-US"/>
              </w:rPr>
              <w:t>kur</w:t>
            </w:r>
            <w:r>
              <w:rPr>
                <w:rFonts w:ascii="Times New Roman" w:eastAsia="Calibri" w:hAnsi="Times New Roman" w:cs="Times New Roman"/>
                <w:sz w:val="24"/>
                <w:szCs w:val="24"/>
                <w:lang w:eastAsia="en-US"/>
              </w:rPr>
              <w:t>iem</w:t>
            </w:r>
            <w:r w:rsidR="00C030AD">
              <w:rPr>
                <w:rFonts w:ascii="Times New Roman" w:eastAsia="Calibri" w:hAnsi="Times New Roman" w:cs="Times New Roman"/>
                <w:sz w:val="24"/>
                <w:szCs w:val="24"/>
                <w:lang w:eastAsia="en-US"/>
              </w:rPr>
              <w:t xml:space="preserve"> atbalsts ir piešķirts </w:t>
            </w:r>
            <w:r w:rsidR="00C030AD" w:rsidRPr="00C030AD">
              <w:rPr>
                <w:rFonts w:ascii="Times New Roman" w:eastAsia="Calibri" w:hAnsi="Times New Roman" w:cs="Times New Roman"/>
                <w:sz w:val="24"/>
                <w:szCs w:val="24"/>
                <w:lang w:eastAsia="en-US"/>
              </w:rPr>
              <w:t xml:space="preserve">saskaņā ar Komisijas 2006.gada 15.decembra </w:t>
            </w:r>
            <w:r w:rsidR="00C030AD">
              <w:rPr>
                <w:rFonts w:ascii="Times New Roman" w:eastAsia="Calibri" w:hAnsi="Times New Roman" w:cs="Times New Roman"/>
                <w:sz w:val="24"/>
                <w:szCs w:val="24"/>
                <w:lang w:eastAsia="en-US"/>
              </w:rPr>
              <w:t>R</w:t>
            </w:r>
            <w:r w:rsidR="00C030AD" w:rsidRPr="00C030AD">
              <w:rPr>
                <w:rFonts w:ascii="Times New Roman" w:eastAsia="Calibri" w:hAnsi="Times New Roman" w:cs="Times New Roman"/>
                <w:sz w:val="24"/>
                <w:szCs w:val="24"/>
                <w:lang w:eastAsia="en-US"/>
              </w:rPr>
              <w:t xml:space="preserve">egulu (EK) Nr.1998/2006 par līguma 87. un 88.panta piemērošanu </w:t>
            </w:r>
            <w:r w:rsidR="00C030AD" w:rsidRPr="00C030AD">
              <w:rPr>
                <w:rFonts w:ascii="Times New Roman" w:eastAsia="Calibri" w:hAnsi="Times New Roman" w:cs="Times New Roman"/>
                <w:i/>
                <w:sz w:val="24"/>
                <w:szCs w:val="24"/>
                <w:lang w:eastAsia="en-US"/>
              </w:rPr>
              <w:t>de minimis</w:t>
            </w:r>
            <w:r w:rsidR="00C030AD" w:rsidRPr="00C030AD">
              <w:rPr>
                <w:rFonts w:ascii="Times New Roman" w:eastAsia="Calibri" w:hAnsi="Times New Roman" w:cs="Times New Roman"/>
                <w:sz w:val="24"/>
                <w:szCs w:val="24"/>
                <w:lang w:eastAsia="en-US"/>
              </w:rPr>
              <w:t xml:space="preserve"> atbalstam</w:t>
            </w:r>
            <w:r w:rsidR="00C030AD">
              <w:rPr>
                <w:rFonts w:ascii="Times New Roman" w:eastAsia="Calibri" w:hAnsi="Times New Roman" w:cs="Times New Roman"/>
                <w:sz w:val="24"/>
                <w:szCs w:val="24"/>
                <w:lang w:eastAsia="en-US"/>
              </w:rPr>
              <w:t xml:space="preserve">. </w:t>
            </w:r>
          </w:p>
          <w:p w:rsidR="00D65D99" w:rsidRDefault="00A42BCC"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11.punktā noteikumu Nr.1524 49.pielikums </w:t>
            </w:r>
            <w:r w:rsidR="000D3635">
              <w:rPr>
                <w:rFonts w:ascii="Times New Roman" w:eastAsia="Calibri" w:hAnsi="Times New Roman" w:cs="Times New Roman"/>
                <w:sz w:val="24"/>
                <w:szCs w:val="24"/>
                <w:lang w:eastAsia="en-US"/>
              </w:rPr>
              <w:t>ir papildināts</w:t>
            </w:r>
            <w:r w:rsidR="00C8007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ar zinātnes projektu </w:t>
            </w:r>
            <w:r w:rsidRPr="00A42BCC">
              <w:rPr>
                <w:rFonts w:ascii="Times New Roman" w:eastAsia="Calibri" w:hAnsi="Times New Roman" w:cs="Times New Roman"/>
                <w:sz w:val="24"/>
                <w:szCs w:val="24"/>
                <w:lang w:eastAsia="en-US"/>
              </w:rPr>
              <w:t>„Minerālmēslu maksimālo normu noteikšana kultūraugiem”</w:t>
            </w:r>
            <w:r>
              <w:rPr>
                <w:rFonts w:ascii="Times New Roman" w:eastAsia="Calibri" w:hAnsi="Times New Roman" w:cs="Times New Roman"/>
                <w:sz w:val="24"/>
                <w:szCs w:val="24"/>
                <w:lang w:eastAsia="en-US"/>
              </w:rPr>
              <w:t xml:space="preserve">, </w:t>
            </w:r>
            <w:r w:rsidR="00C80071">
              <w:rPr>
                <w:rFonts w:ascii="Times New Roman" w:eastAsia="Calibri" w:hAnsi="Times New Roman" w:cs="Times New Roman"/>
                <w:sz w:val="24"/>
                <w:szCs w:val="24"/>
                <w:lang w:eastAsia="en-US"/>
              </w:rPr>
              <w:t>noteik</w:t>
            </w:r>
            <w:r>
              <w:rPr>
                <w:rFonts w:ascii="Times New Roman" w:eastAsia="Calibri" w:hAnsi="Times New Roman" w:cs="Times New Roman"/>
                <w:sz w:val="24"/>
                <w:szCs w:val="24"/>
                <w:lang w:eastAsia="en-US"/>
              </w:rPr>
              <w:t>tiem darba uzdevumiem, paredzēto atbalsta summu, izpildītāju un atbildīgo departamentu.</w:t>
            </w:r>
            <w:r w:rsidR="00D65D99">
              <w:rPr>
                <w:rFonts w:ascii="Times New Roman" w:eastAsia="Calibri" w:hAnsi="Times New Roman" w:cs="Times New Roman"/>
                <w:sz w:val="24"/>
                <w:szCs w:val="24"/>
                <w:lang w:eastAsia="en-US"/>
              </w:rPr>
              <w:t xml:space="preserve"> </w:t>
            </w:r>
          </w:p>
          <w:p w:rsidR="001671C6" w:rsidRPr="00DD49B6" w:rsidRDefault="0021618C" w:rsidP="0021618C">
            <w:pPr>
              <w:spacing w:after="0" w:line="240" w:lineRule="auto"/>
              <w:ind w:firstLine="255"/>
              <w:jc w:val="both"/>
              <w:rPr>
                <w:b/>
                <w:sz w:val="24"/>
                <w:szCs w:val="24"/>
              </w:rPr>
            </w:pPr>
            <w:r w:rsidRPr="00E24A36">
              <w:rPr>
                <w:rFonts w:ascii="Times New Roman" w:hAnsi="Times New Roman"/>
                <w:sz w:val="24"/>
              </w:rPr>
              <w:t>Minētie grozījumi noteikumos Nr.1</w:t>
            </w:r>
            <w:r>
              <w:rPr>
                <w:rFonts w:ascii="Times New Roman" w:hAnsi="Times New Roman"/>
                <w:sz w:val="24"/>
              </w:rPr>
              <w:t>524</w:t>
            </w:r>
            <w:r w:rsidRPr="00E24A36">
              <w:rPr>
                <w:rFonts w:ascii="Times New Roman" w:hAnsi="Times New Roman"/>
                <w:sz w:val="24"/>
              </w:rPr>
              <w:t xml:space="preserve"> ļaus </w:t>
            </w:r>
            <w:r>
              <w:rPr>
                <w:rFonts w:ascii="Times New Roman" w:hAnsi="Times New Roman"/>
                <w:sz w:val="24"/>
              </w:rPr>
              <w:t>efektīvāk</w:t>
            </w:r>
            <w:r w:rsidRPr="00E24A36">
              <w:rPr>
                <w:rFonts w:ascii="Times New Roman" w:hAnsi="Times New Roman"/>
                <w:sz w:val="24"/>
              </w:rPr>
              <w:t xml:space="preserve"> apgūt valsts atbalstam piešķirtos finanšu līdzekļus 201</w:t>
            </w:r>
            <w:r>
              <w:rPr>
                <w:rFonts w:ascii="Times New Roman" w:hAnsi="Times New Roman"/>
                <w:sz w:val="24"/>
              </w:rPr>
              <w:t>4</w:t>
            </w:r>
            <w:r w:rsidRPr="00E24A36">
              <w:rPr>
                <w:rFonts w:ascii="Times New Roman" w:hAnsi="Times New Roman"/>
                <w:sz w:val="24"/>
              </w:rPr>
              <w:t>.g</w:t>
            </w:r>
            <w:r>
              <w:rPr>
                <w:rFonts w:ascii="Times New Roman" w:hAnsi="Times New Roman"/>
                <w:sz w:val="24"/>
              </w:rPr>
              <w:t>adā.</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4B6A63">
            <w:pPr>
              <w:spacing w:after="0" w:line="240" w:lineRule="auto"/>
              <w:ind w:left="57" w:right="57"/>
              <w:rPr>
                <w:rFonts w:ascii="Times New Roman" w:hAnsi="Times New Roman" w:cs="Times New Roman"/>
                <w:b/>
                <w:sz w:val="24"/>
                <w:szCs w:val="24"/>
              </w:rPr>
            </w:pPr>
            <w:r>
              <w:rPr>
                <w:rFonts w:ascii="Times New Roman" w:hAnsi="Times New Roman"/>
                <w:sz w:val="24"/>
                <w:szCs w:val="24"/>
              </w:rPr>
              <w:t xml:space="preserve">Zemkopības </w:t>
            </w:r>
            <w:r w:rsidR="004B6A63">
              <w:rPr>
                <w:rFonts w:ascii="Times New Roman" w:hAnsi="Times New Roman"/>
                <w:sz w:val="24"/>
                <w:szCs w:val="24"/>
              </w:rPr>
              <w:t>ministrija</w:t>
            </w:r>
            <w:r>
              <w:rPr>
                <w:rFonts w:ascii="Times New Roman" w:hAnsi="Times New Roman"/>
                <w:sz w:val="24"/>
                <w:szCs w:val="24"/>
              </w:rPr>
              <w:t xml:space="preserve"> </w:t>
            </w:r>
            <w:r w:rsidR="004B6A63">
              <w:rPr>
                <w:rFonts w:ascii="Times New Roman" w:hAnsi="Times New Roman"/>
                <w:sz w:val="24"/>
                <w:szCs w:val="24"/>
              </w:rPr>
              <w:t>un Lauku atbalsta dienests</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E46804" w:rsidRDefault="007E7043" w:rsidP="00E46804">
            <w:pPr>
              <w:spacing w:after="0" w:line="240" w:lineRule="auto"/>
              <w:ind w:firstLine="245"/>
              <w:jc w:val="both"/>
              <w:rPr>
                <w:rFonts w:ascii="Times New Roman" w:eastAsia="Calibri" w:hAnsi="Times New Roman" w:cs="Times New Roman"/>
                <w:bCs/>
                <w:sz w:val="24"/>
                <w:szCs w:val="24"/>
                <w:u w:val="single"/>
                <w:lang w:eastAsia="en-US"/>
              </w:rPr>
            </w:pPr>
            <w:r>
              <w:rPr>
                <w:rFonts w:ascii="Times New Roman" w:eastAsia="Calibri" w:hAnsi="Times New Roman" w:cs="Times New Roman"/>
                <w:color w:val="000000"/>
                <w:sz w:val="24"/>
                <w:szCs w:val="24"/>
                <w:lang w:eastAsia="en-US"/>
              </w:rPr>
              <w:t>Nav.</w:t>
            </w:r>
          </w:p>
          <w:p w:rsidR="000330A2" w:rsidRPr="00DD49B6" w:rsidRDefault="000330A2" w:rsidP="00E46804">
            <w:pPr>
              <w:pStyle w:val="naiskr"/>
              <w:spacing w:before="0" w:beforeAutospacing="0" w:after="0" w:afterAutospacing="0"/>
              <w:ind w:left="57" w:right="57"/>
              <w:jc w:val="both"/>
            </w:pPr>
          </w:p>
        </w:tc>
      </w:tr>
    </w:tbl>
    <w:p w:rsidR="000330A2" w:rsidRDefault="000330A2" w:rsidP="000330A2">
      <w:pPr>
        <w:spacing w:after="0" w:line="240" w:lineRule="auto"/>
        <w:rPr>
          <w:rFonts w:ascii="Times New Roman" w:hAnsi="Times New Roman" w:cs="Times New Roman"/>
          <w:sz w:val="24"/>
          <w:szCs w:val="24"/>
        </w:rPr>
      </w:pPr>
    </w:p>
    <w:p w:rsidR="007325F9" w:rsidRDefault="007325F9" w:rsidP="000330A2">
      <w:pPr>
        <w:spacing w:after="0" w:line="240" w:lineRule="auto"/>
        <w:rPr>
          <w:rFonts w:ascii="Times New Roman" w:hAnsi="Times New Roman" w:cs="Times New Roman"/>
          <w:sz w:val="24"/>
          <w:szCs w:val="24"/>
        </w:rPr>
      </w:pPr>
    </w:p>
    <w:p w:rsidR="007325F9" w:rsidRPr="00DD49B6" w:rsidRDefault="007325F9"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lastRenderedPageBreak/>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4B6A63" w:rsidP="004B6A63">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Pr>
                <w:rFonts w:ascii="Times New Roman" w:hAnsi="Times New Roman"/>
                <w:sz w:val="24"/>
              </w:rPr>
              <w:t>Latvijas Lauksaimniecības universitāte un Latvijas Valsts agrārās ekonomikas institūts</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p w:rsidR="0021618C" w:rsidRDefault="0021618C" w:rsidP="000330A2">
      <w:pPr>
        <w:spacing w:after="0" w:line="240" w:lineRule="auto"/>
        <w:rPr>
          <w:rFonts w:ascii="Times New Roman" w:hAnsi="Times New Roman" w:cs="Times New Roman"/>
          <w:sz w:val="24"/>
          <w:szCs w:val="24"/>
        </w:rPr>
      </w:pPr>
      <w:r w:rsidRPr="0039163D">
        <w:rPr>
          <w:rFonts w:ascii="Times New Roman" w:hAnsi="Times New Roman"/>
          <w:i/>
        </w:rPr>
        <w:t>Anotācijas</w:t>
      </w:r>
      <w:r>
        <w:rPr>
          <w:rFonts w:ascii="Times New Roman" w:hAnsi="Times New Roman"/>
          <w:i/>
        </w:rPr>
        <w:t xml:space="preserve"> III</w:t>
      </w:r>
      <w:r w:rsidR="00662893">
        <w:rPr>
          <w:rFonts w:ascii="Times New Roman" w:hAnsi="Times New Roman"/>
          <w:i/>
        </w:rPr>
        <w:t>, IV un V</w:t>
      </w:r>
      <w:r w:rsidRPr="0039163D">
        <w:rPr>
          <w:rFonts w:ascii="Times New Roman" w:hAnsi="Times New Roman"/>
          <w:i/>
        </w:rPr>
        <w:t xml:space="preserve"> sadaļa – noteikumu projekts š</w:t>
      </w:r>
      <w:r>
        <w:rPr>
          <w:rFonts w:ascii="Times New Roman" w:hAnsi="Times New Roman"/>
          <w:i/>
        </w:rPr>
        <w:t>o</w:t>
      </w:r>
      <w:r w:rsidRPr="0039163D">
        <w:rPr>
          <w:rFonts w:ascii="Times New Roman" w:hAnsi="Times New Roman"/>
          <w:i/>
        </w:rPr>
        <w:t xml:space="preserve"> jom</w:t>
      </w:r>
      <w:r>
        <w:rPr>
          <w:rFonts w:ascii="Times New Roman" w:hAnsi="Times New Roman"/>
          <w:i/>
        </w:rPr>
        <w:t>u</w:t>
      </w:r>
      <w:r w:rsidRPr="0039163D">
        <w:rPr>
          <w:rFonts w:ascii="Times New Roman" w:hAnsi="Times New Roman"/>
          <w:i/>
        </w:rPr>
        <w:t xml:space="preserve"> neskar.</w:t>
      </w:r>
    </w:p>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4B6A63">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w:t>
            </w:r>
            <w:r w:rsidR="004B6A63" w:rsidRPr="004B6A63">
              <w:rPr>
                <w:rFonts w:ascii="Times New Roman" w:hAnsi="Times New Roman"/>
                <w:sz w:val="24"/>
                <w:szCs w:val="24"/>
              </w:rPr>
              <w:t>Latvijas Lauksaimniecības universitāte un Latvijas Vals</w:t>
            </w:r>
            <w:r w:rsidR="004B6A63">
              <w:rPr>
                <w:rFonts w:ascii="Times New Roman" w:hAnsi="Times New Roman"/>
                <w:sz w:val="24"/>
                <w:szCs w:val="24"/>
              </w:rPr>
              <w:t>ts agrārās ekonomikas institūts</w:t>
            </w:r>
            <w:r w:rsidRPr="00B232A4">
              <w:rPr>
                <w:rFonts w:ascii="Times New Roman" w:hAnsi="Times New Roman"/>
                <w:sz w:val="24"/>
                <w:szCs w:val="24"/>
              </w:rPr>
              <w:t xml:space="preserve"> </w:t>
            </w:r>
            <w:r w:rsidRPr="00B232A4">
              <w:rPr>
                <w:rFonts w:ascii="Times New Roman" w:hAnsi="Times New Roman"/>
                <w:iCs/>
                <w:sz w:val="24"/>
                <w:szCs w:val="24"/>
              </w:rPr>
              <w:t xml:space="preserve">ir informēts, nosūtot noteikumu projektu </w:t>
            </w:r>
            <w:r w:rsidRPr="00B232A4">
              <w:rPr>
                <w:rFonts w:ascii="Times New Roman" w:hAnsi="Times New Roman"/>
                <w:sz w:val="24"/>
                <w:szCs w:val="24"/>
              </w:rPr>
              <w:t>uz to e-pasta adresēm</w:t>
            </w:r>
            <w:r>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8B4DF4" w:rsidP="00662893">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004B6A63" w:rsidRPr="004B6A63">
              <w:rPr>
                <w:rFonts w:ascii="Times New Roman" w:hAnsi="Times New Roman"/>
                <w:sz w:val="24"/>
                <w:szCs w:val="24"/>
              </w:rPr>
              <w:t>Latvijas Lauksaimniecības universitāte un Latvijas Valsts agrārās ekonomikas institūts</w:t>
            </w:r>
            <w:r w:rsidR="004B6A63">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4B6A63" w:rsidP="004B6A63">
            <w:pPr>
              <w:shd w:val="clear" w:color="auto" w:fill="FFFFFF"/>
              <w:spacing w:after="0" w:line="240" w:lineRule="auto"/>
              <w:ind w:left="169"/>
              <w:jc w:val="both"/>
              <w:rPr>
                <w:rFonts w:ascii="Times New Roman" w:hAnsi="Times New Roman" w:cs="Times New Roman"/>
                <w:sz w:val="24"/>
                <w:szCs w:val="24"/>
              </w:rPr>
            </w:pPr>
            <w:r w:rsidRPr="004B6A63">
              <w:rPr>
                <w:rFonts w:ascii="Times New Roman" w:hAnsi="Times New Roman"/>
                <w:sz w:val="24"/>
                <w:szCs w:val="24"/>
              </w:rPr>
              <w:t>Latvijas Lauksaimniecības universitāte</w:t>
            </w:r>
            <w:r>
              <w:rPr>
                <w:rFonts w:ascii="Times New Roman" w:hAnsi="Times New Roman"/>
                <w:sz w:val="24"/>
                <w:szCs w:val="24"/>
              </w:rPr>
              <w:t>s</w:t>
            </w:r>
            <w:r w:rsidRPr="004B6A63">
              <w:rPr>
                <w:rFonts w:ascii="Times New Roman" w:hAnsi="Times New Roman"/>
                <w:sz w:val="24"/>
                <w:szCs w:val="24"/>
              </w:rPr>
              <w:t xml:space="preserve"> un Latvijas Vals</w:t>
            </w:r>
            <w:r>
              <w:rPr>
                <w:rFonts w:ascii="Times New Roman" w:hAnsi="Times New Roman"/>
                <w:sz w:val="24"/>
                <w:szCs w:val="24"/>
              </w:rPr>
              <w:t>ts agrārās ekonomikas institūta priekšlikumi ir ņemti vērā</w:t>
            </w:r>
            <w:r w:rsidR="00662893">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662893" w:rsidRDefault="00662893" w:rsidP="00335CC6">
      <w:pPr>
        <w:spacing w:after="0" w:line="240" w:lineRule="auto"/>
        <w:rPr>
          <w:rFonts w:ascii="Times New Roman" w:eastAsia="Calibri" w:hAnsi="Times New Roman" w:cs="Times New Roman"/>
          <w:sz w:val="28"/>
          <w:szCs w:val="28"/>
          <w:lang w:eastAsia="en-US"/>
        </w:rPr>
      </w:pPr>
    </w:p>
    <w:p w:rsidR="00335CC6" w:rsidRDefault="00662893" w:rsidP="00335C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Zemkopības ministrs</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J.Dūklavs</w:t>
      </w:r>
    </w:p>
    <w:p w:rsidR="00662893" w:rsidRDefault="00662893" w:rsidP="00335CC6">
      <w:pPr>
        <w:spacing w:after="0" w:line="240" w:lineRule="auto"/>
        <w:rPr>
          <w:rFonts w:ascii="Times New Roman" w:eastAsia="Calibri" w:hAnsi="Times New Roman" w:cs="Times New Roman"/>
          <w:sz w:val="28"/>
          <w:szCs w:val="28"/>
          <w:lang w:eastAsia="en-US"/>
        </w:rPr>
      </w:pPr>
    </w:p>
    <w:p w:rsidR="00662893" w:rsidRPr="00335CC6" w:rsidRDefault="00662893" w:rsidP="00335CC6">
      <w:pPr>
        <w:spacing w:after="0" w:line="240" w:lineRule="auto"/>
        <w:rPr>
          <w:rFonts w:ascii="Times New Roman" w:eastAsia="Calibri" w:hAnsi="Times New Roman" w:cs="Times New Roman"/>
          <w:sz w:val="28"/>
          <w:szCs w:val="28"/>
          <w:lang w:eastAsia="en-US"/>
        </w:rPr>
      </w:pPr>
    </w:p>
    <w:p w:rsidR="00662893" w:rsidRPr="00335CC6" w:rsidRDefault="00662893" w:rsidP="00335CC6">
      <w:pPr>
        <w:spacing w:after="0" w:line="240" w:lineRule="auto"/>
        <w:rPr>
          <w:rFonts w:ascii="Times New Roman" w:eastAsia="Calibri" w:hAnsi="Times New Roman" w:cs="Times New Roman"/>
          <w:sz w:val="28"/>
          <w:szCs w:val="28"/>
          <w:lang w:eastAsia="en-US"/>
        </w:rPr>
      </w:pPr>
    </w:p>
    <w:p w:rsidR="007325F9" w:rsidRDefault="007325F9"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2014.07.23. 10:32</w:t>
      </w:r>
    </w:p>
    <w:p w:rsidR="007325F9" w:rsidRDefault="007325F9"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806</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6E" w:rsidRDefault="00BA006E" w:rsidP="00B43E45">
      <w:pPr>
        <w:spacing w:after="0" w:line="240" w:lineRule="auto"/>
      </w:pPr>
      <w:r>
        <w:separator/>
      </w:r>
    </w:p>
  </w:endnote>
  <w:endnote w:type="continuationSeparator" w:id="0">
    <w:p w:rsidR="00BA006E" w:rsidRDefault="00BA006E"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pPr>
      <w:pStyle w:val="Kjene"/>
      <w:jc w:val="center"/>
    </w:pPr>
  </w:p>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E96BA3">
      <w:rPr>
        <w:rFonts w:ascii="Times New Roman" w:hAnsi="Times New Roman" w:cs="Times New Roman"/>
        <w:sz w:val="20"/>
        <w:szCs w:val="20"/>
      </w:rPr>
      <w:t>2606</w:t>
    </w:r>
    <w:r w:rsidR="00662893">
      <w:rPr>
        <w:rFonts w:ascii="Times New Roman" w:hAnsi="Times New Roman" w:cs="Times New Roman"/>
        <w:sz w:val="20"/>
        <w:szCs w:val="20"/>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E96BA3">
      <w:rPr>
        <w:rFonts w:ascii="Times New Roman" w:hAnsi="Times New Roman" w:cs="Times New Roman"/>
        <w:sz w:val="20"/>
        <w:szCs w:val="20"/>
      </w:rPr>
      <w:t>2606</w:t>
    </w:r>
    <w:r w:rsidR="00662893">
      <w:rPr>
        <w:rFonts w:ascii="Times New Roman" w:hAnsi="Times New Roman" w:cs="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6E" w:rsidRDefault="00BA006E" w:rsidP="00B43E45">
      <w:pPr>
        <w:spacing w:after="0" w:line="240" w:lineRule="auto"/>
      </w:pPr>
      <w:r>
        <w:separator/>
      </w:r>
    </w:p>
  </w:footnote>
  <w:footnote w:type="continuationSeparator" w:id="0">
    <w:p w:rsidR="00BA006E" w:rsidRDefault="00BA006E"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7E7043" w:rsidRPr="00760B61" w:rsidRDefault="007E7043">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7325F9">
          <w:rPr>
            <w:rFonts w:ascii="Times New Roman" w:hAnsi="Times New Roman" w:cs="Times New Roman"/>
            <w:noProof/>
            <w:sz w:val="24"/>
          </w:rPr>
          <w:t>3</w:t>
        </w:r>
        <w:r w:rsidRPr="00760B61">
          <w:rPr>
            <w:rFonts w:ascii="Times New Roman" w:hAnsi="Times New Roman" w:cs="Times New Roman"/>
            <w:sz w:val="24"/>
          </w:rPr>
          <w:fldChar w:fldCharType="end"/>
        </w:r>
      </w:p>
    </w:sdtContent>
  </w:sdt>
  <w:p w:rsidR="007E7043" w:rsidRPr="00760B61" w:rsidRDefault="007E7043">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23A9D"/>
    <w:rsid w:val="000330A2"/>
    <w:rsid w:val="0004466B"/>
    <w:rsid w:val="00070BDF"/>
    <w:rsid w:val="000D3490"/>
    <w:rsid w:val="000D3635"/>
    <w:rsid w:val="001022EF"/>
    <w:rsid w:val="0010792A"/>
    <w:rsid w:val="00123517"/>
    <w:rsid w:val="00130FCE"/>
    <w:rsid w:val="00166EFF"/>
    <w:rsid w:val="001671C6"/>
    <w:rsid w:val="001B7FD9"/>
    <w:rsid w:val="001C749C"/>
    <w:rsid w:val="001F54E6"/>
    <w:rsid w:val="0021618C"/>
    <w:rsid w:val="0026506E"/>
    <w:rsid w:val="002714AE"/>
    <w:rsid w:val="00272762"/>
    <w:rsid w:val="00275ED2"/>
    <w:rsid w:val="00283BA3"/>
    <w:rsid w:val="002F3A45"/>
    <w:rsid w:val="00312DC4"/>
    <w:rsid w:val="00316A48"/>
    <w:rsid w:val="003201E3"/>
    <w:rsid w:val="00331AD6"/>
    <w:rsid w:val="00335CC6"/>
    <w:rsid w:val="003665A2"/>
    <w:rsid w:val="00374E0B"/>
    <w:rsid w:val="003C608C"/>
    <w:rsid w:val="003D01F4"/>
    <w:rsid w:val="004007A1"/>
    <w:rsid w:val="00403C07"/>
    <w:rsid w:val="00422589"/>
    <w:rsid w:val="00473000"/>
    <w:rsid w:val="004B6A63"/>
    <w:rsid w:val="004E0136"/>
    <w:rsid w:val="00504190"/>
    <w:rsid w:val="005206FF"/>
    <w:rsid w:val="0052133A"/>
    <w:rsid w:val="00523895"/>
    <w:rsid w:val="00532397"/>
    <w:rsid w:val="00583D4F"/>
    <w:rsid w:val="00584115"/>
    <w:rsid w:val="0058561D"/>
    <w:rsid w:val="005A2113"/>
    <w:rsid w:val="005C6D11"/>
    <w:rsid w:val="005D5044"/>
    <w:rsid w:val="00662893"/>
    <w:rsid w:val="0067349C"/>
    <w:rsid w:val="00674ADE"/>
    <w:rsid w:val="0068244A"/>
    <w:rsid w:val="00684952"/>
    <w:rsid w:val="006A4D02"/>
    <w:rsid w:val="006A7C6E"/>
    <w:rsid w:val="006D7CE1"/>
    <w:rsid w:val="006E71C0"/>
    <w:rsid w:val="00701D0C"/>
    <w:rsid w:val="00703F24"/>
    <w:rsid w:val="007325F9"/>
    <w:rsid w:val="00753F17"/>
    <w:rsid w:val="00760876"/>
    <w:rsid w:val="00760B61"/>
    <w:rsid w:val="007816A7"/>
    <w:rsid w:val="007826A8"/>
    <w:rsid w:val="007845F1"/>
    <w:rsid w:val="007E7043"/>
    <w:rsid w:val="007F0225"/>
    <w:rsid w:val="00800990"/>
    <w:rsid w:val="008352BA"/>
    <w:rsid w:val="00852FAD"/>
    <w:rsid w:val="00866D8E"/>
    <w:rsid w:val="0088353A"/>
    <w:rsid w:val="00883CE9"/>
    <w:rsid w:val="00897834"/>
    <w:rsid w:val="008B4DF4"/>
    <w:rsid w:val="008C4FD7"/>
    <w:rsid w:val="008E5E00"/>
    <w:rsid w:val="00910456"/>
    <w:rsid w:val="00945E3B"/>
    <w:rsid w:val="009704F7"/>
    <w:rsid w:val="009831EE"/>
    <w:rsid w:val="0098336F"/>
    <w:rsid w:val="009B77D1"/>
    <w:rsid w:val="009E501A"/>
    <w:rsid w:val="00A0404F"/>
    <w:rsid w:val="00A20631"/>
    <w:rsid w:val="00A27A8D"/>
    <w:rsid w:val="00A32C1B"/>
    <w:rsid w:val="00A406A0"/>
    <w:rsid w:val="00A42BCC"/>
    <w:rsid w:val="00AA05B9"/>
    <w:rsid w:val="00AA5504"/>
    <w:rsid w:val="00AF1AC7"/>
    <w:rsid w:val="00B223E3"/>
    <w:rsid w:val="00B236A6"/>
    <w:rsid w:val="00B43E45"/>
    <w:rsid w:val="00B82449"/>
    <w:rsid w:val="00B84678"/>
    <w:rsid w:val="00BA006E"/>
    <w:rsid w:val="00BB7F03"/>
    <w:rsid w:val="00BD130A"/>
    <w:rsid w:val="00BD7262"/>
    <w:rsid w:val="00BF23E4"/>
    <w:rsid w:val="00C030AD"/>
    <w:rsid w:val="00C42276"/>
    <w:rsid w:val="00C54405"/>
    <w:rsid w:val="00C80071"/>
    <w:rsid w:val="00C92886"/>
    <w:rsid w:val="00CA0A47"/>
    <w:rsid w:val="00CA4C24"/>
    <w:rsid w:val="00CE64E7"/>
    <w:rsid w:val="00CE6EAF"/>
    <w:rsid w:val="00D263ED"/>
    <w:rsid w:val="00D26751"/>
    <w:rsid w:val="00D432BF"/>
    <w:rsid w:val="00D57739"/>
    <w:rsid w:val="00D65D99"/>
    <w:rsid w:val="00DC2734"/>
    <w:rsid w:val="00DD7693"/>
    <w:rsid w:val="00E01F43"/>
    <w:rsid w:val="00E0319C"/>
    <w:rsid w:val="00E323E5"/>
    <w:rsid w:val="00E348FF"/>
    <w:rsid w:val="00E46804"/>
    <w:rsid w:val="00E5143B"/>
    <w:rsid w:val="00E5607A"/>
    <w:rsid w:val="00E6642C"/>
    <w:rsid w:val="00E679C5"/>
    <w:rsid w:val="00E744DB"/>
    <w:rsid w:val="00E77E7F"/>
    <w:rsid w:val="00E96BA3"/>
    <w:rsid w:val="00EA2C82"/>
    <w:rsid w:val="00EC04DB"/>
    <w:rsid w:val="00EF11FA"/>
    <w:rsid w:val="00F276B1"/>
    <w:rsid w:val="00F6390A"/>
    <w:rsid w:val="00F70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A9EB29-A8DA-47E8-A108-59166B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Paraststmeklis">
    <w:name w:val="Normal (Web)"/>
    <w:basedOn w:val="Parasts"/>
    <w:uiPriority w:val="99"/>
    <w:semiHidden/>
    <w:unhideWhenUsed/>
    <w:rsid w:val="0052133A"/>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7541">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815</Words>
  <Characters>6125</Characters>
  <Application>Microsoft Office Word</Application>
  <DocSecurity>0</DocSecurity>
  <Lines>191</Lines>
  <Paragraphs>77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ZM Lietvedibas nodala</cp:lastModifiedBy>
  <cp:revision>6</cp:revision>
  <cp:lastPrinted>2013-12-16T07:43:00Z</cp:lastPrinted>
  <dcterms:created xsi:type="dcterms:W3CDTF">2014-07-21T11:11:00Z</dcterms:created>
  <dcterms:modified xsi:type="dcterms:W3CDTF">2014-07-23T07:33:00Z</dcterms:modified>
</cp:coreProperties>
</file>