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4F47B" w14:textId="77777777" w:rsidR="00ED1E3F" w:rsidRDefault="00ED1E3F" w:rsidP="00760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4F47C" w14:textId="77777777" w:rsidR="00ED1E3F" w:rsidRDefault="00ED1E3F" w:rsidP="00760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4F47D" w14:textId="77777777" w:rsidR="000330A2" w:rsidRDefault="00006964" w:rsidP="0076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F9">
        <w:rPr>
          <w:rFonts w:ascii="Times New Roman" w:hAnsi="Times New Roman" w:cs="Times New Roman"/>
          <w:b/>
          <w:bCs/>
          <w:sz w:val="28"/>
          <w:szCs w:val="28"/>
        </w:rPr>
        <w:t xml:space="preserve">Ministru kabineta noteikumu projekta </w:t>
      </w:r>
      <w:r w:rsidR="00C82DA5" w:rsidRPr="00C82DA5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95788" w:rsidRPr="00095788">
        <w:rPr>
          <w:rFonts w:ascii="Times New Roman" w:hAnsi="Times New Roman" w:cs="Times New Roman"/>
          <w:b/>
          <w:bCs/>
          <w:sz w:val="28"/>
          <w:szCs w:val="28"/>
        </w:rPr>
        <w:t>Grozījumi Ministru kabineta 2014.gada 26.augusta noteikumos Nr.511 „Valsts atbalsta piešķiršanas kārtība piena šķirņu slaucamo govju produktivitātes datu izvērtēšanai”</w:t>
      </w:r>
      <w:r w:rsidR="00C82DA5" w:rsidRPr="00C82DA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EA2DF9">
        <w:rPr>
          <w:rFonts w:ascii="Times New Roman" w:hAnsi="Times New Roman" w:cs="Times New Roman"/>
          <w:b/>
          <w:bCs/>
          <w:sz w:val="28"/>
          <w:szCs w:val="28"/>
        </w:rPr>
        <w:t xml:space="preserve"> sākotnējās ietekmes novērtējuma </w:t>
      </w:r>
      <w:smartTag w:uri="schemas-tilde-lv/tildestengine" w:element="veidnes">
        <w:smartTagPr>
          <w:attr w:name="id" w:val="-1"/>
          <w:attr w:name="baseform" w:val="ziņojums"/>
          <w:attr w:name="text" w:val="ziņojums"/>
        </w:smartTagPr>
        <w:r w:rsidRPr="00EA2DF9">
          <w:rPr>
            <w:rFonts w:ascii="Times New Roman" w:hAnsi="Times New Roman" w:cs="Times New Roman"/>
            <w:b/>
            <w:bCs/>
            <w:sz w:val="28"/>
            <w:szCs w:val="28"/>
          </w:rPr>
          <w:t>ziņojums</w:t>
        </w:r>
      </w:smartTag>
      <w:r w:rsidRPr="00EA2DF9">
        <w:rPr>
          <w:rFonts w:ascii="Times New Roman" w:hAnsi="Times New Roman" w:cs="Times New Roman"/>
          <w:b/>
          <w:sz w:val="28"/>
          <w:szCs w:val="28"/>
        </w:rPr>
        <w:t xml:space="preserve"> (anotācija)</w:t>
      </w:r>
    </w:p>
    <w:p w14:paraId="6C84F47E" w14:textId="77777777" w:rsidR="00ED1E3F" w:rsidRDefault="00ED1E3F" w:rsidP="0076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4F47F" w14:textId="77777777" w:rsidR="00ED1E3F" w:rsidRPr="00EA2DF9" w:rsidRDefault="00ED1E3F" w:rsidP="00760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884"/>
        <w:gridCol w:w="5912"/>
      </w:tblGrid>
      <w:tr w:rsidR="000330A2" w:rsidRPr="00EA2DF9" w14:paraId="6C84F481" w14:textId="77777777" w:rsidTr="00B84678">
        <w:trPr>
          <w:trHeight w:val="419"/>
        </w:trPr>
        <w:tc>
          <w:tcPr>
            <w:tcW w:w="5000" w:type="pct"/>
            <w:gridSpan w:val="3"/>
            <w:vAlign w:val="center"/>
          </w:tcPr>
          <w:p w14:paraId="6C84F480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EA2DF9">
              <w:rPr>
                <w:b/>
              </w:rPr>
              <w:t>I. Tiesību akta projekta izstrādes nepieciešamība</w:t>
            </w:r>
          </w:p>
        </w:tc>
      </w:tr>
      <w:tr w:rsidR="000330A2" w:rsidRPr="00EA2DF9" w14:paraId="6C84F485" w14:textId="77777777" w:rsidTr="00422589">
        <w:trPr>
          <w:trHeight w:val="415"/>
        </w:trPr>
        <w:tc>
          <w:tcPr>
            <w:tcW w:w="227" w:type="pct"/>
          </w:tcPr>
          <w:p w14:paraId="6C84F482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center"/>
            </w:pPr>
            <w:r w:rsidRPr="00EA2DF9">
              <w:t>1.</w:t>
            </w:r>
          </w:p>
        </w:tc>
        <w:tc>
          <w:tcPr>
            <w:tcW w:w="1565" w:type="pct"/>
          </w:tcPr>
          <w:p w14:paraId="6C84F483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>Pamatojums</w:t>
            </w:r>
          </w:p>
        </w:tc>
        <w:tc>
          <w:tcPr>
            <w:tcW w:w="3208" w:type="pct"/>
          </w:tcPr>
          <w:p w14:paraId="6C84F484" w14:textId="77777777" w:rsidR="000330A2" w:rsidRPr="00EA2DF9" w:rsidRDefault="00006964" w:rsidP="00095788">
            <w:pPr>
              <w:spacing w:after="0" w:line="240" w:lineRule="auto"/>
              <w:ind w:left="57" w:right="57" w:firstLine="18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 xml:space="preserve">Ministru kabineta noteikumu projekts </w:t>
            </w:r>
            <w:r w:rsidR="00C82DA5" w:rsidRPr="00C82DA5">
              <w:rPr>
                <w:rFonts w:ascii="Times New Roman" w:hAnsi="Times New Roman"/>
                <w:sz w:val="24"/>
                <w:szCs w:val="24"/>
              </w:rPr>
              <w:t>„</w:t>
            </w:r>
            <w:r w:rsidR="00095788" w:rsidRPr="00095788">
              <w:rPr>
                <w:rFonts w:ascii="Times New Roman" w:hAnsi="Times New Roman"/>
                <w:sz w:val="24"/>
                <w:szCs w:val="24"/>
              </w:rPr>
              <w:t>Grozījumi Ministru kabineta 2014.gada 26.augusta noteikumos Nr.511 „Valsts atbalsta piešķiršanas kārtība piena šķirņu slaucamo govju produktivitātes datu izvērtēšanai”</w:t>
            </w:r>
            <w:r w:rsidR="00C82DA5" w:rsidRPr="00C82DA5">
              <w:rPr>
                <w:rFonts w:ascii="Times New Roman" w:hAnsi="Times New Roman"/>
                <w:sz w:val="24"/>
                <w:szCs w:val="24"/>
              </w:rPr>
              <w:t>”</w:t>
            </w:r>
            <w:r w:rsidRPr="00EA2DF9">
              <w:rPr>
                <w:rFonts w:ascii="Times New Roman" w:hAnsi="Times New Roman"/>
                <w:sz w:val="24"/>
                <w:szCs w:val="24"/>
              </w:rPr>
              <w:t xml:space="preserve"> (turpmāk – noteikumu projekts) ir sagatavots, pamatojoties uz Lauksaimniecības un lauku attīstības likuma 5.panta </w:t>
            </w:r>
            <w:r w:rsidR="00552A61">
              <w:rPr>
                <w:rFonts w:ascii="Times New Roman" w:hAnsi="Times New Roman"/>
                <w:sz w:val="24"/>
                <w:szCs w:val="24"/>
              </w:rPr>
              <w:t>3.</w:t>
            </w:r>
            <w:r w:rsidR="00552A6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="00552A61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953C15">
              <w:rPr>
                <w:rFonts w:ascii="Times New Roman" w:hAnsi="Times New Roman"/>
                <w:sz w:val="24"/>
                <w:szCs w:val="24"/>
              </w:rPr>
              <w:t xml:space="preserve">ceturto daļu un Ministru kabineta 2014.gada </w:t>
            </w:r>
            <w:r w:rsidR="00095788">
              <w:rPr>
                <w:rFonts w:ascii="Times New Roman" w:hAnsi="Times New Roman"/>
                <w:sz w:val="24"/>
                <w:szCs w:val="24"/>
              </w:rPr>
              <w:t>26</w:t>
            </w:r>
            <w:r w:rsidR="00953C15">
              <w:rPr>
                <w:rFonts w:ascii="Times New Roman" w:hAnsi="Times New Roman"/>
                <w:sz w:val="24"/>
                <w:szCs w:val="24"/>
              </w:rPr>
              <w:t>.augusta sēdes protokola Nr.4</w:t>
            </w:r>
            <w:r w:rsidR="00095788">
              <w:rPr>
                <w:rFonts w:ascii="Times New Roman" w:hAnsi="Times New Roman"/>
                <w:sz w:val="24"/>
                <w:szCs w:val="24"/>
              </w:rPr>
              <w:t>5</w:t>
            </w:r>
            <w:r w:rsidR="00953C15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095788">
              <w:rPr>
                <w:rFonts w:ascii="Times New Roman" w:hAnsi="Times New Roman"/>
                <w:sz w:val="24"/>
                <w:szCs w:val="24"/>
              </w:rPr>
              <w:t>5</w:t>
            </w:r>
            <w:r w:rsidR="00F570CE">
              <w:rPr>
                <w:rFonts w:ascii="Times New Roman" w:hAnsi="Times New Roman"/>
                <w:sz w:val="24"/>
                <w:szCs w:val="24"/>
              </w:rPr>
              <w:t>.</w:t>
            </w:r>
            <w:r w:rsidR="00953C15" w:rsidRPr="00953C15">
              <w:rPr>
                <w:rFonts w:ascii="Times New Roman" w:hAnsi="Times New Roman"/>
                <w:sz w:val="24"/>
                <w:szCs w:val="24"/>
              </w:rPr>
              <w:t>§</w:t>
            </w:r>
            <w:r w:rsidR="00953C15">
              <w:rPr>
                <w:rFonts w:ascii="Times New Roman" w:hAnsi="Times New Roman"/>
                <w:sz w:val="24"/>
                <w:szCs w:val="24"/>
              </w:rPr>
              <w:t xml:space="preserve"> 2.punktu</w:t>
            </w:r>
            <w:r w:rsidR="000957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30A2" w:rsidRPr="00EA2DF9" w14:paraId="6C84F492" w14:textId="77777777" w:rsidTr="00422589">
        <w:trPr>
          <w:trHeight w:val="472"/>
        </w:trPr>
        <w:tc>
          <w:tcPr>
            <w:tcW w:w="227" w:type="pct"/>
          </w:tcPr>
          <w:p w14:paraId="6C84F486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center"/>
            </w:pPr>
            <w:r w:rsidRPr="00EA2DF9">
              <w:t>2.</w:t>
            </w:r>
          </w:p>
        </w:tc>
        <w:tc>
          <w:tcPr>
            <w:tcW w:w="1565" w:type="pct"/>
          </w:tcPr>
          <w:p w14:paraId="6C84F487" w14:textId="77777777" w:rsidR="000330A2" w:rsidRPr="00EA2DF9" w:rsidRDefault="000330A2" w:rsidP="00B84678">
            <w:pPr>
              <w:pStyle w:val="naiskr"/>
              <w:tabs>
                <w:tab w:val="left" w:pos="170"/>
              </w:tabs>
              <w:spacing w:before="0" w:beforeAutospacing="0" w:after="0" w:afterAutospacing="0"/>
              <w:ind w:left="57" w:right="57"/>
            </w:pPr>
            <w:r w:rsidRPr="00EA2DF9">
              <w:t>Pašreizējā situācija un problēmas, kuru risināšanai tiesību akta projekts izstrādāts, tiesiskā regulējuma mērķis un būtība</w:t>
            </w:r>
          </w:p>
        </w:tc>
        <w:tc>
          <w:tcPr>
            <w:tcW w:w="3208" w:type="pct"/>
          </w:tcPr>
          <w:p w14:paraId="6C84F488" w14:textId="77777777" w:rsidR="00552A61" w:rsidRDefault="00006964" w:rsidP="00006964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>Noteikumu projekts attiecas uz dabas resursu, lauksaimnieciskās ražošanas un pārstrādes politikas jomu.</w:t>
            </w:r>
          </w:p>
          <w:p w14:paraId="6C84F489" w14:textId="77777777" w:rsidR="00953C15" w:rsidRDefault="00006964" w:rsidP="00006964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 w:rsid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eikumu projekts sagatavots, lai </w:t>
            </w:r>
            <w:r w:rsidR="00953C15"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mazinātu Krievijas Federācijas noteiktā preču importa aizlieguma seku radīto </w:t>
            </w:r>
            <w:r w:rsidR="00C17DC8">
              <w:rPr>
                <w:rFonts w:ascii="Times New Roman" w:eastAsia="Times New Roman" w:hAnsi="Times New Roman" w:cs="Times New Roman"/>
                <w:sz w:val="24"/>
                <w:szCs w:val="24"/>
              </w:rPr>
              <w:t>finansiālo slogu</w:t>
            </w:r>
            <w:r w:rsid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piensaimniecības nozarē.</w:t>
            </w:r>
          </w:p>
          <w:p w14:paraId="6C84F48A" w14:textId="77777777" w:rsidR="00953C15" w:rsidRDefault="00953C15" w:rsidP="00006964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ar piena produktu importa aizliegumu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piena pārstrādes 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uzņēmumos veidojas gatavās produkcijas pārpalikums, kas attiecīgi uzņēmum</w:t>
            </w:r>
            <w:r w:rsidR="00F570CE">
              <w:rPr>
                <w:rFonts w:ascii="Times New Roman" w:eastAsia="Times New Roman" w:hAnsi="Times New Roman" w:cs="Times New Roman"/>
                <w:sz w:val="24"/>
                <w:szCs w:val="24"/>
              </w:rPr>
              <w:t>iem liek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samazināt piena iepirkuma cenu. </w:t>
            </w:r>
            <w:r w:rsidR="00F570CE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Lauksaimniecības datu centra sniegt</w:t>
            </w:r>
            <w:r w:rsidR="00F570CE">
              <w:rPr>
                <w:rFonts w:ascii="Times New Roman" w:eastAsia="Times New Roman" w:hAnsi="Times New Roman" w:cs="Times New Roman"/>
                <w:sz w:val="24"/>
                <w:szCs w:val="24"/>
              </w:rPr>
              <w:t>ās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informācijas, piena iepirkuma cena jūnijā bija 295,89 </w:t>
            </w:r>
            <w:r w:rsidRPr="009B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/t un jūlijā </w:t>
            </w:r>
            <w:r w:rsidR="00F57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293,16 </w:t>
            </w:r>
            <w:r w:rsidRPr="009B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>/t. Lauksaimniecības datu centra veiktās operatīvās aptaujas rezultāti</w:t>
            </w:r>
            <w:r w:rsidR="00D3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liecina, ka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vidējā iepirkuma cena </w:t>
            </w:r>
            <w:r w:rsidR="00095788">
              <w:rPr>
                <w:rFonts w:ascii="Times New Roman" w:eastAsia="Times New Roman" w:hAnsi="Times New Roman" w:cs="Times New Roman"/>
                <w:sz w:val="24"/>
                <w:szCs w:val="24"/>
              </w:rPr>
              <w:t>oktobra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pirmajā pusē ir 220,00 </w:t>
            </w:r>
            <w:r w:rsidRPr="009B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>/t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, kas ir par 25 % zemāka nekā iepriekšējos mēnešos.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iena iepirkuma cena 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noslīdē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jusi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zem piena ražošanas pašizmaksas, kas atbilstoši Latvijas Lauku konsultāciju un izglītības centra rīcībā esošajiem un apkopotajiem datiem Latvijā</w:t>
            </w:r>
            <w:r w:rsidR="00D31630"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vidēji 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>ir 0,2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9B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r w:rsidRPr="0095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/kg. </w:t>
            </w:r>
          </w:p>
          <w:p w14:paraId="6C84F48B" w14:textId="77777777" w:rsidR="000F432F" w:rsidRDefault="000F432F" w:rsidP="00006964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 ganāmpulku īpašnieki, kas pienu pārdod</w:t>
            </w:r>
            <w:r w:rsidR="00D3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atbilstoši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piešķirt</w:t>
            </w:r>
            <w:r w:rsidR="00D31630">
              <w:rPr>
                <w:rFonts w:ascii="Times New Roman" w:eastAsia="Times New Roman" w:hAnsi="Times New Roman" w:cs="Times New Roman"/>
                <w:sz w:val="24"/>
                <w:szCs w:val="24"/>
              </w:rPr>
              <w:t>ajai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piegādes kvota</w:t>
            </w:r>
            <w:r w:rsidR="00D316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neciestu vēl lielākus zaudējumus</w:t>
            </w:r>
            <w:r w:rsidR="00D316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nepieciešams tūlītējs </w:t>
            </w:r>
            <w:r w:rsidR="00095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papildu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finansiāls atbalsts. </w:t>
            </w:r>
          </w:p>
          <w:p w14:paraId="6C84F48C" w14:textId="77777777" w:rsidR="00BB4E1C" w:rsidRDefault="00D31630" w:rsidP="00241421">
            <w:pPr>
              <w:spacing w:after="0" w:line="240" w:lineRule="auto"/>
              <w:ind w:left="102" w:firstLine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>oteikumu projekt</w:t>
            </w:r>
            <w:r w:rsidR="00095788">
              <w:rPr>
                <w:rFonts w:ascii="Times New Roman" w:eastAsia="Times New Roman" w:hAnsi="Times New Roman" w:cs="Times New Roman"/>
                <w:sz w:val="24"/>
                <w:szCs w:val="24"/>
              </w:rPr>
              <w:t>a 1.punktā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="00B6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ciltsdarbam 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nepieciešamā 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r w:rsidR="0054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maksājuma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>summa</w:t>
            </w:r>
            <w:r w:rsid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78C"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F1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>.gad</w:t>
            </w:r>
            <w:r w:rsidR="0054632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lai nodrošinātu </w:t>
            </w:r>
            <w:r w:rsidR="000F432F">
              <w:rPr>
                <w:rFonts w:ascii="Times New Roman" w:eastAsia="Times New Roman" w:hAnsi="Times New Roman" w:cs="Times New Roman"/>
                <w:sz w:val="24"/>
                <w:szCs w:val="24"/>
              </w:rPr>
              <w:t>piena šķirņu slaucamo govju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produktivitātes datu</w:t>
            </w:r>
            <w:r w:rsidR="002A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noteikšanas un</w:t>
            </w:r>
            <w:r w:rsidR="00241421" w:rsidRPr="00EA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izvērtēšanas pakalpojumu.</w:t>
            </w:r>
          </w:p>
          <w:p w14:paraId="6C84F48D" w14:textId="0D95D3BC" w:rsidR="00792969" w:rsidRDefault="00792969" w:rsidP="00792969">
            <w:pPr>
              <w:spacing w:after="0" w:line="240" w:lineRule="auto"/>
              <w:ind w:left="102" w:firstLine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Pārraudzības gadā augstražīgos ganāmpulkos vidējais izslaukums no vienas piena šķirņu slaucamās govs sasniedz pat 12 826 kg, kas ir par 51 % vairāk kā valstī vidējais izslaukums – 6584 kg. Lai būtu ievērots taisnīguma princips, noteikumu projekta 2.punktā ir paredzēta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ciltsdarba maksājuma diferenciācija – par govīm ar izslaukumu līdz 6999 kg, pirmpienēm un govīm ar vēl nenoteiktu produktivitāti ir paredzēts vienreizējs maksājums 50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bet par augstražīgām govīm – 60 vai </w:t>
            </w:r>
            <w:r w:rsidR="0076125A">
              <w:rPr>
                <w:rFonts w:ascii="Times New Roman" w:hAnsi="Times New Roman"/>
                <w:sz w:val="24"/>
                <w:szCs w:val="24"/>
              </w:rPr>
              <w:t>72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84F48E" w14:textId="77777777" w:rsidR="00241421" w:rsidRDefault="00241421" w:rsidP="00241421">
            <w:pPr>
              <w:spacing w:after="0" w:line="240" w:lineRule="auto"/>
              <w:ind w:left="102" w:firstLine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4F48F" w14:textId="77777777" w:rsidR="006053C7" w:rsidRDefault="006053C7" w:rsidP="00241421">
            <w:pPr>
              <w:spacing w:after="0" w:line="240" w:lineRule="auto"/>
              <w:ind w:left="102" w:firstLine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Noteikumu projekta 3.</w:t>
            </w:r>
            <w:r w:rsidR="006226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  <w:r w:rsidR="0062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punktā ir noteikti iesnieguma iesniegšanas un atbalsta izmaksas termiņi.</w:t>
            </w:r>
            <w:r w:rsidR="00792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969">
              <w:rPr>
                <w:sz w:val="28"/>
                <w:szCs w:val="28"/>
              </w:rPr>
              <w:t xml:space="preserve"> </w:t>
            </w:r>
            <w:r w:rsidR="00792969" w:rsidRPr="00792969">
              <w:rPr>
                <w:rFonts w:ascii="Times New Roman" w:eastAsia="Times New Roman" w:hAnsi="Times New Roman" w:cs="Times New Roman"/>
                <w:sz w:val="24"/>
                <w:szCs w:val="24"/>
              </w:rPr>
              <w:t>Lauku atbalsta dienests pēc grozījumu spēkā stāšanās, aprēķina un izmaksā atbalsta pretendentam starpību starp izmaksāto atbalstu un palielināto atbalsta apmēru.</w:t>
            </w:r>
          </w:p>
          <w:p w14:paraId="6C84F490" w14:textId="77777777" w:rsidR="00520086" w:rsidRDefault="004E3403" w:rsidP="00CB49EC">
            <w:pPr>
              <w:spacing w:after="0" w:line="240" w:lineRule="auto"/>
              <w:ind w:left="102" w:firstLine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paredzēts</w:t>
            </w:r>
            <w:r w:rsidRP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</w:t>
            </w:r>
            <w:r w:rsidRP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saskaņā ar Komisijas 2014.gada 25.jūnija Regulu (EK) Nr.702/2014</w:t>
            </w:r>
            <w:r w:rsidR="00D316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kuru konkrētas atbalsta kategorijas lauksaimniecības un mežsaimniecības nozarē un lauku apvidos atzīst par saderīgām ar iekšējo tirgu, piemērojot Līguma par Eiropas Savienības darbību 107. un 108.pantu</w:t>
            </w:r>
            <w:r w:rsidR="0052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(turpmāk – Komisijas Regula Nr.702/2014)</w:t>
            </w:r>
            <w:r w:rsidR="00095788">
              <w:rPr>
                <w:rFonts w:ascii="Times New Roman" w:eastAsia="Times New Roman" w:hAnsi="Times New Roman" w:cs="Times New Roman"/>
                <w:sz w:val="24"/>
                <w:szCs w:val="24"/>
              </w:rPr>
              <w:t>, pamatojoties uz Eiropas Komisijas lēmumu</w:t>
            </w:r>
            <w:r w:rsidR="00095788" w:rsidRPr="00095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SA.39407(2014/XA) - Atbalsts lopkopības sektoram un atbalsts par kritušiem dzīvniekiem</w:t>
            </w:r>
            <w:r w:rsidR="00CB49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84F491" w14:textId="77777777" w:rsidR="001671C6" w:rsidRPr="00EA2DF9" w:rsidRDefault="00CB7071" w:rsidP="00CB7071">
            <w:pPr>
              <w:pStyle w:val="Virsraksts3"/>
              <w:shd w:val="clear" w:color="auto" w:fill="FFFFFF"/>
              <w:spacing w:before="0" w:beforeAutospacing="0" w:after="0" w:afterAutospacing="0"/>
              <w:ind w:right="57" w:firstLin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</w:t>
            </w:r>
            <w:r w:rsidR="00621FAE" w:rsidRPr="00EA2DF9">
              <w:rPr>
                <w:b w:val="0"/>
                <w:bCs w:val="0"/>
                <w:sz w:val="24"/>
                <w:szCs w:val="24"/>
              </w:rPr>
              <w:t>alsts atbalsts</w:t>
            </w:r>
            <w:r w:rsidR="00241421" w:rsidRPr="00EA2DF9">
              <w:rPr>
                <w:b w:val="0"/>
                <w:bCs w:val="0"/>
                <w:sz w:val="24"/>
                <w:szCs w:val="24"/>
              </w:rPr>
              <w:t xml:space="preserve"> ļaus saglabāt ražošanas apjomu un nodrošinās augstvērtīgu </w:t>
            </w:r>
            <w:r>
              <w:rPr>
                <w:b w:val="0"/>
                <w:bCs w:val="0"/>
                <w:sz w:val="24"/>
                <w:szCs w:val="24"/>
              </w:rPr>
              <w:t xml:space="preserve">piena šķirņu slaucamo govju </w:t>
            </w:r>
            <w:r w:rsidR="00241421" w:rsidRPr="00EA2DF9">
              <w:rPr>
                <w:b w:val="0"/>
                <w:bCs w:val="0"/>
                <w:sz w:val="24"/>
                <w:szCs w:val="24"/>
              </w:rPr>
              <w:t xml:space="preserve">saglabāšanu ganāmpulka </w:t>
            </w:r>
            <w:proofErr w:type="spellStart"/>
            <w:r w:rsidR="00241421" w:rsidRPr="00EA2DF9">
              <w:rPr>
                <w:b w:val="0"/>
                <w:bCs w:val="0"/>
                <w:sz w:val="24"/>
                <w:szCs w:val="24"/>
              </w:rPr>
              <w:t>ciltskodolā</w:t>
            </w:r>
            <w:proofErr w:type="spellEnd"/>
            <w:r w:rsidR="00241421" w:rsidRPr="00EA2DF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330A2" w:rsidRPr="00EA2DF9" w14:paraId="6C84F496" w14:textId="77777777" w:rsidTr="00422589">
        <w:trPr>
          <w:trHeight w:val="476"/>
        </w:trPr>
        <w:tc>
          <w:tcPr>
            <w:tcW w:w="227" w:type="pct"/>
          </w:tcPr>
          <w:p w14:paraId="6C84F493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center"/>
            </w:pPr>
            <w:r w:rsidRPr="00EA2DF9">
              <w:lastRenderedPageBreak/>
              <w:t>3.</w:t>
            </w:r>
          </w:p>
        </w:tc>
        <w:tc>
          <w:tcPr>
            <w:tcW w:w="1565" w:type="pct"/>
          </w:tcPr>
          <w:p w14:paraId="6C84F494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>Projekta izstrādē iesaistītās institūcijas</w:t>
            </w:r>
          </w:p>
        </w:tc>
        <w:tc>
          <w:tcPr>
            <w:tcW w:w="3208" w:type="pct"/>
          </w:tcPr>
          <w:p w14:paraId="6C84F495" w14:textId="77777777" w:rsidR="000330A2" w:rsidRPr="00EA2DF9" w:rsidRDefault="007F0225" w:rsidP="00621FAE">
            <w:pPr>
              <w:spacing w:after="0" w:line="240" w:lineRule="auto"/>
              <w:ind w:left="57" w:right="57" w:firstLine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Zemkopības ministrija, Lauku atbalsta dienests un Lauksaimniecības datu centrs</w:t>
            </w:r>
          </w:p>
        </w:tc>
      </w:tr>
      <w:tr w:rsidR="000330A2" w:rsidRPr="00EA2DF9" w14:paraId="6C84F49A" w14:textId="77777777" w:rsidTr="00422589">
        <w:tc>
          <w:tcPr>
            <w:tcW w:w="227" w:type="pct"/>
          </w:tcPr>
          <w:p w14:paraId="6C84F497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center"/>
            </w:pPr>
            <w:r w:rsidRPr="00EA2DF9">
              <w:t>4.</w:t>
            </w:r>
          </w:p>
        </w:tc>
        <w:tc>
          <w:tcPr>
            <w:tcW w:w="1565" w:type="pct"/>
          </w:tcPr>
          <w:p w14:paraId="6C84F498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>Cita informācija</w:t>
            </w:r>
          </w:p>
        </w:tc>
        <w:tc>
          <w:tcPr>
            <w:tcW w:w="3208" w:type="pct"/>
          </w:tcPr>
          <w:p w14:paraId="6C84F499" w14:textId="77777777" w:rsidR="000330A2" w:rsidRPr="00EA2DF9" w:rsidRDefault="00617EBD" w:rsidP="00006964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Nav.</w:t>
            </w:r>
          </w:p>
        </w:tc>
      </w:tr>
    </w:tbl>
    <w:p w14:paraId="6C84F49B" w14:textId="77777777" w:rsidR="000330A2" w:rsidRDefault="000330A2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49C" w14:textId="77777777" w:rsidR="00ED1E3F" w:rsidRPr="00EA2DF9" w:rsidRDefault="00ED1E3F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9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976"/>
        <w:gridCol w:w="6096"/>
      </w:tblGrid>
      <w:tr w:rsidR="000330A2" w:rsidRPr="00EA2DF9" w14:paraId="6C84F49F" w14:textId="77777777" w:rsidTr="00B84678">
        <w:trPr>
          <w:trHeight w:val="556"/>
        </w:trPr>
        <w:tc>
          <w:tcPr>
            <w:tcW w:w="9503" w:type="dxa"/>
            <w:gridSpan w:val="3"/>
            <w:vAlign w:val="center"/>
          </w:tcPr>
          <w:p w14:paraId="6C84F49D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EA2DF9">
              <w:rPr>
                <w:b/>
              </w:rPr>
              <w:t>II. Tiesību akta projekta ietekme uz sabiedrību, tautsaimniecības attīstību</w:t>
            </w:r>
          </w:p>
          <w:p w14:paraId="6C84F49E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EA2DF9">
              <w:rPr>
                <w:b/>
              </w:rPr>
              <w:t>un administratīvo slogu</w:t>
            </w:r>
          </w:p>
        </w:tc>
      </w:tr>
      <w:tr w:rsidR="000330A2" w:rsidRPr="00EA2DF9" w14:paraId="6C84F4A3" w14:textId="77777777" w:rsidTr="00B84678">
        <w:trPr>
          <w:trHeight w:val="467"/>
        </w:trPr>
        <w:tc>
          <w:tcPr>
            <w:tcW w:w="431" w:type="dxa"/>
          </w:tcPr>
          <w:p w14:paraId="6C84F4A0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both"/>
            </w:pPr>
            <w:r w:rsidRPr="00EA2DF9">
              <w:t>1.</w:t>
            </w:r>
          </w:p>
        </w:tc>
        <w:tc>
          <w:tcPr>
            <w:tcW w:w="2976" w:type="dxa"/>
          </w:tcPr>
          <w:p w14:paraId="6C84F4A1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 xml:space="preserve">Sabiedrības </w:t>
            </w:r>
            <w:proofErr w:type="spellStart"/>
            <w:r w:rsidRPr="00EA2DF9">
              <w:t>mērķgrupas</w:t>
            </w:r>
            <w:proofErr w:type="spellEnd"/>
            <w:r w:rsidRPr="00EA2DF9">
              <w:t>, kuras tiesiskais regulējums ietekmē vai varētu ietekmēt</w:t>
            </w:r>
          </w:p>
        </w:tc>
        <w:tc>
          <w:tcPr>
            <w:tcW w:w="6096" w:type="dxa"/>
          </w:tcPr>
          <w:p w14:paraId="6C84F4A2" w14:textId="77777777" w:rsidR="000330A2" w:rsidRPr="00EA2DF9" w:rsidRDefault="00617EBD" w:rsidP="001A43B2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"/>
            <w:bookmarkEnd w:id="1"/>
            <w:r w:rsidRPr="00EA2DF9">
              <w:rPr>
                <w:rFonts w:ascii="Times New Roman" w:hAnsi="Times New Roman"/>
                <w:sz w:val="24"/>
                <w:szCs w:val="24"/>
              </w:rPr>
              <w:t xml:space="preserve">Fiziskas un juridiskas personas, kas nodarbojas ar lauksaimniecisko ražošanu piensaimniecības </w:t>
            </w:r>
            <w:r w:rsidR="00CB7071">
              <w:rPr>
                <w:rFonts w:ascii="Times New Roman" w:hAnsi="Times New Roman"/>
                <w:sz w:val="24"/>
                <w:szCs w:val="24"/>
              </w:rPr>
              <w:t>nozarē</w:t>
            </w:r>
            <w:r w:rsidR="00D31630">
              <w:rPr>
                <w:rFonts w:ascii="Times New Roman" w:hAnsi="Times New Roman"/>
                <w:sz w:val="24"/>
                <w:szCs w:val="24"/>
              </w:rPr>
              <w:t>,</w:t>
            </w:r>
            <w:r w:rsidRPr="00EA2DF9">
              <w:rPr>
                <w:rFonts w:ascii="Times New Roman" w:hAnsi="Times New Roman"/>
                <w:sz w:val="24"/>
                <w:szCs w:val="24"/>
              </w:rPr>
              <w:t xml:space="preserve"> – aptuveni </w:t>
            </w:r>
            <w:r w:rsidR="00CB7071">
              <w:rPr>
                <w:rFonts w:ascii="Times New Roman" w:hAnsi="Times New Roman"/>
                <w:sz w:val="24"/>
                <w:szCs w:val="24"/>
              </w:rPr>
              <w:t>9</w:t>
            </w:r>
            <w:r w:rsidR="001A43B2">
              <w:rPr>
                <w:rFonts w:ascii="Times New Roman" w:hAnsi="Times New Roman"/>
                <w:sz w:val="24"/>
                <w:szCs w:val="24"/>
              </w:rPr>
              <w:t>48</w:t>
            </w:r>
            <w:r w:rsidR="00CB7071">
              <w:rPr>
                <w:rFonts w:ascii="Times New Roman" w:hAnsi="Times New Roman"/>
                <w:sz w:val="24"/>
                <w:szCs w:val="24"/>
              </w:rPr>
              <w:t>0</w:t>
            </w:r>
            <w:r w:rsidRPr="00EA2DF9">
              <w:rPr>
                <w:rFonts w:ascii="Times New Roman" w:hAnsi="Times New Roman"/>
                <w:sz w:val="24"/>
                <w:szCs w:val="24"/>
              </w:rPr>
              <w:t xml:space="preserve"> atbalsta saņēmēju.</w:t>
            </w:r>
          </w:p>
        </w:tc>
      </w:tr>
      <w:tr w:rsidR="000330A2" w:rsidRPr="00EA2DF9" w14:paraId="6C84F4A7" w14:textId="77777777" w:rsidTr="00B84678">
        <w:trPr>
          <w:trHeight w:val="523"/>
        </w:trPr>
        <w:tc>
          <w:tcPr>
            <w:tcW w:w="431" w:type="dxa"/>
          </w:tcPr>
          <w:p w14:paraId="6C84F4A4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both"/>
            </w:pPr>
            <w:r w:rsidRPr="00EA2DF9">
              <w:t>2.</w:t>
            </w:r>
          </w:p>
        </w:tc>
        <w:tc>
          <w:tcPr>
            <w:tcW w:w="2976" w:type="dxa"/>
          </w:tcPr>
          <w:p w14:paraId="6C84F4A5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>Tiesiskā regulējuma ietekme uz tautsaimniecību un administratīvo slogu</w:t>
            </w:r>
          </w:p>
        </w:tc>
        <w:tc>
          <w:tcPr>
            <w:tcW w:w="6096" w:type="dxa"/>
          </w:tcPr>
          <w:p w14:paraId="6C84F4A6" w14:textId="77777777" w:rsidR="000330A2" w:rsidRPr="00EA2DF9" w:rsidRDefault="005206FF" w:rsidP="00B8467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Projekts šo jomu neskar.</w:t>
            </w:r>
          </w:p>
        </w:tc>
      </w:tr>
      <w:tr w:rsidR="000330A2" w:rsidRPr="00EA2DF9" w14:paraId="6C84F4AB" w14:textId="77777777" w:rsidTr="00B84678">
        <w:trPr>
          <w:trHeight w:val="523"/>
        </w:trPr>
        <w:tc>
          <w:tcPr>
            <w:tcW w:w="431" w:type="dxa"/>
          </w:tcPr>
          <w:p w14:paraId="6C84F4A8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both"/>
            </w:pPr>
            <w:r w:rsidRPr="00EA2DF9">
              <w:t>3.</w:t>
            </w:r>
          </w:p>
        </w:tc>
        <w:tc>
          <w:tcPr>
            <w:tcW w:w="2976" w:type="dxa"/>
          </w:tcPr>
          <w:p w14:paraId="6C84F4A9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>Administratīvo izmaksu monetārs novērtējums</w:t>
            </w:r>
          </w:p>
        </w:tc>
        <w:tc>
          <w:tcPr>
            <w:tcW w:w="6096" w:type="dxa"/>
          </w:tcPr>
          <w:p w14:paraId="6C84F4AA" w14:textId="77777777" w:rsidR="000330A2" w:rsidRPr="00EA2DF9" w:rsidRDefault="005206FF" w:rsidP="00B8467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Projekts šo jomu neskar.</w:t>
            </w:r>
          </w:p>
        </w:tc>
      </w:tr>
      <w:tr w:rsidR="000330A2" w:rsidRPr="00EA2DF9" w14:paraId="6C84F4AF" w14:textId="77777777" w:rsidTr="00B84678">
        <w:trPr>
          <w:trHeight w:val="357"/>
        </w:trPr>
        <w:tc>
          <w:tcPr>
            <w:tcW w:w="431" w:type="dxa"/>
          </w:tcPr>
          <w:p w14:paraId="6C84F4AC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  <w:jc w:val="both"/>
            </w:pPr>
            <w:r w:rsidRPr="00EA2DF9">
              <w:t>4.</w:t>
            </w:r>
          </w:p>
        </w:tc>
        <w:tc>
          <w:tcPr>
            <w:tcW w:w="2976" w:type="dxa"/>
          </w:tcPr>
          <w:p w14:paraId="6C84F4AD" w14:textId="77777777" w:rsidR="000330A2" w:rsidRPr="00EA2DF9" w:rsidRDefault="000330A2" w:rsidP="00B84678">
            <w:pPr>
              <w:pStyle w:val="naiskr"/>
              <w:spacing w:before="0" w:beforeAutospacing="0" w:after="0" w:afterAutospacing="0"/>
              <w:ind w:left="57" w:right="57"/>
            </w:pPr>
            <w:r w:rsidRPr="00EA2DF9">
              <w:t>Cita informācija</w:t>
            </w:r>
          </w:p>
        </w:tc>
        <w:tc>
          <w:tcPr>
            <w:tcW w:w="6096" w:type="dxa"/>
          </w:tcPr>
          <w:p w14:paraId="6C84F4AE" w14:textId="77777777" w:rsidR="000330A2" w:rsidRPr="00EA2DF9" w:rsidRDefault="000330A2" w:rsidP="005206F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897834" w:rsidRPr="00EA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84F4B0" w14:textId="77777777" w:rsidR="000330A2" w:rsidRDefault="000330A2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4B1" w14:textId="77777777" w:rsidR="00ED1E3F" w:rsidRPr="00EA2DF9" w:rsidRDefault="00ED1E3F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462"/>
        <w:gridCol w:w="1511"/>
        <w:gridCol w:w="45"/>
        <w:gridCol w:w="1279"/>
        <w:gridCol w:w="30"/>
        <w:gridCol w:w="1294"/>
        <w:gridCol w:w="15"/>
        <w:gridCol w:w="1309"/>
      </w:tblGrid>
      <w:tr w:rsidR="000330A2" w:rsidRPr="00EA2DF9" w14:paraId="6C84F4B3" w14:textId="77777777" w:rsidTr="00D813EB">
        <w:trPr>
          <w:trHeight w:val="361"/>
          <w:jc w:val="center"/>
        </w:trPr>
        <w:tc>
          <w:tcPr>
            <w:tcW w:w="9838" w:type="dxa"/>
            <w:gridSpan w:val="9"/>
            <w:vAlign w:val="center"/>
          </w:tcPr>
          <w:p w14:paraId="6C84F4B2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br w:type="page"/>
            </w:r>
            <w:r w:rsidRPr="00EA2DF9">
              <w:rPr>
                <w:b/>
              </w:rPr>
              <w:t>III. Tiesību akta projekta ietekme uz valsts budžetu un pašvaldību budžetiem</w:t>
            </w:r>
          </w:p>
        </w:tc>
      </w:tr>
      <w:tr w:rsidR="000330A2" w:rsidRPr="00EA2DF9" w14:paraId="6C84F4B7" w14:textId="77777777" w:rsidTr="00D813EB">
        <w:trPr>
          <w:jc w:val="center"/>
        </w:trPr>
        <w:tc>
          <w:tcPr>
            <w:tcW w:w="2893" w:type="dxa"/>
            <w:vMerge w:val="restart"/>
            <w:vAlign w:val="center"/>
          </w:tcPr>
          <w:p w14:paraId="6C84F4B4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</w:rPr>
            </w:pPr>
            <w:r w:rsidRPr="00EA2DF9">
              <w:rPr>
                <w:b/>
              </w:rPr>
              <w:t>Rādītāji</w:t>
            </w:r>
          </w:p>
        </w:tc>
        <w:tc>
          <w:tcPr>
            <w:tcW w:w="3018" w:type="dxa"/>
            <w:gridSpan w:val="3"/>
            <w:vMerge w:val="restart"/>
            <w:vAlign w:val="center"/>
          </w:tcPr>
          <w:p w14:paraId="6C84F4B5" w14:textId="77777777" w:rsidR="000330A2" w:rsidRPr="00EA2DF9" w:rsidRDefault="003665A2" w:rsidP="003665A2">
            <w:pPr>
              <w:pStyle w:val="naisf"/>
              <w:spacing w:before="0" w:beforeAutospacing="0" w:after="0" w:afterAutospacing="0"/>
              <w:jc w:val="center"/>
              <w:rPr>
                <w:b/>
              </w:rPr>
            </w:pPr>
            <w:r w:rsidRPr="00EA2DF9">
              <w:rPr>
                <w:b/>
              </w:rPr>
              <w:t>2014.</w:t>
            </w:r>
            <w:r w:rsidR="000330A2" w:rsidRPr="00EA2DF9">
              <w:rPr>
                <w:b/>
              </w:rPr>
              <w:t>gads</w:t>
            </w:r>
          </w:p>
        </w:tc>
        <w:tc>
          <w:tcPr>
            <w:tcW w:w="3927" w:type="dxa"/>
            <w:gridSpan w:val="5"/>
            <w:vAlign w:val="center"/>
          </w:tcPr>
          <w:p w14:paraId="6C84F4B6" w14:textId="77777777" w:rsidR="000330A2" w:rsidRPr="00EA2DF9" w:rsidRDefault="000330A2" w:rsidP="00487C57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t>Turpmākie trīs gadi (</w:t>
            </w:r>
            <w:r w:rsidR="00487C57" w:rsidRPr="00EA2DF9">
              <w:rPr>
                <w:i/>
              </w:rPr>
              <w:t>euro</w:t>
            </w:r>
            <w:r w:rsidRPr="00EA2DF9">
              <w:t>)</w:t>
            </w:r>
          </w:p>
        </w:tc>
      </w:tr>
      <w:tr w:rsidR="000330A2" w:rsidRPr="00EA2DF9" w14:paraId="6C84F4BD" w14:textId="77777777" w:rsidTr="00D813EB">
        <w:trPr>
          <w:jc w:val="center"/>
        </w:trPr>
        <w:tc>
          <w:tcPr>
            <w:tcW w:w="2893" w:type="dxa"/>
            <w:vMerge/>
            <w:vAlign w:val="center"/>
          </w:tcPr>
          <w:p w14:paraId="6C84F4B8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3018" w:type="dxa"/>
            <w:gridSpan w:val="3"/>
            <w:vMerge/>
            <w:vAlign w:val="center"/>
          </w:tcPr>
          <w:p w14:paraId="6C84F4B9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C84F4BA" w14:textId="77777777" w:rsidR="000330A2" w:rsidRPr="00EA2DF9" w:rsidRDefault="003665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rPr>
                <w:b/>
                <w:bCs/>
              </w:rPr>
              <w:t>2015</w:t>
            </w:r>
          </w:p>
        </w:tc>
        <w:tc>
          <w:tcPr>
            <w:tcW w:w="1309" w:type="dxa"/>
            <w:gridSpan w:val="2"/>
            <w:vAlign w:val="center"/>
          </w:tcPr>
          <w:p w14:paraId="6C84F4BB" w14:textId="77777777" w:rsidR="000330A2" w:rsidRPr="00EA2DF9" w:rsidRDefault="003665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rPr>
                <w:b/>
                <w:bCs/>
              </w:rPr>
              <w:t>2016</w:t>
            </w:r>
          </w:p>
        </w:tc>
        <w:tc>
          <w:tcPr>
            <w:tcW w:w="1309" w:type="dxa"/>
            <w:vAlign w:val="center"/>
          </w:tcPr>
          <w:p w14:paraId="6C84F4BC" w14:textId="77777777" w:rsidR="000330A2" w:rsidRPr="00EA2DF9" w:rsidRDefault="003665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rPr>
                <w:b/>
                <w:bCs/>
              </w:rPr>
              <w:t>2017</w:t>
            </w:r>
          </w:p>
        </w:tc>
      </w:tr>
      <w:tr w:rsidR="000330A2" w:rsidRPr="00EA2DF9" w14:paraId="6C84F4C4" w14:textId="77777777" w:rsidTr="00D813EB">
        <w:trPr>
          <w:jc w:val="center"/>
        </w:trPr>
        <w:tc>
          <w:tcPr>
            <w:tcW w:w="2893" w:type="dxa"/>
            <w:vMerge/>
            <w:vAlign w:val="center"/>
          </w:tcPr>
          <w:p w14:paraId="6C84F4BE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462" w:type="dxa"/>
            <w:vAlign w:val="center"/>
          </w:tcPr>
          <w:p w14:paraId="6C84F4BF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t>saskaņā ar valsts budžetu kārtējam gadam</w:t>
            </w:r>
          </w:p>
        </w:tc>
        <w:tc>
          <w:tcPr>
            <w:tcW w:w="1511" w:type="dxa"/>
            <w:vAlign w:val="center"/>
          </w:tcPr>
          <w:p w14:paraId="6C84F4C0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t>izmaiņas kārtējā gadā, salīdzinot ar budžetu kārtējam gadam</w:t>
            </w:r>
          </w:p>
        </w:tc>
        <w:tc>
          <w:tcPr>
            <w:tcW w:w="1324" w:type="dxa"/>
            <w:gridSpan w:val="2"/>
            <w:vAlign w:val="center"/>
          </w:tcPr>
          <w:p w14:paraId="6C84F4C1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t>izmaiņas, salīdzinot ar kārtējo (n) gadu</w:t>
            </w:r>
          </w:p>
        </w:tc>
        <w:tc>
          <w:tcPr>
            <w:tcW w:w="1324" w:type="dxa"/>
            <w:gridSpan w:val="2"/>
            <w:vAlign w:val="center"/>
          </w:tcPr>
          <w:p w14:paraId="6C84F4C2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t>izmaiņas, salīdzinot ar kārtējo (n) gadu</w:t>
            </w:r>
          </w:p>
        </w:tc>
        <w:tc>
          <w:tcPr>
            <w:tcW w:w="1324" w:type="dxa"/>
            <w:gridSpan w:val="2"/>
            <w:vAlign w:val="center"/>
          </w:tcPr>
          <w:p w14:paraId="6C84F4C3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EA2DF9">
              <w:t>izmaiņas, salīdzinot ar kārtējo (n) gadu</w:t>
            </w:r>
          </w:p>
        </w:tc>
      </w:tr>
      <w:tr w:rsidR="000330A2" w:rsidRPr="00EA2DF9" w14:paraId="6C84F4CB" w14:textId="77777777" w:rsidTr="00D813EB">
        <w:trPr>
          <w:jc w:val="center"/>
        </w:trPr>
        <w:tc>
          <w:tcPr>
            <w:tcW w:w="2893" w:type="dxa"/>
            <w:vAlign w:val="center"/>
          </w:tcPr>
          <w:p w14:paraId="6C84F4C5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Cs/>
              </w:rPr>
            </w:pPr>
            <w:r w:rsidRPr="00EA2DF9">
              <w:rPr>
                <w:bCs/>
              </w:rPr>
              <w:lastRenderedPageBreak/>
              <w:t>1</w:t>
            </w:r>
          </w:p>
        </w:tc>
        <w:tc>
          <w:tcPr>
            <w:tcW w:w="1462" w:type="dxa"/>
            <w:vAlign w:val="center"/>
          </w:tcPr>
          <w:p w14:paraId="6C84F4C6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Cs/>
              </w:rPr>
            </w:pPr>
            <w:r w:rsidRPr="00EA2DF9">
              <w:rPr>
                <w:bCs/>
              </w:rPr>
              <w:t>2</w:t>
            </w:r>
          </w:p>
        </w:tc>
        <w:tc>
          <w:tcPr>
            <w:tcW w:w="1511" w:type="dxa"/>
            <w:vAlign w:val="center"/>
          </w:tcPr>
          <w:p w14:paraId="6C84F4C7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Cs/>
              </w:rPr>
            </w:pPr>
            <w:r w:rsidRPr="00EA2DF9">
              <w:rPr>
                <w:bCs/>
              </w:rPr>
              <w:t>3</w:t>
            </w:r>
          </w:p>
        </w:tc>
        <w:tc>
          <w:tcPr>
            <w:tcW w:w="1324" w:type="dxa"/>
            <w:gridSpan w:val="2"/>
            <w:vAlign w:val="center"/>
          </w:tcPr>
          <w:p w14:paraId="6C84F4C8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Cs/>
              </w:rPr>
            </w:pPr>
            <w:r w:rsidRPr="00EA2DF9">
              <w:rPr>
                <w:bCs/>
              </w:rPr>
              <w:t>4</w:t>
            </w:r>
          </w:p>
        </w:tc>
        <w:tc>
          <w:tcPr>
            <w:tcW w:w="1324" w:type="dxa"/>
            <w:gridSpan w:val="2"/>
            <w:vAlign w:val="center"/>
          </w:tcPr>
          <w:p w14:paraId="6C84F4C9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Cs/>
              </w:rPr>
            </w:pPr>
            <w:r w:rsidRPr="00EA2DF9">
              <w:rPr>
                <w:bCs/>
              </w:rPr>
              <w:t>5</w:t>
            </w:r>
          </w:p>
        </w:tc>
        <w:tc>
          <w:tcPr>
            <w:tcW w:w="1324" w:type="dxa"/>
            <w:gridSpan w:val="2"/>
            <w:vAlign w:val="center"/>
          </w:tcPr>
          <w:p w14:paraId="6C84F4CA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jc w:val="center"/>
              <w:rPr>
                <w:bCs/>
              </w:rPr>
            </w:pPr>
            <w:r w:rsidRPr="00EA2DF9">
              <w:rPr>
                <w:bCs/>
              </w:rPr>
              <w:t>6</w:t>
            </w:r>
          </w:p>
        </w:tc>
      </w:tr>
      <w:tr w:rsidR="00CB7071" w:rsidRPr="00EA2DF9" w14:paraId="6C84F4D2" w14:textId="77777777" w:rsidTr="00D813EB">
        <w:trPr>
          <w:jc w:val="center"/>
        </w:trPr>
        <w:tc>
          <w:tcPr>
            <w:tcW w:w="2893" w:type="dxa"/>
          </w:tcPr>
          <w:p w14:paraId="6C84F4CC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i/>
              </w:rPr>
            </w:pPr>
            <w:r w:rsidRPr="00EA2DF9">
              <w:t>1. Budžeta ieņēmumi:</w:t>
            </w:r>
          </w:p>
        </w:tc>
        <w:tc>
          <w:tcPr>
            <w:tcW w:w="1462" w:type="dxa"/>
          </w:tcPr>
          <w:p w14:paraId="6C84F4CD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4CE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4CF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D0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D1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4D9" w14:textId="77777777" w:rsidTr="00D813EB">
        <w:trPr>
          <w:jc w:val="center"/>
        </w:trPr>
        <w:tc>
          <w:tcPr>
            <w:tcW w:w="2893" w:type="dxa"/>
          </w:tcPr>
          <w:p w14:paraId="6C84F4D3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i/>
              </w:rPr>
            </w:pPr>
            <w:r w:rsidRPr="00EA2DF9">
              <w:t>1.1. valsts pamatbudžets, tai skaitā ieņēmumi no maksas pakalpojumiem un citi pašu ieņēmumi</w:t>
            </w:r>
          </w:p>
        </w:tc>
        <w:tc>
          <w:tcPr>
            <w:tcW w:w="1462" w:type="dxa"/>
          </w:tcPr>
          <w:p w14:paraId="6C84F4D4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4D5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4D6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D7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D8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4E0" w14:textId="77777777" w:rsidTr="00D813EB">
        <w:trPr>
          <w:jc w:val="center"/>
        </w:trPr>
        <w:tc>
          <w:tcPr>
            <w:tcW w:w="2893" w:type="dxa"/>
          </w:tcPr>
          <w:p w14:paraId="6C84F4DA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i/>
              </w:rPr>
            </w:pPr>
            <w:r w:rsidRPr="00EA2DF9">
              <w:t>1.2. valsts speciālais budžets</w:t>
            </w:r>
          </w:p>
        </w:tc>
        <w:tc>
          <w:tcPr>
            <w:tcW w:w="1462" w:type="dxa"/>
          </w:tcPr>
          <w:p w14:paraId="6C84F4DB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4DC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4DD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DE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DF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4E7" w14:textId="77777777" w:rsidTr="00D813EB">
        <w:trPr>
          <w:jc w:val="center"/>
        </w:trPr>
        <w:tc>
          <w:tcPr>
            <w:tcW w:w="2893" w:type="dxa"/>
          </w:tcPr>
          <w:p w14:paraId="6C84F4E1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i/>
              </w:rPr>
            </w:pPr>
            <w:r w:rsidRPr="00EA2DF9">
              <w:t>1.3. pašvaldību budžets</w:t>
            </w:r>
          </w:p>
        </w:tc>
        <w:tc>
          <w:tcPr>
            <w:tcW w:w="1462" w:type="dxa"/>
          </w:tcPr>
          <w:p w14:paraId="6C84F4E2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4E3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4E4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E5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E6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4EE" w14:textId="77777777" w:rsidTr="00D813EB">
        <w:trPr>
          <w:jc w:val="center"/>
        </w:trPr>
        <w:tc>
          <w:tcPr>
            <w:tcW w:w="2893" w:type="dxa"/>
          </w:tcPr>
          <w:p w14:paraId="6C84F4E8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2. Budžeta izdevumi:</w:t>
            </w:r>
          </w:p>
        </w:tc>
        <w:tc>
          <w:tcPr>
            <w:tcW w:w="1462" w:type="dxa"/>
            <w:vAlign w:val="center"/>
          </w:tcPr>
          <w:p w14:paraId="6C84F4E9" w14:textId="77777777" w:rsidR="00CB7071" w:rsidRPr="00D25E38" w:rsidRDefault="001A43B2" w:rsidP="001A4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6C84F4EA" w14:textId="77777777" w:rsidR="00CB7071" w:rsidRPr="00EA2DF9" w:rsidRDefault="00ED1E3F" w:rsidP="00D81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4E1C">
              <w:rPr>
                <w:rFonts w:ascii="Times New Roman" w:hAnsi="Times New Roman"/>
                <w:sz w:val="24"/>
                <w:szCs w:val="24"/>
              </w:rPr>
              <w:t> 993 480</w:t>
            </w:r>
          </w:p>
        </w:tc>
        <w:tc>
          <w:tcPr>
            <w:tcW w:w="1324" w:type="dxa"/>
            <w:gridSpan w:val="2"/>
          </w:tcPr>
          <w:p w14:paraId="6C84F4EB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EC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ED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4F5" w14:textId="77777777" w:rsidTr="00D813EB">
        <w:trPr>
          <w:jc w:val="center"/>
        </w:trPr>
        <w:tc>
          <w:tcPr>
            <w:tcW w:w="2893" w:type="dxa"/>
          </w:tcPr>
          <w:p w14:paraId="6C84F4EF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2.1. valsts pamatbudžets</w:t>
            </w:r>
          </w:p>
        </w:tc>
        <w:tc>
          <w:tcPr>
            <w:tcW w:w="1462" w:type="dxa"/>
            <w:vAlign w:val="center"/>
          </w:tcPr>
          <w:p w14:paraId="6C84F4F0" w14:textId="77777777" w:rsidR="00CB7071" w:rsidRPr="00D25E38" w:rsidRDefault="00BB4E1C" w:rsidP="00B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6C84F4F1" w14:textId="77777777" w:rsidR="00CB7071" w:rsidRPr="00EA2DF9" w:rsidRDefault="00ED1E3F" w:rsidP="00D813EB">
            <w:pPr>
              <w:spacing w:after="0" w:line="240" w:lineRule="auto"/>
              <w:ind w:left="-108" w:right="-6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4E1C">
              <w:rPr>
                <w:rFonts w:ascii="Times New Roman" w:hAnsi="Times New Roman"/>
                <w:sz w:val="24"/>
                <w:szCs w:val="24"/>
              </w:rPr>
              <w:t> 993 480</w:t>
            </w:r>
          </w:p>
        </w:tc>
        <w:tc>
          <w:tcPr>
            <w:tcW w:w="1324" w:type="dxa"/>
            <w:gridSpan w:val="2"/>
          </w:tcPr>
          <w:p w14:paraId="6C84F4F2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F3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F4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4FC" w14:textId="77777777" w:rsidTr="00D813EB">
        <w:trPr>
          <w:jc w:val="center"/>
        </w:trPr>
        <w:tc>
          <w:tcPr>
            <w:tcW w:w="2893" w:type="dxa"/>
          </w:tcPr>
          <w:p w14:paraId="6C84F4F6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2.2. valsts speciālais budžets</w:t>
            </w:r>
          </w:p>
        </w:tc>
        <w:tc>
          <w:tcPr>
            <w:tcW w:w="1462" w:type="dxa"/>
          </w:tcPr>
          <w:p w14:paraId="6C84F4F7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4F8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4F9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FA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4FB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03" w14:textId="77777777" w:rsidTr="00D813EB">
        <w:trPr>
          <w:jc w:val="center"/>
        </w:trPr>
        <w:tc>
          <w:tcPr>
            <w:tcW w:w="2893" w:type="dxa"/>
          </w:tcPr>
          <w:p w14:paraId="6C84F4FD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 xml:space="preserve">2.3. pašvaldību budžets </w:t>
            </w:r>
          </w:p>
        </w:tc>
        <w:tc>
          <w:tcPr>
            <w:tcW w:w="1462" w:type="dxa"/>
          </w:tcPr>
          <w:p w14:paraId="6C84F4FE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4FF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500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01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02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0A" w14:textId="77777777" w:rsidTr="00D813EB">
        <w:trPr>
          <w:jc w:val="center"/>
        </w:trPr>
        <w:tc>
          <w:tcPr>
            <w:tcW w:w="2893" w:type="dxa"/>
          </w:tcPr>
          <w:p w14:paraId="6C84F504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3. Finansiālā ietekme: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84F505" w14:textId="77777777" w:rsidR="00CB7071" w:rsidRPr="00815F63" w:rsidRDefault="00BB4E1C" w:rsidP="00B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6C84F506" w14:textId="77777777" w:rsidR="00CB7071" w:rsidRPr="00EA2DF9" w:rsidRDefault="00D813EB" w:rsidP="00BB4E1C">
            <w:pPr>
              <w:spacing w:after="0" w:line="240" w:lineRule="auto"/>
              <w:ind w:right="-155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B4E1C">
              <w:rPr>
                <w:rFonts w:ascii="Times New Roman" w:hAnsi="Times New Roman"/>
                <w:sz w:val="24"/>
                <w:szCs w:val="24"/>
              </w:rPr>
              <w:t>7 993 480</w:t>
            </w:r>
          </w:p>
        </w:tc>
        <w:tc>
          <w:tcPr>
            <w:tcW w:w="1324" w:type="dxa"/>
            <w:gridSpan w:val="2"/>
          </w:tcPr>
          <w:p w14:paraId="6C84F507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08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09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11" w14:textId="77777777" w:rsidTr="00D813EB">
        <w:trPr>
          <w:jc w:val="center"/>
        </w:trPr>
        <w:tc>
          <w:tcPr>
            <w:tcW w:w="2893" w:type="dxa"/>
          </w:tcPr>
          <w:p w14:paraId="6C84F50B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3.1. valsts pamatbudžets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84F50C" w14:textId="77777777" w:rsidR="00CB7071" w:rsidRPr="00D25E38" w:rsidRDefault="00BB4E1C" w:rsidP="00B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6C84F50D" w14:textId="77777777" w:rsidR="00CB7071" w:rsidRPr="00EA2DF9" w:rsidRDefault="00D813EB" w:rsidP="00BB4E1C">
            <w:pPr>
              <w:spacing w:after="0" w:line="240" w:lineRule="auto"/>
              <w:ind w:right="-155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B4E1C">
              <w:rPr>
                <w:rFonts w:ascii="Times New Roman" w:hAnsi="Times New Roman"/>
                <w:sz w:val="24"/>
                <w:szCs w:val="24"/>
              </w:rPr>
              <w:t>7 993 480</w:t>
            </w:r>
          </w:p>
        </w:tc>
        <w:tc>
          <w:tcPr>
            <w:tcW w:w="1324" w:type="dxa"/>
            <w:gridSpan w:val="2"/>
          </w:tcPr>
          <w:p w14:paraId="6C84F50E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0F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10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18" w14:textId="77777777" w:rsidTr="00D813EB">
        <w:trPr>
          <w:jc w:val="center"/>
        </w:trPr>
        <w:tc>
          <w:tcPr>
            <w:tcW w:w="2893" w:type="dxa"/>
          </w:tcPr>
          <w:p w14:paraId="6C84F512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3.2. speciālais budžets</w:t>
            </w:r>
          </w:p>
        </w:tc>
        <w:tc>
          <w:tcPr>
            <w:tcW w:w="1462" w:type="dxa"/>
            <w:shd w:val="clear" w:color="auto" w:fill="auto"/>
          </w:tcPr>
          <w:p w14:paraId="6C84F513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514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515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16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17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1F" w14:textId="77777777" w:rsidTr="00D813EB">
        <w:trPr>
          <w:jc w:val="center"/>
        </w:trPr>
        <w:tc>
          <w:tcPr>
            <w:tcW w:w="2893" w:type="dxa"/>
          </w:tcPr>
          <w:p w14:paraId="6C84F519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 xml:space="preserve">3.3. pašvaldību budžets </w:t>
            </w:r>
          </w:p>
        </w:tc>
        <w:tc>
          <w:tcPr>
            <w:tcW w:w="1462" w:type="dxa"/>
            <w:shd w:val="clear" w:color="auto" w:fill="auto"/>
          </w:tcPr>
          <w:p w14:paraId="6C84F51A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6C84F51B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51C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1D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1E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26" w14:textId="77777777" w:rsidTr="00D813EB">
        <w:trPr>
          <w:jc w:val="center"/>
        </w:trPr>
        <w:tc>
          <w:tcPr>
            <w:tcW w:w="2893" w:type="dxa"/>
            <w:vMerge w:val="restart"/>
          </w:tcPr>
          <w:p w14:paraId="6C84F520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4. Finanšu līdzekļi papildu izdevumu finansēšanai (kompensējošu izdevumu samazinājumu norāda ar "+" zīmi)</w:t>
            </w:r>
          </w:p>
        </w:tc>
        <w:tc>
          <w:tcPr>
            <w:tcW w:w="1462" w:type="dxa"/>
            <w:vMerge w:val="restart"/>
          </w:tcPr>
          <w:p w14:paraId="6C84F521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X</w:t>
            </w:r>
          </w:p>
        </w:tc>
        <w:tc>
          <w:tcPr>
            <w:tcW w:w="1511" w:type="dxa"/>
          </w:tcPr>
          <w:p w14:paraId="6C84F522" w14:textId="77777777" w:rsidR="00CB7071" w:rsidRPr="00EA2DF9" w:rsidRDefault="00CB7071" w:rsidP="00B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</w:t>
            </w:r>
            <w:r w:rsidR="0083054C">
              <w:rPr>
                <w:rFonts w:ascii="Times New Roman" w:hAnsi="Times New Roman"/>
                <w:sz w:val="24"/>
                <w:szCs w:val="24"/>
              </w:rPr>
              <w:t>+</w:t>
            </w:r>
            <w:r w:rsidR="00BB4E1C">
              <w:rPr>
                <w:rFonts w:ascii="Times New Roman" w:hAnsi="Times New Roman"/>
                <w:sz w:val="24"/>
                <w:szCs w:val="24"/>
              </w:rPr>
              <w:t>7 993 480</w:t>
            </w:r>
          </w:p>
        </w:tc>
        <w:tc>
          <w:tcPr>
            <w:tcW w:w="1324" w:type="dxa"/>
            <w:gridSpan w:val="2"/>
          </w:tcPr>
          <w:p w14:paraId="6C84F523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24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25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2D" w14:textId="77777777" w:rsidTr="00D813EB">
        <w:trPr>
          <w:jc w:val="center"/>
        </w:trPr>
        <w:tc>
          <w:tcPr>
            <w:tcW w:w="2893" w:type="dxa"/>
            <w:vMerge/>
          </w:tcPr>
          <w:p w14:paraId="6C84F527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6C84F528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511" w:type="dxa"/>
          </w:tcPr>
          <w:p w14:paraId="6C84F529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  0</w:t>
            </w:r>
          </w:p>
        </w:tc>
        <w:tc>
          <w:tcPr>
            <w:tcW w:w="1324" w:type="dxa"/>
            <w:gridSpan w:val="2"/>
          </w:tcPr>
          <w:p w14:paraId="6C84F52A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2B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2C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</w:tr>
      <w:tr w:rsidR="00CB7071" w:rsidRPr="00EA2DF9" w14:paraId="6C84F534" w14:textId="77777777" w:rsidTr="00D813EB">
        <w:trPr>
          <w:jc w:val="center"/>
        </w:trPr>
        <w:tc>
          <w:tcPr>
            <w:tcW w:w="2893" w:type="dxa"/>
            <w:vMerge/>
          </w:tcPr>
          <w:p w14:paraId="6C84F52E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6C84F52F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511" w:type="dxa"/>
          </w:tcPr>
          <w:p w14:paraId="6C84F530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  0</w:t>
            </w:r>
          </w:p>
        </w:tc>
        <w:tc>
          <w:tcPr>
            <w:tcW w:w="1324" w:type="dxa"/>
            <w:gridSpan w:val="2"/>
          </w:tcPr>
          <w:p w14:paraId="6C84F531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32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33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</w:tr>
      <w:tr w:rsidR="00CB7071" w:rsidRPr="00EA2DF9" w14:paraId="6C84F53B" w14:textId="77777777" w:rsidTr="00D813EB">
        <w:trPr>
          <w:jc w:val="center"/>
        </w:trPr>
        <w:tc>
          <w:tcPr>
            <w:tcW w:w="2893" w:type="dxa"/>
          </w:tcPr>
          <w:p w14:paraId="6C84F535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5. Precizēta finansiālā ietekme:</w:t>
            </w:r>
          </w:p>
        </w:tc>
        <w:tc>
          <w:tcPr>
            <w:tcW w:w="1462" w:type="dxa"/>
            <w:vMerge w:val="restart"/>
          </w:tcPr>
          <w:p w14:paraId="6C84F536" w14:textId="77777777" w:rsidR="00CB7071" w:rsidRPr="00D25E38" w:rsidRDefault="00CB7071" w:rsidP="0019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38">
              <w:rPr>
                <w:rFonts w:ascii="Times New Roman" w:hAnsi="Times New Roman"/>
                <w:sz w:val="24"/>
                <w:szCs w:val="24"/>
              </w:rPr>
              <w:t> X</w:t>
            </w:r>
          </w:p>
        </w:tc>
        <w:tc>
          <w:tcPr>
            <w:tcW w:w="1511" w:type="dxa"/>
          </w:tcPr>
          <w:p w14:paraId="6C84F537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  0</w:t>
            </w:r>
          </w:p>
        </w:tc>
        <w:tc>
          <w:tcPr>
            <w:tcW w:w="1324" w:type="dxa"/>
            <w:gridSpan w:val="2"/>
          </w:tcPr>
          <w:p w14:paraId="6C84F538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39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  <w:tc>
          <w:tcPr>
            <w:tcW w:w="1324" w:type="dxa"/>
            <w:gridSpan w:val="2"/>
          </w:tcPr>
          <w:p w14:paraId="6C84F53A" w14:textId="77777777" w:rsidR="00CB7071" w:rsidRPr="00EA2DF9" w:rsidRDefault="00CB7071" w:rsidP="00B84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Nav attiecināms</w:t>
            </w:r>
          </w:p>
        </w:tc>
      </w:tr>
      <w:tr w:rsidR="00CB7071" w:rsidRPr="00EA2DF9" w14:paraId="6C84F542" w14:textId="77777777" w:rsidTr="00D813EB">
        <w:trPr>
          <w:jc w:val="center"/>
        </w:trPr>
        <w:tc>
          <w:tcPr>
            <w:tcW w:w="2893" w:type="dxa"/>
          </w:tcPr>
          <w:p w14:paraId="6C84F53C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5.1. valsts pamatbudžets</w:t>
            </w:r>
          </w:p>
        </w:tc>
        <w:tc>
          <w:tcPr>
            <w:tcW w:w="1462" w:type="dxa"/>
            <w:vMerge/>
            <w:vAlign w:val="center"/>
          </w:tcPr>
          <w:p w14:paraId="6C84F53D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511" w:type="dxa"/>
          </w:tcPr>
          <w:p w14:paraId="6C84F53E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  0</w:t>
            </w:r>
          </w:p>
        </w:tc>
        <w:tc>
          <w:tcPr>
            <w:tcW w:w="1324" w:type="dxa"/>
            <w:gridSpan w:val="2"/>
          </w:tcPr>
          <w:p w14:paraId="6C84F53F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40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41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</w:tr>
      <w:tr w:rsidR="00CB7071" w:rsidRPr="00EA2DF9" w14:paraId="6C84F549" w14:textId="77777777" w:rsidTr="00D813EB">
        <w:trPr>
          <w:jc w:val="center"/>
        </w:trPr>
        <w:tc>
          <w:tcPr>
            <w:tcW w:w="2893" w:type="dxa"/>
          </w:tcPr>
          <w:p w14:paraId="6C84F543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5.2. speciālais budžets</w:t>
            </w:r>
          </w:p>
        </w:tc>
        <w:tc>
          <w:tcPr>
            <w:tcW w:w="1462" w:type="dxa"/>
            <w:vMerge/>
            <w:vAlign w:val="center"/>
          </w:tcPr>
          <w:p w14:paraId="6C84F544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511" w:type="dxa"/>
          </w:tcPr>
          <w:p w14:paraId="6C84F545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  0</w:t>
            </w:r>
          </w:p>
        </w:tc>
        <w:tc>
          <w:tcPr>
            <w:tcW w:w="1324" w:type="dxa"/>
            <w:gridSpan w:val="2"/>
          </w:tcPr>
          <w:p w14:paraId="6C84F546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47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48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</w:tr>
      <w:tr w:rsidR="00CB7071" w:rsidRPr="00EA2DF9" w14:paraId="6C84F550" w14:textId="77777777" w:rsidTr="00D813EB">
        <w:trPr>
          <w:jc w:val="center"/>
        </w:trPr>
        <w:tc>
          <w:tcPr>
            <w:tcW w:w="2893" w:type="dxa"/>
          </w:tcPr>
          <w:p w14:paraId="6C84F54A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 xml:space="preserve">5.3. pašvaldību budžets </w:t>
            </w:r>
          </w:p>
        </w:tc>
        <w:tc>
          <w:tcPr>
            <w:tcW w:w="1462" w:type="dxa"/>
            <w:vMerge/>
            <w:vAlign w:val="center"/>
          </w:tcPr>
          <w:p w14:paraId="6C84F54B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511" w:type="dxa"/>
          </w:tcPr>
          <w:p w14:paraId="6C84F54C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  0</w:t>
            </w:r>
          </w:p>
        </w:tc>
        <w:tc>
          <w:tcPr>
            <w:tcW w:w="1324" w:type="dxa"/>
            <w:gridSpan w:val="2"/>
          </w:tcPr>
          <w:p w14:paraId="6C84F54D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4E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  <w:tc>
          <w:tcPr>
            <w:tcW w:w="1324" w:type="dxa"/>
            <w:gridSpan w:val="2"/>
          </w:tcPr>
          <w:p w14:paraId="6C84F54F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  <w:r w:rsidRPr="00EA2DF9">
              <w:t>Nav attiecināms</w:t>
            </w:r>
          </w:p>
        </w:tc>
      </w:tr>
      <w:tr w:rsidR="00CB7071" w:rsidRPr="00EA2DF9" w14:paraId="6C84F553" w14:textId="77777777" w:rsidTr="00D813EB">
        <w:trPr>
          <w:jc w:val="center"/>
        </w:trPr>
        <w:tc>
          <w:tcPr>
            <w:tcW w:w="2893" w:type="dxa"/>
          </w:tcPr>
          <w:p w14:paraId="6C84F551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6. Detalizēts ieņēmumu un izdevumu aprēķins (ja nepie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>ciešams, detalizētu ieņēmumu un izdevumu aprēķinu var pie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vienot 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anotācijas pielikumā):</w:t>
            </w:r>
          </w:p>
        </w:tc>
        <w:tc>
          <w:tcPr>
            <w:tcW w:w="6945" w:type="dxa"/>
            <w:gridSpan w:val="8"/>
            <w:vMerge w:val="restart"/>
            <w:vAlign w:val="center"/>
          </w:tcPr>
          <w:p w14:paraId="6C84F552" w14:textId="77777777" w:rsidR="00CB7071" w:rsidRPr="00EA2DF9" w:rsidRDefault="00CB7071" w:rsidP="00B84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lastRenderedPageBreak/>
              <w:t>  Nav precīzi aprēķināms.</w:t>
            </w:r>
          </w:p>
        </w:tc>
      </w:tr>
      <w:tr w:rsidR="00CB7071" w:rsidRPr="00EA2DF9" w14:paraId="6C84F556" w14:textId="77777777" w:rsidTr="00D813EB">
        <w:trPr>
          <w:jc w:val="center"/>
        </w:trPr>
        <w:tc>
          <w:tcPr>
            <w:tcW w:w="2893" w:type="dxa"/>
          </w:tcPr>
          <w:p w14:paraId="6C84F554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 detalizēts ieņēmumu aprēķins</w:t>
            </w:r>
          </w:p>
        </w:tc>
        <w:tc>
          <w:tcPr>
            <w:tcW w:w="6945" w:type="dxa"/>
            <w:gridSpan w:val="8"/>
            <w:vMerge/>
            <w:vAlign w:val="center"/>
          </w:tcPr>
          <w:p w14:paraId="6C84F555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</w:p>
        </w:tc>
      </w:tr>
      <w:tr w:rsidR="00CB7071" w:rsidRPr="00EA2DF9" w14:paraId="6C84F559" w14:textId="77777777" w:rsidTr="00D813EB">
        <w:trPr>
          <w:jc w:val="center"/>
        </w:trPr>
        <w:tc>
          <w:tcPr>
            <w:tcW w:w="2893" w:type="dxa"/>
          </w:tcPr>
          <w:p w14:paraId="6C84F557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6.2. detalizēts izdevumu aprēķins</w:t>
            </w:r>
          </w:p>
        </w:tc>
        <w:tc>
          <w:tcPr>
            <w:tcW w:w="6945" w:type="dxa"/>
            <w:gridSpan w:val="8"/>
            <w:vMerge/>
            <w:vAlign w:val="center"/>
          </w:tcPr>
          <w:p w14:paraId="6C84F558" w14:textId="77777777" w:rsidR="00CB7071" w:rsidRPr="00EA2DF9" w:rsidRDefault="00CB7071" w:rsidP="00B84678">
            <w:pPr>
              <w:pStyle w:val="naisf"/>
              <w:spacing w:before="0" w:beforeAutospacing="0" w:after="0" w:afterAutospacing="0"/>
              <w:rPr>
                <w:b/>
                <w:i/>
              </w:rPr>
            </w:pPr>
          </w:p>
        </w:tc>
      </w:tr>
      <w:tr w:rsidR="00CB7071" w:rsidRPr="00EA2DF9" w14:paraId="6C84F55C" w14:textId="77777777" w:rsidTr="00D813EB">
        <w:trPr>
          <w:trHeight w:val="556"/>
          <w:jc w:val="center"/>
        </w:trPr>
        <w:tc>
          <w:tcPr>
            <w:tcW w:w="2893" w:type="dxa"/>
          </w:tcPr>
          <w:p w14:paraId="6C84F55A" w14:textId="77777777" w:rsidR="00CB7071" w:rsidRPr="00EA2DF9" w:rsidRDefault="00CB7071" w:rsidP="00B84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7. Cita informācija</w:t>
            </w:r>
          </w:p>
        </w:tc>
        <w:tc>
          <w:tcPr>
            <w:tcW w:w="6945" w:type="dxa"/>
            <w:gridSpan w:val="8"/>
          </w:tcPr>
          <w:p w14:paraId="6C84F55B" w14:textId="77777777" w:rsidR="00CB7071" w:rsidRPr="00EA2DF9" w:rsidRDefault="001A43B2" w:rsidP="00BB4E1C">
            <w:pPr>
              <w:spacing w:after="0" w:line="240" w:lineRule="auto"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Ciltsdarba maksājums 7 993 480 </w:t>
            </w:r>
            <w:r w:rsidRPr="001A43B2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1A4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apmērā </w:t>
            </w:r>
            <w:r w:rsidRPr="001A43B2">
              <w:rPr>
                <w:rFonts w:ascii="Times New Roman" w:hAnsi="Times New Roman"/>
                <w:sz w:val="24"/>
                <w:szCs w:val="24"/>
              </w:rPr>
              <w:t>tiek segt</w:t>
            </w:r>
            <w:r w:rsidR="00BB4E1C">
              <w:rPr>
                <w:rFonts w:ascii="Times New Roman" w:hAnsi="Times New Roman"/>
                <w:sz w:val="24"/>
                <w:szCs w:val="24"/>
              </w:rPr>
              <w:t>s</w:t>
            </w:r>
            <w:r w:rsidRPr="001A43B2">
              <w:rPr>
                <w:rFonts w:ascii="Times New Roman" w:hAnsi="Times New Roman"/>
                <w:sz w:val="24"/>
                <w:szCs w:val="24"/>
              </w:rPr>
              <w:t xml:space="preserve"> no valsts budžeta programmas 02.00.00 „Līdzekļi neparedzētiem gadījumiem”.</w:t>
            </w:r>
          </w:p>
        </w:tc>
      </w:tr>
    </w:tbl>
    <w:p w14:paraId="6C84F55D" w14:textId="77777777" w:rsidR="000330A2" w:rsidRPr="00EA2DF9" w:rsidRDefault="000330A2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5E" w14:textId="77777777" w:rsidR="00D813EB" w:rsidRPr="00D813EB" w:rsidRDefault="00D813EB" w:rsidP="00D813EB">
      <w:pPr>
        <w:spacing w:after="0" w:line="240" w:lineRule="auto"/>
        <w:rPr>
          <w:rFonts w:ascii="Times New Roman" w:hAnsi="Times New Roman"/>
          <w:i/>
        </w:rPr>
      </w:pPr>
      <w:r w:rsidRPr="00D813EB">
        <w:rPr>
          <w:rFonts w:ascii="Times New Roman" w:hAnsi="Times New Roman"/>
          <w:i/>
        </w:rPr>
        <w:t>Anotācijas IV sadaļa – noteikumu projekts šo jomu neskar.</w:t>
      </w:r>
    </w:p>
    <w:p w14:paraId="6C84F55F" w14:textId="77777777" w:rsidR="000330A2" w:rsidRDefault="000330A2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"/>
        <w:gridCol w:w="1653"/>
        <w:gridCol w:w="267"/>
        <w:gridCol w:w="740"/>
        <w:gridCol w:w="1103"/>
        <w:gridCol w:w="1173"/>
        <w:gridCol w:w="1656"/>
        <w:gridCol w:w="3001"/>
      </w:tblGrid>
      <w:tr w:rsidR="00694794" w:rsidRPr="00EA2DF9" w14:paraId="6C84F561" w14:textId="77777777" w:rsidTr="0071535E">
        <w:trPr>
          <w:jc w:val="center"/>
        </w:trPr>
        <w:tc>
          <w:tcPr>
            <w:tcW w:w="98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60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/>
                <w:sz w:val="24"/>
                <w:szCs w:val="24"/>
              </w:rPr>
              <w:t>V. Tiesību akta projekta atbilstība Latvijas Republikas starptautiskajām saistībām</w:t>
            </w:r>
          </w:p>
        </w:tc>
      </w:tr>
      <w:tr w:rsidR="00694794" w:rsidRPr="00EA2DF9" w14:paraId="6C84F565" w14:textId="77777777" w:rsidTr="0071535E">
        <w:trPr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2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3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Saistības pret Eiropas Savienību</w:t>
            </w:r>
          </w:p>
        </w:tc>
        <w:tc>
          <w:tcPr>
            <w:tcW w:w="69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4" w14:textId="77777777" w:rsidR="00694794" w:rsidRPr="00EA2DF9" w:rsidRDefault="00694794" w:rsidP="00715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3EB">
              <w:rPr>
                <w:rFonts w:ascii="Times New Roman" w:hAnsi="Times New Roman" w:cs="Times New Roman"/>
                <w:sz w:val="24"/>
                <w:szCs w:val="24"/>
              </w:rPr>
              <w:t>Atbalstu paredzēts sniegt saskaņā ar Komisijas 2014.gada 25.jūnija Regulu (EK) Nr.702/2014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3EB">
              <w:rPr>
                <w:rFonts w:ascii="Times New Roman" w:hAnsi="Times New Roman" w:cs="Times New Roman"/>
                <w:sz w:val="24"/>
                <w:szCs w:val="24"/>
              </w:rPr>
              <w:t xml:space="preserve"> ar kuru konkrētas atbalsta kategorijas lauksaimniecības un mežsaimniecības nozarē un lauku apvidos atzīst par saderīgām ar iekšējo tirgu, piemērojot Līguma par Eiropas Savie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nības darbību 107. un 108.pantu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3EB">
              <w:rPr>
                <w:rFonts w:ascii="Times New Roman" w:hAnsi="Times New Roman" w:cs="Times New Roman"/>
                <w:sz w:val="24"/>
                <w:szCs w:val="24"/>
              </w:rPr>
              <w:t>(Eiropas Savienības Oficiālais Vēstne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sis, 2014.gada 1.jūlijs, L 193)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 xml:space="preserve"> (turpmāk – Komisijas Regula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4794" w:rsidRPr="00EA2DF9" w14:paraId="6C84F569" w14:textId="77777777" w:rsidTr="0071535E">
        <w:trPr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6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7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Citas starptautiskās saistības</w:t>
            </w:r>
          </w:p>
        </w:tc>
        <w:tc>
          <w:tcPr>
            <w:tcW w:w="69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8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Projekts šo jomu neskar.</w:t>
            </w:r>
          </w:p>
        </w:tc>
      </w:tr>
      <w:tr w:rsidR="00694794" w:rsidRPr="00EA2DF9" w14:paraId="6C84F56D" w14:textId="77777777" w:rsidTr="0071535E">
        <w:trPr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A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B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69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6C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694794" w:rsidRPr="00EA2DF9" w14:paraId="6C84F570" w14:textId="77777777" w:rsidTr="0071535E">
        <w:trPr>
          <w:jc w:val="center"/>
        </w:trPr>
        <w:tc>
          <w:tcPr>
            <w:tcW w:w="98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6E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/>
                <w:sz w:val="24"/>
                <w:szCs w:val="24"/>
              </w:rPr>
              <w:t>1.tabula</w:t>
            </w:r>
          </w:p>
          <w:p w14:paraId="6C84F56F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/>
                <w:sz w:val="24"/>
                <w:szCs w:val="24"/>
              </w:rPr>
              <w:t>Tiesību akta projekta atbilstība ES tiesību aktiem</w:t>
            </w:r>
          </w:p>
        </w:tc>
      </w:tr>
      <w:tr w:rsidR="00694794" w:rsidRPr="00EA2DF9" w14:paraId="6C84F573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71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Attiecīgā ES tiesību akta datums, numurs un nosaukums</w:t>
            </w:r>
          </w:p>
        </w:tc>
        <w:tc>
          <w:tcPr>
            <w:tcW w:w="79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72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Aizpilda, ja ar projektu tiek pārņemts vai ieviests vairāk nekā viens ES tiesību akts, – jānorāda tā pati informācija, kas prasīta instrukcijas 55.1.apakšpunktā un jau tikusi norādīta arī V sadaļas 1.punkta ietvaros</w:t>
            </w:r>
          </w:p>
        </w:tc>
      </w:tr>
      <w:tr w:rsidR="00694794" w:rsidRPr="00EA2DF9" w14:paraId="6C84F578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74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75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76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77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94794" w:rsidRPr="00EA2DF9" w14:paraId="6C84F581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79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Attiecīgā ES tiesību akta panta numurs (uzskaitot katru tiesību akta vienību – pantu, daļu, punktu, apakšpunktu)</w:t>
            </w:r>
          </w:p>
        </w:tc>
        <w:tc>
          <w:tcPr>
            <w:tcW w:w="2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7A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2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7B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Informācija par to, vai šīs tabulas A ailē minētās ES tiesību akta vienības tiek pārņemtas vai ieviestas pilnībā vai daļēji.</w:t>
            </w:r>
          </w:p>
          <w:p w14:paraId="6C84F57C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</w:p>
          <w:p w14:paraId="6C84F57D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Norāda institūciju, kas ir atbildīga par šo saistību izpildi pilnībā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7E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Informācija par to, vai šīs tabulas B ailē minētās projekta vienības paredz stingrākas prasības nekā šīs tabulas A ailē minētās ES tiesību akta vienības.</w:t>
            </w:r>
          </w:p>
          <w:p w14:paraId="6C84F57F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Ja projekts satur stingrā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>kas prasības nekā attie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>cīgais ES tiesību akts, norāda pamatojumu un samērīgumu.</w:t>
            </w:r>
          </w:p>
          <w:p w14:paraId="6C84F580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Norāda iespējamās alternatīvas (</w:t>
            </w:r>
            <w:proofErr w:type="spellStart"/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t.sk</w:t>
            </w:r>
            <w:proofErr w:type="spellEnd"/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. alternatīvas, kas neparedz tiesiskā regulējuma izstrādi) – kādos gadījumos būtu iespējams izvairīties no stingrāku prasību noteikšanas, nekā paredzēts attiecīgajos ES tiesību aktos</w:t>
            </w:r>
          </w:p>
        </w:tc>
      </w:tr>
      <w:tr w:rsidR="00694794" w:rsidRPr="00EA2DF9" w14:paraId="6C84F586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2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3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4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5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94" w:rsidRPr="00EA2DF9" w14:paraId="6C84F58B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7" w14:textId="77777777" w:rsidR="00694794" w:rsidRPr="00A63495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Komisijas </w:t>
            </w: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 xml:space="preserve">Regula Nr.702/2014 </w:t>
            </w:r>
          </w:p>
        </w:tc>
        <w:tc>
          <w:tcPr>
            <w:tcW w:w="2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8" w14:textId="77777777" w:rsidR="00694794" w:rsidRPr="00A63495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 xml:space="preserve">Noteikumu 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 xml:space="preserve">.punkts </w:t>
            </w:r>
          </w:p>
        </w:tc>
        <w:tc>
          <w:tcPr>
            <w:tcW w:w="2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9" w14:textId="77777777" w:rsidR="00694794" w:rsidRPr="00A63495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>Regulas Nr.702/2014 prasības tiek ieviestas pilnībā.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A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Noteikumu projekta vienības neparedz stingrākas prasības kā šīs tabulas A ailē minētās ES tiesību akta vienības.</w:t>
            </w:r>
          </w:p>
        </w:tc>
      </w:tr>
      <w:tr w:rsidR="00694794" w:rsidRPr="00EA2DF9" w14:paraId="6C84F590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C" w14:textId="77777777" w:rsidR="00694794" w:rsidRDefault="00694794" w:rsidP="007153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Komisijas </w:t>
            </w:r>
            <w:r w:rsidRPr="00570EF1">
              <w:rPr>
                <w:rFonts w:ascii="Times New Roman" w:hAnsi="Times New Roman" w:cs="Times New Roman"/>
                <w:sz w:val="24"/>
                <w:szCs w:val="24"/>
              </w:rPr>
              <w:t xml:space="preserve">Regulas Nr.702/2014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27.panta „b” apakšpunkts</w:t>
            </w:r>
          </w:p>
        </w:tc>
        <w:tc>
          <w:tcPr>
            <w:tcW w:w="2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D" w14:textId="77777777" w:rsidR="00694794" w:rsidRPr="00B418A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 xml:space="preserve">Noteikumu 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6.</w:t>
            </w:r>
            <w:r w:rsidRPr="00A63495">
              <w:rPr>
                <w:rFonts w:ascii="Times New Roman" w:hAnsi="Times New Roman" w:cs="Times New Roman"/>
                <w:sz w:val="24"/>
                <w:szCs w:val="24"/>
              </w:rPr>
              <w:t>punkts</w:t>
            </w:r>
          </w:p>
        </w:tc>
        <w:tc>
          <w:tcPr>
            <w:tcW w:w="2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E" w14:textId="77777777" w:rsidR="00694794" w:rsidRDefault="00694794" w:rsidP="0071535E">
            <w:r w:rsidRPr="00BC6D36">
              <w:rPr>
                <w:rFonts w:ascii="Times New Roman" w:hAnsi="Times New Roman" w:cs="Times New Roman"/>
                <w:sz w:val="24"/>
                <w:szCs w:val="24"/>
              </w:rPr>
              <w:t>Regulas Nr.702/2014 prasības tiek ieviestas pilnībā.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8F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Noteikumu projekta vienības neparedz stingrākas prasības kā šīs tabulas A ailē minētās ES tiesību akta vienības.</w:t>
            </w:r>
          </w:p>
        </w:tc>
      </w:tr>
      <w:tr w:rsidR="00694794" w:rsidRPr="00EA2DF9" w14:paraId="6C84F594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91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Kā ir izmantota ES tiesību aktā paredzētā rīcības brīvība dalībvalstij pārņemt vai ieviest noteiktas ES tiesību akta normas?</w:t>
            </w:r>
          </w:p>
          <w:p w14:paraId="6C84F592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Kādēļ?</w:t>
            </w:r>
          </w:p>
        </w:tc>
        <w:tc>
          <w:tcPr>
            <w:tcW w:w="79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93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Projekts šo jomu neskar.</w:t>
            </w:r>
          </w:p>
        </w:tc>
      </w:tr>
      <w:tr w:rsidR="00694794" w:rsidRPr="00EA2DF9" w14:paraId="6C84F598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95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Saistības sniegt paziņojumu ES institūcijām un ES dalībvalstīm atbilstoši normatīvajiem aktiem, kas regulē informācijas sniegšanu par tehnisko noteikumu, valsts atbalsta piešķir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>šanas un finanšu noteikumu (attiecībā uz monetāro politiku) projektiem</w:t>
            </w:r>
          </w:p>
        </w:tc>
        <w:tc>
          <w:tcPr>
            <w:tcW w:w="79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96" w14:textId="77777777" w:rsidR="00694794" w:rsidRDefault="00694794" w:rsidP="00715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C">
              <w:rPr>
                <w:rFonts w:ascii="Times New Roman" w:hAnsi="Times New Roman" w:cs="Times New Roman"/>
                <w:sz w:val="24"/>
                <w:szCs w:val="24"/>
              </w:rPr>
              <w:t>Ministru kabineta noteikumu projekts sagatavots, ievērojot Eiropas normatīvajos aktos un Eiropas Savienības Pievienošanās līgumā noteiktās prasības.</w:t>
            </w:r>
          </w:p>
          <w:p w14:paraId="6C84F597" w14:textId="77777777" w:rsidR="00694794" w:rsidRPr="00EA2DF9" w:rsidRDefault="001A5B01" w:rsidP="001A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Eiropas Komisijas lēmums</w:t>
            </w:r>
            <w:r w:rsidRPr="00095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SA.39407(2014/XA) - Atbalsts lopkopības sektoram un atbalsts par kritušiem dzīvniekiem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794" w:rsidRPr="00EA2DF9" w14:paraId="6C84F59B" w14:textId="77777777" w:rsidTr="0071535E">
        <w:trPr>
          <w:jc w:val="center"/>
        </w:trPr>
        <w:tc>
          <w:tcPr>
            <w:tcW w:w="1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99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79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9A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694794" w:rsidRPr="00EA2DF9" w14:paraId="6C84F59F" w14:textId="77777777" w:rsidTr="0071535E">
        <w:trPr>
          <w:jc w:val="center"/>
        </w:trPr>
        <w:tc>
          <w:tcPr>
            <w:tcW w:w="98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9C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/>
                <w:sz w:val="24"/>
                <w:szCs w:val="24"/>
              </w:rPr>
              <w:t>2.tabula</w:t>
            </w:r>
          </w:p>
          <w:p w14:paraId="6C84F59D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/>
                <w:sz w:val="24"/>
                <w:szCs w:val="24"/>
              </w:rPr>
              <w:t>Ar tiesību akta projektu izpildītās vai uzņemtās saistības, kas izriet no starptautiskajiem tiesību aktiem vai starptautiskas institūcijas vai organizācijas dokumentiem.</w:t>
            </w:r>
          </w:p>
          <w:p w14:paraId="6C84F59E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/>
                <w:sz w:val="24"/>
                <w:szCs w:val="24"/>
              </w:rPr>
              <w:t>Pasākumi šo saistību izpildei</w:t>
            </w:r>
          </w:p>
        </w:tc>
      </w:tr>
      <w:tr w:rsidR="00694794" w:rsidRPr="00EA2DF9" w14:paraId="6C84F5A2" w14:textId="77777777" w:rsidTr="0071535E">
        <w:trPr>
          <w:jc w:val="center"/>
        </w:trPr>
        <w:tc>
          <w:tcPr>
            <w:tcW w:w="2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A0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 xml:space="preserve">Attiecīgā starptautiskā tiesību akta vai starptautiskas institūcijas vai organizācijas dokumenta (turpmāk – starptautiskais dokuments) datums, 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numurs un nosaukums</w:t>
            </w:r>
          </w:p>
        </w:tc>
        <w:tc>
          <w:tcPr>
            <w:tcW w:w="7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A1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Projekts šo jomu neskar.</w:t>
            </w:r>
          </w:p>
        </w:tc>
      </w:tr>
      <w:tr w:rsidR="00694794" w:rsidRPr="00EA2DF9" w14:paraId="6C84F5A6" w14:textId="77777777" w:rsidTr="0071535E">
        <w:trPr>
          <w:jc w:val="center"/>
        </w:trPr>
        <w:tc>
          <w:tcPr>
            <w:tcW w:w="2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A3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3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A4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4F5A5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94794" w:rsidRPr="00EA2DF9" w14:paraId="6C84F5AD" w14:textId="77777777" w:rsidTr="0071535E">
        <w:trPr>
          <w:jc w:val="center"/>
        </w:trPr>
        <w:tc>
          <w:tcPr>
            <w:tcW w:w="2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A7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Starptautiskās saistības (pēc būtības), kas izriet no norādītā starptautis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>kā dokumenta.</w:t>
            </w:r>
          </w:p>
          <w:p w14:paraId="6C84F5A8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Konkrēti veicamie pasākumi vai uzdevumi, kas nepieciešami šo starptautisko saistību izpildei</w:t>
            </w:r>
          </w:p>
        </w:tc>
        <w:tc>
          <w:tcPr>
            <w:tcW w:w="3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A9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Ja pasākumi vai uzdevumi, ar ko tiks izpildītas starptautiskās saistības, tiek noteikti projektā, norāda attiecīgo projekta vienību vai norāda dokumentu, kurā sniegts izvērsts skaidrojums, kādā veidā tiks nodrošināta starptautisko saistību izpilde</w:t>
            </w: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AA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Informācija par to, vai starptautiskās saistības, kas minētas šīs tabulas A ailē, tiek izpildītas pilnībā vai daļēji.</w:t>
            </w:r>
          </w:p>
          <w:p w14:paraId="6C84F5AB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Ja attiecīgās starptautiskās saistības tiek izpildītas daļēji, sniedz skaidrojumu, kā arī precīzi norāda, kad un kādā veidā starptautiskās saistības tiks izpildītas pilnībā.</w:t>
            </w:r>
          </w:p>
          <w:p w14:paraId="6C84F5AC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Norāda institūciju, kas ir atbildīga par šo saistību izpildi pilnībā</w:t>
            </w:r>
          </w:p>
        </w:tc>
      </w:tr>
      <w:tr w:rsidR="00694794" w:rsidRPr="00EA2DF9" w14:paraId="6C84F5B1" w14:textId="77777777" w:rsidTr="0071535E">
        <w:trPr>
          <w:jc w:val="center"/>
        </w:trPr>
        <w:tc>
          <w:tcPr>
            <w:tcW w:w="2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AE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Iekļauj informāciju atbilstoši instrukcijas 58.1.apakšpunktā noteiktajam</w:t>
            </w:r>
          </w:p>
        </w:tc>
        <w:tc>
          <w:tcPr>
            <w:tcW w:w="3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AF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 Projekts šo jomu neskar.</w:t>
            </w: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B0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 Projekts šo jomu neskar.</w:t>
            </w:r>
          </w:p>
        </w:tc>
      </w:tr>
      <w:tr w:rsidR="00694794" w:rsidRPr="00EA2DF9" w14:paraId="6C84F5B4" w14:textId="77777777" w:rsidTr="0071535E">
        <w:trPr>
          <w:jc w:val="center"/>
        </w:trPr>
        <w:tc>
          <w:tcPr>
            <w:tcW w:w="2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B2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Vai starptautiskajā dokumentā paredzētās saistības nav pretrunā ar jau esošajām Latvijas Republikas starptautis</w:t>
            </w:r>
            <w:r w:rsidRPr="00EA2DF9">
              <w:rPr>
                <w:rFonts w:ascii="Times New Roman" w:hAnsi="Times New Roman" w:cs="Times New Roman"/>
                <w:sz w:val="24"/>
                <w:szCs w:val="24"/>
              </w:rPr>
              <w:softHyphen/>
              <w:t>kajām saistībām</w:t>
            </w:r>
          </w:p>
        </w:tc>
        <w:tc>
          <w:tcPr>
            <w:tcW w:w="7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B3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 Projekts šo jomu neskar.</w:t>
            </w:r>
          </w:p>
        </w:tc>
      </w:tr>
      <w:tr w:rsidR="00694794" w:rsidRPr="00EA2DF9" w14:paraId="6C84F5B7" w14:textId="77777777" w:rsidTr="0071535E">
        <w:trPr>
          <w:jc w:val="center"/>
        </w:trPr>
        <w:tc>
          <w:tcPr>
            <w:tcW w:w="2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B5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76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F5B6" w14:textId="77777777" w:rsidR="00694794" w:rsidRPr="00EA2DF9" w:rsidRDefault="00694794" w:rsidP="00715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14:paraId="6C84F5B8" w14:textId="77777777" w:rsidR="00694794" w:rsidRDefault="00694794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B9" w14:textId="77777777" w:rsidR="00ED1E3F" w:rsidRPr="00EA2DF9" w:rsidDel="009D1634" w:rsidRDefault="00ED1E3F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842"/>
        <w:gridCol w:w="6206"/>
      </w:tblGrid>
      <w:tr w:rsidR="000330A2" w:rsidRPr="00EA2DF9" w14:paraId="6C84F5BB" w14:textId="77777777" w:rsidTr="00B84678">
        <w:trPr>
          <w:trHeight w:val="421"/>
          <w:jc w:val="center"/>
        </w:trPr>
        <w:tc>
          <w:tcPr>
            <w:tcW w:w="9524" w:type="dxa"/>
            <w:gridSpan w:val="3"/>
            <w:vAlign w:val="center"/>
          </w:tcPr>
          <w:p w14:paraId="6C84F5BA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ind w:left="57" w:right="57"/>
              <w:jc w:val="center"/>
              <w:rPr>
                <w:highlight w:val="yellow"/>
              </w:rPr>
            </w:pPr>
            <w:r w:rsidRPr="00EA2DF9">
              <w:rPr>
                <w:b/>
              </w:rPr>
              <w:t>VI. Sabiedrības līdzdalība un komunikācijas aktivitātes</w:t>
            </w:r>
          </w:p>
        </w:tc>
      </w:tr>
      <w:tr w:rsidR="000330A2" w:rsidRPr="00EA2DF9" w14:paraId="6C84F5BF" w14:textId="77777777" w:rsidTr="00B84678">
        <w:trPr>
          <w:trHeight w:val="553"/>
          <w:jc w:val="center"/>
        </w:trPr>
        <w:tc>
          <w:tcPr>
            <w:tcW w:w="476" w:type="dxa"/>
          </w:tcPr>
          <w:p w14:paraId="6C84F5BC" w14:textId="77777777" w:rsidR="000330A2" w:rsidRPr="00EA2DF9" w:rsidRDefault="000330A2" w:rsidP="00B8467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14:paraId="6C84F5BD" w14:textId="77777777" w:rsidR="000330A2" w:rsidRPr="00EA2DF9" w:rsidRDefault="000330A2" w:rsidP="00B84678">
            <w:pPr>
              <w:tabs>
                <w:tab w:val="left" w:pos="17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Plānotās sabiedrības līdzdalības un komunikācijas aktivitātes saistībā ar projektu</w:t>
            </w:r>
          </w:p>
        </w:tc>
        <w:tc>
          <w:tcPr>
            <w:tcW w:w="6206" w:type="dxa"/>
          </w:tcPr>
          <w:p w14:paraId="6C84F5BE" w14:textId="77777777" w:rsidR="000330A2" w:rsidRPr="00EA2DF9" w:rsidRDefault="00A2430A" w:rsidP="00FD2FAA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1"/>
            <w:bookmarkEnd w:id="2"/>
            <w:r w:rsidRPr="00EA2DF9">
              <w:rPr>
                <w:rFonts w:ascii="Times New Roman" w:hAnsi="Times New Roman"/>
                <w:iCs/>
                <w:sz w:val="24"/>
                <w:szCs w:val="24"/>
              </w:rPr>
              <w:t>Par noteikumu projektu lauksaimnieku nevalstiskās organizācijas un šķirnes lauksaimniecības dzīvnieku audzētāju organizācijas –</w:t>
            </w:r>
            <w:r w:rsidR="00FD2FA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2DF9">
              <w:rPr>
                <w:rFonts w:ascii="Times New Roman" w:hAnsi="Times New Roman"/>
                <w:iCs/>
                <w:sz w:val="24"/>
                <w:szCs w:val="24"/>
              </w:rPr>
              <w:t xml:space="preserve">SIA “Latvijas šķirnes dzīvnieku audzētāju savienība”, s/o “Latvijas </w:t>
            </w:r>
            <w:proofErr w:type="spellStart"/>
            <w:r w:rsidRPr="00EA2DF9">
              <w:rPr>
                <w:rFonts w:ascii="Times New Roman" w:hAnsi="Times New Roman"/>
                <w:iCs/>
                <w:sz w:val="24"/>
                <w:szCs w:val="24"/>
              </w:rPr>
              <w:t>Holšteinas</w:t>
            </w:r>
            <w:proofErr w:type="spellEnd"/>
            <w:r w:rsidRPr="00EA2DF9">
              <w:rPr>
                <w:rFonts w:ascii="Times New Roman" w:hAnsi="Times New Roman"/>
                <w:iCs/>
                <w:sz w:val="24"/>
                <w:szCs w:val="24"/>
              </w:rPr>
              <w:t xml:space="preserve"> šķirnes lopu audzētāju asociācija”, lauksaimniecības pakalpojumu kooper</w:t>
            </w:r>
            <w:r w:rsidR="00FD2FAA">
              <w:rPr>
                <w:rFonts w:ascii="Times New Roman" w:hAnsi="Times New Roman"/>
                <w:iCs/>
                <w:sz w:val="24"/>
                <w:szCs w:val="24"/>
              </w:rPr>
              <w:t>atīvā sabiedrība „ABC Projekts” – ir informētas</w:t>
            </w:r>
            <w:r w:rsidRPr="00EA2D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D2FAA">
              <w:rPr>
                <w:rFonts w:ascii="Times New Roman" w:hAnsi="Times New Roman"/>
                <w:iCs/>
                <w:sz w:val="24"/>
                <w:szCs w:val="24"/>
              </w:rPr>
              <w:t xml:space="preserve">Lauksaimnieku organizāciju sadarbības padomes pārstāvju sapulcē 2014.gada 20.augustā. </w:t>
            </w:r>
          </w:p>
        </w:tc>
      </w:tr>
      <w:tr w:rsidR="000330A2" w:rsidRPr="00EA2DF9" w14:paraId="6C84F5C3" w14:textId="77777777" w:rsidTr="00B84678">
        <w:trPr>
          <w:trHeight w:val="339"/>
          <w:jc w:val="center"/>
        </w:trPr>
        <w:tc>
          <w:tcPr>
            <w:tcW w:w="476" w:type="dxa"/>
          </w:tcPr>
          <w:p w14:paraId="6C84F5C0" w14:textId="77777777" w:rsidR="000330A2" w:rsidRPr="00EA2DF9" w:rsidRDefault="000330A2" w:rsidP="00B8467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14:paraId="6C84F5C1" w14:textId="77777777" w:rsidR="000330A2" w:rsidRPr="00EA2DF9" w:rsidRDefault="000330A2" w:rsidP="00B846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Sabiedrības līdzdalība projekta izstrādē</w:t>
            </w:r>
          </w:p>
        </w:tc>
        <w:tc>
          <w:tcPr>
            <w:tcW w:w="6206" w:type="dxa"/>
          </w:tcPr>
          <w:p w14:paraId="6C84F5C2" w14:textId="77777777" w:rsidR="000330A2" w:rsidRPr="00EA2DF9" w:rsidRDefault="00FD2FAA" w:rsidP="00B84678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D2FAA">
              <w:rPr>
                <w:rFonts w:ascii="Times New Roman" w:hAnsi="Times New Roman" w:cs="Times New Roman"/>
                <w:sz w:val="24"/>
                <w:szCs w:val="24"/>
              </w:rPr>
              <w:t>auksaimnieku nevalstiskās organizācijas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atbalsta noteikumu projektu.</w:t>
            </w:r>
          </w:p>
        </w:tc>
      </w:tr>
      <w:tr w:rsidR="000330A2" w:rsidRPr="00EA2DF9" w14:paraId="6C84F5C7" w14:textId="77777777" w:rsidTr="00B84678">
        <w:trPr>
          <w:trHeight w:val="476"/>
          <w:jc w:val="center"/>
        </w:trPr>
        <w:tc>
          <w:tcPr>
            <w:tcW w:w="476" w:type="dxa"/>
          </w:tcPr>
          <w:p w14:paraId="6C84F5C4" w14:textId="77777777" w:rsidR="000330A2" w:rsidRPr="00EA2DF9" w:rsidRDefault="000330A2" w:rsidP="00B8467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42" w:type="dxa"/>
          </w:tcPr>
          <w:p w14:paraId="6C84F5C5" w14:textId="77777777" w:rsidR="000330A2" w:rsidRPr="00EA2DF9" w:rsidRDefault="000330A2" w:rsidP="00B846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Sabiedrības līdzdalības rezultāti</w:t>
            </w:r>
          </w:p>
        </w:tc>
        <w:tc>
          <w:tcPr>
            <w:tcW w:w="6206" w:type="dxa"/>
          </w:tcPr>
          <w:p w14:paraId="6C84F5C6" w14:textId="77777777" w:rsidR="000330A2" w:rsidRPr="00EA2DF9" w:rsidRDefault="00487C57" w:rsidP="00294943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/>
                <w:sz w:val="24"/>
                <w:szCs w:val="24"/>
              </w:rPr>
              <w:t>Tiks izvērtēti visi lauksaimnieku nevalstisko organizāciju izteiktie iebildumi un iesniegtie priekšlikumi.</w:t>
            </w:r>
            <w:r w:rsidR="00B223E3" w:rsidRPr="00EA2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0A2" w:rsidRPr="00EA2DF9" w14:paraId="6C84F5CB" w14:textId="77777777" w:rsidTr="00B84678">
        <w:trPr>
          <w:trHeight w:val="476"/>
          <w:jc w:val="center"/>
        </w:trPr>
        <w:tc>
          <w:tcPr>
            <w:tcW w:w="476" w:type="dxa"/>
          </w:tcPr>
          <w:p w14:paraId="6C84F5C8" w14:textId="77777777" w:rsidR="000330A2" w:rsidRPr="00EA2DF9" w:rsidRDefault="000330A2" w:rsidP="00B8467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42" w:type="dxa"/>
          </w:tcPr>
          <w:p w14:paraId="6C84F5C9" w14:textId="77777777" w:rsidR="000330A2" w:rsidRPr="00EA2DF9" w:rsidRDefault="000330A2" w:rsidP="00B846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6206" w:type="dxa"/>
          </w:tcPr>
          <w:p w14:paraId="6C84F5CA" w14:textId="77777777" w:rsidR="000330A2" w:rsidRPr="00EA2DF9" w:rsidRDefault="00897834" w:rsidP="00B84678">
            <w:pPr>
              <w:spacing w:after="0" w:line="240" w:lineRule="auto"/>
              <w:ind w:left="16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14:paraId="6C84F5CC" w14:textId="77777777" w:rsidR="000330A2" w:rsidRDefault="000330A2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CD" w14:textId="77777777" w:rsidR="00ED1E3F" w:rsidRPr="00EA2DF9" w:rsidRDefault="00ED1E3F" w:rsidP="0003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3615"/>
        <w:gridCol w:w="5466"/>
      </w:tblGrid>
      <w:tr w:rsidR="000330A2" w:rsidRPr="00EA2DF9" w14:paraId="6C84F5CF" w14:textId="77777777" w:rsidTr="00B84678">
        <w:trPr>
          <w:trHeight w:val="381"/>
          <w:jc w:val="center"/>
        </w:trPr>
        <w:tc>
          <w:tcPr>
            <w:tcW w:w="9518" w:type="dxa"/>
            <w:gridSpan w:val="3"/>
            <w:vAlign w:val="center"/>
          </w:tcPr>
          <w:p w14:paraId="6C84F5CE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ind w:left="57" w:right="57"/>
              <w:jc w:val="center"/>
            </w:pPr>
            <w:r w:rsidRPr="00EA2DF9">
              <w:rPr>
                <w:b/>
              </w:rPr>
              <w:t>VII. Tiesību akta projekta izpildes nodrošināšana un tās ietekme uz institūcijām</w:t>
            </w:r>
          </w:p>
        </w:tc>
      </w:tr>
      <w:tr w:rsidR="00897834" w:rsidRPr="00EA2DF9" w14:paraId="6C84F5D3" w14:textId="77777777" w:rsidTr="00B84678">
        <w:trPr>
          <w:trHeight w:val="427"/>
          <w:jc w:val="center"/>
        </w:trPr>
        <w:tc>
          <w:tcPr>
            <w:tcW w:w="437" w:type="dxa"/>
          </w:tcPr>
          <w:p w14:paraId="6C84F5D0" w14:textId="77777777" w:rsidR="00897834" w:rsidRPr="00EA2DF9" w:rsidRDefault="00897834" w:rsidP="00B84678">
            <w:pPr>
              <w:pStyle w:val="naisnod"/>
              <w:spacing w:before="0" w:beforeAutospacing="0" w:after="0" w:afterAutospacing="0"/>
              <w:ind w:left="57" w:right="57"/>
              <w:jc w:val="both"/>
            </w:pPr>
            <w:r w:rsidRPr="00EA2DF9">
              <w:t>1.</w:t>
            </w:r>
          </w:p>
        </w:tc>
        <w:tc>
          <w:tcPr>
            <w:tcW w:w="3615" w:type="dxa"/>
          </w:tcPr>
          <w:p w14:paraId="6C84F5D1" w14:textId="77777777" w:rsidR="00897834" w:rsidRPr="00EA2DF9" w:rsidRDefault="00897834" w:rsidP="00B84678">
            <w:pPr>
              <w:pStyle w:val="naisf"/>
              <w:spacing w:before="0" w:beforeAutospacing="0" w:after="0" w:afterAutospacing="0"/>
              <w:ind w:left="57" w:right="57"/>
            </w:pPr>
            <w:r w:rsidRPr="00EA2DF9">
              <w:t>Projekta izpildē iesaistītās institūcijas</w:t>
            </w:r>
          </w:p>
        </w:tc>
        <w:tc>
          <w:tcPr>
            <w:tcW w:w="5466" w:type="dxa"/>
          </w:tcPr>
          <w:p w14:paraId="6C84F5D2" w14:textId="77777777" w:rsidR="00897834" w:rsidRPr="00EA2DF9" w:rsidRDefault="00897834" w:rsidP="00897834">
            <w:pPr>
              <w:pStyle w:val="naisnod"/>
              <w:spacing w:before="0" w:after="0"/>
              <w:ind w:left="57" w:right="57" w:hanging="57"/>
            </w:pPr>
            <w:bookmarkStart w:id="4" w:name="p66"/>
            <w:bookmarkStart w:id="5" w:name="p67"/>
            <w:bookmarkStart w:id="6" w:name="p68"/>
            <w:bookmarkStart w:id="7" w:name="p69"/>
            <w:bookmarkEnd w:id="4"/>
            <w:bookmarkEnd w:id="5"/>
            <w:bookmarkEnd w:id="6"/>
            <w:bookmarkEnd w:id="7"/>
            <w:r w:rsidRPr="00EA2DF9">
              <w:rPr>
                <w:iCs/>
              </w:rPr>
              <w:t>Noteikumu projekta izpildi nodrošinās Zemkopības ministrija un Lauku atbalsta dienests.</w:t>
            </w:r>
          </w:p>
        </w:tc>
      </w:tr>
      <w:tr w:rsidR="00897834" w:rsidRPr="00EA2DF9" w14:paraId="6C84F5D8" w14:textId="77777777" w:rsidTr="00B84678">
        <w:trPr>
          <w:trHeight w:val="463"/>
          <w:jc w:val="center"/>
        </w:trPr>
        <w:tc>
          <w:tcPr>
            <w:tcW w:w="437" w:type="dxa"/>
          </w:tcPr>
          <w:p w14:paraId="6C84F5D4" w14:textId="77777777" w:rsidR="00897834" w:rsidRPr="00EA2DF9" w:rsidRDefault="00897834" w:rsidP="00B84678">
            <w:pPr>
              <w:pStyle w:val="naisnod"/>
              <w:spacing w:before="0" w:beforeAutospacing="0" w:after="0" w:afterAutospacing="0"/>
              <w:ind w:left="57" w:right="57"/>
              <w:jc w:val="both"/>
            </w:pPr>
            <w:r w:rsidRPr="00EA2DF9">
              <w:lastRenderedPageBreak/>
              <w:t>2.</w:t>
            </w:r>
          </w:p>
        </w:tc>
        <w:tc>
          <w:tcPr>
            <w:tcW w:w="3615" w:type="dxa"/>
          </w:tcPr>
          <w:p w14:paraId="6C84F5D5" w14:textId="77777777" w:rsidR="00897834" w:rsidRPr="00EA2DF9" w:rsidRDefault="00897834" w:rsidP="00B84678">
            <w:pPr>
              <w:pStyle w:val="naisf"/>
              <w:spacing w:before="0" w:beforeAutospacing="0" w:after="0" w:afterAutospacing="0"/>
              <w:ind w:left="57" w:right="57"/>
            </w:pPr>
            <w:r w:rsidRPr="00EA2DF9">
              <w:t>Projekta izpildes ietekme uz pār</w:t>
            </w:r>
            <w:r w:rsidRPr="00EA2DF9">
              <w:softHyphen/>
              <w:t>valdes funkcijām un institucionālo struktūru.</w:t>
            </w:r>
          </w:p>
          <w:p w14:paraId="6C84F5D6" w14:textId="77777777" w:rsidR="00897834" w:rsidRPr="00EA2DF9" w:rsidRDefault="00897834" w:rsidP="00B84678">
            <w:pPr>
              <w:pStyle w:val="naisf"/>
              <w:spacing w:before="0" w:beforeAutospacing="0" w:after="0" w:afterAutospacing="0"/>
              <w:ind w:left="57" w:right="57"/>
            </w:pPr>
            <w:r w:rsidRPr="00EA2DF9">
              <w:t>Jaunu institūciju izveide, esošu institūciju likvidācija vai reorga</w:t>
            </w:r>
            <w:r w:rsidRPr="00EA2DF9">
              <w:softHyphen/>
              <w:t>nizācija, to ietekme uz institūcijas cilvēkresursiem.</w:t>
            </w:r>
          </w:p>
        </w:tc>
        <w:tc>
          <w:tcPr>
            <w:tcW w:w="5466" w:type="dxa"/>
          </w:tcPr>
          <w:p w14:paraId="6C84F5D7" w14:textId="77777777" w:rsidR="00897834" w:rsidRPr="00EA2DF9" w:rsidRDefault="00897834" w:rsidP="00897834">
            <w:pPr>
              <w:pStyle w:val="naisnod"/>
              <w:spacing w:before="0" w:after="0"/>
              <w:ind w:left="57" w:right="57" w:hanging="57"/>
            </w:pPr>
            <w:r w:rsidRPr="00EA2DF9">
              <w:t>Projekts šo jomu neskar.</w:t>
            </w:r>
          </w:p>
        </w:tc>
      </w:tr>
      <w:tr w:rsidR="000330A2" w:rsidRPr="00EA2DF9" w14:paraId="6C84F5DC" w14:textId="77777777" w:rsidTr="00B84678">
        <w:trPr>
          <w:trHeight w:val="40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5D9" w14:textId="77777777" w:rsidR="000330A2" w:rsidRPr="00EA2DF9" w:rsidRDefault="000330A2" w:rsidP="00B84678">
            <w:pPr>
              <w:pStyle w:val="naisnod"/>
              <w:spacing w:before="0" w:beforeAutospacing="0" w:after="0" w:afterAutospacing="0"/>
              <w:ind w:left="57" w:right="57"/>
              <w:jc w:val="both"/>
            </w:pPr>
            <w:r w:rsidRPr="00EA2DF9"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5DA" w14:textId="77777777" w:rsidR="000330A2" w:rsidRPr="00EA2DF9" w:rsidRDefault="000330A2" w:rsidP="00B84678">
            <w:pPr>
              <w:pStyle w:val="naisf"/>
              <w:spacing w:before="0" w:beforeAutospacing="0" w:after="0" w:afterAutospacing="0"/>
              <w:ind w:left="57" w:right="57"/>
            </w:pPr>
            <w:r w:rsidRPr="00EA2DF9">
              <w:t>Cita informācija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5DB" w14:textId="77777777" w:rsidR="000330A2" w:rsidRPr="00EA2DF9" w:rsidRDefault="00897834" w:rsidP="00B8467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9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</w:tbl>
    <w:p w14:paraId="6C84F5DD" w14:textId="77777777" w:rsidR="00760B61" w:rsidRPr="00EA2DF9" w:rsidRDefault="00760B61" w:rsidP="00760B61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6C84F5DE" w14:textId="77777777" w:rsidR="00487C57" w:rsidRPr="00EA2DF9" w:rsidRDefault="00487C57" w:rsidP="00487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84F5DF" w14:textId="77777777" w:rsidR="00487C57" w:rsidRPr="00EA2DF9" w:rsidRDefault="00487C57" w:rsidP="00487C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84F5E0" w14:textId="77777777" w:rsidR="00335CC6" w:rsidRPr="00EA2DF9" w:rsidRDefault="00D008DC" w:rsidP="00303E6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>Zemkopības ministrs</w:t>
      </w: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D008DC">
        <w:rPr>
          <w:rFonts w:ascii="Times New Roman" w:eastAsia="Calibri" w:hAnsi="Times New Roman" w:cs="Times New Roman"/>
          <w:sz w:val="28"/>
          <w:szCs w:val="28"/>
          <w:lang w:eastAsia="en-US"/>
        </w:rPr>
        <w:t>J.Dūklavs</w:t>
      </w:r>
      <w:proofErr w:type="spellEnd"/>
      <w:r w:rsidR="00335CC6" w:rsidRPr="00EA2D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35CC6" w:rsidRPr="00EA2D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35CC6" w:rsidRPr="00EA2D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35CC6" w:rsidRPr="00EA2D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35CC6" w:rsidRPr="00EA2D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C84F5E1" w14:textId="77777777" w:rsidR="00487C57" w:rsidRPr="00EA2DF9" w:rsidRDefault="00487C57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2" w14:textId="77777777" w:rsidR="00487C57" w:rsidRPr="00EA2DF9" w:rsidRDefault="00487C57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3" w14:textId="77777777" w:rsidR="00487C57" w:rsidRDefault="00487C57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4" w14:textId="77777777" w:rsidR="00BB4E1C" w:rsidRDefault="00BB4E1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5" w14:textId="77777777" w:rsidR="00BB4E1C" w:rsidRDefault="00BB4E1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6" w14:textId="77777777" w:rsidR="00BB4E1C" w:rsidRDefault="00BB4E1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7" w14:textId="77777777" w:rsidR="00BB4E1C" w:rsidRDefault="00BB4E1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8" w14:textId="77777777" w:rsidR="00BB4E1C" w:rsidRPr="00EA2DF9" w:rsidRDefault="00BB4E1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9" w14:textId="77777777" w:rsidR="00487C57" w:rsidRDefault="00487C57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A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B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C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D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E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EF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0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1" w14:textId="77777777" w:rsidR="00303E6C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2" w14:textId="77777777" w:rsidR="00ED1E3F" w:rsidRDefault="00ED1E3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3" w14:textId="77777777" w:rsidR="00ED1E3F" w:rsidRDefault="00ED1E3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4" w14:textId="77777777" w:rsidR="00ED1E3F" w:rsidRDefault="00ED1E3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5" w14:textId="77777777" w:rsidR="00ED1E3F" w:rsidRDefault="00ED1E3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6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7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8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9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A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B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C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D" w14:textId="77777777" w:rsidR="00303E6C" w:rsidRPr="00EA2DF9" w:rsidRDefault="00303E6C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E" w14:textId="77777777" w:rsidR="00487C57" w:rsidRPr="00EA2DF9" w:rsidRDefault="00487C57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5FF" w14:textId="77777777" w:rsidR="00487C57" w:rsidRPr="00EA2DF9" w:rsidRDefault="00487C57" w:rsidP="0076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F600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27.10.2014. 15:58</w:t>
      </w:r>
    </w:p>
    <w:p w14:paraId="6C84F601" w14:textId="77777777" w:rsidR="004F20DF" w:rsidRDefault="004F20DF" w:rsidP="00760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NUMWORDS  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1644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6C84F602" w14:textId="77777777" w:rsidR="00760B61" w:rsidRPr="00EA2DF9" w:rsidRDefault="00760B61" w:rsidP="00760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2DF9">
        <w:rPr>
          <w:rFonts w:ascii="Times New Roman" w:hAnsi="Times New Roman" w:cs="Times New Roman"/>
          <w:sz w:val="20"/>
          <w:szCs w:val="20"/>
        </w:rPr>
        <w:t>B.Ingiļāvičute</w:t>
      </w:r>
      <w:proofErr w:type="spellEnd"/>
    </w:p>
    <w:p w14:paraId="6C84F603" w14:textId="77777777" w:rsidR="000330A2" w:rsidRPr="00EA2DF9" w:rsidRDefault="00760B61" w:rsidP="00760B61">
      <w:pPr>
        <w:pStyle w:val="Galvene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EA2DF9">
        <w:rPr>
          <w:rFonts w:ascii="Times New Roman" w:hAnsi="Times New Roman" w:cs="Times New Roman"/>
          <w:sz w:val="20"/>
          <w:szCs w:val="20"/>
        </w:rPr>
        <w:t>67027661, Biruta.Ingilavicute@zm.gov.lv</w:t>
      </w:r>
    </w:p>
    <w:sectPr w:rsidR="000330A2" w:rsidRPr="00EA2DF9" w:rsidSect="00760B61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F606" w14:textId="77777777" w:rsidR="00D4226B" w:rsidRDefault="00D4226B" w:rsidP="00B43E45">
      <w:pPr>
        <w:spacing w:after="0" w:line="240" w:lineRule="auto"/>
      </w:pPr>
      <w:r>
        <w:separator/>
      </w:r>
    </w:p>
  </w:endnote>
  <w:endnote w:type="continuationSeparator" w:id="0">
    <w:p w14:paraId="6C84F607" w14:textId="77777777" w:rsidR="00D4226B" w:rsidRDefault="00D4226B" w:rsidP="00B4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4F60A" w14:textId="77777777" w:rsidR="00006964" w:rsidRDefault="00006964">
    <w:pPr>
      <w:pStyle w:val="Kjene"/>
      <w:jc w:val="center"/>
    </w:pPr>
  </w:p>
  <w:p w14:paraId="6C84F60B" w14:textId="77777777" w:rsidR="00006964" w:rsidRPr="0068244A" w:rsidRDefault="00006964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ZMAnot_</w:t>
    </w:r>
    <w:r w:rsidR="00DE0DE2">
      <w:rPr>
        <w:rFonts w:ascii="Times New Roman" w:hAnsi="Times New Roman" w:cs="Times New Roman"/>
        <w:sz w:val="20"/>
        <w:szCs w:val="20"/>
      </w:rPr>
      <w:t>2</w:t>
    </w:r>
    <w:r w:rsidR="00ED1E3F">
      <w:rPr>
        <w:rFonts w:ascii="Times New Roman" w:hAnsi="Times New Roman" w:cs="Times New Roman"/>
        <w:sz w:val="20"/>
        <w:szCs w:val="20"/>
      </w:rPr>
      <w:t>7</w:t>
    </w:r>
    <w:r w:rsidR="00BB4E1C">
      <w:rPr>
        <w:rFonts w:ascii="Times New Roman" w:hAnsi="Times New Roman" w:cs="Times New Roman"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4F60C" w14:textId="77777777" w:rsidR="00006964" w:rsidRDefault="00006964" w:rsidP="00760B61">
    <w:pPr>
      <w:pStyle w:val="Kjene"/>
      <w:jc w:val="center"/>
    </w:pPr>
  </w:p>
  <w:p w14:paraId="6C84F60D" w14:textId="77777777" w:rsidR="00006964" w:rsidRPr="0068244A" w:rsidRDefault="00006964" w:rsidP="00760B61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ZMAnot_</w:t>
    </w:r>
    <w:r w:rsidR="00FD2FAA">
      <w:rPr>
        <w:rFonts w:ascii="Times New Roman" w:hAnsi="Times New Roman" w:cs="Times New Roman"/>
        <w:sz w:val="20"/>
        <w:szCs w:val="20"/>
      </w:rPr>
      <w:t>2</w:t>
    </w:r>
    <w:r w:rsidR="00ED1E3F">
      <w:rPr>
        <w:rFonts w:ascii="Times New Roman" w:hAnsi="Times New Roman" w:cs="Times New Roman"/>
        <w:sz w:val="20"/>
        <w:szCs w:val="20"/>
      </w:rPr>
      <w:t>7</w:t>
    </w:r>
    <w:r w:rsidR="00BB4E1C">
      <w:rPr>
        <w:rFonts w:ascii="Times New Roman" w:hAnsi="Times New Roman" w:cs="Times New Roman"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F604" w14:textId="77777777" w:rsidR="00D4226B" w:rsidRDefault="00D4226B" w:rsidP="00B43E45">
      <w:pPr>
        <w:spacing w:after="0" w:line="240" w:lineRule="auto"/>
      </w:pPr>
      <w:r>
        <w:separator/>
      </w:r>
    </w:p>
  </w:footnote>
  <w:footnote w:type="continuationSeparator" w:id="0">
    <w:p w14:paraId="6C84F605" w14:textId="77777777" w:rsidR="00D4226B" w:rsidRDefault="00D4226B" w:rsidP="00B4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69789508"/>
      <w:docPartObj>
        <w:docPartGallery w:val="Page Numbers (Top of Page)"/>
        <w:docPartUnique/>
      </w:docPartObj>
    </w:sdtPr>
    <w:sdtEndPr/>
    <w:sdtContent>
      <w:p w14:paraId="6C84F608" w14:textId="77777777" w:rsidR="00006964" w:rsidRPr="00760B61" w:rsidRDefault="003E4479">
        <w:pPr>
          <w:pStyle w:val="Galvene"/>
          <w:jc w:val="center"/>
          <w:rPr>
            <w:rFonts w:ascii="Times New Roman" w:hAnsi="Times New Roman" w:cs="Times New Roman"/>
            <w:sz w:val="24"/>
          </w:rPr>
        </w:pPr>
        <w:r w:rsidRPr="00760B61">
          <w:rPr>
            <w:rFonts w:ascii="Times New Roman" w:hAnsi="Times New Roman" w:cs="Times New Roman"/>
            <w:sz w:val="24"/>
          </w:rPr>
          <w:fldChar w:fldCharType="begin"/>
        </w:r>
        <w:r w:rsidR="00006964" w:rsidRPr="00760B61">
          <w:rPr>
            <w:rFonts w:ascii="Times New Roman" w:hAnsi="Times New Roman" w:cs="Times New Roman"/>
            <w:sz w:val="24"/>
          </w:rPr>
          <w:instrText>PAGE   \* MERGEFORMAT</w:instrText>
        </w:r>
        <w:r w:rsidRPr="00760B61">
          <w:rPr>
            <w:rFonts w:ascii="Times New Roman" w:hAnsi="Times New Roman" w:cs="Times New Roman"/>
            <w:sz w:val="24"/>
          </w:rPr>
          <w:fldChar w:fldCharType="separate"/>
        </w:r>
        <w:r w:rsidR="0076125A">
          <w:rPr>
            <w:rFonts w:ascii="Times New Roman" w:hAnsi="Times New Roman" w:cs="Times New Roman"/>
            <w:noProof/>
            <w:sz w:val="24"/>
          </w:rPr>
          <w:t>2</w:t>
        </w:r>
        <w:r w:rsidRPr="00760B6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84F609" w14:textId="77777777" w:rsidR="00006964" w:rsidRPr="00760B61" w:rsidRDefault="00006964">
    <w:pPr>
      <w:pStyle w:val="Galvene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17"/>
    <w:rsid w:val="00006964"/>
    <w:rsid w:val="000330A2"/>
    <w:rsid w:val="00087483"/>
    <w:rsid w:val="00095788"/>
    <w:rsid w:val="0009671E"/>
    <w:rsid w:val="000A3C5F"/>
    <w:rsid w:val="000B0068"/>
    <w:rsid w:val="000B76DF"/>
    <w:rsid w:val="000F432F"/>
    <w:rsid w:val="001022EF"/>
    <w:rsid w:val="0010792A"/>
    <w:rsid w:val="00123517"/>
    <w:rsid w:val="00130FCE"/>
    <w:rsid w:val="00136054"/>
    <w:rsid w:val="00166EFF"/>
    <w:rsid w:val="001671C6"/>
    <w:rsid w:val="00190B7B"/>
    <w:rsid w:val="001961A6"/>
    <w:rsid w:val="001A43B2"/>
    <w:rsid w:val="001A5B01"/>
    <w:rsid w:val="001B7FD9"/>
    <w:rsid w:val="001C749C"/>
    <w:rsid w:val="001E0FFF"/>
    <w:rsid w:val="001F0690"/>
    <w:rsid w:val="002073EA"/>
    <w:rsid w:val="00213DC8"/>
    <w:rsid w:val="00223FB1"/>
    <w:rsid w:val="00241421"/>
    <w:rsid w:val="002453D6"/>
    <w:rsid w:val="0026478C"/>
    <w:rsid w:val="00272762"/>
    <w:rsid w:val="00294943"/>
    <w:rsid w:val="002A37FC"/>
    <w:rsid w:val="002F10A0"/>
    <w:rsid w:val="002F3A45"/>
    <w:rsid w:val="00303E6C"/>
    <w:rsid w:val="00312DC4"/>
    <w:rsid w:val="00316173"/>
    <w:rsid w:val="00316A48"/>
    <w:rsid w:val="003201E3"/>
    <w:rsid w:val="00335CC6"/>
    <w:rsid w:val="003665A2"/>
    <w:rsid w:val="00370BF4"/>
    <w:rsid w:val="00374E0B"/>
    <w:rsid w:val="003C7A64"/>
    <w:rsid w:val="003D01F4"/>
    <w:rsid w:val="003E4479"/>
    <w:rsid w:val="00422589"/>
    <w:rsid w:val="00475D41"/>
    <w:rsid w:val="00483B7A"/>
    <w:rsid w:val="00487C57"/>
    <w:rsid w:val="004E0136"/>
    <w:rsid w:val="004E3403"/>
    <w:rsid w:val="004E6931"/>
    <w:rsid w:val="004F20DF"/>
    <w:rsid w:val="00504190"/>
    <w:rsid w:val="00520086"/>
    <w:rsid w:val="005206FF"/>
    <w:rsid w:val="00523895"/>
    <w:rsid w:val="00532397"/>
    <w:rsid w:val="00546325"/>
    <w:rsid w:val="00552A61"/>
    <w:rsid w:val="00583D4F"/>
    <w:rsid w:val="005A2113"/>
    <w:rsid w:val="005A4C64"/>
    <w:rsid w:val="005E4F2C"/>
    <w:rsid w:val="0060046A"/>
    <w:rsid w:val="006053C7"/>
    <w:rsid w:val="00617EBD"/>
    <w:rsid w:val="006212F3"/>
    <w:rsid w:val="00621FAE"/>
    <w:rsid w:val="00622666"/>
    <w:rsid w:val="00647ACC"/>
    <w:rsid w:val="0067349C"/>
    <w:rsid w:val="0068244A"/>
    <w:rsid w:val="00684952"/>
    <w:rsid w:val="00694794"/>
    <w:rsid w:val="006A4D02"/>
    <w:rsid w:val="006B3F2F"/>
    <w:rsid w:val="00703F24"/>
    <w:rsid w:val="0072567C"/>
    <w:rsid w:val="00753F17"/>
    <w:rsid w:val="00760B61"/>
    <w:rsid w:val="0076125A"/>
    <w:rsid w:val="00775B9E"/>
    <w:rsid w:val="007816A7"/>
    <w:rsid w:val="007826A8"/>
    <w:rsid w:val="007845F1"/>
    <w:rsid w:val="00792969"/>
    <w:rsid w:val="007A7F37"/>
    <w:rsid w:val="007C1159"/>
    <w:rsid w:val="007F0225"/>
    <w:rsid w:val="0083054C"/>
    <w:rsid w:val="008305B1"/>
    <w:rsid w:val="00852FAD"/>
    <w:rsid w:val="0088353A"/>
    <w:rsid w:val="008839D4"/>
    <w:rsid w:val="00883CE9"/>
    <w:rsid w:val="00886CAD"/>
    <w:rsid w:val="00897834"/>
    <w:rsid w:val="008B4DF4"/>
    <w:rsid w:val="008E5E00"/>
    <w:rsid w:val="00910456"/>
    <w:rsid w:val="00920CA7"/>
    <w:rsid w:val="00945E3B"/>
    <w:rsid w:val="00953C15"/>
    <w:rsid w:val="0096039C"/>
    <w:rsid w:val="009704F7"/>
    <w:rsid w:val="009831EE"/>
    <w:rsid w:val="0098336F"/>
    <w:rsid w:val="00985388"/>
    <w:rsid w:val="009B08B3"/>
    <w:rsid w:val="00A2430A"/>
    <w:rsid w:val="00A32C1B"/>
    <w:rsid w:val="00A406A0"/>
    <w:rsid w:val="00A673F3"/>
    <w:rsid w:val="00A8487D"/>
    <w:rsid w:val="00A94195"/>
    <w:rsid w:val="00AA2D09"/>
    <w:rsid w:val="00AA5504"/>
    <w:rsid w:val="00AD0996"/>
    <w:rsid w:val="00AF1AC7"/>
    <w:rsid w:val="00B223E3"/>
    <w:rsid w:val="00B409FC"/>
    <w:rsid w:val="00B418A9"/>
    <w:rsid w:val="00B43E45"/>
    <w:rsid w:val="00B628B6"/>
    <w:rsid w:val="00B84678"/>
    <w:rsid w:val="00BB4E1C"/>
    <w:rsid w:val="00BC5224"/>
    <w:rsid w:val="00BD7262"/>
    <w:rsid w:val="00BF23E4"/>
    <w:rsid w:val="00C17DC8"/>
    <w:rsid w:val="00C27215"/>
    <w:rsid w:val="00C54405"/>
    <w:rsid w:val="00C82DA5"/>
    <w:rsid w:val="00CA0A47"/>
    <w:rsid w:val="00CA4C24"/>
    <w:rsid w:val="00CB49EC"/>
    <w:rsid w:val="00CB7071"/>
    <w:rsid w:val="00CC4FD7"/>
    <w:rsid w:val="00CE262F"/>
    <w:rsid w:val="00CE64E7"/>
    <w:rsid w:val="00CE6EAF"/>
    <w:rsid w:val="00CE7727"/>
    <w:rsid w:val="00D008DC"/>
    <w:rsid w:val="00D26751"/>
    <w:rsid w:val="00D31630"/>
    <w:rsid w:val="00D4226B"/>
    <w:rsid w:val="00D432BF"/>
    <w:rsid w:val="00D518F3"/>
    <w:rsid w:val="00D813EB"/>
    <w:rsid w:val="00D85F1A"/>
    <w:rsid w:val="00D92432"/>
    <w:rsid w:val="00DC2734"/>
    <w:rsid w:val="00DE0DE2"/>
    <w:rsid w:val="00E0182D"/>
    <w:rsid w:val="00E01F43"/>
    <w:rsid w:val="00E0319C"/>
    <w:rsid w:val="00E179C6"/>
    <w:rsid w:val="00E323E5"/>
    <w:rsid w:val="00E43FCD"/>
    <w:rsid w:val="00E46804"/>
    <w:rsid w:val="00E5143B"/>
    <w:rsid w:val="00E5607A"/>
    <w:rsid w:val="00E744DB"/>
    <w:rsid w:val="00EA2C82"/>
    <w:rsid w:val="00EA2DF9"/>
    <w:rsid w:val="00EC04DB"/>
    <w:rsid w:val="00ED1E3F"/>
    <w:rsid w:val="00EF11FA"/>
    <w:rsid w:val="00EF59D4"/>
    <w:rsid w:val="00F276B1"/>
    <w:rsid w:val="00F570CE"/>
    <w:rsid w:val="00F86709"/>
    <w:rsid w:val="00F87A9A"/>
    <w:rsid w:val="00FB32CA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6C84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30A2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qFormat/>
    <w:rsid w:val="00033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0330A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naisf">
    <w:name w:val="naisf"/>
    <w:basedOn w:val="Parasts"/>
    <w:rsid w:val="0003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nod">
    <w:name w:val="naisnod"/>
    <w:basedOn w:val="Parasts"/>
    <w:uiPriority w:val="99"/>
    <w:rsid w:val="0003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kr">
    <w:name w:val="naiskr"/>
    <w:basedOn w:val="Parasts"/>
    <w:rsid w:val="0003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B4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3E45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3E45"/>
    <w:rPr>
      <w:rFonts w:eastAsiaTheme="minorEastAsia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3E45"/>
    <w:rPr>
      <w:rFonts w:ascii="Tahoma" w:eastAsiaTheme="minorEastAsia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84678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4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544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54405"/>
    <w:rPr>
      <w:rFonts w:eastAsiaTheme="minorEastAsia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4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405"/>
    <w:rPr>
      <w:rFonts w:eastAsiaTheme="minorEastAsia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D8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30A2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qFormat/>
    <w:rsid w:val="00033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0330A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naisf">
    <w:name w:val="naisf"/>
    <w:basedOn w:val="Parasts"/>
    <w:rsid w:val="0003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nod">
    <w:name w:val="naisnod"/>
    <w:basedOn w:val="Parasts"/>
    <w:uiPriority w:val="99"/>
    <w:rsid w:val="0003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kr">
    <w:name w:val="naiskr"/>
    <w:basedOn w:val="Parasts"/>
    <w:rsid w:val="0003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B4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3E45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3E45"/>
    <w:rPr>
      <w:rFonts w:eastAsiaTheme="minorEastAsia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3E45"/>
    <w:rPr>
      <w:rFonts w:ascii="Tahoma" w:eastAsiaTheme="minorEastAsia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84678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4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544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54405"/>
    <w:rPr>
      <w:rFonts w:eastAsiaTheme="minorEastAsia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4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405"/>
    <w:rPr>
      <w:rFonts w:eastAsiaTheme="minorEastAsia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D8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21CB-5940-47DC-8B6E-1FC322D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8328</Words>
  <Characters>4747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 Ingilavicute</dc:creator>
  <cp:lastModifiedBy>Biruta Ingilavicute</cp:lastModifiedBy>
  <cp:revision>16</cp:revision>
  <cp:lastPrinted>2013-12-16T07:43:00Z</cp:lastPrinted>
  <dcterms:created xsi:type="dcterms:W3CDTF">2014-10-20T12:55:00Z</dcterms:created>
  <dcterms:modified xsi:type="dcterms:W3CDTF">2014-10-28T06:22:00Z</dcterms:modified>
</cp:coreProperties>
</file>