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7CDD0" w14:textId="77777777" w:rsidR="007D5DB9" w:rsidRPr="00D15CCD" w:rsidRDefault="007D5DB9" w:rsidP="007D5DB9">
      <w:pPr>
        <w:jc w:val="right"/>
        <w:rPr>
          <w:rFonts w:cs="Times New Roman"/>
        </w:rPr>
      </w:pPr>
      <w:r w:rsidRPr="00D15CCD">
        <w:rPr>
          <w:rFonts w:cs="Times New Roman"/>
        </w:rPr>
        <w:t>Projekts</w:t>
      </w:r>
    </w:p>
    <w:p w14:paraId="5CF7CDD1" w14:textId="77777777" w:rsidR="007D5DB9" w:rsidRPr="00D15CCD" w:rsidRDefault="007D5DB9" w:rsidP="007D5DB9">
      <w:pPr>
        <w:jc w:val="right"/>
        <w:rPr>
          <w:rFonts w:cs="Times New Roman"/>
        </w:rPr>
      </w:pPr>
    </w:p>
    <w:p w14:paraId="5CF7CDD2" w14:textId="77777777" w:rsidR="00232DAE" w:rsidRPr="00D15CCD" w:rsidRDefault="00D40D51" w:rsidP="00D40D51">
      <w:pPr>
        <w:jc w:val="center"/>
        <w:rPr>
          <w:rFonts w:cs="Times New Roman"/>
          <w:b/>
        </w:rPr>
      </w:pPr>
      <w:r w:rsidRPr="00D15CCD">
        <w:rPr>
          <w:rFonts w:cs="Times New Roman"/>
          <w:b/>
        </w:rPr>
        <w:t>Informatīvais ziņojums</w:t>
      </w:r>
    </w:p>
    <w:p w14:paraId="5CF7CDD3" w14:textId="77777777" w:rsidR="00A764F5" w:rsidRPr="00D15CCD" w:rsidRDefault="00D40D51" w:rsidP="00D40D51">
      <w:pPr>
        <w:jc w:val="center"/>
        <w:rPr>
          <w:rFonts w:cs="Times New Roman"/>
          <w:b/>
        </w:rPr>
      </w:pPr>
      <w:r w:rsidRPr="00D15CCD">
        <w:rPr>
          <w:rFonts w:cs="Times New Roman"/>
          <w:b/>
        </w:rPr>
        <w:t xml:space="preserve"> </w:t>
      </w:r>
      <w:r w:rsidR="00C16FB4">
        <w:rPr>
          <w:rFonts w:cs="Times New Roman"/>
          <w:b/>
        </w:rPr>
        <w:t>„P</w:t>
      </w:r>
      <w:r w:rsidRPr="00D15CCD">
        <w:rPr>
          <w:rFonts w:cs="Times New Roman"/>
          <w:b/>
        </w:rPr>
        <w:t xml:space="preserve">ar </w:t>
      </w:r>
      <w:r w:rsidR="007B27E0" w:rsidRPr="00D15CCD">
        <w:rPr>
          <w:rFonts w:cs="Times New Roman"/>
          <w:b/>
        </w:rPr>
        <w:t>Zemkopība</w:t>
      </w:r>
      <w:r w:rsidRPr="00D15CCD">
        <w:rPr>
          <w:rFonts w:cs="Times New Roman"/>
          <w:b/>
        </w:rPr>
        <w:t>s ministrijas pamatbudžeta programmas 96.00.00 „Latvijas prezidentūras Eiropas Savienības Padomē nodrošināšan</w:t>
      </w:r>
      <w:r w:rsidR="00157A34">
        <w:rPr>
          <w:rFonts w:cs="Times New Roman"/>
          <w:b/>
        </w:rPr>
        <w:t>a</w:t>
      </w:r>
      <w:r w:rsidRPr="00D15CCD">
        <w:rPr>
          <w:rFonts w:cs="Times New Roman"/>
          <w:b/>
        </w:rPr>
        <w:t xml:space="preserve"> 2015.gadā”</w:t>
      </w:r>
      <w:r w:rsidR="00A51287" w:rsidRPr="00D15CCD">
        <w:rPr>
          <w:rFonts w:cs="Times New Roman"/>
          <w:b/>
        </w:rPr>
        <w:t xml:space="preserve"> </w:t>
      </w:r>
      <w:r w:rsidRPr="00D15CCD">
        <w:rPr>
          <w:rFonts w:cs="Times New Roman"/>
          <w:b/>
        </w:rPr>
        <w:t>apropriācijas pārdali starp budžeta izdevumu kodiem atbilstoši ekonomiskajām kategorijām</w:t>
      </w:r>
      <w:r w:rsidR="00C16FB4">
        <w:rPr>
          <w:rFonts w:cs="Times New Roman"/>
          <w:b/>
        </w:rPr>
        <w:t>”</w:t>
      </w:r>
    </w:p>
    <w:p w14:paraId="5CF7CDD4" w14:textId="77777777" w:rsidR="00D40D51" w:rsidRPr="00D15CCD" w:rsidRDefault="00D40D51" w:rsidP="00D40D51">
      <w:pPr>
        <w:jc w:val="center"/>
        <w:rPr>
          <w:rFonts w:cs="Times New Roman"/>
        </w:rPr>
      </w:pPr>
    </w:p>
    <w:p w14:paraId="5CF7CDD5" w14:textId="77777777" w:rsidR="00D55588" w:rsidRPr="00D55588" w:rsidRDefault="00D40D51" w:rsidP="00C21466">
      <w:pPr>
        <w:ind w:firstLine="720"/>
        <w:jc w:val="both"/>
        <w:rPr>
          <w:rFonts w:cs="Times New Roman"/>
        </w:rPr>
      </w:pPr>
      <w:r w:rsidRPr="00D55588">
        <w:rPr>
          <w:rFonts w:cs="Times New Roman"/>
        </w:rPr>
        <w:t xml:space="preserve">Saskaņā ar likuma „Par valsts budžetu 2014.gadam” 35. </w:t>
      </w:r>
      <w:r w:rsidR="00D657B8" w:rsidRPr="00D55588">
        <w:rPr>
          <w:rFonts w:cs="Times New Roman"/>
        </w:rPr>
        <w:t>p</w:t>
      </w:r>
      <w:r w:rsidRPr="00D55588">
        <w:rPr>
          <w:rFonts w:cs="Times New Roman"/>
        </w:rPr>
        <w:t>anta pirmā</w:t>
      </w:r>
      <w:r w:rsidR="00325782" w:rsidRPr="00D55588">
        <w:rPr>
          <w:rFonts w:cs="Times New Roman"/>
        </w:rPr>
        <w:t>s</w:t>
      </w:r>
      <w:r w:rsidRPr="00D55588">
        <w:rPr>
          <w:rFonts w:cs="Times New Roman"/>
        </w:rPr>
        <w:t xml:space="preserve"> daļ</w:t>
      </w:r>
      <w:r w:rsidR="00325782" w:rsidRPr="00D55588">
        <w:rPr>
          <w:rFonts w:cs="Times New Roman"/>
        </w:rPr>
        <w:t>as 1.punkt</w:t>
      </w:r>
      <w:r w:rsidR="00157A34">
        <w:rPr>
          <w:rFonts w:cs="Times New Roman"/>
        </w:rPr>
        <w:t>u</w:t>
      </w:r>
      <w:r w:rsidR="00C13AA3" w:rsidRPr="00D55588">
        <w:rPr>
          <w:rFonts w:cs="Times New Roman"/>
        </w:rPr>
        <w:t>,</w:t>
      </w:r>
      <w:r w:rsidRPr="00D55588">
        <w:rPr>
          <w:rFonts w:cs="Times New Roman"/>
        </w:rPr>
        <w:t xml:space="preserve"> ja ir pieņemts attiecīgs Ministru kabineta lēmums, finanšu ministram ir tiesības veikt apropriācijas pārdali ministrijas vai </w:t>
      </w:r>
      <w:r w:rsidR="00325782" w:rsidRPr="00D55588">
        <w:rPr>
          <w:rFonts w:cs="Times New Roman"/>
        </w:rPr>
        <w:t xml:space="preserve">citas </w:t>
      </w:r>
      <w:r w:rsidRPr="00D55588">
        <w:rPr>
          <w:rFonts w:cs="Times New Roman"/>
        </w:rPr>
        <w:t>centrālās valsts iestādes budžeta programm</w:t>
      </w:r>
      <w:r w:rsidR="00C13AA3" w:rsidRPr="00D55588">
        <w:rPr>
          <w:rFonts w:cs="Times New Roman"/>
        </w:rPr>
        <w:t>ā</w:t>
      </w:r>
      <w:r w:rsidRPr="00D55588">
        <w:rPr>
          <w:rFonts w:cs="Times New Roman"/>
        </w:rPr>
        <w:t xml:space="preserve"> 96.00.00 „Latvijas </w:t>
      </w:r>
      <w:r w:rsidR="00C335CD" w:rsidRPr="00D55588">
        <w:rPr>
          <w:rFonts w:cs="Times New Roman"/>
        </w:rPr>
        <w:t>p</w:t>
      </w:r>
      <w:r w:rsidRPr="00D55588">
        <w:rPr>
          <w:rFonts w:cs="Times New Roman"/>
        </w:rPr>
        <w:t>rezidentūras Eiropas Savienības Padomē nodrošināšana 2015.gadā”</w:t>
      </w:r>
      <w:r w:rsidR="00D657B8" w:rsidRPr="00D55588">
        <w:rPr>
          <w:rFonts w:cs="Times New Roman"/>
        </w:rPr>
        <w:t xml:space="preserve">. </w:t>
      </w:r>
    </w:p>
    <w:p w14:paraId="5CF7CDD6" w14:textId="77777777" w:rsidR="00D40D51" w:rsidRPr="00D15CCD" w:rsidRDefault="007B27E0" w:rsidP="00C21466">
      <w:pPr>
        <w:ind w:firstLine="720"/>
        <w:jc w:val="both"/>
        <w:rPr>
          <w:rFonts w:cs="Times New Roman"/>
        </w:rPr>
      </w:pPr>
      <w:r w:rsidRPr="00D55588">
        <w:rPr>
          <w:rFonts w:cs="Times New Roman"/>
        </w:rPr>
        <w:t xml:space="preserve">Zemkopības </w:t>
      </w:r>
      <w:r w:rsidR="00D657B8" w:rsidRPr="00D55588">
        <w:rPr>
          <w:rFonts w:cs="Times New Roman"/>
        </w:rPr>
        <w:t>ministrija</w:t>
      </w:r>
      <w:r w:rsidR="00D40D51" w:rsidRPr="00D55588">
        <w:rPr>
          <w:rFonts w:cs="Times New Roman"/>
        </w:rPr>
        <w:t xml:space="preserve"> iesniedz informatīvo ziņojum</w:t>
      </w:r>
      <w:r w:rsidR="007A09AA" w:rsidRPr="00D55588">
        <w:rPr>
          <w:rFonts w:cs="Times New Roman"/>
        </w:rPr>
        <w:t>u</w:t>
      </w:r>
      <w:r w:rsidR="00D40D51" w:rsidRPr="00D55588">
        <w:rPr>
          <w:rFonts w:cs="Times New Roman"/>
        </w:rPr>
        <w:t xml:space="preserve"> „</w:t>
      </w:r>
      <w:r w:rsidR="00C13AA3" w:rsidRPr="00D55588">
        <w:rPr>
          <w:rFonts w:cs="Times New Roman"/>
        </w:rPr>
        <w:t>P</w:t>
      </w:r>
      <w:r w:rsidR="00D40D51" w:rsidRPr="00D55588">
        <w:rPr>
          <w:rFonts w:cs="Times New Roman"/>
        </w:rPr>
        <w:t xml:space="preserve">ar </w:t>
      </w:r>
      <w:r w:rsidRPr="00D55588">
        <w:rPr>
          <w:rFonts w:cs="Times New Roman"/>
        </w:rPr>
        <w:t>Zemkopība</w:t>
      </w:r>
      <w:r w:rsidR="00D40D51" w:rsidRPr="00D55588">
        <w:rPr>
          <w:rFonts w:cs="Times New Roman"/>
        </w:rPr>
        <w:t>s ministrijas pamatbudžeta programmas 96.00.00 „Latvijas prezidentūras Eiropas Savienības Padomē nodrošināšan</w:t>
      </w:r>
      <w:r w:rsidR="00157A34">
        <w:rPr>
          <w:rFonts w:cs="Times New Roman"/>
        </w:rPr>
        <w:t>a</w:t>
      </w:r>
      <w:r w:rsidR="00D40D51" w:rsidRPr="00D55588">
        <w:rPr>
          <w:rFonts w:cs="Times New Roman"/>
        </w:rPr>
        <w:t xml:space="preserve"> 2015.gadā”</w:t>
      </w:r>
      <w:r w:rsidR="007A09AA" w:rsidRPr="00D55588">
        <w:rPr>
          <w:rFonts w:cs="Times New Roman"/>
        </w:rPr>
        <w:t xml:space="preserve"> </w:t>
      </w:r>
      <w:r w:rsidR="00D40D51" w:rsidRPr="00D55588">
        <w:rPr>
          <w:rFonts w:cs="Times New Roman"/>
        </w:rPr>
        <w:t>apropriācijas pārdali starp budžeta izdevumu kodiem atbilstoši ekonomiskajām kategorijām”.</w:t>
      </w:r>
      <w:r w:rsidR="00D40D51" w:rsidRPr="00D15CCD">
        <w:rPr>
          <w:rFonts w:cs="Times New Roman"/>
        </w:rPr>
        <w:t xml:space="preserve"> </w:t>
      </w:r>
    </w:p>
    <w:p w14:paraId="5CF7CDD7" w14:textId="77777777" w:rsidR="00346027" w:rsidRPr="00D15CCD" w:rsidRDefault="00346027" w:rsidP="00C21466">
      <w:pPr>
        <w:ind w:firstLine="720"/>
        <w:jc w:val="both"/>
        <w:rPr>
          <w:rFonts w:cs="Times New Roman"/>
        </w:rPr>
      </w:pPr>
    </w:p>
    <w:p w14:paraId="5CF7CDD8" w14:textId="77777777" w:rsidR="00D40D51" w:rsidRPr="00956F43" w:rsidRDefault="00901A93" w:rsidP="00956F43">
      <w:pPr>
        <w:pStyle w:val="Sarakstarindkopa"/>
        <w:numPr>
          <w:ilvl w:val="0"/>
          <w:numId w:val="12"/>
        </w:numPr>
        <w:jc w:val="center"/>
        <w:rPr>
          <w:rFonts w:cs="Times New Roman"/>
          <w:b/>
        </w:rPr>
      </w:pPr>
      <w:r w:rsidRPr="00956F43">
        <w:rPr>
          <w:rFonts w:cs="Times New Roman"/>
          <w:b/>
        </w:rPr>
        <w:t>Pašreizējā situācija un problēmas</w:t>
      </w:r>
      <w:r w:rsidR="006D3CB8" w:rsidRPr="00956F43">
        <w:rPr>
          <w:rFonts w:cs="Times New Roman"/>
          <w:b/>
        </w:rPr>
        <w:t xml:space="preserve"> raksturojums</w:t>
      </w:r>
    </w:p>
    <w:p w14:paraId="5CF7CDD9" w14:textId="77777777" w:rsidR="006D3CB8" w:rsidRPr="00D15CCD" w:rsidRDefault="006D3CB8" w:rsidP="00D40D51">
      <w:pPr>
        <w:jc w:val="both"/>
        <w:rPr>
          <w:rFonts w:cs="Times New Roman"/>
        </w:rPr>
      </w:pPr>
    </w:p>
    <w:p w14:paraId="5CF7CDDA" w14:textId="77777777" w:rsidR="006D3CB8" w:rsidRPr="00D55588" w:rsidRDefault="00F52A29" w:rsidP="00C21466">
      <w:pPr>
        <w:ind w:firstLine="720"/>
        <w:jc w:val="both"/>
        <w:rPr>
          <w:rFonts w:cs="Times New Roman"/>
        </w:rPr>
      </w:pPr>
      <w:r w:rsidRPr="00D55588">
        <w:rPr>
          <w:rFonts w:cs="Times New Roman"/>
        </w:rPr>
        <w:t>L</w:t>
      </w:r>
      <w:r w:rsidR="00D657B8" w:rsidRPr="00D55588">
        <w:rPr>
          <w:rFonts w:cs="Times New Roman"/>
        </w:rPr>
        <w:t xml:space="preserve">ikumā „Par valsts budžetu 2014.gadam” </w:t>
      </w:r>
      <w:r w:rsidR="007B27E0" w:rsidRPr="00D55588">
        <w:rPr>
          <w:rFonts w:cs="Times New Roman"/>
        </w:rPr>
        <w:t>Zemkopības</w:t>
      </w:r>
      <w:r w:rsidR="00D657B8" w:rsidRPr="00D55588">
        <w:rPr>
          <w:rFonts w:cs="Times New Roman"/>
        </w:rPr>
        <w:t xml:space="preserve"> ministrijas budžeta programmā 96.00.00 „Latvijas prezidentūras Eiropas Savienības Padomē nodrošināšanai 2015.gadā”</w:t>
      </w:r>
      <w:r w:rsidR="00193846" w:rsidRPr="00D55588">
        <w:rPr>
          <w:rFonts w:cs="Times New Roman"/>
        </w:rPr>
        <w:t xml:space="preserve"> </w:t>
      </w:r>
      <w:r w:rsidR="00C13AA3" w:rsidRPr="00D55588">
        <w:rPr>
          <w:rFonts w:cs="Times New Roman"/>
        </w:rPr>
        <w:t xml:space="preserve">apstiprināts finansējums EUR </w:t>
      </w:r>
      <w:r w:rsidR="00193846" w:rsidRPr="00D55588">
        <w:rPr>
          <w:rFonts w:cs="Times New Roman"/>
        </w:rPr>
        <w:t>1 924 893 </w:t>
      </w:r>
      <w:r w:rsidR="00D657B8" w:rsidRPr="00D55588">
        <w:rPr>
          <w:rFonts w:cs="Times New Roman"/>
        </w:rPr>
        <w:t xml:space="preserve"> apmērā. </w:t>
      </w:r>
    </w:p>
    <w:p w14:paraId="5CF7CDDB" w14:textId="77777777" w:rsidR="00BE0AD1" w:rsidRPr="00A529F1" w:rsidRDefault="00C01A8D" w:rsidP="00A529F1">
      <w:pPr>
        <w:ind w:firstLine="720"/>
        <w:jc w:val="both"/>
        <w:rPr>
          <w:rFonts w:cs="Times New Roman"/>
        </w:rPr>
      </w:pPr>
      <w:r w:rsidRPr="00D55588">
        <w:rPr>
          <w:rFonts w:cs="Times New Roman"/>
        </w:rPr>
        <w:t xml:space="preserve">Latvijas prezidentūras laikā Eiropas Savienības </w:t>
      </w:r>
      <w:r w:rsidR="00842C84" w:rsidRPr="00D55588">
        <w:rPr>
          <w:rFonts w:cs="Times New Roman"/>
        </w:rPr>
        <w:t>P</w:t>
      </w:r>
      <w:r w:rsidRPr="00D55588">
        <w:rPr>
          <w:rFonts w:cs="Times New Roman"/>
        </w:rPr>
        <w:t xml:space="preserve">adomē </w:t>
      </w:r>
      <w:r w:rsidR="00251EE2" w:rsidRPr="00D55588">
        <w:rPr>
          <w:rFonts w:cs="Times New Roman"/>
        </w:rPr>
        <w:t xml:space="preserve">Zemkopības </w:t>
      </w:r>
      <w:r w:rsidR="003D6117" w:rsidRPr="00D55588">
        <w:rPr>
          <w:rFonts w:cs="Times New Roman"/>
        </w:rPr>
        <w:t xml:space="preserve">ministrija </w:t>
      </w:r>
      <w:r w:rsidR="00C13AA3" w:rsidRPr="00D55588">
        <w:rPr>
          <w:rFonts w:cs="Times New Roman"/>
        </w:rPr>
        <w:t xml:space="preserve">ir </w:t>
      </w:r>
      <w:r w:rsidR="003D6117" w:rsidRPr="00D55588">
        <w:rPr>
          <w:rFonts w:cs="Times New Roman"/>
        </w:rPr>
        <w:t>atbildī</w:t>
      </w:r>
      <w:r w:rsidR="00C13AA3" w:rsidRPr="00D55588">
        <w:rPr>
          <w:rFonts w:cs="Times New Roman"/>
        </w:rPr>
        <w:t>ga par</w:t>
      </w:r>
      <w:r w:rsidR="003D6117" w:rsidRPr="00D55588">
        <w:rPr>
          <w:rFonts w:cs="Times New Roman"/>
        </w:rPr>
        <w:t xml:space="preserve"> Eiropas Savienības </w:t>
      </w:r>
      <w:r w:rsidR="007B27E0" w:rsidRPr="00D55588">
        <w:rPr>
          <w:rFonts w:cs="Times New Roman"/>
        </w:rPr>
        <w:t xml:space="preserve">Lauksaimniecības un zivsaimniecības </w:t>
      </w:r>
      <w:r w:rsidR="003D6117" w:rsidRPr="00D55588">
        <w:rPr>
          <w:rFonts w:cs="Times New Roman"/>
        </w:rPr>
        <w:t>ministru padom</w:t>
      </w:r>
      <w:r w:rsidR="007B27E0" w:rsidRPr="00D55588">
        <w:rPr>
          <w:rFonts w:cs="Times New Roman"/>
        </w:rPr>
        <w:t>es</w:t>
      </w:r>
      <w:r w:rsidR="003D6117" w:rsidRPr="00D55588">
        <w:rPr>
          <w:rFonts w:cs="Times New Roman"/>
        </w:rPr>
        <w:t xml:space="preserve"> sa</w:t>
      </w:r>
      <w:r w:rsidR="007B27E0" w:rsidRPr="00D55588">
        <w:rPr>
          <w:rFonts w:cs="Times New Roman"/>
        </w:rPr>
        <w:t>gatavošan</w:t>
      </w:r>
      <w:r w:rsidR="00C13AA3" w:rsidRPr="00D55588">
        <w:rPr>
          <w:rFonts w:cs="Times New Roman"/>
        </w:rPr>
        <w:t>u</w:t>
      </w:r>
      <w:r w:rsidR="007B27E0" w:rsidRPr="00D55588">
        <w:rPr>
          <w:rFonts w:cs="Times New Roman"/>
        </w:rPr>
        <w:t>.</w:t>
      </w:r>
      <w:r w:rsidR="00A529F1">
        <w:rPr>
          <w:rFonts w:cs="Times New Roman"/>
        </w:rPr>
        <w:t xml:space="preserve"> </w:t>
      </w:r>
      <w:r w:rsidR="007B27E0" w:rsidRPr="00D55588">
        <w:rPr>
          <w:rFonts w:cs="Times New Roman"/>
          <w:szCs w:val="28"/>
        </w:rPr>
        <w:t>Zemkopības</w:t>
      </w:r>
      <w:r w:rsidR="00141D64" w:rsidRPr="00D55588">
        <w:rPr>
          <w:rFonts w:cs="Times New Roman"/>
          <w:szCs w:val="28"/>
        </w:rPr>
        <w:t xml:space="preserve"> ministrijas </w:t>
      </w:r>
      <w:r w:rsidR="00C13AA3" w:rsidRPr="00D55588">
        <w:rPr>
          <w:rFonts w:cs="Times New Roman"/>
          <w:szCs w:val="28"/>
        </w:rPr>
        <w:t>pārziņā</w:t>
      </w:r>
      <w:r w:rsidR="00141D64" w:rsidRPr="00D55588">
        <w:rPr>
          <w:rFonts w:cs="Times New Roman"/>
          <w:szCs w:val="28"/>
        </w:rPr>
        <w:t xml:space="preserve"> ir </w:t>
      </w:r>
      <w:r w:rsidR="00251EE2" w:rsidRPr="00D55588">
        <w:rPr>
          <w:rFonts w:cs="Times New Roman"/>
          <w:szCs w:val="28"/>
        </w:rPr>
        <w:t>28</w:t>
      </w:r>
      <w:r w:rsidR="00141D64" w:rsidRPr="00D55588">
        <w:rPr>
          <w:rFonts w:cs="Times New Roman"/>
          <w:szCs w:val="28"/>
        </w:rPr>
        <w:t xml:space="preserve"> Eiropas Savienības Padomes </w:t>
      </w:r>
      <w:r w:rsidR="003E7FE2" w:rsidRPr="00D55588">
        <w:rPr>
          <w:rFonts w:cs="Times New Roman"/>
          <w:szCs w:val="28"/>
        </w:rPr>
        <w:t>darba grupas</w:t>
      </w:r>
      <w:r w:rsidR="00397686" w:rsidRPr="00D55588">
        <w:rPr>
          <w:rFonts w:cs="Times New Roman"/>
          <w:szCs w:val="28"/>
        </w:rPr>
        <w:t xml:space="preserve"> un </w:t>
      </w:r>
      <w:r w:rsidR="00842C84" w:rsidRPr="00D55588">
        <w:rPr>
          <w:rFonts w:cs="Times New Roman"/>
          <w:szCs w:val="28"/>
        </w:rPr>
        <w:t>komitejas</w:t>
      </w:r>
      <w:r w:rsidR="00251EE2" w:rsidRPr="00D55588">
        <w:rPr>
          <w:rFonts w:cs="Times New Roman"/>
          <w:szCs w:val="28"/>
        </w:rPr>
        <w:t>, kuru darb</w:t>
      </w:r>
      <w:r w:rsidR="00C13AA3" w:rsidRPr="00D55588">
        <w:rPr>
          <w:rFonts w:cs="Times New Roman"/>
          <w:szCs w:val="28"/>
        </w:rPr>
        <w:t>a</w:t>
      </w:r>
      <w:r w:rsidR="00251EE2" w:rsidRPr="00D55588">
        <w:rPr>
          <w:rFonts w:cs="Times New Roman"/>
          <w:szCs w:val="28"/>
        </w:rPr>
        <w:t xml:space="preserve"> vadī</w:t>
      </w:r>
      <w:r w:rsidR="00C13AA3" w:rsidRPr="00D55588">
        <w:rPr>
          <w:rFonts w:cs="Times New Roman"/>
          <w:szCs w:val="28"/>
        </w:rPr>
        <w:t>ba būs</w:t>
      </w:r>
      <w:r w:rsidR="00251EE2" w:rsidRPr="00D55588">
        <w:rPr>
          <w:rFonts w:cs="Times New Roman"/>
          <w:szCs w:val="28"/>
        </w:rPr>
        <w:t xml:space="preserve"> Latvijas prezidentūra</w:t>
      </w:r>
      <w:r w:rsidR="00C13AA3" w:rsidRPr="00D55588">
        <w:rPr>
          <w:rFonts w:cs="Times New Roman"/>
          <w:szCs w:val="28"/>
        </w:rPr>
        <w:t>s kompetencē</w:t>
      </w:r>
      <w:r w:rsidR="00157A34">
        <w:rPr>
          <w:rFonts w:cs="Times New Roman"/>
          <w:szCs w:val="28"/>
        </w:rPr>
        <w:t>,</w:t>
      </w:r>
      <w:r w:rsidR="00D55588">
        <w:rPr>
          <w:rFonts w:cs="Times New Roman"/>
          <w:szCs w:val="28"/>
        </w:rPr>
        <w:t xml:space="preserve"> un </w:t>
      </w:r>
      <w:r w:rsidR="006A19A9" w:rsidRPr="00D55588">
        <w:rPr>
          <w:rFonts w:cs="Times New Roman"/>
          <w:szCs w:val="28"/>
        </w:rPr>
        <w:t>Latvijas prezidentūras laikā būs jānovada aptuveni 2</w:t>
      </w:r>
      <w:r w:rsidR="00251EE2" w:rsidRPr="00D55588">
        <w:rPr>
          <w:rFonts w:cs="Times New Roman"/>
          <w:szCs w:val="28"/>
        </w:rPr>
        <w:t>60</w:t>
      </w:r>
      <w:r w:rsidR="006A19A9" w:rsidRPr="00D55588">
        <w:rPr>
          <w:rFonts w:cs="Times New Roman"/>
          <w:szCs w:val="28"/>
        </w:rPr>
        <w:t xml:space="preserve"> darba grupu</w:t>
      </w:r>
      <w:r w:rsidR="00397686" w:rsidRPr="00D55588">
        <w:rPr>
          <w:rFonts w:cs="Times New Roman"/>
          <w:szCs w:val="28"/>
        </w:rPr>
        <w:t xml:space="preserve"> un </w:t>
      </w:r>
      <w:r w:rsidR="00842C84" w:rsidRPr="00D55588">
        <w:rPr>
          <w:rFonts w:cs="Times New Roman"/>
          <w:szCs w:val="28"/>
        </w:rPr>
        <w:t>komiteju</w:t>
      </w:r>
      <w:r w:rsidR="006A19A9" w:rsidRPr="00D55588">
        <w:rPr>
          <w:rFonts w:cs="Times New Roman"/>
          <w:szCs w:val="28"/>
        </w:rPr>
        <w:t xml:space="preserve"> sanāksmes.</w:t>
      </w:r>
      <w:r w:rsidR="00251EE2" w:rsidRPr="00D55588">
        <w:rPr>
          <w:rFonts w:cs="Times New Roman"/>
          <w:szCs w:val="28"/>
        </w:rPr>
        <w:t xml:space="preserve"> </w:t>
      </w:r>
    </w:p>
    <w:p w14:paraId="5CF7CDDC" w14:textId="77777777" w:rsidR="00BE0AD1" w:rsidRDefault="00E94BDB" w:rsidP="00FD7E4E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Līdz ar to ir nepieciešams </w:t>
      </w:r>
      <w:r w:rsidR="00874682">
        <w:rPr>
          <w:rFonts w:cs="Times New Roman"/>
        </w:rPr>
        <w:t>papildu finansējums komandējumu izdevumu segšanai</w:t>
      </w:r>
      <w:r w:rsidR="00686194">
        <w:rPr>
          <w:rFonts w:cs="Times New Roman"/>
        </w:rPr>
        <w:t xml:space="preserve"> decembrī</w:t>
      </w:r>
      <w:r w:rsidR="00874682">
        <w:rPr>
          <w:rFonts w:cs="Times New Roman"/>
        </w:rPr>
        <w:t xml:space="preserve">, </w:t>
      </w:r>
      <w:r w:rsidR="00F66647">
        <w:rPr>
          <w:rFonts w:cs="Times New Roman"/>
        </w:rPr>
        <w:t xml:space="preserve">jo aviokompānijas </w:t>
      </w:r>
      <w:proofErr w:type="spellStart"/>
      <w:r w:rsidR="00F66647" w:rsidRPr="00947D9C">
        <w:rPr>
          <w:rFonts w:cs="Times New Roman"/>
          <w:i/>
        </w:rPr>
        <w:t>AirBaltic</w:t>
      </w:r>
      <w:proofErr w:type="spellEnd"/>
      <w:r w:rsidR="00F66647">
        <w:rPr>
          <w:rFonts w:cs="Times New Roman"/>
        </w:rPr>
        <w:t xml:space="preserve"> biļetes ir</w:t>
      </w:r>
      <w:r w:rsidR="00874682">
        <w:rPr>
          <w:rFonts w:cs="Times New Roman"/>
        </w:rPr>
        <w:t xml:space="preserve"> ļoti dārgās </w:t>
      </w:r>
      <w:r w:rsidR="00F66647">
        <w:rPr>
          <w:rFonts w:cs="Times New Roman"/>
        </w:rPr>
        <w:t>–</w:t>
      </w:r>
      <w:r w:rsidR="00874682">
        <w:rPr>
          <w:rFonts w:cs="Times New Roman"/>
        </w:rPr>
        <w:t xml:space="preserve"> vadlīnijās minēto </w:t>
      </w:r>
      <w:r w:rsidR="00F66647">
        <w:rPr>
          <w:rFonts w:cs="Times New Roman"/>
        </w:rPr>
        <w:t xml:space="preserve">EUR </w:t>
      </w:r>
      <w:r w:rsidR="00874682">
        <w:rPr>
          <w:rFonts w:cs="Times New Roman"/>
        </w:rPr>
        <w:t xml:space="preserve">500 vietā </w:t>
      </w:r>
      <w:r w:rsidR="00F66647">
        <w:rPr>
          <w:rFonts w:cs="Times New Roman"/>
        </w:rPr>
        <w:t xml:space="preserve">tās </w:t>
      </w:r>
      <w:r w:rsidR="00874682">
        <w:rPr>
          <w:rFonts w:cs="Times New Roman"/>
        </w:rPr>
        <w:t xml:space="preserve">bieži vien maksā pat </w:t>
      </w:r>
      <w:r w:rsidR="00F66647">
        <w:rPr>
          <w:rFonts w:cs="Times New Roman"/>
        </w:rPr>
        <w:t>vairāk nekā</w:t>
      </w:r>
      <w:r w:rsidR="00874682">
        <w:rPr>
          <w:rFonts w:cs="Times New Roman"/>
        </w:rPr>
        <w:t xml:space="preserve"> </w:t>
      </w:r>
      <w:r w:rsidR="00F66647">
        <w:rPr>
          <w:rFonts w:cs="Times New Roman"/>
        </w:rPr>
        <w:t xml:space="preserve">EUR </w:t>
      </w:r>
      <w:r w:rsidR="00874682">
        <w:rPr>
          <w:rFonts w:cs="Times New Roman"/>
        </w:rPr>
        <w:t xml:space="preserve">900. Neņemot vērā </w:t>
      </w:r>
      <w:r w:rsidR="00F66647">
        <w:rPr>
          <w:rFonts w:cs="Times New Roman"/>
        </w:rPr>
        <w:t xml:space="preserve">nesen </w:t>
      </w:r>
      <w:r w:rsidR="00874682">
        <w:rPr>
          <w:rFonts w:cs="Times New Roman"/>
        </w:rPr>
        <w:t>piešķirtos papildu līdzekļus no</w:t>
      </w:r>
      <w:r w:rsidR="00686194">
        <w:rPr>
          <w:rFonts w:cs="Times New Roman"/>
        </w:rPr>
        <w:t xml:space="preserve"> Ārlietu ministrijas transferta veidā, komandējumiem </w:t>
      </w:r>
      <w:r w:rsidR="00686194" w:rsidRPr="00987304">
        <w:rPr>
          <w:rFonts w:cs="Times New Roman"/>
        </w:rPr>
        <w:t xml:space="preserve">papildus no </w:t>
      </w:r>
      <w:r w:rsidR="00987304" w:rsidRPr="00987304">
        <w:rPr>
          <w:rFonts w:cs="Times New Roman"/>
        </w:rPr>
        <w:t>atlīdzības</w:t>
      </w:r>
      <w:r w:rsidR="00686194" w:rsidRPr="00987304">
        <w:rPr>
          <w:rFonts w:cs="Times New Roman"/>
        </w:rPr>
        <w:t xml:space="preserve"> uz precēm un pakalpojumiem </w:t>
      </w:r>
      <w:r w:rsidR="00F66647">
        <w:rPr>
          <w:rFonts w:cs="Times New Roman"/>
        </w:rPr>
        <w:t xml:space="preserve">ir </w:t>
      </w:r>
      <w:r w:rsidR="00686194" w:rsidRPr="00987304">
        <w:rPr>
          <w:rFonts w:cs="Times New Roman"/>
        </w:rPr>
        <w:t xml:space="preserve">jānovirza </w:t>
      </w:r>
      <w:r w:rsidR="00F66647" w:rsidRPr="00987304">
        <w:rPr>
          <w:rFonts w:cs="Times New Roman"/>
        </w:rPr>
        <w:t xml:space="preserve">EUR </w:t>
      </w:r>
      <w:r w:rsidR="00987304" w:rsidRPr="00987304">
        <w:rPr>
          <w:rFonts w:cs="Times New Roman"/>
        </w:rPr>
        <w:t>100 000</w:t>
      </w:r>
      <w:r w:rsidR="00686194" w:rsidRPr="00987304">
        <w:rPr>
          <w:rFonts w:cs="Times New Roman"/>
        </w:rPr>
        <w:t>.</w:t>
      </w:r>
    </w:p>
    <w:p w14:paraId="5CF7CDDD" w14:textId="77777777" w:rsidR="00874682" w:rsidRDefault="00874682" w:rsidP="00FD7E4E">
      <w:pPr>
        <w:ind w:firstLine="720"/>
        <w:jc w:val="both"/>
        <w:rPr>
          <w:rFonts w:cs="Times New Roman"/>
        </w:rPr>
      </w:pPr>
    </w:p>
    <w:p w14:paraId="5CF7CDDE" w14:textId="77777777" w:rsidR="00CB7537" w:rsidRDefault="00CB7537" w:rsidP="00FD7E4E">
      <w:pPr>
        <w:ind w:firstLine="720"/>
        <w:jc w:val="both"/>
        <w:rPr>
          <w:rFonts w:cs="Times New Roman"/>
        </w:rPr>
      </w:pPr>
    </w:p>
    <w:p w14:paraId="5CF7CDDF" w14:textId="77777777" w:rsidR="00C21466" w:rsidRPr="00D15CCD" w:rsidRDefault="00F91C6A" w:rsidP="00C21466">
      <w:pPr>
        <w:jc w:val="center"/>
        <w:rPr>
          <w:rFonts w:cs="Times New Roman"/>
          <w:b/>
        </w:rPr>
      </w:pPr>
      <w:r w:rsidRPr="00D15CCD">
        <w:rPr>
          <w:rFonts w:cs="Times New Roman"/>
          <w:b/>
        </w:rPr>
        <w:t>II</w:t>
      </w:r>
      <w:r w:rsidR="00C16FB4">
        <w:rPr>
          <w:rFonts w:cs="Times New Roman"/>
          <w:b/>
        </w:rPr>
        <w:t>.</w:t>
      </w:r>
      <w:r w:rsidRPr="00D15CCD">
        <w:rPr>
          <w:rFonts w:cs="Times New Roman"/>
          <w:b/>
        </w:rPr>
        <w:t xml:space="preserve"> </w:t>
      </w:r>
      <w:r w:rsidR="00C21466" w:rsidRPr="00D15CCD">
        <w:rPr>
          <w:rFonts w:cs="Times New Roman"/>
          <w:b/>
        </w:rPr>
        <w:t>Priekšlikumi turpmākai rīcībai</w:t>
      </w:r>
    </w:p>
    <w:p w14:paraId="5CF7CDE0" w14:textId="77777777" w:rsidR="00C21466" w:rsidRPr="00D15CCD" w:rsidRDefault="00C21466" w:rsidP="00F2115D">
      <w:pPr>
        <w:jc w:val="both"/>
        <w:rPr>
          <w:rFonts w:cs="Times New Roman"/>
        </w:rPr>
      </w:pPr>
    </w:p>
    <w:p w14:paraId="5CF7CDE1" w14:textId="77777777" w:rsidR="00874682" w:rsidRDefault="00D44839" w:rsidP="00874682">
      <w:pPr>
        <w:ind w:firstLine="709"/>
        <w:jc w:val="both"/>
        <w:rPr>
          <w:rFonts w:cs="Times New Roman"/>
        </w:rPr>
      </w:pPr>
      <w:r w:rsidRPr="00D15CCD">
        <w:rPr>
          <w:rFonts w:cs="Times New Roman"/>
        </w:rPr>
        <w:t>Zemkopības ministrija ir izvērtējusi</w:t>
      </w:r>
      <w:r w:rsidR="00344AE6" w:rsidRPr="00D15CCD">
        <w:rPr>
          <w:rFonts w:cs="Times New Roman"/>
        </w:rPr>
        <w:t xml:space="preserve"> 2014.gada budžeta programmas 96.00.00 „Latvijas </w:t>
      </w:r>
      <w:r w:rsidR="004B1A9D" w:rsidRPr="00D15CCD">
        <w:rPr>
          <w:rFonts w:cs="Times New Roman"/>
        </w:rPr>
        <w:t>p</w:t>
      </w:r>
      <w:r w:rsidR="00344AE6" w:rsidRPr="00D15CCD">
        <w:rPr>
          <w:rFonts w:cs="Times New Roman"/>
        </w:rPr>
        <w:t>rezidentūras Eiropas Savienības Padomē nodrošināšana 2015.gadā” izdevumus, finanšu nepieciešamību, kā arī</w:t>
      </w:r>
      <w:r w:rsidRPr="00D15CCD">
        <w:rPr>
          <w:rFonts w:cs="Times New Roman"/>
        </w:rPr>
        <w:t xml:space="preserve"> pieejamo apropriāciju un secinājusi</w:t>
      </w:r>
      <w:r w:rsidR="00344AE6" w:rsidRPr="00D15CCD">
        <w:rPr>
          <w:rFonts w:cs="Times New Roman"/>
        </w:rPr>
        <w:t xml:space="preserve">, ka </w:t>
      </w:r>
      <w:r w:rsidR="00890722" w:rsidRPr="00D15CCD">
        <w:rPr>
          <w:rFonts w:cs="Times New Roman"/>
        </w:rPr>
        <w:t xml:space="preserve">ir </w:t>
      </w:r>
      <w:r w:rsidR="00BE0AD1">
        <w:rPr>
          <w:rFonts w:cs="Times New Roman"/>
        </w:rPr>
        <w:t>iespējams</w:t>
      </w:r>
      <w:r w:rsidR="00344AE6" w:rsidRPr="00D15CCD">
        <w:rPr>
          <w:rFonts w:cs="Times New Roman"/>
        </w:rPr>
        <w:t xml:space="preserve"> pārdalīt finansējumu starp budžeta izdevumu kodiem atbilstoši ekonomiskajām kategorijām un </w:t>
      </w:r>
      <w:r w:rsidR="00BD7F5C">
        <w:rPr>
          <w:rFonts w:cs="Times New Roman"/>
        </w:rPr>
        <w:t>izdarīt</w:t>
      </w:r>
      <w:r w:rsidR="00344AE6" w:rsidRPr="00D15CCD">
        <w:rPr>
          <w:rFonts w:cs="Times New Roman"/>
        </w:rPr>
        <w:t xml:space="preserve"> izmaiņas </w:t>
      </w:r>
      <w:r w:rsidR="00BD7F5C">
        <w:rPr>
          <w:rFonts w:cs="Times New Roman"/>
        </w:rPr>
        <w:t>budžetā,</w:t>
      </w:r>
      <w:r w:rsidR="00BD7F5C" w:rsidRPr="00D15CCD">
        <w:rPr>
          <w:rFonts w:cs="Times New Roman"/>
        </w:rPr>
        <w:t xml:space="preserve"> </w:t>
      </w:r>
      <w:r w:rsidR="009D7245" w:rsidRPr="00C714A2">
        <w:rPr>
          <w:rFonts w:cs="Times New Roman"/>
        </w:rPr>
        <w:t>nep</w:t>
      </w:r>
      <w:r w:rsidR="00344AE6" w:rsidRPr="00C714A2">
        <w:rPr>
          <w:rFonts w:cs="Times New Roman"/>
        </w:rPr>
        <w:t>alielin</w:t>
      </w:r>
      <w:r w:rsidR="009D7245" w:rsidRPr="00C714A2">
        <w:rPr>
          <w:rFonts w:cs="Times New Roman"/>
        </w:rPr>
        <w:t>o</w:t>
      </w:r>
      <w:r w:rsidR="00344AE6" w:rsidRPr="00C714A2">
        <w:rPr>
          <w:rFonts w:cs="Times New Roman"/>
        </w:rPr>
        <w:t xml:space="preserve">t </w:t>
      </w:r>
      <w:r w:rsidRPr="00C714A2">
        <w:rPr>
          <w:rFonts w:cs="Times New Roman"/>
        </w:rPr>
        <w:t>kopējo izdevumu</w:t>
      </w:r>
      <w:r w:rsidR="00890722" w:rsidRPr="00C714A2">
        <w:rPr>
          <w:rFonts w:cs="Times New Roman"/>
        </w:rPr>
        <w:t xml:space="preserve"> ap</w:t>
      </w:r>
      <w:r w:rsidR="00BD7F5C" w:rsidRPr="00C714A2">
        <w:rPr>
          <w:rFonts w:cs="Times New Roman"/>
        </w:rPr>
        <w:t>mēru</w:t>
      </w:r>
      <w:r w:rsidR="00BE0AD1">
        <w:rPr>
          <w:rFonts w:cs="Times New Roman"/>
        </w:rPr>
        <w:t xml:space="preserve">, </w:t>
      </w:r>
      <w:r w:rsidR="00F66647">
        <w:rPr>
          <w:rFonts w:cs="Times New Roman"/>
        </w:rPr>
        <w:t xml:space="preserve">bet </w:t>
      </w:r>
      <w:r w:rsidR="00BE0AD1">
        <w:rPr>
          <w:rFonts w:cs="Times New Roman"/>
        </w:rPr>
        <w:t>veicot pārdali</w:t>
      </w:r>
      <w:r w:rsidR="00B17479">
        <w:rPr>
          <w:rFonts w:cs="Times New Roman"/>
        </w:rPr>
        <w:t xml:space="preserve"> no </w:t>
      </w:r>
      <w:r w:rsidR="00987304">
        <w:rPr>
          <w:rFonts w:cs="Times New Roman"/>
        </w:rPr>
        <w:t>atlīdzības un atalgojuma</w:t>
      </w:r>
      <w:r w:rsidR="00B17479">
        <w:rPr>
          <w:rFonts w:cs="Times New Roman"/>
        </w:rPr>
        <w:t xml:space="preserve"> uz</w:t>
      </w:r>
      <w:r w:rsidR="00874682">
        <w:rPr>
          <w:rFonts w:cs="Times New Roman"/>
        </w:rPr>
        <w:t xml:space="preserve"> </w:t>
      </w:r>
      <w:r w:rsidR="00874682">
        <w:rPr>
          <w:rFonts w:cs="Times New Roman"/>
        </w:rPr>
        <w:lastRenderedPageBreak/>
        <w:t>k</w:t>
      </w:r>
      <w:r w:rsidR="00874682" w:rsidRPr="00874682">
        <w:rPr>
          <w:rFonts w:cs="Times New Roman"/>
        </w:rPr>
        <w:t>ārtējie</w:t>
      </w:r>
      <w:r w:rsidR="00874682">
        <w:rPr>
          <w:rFonts w:cs="Times New Roman"/>
        </w:rPr>
        <w:t>m</w:t>
      </w:r>
      <w:r w:rsidR="00874682" w:rsidRPr="00874682">
        <w:rPr>
          <w:rFonts w:cs="Times New Roman"/>
        </w:rPr>
        <w:t xml:space="preserve"> maksājumi</w:t>
      </w:r>
      <w:r w:rsidR="00874682">
        <w:rPr>
          <w:rFonts w:cs="Times New Roman"/>
        </w:rPr>
        <w:t>em</w:t>
      </w:r>
      <w:r w:rsidR="00E94BDB">
        <w:rPr>
          <w:rFonts w:cs="Times New Roman"/>
        </w:rPr>
        <w:t>, tas ir,</w:t>
      </w:r>
      <w:r w:rsidR="00874682" w:rsidRPr="00874682">
        <w:rPr>
          <w:rFonts w:cs="Times New Roman"/>
        </w:rPr>
        <w:t xml:space="preserve"> </w:t>
      </w:r>
      <w:r w:rsidR="00F66647" w:rsidRPr="00987304">
        <w:rPr>
          <w:rFonts w:cs="Times New Roman"/>
          <w:color w:val="000000" w:themeColor="text1"/>
        </w:rPr>
        <w:t xml:space="preserve">EUR </w:t>
      </w:r>
      <w:r w:rsidR="00987304" w:rsidRPr="00987304">
        <w:rPr>
          <w:rFonts w:cs="Times New Roman"/>
          <w:color w:val="000000" w:themeColor="text1"/>
        </w:rPr>
        <w:t>100 000</w:t>
      </w:r>
      <w:r w:rsidR="00686194" w:rsidRPr="00987304">
        <w:rPr>
          <w:rFonts w:cs="Times New Roman"/>
          <w:color w:val="000000" w:themeColor="text1"/>
        </w:rPr>
        <w:t xml:space="preserve"> </w:t>
      </w:r>
      <w:r w:rsidR="00686194">
        <w:rPr>
          <w:rFonts w:cs="Times New Roman"/>
          <w:color w:val="000000" w:themeColor="text1"/>
        </w:rPr>
        <w:t>apmērā uz izdevumiem precēm un pakalpojumiem papildus komandējumu izdevumu segšanai</w:t>
      </w:r>
      <w:r w:rsidR="00874682">
        <w:rPr>
          <w:rFonts w:cs="Times New Roman"/>
          <w:color w:val="000000" w:themeColor="text1"/>
        </w:rPr>
        <w:t>.</w:t>
      </w:r>
      <w:r w:rsidR="0027093C">
        <w:rPr>
          <w:rFonts w:cs="Times New Roman"/>
          <w:color w:val="000000" w:themeColor="text1"/>
        </w:rPr>
        <w:t xml:space="preserve"> Lai </w:t>
      </w:r>
      <w:r w:rsidR="00947D9C">
        <w:rPr>
          <w:rFonts w:cs="Times New Roman"/>
          <w:color w:val="000000" w:themeColor="text1"/>
        </w:rPr>
        <w:t>nodrošinātu iepriekš minētās izmaiņas budžetā</w:t>
      </w:r>
      <w:r w:rsidR="0027093C">
        <w:rPr>
          <w:rFonts w:cs="Times New Roman"/>
          <w:color w:val="000000" w:themeColor="text1"/>
        </w:rPr>
        <w:t xml:space="preserve">, par </w:t>
      </w:r>
      <w:r w:rsidR="00F66647">
        <w:rPr>
          <w:rFonts w:cs="Times New Roman"/>
          <w:color w:val="000000" w:themeColor="text1"/>
        </w:rPr>
        <w:t xml:space="preserve">EUR </w:t>
      </w:r>
      <w:r w:rsidR="00E94BDB">
        <w:rPr>
          <w:rFonts w:cs="Times New Roman"/>
          <w:color w:val="000000" w:themeColor="text1"/>
        </w:rPr>
        <w:t xml:space="preserve">100 000 </w:t>
      </w:r>
      <w:r w:rsidR="0027093C">
        <w:rPr>
          <w:rFonts w:cs="Times New Roman"/>
          <w:color w:val="000000" w:themeColor="text1"/>
        </w:rPr>
        <w:t xml:space="preserve">tiks samazināti izdevumi </w:t>
      </w:r>
      <w:r w:rsidR="007305AE">
        <w:rPr>
          <w:rFonts w:cs="Times New Roman"/>
          <w:color w:val="000000" w:themeColor="text1"/>
        </w:rPr>
        <w:t>atlīdzībai.</w:t>
      </w:r>
      <w:r w:rsidR="00987304">
        <w:rPr>
          <w:rFonts w:cs="Times New Roman"/>
          <w:color w:val="000000" w:themeColor="text1"/>
        </w:rPr>
        <w:t xml:space="preserve"> </w:t>
      </w:r>
    </w:p>
    <w:p w14:paraId="5CF7CDE2" w14:textId="77777777" w:rsidR="00874682" w:rsidRPr="00D15CCD" w:rsidRDefault="00874682" w:rsidP="000C4C89">
      <w:pPr>
        <w:ind w:firstLine="709"/>
        <w:jc w:val="both"/>
        <w:rPr>
          <w:rFonts w:cs="Times New Roman"/>
        </w:rPr>
      </w:pPr>
    </w:p>
    <w:p w14:paraId="5CF7CDE3" w14:textId="77777777" w:rsidR="00C202ED" w:rsidRDefault="00326FB1" w:rsidP="00C202ED">
      <w:pPr>
        <w:ind w:firstLine="709"/>
        <w:jc w:val="both"/>
      </w:pPr>
      <w:r>
        <w:t>M</w:t>
      </w:r>
      <w:r w:rsidR="00C202ED" w:rsidRPr="00D15CCD">
        <w:t>inēt</w:t>
      </w:r>
      <w:r>
        <w:t>ie</w:t>
      </w:r>
      <w:r w:rsidR="00C202ED" w:rsidRPr="00D15CCD">
        <w:t xml:space="preserve"> grozījum</w:t>
      </w:r>
      <w:r>
        <w:t>i</w:t>
      </w:r>
      <w:r w:rsidR="00C202ED" w:rsidRPr="00D15CCD">
        <w:t xml:space="preserve"> paredzēt</w:t>
      </w:r>
      <w:r>
        <w:t>i</w:t>
      </w:r>
      <w:r w:rsidR="00C202ED" w:rsidRPr="00D15CCD">
        <w:t xml:space="preserve"> Zemkopības ministrijas budžeta programmā 96.00.00 „Latvijas Prezidentūras Eiropas Savienības Padomē nodrošināšana 2015.gadā”, nepalielinot gada kop</w:t>
      </w:r>
      <w:r w:rsidR="004C3685" w:rsidRPr="00D15CCD">
        <w:t>ējo izdevumu un ieņēmumu ap</w:t>
      </w:r>
      <w:r>
        <w:t>mēru</w:t>
      </w:r>
      <w:r w:rsidR="003B218C">
        <w:t xml:space="preserve"> (skatīt tabulu)</w:t>
      </w:r>
      <w:r w:rsidR="00D21FFA">
        <w:t>.</w:t>
      </w:r>
    </w:p>
    <w:p w14:paraId="5CF7CDE4" w14:textId="77777777" w:rsidR="00804915" w:rsidRDefault="00804915" w:rsidP="00A61741">
      <w:pPr>
        <w:ind w:left="360"/>
        <w:jc w:val="right"/>
        <w:rPr>
          <w:rFonts w:eastAsia="Times New Roman" w:cs="Times New Roman"/>
          <w:i/>
          <w:szCs w:val="28"/>
          <w:lang w:eastAsia="lv-LV"/>
        </w:rPr>
      </w:pPr>
    </w:p>
    <w:p w14:paraId="5CF7CDE5" w14:textId="77777777" w:rsidR="00D87CBC" w:rsidRDefault="00D87CBC" w:rsidP="00A61741">
      <w:pPr>
        <w:ind w:left="360"/>
        <w:jc w:val="right"/>
        <w:rPr>
          <w:rFonts w:eastAsia="Times New Roman" w:cs="Times New Roman"/>
          <w:i/>
          <w:szCs w:val="28"/>
          <w:lang w:eastAsia="lv-LV"/>
        </w:rPr>
      </w:pPr>
    </w:p>
    <w:p w14:paraId="5CF7CDE6" w14:textId="77777777" w:rsidR="00C202ED" w:rsidRPr="00A61741" w:rsidRDefault="003B218C" w:rsidP="00A61741">
      <w:pPr>
        <w:ind w:left="360"/>
        <w:jc w:val="right"/>
        <w:rPr>
          <w:rFonts w:eastAsia="Times New Roman" w:cs="Times New Roman"/>
          <w:i/>
          <w:szCs w:val="28"/>
          <w:lang w:eastAsia="lv-LV"/>
        </w:rPr>
      </w:pPr>
      <w:r>
        <w:rPr>
          <w:rFonts w:eastAsia="Times New Roman" w:cs="Times New Roman"/>
          <w:i/>
          <w:szCs w:val="28"/>
          <w:lang w:eastAsia="lv-LV"/>
        </w:rPr>
        <w:t>T</w:t>
      </w:r>
      <w:r w:rsidR="00C202ED" w:rsidRPr="00A61741">
        <w:rPr>
          <w:rFonts w:eastAsia="Times New Roman" w:cs="Times New Roman"/>
          <w:i/>
          <w:szCs w:val="28"/>
          <w:lang w:eastAsia="lv-LV"/>
        </w:rPr>
        <w:t>abula</w:t>
      </w:r>
    </w:p>
    <w:p w14:paraId="5CF7CDE7" w14:textId="77777777" w:rsidR="00A06272" w:rsidRPr="00D15CCD" w:rsidRDefault="00C202ED" w:rsidP="00263867">
      <w:pPr>
        <w:jc w:val="right"/>
        <w:rPr>
          <w:rFonts w:cs="Times New Roman"/>
          <w:i/>
        </w:rPr>
      </w:pPr>
      <w:r w:rsidRPr="00D15CCD">
        <w:rPr>
          <w:rFonts w:eastAsia="Times New Roman" w:cs="Times New Roman"/>
          <w:i/>
          <w:szCs w:val="28"/>
          <w:lang w:eastAsia="lv-LV"/>
        </w:rPr>
        <w:t xml:space="preserve">                           </w:t>
      </w:r>
      <w:r w:rsidRPr="00D15CCD">
        <w:rPr>
          <w:rFonts w:eastAsia="Times New Roman" w:cs="Times New Roman"/>
          <w:b/>
          <w:szCs w:val="28"/>
          <w:lang w:eastAsia="lv-LV"/>
        </w:rPr>
        <w:t>Ierosinātie grozījumi</w:t>
      </w:r>
      <w:r w:rsidRPr="00D15CCD">
        <w:rPr>
          <w:rFonts w:eastAsia="Times New Roman" w:cs="Times New Roman"/>
          <w:b/>
          <w:i/>
          <w:szCs w:val="28"/>
          <w:lang w:eastAsia="lv-LV"/>
        </w:rPr>
        <w:t xml:space="preserve"> </w:t>
      </w:r>
      <w:r w:rsidRPr="00D15CCD">
        <w:rPr>
          <w:b/>
          <w:szCs w:val="28"/>
        </w:rPr>
        <w:t>Zemkopības ministrijas budžeta programm</w:t>
      </w:r>
      <w:r w:rsidR="00326FB1">
        <w:rPr>
          <w:b/>
          <w:szCs w:val="28"/>
        </w:rPr>
        <w:t>ā</w:t>
      </w:r>
      <w:r w:rsidRPr="00D15CCD">
        <w:rPr>
          <w:b/>
          <w:szCs w:val="28"/>
        </w:rPr>
        <w:t xml:space="preserve"> 96.00.00 „Latvijas Prezidentūras Eiropas Savienības Padomē nodrošināšana 2015.gadā”</w:t>
      </w:r>
      <w:r w:rsidR="004033D0" w:rsidRPr="00D15CCD">
        <w:rPr>
          <w:rFonts w:eastAsia="Times New Roman" w:cs="Times New Roman"/>
          <w:i/>
          <w:szCs w:val="28"/>
          <w:lang w:eastAsia="lv-LV"/>
        </w:rPr>
        <w:t>(EUR)</w:t>
      </w:r>
      <w:r w:rsidR="00983691" w:rsidRPr="00D15CCD">
        <w:rPr>
          <w:rFonts w:eastAsia="Times New Roman" w:cs="Times New Roman"/>
          <w:i/>
          <w:szCs w:val="28"/>
          <w:lang w:eastAsia="lv-LV"/>
        </w:rPr>
        <w:t xml:space="preserve"> 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580"/>
        <w:gridCol w:w="1440"/>
        <w:gridCol w:w="1500"/>
        <w:gridCol w:w="1600"/>
      </w:tblGrid>
      <w:tr w:rsidR="0002346B" w:rsidRPr="0002346B" w14:paraId="5CF7CDEC" w14:textId="77777777" w:rsidTr="0002346B">
        <w:trPr>
          <w:trHeight w:val="109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CDE8" w14:textId="77777777" w:rsidR="0002346B" w:rsidRPr="0002346B" w:rsidRDefault="0002346B" w:rsidP="000234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96.00.00 „Latvijas prezidentūras Eiropas Savienības Padomē nodrošināšana 2015.gadā”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CDE9" w14:textId="77777777" w:rsidR="0002346B" w:rsidRPr="0002346B" w:rsidRDefault="0002346B" w:rsidP="000234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Apstiprināts 2014.gada budžets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CDEA" w14:textId="77777777" w:rsidR="0002346B" w:rsidRPr="0002346B" w:rsidRDefault="0002346B" w:rsidP="000234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Priekšlikumi izmaiņām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CDEB" w14:textId="77777777" w:rsidR="0002346B" w:rsidRPr="0002346B" w:rsidRDefault="0002346B" w:rsidP="000234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2014.gada budžets ar izmaiņām</w:t>
            </w:r>
          </w:p>
        </w:tc>
      </w:tr>
      <w:tr w:rsidR="0002346B" w:rsidRPr="0002346B" w14:paraId="5CF7CDF1" w14:textId="77777777" w:rsidTr="0002346B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DED" w14:textId="77777777" w:rsidR="0002346B" w:rsidRPr="0002346B" w:rsidRDefault="0002346B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DEE" w14:textId="77777777" w:rsidR="0002346B" w:rsidRPr="0002346B" w:rsidRDefault="0002346B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DEF" w14:textId="77777777" w:rsidR="0002346B" w:rsidRPr="0002346B" w:rsidRDefault="0002346B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DF0" w14:textId="77777777" w:rsidR="0002346B" w:rsidRPr="0002346B" w:rsidRDefault="0002346B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38089C" w:rsidRPr="0002346B" w14:paraId="5CF7CDF6" w14:textId="77777777" w:rsidTr="005547D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DF2" w14:textId="77777777" w:rsidR="0038089C" w:rsidRPr="0002346B" w:rsidRDefault="0038089C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2"/>
                <w:lang w:eastAsia="lv-LV"/>
              </w:rPr>
              <w:t>Resursi izdevumu segšanai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DF3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1 924 893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DF4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DF5" w14:textId="77777777" w:rsidR="0038089C" w:rsidRPr="0002346B" w:rsidRDefault="0038089C" w:rsidP="00CB40E4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1 924 893</w:t>
            </w:r>
          </w:p>
        </w:tc>
      </w:tr>
      <w:tr w:rsidR="0038089C" w:rsidRPr="0002346B" w14:paraId="5CF7CDFB" w14:textId="77777777" w:rsidTr="005547D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DF7" w14:textId="77777777" w:rsidR="0038089C" w:rsidRPr="0002346B" w:rsidRDefault="0038089C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2"/>
                <w:lang w:eastAsia="lv-LV"/>
              </w:rPr>
              <w:t>Dotācija no vispārējiem ieņēmumiem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DF8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1 924 893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DF9" w14:textId="77777777" w:rsidR="0038089C" w:rsidRPr="0002346B" w:rsidRDefault="0038089C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DFA" w14:textId="77777777" w:rsidR="0038089C" w:rsidRPr="0002346B" w:rsidRDefault="0038089C" w:rsidP="00CB40E4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1 924 893</w:t>
            </w:r>
          </w:p>
        </w:tc>
      </w:tr>
      <w:tr w:rsidR="0038089C" w:rsidRPr="0002346B" w14:paraId="5CF7CE00" w14:textId="77777777" w:rsidTr="005547D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DFC" w14:textId="77777777" w:rsidR="0038089C" w:rsidRPr="0002346B" w:rsidRDefault="0038089C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2"/>
                <w:lang w:eastAsia="lv-LV"/>
              </w:rPr>
              <w:t>Izdevumi kopā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DFD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1 924 893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DFE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DFF" w14:textId="77777777" w:rsidR="0038089C" w:rsidRPr="0002346B" w:rsidRDefault="0038089C" w:rsidP="00CB40E4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1 924 893</w:t>
            </w:r>
          </w:p>
        </w:tc>
      </w:tr>
      <w:tr w:rsidR="0038089C" w:rsidRPr="0002346B" w14:paraId="5CF7CE05" w14:textId="77777777" w:rsidTr="005547D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E01" w14:textId="77777777" w:rsidR="0038089C" w:rsidRPr="0002346B" w:rsidRDefault="0038089C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2"/>
                <w:lang w:eastAsia="lv-LV"/>
              </w:rPr>
              <w:t>Uzturēšanas izdevumi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02" w14:textId="77777777" w:rsidR="0038089C" w:rsidRPr="0002346B" w:rsidRDefault="0038089C" w:rsidP="00987304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1 858 046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03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04" w14:textId="77777777" w:rsidR="0038089C" w:rsidRPr="0002346B" w:rsidRDefault="0038089C" w:rsidP="00CB40E4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1 858 046</w:t>
            </w:r>
          </w:p>
        </w:tc>
      </w:tr>
      <w:tr w:rsidR="0038089C" w:rsidRPr="0002346B" w14:paraId="5CF7CE0A" w14:textId="77777777" w:rsidTr="00A10CB8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E06" w14:textId="77777777" w:rsidR="0038089C" w:rsidRPr="00A10CB8" w:rsidRDefault="0038089C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Kārtējie izdevumi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07" w14:textId="77777777" w:rsidR="0038089C" w:rsidRPr="00A10CB8" w:rsidRDefault="0038089C" w:rsidP="00987304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1 852 559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08" w14:textId="77777777" w:rsidR="0038089C" w:rsidRPr="00A10CB8" w:rsidRDefault="007305AE" w:rsidP="007305AE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09" w14:textId="77777777" w:rsidR="0038089C" w:rsidRPr="00A10CB8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1 753 614</w:t>
            </w:r>
          </w:p>
        </w:tc>
      </w:tr>
      <w:tr w:rsidR="0038089C" w:rsidRPr="0002346B" w14:paraId="5CF7CE0F" w14:textId="77777777" w:rsidTr="00A10CB8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E0B" w14:textId="77777777" w:rsidR="0038089C" w:rsidRPr="00A10CB8" w:rsidRDefault="0038089C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Atlīdzība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0C" w14:textId="77777777" w:rsidR="0038089C" w:rsidRPr="00A10CB8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1 017 906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0D" w14:textId="77777777" w:rsidR="0038089C" w:rsidRPr="00A10CB8" w:rsidRDefault="00F66647" w:rsidP="00A529F1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–</w:t>
            </w:r>
            <w:r w:rsidR="0038089C"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1</w:t>
            </w:r>
            <w:r w:rsidR="00A529F1"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0E" w14:textId="77777777" w:rsidR="0038089C" w:rsidRPr="00A10CB8" w:rsidRDefault="00AF041B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917 906</w:t>
            </w:r>
          </w:p>
        </w:tc>
      </w:tr>
      <w:tr w:rsidR="0038089C" w:rsidRPr="0002346B" w14:paraId="5CF7CE16" w14:textId="77777777" w:rsidTr="00A10CB8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E10" w14:textId="77777777" w:rsidR="0038089C" w:rsidRPr="00A10CB8" w:rsidRDefault="0038089C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       Atalgojums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11" w14:textId="77777777" w:rsidR="0038089C" w:rsidRPr="00A10CB8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508</w:t>
            </w:r>
            <w:r w:rsidR="00AF041B"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  <w:r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12" w14:textId="77777777" w:rsidR="00AF041B" w:rsidRPr="00A10CB8" w:rsidRDefault="00AF041B" w:rsidP="00AF041B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  <w:p w14:paraId="5CF7CE13" w14:textId="77777777" w:rsidR="0038089C" w:rsidRPr="00A10CB8" w:rsidRDefault="00917841" w:rsidP="00AF041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-50 000</w:t>
            </w:r>
          </w:p>
          <w:p w14:paraId="5CF7CE14" w14:textId="77777777" w:rsidR="00917841" w:rsidRPr="00A10CB8" w:rsidRDefault="00917841" w:rsidP="00AF041B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15" w14:textId="77777777" w:rsidR="0038089C" w:rsidRPr="00A10CB8" w:rsidRDefault="00AF041B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10CB8">
              <w:rPr>
                <w:rFonts w:eastAsia="Times New Roman" w:cs="Times New Roman"/>
                <w:color w:val="000000"/>
                <w:sz w:val="22"/>
                <w:lang w:eastAsia="lv-LV"/>
              </w:rPr>
              <w:t>458 304</w:t>
            </w:r>
          </w:p>
        </w:tc>
      </w:tr>
      <w:tr w:rsidR="0038089C" w:rsidRPr="0002346B" w14:paraId="5CF7CE1B" w14:textId="77777777" w:rsidTr="005547D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E17" w14:textId="77777777" w:rsidR="0038089C" w:rsidRPr="0002346B" w:rsidRDefault="0038089C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2"/>
                <w:lang w:eastAsia="lv-LV"/>
              </w:rPr>
              <w:t>Preces un pakalpojumi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18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834 653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19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1A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934 653</w:t>
            </w:r>
          </w:p>
        </w:tc>
      </w:tr>
      <w:tr w:rsidR="0038089C" w:rsidRPr="00686194" w14:paraId="5CF7CE20" w14:textId="77777777" w:rsidTr="005547D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1C" w14:textId="77777777" w:rsidR="0038089C" w:rsidRPr="0002346B" w:rsidRDefault="0038089C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6194">
              <w:rPr>
                <w:rFonts w:eastAsia="Times New Roman" w:cs="Times New Roman"/>
                <w:color w:val="000000"/>
                <w:sz w:val="22"/>
                <w:lang w:eastAsia="lv-LV"/>
              </w:rPr>
              <w:t>Kārtējie maksājumi Eiropas Savienības budžetā un starptautiskā sadarbība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1D" w14:textId="77777777" w:rsidR="0038089C" w:rsidRPr="0002346B" w:rsidRDefault="0038089C" w:rsidP="00987304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1E" w14:textId="77777777" w:rsidR="0038089C" w:rsidRPr="0002346B" w:rsidRDefault="007305AE" w:rsidP="00987304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1F" w14:textId="77777777" w:rsidR="0038089C" w:rsidRPr="0002346B" w:rsidRDefault="007305AE" w:rsidP="00987304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0</w:t>
            </w:r>
          </w:p>
        </w:tc>
      </w:tr>
      <w:tr w:rsidR="0038089C" w:rsidRPr="0002346B" w14:paraId="5CF7CE25" w14:textId="77777777" w:rsidTr="005547D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E21" w14:textId="77777777" w:rsidR="0038089C" w:rsidRPr="0002346B" w:rsidRDefault="0038089C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2"/>
                <w:lang w:eastAsia="lv-LV"/>
              </w:rPr>
              <w:t>Kapitālie izdevumi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22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66 847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23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24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66 847</w:t>
            </w:r>
          </w:p>
        </w:tc>
      </w:tr>
      <w:tr w:rsidR="0038089C" w:rsidRPr="0002346B" w14:paraId="5CF7CE2A" w14:textId="77777777" w:rsidTr="005547D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E26" w14:textId="77777777" w:rsidR="0038089C" w:rsidRPr="0002346B" w:rsidRDefault="0038089C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        Pamatkapitāla veidošana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27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66 847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28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29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66 847</w:t>
            </w:r>
          </w:p>
        </w:tc>
      </w:tr>
      <w:tr w:rsidR="0038089C" w:rsidRPr="0002346B" w14:paraId="5CF7CE2F" w14:textId="77777777" w:rsidTr="005547D4">
        <w:trPr>
          <w:trHeight w:val="12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CE2B" w14:textId="77777777" w:rsidR="0038089C" w:rsidRPr="0002346B" w:rsidRDefault="0038089C" w:rsidP="000234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346B">
              <w:rPr>
                <w:rFonts w:eastAsia="Times New Roman" w:cs="Times New Roman"/>
                <w:color w:val="000000"/>
                <w:sz w:val="22"/>
                <w:lang w:eastAsia="lv-LV"/>
              </w:rPr>
              <w:t>Valsts budžeta transferti valsts budžeta daļēji finansētām atvasinātajām publiskajām personām un budžeta nefinansētām iestādēm noteiktam mērķim (7350 kods)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2C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5487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2D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CE2E" w14:textId="77777777" w:rsidR="0038089C" w:rsidRPr="0002346B" w:rsidRDefault="0038089C" w:rsidP="000234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5487</w:t>
            </w:r>
          </w:p>
        </w:tc>
      </w:tr>
    </w:tbl>
    <w:p w14:paraId="5CF7CE30" w14:textId="77777777" w:rsidR="00686194" w:rsidRDefault="00686194" w:rsidP="00D40D51">
      <w:pPr>
        <w:jc w:val="both"/>
        <w:rPr>
          <w:rFonts w:cs="Times New Roman"/>
          <w:i/>
        </w:rPr>
      </w:pPr>
    </w:p>
    <w:p w14:paraId="5CF7CE31" w14:textId="77777777" w:rsidR="002215A0" w:rsidRPr="0027093C" w:rsidRDefault="00A06272" w:rsidP="000C4C89">
      <w:pPr>
        <w:ind w:firstLine="709"/>
        <w:jc w:val="both"/>
        <w:rPr>
          <w:rFonts w:cs="Times New Roman"/>
          <w:szCs w:val="28"/>
        </w:rPr>
      </w:pPr>
      <w:r w:rsidRPr="0027093C">
        <w:rPr>
          <w:rFonts w:cs="Times New Roman"/>
          <w:szCs w:val="28"/>
        </w:rPr>
        <w:t>P</w:t>
      </w:r>
      <w:r w:rsidR="002215A0" w:rsidRPr="0027093C">
        <w:rPr>
          <w:rFonts w:cs="Times New Roman"/>
          <w:szCs w:val="28"/>
        </w:rPr>
        <w:t xml:space="preserve">apildus </w:t>
      </w:r>
      <w:r w:rsidR="00326FB1" w:rsidRPr="0027093C">
        <w:rPr>
          <w:rFonts w:cs="Times New Roman"/>
          <w:szCs w:val="28"/>
        </w:rPr>
        <w:t>informējam</w:t>
      </w:r>
      <w:r w:rsidR="002215A0" w:rsidRPr="0027093C">
        <w:rPr>
          <w:rFonts w:cs="Times New Roman"/>
          <w:szCs w:val="28"/>
        </w:rPr>
        <w:t xml:space="preserve">, ka </w:t>
      </w:r>
      <w:r w:rsidR="00864881" w:rsidRPr="0027093C">
        <w:rPr>
          <w:rFonts w:cs="Times New Roman"/>
          <w:szCs w:val="28"/>
        </w:rPr>
        <w:t>apropriācijas pārdale neietekmē</w:t>
      </w:r>
      <w:r w:rsidR="002215A0" w:rsidRPr="0027093C">
        <w:rPr>
          <w:rFonts w:cs="Times New Roman"/>
          <w:szCs w:val="28"/>
        </w:rPr>
        <w:t xml:space="preserve"> nākamajiem periodiem noteikto maksimāli pieļaujamo izdevumu </w:t>
      </w:r>
      <w:r w:rsidR="00326FB1" w:rsidRPr="0027093C">
        <w:rPr>
          <w:rFonts w:cs="Times New Roman"/>
          <w:szCs w:val="28"/>
        </w:rPr>
        <w:t>apmēru</w:t>
      </w:r>
      <w:r w:rsidR="002215A0" w:rsidRPr="0027093C">
        <w:rPr>
          <w:rFonts w:cs="Times New Roman"/>
          <w:szCs w:val="28"/>
        </w:rPr>
        <w:t xml:space="preserve"> un nepalielinās iestāžu ilgtermiņa saistību pilnvaru limitus.</w:t>
      </w:r>
    </w:p>
    <w:p w14:paraId="5CF7CE32" w14:textId="77777777" w:rsidR="00BE3DDE" w:rsidRPr="00D15CCD" w:rsidRDefault="00326FB1" w:rsidP="000C4C89">
      <w:pPr>
        <w:ind w:firstLine="709"/>
        <w:jc w:val="both"/>
        <w:rPr>
          <w:rFonts w:cs="Times New Roman"/>
          <w:szCs w:val="28"/>
        </w:rPr>
      </w:pPr>
      <w:r w:rsidRPr="0027093C">
        <w:rPr>
          <w:rFonts w:cs="Times New Roman"/>
          <w:szCs w:val="28"/>
        </w:rPr>
        <w:t>Ievērojot</w:t>
      </w:r>
      <w:r w:rsidR="002215A0" w:rsidRPr="0027093C">
        <w:rPr>
          <w:rFonts w:cs="Times New Roman"/>
          <w:szCs w:val="28"/>
        </w:rPr>
        <w:t xml:space="preserve"> minēto, lūdzam Ministru kabinet</w:t>
      </w:r>
      <w:r w:rsidRPr="0027093C">
        <w:rPr>
          <w:rFonts w:cs="Times New Roman"/>
          <w:szCs w:val="28"/>
        </w:rPr>
        <w:t>u</w:t>
      </w:r>
      <w:r w:rsidR="002215A0" w:rsidRPr="0027093C">
        <w:rPr>
          <w:rFonts w:cs="Times New Roman"/>
          <w:szCs w:val="28"/>
        </w:rPr>
        <w:t xml:space="preserve"> atbalstīt iesniegto priekšlikumu par </w:t>
      </w:r>
      <w:r w:rsidR="009704C6" w:rsidRPr="0027093C">
        <w:rPr>
          <w:rFonts w:cs="Times New Roman"/>
          <w:szCs w:val="28"/>
        </w:rPr>
        <w:t>Zemkopības</w:t>
      </w:r>
      <w:r w:rsidR="002215A0" w:rsidRPr="0027093C">
        <w:rPr>
          <w:rFonts w:cs="Times New Roman"/>
          <w:szCs w:val="28"/>
        </w:rPr>
        <w:t xml:space="preserve"> ministrijas valsts pamatbudžeta programmas </w:t>
      </w:r>
      <w:r w:rsidR="002215A0" w:rsidRPr="0027093C">
        <w:rPr>
          <w:rFonts w:cs="Times New Roman"/>
          <w:szCs w:val="28"/>
        </w:rPr>
        <w:lastRenderedPageBreak/>
        <w:t>96.00.00.</w:t>
      </w:r>
      <w:r w:rsidR="00C522C3" w:rsidRPr="0027093C">
        <w:rPr>
          <w:rFonts w:cs="Times New Roman"/>
          <w:szCs w:val="28"/>
        </w:rPr>
        <w:t xml:space="preserve"> „</w:t>
      </w:r>
      <w:r w:rsidR="002215A0" w:rsidRPr="0027093C">
        <w:rPr>
          <w:rFonts w:cs="Times New Roman"/>
          <w:szCs w:val="28"/>
        </w:rPr>
        <w:t>Latvijas prezidentūras Eiropas Savienības Padomē no</w:t>
      </w:r>
      <w:r w:rsidR="00864881" w:rsidRPr="0027093C">
        <w:rPr>
          <w:rFonts w:cs="Times New Roman"/>
          <w:szCs w:val="28"/>
        </w:rPr>
        <w:t xml:space="preserve">drošināšana 2015.gadā” </w:t>
      </w:r>
      <w:r w:rsidR="002215A0" w:rsidRPr="0027093C">
        <w:rPr>
          <w:rFonts w:cs="Times New Roman"/>
          <w:szCs w:val="28"/>
        </w:rPr>
        <w:t>apropriācijas pārdali starp budžeta izdevumu kodiem atbilstoši ekonomiskajām kategorijām.</w:t>
      </w:r>
    </w:p>
    <w:p w14:paraId="5CF7CE33" w14:textId="77777777" w:rsidR="00A7444B" w:rsidRDefault="00A7444B" w:rsidP="00A7444B">
      <w:pPr>
        <w:ind w:firstLine="720"/>
        <w:jc w:val="both"/>
        <w:rPr>
          <w:rFonts w:cs="Times New Roman"/>
        </w:rPr>
      </w:pPr>
    </w:p>
    <w:p w14:paraId="5CF7CE34" w14:textId="77777777" w:rsidR="00346027" w:rsidRPr="00D15CCD" w:rsidRDefault="00346027" w:rsidP="00A7444B">
      <w:pPr>
        <w:ind w:firstLine="720"/>
        <w:jc w:val="both"/>
        <w:rPr>
          <w:rFonts w:cs="Times New Roman"/>
        </w:rPr>
      </w:pPr>
    </w:p>
    <w:p w14:paraId="5CF7CE35" w14:textId="77777777" w:rsidR="00A7444B" w:rsidRPr="0027516C" w:rsidRDefault="00864881" w:rsidP="0027516C">
      <w:pPr>
        <w:ind w:firstLine="720"/>
        <w:jc w:val="both"/>
        <w:rPr>
          <w:rFonts w:cs="Times New Roman"/>
        </w:rPr>
      </w:pPr>
      <w:r w:rsidRPr="00D15CCD">
        <w:rPr>
          <w:rFonts w:cs="Times New Roman"/>
        </w:rPr>
        <w:t>Zemkopības</w:t>
      </w:r>
      <w:r w:rsidR="00A7444B">
        <w:rPr>
          <w:rFonts w:cs="Times New Roman"/>
        </w:rPr>
        <w:t xml:space="preserve"> ministrs</w:t>
      </w:r>
      <w:r w:rsidR="00A7444B">
        <w:rPr>
          <w:rFonts w:cs="Times New Roman"/>
        </w:rPr>
        <w:tab/>
      </w:r>
      <w:r w:rsidR="00A7444B">
        <w:rPr>
          <w:rFonts w:cs="Times New Roman"/>
        </w:rPr>
        <w:tab/>
      </w:r>
      <w:r w:rsidR="00A7444B">
        <w:rPr>
          <w:rFonts w:cs="Times New Roman"/>
        </w:rPr>
        <w:tab/>
      </w:r>
      <w:r w:rsidR="00A7444B">
        <w:rPr>
          <w:rFonts w:cs="Times New Roman"/>
        </w:rPr>
        <w:tab/>
      </w:r>
      <w:r w:rsidR="00A7444B">
        <w:rPr>
          <w:rFonts w:cs="Times New Roman"/>
        </w:rPr>
        <w:tab/>
      </w:r>
      <w:r w:rsidR="00A7444B">
        <w:rPr>
          <w:rFonts w:cs="Times New Roman"/>
        </w:rPr>
        <w:tab/>
      </w:r>
      <w:r w:rsidR="00A7444B">
        <w:rPr>
          <w:rFonts w:cs="Times New Roman"/>
        </w:rPr>
        <w:tab/>
      </w:r>
      <w:proofErr w:type="spellStart"/>
      <w:r w:rsidRPr="00D15CCD">
        <w:rPr>
          <w:rFonts w:cs="Times New Roman"/>
        </w:rPr>
        <w:t>J.Dūklavs</w:t>
      </w:r>
      <w:proofErr w:type="spellEnd"/>
    </w:p>
    <w:p w14:paraId="5CF7CE36" w14:textId="77777777" w:rsidR="00A7444B" w:rsidRDefault="00A7444B" w:rsidP="00BD58FE">
      <w:pPr>
        <w:jc w:val="both"/>
        <w:rPr>
          <w:rFonts w:cs="Times New Roman"/>
          <w:sz w:val="20"/>
          <w:szCs w:val="20"/>
        </w:rPr>
      </w:pPr>
    </w:p>
    <w:p w14:paraId="497D6518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6A9C1DB6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022CC0B6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09E9C7AF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689E3594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187A57A9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28819DFA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0F964069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1231C5A7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1A78526A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14FE6F92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000AFD53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40A4FEFE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14D725B4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1CCE19D3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29C1664E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7B7E9014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416A55FD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2771952A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4B744652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46BA9E5E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005A492E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22B612B3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3DF81E38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72AC0D40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0F9A163D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14:paraId="2553CA79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1A8B5329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6E01FF25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5DA61192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46FCF3DE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71245FB7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1B78E80B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086AAB84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7F429F4C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39E6173A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4B15E635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617501F6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60D91E65" w14:textId="77777777" w:rsidR="00AD7773" w:rsidRDefault="00AD7773" w:rsidP="00BD58FE">
      <w:pPr>
        <w:jc w:val="both"/>
        <w:rPr>
          <w:rFonts w:cs="Times New Roman"/>
          <w:sz w:val="20"/>
          <w:szCs w:val="20"/>
        </w:rPr>
      </w:pPr>
    </w:p>
    <w:p w14:paraId="046FF557" w14:textId="77777777" w:rsidR="00AD7773" w:rsidRPr="00A7444B" w:rsidRDefault="00AD7773" w:rsidP="00BD58FE">
      <w:pPr>
        <w:jc w:val="both"/>
        <w:rPr>
          <w:rFonts w:cs="Times New Roman"/>
          <w:sz w:val="20"/>
          <w:szCs w:val="20"/>
        </w:rPr>
      </w:pPr>
    </w:p>
    <w:p w14:paraId="5CF7CE37" w14:textId="39803526" w:rsidR="00A7444B" w:rsidRPr="000E00DA" w:rsidRDefault="00A7444B" w:rsidP="00BD58FE">
      <w:pPr>
        <w:jc w:val="both"/>
        <w:rPr>
          <w:rFonts w:cs="Times New Roman"/>
          <w:sz w:val="20"/>
          <w:szCs w:val="20"/>
        </w:rPr>
      </w:pPr>
      <w:r w:rsidRPr="000E00DA">
        <w:rPr>
          <w:rFonts w:cs="Times New Roman"/>
          <w:sz w:val="20"/>
          <w:szCs w:val="20"/>
        </w:rPr>
        <w:t>2014.</w:t>
      </w:r>
      <w:r w:rsidR="0027516C">
        <w:rPr>
          <w:rFonts w:cs="Times New Roman"/>
          <w:sz w:val="20"/>
          <w:szCs w:val="20"/>
        </w:rPr>
        <w:t>1</w:t>
      </w:r>
      <w:r w:rsidR="000E00DA" w:rsidRPr="000E00DA">
        <w:rPr>
          <w:rFonts w:cs="Times New Roman"/>
          <w:sz w:val="20"/>
          <w:szCs w:val="20"/>
        </w:rPr>
        <w:t>1</w:t>
      </w:r>
      <w:r w:rsidR="006D09DF">
        <w:rPr>
          <w:rFonts w:cs="Times New Roman"/>
          <w:sz w:val="20"/>
          <w:szCs w:val="20"/>
        </w:rPr>
        <w:t>.24</w:t>
      </w:r>
      <w:r w:rsidRPr="000E00DA">
        <w:rPr>
          <w:rFonts w:cs="Times New Roman"/>
          <w:sz w:val="20"/>
          <w:szCs w:val="20"/>
        </w:rPr>
        <w:t xml:space="preserve">. </w:t>
      </w:r>
      <w:r w:rsidR="000E00DA" w:rsidRPr="000E00DA">
        <w:rPr>
          <w:rFonts w:cs="Times New Roman"/>
          <w:sz w:val="20"/>
          <w:szCs w:val="20"/>
        </w:rPr>
        <w:t>15:00</w:t>
      </w:r>
    </w:p>
    <w:p w14:paraId="10D44C3F" w14:textId="77777777" w:rsidR="00AD7773" w:rsidRDefault="00AD7773" w:rsidP="00BD58FE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547</w:t>
      </w:r>
      <w:r>
        <w:rPr>
          <w:sz w:val="20"/>
          <w:szCs w:val="20"/>
        </w:rPr>
        <w:fldChar w:fldCharType="end"/>
      </w:r>
    </w:p>
    <w:p w14:paraId="5CF7CE39" w14:textId="3B7DB9C5" w:rsidR="0089485F" w:rsidRPr="000E00DA" w:rsidRDefault="00804915" w:rsidP="00BD58FE">
      <w:pPr>
        <w:jc w:val="both"/>
        <w:rPr>
          <w:rFonts w:cs="Times New Roman"/>
          <w:sz w:val="20"/>
          <w:szCs w:val="20"/>
        </w:rPr>
      </w:pPr>
      <w:r w:rsidRPr="000E00DA">
        <w:rPr>
          <w:rFonts w:cs="Times New Roman"/>
          <w:sz w:val="20"/>
          <w:szCs w:val="20"/>
        </w:rPr>
        <w:t>D.Siliņa</w:t>
      </w:r>
    </w:p>
    <w:p w14:paraId="5CF7CE3A" w14:textId="77777777" w:rsidR="0089485F" w:rsidRPr="00A7444B" w:rsidRDefault="00804915" w:rsidP="00BD58FE">
      <w:pPr>
        <w:jc w:val="both"/>
        <w:rPr>
          <w:rFonts w:cs="Times New Roman"/>
          <w:sz w:val="20"/>
          <w:szCs w:val="20"/>
        </w:rPr>
      </w:pPr>
      <w:r w:rsidRPr="000E00DA">
        <w:rPr>
          <w:rFonts w:cs="Times New Roman"/>
          <w:sz w:val="20"/>
          <w:szCs w:val="20"/>
        </w:rPr>
        <w:t>67878728</w:t>
      </w:r>
      <w:r w:rsidR="00A7444B" w:rsidRPr="000E00DA">
        <w:rPr>
          <w:rFonts w:cs="Times New Roman"/>
          <w:sz w:val="20"/>
          <w:szCs w:val="20"/>
        </w:rPr>
        <w:t>,</w:t>
      </w:r>
      <w:r w:rsidR="0089485F" w:rsidRPr="000E00DA">
        <w:rPr>
          <w:rFonts w:cs="Times New Roman"/>
          <w:sz w:val="20"/>
          <w:szCs w:val="20"/>
        </w:rPr>
        <w:t xml:space="preserve"> </w:t>
      </w:r>
      <w:r w:rsidRPr="000E00DA">
        <w:rPr>
          <w:rFonts w:cs="Times New Roman"/>
          <w:sz w:val="20"/>
          <w:szCs w:val="20"/>
        </w:rPr>
        <w:t>Daina.Silina</w:t>
      </w:r>
      <w:r w:rsidR="00A7444B" w:rsidRPr="000E00DA">
        <w:rPr>
          <w:rFonts w:cs="Times New Roman"/>
          <w:sz w:val="20"/>
          <w:szCs w:val="20"/>
        </w:rPr>
        <w:t>@zm.gov.lv</w:t>
      </w:r>
    </w:p>
    <w:p w14:paraId="5CF7CE3B" w14:textId="77777777" w:rsidR="0089485F" w:rsidRPr="00A7444B" w:rsidRDefault="0089485F" w:rsidP="00864881">
      <w:pPr>
        <w:jc w:val="both"/>
        <w:rPr>
          <w:rFonts w:cs="Times New Roman"/>
          <w:sz w:val="20"/>
          <w:szCs w:val="20"/>
        </w:rPr>
      </w:pPr>
    </w:p>
    <w:p w14:paraId="5CF7CE3C" w14:textId="77777777" w:rsidR="003924AC" w:rsidRPr="00A7444B" w:rsidRDefault="005547D4" w:rsidP="0086488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A.Vīgnere</w:t>
      </w:r>
    </w:p>
    <w:p w14:paraId="5CF7CE3D" w14:textId="77777777" w:rsidR="003924AC" w:rsidRPr="00A7444B" w:rsidRDefault="003924AC" w:rsidP="003924AC">
      <w:pPr>
        <w:jc w:val="both"/>
        <w:rPr>
          <w:rFonts w:cs="Times New Roman"/>
          <w:sz w:val="20"/>
          <w:szCs w:val="20"/>
        </w:rPr>
      </w:pPr>
      <w:r w:rsidRPr="00A7444B">
        <w:rPr>
          <w:rFonts w:cs="Times New Roman"/>
          <w:sz w:val="20"/>
          <w:szCs w:val="20"/>
        </w:rPr>
        <w:t>67027</w:t>
      </w:r>
      <w:r w:rsidR="005547D4">
        <w:rPr>
          <w:rFonts w:cs="Times New Roman"/>
          <w:sz w:val="20"/>
          <w:szCs w:val="20"/>
        </w:rPr>
        <w:t>371</w:t>
      </w:r>
      <w:r w:rsidR="00A7444B" w:rsidRPr="00A7444B">
        <w:rPr>
          <w:rFonts w:cs="Times New Roman"/>
          <w:sz w:val="20"/>
          <w:szCs w:val="20"/>
        </w:rPr>
        <w:t>,</w:t>
      </w:r>
      <w:r w:rsidR="0027516C">
        <w:rPr>
          <w:rFonts w:cs="Times New Roman"/>
          <w:sz w:val="20"/>
          <w:szCs w:val="20"/>
        </w:rPr>
        <w:t xml:space="preserve"> </w:t>
      </w:r>
      <w:r w:rsidR="005547D4">
        <w:rPr>
          <w:rFonts w:cs="Times New Roman"/>
          <w:sz w:val="20"/>
          <w:szCs w:val="20"/>
        </w:rPr>
        <w:t>Aija.Vignere</w:t>
      </w:r>
      <w:r w:rsidRPr="00A7444B">
        <w:rPr>
          <w:rFonts w:cs="Times New Roman"/>
          <w:sz w:val="20"/>
          <w:szCs w:val="20"/>
        </w:rPr>
        <w:t>@zm.gov.lv</w:t>
      </w:r>
    </w:p>
    <w:p w14:paraId="5CF7CE3E" w14:textId="77777777" w:rsidR="00417A43" w:rsidRPr="009A6441" w:rsidRDefault="00417A43" w:rsidP="00864881">
      <w:pPr>
        <w:jc w:val="both"/>
        <w:rPr>
          <w:rFonts w:cs="Times New Roman"/>
          <w:sz w:val="24"/>
          <w:szCs w:val="24"/>
        </w:rPr>
      </w:pPr>
    </w:p>
    <w:sectPr w:rsidR="00417A43" w:rsidRPr="009A6441" w:rsidSect="00BE2362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B0DEE" w14:textId="77777777" w:rsidR="00AC6966" w:rsidRDefault="00AC6966" w:rsidP="00504302">
      <w:r>
        <w:separator/>
      </w:r>
    </w:p>
  </w:endnote>
  <w:endnote w:type="continuationSeparator" w:id="0">
    <w:p w14:paraId="614BCE28" w14:textId="77777777" w:rsidR="00AC6966" w:rsidRDefault="00AC6966" w:rsidP="0050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CE45" w14:textId="0414B962" w:rsidR="00286D60" w:rsidRDefault="00AE6188" w:rsidP="00AC5D9A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ZMzino_</w:t>
    </w:r>
    <w:r w:rsidR="0027516C">
      <w:rPr>
        <w:sz w:val="20"/>
        <w:szCs w:val="20"/>
      </w:rPr>
      <w:t>2</w:t>
    </w:r>
    <w:r w:rsidR="006D09DF">
      <w:rPr>
        <w:sz w:val="20"/>
        <w:szCs w:val="20"/>
      </w:rPr>
      <w:t>4</w:t>
    </w:r>
    <w:r w:rsidR="000E00DA">
      <w:rPr>
        <w:sz w:val="20"/>
        <w:szCs w:val="20"/>
      </w:rPr>
      <w:t>112014</w:t>
    </w:r>
    <w:r w:rsidR="00286D60">
      <w:rPr>
        <w:sz w:val="20"/>
        <w:szCs w:val="20"/>
      </w:rPr>
      <w:t xml:space="preserve">_prezidentES; Informatīvais ziņojums ”Par Zemkopības ministrijas valsts pamatbudžeta programmas 96.00.00. „Latvijas prezidentūras Eiropas Savienības Padomē nodrošināšana </w:t>
    </w:r>
    <w:proofErr w:type="gramStart"/>
    <w:r w:rsidR="00286D60">
      <w:rPr>
        <w:sz w:val="20"/>
        <w:szCs w:val="20"/>
      </w:rPr>
      <w:t>2015.gadā</w:t>
    </w:r>
    <w:proofErr w:type="gramEnd"/>
    <w:r w:rsidR="00286D60">
      <w:rPr>
        <w:sz w:val="20"/>
        <w:szCs w:val="20"/>
      </w:rPr>
      <w:t>” apropriācijas pārdali starp budžeta izdevumu kodiem atbilstoši ekonomiskajām kategorijām”</w:t>
    </w:r>
  </w:p>
  <w:p w14:paraId="5CF7CE46" w14:textId="77777777" w:rsidR="00A7444B" w:rsidRDefault="00A7444B" w:rsidP="00AC5D9A">
    <w:pPr>
      <w:pStyle w:val="Kjene"/>
      <w:jc w:val="both"/>
      <w:rPr>
        <w:sz w:val="20"/>
        <w:szCs w:val="20"/>
      </w:rPr>
    </w:pPr>
  </w:p>
  <w:p w14:paraId="5CF7CE47" w14:textId="77777777" w:rsidR="00A7444B" w:rsidRDefault="00A7444B" w:rsidP="00AC5D9A">
    <w:pPr>
      <w:pStyle w:val="Kjene"/>
      <w:jc w:val="both"/>
      <w:rPr>
        <w:sz w:val="20"/>
        <w:szCs w:val="20"/>
      </w:rPr>
    </w:pPr>
  </w:p>
  <w:p w14:paraId="5CF7CE48" w14:textId="77777777" w:rsidR="00286D60" w:rsidRDefault="00286D6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CE49" w14:textId="6F3D5453" w:rsidR="00286D60" w:rsidRPr="00AC5D9A" w:rsidRDefault="00AE6188" w:rsidP="00AC5D9A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ZMzino_</w:t>
    </w:r>
    <w:r w:rsidR="006D09DF">
      <w:rPr>
        <w:sz w:val="20"/>
        <w:szCs w:val="20"/>
      </w:rPr>
      <w:t>24</w:t>
    </w:r>
    <w:r w:rsidR="00E5435F">
      <w:rPr>
        <w:sz w:val="20"/>
        <w:szCs w:val="20"/>
      </w:rPr>
      <w:t>1</w:t>
    </w:r>
    <w:r w:rsidR="0027516C">
      <w:rPr>
        <w:sz w:val="20"/>
        <w:szCs w:val="20"/>
      </w:rPr>
      <w:t>1</w:t>
    </w:r>
    <w:r w:rsidR="00286D60">
      <w:rPr>
        <w:sz w:val="20"/>
        <w:szCs w:val="20"/>
      </w:rPr>
      <w:t xml:space="preserve">14_prezidentES; Informatīvais ziņojums „Par Zemkopības ministrijas valsts pamatbudžeta programmas 96.00.00. „Latvijas prezidentūras Eiropas Savienības Padomē nodrošināšana </w:t>
    </w:r>
    <w:proofErr w:type="gramStart"/>
    <w:r w:rsidR="00286D60">
      <w:rPr>
        <w:sz w:val="20"/>
        <w:szCs w:val="20"/>
      </w:rPr>
      <w:t>2015.gadā</w:t>
    </w:r>
    <w:proofErr w:type="gramEnd"/>
    <w:r w:rsidR="00286D60">
      <w:rPr>
        <w:sz w:val="20"/>
        <w:szCs w:val="20"/>
      </w:rPr>
      <w:t>” apropriācijas pārdali starp budžeta izdevumu kodiem atbilstoši ekonomiskajām kategorijām”</w:t>
    </w:r>
  </w:p>
  <w:p w14:paraId="5CF7CE4A" w14:textId="77777777" w:rsidR="00286D60" w:rsidRDefault="00286D60">
    <w:pPr>
      <w:pStyle w:val="Kjene"/>
    </w:pPr>
  </w:p>
  <w:p w14:paraId="5CF7CE4B" w14:textId="77777777" w:rsidR="00A7444B" w:rsidRDefault="00A7444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863BA" w14:textId="77777777" w:rsidR="00AC6966" w:rsidRDefault="00AC6966" w:rsidP="00504302">
      <w:r>
        <w:separator/>
      </w:r>
    </w:p>
  </w:footnote>
  <w:footnote w:type="continuationSeparator" w:id="0">
    <w:p w14:paraId="3FEA2CF3" w14:textId="77777777" w:rsidR="00AC6966" w:rsidRDefault="00AC6966" w:rsidP="0050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733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F7CE43" w14:textId="77777777" w:rsidR="00286D60" w:rsidRDefault="004F51CF">
        <w:pPr>
          <w:pStyle w:val="Galvene"/>
          <w:jc w:val="center"/>
        </w:pPr>
        <w:r>
          <w:fldChar w:fldCharType="begin"/>
        </w:r>
        <w:r w:rsidR="00286D60">
          <w:instrText xml:space="preserve"> PAGE   \* MERGEFORMAT </w:instrText>
        </w:r>
        <w:r>
          <w:fldChar w:fldCharType="separate"/>
        </w:r>
        <w:r w:rsidR="004324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F7CE44" w14:textId="77777777" w:rsidR="00286D60" w:rsidRDefault="00286D6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70A0"/>
    <w:multiLevelType w:val="hybridMultilevel"/>
    <w:tmpl w:val="0740640A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9FA6982"/>
    <w:multiLevelType w:val="hybridMultilevel"/>
    <w:tmpl w:val="455658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6D98"/>
    <w:multiLevelType w:val="hybridMultilevel"/>
    <w:tmpl w:val="71EE49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A58B0"/>
    <w:multiLevelType w:val="hybridMultilevel"/>
    <w:tmpl w:val="B6DA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3205"/>
    <w:multiLevelType w:val="hybridMultilevel"/>
    <w:tmpl w:val="5DC82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433C"/>
    <w:multiLevelType w:val="hybridMultilevel"/>
    <w:tmpl w:val="4D58BAA8"/>
    <w:lvl w:ilvl="0" w:tplc="A62EE72C">
      <w:start w:val="513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247431"/>
    <w:multiLevelType w:val="hybridMultilevel"/>
    <w:tmpl w:val="D0A00F82"/>
    <w:lvl w:ilvl="0" w:tplc="8DCEA99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B148D"/>
    <w:multiLevelType w:val="hybridMultilevel"/>
    <w:tmpl w:val="1132139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5838E9"/>
    <w:multiLevelType w:val="hybridMultilevel"/>
    <w:tmpl w:val="07E8A61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7B4146"/>
    <w:multiLevelType w:val="hybridMultilevel"/>
    <w:tmpl w:val="3B245BCC"/>
    <w:lvl w:ilvl="0" w:tplc="A62EE72C">
      <w:start w:val="5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3426ED"/>
    <w:multiLevelType w:val="multilevel"/>
    <w:tmpl w:val="78B6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6827427"/>
    <w:multiLevelType w:val="hybridMultilevel"/>
    <w:tmpl w:val="8B76D8D4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7E11CCB"/>
    <w:multiLevelType w:val="hybridMultilevel"/>
    <w:tmpl w:val="58C63E76"/>
    <w:lvl w:ilvl="0" w:tplc="016CD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41C15"/>
    <w:multiLevelType w:val="hybridMultilevel"/>
    <w:tmpl w:val="33BCFF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B487C"/>
    <w:multiLevelType w:val="hybridMultilevel"/>
    <w:tmpl w:val="F4D2A3AE"/>
    <w:lvl w:ilvl="0" w:tplc="9062915E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D51"/>
    <w:rsid w:val="000013A3"/>
    <w:rsid w:val="000125C8"/>
    <w:rsid w:val="0002214B"/>
    <w:rsid w:val="0002346B"/>
    <w:rsid w:val="000420EB"/>
    <w:rsid w:val="000465DF"/>
    <w:rsid w:val="000674AE"/>
    <w:rsid w:val="0008086F"/>
    <w:rsid w:val="00084580"/>
    <w:rsid w:val="000914B5"/>
    <w:rsid w:val="000A077A"/>
    <w:rsid w:val="000A68B4"/>
    <w:rsid w:val="000B1552"/>
    <w:rsid w:val="000B5DBC"/>
    <w:rsid w:val="000C3AFE"/>
    <w:rsid w:val="000C3C80"/>
    <w:rsid w:val="000C415C"/>
    <w:rsid w:val="000C4C89"/>
    <w:rsid w:val="000E00DA"/>
    <w:rsid w:val="000E01F8"/>
    <w:rsid w:val="000E6C4D"/>
    <w:rsid w:val="000E6D52"/>
    <w:rsid w:val="000F01B0"/>
    <w:rsid w:val="000F4C78"/>
    <w:rsid w:val="000F7785"/>
    <w:rsid w:val="00111185"/>
    <w:rsid w:val="00115B50"/>
    <w:rsid w:val="00134517"/>
    <w:rsid w:val="001410B0"/>
    <w:rsid w:val="00141D64"/>
    <w:rsid w:val="00152E1C"/>
    <w:rsid w:val="00157A34"/>
    <w:rsid w:val="00162069"/>
    <w:rsid w:val="00174A9A"/>
    <w:rsid w:val="001811F3"/>
    <w:rsid w:val="0018522B"/>
    <w:rsid w:val="00193846"/>
    <w:rsid w:val="001A2C85"/>
    <w:rsid w:val="001C280B"/>
    <w:rsid w:val="001C7E2E"/>
    <w:rsid w:val="00202048"/>
    <w:rsid w:val="00207A83"/>
    <w:rsid w:val="00214262"/>
    <w:rsid w:val="002215A0"/>
    <w:rsid w:val="002242E4"/>
    <w:rsid w:val="002306EE"/>
    <w:rsid w:val="00232562"/>
    <w:rsid w:val="00232DAE"/>
    <w:rsid w:val="00241F3A"/>
    <w:rsid w:val="00247352"/>
    <w:rsid w:val="00247DE3"/>
    <w:rsid w:val="00251EE2"/>
    <w:rsid w:val="0025644B"/>
    <w:rsid w:val="00263867"/>
    <w:rsid w:val="00263E57"/>
    <w:rsid w:val="00265CAE"/>
    <w:rsid w:val="002676EA"/>
    <w:rsid w:val="0027093C"/>
    <w:rsid w:val="0027516C"/>
    <w:rsid w:val="00285111"/>
    <w:rsid w:val="00285967"/>
    <w:rsid w:val="00286D60"/>
    <w:rsid w:val="002873D9"/>
    <w:rsid w:val="002A216D"/>
    <w:rsid w:val="002B2AFA"/>
    <w:rsid w:val="002B5742"/>
    <w:rsid w:val="002B5D48"/>
    <w:rsid w:val="002B62FD"/>
    <w:rsid w:val="002C3AF0"/>
    <w:rsid w:val="002E4AC7"/>
    <w:rsid w:val="003137CA"/>
    <w:rsid w:val="003224E3"/>
    <w:rsid w:val="00325782"/>
    <w:rsid w:val="00326FB1"/>
    <w:rsid w:val="0034075F"/>
    <w:rsid w:val="00341DC7"/>
    <w:rsid w:val="00344AE6"/>
    <w:rsid w:val="00346027"/>
    <w:rsid w:val="00351042"/>
    <w:rsid w:val="0035566A"/>
    <w:rsid w:val="0036074A"/>
    <w:rsid w:val="00365775"/>
    <w:rsid w:val="0038089C"/>
    <w:rsid w:val="00380E63"/>
    <w:rsid w:val="003912E0"/>
    <w:rsid w:val="0039216A"/>
    <w:rsid w:val="003924AC"/>
    <w:rsid w:val="00395338"/>
    <w:rsid w:val="00397686"/>
    <w:rsid w:val="003A63BA"/>
    <w:rsid w:val="003A73CF"/>
    <w:rsid w:val="003B1493"/>
    <w:rsid w:val="003B1FAE"/>
    <w:rsid w:val="003B218C"/>
    <w:rsid w:val="003B33DC"/>
    <w:rsid w:val="003B69A0"/>
    <w:rsid w:val="003C056E"/>
    <w:rsid w:val="003C2B5E"/>
    <w:rsid w:val="003C52B0"/>
    <w:rsid w:val="003D6117"/>
    <w:rsid w:val="003E19D4"/>
    <w:rsid w:val="003E754F"/>
    <w:rsid w:val="003E7FE2"/>
    <w:rsid w:val="003F0501"/>
    <w:rsid w:val="003F528C"/>
    <w:rsid w:val="003F5AEB"/>
    <w:rsid w:val="004033D0"/>
    <w:rsid w:val="004175DC"/>
    <w:rsid w:val="00417A43"/>
    <w:rsid w:val="004324E8"/>
    <w:rsid w:val="004538E9"/>
    <w:rsid w:val="004539D8"/>
    <w:rsid w:val="00463AA7"/>
    <w:rsid w:val="004817A9"/>
    <w:rsid w:val="004828B2"/>
    <w:rsid w:val="004B1179"/>
    <w:rsid w:val="004B1A9D"/>
    <w:rsid w:val="004B20F6"/>
    <w:rsid w:val="004B575D"/>
    <w:rsid w:val="004C3685"/>
    <w:rsid w:val="004E3263"/>
    <w:rsid w:val="004E38B0"/>
    <w:rsid w:val="004E5F72"/>
    <w:rsid w:val="004F51CF"/>
    <w:rsid w:val="00504302"/>
    <w:rsid w:val="00510D29"/>
    <w:rsid w:val="00512C22"/>
    <w:rsid w:val="005254EB"/>
    <w:rsid w:val="00542335"/>
    <w:rsid w:val="00551494"/>
    <w:rsid w:val="00553396"/>
    <w:rsid w:val="005547D4"/>
    <w:rsid w:val="0057232C"/>
    <w:rsid w:val="00576F37"/>
    <w:rsid w:val="00587D2C"/>
    <w:rsid w:val="00592AA0"/>
    <w:rsid w:val="00592B69"/>
    <w:rsid w:val="00595B5B"/>
    <w:rsid w:val="005B1ED1"/>
    <w:rsid w:val="005C0155"/>
    <w:rsid w:val="005C33D4"/>
    <w:rsid w:val="005D0241"/>
    <w:rsid w:val="00620017"/>
    <w:rsid w:val="00627107"/>
    <w:rsid w:val="0064153A"/>
    <w:rsid w:val="00657E0C"/>
    <w:rsid w:val="006655D0"/>
    <w:rsid w:val="00671078"/>
    <w:rsid w:val="0068134F"/>
    <w:rsid w:val="00686194"/>
    <w:rsid w:val="006904DD"/>
    <w:rsid w:val="006A1640"/>
    <w:rsid w:val="006A19A9"/>
    <w:rsid w:val="006A2560"/>
    <w:rsid w:val="006A4F39"/>
    <w:rsid w:val="006B1C10"/>
    <w:rsid w:val="006C018F"/>
    <w:rsid w:val="006C32A0"/>
    <w:rsid w:val="006C50FB"/>
    <w:rsid w:val="006C6929"/>
    <w:rsid w:val="006D09DF"/>
    <w:rsid w:val="006D3CB8"/>
    <w:rsid w:val="006E6598"/>
    <w:rsid w:val="006E79BB"/>
    <w:rsid w:val="006F3279"/>
    <w:rsid w:val="006F5C62"/>
    <w:rsid w:val="007110ED"/>
    <w:rsid w:val="00713C1F"/>
    <w:rsid w:val="00726CB5"/>
    <w:rsid w:val="007305AE"/>
    <w:rsid w:val="007321D0"/>
    <w:rsid w:val="0073436A"/>
    <w:rsid w:val="007365F1"/>
    <w:rsid w:val="0074068C"/>
    <w:rsid w:val="00752D53"/>
    <w:rsid w:val="00754F0A"/>
    <w:rsid w:val="007559BC"/>
    <w:rsid w:val="00780232"/>
    <w:rsid w:val="00780604"/>
    <w:rsid w:val="007A09AA"/>
    <w:rsid w:val="007B27E0"/>
    <w:rsid w:val="007B70B6"/>
    <w:rsid w:val="007C157E"/>
    <w:rsid w:val="007D37F8"/>
    <w:rsid w:val="007D5985"/>
    <w:rsid w:val="007D5DB9"/>
    <w:rsid w:val="007F19BC"/>
    <w:rsid w:val="007F65C4"/>
    <w:rsid w:val="00804915"/>
    <w:rsid w:val="00812F58"/>
    <w:rsid w:val="00823EFC"/>
    <w:rsid w:val="00824E1D"/>
    <w:rsid w:val="008259F5"/>
    <w:rsid w:val="00832B1F"/>
    <w:rsid w:val="00834A0D"/>
    <w:rsid w:val="00835D03"/>
    <w:rsid w:val="00841153"/>
    <w:rsid w:val="008426A1"/>
    <w:rsid w:val="00842C84"/>
    <w:rsid w:val="00843493"/>
    <w:rsid w:val="00844DC9"/>
    <w:rsid w:val="00864881"/>
    <w:rsid w:val="00871A6A"/>
    <w:rsid w:val="00874682"/>
    <w:rsid w:val="00890722"/>
    <w:rsid w:val="00892D79"/>
    <w:rsid w:val="0089485F"/>
    <w:rsid w:val="008A684E"/>
    <w:rsid w:val="008A7E79"/>
    <w:rsid w:val="008B2700"/>
    <w:rsid w:val="008B33D2"/>
    <w:rsid w:val="008D016C"/>
    <w:rsid w:val="008D327D"/>
    <w:rsid w:val="008D328A"/>
    <w:rsid w:val="008E0121"/>
    <w:rsid w:val="008E0C84"/>
    <w:rsid w:val="008E3ECB"/>
    <w:rsid w:val="008E6466"/>
    <w:rsid w:val="00900D2C"/>
    <w:rsid w:val="00901A93"/>
    <w:rsid w:val="00907290"/>
    <w:rsid w:val="00911485"/>
    <w:rsid w:val="00913479"/>
    <w:rsid w:val="00917841"/>
    <w:rsid w:val="00925206"/>
    <w:rsid w:val="0092734B"/>
    <w:rsid w:val="00931714"/>
    <w:rsid w:val="00933A92"/>
    <w:rsid w:val="00947D9C"/>
    <w:rsid w:val="00956F43"/>
    <w:rsid w:val="009704C6"/>
    <w:rsid w:val="009814AA"/>
    <w:rsid w:val="00983691"/>
    <w:rsid w:val="00986937"/>
    <w:rsid w:val="00987304"/>
    <w:rsid w:val="00996888"/>
    <w:rsid w:val="00996A16"/>
    <w:rsid w:val="00996C60"/>
    <w:rsid w:val="009A6441"/>
    <w:rsid w:val="009B51D8"/>
    <w:rsid w:val="009C27EC"/>
    <w:rsid w:val="009C380D"/>
    <w:rsid w:val="009D539C"/>
    <w:rsid w:val="009D7245"/>
    <w:rsid w:val="009E3CFA"/>
    <w:rsid w:val="009E5261"/>
    <w:rsid w:val="009E6A6F"/>
    <w:rsid w:val="00A0225B"/>
    <w:rsid w:val="00A03921"/>
    <w:rsid w:val="00A05B39"/>
    <w:rsid w:val="00A06272"/>
    <w:rsid w:val="00A07B70"/>
    <w:rsid w:val="00A103B1"/>
    <w:rsid w:val="00A10CB8"/>
    <w:rsid w:val="00A10CD6"/>
    <w:rsid w:val="00A10D17"/>
    <w:rsid w:val="00A124F7"/>
    <w:rsid w:val="00A131DF"/>
    <w:rsid w:val="00A148B0"/>
    <w:rsid w:val="00A31A50"/>
    <w:rsid w:val="00A43C69"/>
    <w:rsid w:val="00A51287"/>
    <w:rsid w:val="00A529F1"/>
    <w:rsid w:val="00A61741"/>
    <w:rsid w:val="00A63ABF"/>
    <w:rsid w:val="00A66BF7"/>
    <w:rsid w:val="00A7444B"/>
    <w:rsid w:val="00A74E40"/>
    <w:rsid w:val="00A764F5"/>
    <w:rsid w:val="00A7744B"/>
    <w:rsid w:val="00A807F9"/>
    <w:rsid w:val="00A837A1"/>
    <w:rsid w:val="00A87BE4"/>
    <w:rsid w:val="00A9459B"/>
    <w:rsid w:val="00AA0475"/>
    <w:rsid w:val="00AC5D9A"/>
    <w:rsid w:val="00AC6966"/>
    <w:rsid w:val="00AD7773"/>
    <w:rsid w:val="00AE6188"/>
    <w:rsid w:val="00AF041B"/>
    <w:rsid w:val="00AF2841"/>
    <w:rsid w:val="00B0023D"/>
    <w:rsid w:val="00B0154F"/>
    <w:rsid w:val="00B17479"/>
    <w:rsid w:val="00B21A9B"/>
    <w:rsid w:val="00B3024A"/>
    <w:rsid w:val="00B41D89"/>
    <w:rsid w:val="00B430C2"/>
    <w:rsid w:val="00B4707C"/>
    <w:rsid w:val="00B658C6"/>
    <w:rsid w:val="00B85114"/>
    <w:rsid w:val="00B8754E"/>
    <w:rsid w:val="00B969AD"/>
    <w:rsid w:val="00BA06F9"/>
    <w:rsid w:val="00BA579D"/>
    <w:rsid w:val="00BA5E49"/>
    <w:rsid w:val="00BB28E6"/>
    <w:rsid w:val="00BB4A87"/>
    <w:rsid w:val="00BC2C64"/>
    <w:rsid w:val="00BC4427"/>
    <w:rsid w:val="00BD58FE"/>
    <w:rsid w:val="00BD7C83"/>
    <w:rsid w:val="00BD7F5C"/>
    <w:rsid w:val="00BE0AD1"/>
    <w:rsid w:val="00BE2362"/>
    <w:rsid w:val="00BE3DDE"/>
    <w:rsid w:val="00C01A8D"/>
    <w:rsid w:val="00C02A3F"/>
    <w:rsid w:val="00C13AA3"/>
    <w:rsid w:val="00C16FB4"/>
    <w:rsid w:val="00C202ED"/>
    <w:rsid w:val="00C21466"/>
    <w:rsid w:val="00C335CD"/>
    <w:rsid w:val="00C45C7C"/>
    <w:rsid w:val="00C522C3"/>
    <w:rsid w:val="00C5364E"/>
    <w:rsid w:val="00C648D3"/>
    <w:rsid w:val="00C66904"/>
    <w:rsid w:val="00C714A2"/>
    <w:rsid w:val="00C8458D"/>
    <w:rsid w:val="00C85F02"/>
    <w:rsid w:val="00CA4F7B"/>
    <w:rsid w:val="00CB7537"/>
    <w:rsid w:val="00CC0CAA"/>
    <w:rsid w:val="00CC25A6"/>
    <w:rsid w:val="00CE00EE"/>
    <w:rsid w:val="00CE0548"/>
    <w:rsid w:val="00D019B3"/>
    <w:rsid w:val="00D03917"/>
    <w:rsid w:val="00D114F8"/>
    <w:rsid w:val="00D1470E"/>
    <w:rsid w:val="00D15CCD"/>
    <w:rsid w:val="00D21FFA"/>
    <w:rsid w:val="00D22AF2"/>
    <w:rsid w:val="00D25265"/>
    <w:rsid w:val="00D30EDF"/>
    <w:rsid w:val="00D40D51"/>
    <w:rsid w:val="00D44839"/>
    <w:rsid w:val="00D45814"/>
    <w:rsid w:val="00D52B54"/>
    <w:rsid w:val="00D55588"/>
    <w:rsid w:val="00D657B8"/>
    <w:rsid w:val="00D65F77"/>
    <w:rsid w:val="00D71129"/>
    <w:rsid w:val="00D81060"/>
    <w:rsid w:val="00D8228D"/>
    <w:rsid w:val="00D87CBC"/>
    <w:rsid w:val="00DA7200"/>
    <w:rsid w:val="00DB5172"/>
    <w:rsid w:val="00DC1BB7"/>
    <w:rsid w:val="00DC2055"/>
    <w:rsid w:val="00DD37BC"/>
    <w:rsid w:val="00DE7B4B"/>
    <w:rsid w:val="00E050FA"/>
    <w:rsid w:val="00E07FD2"/>
    <w:rsid w:val="00E37201"/>
    <w:rsid w:val="00E463EF"/>
    <w:rsid w:val="00E5435F"/>
    <w:rsid w:val="00E72583"/>
    <w:rsid w:val="00E74E5A"/>
    <w:rsid w:val="00E81D2D"/>
    <w:rsid w:val="00E94BDB"/>
    <w:rsid w:val="00EA089A"/>
    <w:rsid w:val="00EB217E"/>
    <w:rsid w:val="00EB3226"/>
    <w:rsid w:val="00EC4371"/>
    <w:rsid w:val="00ED06D7"/>
    <w:rsid w:val="00ED0C9D"/>
    <w:rsid w:val="00ED1D57"/>
    <w:rsid w:val="00EE21B4"/>
    <w:rsid w:val="00EE5F23"/>
    <w:rsid w:val="00EF509E"/>
    <w:rsid w:val="00F157DA"/>
    <w:rsid w:val="00F168D8"/>
    <w:rsid w:val="00F2115D"/>
    <w:rsid w:val="00F26067"/>
    <w:rsid w:val="00F34B3E"/>
    <w:rsid w:val="00F44BD1"/>
    <w:rsid w:val="00F51BD7"/>
    <w:rsid w:val="00F52A29"/>
    <w:rsid w:val="00F54722"/>
    <w:rsid w:val="00F6212F"/>
    <w:rsid w:val="00F66647"/>
    <w:rsid w:val="00F66923"/>
    <w:rsid w:val="00F7441C"/>
    <w:rsid w:val="00F74511"/>
    <w:rsid w:val="00F806AB"/>
    <w:rsid w:val="00F91C6A"/>
    <w:rsid w:val="00F95556"/>
    <w:rsid w:val="00F970E5"/>
    <w:rsid w:val="00FA56D5"/>
    <w:rsid w:val="00FA7D67"/>
    <w:rsid w:val="00FB688A"/>
    <w:rsid w:val="00FC5206"/>
    <w:rsid w:val="00FC542A"/>
    <w:rsid w:val="00FD38F7"/>
    <w:rsid w:val="00FD7E4E"/>
    <w:rsid w:val="00FE549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7CDD0"/>
  <w15:docId w15:val="{DE8CE7D5-7F70-4591-99C9-2FDEAA4B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51C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0430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4302"/>
  </w:style>
  <w:style w:type="paragraph" w:styleId="Kjene">
    <w:name w:val="footer"/>
    <w:basedOn w:val="Parasts"/>
    <w:link w:val="KjeneRakstz"/>
    <w:unhideWhenUsed/>
    <w:rsid w:val="0050430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04302"/>
  </w:style>
  <w:style w:type="paragraph" w:styleId="Sarakstarindkopa">
    <w:name w:val="List Paragraph"/>
    <w:basedOn w:val="Parasts"/>
    <w:uiPriority w:val="34"/>
    <w:qFormat/>
    <w:rsid w:val="008A7E79"/>
    <w:pPr>
      <w:ind w:left="720"/>
      <w:contextualSpacing/>
    </w:pPr>
  </w:style>
  <w:style w:type="table" w:styleId="Reatabula">
    <w:name w:val="Table Grid"/>
    <w:basedOn w:val="Parastatabula"/>
    <w:uiPriority w:val="59"/>
    <w:rsid w:val="00983691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157D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57DA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42C8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42C8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42C8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42C8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42C84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152E1C"/>
    <w:rPr>
      <w:color w:val="0000FF" w:themeColor="hyperlink"/>
      <w:u w:val="single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8648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648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1">
    <w:name w:val="List Paragraph1"/>
    <w:basedOn w:val="Parasts"/>
    <w:uiPriority w:val="34"/>
    <w:qFormat/>
    <w:rsid w:val="00A837A1"/>
    <w:pPr>
      <w:ind w:left="720"/>
      <w:contextualSpacing/>
    </w:pPr>
    <w:rPr>
      <w:rFonts w:eastAsia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82A1-9A58-4F75-9A3C-E9843E55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4111</Characters>
  <Application>Microsoft Office Word</Application>
  <DocSecurity>0</DocSecurity>
  <Lines>205</Lines>
  <Paragraphs>77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Silina</dc:creator>
  <cp:lastModifiedBy>Renārs Žagars</cp:lastModifiedBy>
  <cp:revision>12</cp:revision>
  <cp:lastPrinted>2014-11-06T11:30:00Z</cp:lastPrinted>
  <dcterms:created xsi:type="dcterms:W3CDTF">2014-11-24T11:15:00Z</dcterms:created>
  <dcterms:modified xsi:type="dcterms:W3CDTF">2014-11-24T14:46:00Z</dcterms:modified>
</cp:coreProperties>
</file>