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1F0F4" w14:textId="77777777" w:rsidR="00124DE3" w:rsidRPr="003F7E1D" w:rsidRDefault="00002BA8" w:rsidP="005B5981">
      <w:pPr>
        <w:jc w:val="center"/>
        <w:rPr>
          <w:b/>
          <w:sz w:val="28"/>
        </w:rPr>
      </w:pPr>
      <w:bookmarkStart w:id="0" w:name="_GoBack"/>
      <w:bookmarkEnd w:id="0"/>
      <w:r w:rsidRPr="003F7E1D">
        <w:rPr>
          <w:b/>
          <w:sz w:val="28"/>
        </w:rPr>
        <w:t>Likumprojekta</w:t>
      </w:r>
      <w:r w:rsidR="000F7FEB">
        <w:rPr>
          <w:b/>
          <w:sz w:val="28"/>
        </w:rPr>
        <w:t xml:space="preserve"> </w:t>
      </w:r>
      <w:r w:rsidRPr="003F7E1D">
        <w:rPr>
          <w:b/>
          <w:sz w:val="28"/>
        </w:rPr>
        <w:t>„Grozījumi likumā „Par nodokļiem un nodevām”</w:t>
      </w:r>
      <w:r w:rsidR="00FB42BE">
        <w:rPr>
          <w:b/>
          <w:sz w:val="28"/>
        </w:rPr>
        <w:t>”</w:t>
      </w:r>
      <w:r w:rsidRPr="003F7E1D">
        <w:rPr>
          <w:b/>
          <w:sz w:val="28"/>
        </w:rPr>
        <w:t xml:space="preserve"> sākotnējās ietekmes novērtējuma ziņojums </w:t>
      </w:r>
      <w:r w:rsidR="0097313A" w:rsidRPr="003F7E1D">
        <w:rPr>
          <w:b/>
          <w:sz w:val="28"/>
        </w:rPr>
        <w:t>(anotācija)</w:t>
      </w:r>
    </w:p>
    <w:p w14:paraId="1F71F0F5" w14:textId="77777777" w:rsidR="00EB09A4" w:rsidRPr="003F7E1D" w:rsidRDefault="00EB09A4" w:rsidP="005B5981">
      <w:pPr>
        <w:ind w:firstLine="300"/>
        <w:jc w:val="center"/>
        <w:rPr>
          <w:iCs/>
          <w:color w:val="414142"/>
        </w:rPr>
      </w:pPr>
      <w:bookmarkStart w:id="1" w:name="468683"/>
      <w:bookmarkEnd w:id="1"/>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9"/>
        <w:gridCol w:w="2679"/>
        <w:gridCol w:w="6011"/>
      </w:tblGrid>
      <w:tr w:rsidR="00A844B0" w:rsidRPr="003F7E1D" w14:paraId="1F71F0F7" w14:textId="77777777" w:rsidTr="005B5981">
        <w:trPr>
          <w:trHeight w:val="324"/>
          <w:tblCellSpacing w:w="15" w:type="dxa"/>
        </w:trPr>
        <w:tc>
          <w:tcPr>
            <w:tcW w:w="0" w:type="auto"/>
            <w:gridSpan w:val="3"/>
            <w:vAlign w:val="center"/>
            <w:hideMark/>
          </w:tcPr>
          <w:p w14:paraId="1F71F0F6" w14:textId="77777777" w:rsidR="00EB09A4" w:rsidRPr="003F7E1D" w:rsidRDefault="00EB09A4" w:rsidP="00645789">
            <w:pPr>
              <w:jc w:val="center"/>
              <w:rPr>
                <w:b/>
                <w:bCs/>
              </w:rPr>
            </w:pPr>
            <w:r w:rsidRPr="003F7E1D">
              <w:rPr>
                <w:b/>
                <w:bCs/>
                <w:sz w:val="28"/>
              </w:rPr>
              <w:t>I. Tiesību akta projekta izstrādes nepieciešamība</w:t>
            </w:r>
          </w:p>
        </w:tc>
      </w:tr>
      <w:tr w:rsidR="00A844B0" w:rsidRPr="003F7E1D" w14:paraId="1F71F0FE" w14:textId="77777777" w:rsidTr="00CD0C35">
        <w:trPr>
          <w:trHeight w:val="324"/>
          <w:tblCellSpacing w:w="15" w:type="dxa"/>
        </w:trPr>
        <w:tc>
          <w:tcPr>
            <w:tcW w:w="247" w:type="pct"/>
            <w:hideMark/>
          </w:tcPr>
          <w:p w14:paraId="1F71F0F8" w14:textId="77777777" w:rsidR="00EB09A4" w:rsidRPr="003F7E1D" w:rsidRDefault="00EB09A4" w:rsidP="005B5981">
            <w:r w:rsidRPr="003F7E1D">
              <w:t>1.</w:t>
            </w:r>
          </w:p>
        </w:tc>
        <w:tc>
          <w:tcPr>
            <w:tcW w:w="1441" w:type="pct"/>
            <w:hideMark/>
          </w:tcPr>
          <w:p w14:paraId="1F71F0F9" w14:textId="77777777" w:rsidR="00EB09A4" w:rsidRPr="003F7E1D" w:rsidRDefault="00EB09A4" w:rsidP="005B5981">
            <w:r w:rsidRPr="003F7E1D">
              <w:t>Pamatojums</w:t>
            </w:r>
          </w:p>
        </w:tc>
        <w:tc>
          <w:tcPr>
            <w:tcW w:w="3246" w:type="pct"/>
            <w:hideMark/>
          </w:tcPr>
          <w:p w14:paraId="1F71F0FA" w14:textId="77777777" w:rsidR="000D26A3" w:rsidRPr="00663C87" w:rsidRDefault="000D26A3" w:rsidP="000D26A3">
            <w:pPr>
              <w:jc w:val="both"/>
            </w:pPr>
            <w:r>
              <w:t xml:space="preserve">1. </w:t>
            </w:r>
            <w:r w:rsidRPr="00927E3B">
              <w:t>Informatīvais ziņojums „Par valsts nodevu un maksas pakalpojumu nošķiršanu un nodevu sistēmas pilnveidošanu” (izskatīts Ministru kabineta 2012.gada 20.marta sēdē, prot.Nr.16, 31.§ 3. un 6.punkts) (turpmāk – Ziņojums</w:t>
            </w:r>
            <w:r>
              <w:t>).</w:t>
            </w:r>
          </w:p>
          <w:p w14:paraId="1F71F0FB" w14:textId="77777777" w:rsidR="00327AFB" w:rsidRPr="00663C87" w:rsidRDefault="002959EB" w:rsidP="00327AFB">
            <w:pPr>
              <w:pStyle w:val="naiskr"/>
              <w:shd w:val="clear" w:color="auto" w:fill="FFFFFF"/>
              <w:spacing w:before="0" w:after="0"/>
              <w:ind w:right="-1"/>
              <w:jc w:val="both"/>
              <w:rPr>
                <w:bCs/>
                <w:shd w:val="clear" w:color="auto" w:fill="FFFFFF"/>
              </w:rPr>
            </w:pPr>
            <w:r w:rsidRPr="00663C87">
              <w:rPr>
                <w:bCs/>
                <w:shd w:val="clear" w:color="auto" w:fill="FFFFFF"/>
              </w:rPr>
              <w:t xml:space="preserve">2. </w:t>
            </w:r>
            <w:r w:rsidR="00327AFB" w:rsidRPr="00663C87">
              <w:rPr>
                <w:bCs/>
                <w:shd w:val="clear" w:color="auto" w:fill="FFFFFF"/>
              </w:rPr>
              <w:t>Likuma „Grozījumi Epidemioloģiskās drošības likumā” (Saeimā pieņemts 2012.gada 4.oktobrī)</w:t>
            </w:r>
            <w:r w:rsidR="007C7E73" w:rsidRPr="00663C87">
              <w:rPr>
                <w:bCs/>
                <w:shd w:val="clear" w:color="auto" w:fill="FFFFFF"/>
              </w:rPr>
              <w:t xml:space="preserve"> 3.panta otrā daļa par likuma</w:t>
            </w:r>
            <w:r w:rsidR="00327AFB" w:rsidRPr="00663C87">
              <w:rPr>
                <w:bCs/>
                <w:shd w:val="clear" w:color="auto" w:fill="FFFFFF"/>
              </w:rPr>
              <w:t xml:space="preserve"> 6.panta</w:t>
            </w:r>
            <w:r w:rsidR="007C7E73" w:rsidRPr="00663C87">
              <w:rPr>
                <w:bCs/>
                <w:shd w:val="clear" w:color="auto" w:fill="FFFFFF"/>
              </w:rPr>
              <w:t xml:space="preserve"> piektās daļas 2.punkta izslēgšanu.</w:t>
            </w:r>
          </w:p>
          <w:p w14:paraId="1F71F0FC" w14:textId="77777777" w:rsidR="00327AFB" w:rsidRPr="00663C87" w:rsidRDefault="002959EB" w:rsidP="004172E3">
            <w:pPr>
              <w:jc w:val="both"/>
            </w:pPr>
            <w:r w:rsidRPr="00663C87">
              <w:t xml:space="preserve">3. </w:t>
            </w:r>
            <w:r w:rsidR="004172E3" w:rsidRPr="00663C87">
              <w:t xml:space="preserve">Likuma „Grozījumi Pārtikas aprites uzraudzības likumā” </w:t>
            </w:r>
            <w:r w:rsidR="004172E3" w:rsidRPr="00663C87">
              <w:rPr>
                <w:bCs/>
                <w:shd w:val="clear" w:color="auto" w:fill="FFFFFF"/>
              </w:rPr>
              <w:t xml:space="preserve">(Saeimā pieņemts </w:t>
            </w:r>
            <w:r w:rsidR="004172E3" w:rsidRPr="00663C87">
              <w:t>2012.gada 13.septembrī)</w:t>
            </w:r>
            <w:r w:rsidR="00327AFB" w:rsidRPr="00663C87">
              <w:t xml:space="preserve"> </w:t>
            </w:r>
            <w:r w:rsidR="00E0178C" w:rsidRPr="00663C87">
              <w:t>1.pants par 4.panta sešpadsmitā</w:t>
            </w:r>
            <w:r w:rsidR="00E92E15" w:rsidRPr="00663C87">
              <w:t>s</w:t>
            </w:r>
            <w:r w:rsidR="00E0178C" w:rsidRPr="00663C87">
              <w:t xml:space="preserve"> daļas </w:t>
            </w:r>
            <w:r w:rsidR="00327AFB" w:rsidRPr="00663C87">
              <w:t>izslēg</w:t>
            </w:r>
            <w:r w:rsidR="00E0178C" w:rsidRPr="00663C87">
              <w:t>šanu.</w:t>
            </w:r>
          </w:p>
          <w:p w14:paraId="1F71F0FD" w14:textId="77777777" w:rsidR="009151E6" w:rsidRPr="003F7E1D" w:rsidRDefault="009151E6" w:rsidP="00107633">
            <w:pPr>
              <w:jc w:val="both"/>
            </w:pPr>
            <w:r w:rsidRPr="00663C87">
              <w:t xml:space="preserve">4. Likuma „Grozījumi Ciltsdarba un dzīvnieku audzēšanas likumā” </w:t>
            </w:r>
            <w:r w:rsidRPr="00663C87">
              <w:rPr>
                <w:bCs/>
                <w:shd w:val="clear" w:color="auto" w:fill="FFFFFF"/>
              </w:rPr>
              <w:t xml:space="preserve">(Saeimā pieņemts </w:t>
            </w:r>
            <w:r w:rsidRPr="00663C87">
              <w:t>2014.gada 2</w:t>
            </w:r>
            <w:r w:rsidR="00CB5C03" w:rsidRPr="00663C87">
              <w:t>7</w:t>
            </w:r>
            <w:r w:rsidRPr="00663C87">
              <w:t>.</w:t>
            </w:r>
            <w:r w:rsidR="00CB5C03" w:rsidRPr="00663C87">
              <w:t>februārī</w:t>
            </w:r>
            <w:r w:rsidRPr="00663C87">
              <w:t xml:space="preserve">) </w:t>
            </w:r>
            <w:r w:rsidR="00E92E15" w:rsidRPr="00663C87">
              <w:t>6.panta otrā daļa par</w:t>
            </w:r>
            <w:r w:rsidRPr="00663C87">
              <w:t xml:space="preserve"> 9.panta otrā</w:t>
            </w:r>
            <w:r w:rsidR="00E92E15" w:rsidRPr="00663C87">
              <w:t>s</w:t>
            </w:r>
            <w:r w:rsidRPr="00663C87">
              <w:t xml:space="preserve"> daļa</w:t>
            </w:r>
            <w:r w:rsidR="00E92E15" w:rsidRPr="00663C87">
              <w:t>s</w:t>
            </w:r>
            <w:r w:rsidRPr="00663C87">
              <w:t xml:space="preserve"> </w:t>
            </w:r>
            <w:r w:rsidR="00E92E15" w:rsidRPr="00663C87">
              <w:t xml:space="preserve">izslēgšanu </w:t>
            </w:r>
            <w:r w:rsidRPr="00663C87">
              <w:t>un</w:t>
            </w:r>
            <w:r w:rsidR="00107633" w:rsidRPr="00663C87">
              <w:t xml:space="preserve"> 8.panta otrā daļa par</w:t>
            </w:r>
            <w:r w:rsidRPr="00663C87">
              <w:t xml:space="preserve"> 13.panta sestā</w:t>
            </w:r>
            <w:r w:rsidR="00107633" w:rsidRPr="00663C87">
              <w:t>s</w:t>
            </w:r>
            <w:r w:rsidRPr="00663C87">
              <w:t xml:space="preserve"> daļa</w:t>
            </w:r>
            <w:r w:rsidR="00107633" w:rsidRPr="00663C87">
              <w:t>s izslēgšanu</w:t>
            </w:r>
            <w:r w:rsidR="00FD133B" w:rsidRPr="00663C87">
              <w:t>.</w:t>
            </w:r>
          </w:p>
        </w:tc>
      </w:tr>
      <w:tr w:rsidR="00A844B0" w:rsidRPr="003F7E1D" w14:paraId="1F71F10E" w14:textId="77777777" w:rsidTr="00CD0C35">
        <w:trPr>
          <w:trHeight w:val="372"/>
          <w:tblCellSpacing w:w="15" w:type="dxa"/>
        </w:trPr>
        <w:tc>
          <w:tcPr>
            <w:tcW w:w="247" w:type="pct"/>
            <w:hideMark/>
          </w:tcPr>
          <w:p w14:paraId="1F71F0FF" w14:textId="77777777" w:rsidR="00EB09A4" w:rsidRPr="003F7E1D" w:rsidRDefault="00EB09A4" w:rsidP="005B5981">
            <w:r w:rsidRPr="003F7E1D">
              <w:t>2.</w:t>
            </w:r>
          </w:p>
        </w:tc>
        <w:tc>
          <w:tcPr>
            <w:tcW w:w="1441" w:type="pct"/>
            <w:hideMark/>
          </w:tcPr>
          <w:p w14:paraId="1F71F100" w14:textId="77777777" w:rsidR="00EB09A4" w:rsidRPr="003F7E1D" w:rsidRDefault="00EB09A4" w:rsidP="005B5981">
            <w:r w:rsidRPr="003F7E1D">
              <w:t>Pašreizējā situācija un problēmas, kuru risināšanai tiesību akta projekts izstrādāts, tiesiskā regulējuma mērķis un būtība</w:t>
            </w:r>
          </w:p>
        </w:tc>
        <w:tc>
          <w:tcPr>
            <w:tcW w:w="3246" w:type="pct"/>
            <w:hideMark/>
          </w:tcPr>
          <w:p w14:paraId="1F71F101" w14:textId="77777777" w:rsidR="00004AF8" w:rsidRPr="00EA3F30" w:rsidRDefault="0029520C" w:rsidP="005B5981">
            <w:pPr>
              <w:pStyle w:val="Pamattekstaatkpe2"/>
              <w:tabs>
                <w:tab w:val="left" w:pos="540"/>
              </w:tabs>
              <w:ind w:right="71" w:firstLine="0"/>
              <w:rPr>
                <w:szCs w:val="24"/>
              </w:rPr>
            </w:pPr>
            <w:r w:rsidRPr="00EA3F30">
              <w:rPr>
                <w:szCs w:val="24"/>
              </w:rPr>
              <w:t xml:space="preserve">1. </w:t>
            </w:r>
            <w:r w:rsidR="00004AF8" w:rsidRPr="00EA3F30">
              <w:rPr>
                <w:szCs w:val="24"/>
              </w:rPr>
              <w:t>Finanšu ministrija ir veikusi izpēti un sagatavojusi Ziņojumu, kas identificē problēmas, kuras saistītas ar valsts nodevu noteikšanu, piemērošanu un to nošķiršanu no maksas pakalpojumiem, un izstrādājusi iespējamo problēmu risinājuma variantu, kā arī priekšlikumus nodevu administrēšanas procesa uzlabošan</w:t>
            </w:r>
            <w:r w:rsidR="00782C24">
              <w:rPr>
                <w:szCs w:val="24"/>
              </w:rPr>
              <w:t>ai. Saskaņā ar Ziņojumu</w:t>
            </w:r>
            <w:r w:rsidR="00004AF8" w:rsidRPr="00EA3F30">
              <w:rPr>
                <w:szCs w:val="24"/>
              </w:rPr>
              <w:t xml:space="preserve"> visām ministrijām ir jāizvērtē to kompetencē esošās valsts nodevas un maksas pakalpojumi. Zemkopības ministrija ir izvērtējusi likumā „Par nodokļiem un nodevām” (turpmāk – likums) noteikto valsts nodevu atbilstību Ziņojumā norādītajām valsts nodevas objekta pazīmēm. </w:t>
            </w:r>
            <w:r w:rsidR="00782C24">
              <w:rPr>
                <w:szCs w:val="24"/>
              </w:rPr>
              <w:t>Ziņojumā teikts, ka</w:t>
            </w:r>
            <w:r w:rsidR="00004AF8" w:rsidRPr="00EA3F30">
              <w:rPr>
                <w:szCs w:val="24"/>
              </w:rPr>
              <w:t xml:space="preserve"> valsts nodeva uzskatāma par politikas veidošanas un regulēšanas instrumentu. Valsts nodeva tiek ieviesta atsevišķu politikas mērķu sasniegšanai, regulējot (kontrolējot, veicinot, ierobežojot) personas darbību. Par nodevas objektu tiek noteikta tikai tā institūcijas veiktā darbība, kas saistīta ar konkrētu politikas mērķi (personu darbību regulācijā), kurš tiek īstenots ar nodevas apmēra palīdzību, nevis visa institūcijas pamatdarbība, kas izriet no tās apstiprinātā nolikumā noteiktajiem uzdevumiem. Savukārt atbilstoši Likuma par budžetu un finanšu va</w:t>
            </w:r>
            <w:r w:rsidR="00782C24">
              <w:rPr>
                <w:szCs w:val="24"/>
              </w:rPr>
              <w:t>dību I </w:t>
            </w:r>
            <w:r w:rsidR="00004AF8" w:rsidRPr="00EA3F30">
              <w:rPr>
                <w:szCs w:val="24"/>
              </w:rPr>
              <w:t>nodaļā paredzētajam definējumam maksas pakalpojums ir pasākumu kopums, ko valsts budžeta iestāde ārējos normatīvajos a</w:t>
            </w:r>
            <w:r w:rsidR="00782C24">
              <w:rPr>
                <w:szCs w:val="24"/>
              </w:rPr>
              <w:t>ktos paredzētajos gadījumos sniedz</w:t>
            </w:r>
            <w:r w:rsidR="00004AF8" w:rsidRPr="00EA3F30">
              <w:rPr>
                <w:szCs w:val="24"/>
              </w:rPr>
              <w:t xml:space="preserve"> par samaksu, lai nodrošinātu sabiedrības vajadzību ievērošanu. Minēto definējumu papildina 5.panta 12.</w:t>
            </w:r>
            <w:r w:rsidR="00004AF8" w:rsidRPr="00EA3F30">
              <w:rPr>
                <w:szCs w:val="24"/>
                <w:vertAlign w:val="superscript"/>
              </w:rPr>
              <w:t>1</w:t>
            </w:r>
            <w:r w:rsidR="00004AF8" w:rsidRPr="00EA3F30">
              <w:rPr>
                <w:szCs w:val="24"/>
              </w:rPr>
              <w:t xml:space="preserve">daļā ietvertā norma, </w:t>
            </w:r>
            <w:r w:rsidR="00782C24">
              <w:rPr>
                <w:szCs w:val="24"/>
              </w:rPr>
              <w:t xml:space="preserve">t.i., </w:t>
            </w:r>
            <w:r w:rsidR="00004AF8" w:rsidRPr="00EA3F30">
              <w:rPr>
                <w:szCs w:val="24"/>
              </w:rPr>
              <w:t>ka, nosakot maksas pakalpojuma izcenojumu, ievēro nosacījumu – samaksa par pakalpojumu nedrīkst pārsniegt ar pakalpojuma sniegšanu saistītās izmaksas.</w:t>
            </w:r>
          </w:p>
          <w:p w14:paraId="1F71F102" w14:textId="77777777" w:rsidR="00004AF8" w:rsidRPr="00EA3F30" w:rsidRDefault="00004AF8" w:rsidP="005B5981">
            <w:pPr>
              <w:pStyle w:val="naiskr"/>
              <w:spacing w:before="0" w:after="0"/>
              <w:ind w:right="81"/>
              <w:jc w:val="both"/>
            </w:pPr>
            <w:r w:rsidRPr="00EA3F30">
              <w:t xml:space="preserve">Izpildot Ministru kabineta 2012.gada 20.marta sēdes protokola Nr.16 31.§ 3.punktā paredzēto uzdevumu – visām ministrijām izvērtēt kompetencē esošās valsts nodevas, </w:t>
            </w:r>
            <w:r w:rsidRPr="00EA3F30">
              <w:lastRenderedPageBreak/>
              <w:t xml:space="preserve">kancelejas nodevas un maksas pakalpojumus, ņemot vērā informatīvajā ziņojumā minētos kritērijus, likumā noteikto valsts nodevas, kā arī Likumā par budžetu un finanšu vadību noteikto maksas pakalpojuma definīciju un līdz 2013.gada 1.aprīlim iesniegt Finanšu ministrijai informatīvajā ziņojumā paredzēto informāciju izvērtēšanai –, Zemkopības ministrija iesniedza attiecīgo informāciju, norādot, ka ministrijas kompetencē esošās valsts nodevas ir transformējamas par attiecīgo iestāžu maksas pakalpojumiem. Par šajā likumprojektā minētajām nodevām iebildumi netika saņemti (Finanšu ministrijas 2013.gada 29.aprīļa vēstule Nr.20-03/2577). </w:t>
            </w:r>
          </w:p>
          <w:p w14:paraId="1F71F103" w14:textId="77777777" w:rsidR="00004AF8" w:rsidRPr="00EA3F30" w:rsidRDefault="00EA5D3E" w:rsidP="005B5981">
            <w:pPr>
              <w:pStyle w:val="Pamattekstaatkpe2"/>
              <w:tabs>
                <w:tab w:val="left" w:pos="540"/>
              </w:tabs>
              <w:ind w:right="71" w:firstLine="0"/>
              <w:rPr>
                <w:szCs w:val="24"/>
              </w:rPr>
            </w:pPr>
            <w:r w:rsidRPr="00EA3F30">
              <w:rPr>
                <w:szCs w:val="24"/>
              </w:rPr>
              <w:t xml:space="preserve">Zemkopības ministrija ir secinājusi, ka: </w:t>
            </w:r>
          </w:p>
          <w:p w14:paraId="1F71F104" w14:textId="77777777" w:rsidR="0067393E" w:rsidRPr="00EA3F30" w:rsidRDefault="00490567" w:rsidP="005B5981">
            <w:pPr>
              <w:ind w:right="81"/>
              <w:jc w:val="both"/>
            </w:pPr>
            <w:r w:rsidRPr="00EA3F30">
              <w:t>1</w:t>
            </w:r>
            <w:r w:rsidR="00DE408E" w:rsidRPr="00EA3F30">
              <w:t>)</w:t>
            </w:r>
            <w:r w:rsidRPr="00EA3F30">
              <w:t xml:space="preserve"> </w:t>
            </w:r>
            <w:r w:rsidR="00DE408E" w:rsidRPr="00EA3F30">
              <w:t>p</w:t>
            </w:r>
            <w:r w:rsidR="0067393E" w:rsidRPr="00EA3F30">
              <w:t xml:space="preserve">ašlaik atbilstoši likuma 11.panta otrās daļas 29.punktā noteiktajam valsts nodeva ir maksājama par gaisa kuģu, Jūras kodeksa 8.panta otrajā daļā noteikto reģistrējamo kuģu un kuģošanas līdzekļu, kā arī par </w:t>
            </w:r>
            <w:r w:rsidR="0029520C" w:rsidRPr="00EA3F30">
              <w:t xml:space="preserve">Valsts tehniskās uzraudzības aģentūrā (turpmāk – </w:t>
            </w:r>
            <w:r w:rsidR="0067393E" w:rsidRPr="00EA3F30">
              <w:t>VTUA</w:t>
            </w:r>
            <w:r w:rsidR="0029520C" w:rsidRPr="00EA3F30">
              <w:t>)</w:t>
            </w:r>
            <w:r w:rsidR="0067393E" w:rsidRPr="00EA3F30">
              <w:t xml:space="preserve"> reģistrējamu transportlīdzekļu reģistrāciju. Saskaņā ar Ceļu satiksmes likuma 10.panta pirmās daļas 2.punktu VTUA veic ceļu satiksmē iesaistīto transportlīdzekļu – traktortehnikas un tās piekabes – reģistrāciju.</w:t>
            </w:r>
          </w:p>
          <w:p w14:paraId="1F71F105" w14:textId="77777777" w:rsidR="0067393E" w:rsidRPr="00EA3F30" w:rsidRDefault="0067393E" w:rsidP="005B5981">
            <w:pPr>
              <w:jc w:val="both"/>
              <w:rPr>
                <w:lang w:eastAsia="en-US"/>
              </w:rPr>
            </w:pPr>
            <w:r w:rsidRPr="00EA3F30">
              <w:rPr>
                <w:lang w:eastAsia="en-US"/>
              </w:rPr>
              <w:t xml:space="preserve">Sniedzot pakalpojumu, par kuru tiek iekasēta valsts nodeva, katra valsts pārvaldes iestāde pakalpojuma nodrošināšanā izmanto tās rīcībā esošos finanšu un cilvēkresursus. Šīs izmaksas valsts budžeta iestādēm tiek segtas ar dotāciju no valsts budžeta vispārējiem ieņēmumiem, kura tiek plānota likumā par valsts budžetu kārtējam gadam. VTUA, administrējot valsts nodevu par </w:t>
            </w:r>
            <w:r w:rsidRPr="00EA3F30">
              <w:t>traktortehnikas un tās piekabju reģistrāciju, dotāciju no valsts budžeta vispārējiem ieņēmumiem, iestājoties krīzei, nav saņēmusi kopš 2009.gada. Visu šo periodu (2009.–2013.gadā) VTUA valsts nodevas administrēšanas izmaksas sedz no paš</w:t>
            </w:r>
            <w:r w:rsidR="002060EE">
              <w:t>u ieņēmumiem, bet tas ir ļoti liels</w:t>
            </w:r>
            <w:r w:rsidRPr="00EA3F30">
              <w:t xml:space="preserve"> finansiāls slogs un ievērojams apgrūtinājums iestādes darbībai, radot tālejošas negatīvas sekas. </w:t>
            </w:r>
          </w:p>
          <w:p w14:paraId="1F71F106" w14:textId="77777777" w:rsidR="0067393E" w:rsidRPr="008634BB" w:rsidRDefault="0067393E" w:rsidP="005B5981">
            <w:pPr>
              <w:pStyle w:val="naiskr"/>
              <w:shd w:val="clear" w:color="auto" w:fill="FFFFFF"/>
              <w:spacing w:before="0" w:after="0"/>
              <w:ind w:right="-1"/>
              <w:jc w:val="both"/>
            </w:pPr>
            <w:r w:rsidRPr="00EA3F30">
              <w:t xml:space="preserve">Ceļu satiksmes likuma 9.panta pirmā daļa nosaka, ka Latvijas teritorijā ceļu satiksmē atļauts izmantot reģistrētus transportlīdzekļus, kuru konstrukcija un tehniskais stāvoklis atbilst Latvijā obligāti piemērojamo standartu un normatīvu prasībām, kuriem ir sauszemes transportlīdzekļu īpašnieku civiltiesiskās atbildības obligātā apdrošināšana un kuriem ir dota atļauja piedalīties ceļu satiksmē. Pienākums personai VTUA reģistrēt ceļu satiksmē iesaistīto traktortehniku un tās piekabes ir nostiprināts Ceļu satiksmes likuma 10.panta pirmās daļas 2.punktā, savukārt Ministru kabineta 2010.gada 12.maija noteikumi Nr.435 „Traktortehnikas un tās piekabju reģistrācijas noteikumi” nosaka kārtību, kādā ceļu satiksmē iesaistītā traktortehnika un tās piekabes reģistrējamas un noņemamas no uzskaites. Tas nozīmē, ka ārējais normatīvais regulējums paredz traktortehnikas un tās piekabes obligātu </w:t>
            </w:r>
            <w:r w:rsidRPr="00EA3F30">
              <w:lastRenderedPageBreak/>
              <w:t>reģistrāciju tikai tādā gadījumā, ja ar minēto tehniku paredzēts piedalīties ceļu satiksmē. Attiecībā uz speciālo traktortehniku (traktortehniku, kuru ražotājs nav paredzējis izmantošanai ceļu satiksmē) un traktortehniku, kuru neizmanto ceļu satiksmē, šāda obligāta reģistrācijas pienākuma nav. Ievērojot minēto normatīvo regulējumu kontekstā ar valsts nodevas definīciju, viennozīmīgi saprotams, ka valstij, paredzot pienākumu reģistrēt traktortehniku un tās piekabes tikai tādā gadījumā, ja tā tiek izmantota ceļu satiksmē (ievērojot arī to, ka ne visa Latvijā reģistrētā traktortehnika piedalās ceļu satiksmē), netiek sasniegts valsts nodevas mērķis – personu darbību regulēšana (kontrolēšana, veicināšana, ierobežošana). Traktortehnikas un tās piekabes, kas piedalās ceļu satiksmē, reģistrācija ir uzskatāma par pasākumu kopumu, ko VTUA veic, lai nodrošinātu sabiedrības vajadzību ievērošanu (VTUA šajā gadījumā veic uzdevumus, kas saistīti ar traktortehnikas un to piekabju īpašuma tiesību nostiprināšanu vai maiņu, galu galā izdodot traktortehnikas vai tās piekabes īpašniekam īpašumtiesības apliecinošu dokumentu – apliecību), un kas pēc būtības atbilst maksas pakalpojuma definīcijai.</w:t>
            </w:r>
            <w:r w:rsidR="00EA3F30">
              <w:t xml:space="preserve"> Saeima 2014.gada 6.martā </w:t>
            </w:r>
            <w:r w:rsidR="00A84E76">
              <w:t xml:space="preserve">otrajā lasījumā pieņēma likumprojektu „Grozījumi Ceļu satiksmes </w:t>
            </w:r>
            <w:r w:rsidR="00A84E76" w:rsidRPr="00A84E76">
              <w:t>likumā (</w:t>
            </w:r>
            <w:r w:rsidR="00306806">
              <w:rPr>
                <w:szCs w:val="22"/>
              </w:rPr>
              <w:t>Nr.</w:t>
            </w:r>
            <w:r w:rsidR="00A84E76" w:rsidRPr="00A84E76">
              <w:rPr>
                <w:szCs w:val="22"/>
              </w:rPr>
              <w:t>975/Lp11)</w:t>
            </w:r>
            <w:r w:rsidR="00A84E76">
              <w:rPr>
                <w:szCs w:val="22"/>
              </w:rPr>
              <w:t>, kas paredz izslēgt š</w:t>
            </w:r>
            <w:r w:rsidR="008634BB">
              <w:rPr>
                <w:szCs w:val="22"/>
              </w:rPr>
              <w:t>ī likuma 10.</w:t>
            </w:r>
            <w:r w:rsidR="008634BB" w:rsidRPr="008634BB">
              <w:rPr>
                <w:szCs w:val="22"/>
                <w:vertAlign w:val="superscript"/>
              </w:rPr>
              <w:t>1</w:t>
            </w:r>
            <w:r w:rsidR="006E4D5F">
              <w:rPr>
                <w:szCs w:val="22"/>
              </w:rPr>
              <w:t xml:space="preserve"> pantu, kurš</w:t>
            </w:r>
            <w:r w:rsidR="008634BB">
              <w:rPr>
                <w:szCs w:val="22"/>
              </w:rPr>
              <w:t xml:space="preserve"> nosaka, ka </w:t>
            </w:r>
            <w:r w:rsidR="008634BB" w:rsidRPr="008634BB">
              <w:t>pirms transportlīdzekļu reģistrācijas V</w:t>
            </w:r>
            <w:r w:rsidR="008634BB">
              <w:t>TUA</w:t>
            </w:r>
            <w:r w:rsidR="008634BB" w:rsidRPr="008634BB">
              <w:t xml:space="preserve"> samaksājama transportlīdze</w:t>
            </w:r>
            <w:r w:rsidR="00061C67">
              <w:t>kļu reģistrācijas valsts nodeva</w:t>
            </w:r>
            <w:r w:rsidR="00AE0839">
              <w:t>, tāpēc likum</w:t>
            </w:r>
            <w:r w:rsidR="006E4D5F">
              <w:t>a 11.panta otrās daļas 29.punkts</w:t>
            </w:r>
            <w:r w:rsidR="00AE0839">
              <w:t xml:space="preserve"> </w:t>
            </w:r>
            <w:r w:rsidR="006E4D5F">
              <w:t>jāizsaka</w:t>
            </w:r>
            <w:r w:rsidR="00AE0839">
              <w:t xml:space="preserve"> jaunā redakcij</w:t>
            </w:r>
            <w:r w:rsidR="00AF233A">
              <w:t>ā</w:t>
            </w:r>
            <w:r w:rsidR="00061C67">
              <w:t>;</w:t>
            </w:r>
          </w:p>
          <w:p w14:paraId="1F71F107" w14:textId="77777777" w:rsidR="00004AF8" w:rsidRDefault="0067393E" w:rsidP="005B5981">
            <w:pPr>
              <w:pStyle w:val="naiskr"/>
              <w:shd w:val="clear" w:color="auto" w:fill="FFFFFF"/>
              <w:spacing w:before="0" w:after="0"/>
              <w:ind w:right="-1"/>
              <w:jc w:val="both"/>
            </w:pPr>
            <w:r w:rsidRPr="00EA3F30">
              <w:t>2</w:t>
            </w:r>
            <w:r w:rsidR="00753E83" w:rsidRPr="00EA3F30">
              <w:t>)</w:t>
            </w:r>
            <w:r w:rsidRPr="00EA3F30">
              <w:t xml:space="preserve"> </w:t>
            </w:r>
            <w:r w:rsidR="00004AF8" w:rsidRPr="00EA3F30">
              <w:t>Ciltsdarba un dzīvnieku audzēšanas likumā noteiktās valsts nodevas par Lauksaimniecības datu centra (turpmāk – LDC) veiktajām darbībām – sertifikātu izsniegšanu fiziskām personām, kas veic lauksaimniecības dzīvnieku vērtēšanu, pārraudzību, mākslīgo apsēklošanu, olšūnu un embriju transplantāciju, par ganāmpulku un novietņu reģistrēšanu, un zirga pases izsniegšanu</w:t>
            </w:r>
            <w:r w:rsidR="006E4D5F">
              <w:t>,</w:t>
            </w:r>
            <w:r w:rsidR="00004AF8" w:rsidRPr="00EA3F30">
              <w:t xml:space="preserve"> – pēc būtības atbilst maksas pakalpojuma definīcijai, tāpēc minētās nodevas ir pārveidojamas par maksas pakalpojumiem. </w:t>
            </w:r>
          </w:p>
          <w:p w14:paraId="1F71F108" w14:textId="77777777" w:rsidR="00500BA7" w:rsidRPr="005A73A3" w:rsidRDefault="004578E6" w:rsidP="005B5981">
            <w:pPr>
              <w:pStyle w:val="naiskr"/>
              <w:shd w:val="clear" w:color="auto" w:fill="FFFFFF"/>
              <w:spacing w:before="0" w:after="0"/>
              <w:ind w:right="-1"/>
              <w:jc w:val="both"/>
              <w:rPr>
                <w:b/>
                <w:i/>
              </w:rPr>
            </w:pPr>
            <w:r>
              <w:rPr>
                <w:b/>
              </w:rPr>
              <w:t>Uz s</w:t>
            </w:r>
            <w:r w:rsidRPr="004578E6">
              <w:rPr>
                <w:b/>
              </w:rPr>
              <w:t>ertifikāt</w:t>
            </w:r>
            <w:r>
              <w:rPr>
                <w:b/>
              </w:rPr>
              <w:t>a</w:t>
            </w:r>
            <w:r w:rsidRPr="004578E6">
              <w:rPr>
                <w:b/>
              </w:rPr>
              <w:t xml:space="preserve"> </w:t>
            </w:r>
            <w:r>
              <w:rPr>
                <w:b/>
              </w:rPr>
              <w:t xml:space="preserve">saņemšanu </w:t>
            </w:r>
            <w:r w:rsidRPr="004578E6">
              <w:rPr>
                <w:b/>
              </w:rPr>
              <w:t>lauksaimniecības dzīvnieku vērtēšan</w:t>
            </w:r>
            <w:r>
              <w:rPr>
                <w:b/>
              </w:rPr>
              <w:t>ai</w:t>
            </w:r>
            <w:r w:rsidRPr="004578E6">
              <w:rPr>
                <w:b/>
              </w:rPr>
              <w:t>, pārraudzīb</w:t>
            </w:r>
            <w:r>
              <w:rPr>
                <w:b/>
              </w:rPr>
              <w:t>as veikšanai</w:t>
            </w:r>
            <w:r w:rsidRPr="004578E6">
              <w:rPr>
                <w:b/>
              </w:rPr>
              <w:t>, mākslīg</w:t>
            </w:r>
            <w:r>
              <w:rPr>
                <w:b/>
              </w:rPr>
              <w:t>ās</w:t>
            </w:r>
            <w:r w:rsidRPr="004578E6">
              <w:rPr>
                <w:b/>
              </w:rPr>
              <w:t xml:space="preserve"> apsēklošan</w:t>
            </w:r>
            <w:r>
              <w:rPr>
                <w:b/>
              </w:rPr>
              <w:t>as</w:t>
            </w:r>
            <w:r w:rsidRPr="004578E6">
              <w:rPr>
                <w:b/>
              </w:rPr>
              <w:t>, olšūnu un embriju transplantācij</w:t>
            </w:r>
            <w:r w:rsidR="006E4D5F">
              <w:rPr>
                <w:b/>
              </w:rPr>
              <w:t>as veikšanai</w:t>
            </w:r>
            <w:r>
              <w:rPr>
                <w:b/>
              </w:rPr>
              <w:t xml:space="preserve"> </w:t>
            </w:r>
            <w:r w:rsidR="00C104D7">
              <w:rPr>
                <w:b/>
              </w:rPr>
              <w:t>f</w:t>
            </w:r>
            <w:r w:rsidRPr="004578E6">
              <w:rPr>
                <w:b/>
              </w:rPr>
              <w:t xml:space="preserve">iziskā persona </w:t>
            </w:r>
            <w:r>
              <w:rPr>
                <w:b/>
              </w:rPr>
              <w:t>var pretendēt</w:t>
            </w:r>
            <w:r w:rsidR="00C104D7">
              <w:rPr>
                <w:b/>
              </w:rPr>
              <w:t>,</w:t>
            </w:r>
            <w:r>
              <w:rPr>
                <w:b/>
              </w:rPr>
              <w:t xml:space="preserve"> ja </w:t>
            </w:r>
            <w:r w:rsidR="00C104D7">
              <w:rPr>
                <w:b/>
              </w:rPr>
              <w:t xml:space="preserve">iepriekš </w:t>
            </w:r>
            <w:r>
              <w:rPr>
                <w:b/>
              </w:rPr>
              <w:t>ir ieguvusi attiecīgu izglītību lauksaimniecībā</w:t>
            </w:r>
            <w:r w:rsidR="006E4D5F">
              <w:rPr>
                <w:b/>
              </w:rPr>
              <w:t xml:space="preserve"> (veterinārijā, lopkopībā, biškopībā)</w:t>
            </w:r>
            <w:r>
              <w:rPr>
                <w:b/>
              </w:rPr>
              <w:t xml:space="preserve"> un apliecinošu dokumentu par praktisko iemaņu apgūšanu </w:t>
            </w:r>
            <w:r w:rsidR="00882F81">
              <w:rPr>
                <w:b/>
              </w:rPr>
              <w:t>iepriekš minētajās</w:t>
            </w:r>
            <w:r w:rsidR="00C104D7">
              <w:rPr>
                <w:b/>
              </w:rPr>
              <w:t xml:space="preserve"> darbībās. </w:t>
            </w:r>
            <w:r w:rsidR="005A73A3" w:rsidRPr="006E4D5F">
              <w:rPr>
                <w:b/>
              </w:rPr>
              <w:t>Sertifikāts nodrošina to, ka</w:t>
            </w:r>
            <w:r w:rsidR="006E4D5F">
              <w:rPr>
                <w:b/>
              </w:rPr>
              <w:t xml:space="preserve"> persona ir apmeklējusi apmācības</w:t>
            </w:r>
            <w:r w:rsidR="005A73A3" w:rsidRPr="006E4D5F">
              <w:rPr>
                <w:b/>
              </w:rPr>
              <w:t xml:space="preserve"> kursu un</w:t>
            </w:r>
            <w:r w:rsidR="006E4D5F">
              <w:rPr>
                <w:b/>
              </w:rPr>
              <w:t xml:space="preserve"> spēj</w:t>
            </w:r>
            <w:r w:rsidR="005A73A3" w:rsidRPr="006E4D5F">
              <w:rPr>
                <w:b/>
              </w:rPr>
              <w:t xml:space="preserve"> sniegt kvalitatīvus pakalpojumus minētajās jomās. </w:t>
            </w:r>
            <w:r w:rsidR="00882F81" w:rsidRPr="006E4D5F">
              <w:rPr>
                <w:b/>
              </w:rPr>
              <w:t xml:space="preserve">Tā </w:t>
            </w:r>
            <w:r w:rsidR="00882F81">
              <w:rPr>
                <w:b/>
              </w:rPr>
              <w:t>kā s</w:t>
            </w:r>
            <w:r w:rsidR="00C104D7">
              <w:rPr>
                <w:b/>
              </w:rPr>
              <w:t>ertifikāta iegūšana ir brīvprātīgs pasākums</w:t>
            </w:r>
            <w:r w:rsidR="00882F81">
              <w:rPr>
                <w:b/>
              </w:rPr>
              <w:t xml:space="preserve"> un </w:t>
            </w:r>
            <w:r w:rsidR="00882F81" w:rsidRPr="00ED2B8A">
              <w:rPr>
                <w:b/>
              </w:rPr>
              <w:t>personai pastāv izvēles iespēja, uzskatām, ka minētā nodeva ir pārveidojama par maksas pakalpojumu.</w:t>
            </w:r>
            <w:r w:rsidR="005A73A3" w:rsidRPr="005A73A3">
              <w:rPr>
                <w:color w:val="333333"/>
                <w:sz w:val="18"/>
                <w:szCs w:val="18"/>
              </w:rPr>
              <w:t xml:space="preserve"> </w:t>
            </w:r>
          </w:p>
          <w:p w14:paraId="1F71F109" w14:textId="77777777" w:rsidR="00ED2B8A" w:rsidRPr="00ED2B8A" w:rsidRDefault="00882F81" w:rsidP="00ED2B8A">
            <w:pPr>
              <w:pStyle w:val="naiskr"/>
              <w:shd w:val="clear" w:color="auto" w:fill="FFFFFF"/>
              <w:spacing w:before="0" w:after="0"/>
              <w:ind w:right="-1"/>
              <w:jc w:val="both"/>
              <w:rPr>
                <w:b/>
                <w:i/>
              </w:rPr>
            </w:pPr>
            <w:r w:rsidRPr="00ED2B8A">
              <w:rPr>
                <w:b/>
              </w:rPr>
              <w:t xml:space="preserve"> </w:t>
            </w:r>
            <w:r w:rsidR="005A73A3" w:rsidRPr="006E4D5F">
              <w:rPr>
                <w:b/>
              </w:rPr>
              <w:t>Ganāmpulku un novietņu reģistrēšana</w:t>
            </w:r>
            <w:r w:rsidR="006E4D5F" w:rsidRPr="006E4D5F">
              <w:rPr>
                <w:b/>
              </w:rPr>
              <w:t>,</w:t>
            </w:r>
            <w:r w:rsidR="005A73A3" w:rsidRPr="006E4D5F">
              <w:rPr>
                <w:b/>
              </w:rPr>
              <w:t xml:space="preserve"> </w:t>
            </w:r>
            <w:r w:rsidR="00685986" w:rsidRPr="006E4D5F">
              <w:rPr>
                <w:b/>
              </w:rPr>
              <w:t>tāpat</w:t>
            </w:r>
            <w:r w:rsidR="005A73A3" w:rsidRPr="006E4D5F">
              <w:rPr>
                <w:b/>
              </w:rPr>
              <w:t xml:space="preserve"> kā </w:t>
            </w:r>
            <w:r w:rsidR="005A73A3" w:rsidRPr="006E4D5F">
              <w:rPr>
                <w:b/>
              </w:rPr>
              <w:lastRenderedPageBreak/>
              <w:t>lauksaimniecības dzīvnieku apzīmēšana</w:t>
            </w:r>
            <w:r w:rsidR="006E4D5F" w:rsidRPr="006E4D5F">
              <w:rPr>
                <w:b/>
              </w:rPr>
              <w:t>,</w:t>
            </w:r>
            <w:r w:rsidR="005A73A3" w:rsidRPr="006E4D5F">
              <w:rPr>
                <w:b/>
              </w:rPr>
              <w:t xml:space="preserve"> ir nozīmīga dzīvnieku izsekojamības, pārraudzības u.c. nodrošināšanā</w:t>
            </w:r>
            <w:r w:rsidR="00685986" w:rsidRPr="006E4D5F">
              <w:rPr>
                <w:b/>
              </w:rPr>
              <w:t>.</w:t>
            </w:r>
            <w:r w:rsidR="005A73A3" w:rsidRPr="006E4D5F">
              <w:rPr>
                <w:b/>
              </w:rPr>
              <w:t xml:space="preserve"> </w:t>
            </w:r>
            <w:r w:rsidR="006E4D5F">
              <w:rPr>
                <w:b/>
              </w:rPr>
              <w:t>G</w:t>
            </w:r>
            <w:r w:rsidRPr="00ED2B8A">
              <w:rPr>
                <w:b/>
              </w:rPr>
              <w:t>anāmpulku un novietņu reģistrēšan</w:t>
            </w:r>
            <w:r w:rsidR="0066209C" w:rsidRPr="00ED2B8A">
              <w:rPr>
                <w:b/>
              </w:rPr>
              <w:t>a</w:t>
            </w:r>
            <w:r w:rsidR="0035726F" w:rsidRPr="00ED2B8A">
              <w:rPr>
                <w:b/>
              </w:rPr>
              <w:t xml:space="preserve"> ir </w:t>
            </w:r>
            <w:r w:rsidR="00025127" w:rsidRPr="00ED2B8A">
              <w:rPr>
                <w:b/>
              </w:rPr>
              <w:t>līdzvērtīg</w:t>
            </w:r>
            <w:r w:rsidR="00ED2B8A">
              <w:rPr>
                <w:b/>
              </w:rPr>
              <w:t xml:space="preserve">a darbība </w:t>
            </w:r>
            <w:r w:rsidR="00025127" w:rsidRPr="00ED2B8A">
              <w:rPr>
                <w:b/>
              </w:rPr>
              <w:t>lauksaimniecības dzīvnieku apzīmēšanai</w:t>
            </w:r>
            <w:r w:rsidR="0066209C" w:rsidRPr="00ED2B8A">
              <w:rPr>
                <w:b/>
              </w:rPr>
              <w:t xml:space="preserve">, </w:t>
            </w:r>
            <w:r w:rsidR="00ED2B8A">
              <w:rPr>
                <w:b/>
              </w:rPr>
              <w:t xml:space="preserve">kas ir maksas pakalpojums, </w:t>
            </w:r>
            <w:r w:rsidR="006E4D5F">
              <w:rPr>
                <w:b/>
              </w:rPr>
              <w:t xml:space="preserve">tāpēc </w:t>
            </w:r>
            <w:r w:rsidR="00ED2B8A" w:rsidRPr="00ED2B8A">
              <w:rPr>
                <w:b/>
              </w:rPr>
              <w:t>minētā nodeva ir pārveidojama par maksas pakalpojumu.</w:t>
            </w:r>
          </w:p>
          <w:p w14:paraId="1F71F10A" w14:textId="77777777" w:rsidR="00ED2B8A" w:rsidRPr="00ED2B8A" w:rsidRDefault="00ED2B8A" w:rsidP="00ED2B8A">
            <w:pPr>
              <w:pStyle w:val="naiskr"/>
              <w:shd w:val="clear" w:color="auto" w:fill="FFFFFF"/>
              <w:spacing w:before="0" w:after="0"/>
              <w:ind w:right="-1"/>
              <w:jc w:val="both"/>
              <w:rPr>
                <w:b/>
              </w:rPr>
            </w:pPr>
            <w:r w:rsidRPr="00ED2B8A">
              <w:rPr>
                <w:b/>
              </w:rPr>
              <w:t>Zirga pases izsniegšana ir līdzvērtīg</w:t>
            </w:r>
            <w:r>
              <w:rPr>
                <w:b/>
              </w:rPr>
              <w:t xml:space="preserve">a darbība </w:t>
            </w:r>
            <w:r w:rsidRPr="00ED2B8A">
              <w:rPr>
                <w:b/>
              </w:rPr>
              <w:t>jebkura cita lauksaimniecības dzīvnieka pases izsniegšanai,</w:t>
            </w:r>
            <w:r w:rsidR="006E4D5F">
              <w:rPr>
                <w:b/>
              </w:rPr>
              <w:t xml:space="preserve"> un, tā kā tas noteikts par</w:t>
            </w:r>
            <w:r w:rsidR="00B36BA4">
              <w:rPr>
                <w:b/>
              </w:rPr>
              <w:t xml:space="preserve"> </w:t>
            </w:r>
            <w:r w:rsidR="006E4D5F">
              <w:rPr>
                <w:b/>
              </w:rPr>
              <w:t>maksas pakalpojumu</w:t>
            </w:r>
            <w:r w:rsidRPr="00ED2B8A">
              <w:rPr>
                <w:b/>
              </w:rPr>
              <w:t xml:space="preserve">, </w:t>
            </w:r>
            <w:r w:rsidR="006E4D5F">
              <w:rPr>
                <w:b/>
              </w:rPr>
              <w:t xml:space="preserve">tad </w:t>
            </w:r>
            <w:r w:rsidRPr="00ED2B8A">
              <w:rPr>
                <w:b/>
              </w:rPr>
              <w:t>minētā nodeva ir pārveidojama par maksas pakalpojumu.</w:t>
            </w:r>
          </w:p>
          <w:p w14:paraId="1F71F10B" w14:textId="77777777" w:rsidR="002B43ED" w:rsidRPr="00EA3F30" w:rsidRDefault="00004AF8" w:rsidP="00ED2B8A">
            <w:pPr>
              <w:pStyle w:val="naiskr"/>
              <w:shd w:val="clear" w:color="auto" w:fill="FFFFFF"/>
              <w:spacing w:before="0" w:after="0"/>
              <w:ind w:right="-1"/>
              <w:jc w:val="both"/>
            </w:pPr>
            <w:r w:rsidRPr="00EA3F30">
              <w:t>2014.gada 2</w:t>
            </w:r>
            <w:r w:rsidR="00730577" w:rsidRPr="00EA3F30">
              <w:t>7.februār</w:t>
            </w:r>
            <w:r w:rsidR="00E5230C" w:rsidRPr="00EA3F30">
              <w:t>ī</w:t>
            </w:r>
            <w:r w:rsidR="00730577" w:rsidRPr="00EA3F30">
              <w:t xml:space="preserve"> Saeima pieņēma</w:t>
            </w:r>
            <w:r w:rsidRPr="00EA3F30">
              <w:t xml:space="preserve"> grozījum</w:t>
            </w:r>
            <w:r w:rsidR="00730577" w:rsidRPr="00EA3F30">
              <w:t>us</w:t>
            </w:r>
            <w:r w:rsidRPr="00EA3F30">
              <w:t xml:space="preserve"> Ciltsdarba un dzīvnieku audzēšanas likumā, </w:t>
            </w:r>
            <w:r w:rsidR="00730577" w:rsidRPr="00EA3F30">
              <w:t>no likuma</w:t>
            </w:r>
            <w:r w:rsidRPr="00EA3F30">
              <w:t xml:space="preserve"> izslē</w:t>
            </w:r>
            <w:r w:rsidR="00730577" w:rsidRPr="00EA3F30">
              <w:t>dzot</w:t>
            </w:r>
            <w:r w:rsidRPr="00EA3F30">
              <w:t xml:space="preserve"> 9.panta</w:t>
            </w:r>
            <w:r w:rsidR="00730577" w:rsidRPr="00EA3F30">
              <w:t xml:space="preserve"> otru daļu un 13.panta sesto</w:t>
            </w:r>
            <w:r w:rsidRPr="00EA3F30">
              <w:t xml:space="preserve"> daļ</w:t>
            </w:r>
            <w:r w:rsidR="00730577" w:rsidRPr="00EA3F30">
              <w:t>u</w:t>
            </w:r>
            <w:r w:rsidRPr="00EA3F30">
              <w:t>, kas pilnvaroja Ministru kabinetu noteikt valsts nodevas apmēru un maksāšanas kārtību par sertifikātu izsniegšanu fiziskām personām, kuras veic lauksaimniecības dzīvnieku vērtēšanu, pārraudzību, mākslīgo apsēklošanu, olšūnu un embriju transplantāciju, par ganāmpulku un novietņu reģistrēšanu un zirga pases izsniegšanu. Grozījumi Ciltsdarba un dzīvnieku audzēšanas likumā attiecībā uz 9.panta otrās daļas un 13.panta sestās daļas izslēgšanu stāsies spēkā</w:t>
            </w:r>
            <w:r w:rsidR="007B07CF">
              <w:t xml:space="preserve"> 2015.gada 1.janvārī, tāpēc</w:t>
            </w:r>
            <w:r w:rsidRPr="00EA3F30">
              <w:t xml:space="preserve"> </w:t>
            </w:r>
            <w:r w:rsidR="008D0E88" w:rsidRPr="00EA3F30">
              <w:t xml:space="preserve">no </w:t>
            </w:r>
            <w:r w:rsidRPr="00EA3F30">
              <w:t>likum</w:t>
            </w:r>
            <w:r w:rsidR="008D0E88" w:rsidRPr="00EA3F30">
              <w:t>a</w:t>
            </w:r>
            <w:r w:rsidRPr="00EA3F30">
              <w:t xml:space="preserve"> jāizslēdz 11.panta otrās daļas 70.punkts.</w:t>
            </w:r>
          </w:p>
          <w:p w14:paraId="1F71F10C" w14:textId="77777777" w:rsidR="00E00920" w:rsidRPr="00EA3F30" w:rsidRDefault="00E40288" w:rsidP="00E00920">
            <w:pPr>
              <w:pStyle w:val="naiskr"/>
              <w:shd w:val="clear" w:color="auto" w:fill="FFFFFF"/>
              <w:spacing w:before="0" w:after="0"/>
              <w:ind w:right="-1"/>
              <w:jc w:val="both"/>
              <w:rPr>
                <w:bCs/>
                <w:shd w:val="clear" w:color="auto" w:fill="FFFFFF"/>
              </w:rPr>
            </w:pPr>
            <w:r w:rsidRPr="00EA3F30">
              <w:rPr>
                <w:bCs/>
                <w:shd w:val="clear" w:color="auto" w:fill="FFFFFF"/>
              </w:rPr>
              <w:t>2</w:t>
            </w:r>
            <w:r w:rsidR="00E00920" w:rsidRPr="00EA3F30">
              <w:rPr>
                <w:bCs/>
                <w:shd w:val="clear" w:color="auto" w:fill="FFFFFF"/>
              </w:rPr>
              <w:t>. Ar 2012.gada 4.oktobra grozījumiem no Epidemioloģiskās drošības likuma izslēgts 6.pant</w:t>
            </w:r>
            <w:r w:rsidR="00F170DA" w:rsidRPr="00EA3F30">
              <w:rPr>
                <w:bCs/>
                <w:shd w:val="clear" w:color="auto" w:fill="FFFFFF"/>
              </w:rPr>
              <w:t>a</w:t>
            </w:r>
            <w:r w:rsidR="00E00920" w:rsidRPr="00EA3F30">
              <w:rPr>
                <w:bCs/>
                <w:shd w:val="clear" w:color="auto" w:fill="FFFFFF"/>
              </w:rPr>
              <w:t xml:space="preserve"> piektās daļas 2.punkts, kas pilnvaroja Ministru kabinetu noteikt nodevas apmēru </w:t>
            </w:r>
            <w:r w:rsidR="00E00920" w:rsidRPr="00EA3F30">
              <w:t>par atzinuma par veselīguma norādi uz pārtikas produktiem sagatavošanu, tāpēc no</w:t>
            </w:r>
            <w:r w:rsidR="00E00920" w:rsidRPr="00EA3F30">
              <w:rPr>
                <w:bCs/>
                <w:shd w:val="clear" w:color="auto" w:fill="FFFFFF"/>
              </w:rPr>
              <w:t xml:space="preserve"> likuma izslēdzams 11.panta otrās daļas 96.punkts.</w:t>
            </w:r>
            <w:r w:rsidR="00E17782" w:rsidRPr="00EA3F30">
              <w:rPr>
                <w:bCs/>
                <w:shd w:val="clear" w:color="auto" w:fill="FFFFFF"/>
              </w:rPr>
              <w:t xml:space="preserve"> </w:t>
            </w:r>
            <w:r w:rsidR="00E17782" w:rsidRPr="00EA3F30">
              <w:t>Pamatojoties uz Ministru kabineta 2012.gada 21.februāra rīkojumu Nr.101 „Par Slimību profilakses un kontroles centra izveidošanu un Veselības ministrijas un Zemkopības ministrijas padotībā esošo valsts pārvaldes iestāžu reorganizāciju” 7.punktā noteikto, Pārtikas un veterinārajam dienestam (turpmāk – PVD) tika nodots Veselības inspekcijas pārvaldes uzdevums – veikt kompetentajai iestādei paredzētos uzdevumus atbilstoši</w:t>
            </w:r>
            <w:r w:rsidR="00E17782" w:rsidRPr="00EA3F30">
              <w:rPr>
                <w:bCs/>
              </w:rPr>
              <w:t xml:space="preserve"> prasībām, ko nosaka Eiropas Parlamenta un Padomes 2006.gada 20.decembra Regula Nr.1924/2006 par uzturvērtības un veselīguma norādēm uz pārtikas produktiem attiecībā ar sadarbību ar Eiropas Komisiju un Eiropas Pārtikas nekaitīguma iestādi.</w:t>
            </w:r>
            <w:r w:rsidR="007B07CF">
              <w:rPr>
                <w:bCs/>
              </w:rPr>
              <w:t xml:space="preserve"> Tā kā</w:t>
            </w:r>
            <w:r w:rsidR="00602F99" w:rsidRPr="00EA3F30">
              <w:rPr>
                <w:bCs/>
              </w:rPr>
              <w:t xml:space="preserve"> </w:t>
            </w:r>
            <w:r w:rsidR="00703AFF" w:rsidRPr="00EA3F30">
              <w:rPr>
                <w:bCs/>
              </w:rPr>
              <w:t xml:space="preserve">šobrīd </w:t>
            </w:r>
            <w:bookmarkStart w:id="2" w:name="OLE_LINK13"/>
            <w:bookmarkStart w:id="3" w:name="OLE_LINK12"/>
            <w:bookmarkStart w:id="4" w:name="OLE_LINK2"/>
            <w:bookmarkStart w:id="5" w:name="OLE_LINK1"/>
            <w:r w:rsidR="00703AFF" w:rsidRPr="00EA3F30">
              <w:rPr>
                <w:bCs/>
              </w:rPr>
              <w:t>R</w:t>
            </w:r>
            <w:r w:rsidR="00703AFF" w:rsidRPr="00EA3F30">
              <w:t>egul</w:t>
            </w:r>
            <w:r w:rsidR="00997AFC" w:rsidRPr="00EA3F30">
              <w:t>as Nr.1924/2006</w:t>
            </w:r>
            <w:r w:rsidR="00703AFF" w:rsidRPr="00EA3F30">
              <w:t xml:space="preserve"> </w:t>
            </w:r>
            <w:r w:rsidR="00997AFC" w:rsidRPr="00EA3F30">
              <w:t xml:space="preserve">pielikumā </w:t>
            </w:r>
            <w:r w:rsidR="00703AFF" w:rsidRPr="00EA3F30">
              <w:t xml:space="preserve">noteikts </w:t>
            </w:r>
            <w:r w:rsidR="007B07CF">
              <w:t xml:space="preserve">to </w:t>
            </w:r>
            <w:r w:rsidR="00703AFF" w:rsidRPr="00EA3F30">
              <w:t>atļauto veselīguma norāžu saraksts, kuras brīvprātīgi var izmantot jebkurš uzņēmējs, tad PVD darbības šajā jomā vērstas uz uzturvērtības un veselīguma norāžu lietošanas pārtikas produktu marķējumā kontroli</w:t>
            </w:r>
            <w:bookmarkEnd w:id="2"/>
            <w:bookmarkEnd w:id="3"/>
            <w:bookmarkEnd w:id="4"/>
            <w:bookmarkEnd w:id="5"/>
            <w:r w:rsidR="00703AFF" w:rsidRPr="00EA3F30">
              <w:t xml:space="preserve"> un nenotiek jaunu norāžu lietošanas izvērtēšana.</w:t>
            </w:r>
          </w:p>
          <w:p w14:paraId="1F71F10D" w14:textId="77777777" w:rsidR="00E00920" w:rsidRPr="003F7E1D" w:rsidRDefault="00E40288" w:rsidP="00E17782">
            <w:pPr>
              <w:pStyle w:val="tv213"/>
              <w:shd w:val="clear" w:color="auto" w:fill="FFFFFF"/>
              <w:spacing w:before="0" w:beforeAutospacing="0" w:after="0" w:afterAutospacing="0"/>
              <w:ind w:right="-1"/>
              <w:jc w:val="both"/>
              <w:rPr>
                <w:rFonts w:ascii="Times New Roman" w:hAnsi="Times New Roman"/>
                <w:sz w:val="24"/>
                <w:szCs w:val="24"/>
              </w:rPr>
            </w:pPr>
            <w:r w:rsidRPr="00EA3F30">
              <w:rPr>
                <w:rFonts w:ascii="Times New Roman" w:hAnsi="Times New Roman"/>
                <w:sz w:val="24"/>
                <w:szCs w:val="24"/>
              </w:rPr>
              <w:t>3</w:t>
            </w:r>
            <w:r w:rsidR="00E00920" w:rsidRPr="00EA3F30">
              <w:rPr>
                <w:rFonts w:ascii="Times New Roman" w:hAnsi="Times New Roman"/>
                <w:sz w:val="24"/>
                <w:szCs w:val="24"/>
              </w:rPr>
              <w:t xml:space="preserve">. Ar 2012.gada 13.septembra grozījumiem no Pārtikas aprites uzraudzības likuma izslēgta 4.panta sešpadsmitā daļa, kas pilnvaroja Ministru kabinetu noteikt valsts nodevu par nacionālās pārtikas kvalitātes shēmas kontroles institūcijas </w:t>
            </w:r>
            <w:r w:rsidR="00E00920" w:rsidRPr="00EA3F30">
              <w:rPr>
                <w:rFonts w:ascii="Times New Roman" w:hAnsi="Times New Roman"/>
                <w:sz w:val="24"/>
                <w:szCs w:val="24"/>
              </w:rPr>
              <w:lastRenderedPageBreak/>
              <w:t>apstiprināšanas aplie</w:t>
            </w:r>
            <w:r w:rsidR="00B71AD0" w:rsidRPr="00EA3F30">
              <w:rPr>
                <w:rFonts w:ascii="Times New Roman" w:hAnsi="Times New Roman"/>
                <w:sz w:val="24"/>
                <w:szCs w:val="24"/>
              </w:rPr>
              <w:t xml:space="preserve">cības izsniegšanu. </w:t>
            </w:r>
            <w:r w:rsidR="00506B43" w:rsidRPr="00EA3F30">
              <w:rPr>
                <w:rFonts w:ascii="Times New Roman" w:hAnsi="Times New Roman"/>
                <w:sz w:val="24"/>
                <w:szCs w:val="24"/>
              </w:rPr>
              <w:t xml:space="preserve">Vienlaikus likuma grozījumi noteica, ka </w:t>
            </w:r>
            <w:r w:rsidR="00B71AD0" w:rsidRPr="00EA3F30">
              <w:rPr>
                <w:rFonts w:ascii="Times New Roman" w:hAnsi="Times New Roman"/>
                <w:sz w:val="24"/>
                <w:szCs w:val="24"/>
              </w:rPr>
              <w:t xml:space="preserve">turpmāk nacionālās pārtikas kvalitātes shēmas kontroles institūcijas funkcijas veiks </w:t>
            </w:r>
            <w:r w:rsidR="00E17782" w:rsidRPr="00EA3F30">
              <w:rPr>
                <w:rFonts w:ascii="Times New Roman" w:hAnsi="Times New Roman"/>
                <w:sz w:val="24"/>
                <w:szCs w:val="24"/>
              </w:rPr>
              <w:t>PVD</w:t>
            </w:r>
            <w:r w:rsidR="00506B43" w:rsidRPr="00EA3F30">
              <w:rPr>
                <w:rFonts w:ascii="Times New Roman" w:hAnsi="Times New Roman"/>
                <w:sz w:val="24"/>
                <w:szCs w:val="24"/>
              </w:rPr>
              <w:t xml:space="preserve"> </w:t>
            </w:r>
            <w:r w:rsidR="00B71AD0" w:rsidRPr="00EA3F30">
              <w:rPr>
                <w:rFonts w:ascii="Times New Roman" w:hAnsi="Times New Roman"/>
                <w:sz w:val="24"/>
                <w:szCs w:val="24"/>
              </w:rPr>
              <w:t>un tāpēc netiks apstiprinātas citas kontroles institūcijas un attiecīgi arī netiks maksāta nodeva</w:t>
            </w:r>
            <w:r w:rsidR="007B07CF">
              <w:rPr>
                <w:rFonts w:ascii="Times New Roman" w:hAnsi="Times New Roman"/>
                <w:sz w:val="24"/>
                <w:szCs w:val="24"/>
              </w:rPr>
              <w:t>. Ievērojot</w:t>
            </w:r>
            <w:r w:rsidR="00506B43" w:rsidRPr="00EA3F30">
              <w:rPr>
                <w:rFonts w:ascii="Times New Roman" w:hAnsi="Times New Roman"/>
                <w:sz w:val="24"/>
                <w:szCs w:val="24"/>
              </w:rPr>
              <w:t xml:space="preserve"> minēto,</w:t>
            </w:r>
            <w:r w:rsidR="00E00920" w:rsidRPr="00EA3F30">
              <w:rPr>
                <w:rFonts w:ascii="Times New Roman" w:hAnsi="Times New Roman"/>
                <w:sz w:val="24"/>
                <w:szCs w:val="24"/>
              </w:rPr>
              <w:t xml:space="preserve"> no</w:t>
            </w:r>
            <w:r w:rsidR="00E00920" w:rsidRPr="00EA3F30">
              <w:rPr>
                <w:rFonts w:ascii="Times New Roman" w:hAnsi="Times New Roman"/>
                <w:bCs/>
                <w:sz w:val="24"/>
                <w:szCs w:val="24"/>
                <w:shd w:val="clear" w:color="auto" w:fill="FFFFFF"/>
              </w:rPr>
              <w:t xml:space="preserve"> likuma izslēdzams 11.panta otrās daļas 100.punkt</w:t>
            </w:r>
            <w:r w:rsidR="00B4448B" w:rsidRPr="00EA3F30">
              <w:rPr>
                <w:rFonts w:ascii="Times New Roman" w:hAnsi="Times New Roman"/>
                <w:bCs/>
                <w:sz w:val="24"/>
                <w:szCs w:val="24"/>
                <w:shd w:val="clear" w:color="auto" w:fill="FFFFFF"/>
              </w:rPr>
              <w:t>s</w:t>
            </w:r>
            <w:r w:rsidR="00E00920" w:rsidRPr="00EA3F30">
              <w:rPr>
                <w:rFonts w:ascii="Times New Roman" w:hAnsi="Times New Roman"/>
                <w:sz w:val="24"/>
                <w:szCs w:val="24"/>
              </w:rPr>
              <w:t>.</w:t>
            </w:r>
            <w:r w:rsidR="00E00920" w:rsidRPr="003F7E1D">
              <w:rPr>
                <w:rFonts w:ascii="Times New Roman" w:hAnsi="Times New Roman"/>
                <w:sz w:val="24"/>
                <w:szCs w:val="24"/>
              </w:rPr>
              <w:t xml:space="preserve"> </w:t>
            </w:r>
          </w:p>
        </w:tc>
      </w:tr>
      <w:tr w:rsidR="00A844B0" w:rsidRPr="003F7E1D" w14:paraId="1F71F112" w14:textId="77777777" w:rsidTr="00CD0C35">
        <w:trPr>
          <w:trHeight w:val="372"/>
          <w:tblCellSpacing w:w="15" w:type="dxa"/>
        </w:trPr>
        <w:tc>
          <w:tcPr>
            <w:tcW w:w="247" w:type="pct"/>
            <w:hideMark/>
          </w:tcPr>
          <w:p w14:paraId="1F71F10F" w14:textId="77777777" w:rsidR="00EB09A4" w:rsidRPr="003F7E1D" w:rsidRDefault="00EB09A4" w:rsidP="005B5981">
            <w:r w:rsidRPr="003F7E1D">
              <w:lastRenderedPageBreak/>
              <w:t>3.</w:t>
            </w:r>
          </w:p>
        </w:tc>
        <w:tc>
          <w:tcPr>
            <w:tcW w:w="1441" w:type="pct"/>
            <w:hideMark/>
          </w:tcPr>
          <w:p w14:paraId="1F71F110" w14:textId="77777777" w:rsidR="00EB09A4" w:rsidRPr="003F7E1D" w:rsidRDefault="00EB09A4" w:rsidP="005B5981">
            <w:r w:rsidRPr="003F7E1D">
              <w:t>Projekta izstrādē iesaistītās institūcijas</w:t>
            </w:r>
          </w:p>
        </w:tc>
        <w:tc>
          <w:tcPr>
            <w:tcW w:w="3246" w:type="pct"/>
            <w:hideMark/>
          </w:tcPr>
          <w:p w14:paraId="1F71F111" w14:textId="77777777" w:rsidR="00EB09A4" w:rsidRPr="003F7E1D" w:rsidRDefault="0067393E" w:rsidP="001B70D9">
            <w:pPr>
              <w:jc w:val="both"/>
            </w:pPr>
            <w:r w:rsidRPr="003F7E1D">
              <w:t>Valsts tehniskās uzraudzības aģentūra</w:t>
            </w:r>
            <w:r w:rsidR="001B70D9" w:rsidRPr="003F7E1D">
              <w:t>,</w:t>
            </w:r>
            <w:r w:rsidR="00E228E4" w:rsidRPr="003F7E1D">
              <w:t xml:space="preserve"> Lauk</w:t>
            </w:r>
            <w:r w:rsidR="00004AF8" w:rsidRPr="003F7E1D">
              <w:t>saimniecības datu centrs</w:t>
            </w:r>
            <w:r w:rsidR="001B70D9" w:rsidRPr="003F7E1D">
              <w:t xml:space="preserve"> un Pārtikas un veterinārais dienests</w:t>
            </w:r>
          </w:p>
        </w:tc>
      </w:tr>
      <w:tr w:rsidR="00A844B0" w:rsidRPr="003F7E1D" w14:paraId="1F71F116" w14:textId="77777777" w:rsidTr="00CD0C35">
        <w:trPr>
          <w:tblCellSpacing w:w="15" w:type="dxa"/>
        </w:trPr>
        <w:tc>
          <w:tcPr>
            <w:tcW w:w="247" w:type="pct"/>
            <w:hideMark/>
          </w:tcPr>
          <w:p w14:paraId="1F71F113" w14:textId="77777777" w:rsidR="00EB09A4" w:rsidRPr="003F7E1D" w:rsidRDefault="00EB09A4" w:rsidP="005B5981">
            <w:r w:rsidRPr="003F7E1D">
              <w:t>4.</w:t>
            </w:r>
          </w:p>
        </w:tc>
        <w:tc>
          <w:tcPr>
            <w:tcW w:w="1441" w:type="pct"/>
            <w:hideMark/>
          </w:tcPr>
          <w:p w14:paraId="1F71F114" w14:textId="77777777" w:rsidR="00EB09A4" w:rsidRPr="003F7E1D" w:rsidRDefault="00EB09A4" w:rsidP="005B5981">
            <w:r w:rsidRPr="003F7E1D">
              <w:t>Cita informācija</w:t>
            </w:r>
          </w:p>
        </w:tc>
        <w:tc>
          <w:tcPr>
            <w:tcW w:w="3246" w:type="pct"/>
            <w:hideMark/>
          </w:tcPr>
          <w:p w14:paraId="1F71F115" w14:textId="77777777" w:rsidR="00507ACD" w:rsidRPr="003F7E1D" w:rsidRDefault="00004AF8" w:rsidP="005B5981">
            <w:r w:rsidRPr="003F7E1D">
              <w:t>Nav</w:t>
            </w:r>
          </w:p>
        </w:tc>
      </w:tr>
    </w:tbl>
    <w:p w14:paraId="1F71F117" w14:textId="77777777" w:rsidR="0034630B" w:rsidRPr="003F7E1D" w:rsidRDefault="0034630B" w:rsidP="005B5981">
      <w:pPr>
        <w:ind w:firstLine="301"/>
        <w:rPr>
          <w:iCs/>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9"/>
        <w:gridCol w:w="2679"/>
        <w:gridCol w:w="6011"/>
      </w:tblGrid>
      <w:tr w:rsidR="009601A7" w:rsidRPr="003F7E1D" w14:paraId="1F71F119" w14:textId="77777777" w:rsidTr="00025127">
        <w:trPr>
          <w:trHeight w:val="444"/>
          <w:tblCellSpacing w:w="15" w:type="dxa"/>
        </w:trPr>
        <w:tc>
          <w:tcPr>
            <w:tcW w:w="0" w:type="auto"/>
            <w:gridSpan w:val="3"/>
            <w:vAlign w:val="center"/>
            <w:hideMark/>
          </w:tcPr>
          <w:p w14:paraId="1F71F118" w14:textId="77777777" w:rsidR="009601A7" w:rsidRPr="003F7E1D" w:rsidRDefault="009601A7" w:rsidP="002D0946">
            <w:pPr>
              <w:jc w:val="center"/>
              <w:rPr>
                <w:b/>
                <w:bCs/>
              </w:rPr>
            </w:pPr>
            <w:r w:rsidRPr="003F7E1D">
              <w:rPr>
                <w:b/>
                <w:bCs/>
                <w:sz w:val="28"/>
              </w:rPr>
              <w:t>II. Tiesību akta projekta ietekme uz sabiedrību, tautsaimniecības attīstību un administratīvo slogu</w:t>
            </w:r>
          </w:p>
        </w:tc>
      </w:tr>
      <w:tr w:rsidR="009601A7" w:rsidRPr="003F7E1D" w14:paraId="1F71F11F" w14:textId="77777777" w:rsidTr="00CD0C35">
        <w:trPr>
          <w:trHeight w:val="372"/>
          <w:tblCellSpacing w:w="15" w:type="dxa"/>
        </w:trPr>
        <w:tc>
          <w:tcPr>
            <w:tcW w:w="247" w:type="pct"/>
            <w:hideMark/>
          </w:tcPr>
          <w:p w14:paraId="1F71F11A" w14:textId="77777777" w:rsidR="009601A7" w:rsidRPr="003F7E1D" w:rsidRDefault="009601A7" w:rsidP="005B5981">
            <w:r w:rsidRPr="003F7E1D">
              <w:t>1.</w:t>
            </w:r>
          </w:p>
        </w:tc>
        <w:tc>
          <w:tcPr>
            <w:tcW w:w="1441" w:type="pct"/>
            <w:hideMark/>
          </w:tcPr>
          <w:p w14:paraId="1F71F11B" w14:textId="77777777" w:rsidR="009601A7" w:rsidRPr="003F7E1D" w:rsidRDefault="009601A7" w:rsidP="005B5981">
            <w:r w:rsidRPr="003F7E1D">
              <w:t>Sabiedrības mērķgrupas, kuras tiesiskais regulējums ietekmē vai varētu ietekmēt</w:t>
            </w:r>
          </w:p>
        </w:tc>
        <w:tc>
          <w:tcPr>
            <w:tcW w:w="3246" w:type="pct"/>
            <w:hideMark/>
          </w:tcPr>
          <w:p w14:paraId="1F71F11C" w14:textId="77777777" w:rsidR="00FC16BE" w:rsidRPr="00663C87" w:rsidRDefault="0067393E" w:rsidP="006A738C">
            <w:pPr>
              <w:jc w:val="both"/>
            </w:pPr>
            <w:r w:rsidRPr="00663C87">
              <w:t>Likumprojekta tiesiskais regulējums attieksies uz</w:t>
            </w:r>
            <w:r w:rsidR="00FC16BE" w:rsidRPr="00663C87">
              <w:t>:</w:t>
            </w:r>
          </w:p>
          <w:p w14:paraId="1F71F11D" w14:textId="77777777" w:rsidR="0067393E" w:rsidRPr="00663C87" w:rsidRDefault="00FC16BE" w:rsidP="006A738C">
            <w:pPr>
              <w:jc w:val="both"/>
            </w:pPr>
            <w:r w:rsidRPr="00663C87">
              <w:t>1)</w:t>
            </w:r>
            <w:r w:rsidR="0067393E" w:rsidRPr="00663C87">
              <w:t xml:space="preserve"> personām, kas vēlēsies reģistrēt VTUA traktortehniku vai tās piekabes. Mērķgrupas skaitlisko lielumu noteikt nav iespējams, jo nevar paredzēt, cik personām nākotnē būs nepieciešams reģistrēt traktortehniku vai tās piekabes</w:t>
            </w:r>
            <w:r w:rsidRPr="00663C87">
              <w:t>;</w:t>
            </w:r>
          </w:p>
          <w:p w14:paraId="1F71F11E" w14:textId="77777777" w:rsidR="009601A7" w:rsidRPr="00663C87" w:rsidRDefault="00FC16BE" w:rsidP="006A738C">
            <w:pPr>
              <w:jc w:val="both"/>
            </w:pPr>
            <w:r w:rsidRPr="00663C87">
              <w:t xml:space="preserve">2) </w:t>
            </w:r>
            <w:r w:rsidR="001C7B92" w:rsidRPr="00663C87">
              <w:t>lauksaimniecības dzīvnieku īpašniekiem un turētājiem. Saskaņā ar informāciju LDC datubāzē šobrīd ir reģistrēti 42 404 ganāmpulki, tāpēc dzīvnieku īpašnieku un turētāju skaits aptuveni atbilst minētajam skaitlim – 42</w:t>
            </w:r>
            <w:r w:rsidR="002E29AE" w:rsidRPr="00663C87">
              <w:t> </w:t>
            </w:r>
            <w:r w:rsidR="001C7B92" w:rsidRPr="00663C87">
              <w:t>404</w:t>
            </w:r>
            <w:r w:rsidR="002E29AE" w:rsidRPr="00663C87">
              <w:t>.</w:t>
            </w:r>
          </w:p>
        </w:tc>
      </w:tr>
      <w:tr w:rsidR="009601A7" w:rsidRPr="003F7E1D" w14:paraId="1F71F124" w14:textId="77777777" w:rsidTr="00CD0C35">
        <w:trPr>
          <w:trHeight w:val="408"/>
          <w:tblCellSpacing w:w="15" w:type="dxa"/>
        </w:trPr>
        <w:tc>
          <w:tcPr>
            <w:tcW w:w="247" w:type="pct"/>
            <w:hideMark/>
          </w:tcPr>
          <w:p w14:paraId="1F71F120" w14:textId="77777777" w:rsidR="009601A7" w:rsidRPr="003F7E1D" w:rsidRDefault="009601A7" w:rsidP="005B5981">
            <w:r w:rsidRPr="003F7E1D">
              <w:t>2.</w:t>
            </w:r>
          </w:p>
        </w:tc>
        <w:tc>
          <w:tcPr>
            <w:tcW w:w="1441" w:type="pct"/>
            <w:hideMark/>
          </w:tcPr>
          <w:p w14:paraId="1F71F121" w14:textId="77777777" w:rsidR="009601A7" w:rsidRPr="003F7E1D" w:rsidRDefault="009601A7" w:rsidP="005B5981">
            <w:r w:rsidRPr="003F7E1D">
              <w:t>Tiesiskā regulējuma ietekme uz tautsaimniecību un administratīvo slogu</w:t>
            </w:r>
          </w:p>
        </w:tc>
        <w:tc>
          <w:tcPr>
            <w:tcW w:w="3246" w:type="pct"/>
            <w:hideMark/>
          </w:tcPr>
          <w:p w14:paraId="1F71F122" w14:textId="77777777" w:rsidR="0067393E" w:rsidRPr="00663C87" w:rsidRDefault="0067393E" w:rsidP="005B5981">
            <w:pPr>
              <w:jc w:val="both"/>
            </w:pPr>
            <w:r w:rsidRPr="00663C87">
              <w:t xml:space="preserve">1. </w:t>
            </w:r>
            <w:r w:rsidR="00B858E5" w:rsidRPr="00663C87">
              <w:t>Likump</w:t>
            </w:r>
            <w:r w:rsidRPr="00663C87">
              <w:t>rojekt</w:t>
            </w:r>
            <w:r w:rsidR="00B858E5" w:rsidRPr="00663C87">
              <w:t>ā noteiktais</w:t>
            </w:r>
            <w:r w:rsidRPr="00663C87">
              <w:t xml:space="preserve"> regulējums neparedz finansiālu ietekmi attiecībā uz personām, kurām nepieciešams reģistrēt VTUA traktortehniku vai tās piekabes, jo maksājums, lai nosegtu pašizmaksā pakalpojuma izmaksas, saglabājas, tikai valsts nodeva tiek transformēta par maksas pakalpojumu. Izcenojumu apmērs par VTUA sniegto pakalpojum</w:t>
            </w:r>
            <w:r w:rsidR="000A3314">
              <w:t xml:space="preserve">u tiks noteikts tādā pašā apmērā kā pašreizējās </w:t>
            </w:r>
            <w:r w:rsidRPr="00663C87">
              <w:t>valsts nodevas.</w:t>
            </w:r>
          </w:p>
          <w:p w14:paraId="1F71F123" w14:textId="77777777" w:rsidR="00B94CCD" w:rsidRPr="00663C87" w:rsidRDefault="0067393E" w:rsidP="00625132">
            <w:pPr>
              <w:pStyle w:val="naiskr"/>
              <w:spacing w:before="0" w:after="0"/>
              <w:jc w:val="both"/>
            </w:pPr>
            <w:r w:rsidRPr="00663C87">
              <w:t>2.</w:t>
            </w:r>
            <w:r w:rsidR="00625132" w:rsidRPr="00663C87">
              <w:t xml:space="preserve"> </w:t>
            </w:r>
            <w:r w:rsidR="009F4E1F" w:rsidRPr="00663C87">
              <w:t>Likumprojekta tiesiskais regulējums sabiedrības grupām un institūcijām nemaina tiesības un pienākumus,</w:t>
            </w:r>
            <w:r w:rsidR="000A3314">
              <w:t xml:space="preserve"> ne</w:t>
            </w:r>
            <w:r w:rsidR="009F4E1F" w:rsidRPr="00663C87">
              <w:t xml:space="preserve"> arī veicamās darbības, jo l</w:t>
            </w:r>
            <w:r w:rsidR="003B7AAF" w:rsidRPr="00663C87">
              <w:t xml:space="preserve">īdzšinējās valsts nodevas </w:t>
            </w:r>
            <w:r w:rsidR="009F4E1F" w:rsidRPr="00663C87">
              <w:t xml:space="preserve">par LDC sniegtajiem pakalpojumiem </w:t>
            </w:r>
            <w:r w:rsidR="003B7AAF" w:rsidRPr="00663C87">
              <w:t>ar ciltsdarbu un dzīvnieku audzēšanu saistītajām personām tiks pārklasificētas par maksas pakalpojumiem</w:t>
            </w:r>
            <w:r w:rsidR="009F4E1F" w:rsidRPr="00663C87">
              <w:t xml:space="preserve">. </w:t>
            </w:r>
          </w:p>
        </w:tc>
      </w:tr>
      <w:tr w:rsidR="001C7B92" w:rsidRPr="003F7E1D" w14:paraId="1F71F128" w14:textId="77777777" w:rsidTr="00CD0C35">
        <w:trPr>
          <w:trHeight w:val="408"/>
          <w:tblCellSpacing w:w="15" w:type="dxa"/>
        </w:trPr>
        <w:tc>
          <w:tcPr>
            <w:tcW w:w="247" w:type="pct"/>
            <w:hideMark/>
          </w:tcPr>
          <w:p w14:paraId="1F71F125" w14:textId="77777777" w:rsidR="001C7B92" w:rsidRPr="003F7E1D" w:rsidRDefault="001C7B92" w:rsidP="005B5981">
            <w:r w:rsidRPr="003F7E1D">
              <w:t>3.</w:t>
            </w:r>
          </w:p>
        </w:tc>
        <w:tc>
          <w:tcPr>
            <w:tcW w:w="1441" w:type="pct"/>
            <w:hideMark/>
          </w:tcPr>
          <w:p w14:paraId="1F71F126" w14:textId="77777777" w:rsidR="001C7B92" w:rsidRPr="003F7E1D" w:rsidRDefault="001C7B92" w:rsidP="005B5981">
            <w:r w:rsidRPr="003F7E1D">
              <w:t>Administratīvo izmaksu monetārs novērtējums</w:t>
            </w:r>
          </w:p>
        </w:tc>
        <w:tc>
          <w:tcPr>
            <w:tcW w:w="3246" w:type="pct"/>
            <w:hideMark/>
          </w:tcPr>
          <w:p w14:paraId="1F71F127" w14:textId="77777777" w:rsidR="001C7B92" w:rsidRPr="003F7E1D" w:rsidRDefault="001C7B92" w:rsidP="005B5981">
            <w:r w:rsidRPr="003F7E1D">
              <w:t>Projekts šo jomu neskar.</w:t>
            </w:r>
          </w:p>
        </w:tc>
      </w:tr>
      <w:tr w:rsidR="001C7B92" w:rsidRPr="003F7E1D" w14:paraId="1F71F12C" w14:textId="77777777" w:rsidTr="00CD0C35">
        <w:trPr>
          <w:trHeight w:val="276"/>
          <w:tblCellSpacing w:w="15" w:type="dxa"/>
        </w:trPr>
        <w:tc>
          <w:tcPr>
            <w:tcW w:w="247" w:type="pct"/>
            <w:hideMark/>
          </w:tcPr>
          <w:p w14:paraId="1F71F129" w14:textId="77777777" w:rsidR="001C7B92" w:rsidRPr="003F7E1D" w:rsidRDefault="001C7B92" w:rsidP="005B5981">
            <w:r w:rsidRPr="003F7E1D">
              <w:t>4.</w:t>
            </w:r>
          </w:p>
        </w:tc>
        <w:tc>
          <w:tcPr>
            <w:tcW w:w="1441" w:type="pct"/>
            <w:hideMark/>
          </w:tcPr>
          <w:p w14:paraId="1F71F12A" w14:textId="77777777" w:rsidR="001C7B92" w:rsidRPr="003F7E1D" w:rsidRDefault="001C7B92" w:rsidP="005B5981">
            <w:r w:rsidRPr="003F7E1D">
              <w:t>Cita informācija</w:t>
            </w:r>
          </w:p>
        </w:tc>
        <w:tc>
          <w:tcPr>
            <w:tcW w:w="3246" w:type="pct"/>
            <w:hideMark/>
          </w:tcPr>
          <w:p w14:paraId="1F71F12B" w14:textId="77777777" w:rsidR="001C7B92" w:rsidRPr="003F7E1D" w:rsidRDefault="001C7B92" w:rsidP="005B5981">
            <w:r w:rsidRPr="003F7E1D">
              <w:t>Nav</w:t>
            </w:r>
          </w:p>
        </w:tc>
      </w:tr>
    </w:tbl>
    <w:p w14:paraId="1F71F12D" w14:textId="77777777" w:rsidR="0034630B" w:rsidRPr="003F7E1D" w:rsidRDefault="0034630B" w:rsidP="005B5981">
      <w:pPr>
        <w:ind w:firstLine="301"/>
        <w:rPr>
          <w:iCs/>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4" w:type="dxa"/>
          <w:left w:w="24" w:type="dxa"/>
          <w:bottom w:w="24" w:type="dxa"/>
          <w:right w:w="24" w:type="dxa"/>
        </w:tblCellMar>
        <w:tblLook w:val="04A0" w:firstRow="1" w:lastRow="0" w:firstColumn="1" w:lastColumn="0" w:noHBand="0" w:noVBand="1"/>
      </w:tblPr>
      <w:tblGrid>
        <w:gridCol w:w="2469"/>
        <w:gridCol w:w="1134"/>
        <w:gridCol w:w="1559"/>
        <w:gridCol w:w="1276"/>
        <w:gridCol w:w="1418"/>
        <w:gridCol w:w="1333"/>
      </w:tblGrid>
      <w:tr w:rsidR="001606F9" w:rsidRPr="001606F9" w14:paraId="1F71F12F" w14:textId="77777777" w:rsidTr="0056089A">
        <w:trPr>
          <w:trHeight w:val="288"/>
          <w:tblCellSpacing w:w="15" w:type="dxa"/>
          <w:jc w:val="center"/>
        </w:trPr>
        <w:tc>
          <w:tcPr>
            <w:tcW w:w="9129" w:type="dxa"/>
            <w:gridSpan w:val="6"/>
            <w:vAlign w:val="center"/>
            <w:hideMark/>
          </w:tcPr>
          <w:p w14:paraId="1F71F12E" w14:textId="77777777" w:rsidR="005151D9" w:rsidRPr="001606F9" w:rsidRDefault="005151D9" w:rsidP="002D0946">
            <w:pPr>
              <w:jc w:val="center"/>
              <w:rPr>
                <w:b/>
                <w:bCs/>
              </w:rPr>
            </w:pPr>
            <w:r w:rsidRPr="001606F9">
              <w:rPr>
                <w:b/>
                <w:bCs/>
                <w:sz w:val="28"/>
              </w:rPr>
              <w:t>III. Tiesību akta projekta ietekme uz valsts budžetu un pašvaldību budžetiem</w:t>
            </w:r>
          </w:p>
        </w:tc>
      </w:tr>
      <w:tr w:rsidR="001606F9" w:rsidRPr="001606F9" w14:paraId="1F71F133" w14:textId="77777777" w:rsidTr="00CF0BB6">
        <w:trPr>
          <w:tblCellSpacing w:w="15" w:type="dxa"/>
          <w:jc w:val="center"/>
        </w:trPr>
        <w:tc>
          <w:tcPr>
            <w:tcW w:w="2424" w:type="dxa"/>
            <w:vMerge w:val="restart"/>
            <w:vAlign w:val="center"/>
            <w:hideMark/>
          </w:tcPr>
          <w:p w14:paraId="1F71F130" w14:textId="77777777" w:rsidR="005151D9" w:rsidRPr="001606F9" w:rsidRDefault="005151D9" w:rsidP="005B5981">
            <w:pPr>
              <w:ind w:firstLine="300"/>
              <w:rPr>
                <w:b/>
                <w:bCs/>
              </w:rPr>
            </w:pPr>
            <w:r w:rsidRPr="001606F9">
              <w:rPr>
                <w:b/>
                <w:bCs/>
              </w:rPr>
              <w:t>Rādītāji</w:t>
            </w:r>
          </w:p>
        </w:tc>
        <w:tc>
          <w:tcPr>
            <w:tcW w:w="2663" w:type="dxa"/>
            <w:gridSpan w:val="2"/>
            <w:vMerge w:val="restart"/>
            <w:vAlign w:val="center"/>
            <w:hideMark/>
          </w:tcPr>
          <w:p w14:paraId="1F71F131" w14:textId="77777777" w:rsidR="005151D9" w:rsidRPr="001606F9" w:rsidRDefault="00BA3DBA" w:rsidP="00CF0BB6">
            <w:pPr>
              <w:jc w:val="center"/>
              <w:rPr>
                <w:b/>
                <w:bCs/>
              </w:rPr>
            </w:pPr>
            <w:r w:rsidRPr="001606F9">
              <w:rPr>
                <w:b/>
                <w:bCs/>
              </w:rPr>
              <w:t>2014.</w:t>
            </w:r>
            <w:r w:rsidR="005151D9" w:rsidRPr="001606F9">
              <w:rPr>
                <w:b/>
                <w:bCs/>
              </w:rPr>
              <w:t>gads</w:t>
            </w:r>
          </w:p>
        </w:tc>
        <w:tc>
          <w:tcPr>
            <w:tcW w:w="3982" w:type="dxa"/>
            <w:gridSpan w:val="3"/>
            <w:vAlign w:val="center"/>
            <w:hideMark/>
          </w:tcPr>
          <w:p w14:paraId="1F71F132" w14:textId="77777777" w:rsidR="005151D9" w:rsidRPr="001606F9" w:rsidRDefault="005151D9" w:rsidP="00CF0BB6">
            <w:pPr>
              <w:jc w:val="center"/>
            </w:pPr>
            <w:r w:rsidRPr="001606F9">
              <w:t>Turpmākie trīs gadi (</w:t>
            </w:r>
            <w:r w:rsidRPr="001606F9">
              <w:rPr>
                <w:i/>
                <w:iCs/>
              </w:rPr>
              <w:t>euro</w:t>
            </w:r>
            <w:r w:rsidRPr="001606F9">
              <w:t>)</w:t>
            </w:r>
          </w:p>
        </w:tc>
      </w:tr>
      <w:tr w:rsidR="00CF0BB6" w:rsidRPr="001606F9" w14:paraId="1F71F139" w14:textId="77777777" w:rsidTr="00D15931">
        <w:trPr>
          <w:tblCellSpacing w:w="15" w:type="dxa"/>
          <w:jc w:val="center"/>
        </w:trPr>
        <w:tc>
          <w:tcPr>
            <w:tcW w:w="2424" w:type="dxa"/>
            <w:vMerge/>
            <w:vAlign w:val="center"/>
            <w:hideMark/>
          </w:tcPr>
          <w:p w14:paraId="1F71F134" w14:textId="77777777" w:rsidR="005151D9" w:rsidRPr="001606F9" w:rsidRDefault="005151D9" w:rsidP="005B5981">
            <w:pPr>
              <w:rPr>
                <w:b/>
                <w:bCs/>
              </w:rPr>
            </w:pPr>
          </w:p>
        </w:tc>
        <w:tc>
          <w:tcPr>
            <w:tcW w:w="2663" w:type="dxa"/>
            <w:gridSpan w:val="2"/>
            <w:vMerge/>
            <w:vAlign w:val="center"/>
            <w:hideMark/>
          </w:tcPr>
          <w:p w14:paraId="1F71F135" w14:textId="77777777" w:rsidR="005151D9" w:rsidRPr="001606F9" w:rsidRDefault="005151D9" w:rsidP="00CF0BB6">
            <w:pPr>
              <w:rPr>
                <w:b/>
                <w:bCs/>
              </w:rPr>
            </w:pPr>
          </w:p>
        </w:tc>
        <w:tc>
          <w:tcPr>
            <w:tcW w:w="1246" w:type="dxa"/>
            <w:vAlign w:val="center"/>
            <w:hideMark/>
          </w:tcPr>
          <w:p w14:paraId="1F71F136" w14:textId="77777777" w:rsidR="005151D9" w:rsidRPr="001606F9" w:rsidRDefault="00BA3DBA" w:rsidP="00CF0BB6">
            <w:pPr>
              <w:jc w:val="center"/>
              <w:rPr>
                <w:b/>
                <w:bCs/>
              </w:rPr>
            </w:pPr>
            <w:r w:rsidRPr="001606F9">
              <w:rPr>
                <w:b/>
                <w:bCs/>
              </w:rPr>
              <w:t>2015.gads</w:t>
            </w:r>
          </w:p>
        </w:tc>
        <w:tc>
          <w:tcPr>
            <w:tcW w:w="1388" w:type="dxa"/>
            <w:vAlign w:val="center"/>
            <w:hideMark/>
          </w:tcPr>
          <w:p w14:paraId="1F71F137" w14:textId="77777777" w:rsidR="005151D9" w:rsidRPr="001606F9" w:rsidRDefault="001209FA" w:rsidP="00CF0BB6">
            <w:pPr>
              <w:jc w:val="center"/>
              <w:rPr>
                <w:b/>
                <w:bCs/>
              </w:rPr>
            </w:pPr>
            <w:r>
              <w:rPr>
                <w:b/>
                <w:bCs/>
              </w:rPr>
              <w:t>2016.</w:t>
            </w:r>
            <w:r w:rsidR="00BA3DBA" w:rsidRPr="001606F9">
              <w:rPr>
                <w:b/>
                <w:bCs/>
              </w:rPr>
              <w:t>gads</w:t>
            </w:r>
          </w:p>
        </w:tc>
        <w:tc>
          <w:tcPr>
            <w:tcW w:w="1288" w:type="dxa"/>
            <w:vAlign w:val="center"/>
            <w:hideMark/>
          </w:tcPr>
          <w:p w14:paraId="1F71F138" w14:textId="77777777" w:rsidR="005151D9" w:rsidRPr="001606F9" w:rsidRDefault="001209FA" w:rsidP="00CF0BB6">
            <w:pPr>
              <w:jc w:val="center"/>
              <w:rPr>
                <w:b/>
                <w:bCs/>
              </w:rPr>
            </w:pPr>
            <w:r>
              <w:rPr>
                <w:b/>
                <w:bCs/>
              </w:rPr>
              <w:t>2017.</w:t>
            </w:r>
            <w:r w:rsidR="00BA3DBA" w:rsidRPr="001606F9">
              <w:rPr>
                <w:b/>
                <w:bCs/>
              </w:rPr>
              <w:t>gads</w:t>
            </w:r>
          </w:p>
        </w:tc>
      </w:tr>
      <w:tr w:rsidR="00CF0BB6" w:rsidRPr="001606F9" w14:paraId="1F71F140" w14:textId="77777777" w:rsidTr="00D15931">
        <w:trPr>
          <w:tblCellSpacing w:w="15" w:type="dxa"/>
          <w:jc w:val="center"/>
        </w:trPr>
        <w:tc>
          <w:tcPr>
            <w:tcW w:w="2424" w:type="dxa"/>
            <w:vMerge/>
            <w:vAlign w:val="center"/>
            <w:hideMark/>
          </w:tcPr>
          <w:p w14:paraId="1F71F13A" w14:textId="77777777" w:rsidR="005151D9" w:rsidRPr="001606F9" w:rsidRDefault="005151D9" w:rsidP="005B5981">
            <w:pPr>
              <w:rPr>
                <w:b/>
                <w:bCs/>
              </w:rPr>
            </w:pPr>
          </w:p>
        </w:tc>
        <w:tc>
          <w:tcPr>
            <w:tcW w:w="1104" w:type="dxa"/>
            <w:vAlign w:val="center"/>
            <w:hideMark/>
          </w:tcPr>
          <w:p w14:paraId="1F71F13B" w14:textId="77777777" w:rsidR="005151D9" w:rsidRPr="00E92CA1" w:rsidRDefault="005151D9" w:rsidP="000B3F3B">
            <w:pPr>
              <w:jc w:val="center"/>
            </w:pPr>
            <w:r w:rsidRPr="00E92CA1">
              <w:t xml:space="preserve">saskaņā ar valsts budžetu kārtējam </w:t>
            </w:r>
            <w:r w:rsidRPr="00E92CA1">
              <w:lastRenderedPageBreak/>
              <w:t>gadam</w:t>
            </w:r>
            <w:r w:rsidR="000B3F3B" w:rsidRPr="00E92CA1">
              <w:rPr>
                <w:b/>
                <w:bCs/>
              </w:rPr>
              <w:t>*</w:t>
            </w:r>
          </w:p>
        </w:tc>
        <w:tc>
          <w:tcPr>
            <w:tcW w:w="1529" w:type="dxa"/>
            <w:vAlign w:val="center"/>
            <w:hideMark/>
          </w:tcPr>
          <w:p w14:paraId="1F71F13C" w14:textId="77777777" w:rsidR="005151D9" w:rsidRPr="00E92CA1" w:rsidRDefault="005151D9" w:rsidP="0056089A">
            <w:pPr>
              <w:jc w:val="center"/>
            </w:pPr>
            <w:r w:rsidRPr="00E92CA1">
              <w:lastRenderedPageBreak/>
              <w:t xml:space="preserve">izmaiņas kārtējā gadā, salīdzinot ar valsts budžetu </w:t>
            </w:r>
            <w:r w:rsidRPr="00E92CA1">
              <w:lastRenderedPageBreak/>
              <w:t>kārtējam gadam</w:t>
            </w:r>
          </w:p>
        </w:tc>
        <w:tc>
          <w:tcPr>
            <w:tcW w:w="1246" w:type="dxa"/>
            <w:vAlign w:val="center"/>
            <w:hideMark/>
          </w:tcPr>
          <w:p w14:paraId="1F71F13D" w14:textId="77777777" w:rsidR="005151D9" w:rsidRPr="001606F9" w:rsidRDefault="005151D9" w:rsidP="00432D85">
            <w:pPr>
              <w:jc w:val="center"/>
            </w:pPr>
            <w:r w:rsidRPr="001606F9">
              <w:lastRenderedPageBreak/>
              <w:t>izmaiņas, salīdzinot ar kārtējo (</w:t>
            </w:r>
            <w:r w:rsidR="00432D85">
              <w:t>2014</w:t>
            </w:r>
            <w:r w:rsidRPr="001606F9">
              <w:t>) gadu</w:t>
            </w:r>
          </w:p>
        </w:tc>
        <w:tc>
          <w:tcPr>
            <w:tcW w:w="1388" w:type="dxa"/>
            <w:vAlign w:val="center"/>
            <w:hideMark/>
          </w:tcPr>
          <w:p w14:paraId="1F71F13E" w14:textId="77777777" w:rsidR="005151D9" w:rsidRPr="001606F9" w:rsidRDefault="005151D9" w:rsidP="00432D85">
            <w:pPr>
              <w:jc w:val="center"/>
            </w:pPr>
            <w:r w:rsidRPr="001606F9">
              <w:t>izmaiņas, salīdzinot ar kārtējo (</w:t>
            </w:r>
            <w:r w:rsidR="00432D85">
              <w:t>2014</w:t>
            </w:r>
            <w:r w:rsidRPr="001606F9">
              <w:t>) gadu</w:t>
            </w:r>
          </w:p>
        </w:tc>
        <w:tc>
          <w:tcPr>
            <w:tcW w:w="1288" w:type="dxa"/>
            <w:vAlign w:val="center"/>
            <w:hideMark/>
          </w:tcPr>
          <w:p w14:paraId="1F71F13F" w14:textId="77777777" w:rsidR="005151D9" w:rsidRPr="001606F9" w:rsidRDefault="005151D9" w:rsidP="00432D85">
            <w:pPr>
              <w:jc w:val="center"/>
            </w:pPr>
            <w:r w:rsidRPr="001606F9">
              <w:t>izmaiņas, salīdzinot ar kārtējo (</w:t>
            </w:r>
            <w:r w:rsidR="00432D85">
              <w:t>2014</w:t>
            </w:r>
            <w:r w:rsidRPr="001606F9">
              <w:t>) gadu</w:t>
            </w:r>
          </w:p>
        </w:tc>
      </w:tr>
      <w:tr w:rsidR="00CF0BB6" w:rsidRPr="001606F9" w14:paraId="1F71F147" w14:textId="77777777" w:rsidTr="00D15931">
        <w:trPr>
          <w:tblCellSpacing w:w="15" w:type="dxa"/>
          <w:jc w:val="center"/>
        </w:trPr>
        <w:tc>
          <w:tcPr>
            <w:tcW w:w="2424" w:type="dxa"/>
            <w:vAlign w:val="center"/>
            <w:hideMark/>
          </w:tcPr>
          <w:p w14:paraId="1F71F141" w14:textId="77777777" w:rsidR="005151D9" w:rsidRPr="001606F9" w:rsidRDefault="005151D9" w:rsidP="001606F9">
            <w:pPr>
              <w:jc w:val="center"/>
            </w:pPr>
            <w:r w:rsidRPr="001606F9">
              <w:lastRenderedPageBreak/>
              <w:t>1</w:t>
            </w:r>
          </w:p>
        </w:tc>
        <w:tc>
          <w:tcPr>
            <w:tcW w:w="1104" w:type="dxa"/>
            <w:vAlign w:val="center"/>
            <w:hideMark/>
          </w:tcPr>
          <w:p w14:paraId="1F71F142" w14:textId="77777777" w:rsidR="005151D9" w:rsidRPr="00E92CA1" w:rsidRDefault="005151D9" w:rsidP="001606F9">
            <w:pPr>
              <w:jc w:val="center"/>
            </w:pPr>
            <w:r w:rsidRPr="00E92CA1">
              <w:t>2</w:t>
            </w:r>
          </w:p>
        </w:tc>
        <w:tc>
          <w:tcPr>
            <w:tcW w:w="1529" w:type="dxa"/>
            <w:vAlign w:val="center"/>
            <w:hideMark/>
          </w:tcPr>
          <w:p w14:paraId="1F71F143" w14:textId="77777777" w:rsidR="005151D9" w:rsidRPr="00E92CA1" w:rsidRDefault="005151D9" w:rsidP="001606F9">
            <w:pPr>
              <w:jc w:val="center"/>
            </w:pPr>
            <w:r w:rsidRPr="00E92CA1">
              <w:t>3</w:t>
            </w:r>
          </w:p>
        </w:tc>
        <w:tc>
          <w:tcPr>
            <w:tcW w:w="1246" w:type="dxa"/>
            <w:vAlign w:val="center"/>
            <w:hideMark/>
          </w:tcPr>
          <w:p w14:paraId="1F71F144" w14:textId="77777777" w:rsidR="005151D9" w:rsidRPr="001606F9" w:rsidRDefault="005151D9" w:rsidP="001606F9">
            <w:pPr>
              <w:jc w:val="center"/>
            </w:pPr>
            <w:r w:rsidRPr="001606F9">
              <w:t>4</w:t>
            </w:r>
          </w:p>
        </w:tc>
        <w:tc>
          <w:tcPr>
            <w:tcW w:w="1388" w:type="dxa"/>
            <w:vAlign w:val="center"/>
            <w:hideMark/>
          </w:tcPr>
          <w:p w14:paraId="1F71F145" w14:textId="77777777" w:rsidR="005151D9" w:rsidRPr="001606F9" w:rsidRDefault="005151D9" w:rsidP="001606F9">
            <w:pPr>
              <w:jc w:val="center"/>
            </w:pPr>
            <w:r w:rsidRPr="001606F9">
              <w:t>5</w:t>
            </w:r>
          </w:p>
        </w:tc>
        <w:tc>
          <w:tcPr>
            <w:tcW w:w="1288" w:type="dxa"/>
            <w:vAlign w:val="center"/>
            <w:hideMark/>
          </w:tcPr>
          <w:p w14:paraId="1F71F146" w14:textId="77777777" w:rsidR="005151D9" w:rsidRPr="001606F9" w:rsidRDefault="005151D9" w:rsidP="001606F9">
            <w:pPr>
              <w:jc w:val="center"/>
            </w:pPr>
            <w:r w:rsidRPr="001606F9">
              <w:t>6</w:t>
            </w:r>
          </w:p>
        </w:tc>
      </w:tr>
      <w:tr w:rsidR="00CF0BB6" w:rsidRPr="001606F9" w14:paraId="1F71F14E" w14:textId="77777777" w:rsidTr="00D15931">
        <w:trPr>
          <w:tblCellSpacing w:w="15" w:type="dxa"/>
          <w:jc w:val="center"/>
        </w:trPr>
        <w:tc>
          <w:tcPr>
            <w:tcW w:w="2424" w:type="dxa"/>
            <w:hideMark/>
          </w:tcPr>
          <w:p w14:paraId="1F71F148" w14:textId="77777777" w:rsidR="009427A5" w:rsidRPr="001606F9" w:rsidRDefault="009427A5" w:rsidP="005B5981">
            <w:r w:rsidRPr="001606F9">
              <w:t>1. Budžeta ieņēmumi:</w:t>
            </w:r>
          </w:p>
        </w:tc>
        <w:tc>
          <w:tcPr>
            <w:tcW w:w="1104" w:type="dxa"/>
            <w:hideMark/>
          </w:tcPr>
          <w:p w14:paraId="1F71F149" w14:textId="77777777" w:rsidR="009427A5" w:rsidRPr="00E92CA1" w:rsidRDefault="009A716F" w:rsidP="002718F2">
            <w:pPr>
              <w:pStyle w:val="naisf"/>
              <w:spacing w:before="0" w:after="0"/>
              <w:ind w:firstLine="0"/>
              <w:jc w:val="center"/>
            </w:pPr>
            <w:r w:rsidRPr="00E92CA1">
              <w:t>168 03</w:t>
            </w:r>
            <w:r w:rsidR="002718F2" w:rsidRPr="00E92CA1">
              <w:t>6</w:t>
            </w:r>
          </w:p>
        </w:tc>
        <w:tc>
          <w:tcPr>
            <w:tcW w:w="1529" w:type="dxa"/>
            <w:hideMark/>
          </w:tcPr>
          <w:p w14:paraId="1F71F14A" w14:textId="77777777" w:rsidR="009427A5" w:rsidRPr="00E92CA1" w:rsidRDefault="009427A5" w:rsidP="005B5981">
            <w:pPr>
              <w:pStyle w:val="naisf"/>
              <w:spacing w:before="0" w:after="0"/>
              <w:ind w:firstLine="0"/>
              <w:jc w:val="center"/>
            </w:pPr>
            <w:r w:rsidRPr="00E92CA1">
              <w:t>0</w:t>
            </w:r>
          </w:p>
        </w:tc>
        <w:tc>
          <w:tcPr>
            <w:tcW w:w="1246" w:type="dxa"/>
          </w:tcPr>
          <w:p w14:paraId="1F71F14B" w14:textId="77777777" w:rsidR="009427A5" w:rsidRPr="001606F9" w:rsidRDefault="009427A5" w:rsidP="005B5981">
            <w:pPr>
              <w:jc w:val="center"/>
            </w:pPr>
            <w:r w:rsidRPr="001606F9">
              <w:t>0</w:t>
            </w:r>
          </w:p>
        </w:tc>
        <w:tc>
          <w:tcPr>
            <w:tcW w:w="1388" w:type="dxa"/>
          </w:tcPr>
          <w:p w14:paraId="1F71F14C" w14:textId="77777777" w:rsidR="009427A5" w:rsidRPr="001606F9" w:rsidRDefault="009427A5" w:rsidP="005B5981">
            <w:pPr>
              <w:jc w:val="center"/>
            </w:pPr>
            <w:r w:rsidRPr="001606F9">
              <w:t>0</w:t>
            </w:r>
          </w:p>
        </w:tc>
        <w:tc>
          <w:tcPr>
            <w:tcW w:w="1288" w:type="dxa"/>
          </w:tcPr>
          <w:p w14:paraId="1F71F14D" w14:textId="77777777" w:rsidR="009427A5" w:rsidRPr="001606F9" w:rsidRDefault="009427A5" w:rsidP="005B5981">
            <w:pPr>
              <w:jc w:val="center"/>
            </w:pPr>
            <w:r w:rsidRPr="001606F9">
              <w:t>0</w:t>
            </w:r>
          </w:p>
        </w:tc>
      </w:tr>
      <w:tr w:rsidR="00CF0BB6" w:rsidRPr="001606F9" w14:paraId="1F71F155" w14:textId="77777777" w:rsidTr="00D15931">
        <w:trPr>
          <w:trHeight w:val="1248"/>
          <w:tblCellSpacing w:w="15" w:type="dxa"/>
          <w:jc w:val="center"/>
        </w:trPr>
        <w:tc>
          <w:tcPr>
            <w:tcW w:w="2424" w:type="dxa"/>
            <w:hideMark/>
          </w:tcPr>
          <w:p w14:paraId="1F71F14F" w14:textId="77777777" w:rsidR="009427A5" w:rsidRPr="001606F9" w:rsidRDefault="009427A5" w:rsidP="005B5981">
            <w:r w:rsidRPr="001606F9">
              <w:t>1.1. valsts pamatbudžets, tai skaitā</w:t>
            </w:r>
            <w:r w:rsidR="00B85AEC" w:rsidRPr="001606F9">
              <w:t>:</w:t>
            </w:r>
            <w:r w:rsidRPr="001606F9">
              <w:t xml:space="preserve"> ieņēmumi no maksas pakalpojumiem un citi pašu ieņēmumi</w:t>
            </w:r>
          </w:p>
        </w:tc>
        <w:tc>
          <w:tcPr>
            <w:tcW w:w="1104" w:type="dxa"/>
            <w:hideMark/>
          </w:tcPr>
          <w:p w14:paraId="1F71F150" w14:textId="77777777" w:rsidR="009427A5" w:rsidRPr="00E92CA1" w:rsidRDefault="009A716F" w:rsidP="002718F2">
            <w:pPr>
              <w:pStyle w:val="naisf"/>
              <w:spacing w:before="0" w:after="0"/>
              <w:ind w:firstLine="0"/>
              <w:jc w:val="center"/>
            </w:pPr>
            <w:r w:rsidRPr="00E92CA1">
              <w:t>168 03</w:t>
            </w:r>
            <w:r w:rsidR="002718F2" w:rsidRPr="00E92CA1">
              <w:t>6</w:t>
            </w:r>
          </w:p>
        </w:tc>
        <w:tc>
          <w:tcPr>
            <w:tcW w:w="1529" w:type="dxa"/>
            <w:hideMark/>
          </w:tcPr>
          <w:p w14:paraId="1F71F151" w14:textId="77777777" w:rsidR="009427A5" w:rsidRPr="00E92CA1" w:rsidRDefault="009427A5" w:rsidP="005B5981">
            <w:pPr>
              <w:pStyle w:val="naisf"/>
              <w:spacing w:before="0" w:after="0"/>
              <w:ind w:firstLine="0"/>
              <w:jc w:val="center"/>
            </w:pPr>
            <w:r w:rsidRPr="00E92CA1">
              <w:t>0</w:t>
            </w:r>
          </w:p>
        </w:tc>
        <w:tc>
          <w:tcPr>
            <w:tcW w:w="1246" w:type="dxa"/>
            <w:hideMark/>
          </w:tcPr>
          <w:p w14:paraId="1F71F152" w14:textId="77777777" w:rsidR="009427A5" w:rsidRPr="001606F9" w:rsidRDefault="009427A5" w:rsidP="005B5981">
            <w:pPr>
              <w:jc w:val="center"/>
            </w:pPr>
            <w:r w:rsidRPr="001606F9">
              <w:t>0</w:t>
            </w:r>
          </w:p>
        </w:tc>
        <w:tc>
          <w:tcPr>
            <w:tcW w:w="1388" w:type="dxa"/>
            <w:hideMark/>
          </w:tcPr>
          <w:p w14:paraId="1F71F153" w14:textId="77777777" w:rsidR="009427A5" w:rsidRPr="001606F9" w:rsidRDefault="009427A5" w:rsidP="005B5981">
            <w:pPr>
              <w:jc w:val="center"/>
            </w:pPr>
            <w:r w:rsidRPr="001606F9">
              <w:t>0</w:t>
            </w:r>
          </w:p>
        </w:tc>
        <w:tc>
          <w:tcPr>
            <w:tcW w:w="1288" w:type="dxa"/>
            <w:hideMark/>
          </w:tcPr>
          <w:p w14:paraId="1F71F154" w14:textId="77777777" w:rsidR="009427A5" w:rsidRPr="001606F9" w:rsidRDefault="009427A5" w:rsidP="005B5981">
            <w:pPr>
              <w:jc w:val="center"/>
            </w:pPr>
            <w:r w:rsidRPr="001606F9">
              <w:t>0</w:t>
            </w:r>
          </w:p>
        </w:tc>
      </w:tr>
      <w:tr w:rsidR="00CF0BB6" w:rsidRPr="001606F9" w14:paraId="1F71F15C" w14:textId="77777777" w:rsidTr="00D15931">
        <w:trPr>
          <w:tblCellSpacing w:w="15" w:type="dxa"/>
          <w:jc w:val="center"/>
        </w:trPr>
        <w:tc>
          <w:tcPr>
            <w:tcW w:w="2424" w:type="dxa"/>
            <w:hideMark/>
          </w:tcPr>
          <w:p w14:paraId="1F71F156" w14:textId="77777777" w:rsidR="00B85AEC" w:rsidRPr="001606F9" w:rsidRDefault="00B85AEC" w:rsidP="005B5981">
            <w:r w:rsidRPr="001606F9">
              <w:t>1.1.1. ieņēmumi no maksas pakalpojumiem un citi pašu ieņēmumi</w:t>
            </w:r>
          </w:p>
        </w:tc>
        <w:tc>
          <w:tcPr>
            <w:tcW w:w="1104" w:type="dxa"/>
            <w:hideMark/>
          </w:tcPr>
          <w:p w14:paraId="1F71F157" w14:textId="77777777" w:rsidR="00B85AEC" w:rsidRPr="00E92CA1" w:rsidRDefault="00B85AEC" w:rsidP="005B5981">
            <w:pPr>
              <w:pStyle w:val="naisf"/>
              <w:spacing w:before="0" w:after="0"/>
              <w:ind w:firstLine="0"/>
              <w:jc w:val="center"/>
            </w:pPr>
            <w:r w:rsidRPr="00E92CA1">
              <w:t>0</w:t>
            </w:r>
          </w:p>
        </w:tc>
        <w:tc>
          <w:tcPr>
            <w:tcW w:w="1529" w:type="dxa"/>
            <w:hideMark/>
          </w:tcPr>
          <w:p w14:paraId="1F71F158" w14:textId="77777777" w:rsidR="00B85AEC" w:rsidRPr="00E92CA1" w:rsidRDefault="00B85AEC" w:rsidP="005B5981">
            <w:pPr>
              <w:pStyle w:val="naisf"/>
              <w:spacing w:before="0" w:after="0"/>
              <w:ind w:firstLine="0"/>
              <w:jc w:val="center"/>
            </w:pPr>
            <w:r w:rsidRPr="00E92CA1">
              <w:t>0</w:t>
            </w:r>
          </w:p>
        </w:tc>
        <w:tc>
          <w:tcPr>
            <w:tcW w:w="1246" w:type="dxa"/>
            <w:hideMark/>
          </w:tcPr>
          <w:p w14:paraId="1F71F159" w14:textId="77777777" w:rsidR="00B85AEC" w:rsidRPr="00E92CA1" w:rsidRDefault="009A716F" w:rsidP="002718F2">
            <w:pPr>
              <w:jc w:val="center"/>
            </w:pPr>
            <w:r w:rsidRPr="00E92CA1">
              <w:t>168 03</w:t>
            </w:r>
            <w:r w:rsidR="002718F2" w:rsidRPr="00E92CA1">
              <w:t>6</w:t>
            </w:r>
          </w:p>
        </w:tc>
        <w:tc>
          <w:tcPr>
            <w:tcW w:w="1388" w:type="dxa"/>
            <w:hideMark/>
          </w:tcPr>
          <w:p w14:paraId="1F71F15A" w14:textId="77777777" w:rsidR="00B85AEC" w:rsidRPr="00E92CA1" w:rsidRDefault="009A716F" w:rsidP="002718F2">
            <w:pPr>
              <w:jc w:val="center"/>
            </w:pPr>
            <w:r w:rsidRPr="00E92CA1">
              <w:t>168 03</w:t>
            </w:r>
            <w:r w:rsidR="002718F2" w:rsidRPr="00E92CA1">
              <w:t>6</w:t>
            </w:r>
          </w:p>
        </w:tc>
        <w:tc>
          <w:tcPr>
            <w:tcW w:w="1288" w:type="dxa"/>
            <w:hideMark/>
          </w:tcPr>
          <w:p w14:paraId="1F71F15B" w14:textId="77777777" w:rsidR="00B85AEC" w:rsidRPr="00E92CA1" w:rsidRDefault="009A716F" w:rsidP="002718F2">
            <w:pPr>
              <w:jc w:val="center"/>
            </w:pPr>
            <w:r w:rsidRPr="00E92CA1">
              <w:t>168 03</w:t>
            </w:r>
            <w:r w:rsidR="002718F2" w:rsidRPr="00E92CA1">
              <w:t>6</w:t>
            </w:r>
          </w:p>
        </w:tc>
      </w:tr>
      <w:tr w:rsidR="00CF0BB6" w:rsidRPr="001606F9" w14:paraId="1F71F163" w14:textId="77777777" w:rsidTr="00D15931">
        <w:trPr>
          <w:tblCellSpacing w:w="15" w:type="dxa"/>
          <w:jc w:val="center"/>
        </w:trPr>
        <w:tc>
          <w:tcPr>
            <w:tcW w:w="2424" w:type="dxa"/>
            <w:hideMark/>
          </w:tcPr>
          <w:p w14:paraId="1F71F15D" w14:textId="77777777" w:rsidR="00B85AEC" w:rsidRPr="001606F9" w:rsidRDefault="00B85AEC" w:rsidP="005B5981">
            <w:r w:rsidRPr="001606F9">
              <w:t>1.1.2.ieņēmumi no nodevām par juridiskajiem un citiem pakalpojumiem</w:t>
            </w:r>
          </w:p>
        </w:tc>
        <w:tc>
          <w:tcPr>
            <w:tcW w:w="1104" w:type="dxa"/>
            <w:hideMark/>
          </w:tcPr>
          <w:p w14:paraId="1F71F15E" w14:textId="77777777" w:rsidR="00B85AEC" w:rsidRPr="00E92CA1" w:rsidRDefault="009A716F" w:rsidP="002718F2">
            <w:pPr>
              <w:pStyle w:val="naisf"/>
              <w:spacing w:before="0" w:after="0"/>
              <w:ind w:firstLine="0"/>
              <w:jc w:val="center"/>
            </w:pPr>
            <w:r w:rsidRPr="00E92CA1">
              <w:t>168 03</w:t>
            </w:r>
            <w:r w:rsidR="002718F2" w:rsidRPr="00E92CA1">
              <w:t>6</w:t>
            </w:r>
          </w:p>
        </w:tc>
        <w:tc>
          <w:tcPr>
            <w:tcW w:w="1529" w:type="dxa"/>
            <w:hideMark/>
          </w:tcPr>
          <w:p w14:paraId="1F71F15F" w14:textId="77777777" w:rsidR="00B85AEC" w:rsidRPr="00E92CA1" w:rsidRDefault="00B85AEC" w:rsidP="005B5981">
            <w:pPr>
              <w:pStyle w:val="naisf"/>
              <w:spacing w:before="0" w:after="0"/>
              <w:ind w:firstLine="0"/>
              <w:jc w:val="center"/>
            </w:pPr>
            <w:r w:rsidRPr="00E92CA1">
              <w:t>0</w:t>
            </w:r>
          </w:p>
        </w:tc>
        <w:tc>
          <w:tcPr>
            <w:tcW w:w="1246" w:type="dxa"/>
            <w:hideMark/>
          </w:tcPr>
          <w:p w14:paraId="1F71F160" w14:textId="77777777" w:rsidR="00B85AEC" w:rsidRPr="00E92CA1" w:rsidRDefault="00D65BB4" w:rsidP="002718F2">
            <w:pPr>
              <w:jc w:val="center"/>
            </w:pPr>
            <w:r w:rsidRPr="00E92CA1">
              <w:t>–</w:t>
            </w:r>
            <w:r w:rsidR="009A716F" w:rsidRPr="00E92CA1">
              <w:t>168 03</w:t>
            </w:r>
            <w:r w:rsidR="002718F2" w:rsidRPr="00E92CA1">
              <w:t>6</w:t>
            </w:r>
          </w:p>
        </w:tc>
        <w:tc>
          <w:tcPr>
            <w:tcW w:w="1388" w:type="dxa"/>
            <w:hideMark/>
          </w:tcPr>
          <w:p w14:paraId="1F71F161" w14:textId="77777777" w:rsidR="00B85AEC" w:rsidRPr="00E92CA1" w:rsidRDefault="00D65BB4" w:rsidP="002718F2">
            <w:pPr>
              <w:jc w:val="center"/>
            </w:pPr>
            <w:r w:rsidRPr="00E92CA1">
              <w:t>–</w:t>
            </w:r>
            <w:r w:rsidR="009A716F" w:rsidRPr="00E92CA1">
              <w:t>168 03</w:t>
            </w:r>
            <w:r w:rsidR="002718F2" w:rsidRPr="00E92CA1">
              <w:t>6</w:t>
            </w:r>
          </w:p>
        </w:tc>
        <w:tc>
          <w:tcPr>
            <w:tcW w:w="1288" w:type="dxa"/>
            <w:hideMark/>
          </w:tcPr>
          <w:p w14:paraId="1F71F162" w14:textId="77777777" w:rsidR="00B85AEC" w:rsidRPr="00E92CA1" w:rsidRDefault="00D65BB4" w:rsidP="002718F2">
            <w:pPr>
              <w:jc w:val="center"/>
            </w:pPr>
            <w:r w:rsidRPr="00E92CA1">
              <w:t>–</w:t>
            </w:r>
            <w:r w:rsidR="009A716F" w:rsidRPr="00E92CA1">
              <w:t>168 03</w:t>
            </w:r>
            <w:r w:rsidR="002718F2" w:rsidRPr="00E92CA1">
              <w:t>6</w:t>
            </w:r>
          </w:p>
        </w:tc>
      </w:tr>
      <w:tr w:rsidR="00CF0BB6" w:rsidRPr="001606F9" w14:paraId="1F71F16A" w14:textId="77777777" w:rsidTr="00D15931">
        <w:trPr>
          <w:tblCellSpacing w:w="15" w:type="dxa"/>
          <w:jc w:val="center"/>
        </w:trPr>
        <w:tc>
          <w:tcPr>
            <w:tcW w:w="2424" w:type="dxa"/>
            <w:hideMark/>
          </w:tcPr>
          <w:p w14:paraId="1F71F164" w14:textId="77777777" w:rsidR="00B85AEC" w:rsidRPr="001606F9" w:rsidRDefault="00B85AEC" w:rsidP="005B5981">
            <w:r w:rsidRPr="001606F9">
              <w:t>1.2. valsts speciālais budžets</w:t>
            </w:r>
          </w:p>
        </w:tc>
        <w:tc>
          <w:tcPr>
            <w:tcW w:w="1104" w:type="dxa"/>
          </w:tcPr>
          <w:p w14:paraId="1F71F165" w14:textId="77777777" w:rsidR="00B85AEC" w:rsidRPr="001606F9" w:rsidRDefault="00CF0BB6" w:rsidP="005B5981">
            <w:pPr>
              <w:pStyle w:val="naisf"/>
              <w:spacing w:before="0" w:after="0"/>
              <w:ind w:firstLine="0"/>
              <w:jc w:val="center"/>
            </w:pPr>
            <w:r>
              <w:t>0</w:t>
            </w:r>
          </w:p>
        </w:tc>
        <w:tc>
          <w:tcPr>
            <w:tcW w:w="1529" w:type="dxa"/>
          </w:tcPr>
          <w:p w14:paraId="1F71F166" w14:textId="77777777" w:rsidR="00B85AEC" w:rsidRPr="001606F9" w:rsidRDefault="00CF0BB6" w:rsidP="005B5981">
            <w:pPr>
              <w:pStyle w:val="naisf"/>
              <w:spacing w:before="0" w:after="0"/>
              <w:ind w:firstLine="0"/>
              <w:jc w:val="center"/>
            </w:pPr>
            <w:r>
              <w:t>0</w:t>
            </w:r>
          </w:p>
        </w:tc>
        <w:tc>
          <w:tcPr>
            <w:tcW w:w="1246" w:type="dxa"/>
          </w:tcPr>
          <w:p w14:paraId="1F71F167" w14:textId="77777777" w:rsidR="00B85AEC" w:rsidRPr="001606F9" w:rsidRDefault="00CF0BB6" w:rsidP="005B5981">
            <w:pPr>
              <w:jc w:val="center"/>
            </w:pPr>
            <w:r>
              <w:t>0</w:t>
            </w:r>
          </w:p>
        </w:tc>
        <w:tc>
          <w:tcPr>
            <w:tcW w:w="1388" w:type="dxa"/>
          </w:tcPr>
          <w:p w14:paraId="1F71F168" w14:textId="77777777" w:rsidR="00B85AEC" w:rsidRPr="001606F9" w:rsidRDefault="00CF0BB6" w:rsidP="005B5981">
            <w:pPr>
              <w:jc w:val="center"/>
            </w:pPr>
            <w:r>
              <w:t>0</w:t>
            </w:r>
          </w:p>
        </w:tc>
        <w:tc>
          <w:tcPr>
            <w:tcW w:w="1288" w:type="dxa"/>
            <w:hideMark/>
          </w:tcPr>
          <w:p w14:paraId="1F71F169" w14:textId="77777777" w:rsidR="00B85AEC" w:rsidRPr="001606F9" w:rsidRDefault="00CF0BB6" w:rsidP="00CF0BB6">
            <w:pPr>
              <w:jc w:val="center"/>
            </w:pPr>
            <w:r>
              <w:t>0</w:t>
            </w:r>
          </w:p>
        </w:tc>
      </w:tr>
      <w:tr w:rsidR="00CF0BB6" w:rsidRPr="001606F9" w14:paraId="1F71F171" w14:textId="77777777" w:rsidTr="00D15931">
        <w:trPr>
          <w:tblCellSpacing w:w="15" w:type="dxa"/>
          <w:jc w:val="center"/>
        </w:trPr>
        <w:tc>
          <w:tcPr>
            <w:tcW w:w="2424" w:type="dxa"/>
            <w:hideMark/>
          </w:tcPr>
          <w:p w14:paraId="1F71F16B" w14:textId="77777777" w:rsidR="00B85AEC" w:rsidRPr="001606F9" w:rsidRDefault="00B85AEC" w:rsidP="005B5981">
            <w:r w:rsidRPr="001606F9">
              <w:t>1.3. pašvaldību budžets</w:t>
            </w:r>
          </w:p>
        </w:tc>
        <w:tc>
          <w:tcPr>
            <w:tcW w:w="1104" w:type="dxa"/>
            <w:hideMark/>
          </w:tcPr>
          <w:p w14:paraId="1F71F16C" w14:textId="77777777" w:rsidR="00B85AEC" w:rsidRPr="001606F9" w:rsidRDefault="00CF0BB6" w:rsidP="00D65BB4">
            <w:pPr>
              <w:jc w:val="center"/>
            </w:pPr>
            <w:r>
              <w:t>0</w:t>
            </w:r>
          </w:p>
        </w:tc>
        <w:tc>
          <w:tcPr>
            <w:tcW w:w="1529" w:type="dxa"/>
            <w:hideMark/>
          </w:tcPr>
          <w:p w14:paraId="1F71F16D" w14:textId="77777777" w:rsidR="00B85AEC" w:rsidRPr="001606F9" w:rsidRDefault="00CF0BB6" w:rsidP="005B5981">
            <w:pPr>
              <w:pStyle w:val="naisf"/>
              <w:spacing w:before="0" w:after="0"/>
              <w:ind w:firstLine="0"/>
              <w:jc w:val="center"/>
            </w:pPr>
            <w:r>
              <w:t>0</w:t>
            </w:r>
          </w:p>
        </w:tc>
        <w:tc>
          <w:tcPr>
            <w:tcW w:w="1246" w:type="dxa"/>
            <w:hideMark/>
          </w:tcPr>
          <w:p w14:paraId="1F71F16E" w14:textId="77777777" w:rsidR="00B85AEC" w:rsidRPr="001606F9" w:rsidRDefault="00CF0BB6" w:rsidP="005B5981">
            <w:pPr>
              <w:pStyle w:val="naisf"/>
              <w:spacing w:before="0" w:after="0"/>
              <w:ind w:firstLine="0"/>
              <w:jc w:val="center"/>
            </w:pPr>
            <w:r>
              <w:t>0</w:t>
            </w:r>
          </w:p>
        </w:tc>
        <w:tc>
          <w:tcPr>
            <w:tcW w:w="1388" w:type="dxa"/>
            <w:hideMark/>
          </w:tcPr>
          <w:p w14:paraId="1F71F16F" w14:textId="77777777" w:rsidR="00B85AEC" w:rsidRPr="001606F9" w:rsidRDefault="00CF0BB6" w:rsidP="005B5981">
            <w:pPr>
              <w:jc w:val="center"/>
            </w:pPr>
            <w:r>
              <w:t>0</w:t>
            </w:r>
          </w:p>
        </w:tc>
        <w:tc>
          <w:tcPr>
            <w:tcW w:w="1288" w:type="dxa"/>
            <w:hideMark/>
          </w:tcPr>
          <w:p w14:paraId="1F71F170" w14:textId="77777777" w:rsidR="00B85AEC" w:rsidRPr="001606F9" w:rsidRDefault="00CF0BB6" w:rsidP="005B5981">
            <w:pPr>
              <w:jc w:val="center"/>
            </w:pPr>
            <w:r>
              <w:t>0</w:t>
            </w:r>
          </w:p>
        </w:tc>
      </w:tr>
      <w:tr w:rsidR="00CF0BB6" w:rsidRPr="001606F9" w14:paraId="1F71F178" w14:textId="77777777" w:rsidTr="00D15931">
        <w:trPr>
          <w:tblCellSpacing w:w="15" w:type="dxa"/>
          <w:jc w:val="center"/>
        </w:trPr>
        <w:tc>
          <w:tcPr>
            <w:tcW w:w="2424" w:type="dxa"/>
            <w:hideMark/>
          </w:tcPr>
          <w:p w14:paraId="1F71F172" w14:textId="77777777" w:rsidR="00B85AEC" w:rsidRPr="001606F9" w:rsidRDefault="00B85AEC" w:rsidP="005B5981">
            <w:r w:rsidRPr="001606F9">
              <w:t>2. Budžeta izdevumi:</w:t>
            </w:r>
          </w:p>
        </w:tc>
        <w:tc>
          <w:tcPr>
            <w:tcW w:w="1104" w:type="dxa"/>
            <w:hideMark/>
          </w:tcPr>
          <w:p w14:paraId="1F71F173" w14:textId="77777777" w:rsidR="00B85AEC" w:rsidRPr="00E92CA1" w:rsidRDefault="00B85AEC" w:rsidP="002718F2">
            <w:pPr>
              <w:jc w:val="center"/>
            </w:pPr>
            <w:r w:rsidRPr="00E92CA1">
              <w:t>27 54</w:t>
            </w:r>
            <w:r w:rsidR="002718F2" w:rsidRPr="00E92CA1">
              <w:t>3</w:t>
            </w:r>
          </w:p>
        </w:tc>
        <w:tc>
          <w:tcPr>
            <w:tcW w:w="1529" w:type="dxa"/>
            <w:hideMark/>
          </w:tcPr>
          <w:p w14:paraId="1F71F174" w14:textId="77777777" w:rsidR="00B85AEC" w:rsidRPr="001606F9" w:rsidRDefault="00B85AEC" w:rsidP="005B5981">
            <w:pPr>
              <w:jc w:val="center"/>
            </w:pPr>
            <w:r w:rsidRPr="001606F9">
              <w:t>0</w:t>
            </w:r>
          </w:p>
        </w:tc>
        <w:tc>
          <w:tcPr>
            <w:tcW w:w="1246" w:type="dxa"/>
            <w:hideMark/>
          </w:tcPr>
          <w:p w14:paraId="1F71F175" w14:textId="77777777" w:rsidR="00B85AEC" w:rsidRPr="001606F9" w:rsidRDefault="009A716F" w:rsidP="005B5981">
            <w:pPr>
              <w:jc w:val="center"/>
            </w:pPr>
            <w:r w:rsidRPr="001606F9">
              <w:t>140 493</w:t>
            </w:r>
          </w:p>
        </w:tc>
        <w:tc>
          <w:tcPr>
            <w:tcW w:w="1388" w:type="dxa"/>
            <w:hideMark/>
          </w:tcPr>
          <w:p w14:paraId="1F71F176" w14:textId="77777777" w:rsidR="00B85AEC" w:rsidRPr="001606F9" w:rsidRDefault="009A716F" w:rsidP="005B5981">
            <w:pPr>
              <w:jc w:val="center"/>
            </w:pPr>
            <w:r w:rsidRPr="001606F9">
              <w:t>140 493</w:t>
            </w:r>
          </w:p>
        </w:tc>
        <w:tc>
          <w:tcPr>
            <w:tcW w:w="1288" w:type="dxa"/>
            <w:hideMark/>
          </w:tcPr>
          <w:p w14:paraId="1F71F177" w14:textId="77777777" w:rsidR="00B85AEC" w:rsidRPr="001606F9" w:rsidRDefault="009A716F" w:rsidP="005B5981">
            <w:pPr>
              <w:jc w:val="center"/>
            </w:pPr>
            <w:r w:rsidRPr="001606F9">
              <w:t>140 493</w:t>
            </w:r>
          </w:p>
        </w:tc>
      </w:tr>
      <w:tr w:rsidR="00CF0BB6" w:rsidRPr="001606F9" w14:paraId="1F71F17F" w14:textId="77777777" w:rsidTr="00D15931">
        <w:trPr>
          <w:tblCellSpacing w:w="15" w:type="dxa"/>
          <w:jc w:val="center"/>
        </w:trPr>
        <w:tc>
          <w:tcPr>
            <w:tcW w:w="2424" w:type="dxa"/>
            <w:hideMark/>
          </w:tcPr>
          <w:p w14:paraId="1F71F179" w14:textId="77777777" w:rsidR="009A716F" w:rsidRPr="001606F9" w:rsidRDefault="009A716F" w:rsidP="005B5981">
            <w:r w:rsidRPr="001606F9">
              <w:t>2.1. valsts pamatbudžets, tai skaitā:</w:t>
            </w:r>
          </w:p>
        </w:tc>
        <w:tc>
          <w:tcPr>
            <w:tcW w:w="1104" w:type="dxa"/>
            <w:hideMark/>
          </w:tcPr>
          <w:p w14:paraId="1F71F17A" w14:textId="77777777" w:rsidR="009A716F" w:rsidRPr="00E92CA1" w:rsidRDefault="009A716F" w:rsidP="002718F2">
            <w:pPr>
              <w:jc w:val="center"/>
            </w:pPr>
            <w:r w:rsidRPr="00E92CA1">
              <w:t>27 54</w:t>
            </w:r>
            <w:r w:rsidR="002718F2" w:rsidRPr="00E92CA1">
              <w:t>3</w:t>
            </w:r>
          </w:p>
        </w:tc>
        <w:tc>
          <w:tcPr>
            <w:tcW w:w="1529" w:type="dxa"/>
            <w:hideMark/>
          </w:tcPr>
          <w:p w14:paraId="1F71F17B" w14:textId="77777777" w:rsidR="009A716F" w:rsidRPr="001606F9" w:rsidRDefault="009A716F" w:rsidP="005B5981">
            <w:pPr>
              <w:jc w:val="center"/>
            </w:pPr>
            <w:r w:rsidRPr="001606F9">
              <w:t>0</w:t>
            </w:r>
          </w:p>
        </w:tc>
        <w:tc>
          <w:tcPr>
            <w:tcW w:w="1246" w:type="dxa"/>
            <w:hideMark/>
          </w:tcPr>
          <w:p w14:paraId="1F71F17C" w14:textId="77777777" w:rsidR="009A716F" w:rsidRPr="001606F9" w:rsidRDefault="009A716F" w:rsidP="005B5981">
            <w:pPr>
              <w:jc w:val="center"/>
            </w:pPr>
            <w:r w:rsidRPr="001606F9">
              <w:t>140 493</w:t>
            </w:r>
          </w:p>
        </w:tc>
        <w:tc>
          <w:tcPr>
            <w:tcW w:w="1388" w:type="dxa"/>
            <w:hideMark/>
          </w:tcPr>
          <w:p w14:paraId="1F71F17D" w14:textId="77777777" w:rsidR="009A716F" w:rsidRPr="001606F9" w:rsidRDefault="009A716F" w:rsidP="005B5981">
            <w:pPr>
              <w:jc w:val="center"/>
            </w:pPr>
            <w:r w:rsidRPr="001606F9">
              <w:t>140 493</w:t>
            </w:r>
          </w:p>
        </w:tc>
        <w:tc>
          <w:tcPr>
            <w:tcW w:w="1288" w:type="dxa"/>
            <w:hideMark/>
          </w:tcPr>
          <w:p w14:paraId="1F71F17E" w14:textId="77777777" w:rsidR="009A716F" w:rsidRPr="001606F9" w:rsidRDefault="009A716F" w:rsidP="005B5981">
            <w:pPr>
              <w:jc w:val="center"/>
            </w:pPr>
            <w:r w:rsidRPr="001606F9">
              <w:t>140 493</w:t>
            </w:r>
          </w:p>
        </w:tc>
      </w:tr>
      <w:tr w:rsidR="00CF0BB6" w:rsidRPr="001606F9" w14:paraId="1F71F186" w14:textId="77777777" w:rsidTr="00D15931">
        <w:trPr>
          <w:tblCellSpacing w:w="15" w:type="dxa"/>
          <w:jc w:val="center"/>
        </w:trPr>
        <w:tc>
          <w:tcPr>
            <w:tcW w:w="2424" w:type="dxa"/>
            <w:hideMark/>
          </w:tcPr>
          <w:p w14:paraId="1F71F180" w14:textId="77777777" w:rsidR="009A716F" w:rsidRPr="001606F9" w:rsidRDefault="009A716F" w:rsidP="005B5981">
            <w:r w:rsidRPr="001606F9">
              <w:t>2.1.1. izdevumi no maksas pakalpojumiem un citiem pašu ieņēmumiem</w:t>
            </w:r>
          </w:p>
        </w:tc>
        <w:tc>
          <w:tcPr>
            <w:tcW w:w="1104" w:type="dxa"/>
            <w:hideMark/>
          </w:tcPr>
          <w:p w14:paraId="1F71F181" w14:textId="77777777" w:rsidR="009A716F" w:rsidRPr="001606F9" w:rsidRDefault="009A716F" w:rsidP="005B5981">
            <w:pPr>
              <w:jc w:val="center"/>
            </w:pPr>
            <w:r w:rsidRPr="001606F9">
              <w:t>0</w:t>
            </w:r>
          </w:p>
        </w:tc>
        <w:tc>
          <w:tcPr>
            <w:tcW w:w="1529" w:type="dxa"/>
            <w:hideMark/>
          </w:tcPr>
          <w:p w14:paraId="1F71F182" w14:textId="77777777" w:rsidR="009A716F" w:rsidRPr="001606F9" w:rsidRDefault="009A716F" w:rsidP="005B5981">
            <w:pPr>
              <w:jc w:val="center"/>
            </w:pPr>
            <w:r w:rsidRPr="001606F9">
              <w:t>0</w:t>
            </w:r>
          </w:p>
        </w:tc>
        <w:tc>
          <w:tcPr>
            <w:tcW w:w="1246" w:type="dxa"/>
            <w:hideMark/>
          </w:tcPr>
          <w:p w14:paraId="1F71F183" w14:textId="77777777" w:rsidR="009A716F" w:rsidRPr="001606F9" w:rsidRDefault="009A716F" w:rsidP="005B5981">
            <w:pPr>
              <w:jc w:val="center"/>
            </w:pPr>
            <w:r w:rsidRPr="001606F9">
              <w:t>168 039</w:t>
            </w:r>
          </w:p>
        </w:tc>
        <w:tc>
          <w:tcPr>
            <w:tcW w:w="1388" w:type="dxa"/>
            <w:hideMark/>
          </w:tcPr>
          <w:p w14:paraId="1F71F184" w14:textId="77777777" w:rsidR="009A716F" w:rsidRPr="001606F9" w:rsidRDefault="009A716F" w:rsidP="005B5981">
            <w:pPr>
              <w:jc w:val="center"/>
            </w:pPr>
            <w:r w:rsidRPr="001606F9">
              <w:t>168 039</w:t>
            </w:r>
          </w:p>
        </w:tc>
        <w:tc>
          <w:tcPr>
            <w:tcW w:w="1288" w:type="dxa"/>
            <w:hideMark/>
          </w:tcPr>
          <w:p w14:paraId="1F71F185" w14:textId="77777777" w:rsidR="009A716F" w:rsidRPr="001606F9" w:rsidRDefault="009A716F" w:rsidP="005B5981">
            <w:pPr>
              <w:jc w:val="center"/>
            </w:pPr>
            <w:r w:rsidRPr="001606F9">
              <w:t>168 039</w:t>
            </w:r>
          </w:p>
        </w:tc>
      </w:tr>
      <w:tr w:rsidR="00CF0BB6" w:rsidRPr="001606F9" w14:paraId="1F71F18E" w14:textId="77777777" w:rsidTr="00D15931">
        <w:trPr>
          <w:tblCellSpacing w:w="15" w:type="dxa"/>
          <w:jc w:val="center"/>
        </w:trPr>
        <w:tc>
          <w:tcPr>
            <w:tcW w:w="2424" w:type="dxa"/>
            <w:hideMark/>
          </w:tcPr>
          <w:p w14:paraId="1F71F187" w14:textId="77777777" w:rsidR="00CB1B6D" w:rsidRPr="001606F9" w:rsidRDefault="009A716F" w:rsidP="005B5981">
            <w:r w:rsidRPr="001606F9">
              <w:t>2.1</w:t>
            </w:r>
            <w:r w:rsidR="00CB1B6D" w:rsidRPr="001606F9">
              <w:t>.2.izdevumi no dotācijas no vispārējiem ieņēmumiem</w:t>
            </w:r>
          </w:p>
          <w:p w14:paraId="1F71F188" w14:textId="77777777" w:rsidR="00CB1B6D" w:rsidRPr="001606F9" w:rsidRDefault="00CB1B6D" w:rsidP="005B5981"/>
        </w:tc>
        <w:tc>
          <w:tcPr>
            <w:tcW w:w="1104" w:type="dxa"/>
            <w:hideMark/>
          </w:tcPr>
          <w:p w14:paraId="1F71F189" w14:textId="77777777" w:rsidR="00CB1B6D" w:rsidRPr="00E92CA1" w:rsidRDefault="00CB1B6D" w:rsidP="002718F2">
            <w:pPr>
              <w:jc w:val="center"/>
            </w:pPr>
            <w:r w:rsidRPr="00E92CA1">
              <w:t>27 54</w:t>
            </w:r>
            <w:r w:rsidR="002718F2" w:rsidRPr="00E92CA1">
              <w:t>3</w:t>
            </w:r>
          </w:p>
        </w:tc>
        <w:tc>
          <w:tcPr>
            <w:tcW w:w="1529" w:type="dxa"/>
            <w:hideMark/>
          </w:tcPr>
          <w:p w14:paraId="1F71F18A" w14:textId="77777777" w:rsidR="00CB1B6D" w:rsidRPr="00E92CA1" w:rsidRDefault="00CB1B6D" w:rsidP="005B5981">
            <w:pPr>
              <w:jc w:val="center"/>
            </w:pPr>
            <w:r w:rsidRPr="00E92CA1">
              <w:t>0</w:t>
            </w:r>
          </w:p>
        </w:tc>
        <w:tc>
          <w:tcPr>
            <w:tcW w:w="1246" w:type="dxa"/>
            <w:hideMark/>
          </w:tcPr>
          <w:p w14:paraId="1F71F18B" w14:textId="77777777" w:rsidR="00CB1B6D" w:rsidRPr="00E92CA1" w:rsidRDefault="00D65BB4" w:rsidP="002718F2">
            <w:pPr>
              <w:jc w:val="center"/>
            </w:pPr>
            <w:r w:rsidRPr="00E92CA1">
              <w:t>–</w:t>
            </w:r>
            <w:r w:rsidR="0031268C" w:rsidRPr="00E92CA1">
              <w:t>2</w:t>
            </w:r>
            <w:r w:rsidR="00CB1B6D" w:rsidRPr="00E92CA1">
              <w:t>7 54</w:t>
            </w:r>
            <w:r w:rsidR="002718F2" w:rsidRPr="00E92CA1">
              <w:t>3</w:t>
            </w:r>
          </w:p>
        </w:tc>
        <w:tc>
          <w:tcPr>
            <w:tcW w:w="1388" w:type="dxa"/>
            <w:hideMark/>
          </w:tcPr>
          <w:p w14:paraId="1F71F18C" w14:textId="77777777" w:rsidR="00CB1B6D" w:rsidRPr="00E92CA1" w:rsidRDefault="00D65BB4" w:rsidP="002718F2">
            <w:pPr>
              <w:jc w:val="center"/>
            </w:pPr>
            <w:r w:rsidRPr="00E92CA1">
              <w:t>–</w:t>
            </w:r>
            <w:r w:rsidR="00CB1B6D" w:rsidRPr="00E92CA1">
              <w:t>27 54</w:t>
            </w:r>
            <w:r w:rsidR="002718F2" w:rsidRPr="00E92CA1">
              <w:t>3</w:t>
            </w:r>
          </w:p>
        </w:tc>
        <w:tc>
          <w:tcPr>
            <w:tcW w:w="1288" w:type="dxa"/>
            <w:hideMark/>
          </w:tcPr>
          <w:p w14:paraId="1F71F18D" w14:textId="77777777" w:rsidR="00CB1B6D" w:rsidRPr="00E92CA1" w:rsidRDefault="00D65BB4" w:rsidP="002718F2">
            <w:pPr>
              <w:jc w:val="center"/>
            </w:pPr>
            <w:r w:rsidRPr="00E92CA1">
              <w:t>–</w:t>
            </w:r>
            <w:r w:rsidR="00CB1B6D" w:rsidRPr="00E92CA1">
              <w:t>27 54</w:t>
            </w:r>
            <w:r w:rsidR="002718F2" w:rsidRPr="00E92CA1">
              <w:t>3</w:t>
            </w:r>
          </w:p>
        </w:tc>
      </w:tr>
      <w:tr w:rsidR="00CF0BB6" w:rsidRPr="001606F9" w14:paraId="1F71F195" w14:textId="77777777" w:rsidTr="00D15931">
        <w:trPr>
          <w:tblCellSpacing w:w="15" w:type="dxa"/>
          <w:jc w:val="center"/>
        </w:trPr>
        <w:tc>
          <w:tcPr>
            <w:tcW w:w="2424" w:type="dxa"/>
            <w:hideMark/>
          </w:tcPr>
          <w:p w14:paraId="1F71F18F" w14:textId="77777777" w:rsidR="00CF0BB6" w:rsidRPr="001606F9" w:rsidRDefault="00CF0BB6" w:rsidP="005B5981">
            <w:r w:rsidRPr="001606F9">
              <w:t>2.2. valsts speciālais budžets</w:t>
            </w:r>
          </w:p>
        </w:tc>
        <w:tc>
          <w:tcPr>
            <w:tcW w:w="1104" w:type="dxa"/>
            <w:hideMark/>
          </w:tcPr>
          <w:p w14:paraId="1F71F190" w14:textId="77777777" w:rsidR="00CF0BB6" w:rsidRPr="001606F9" w:rsidRDefault="00CF0BB6" w:rsidP="00CF0BB6">
            <w:pPr>
              <w:pStyle w:val="naisf"/>
              <w:spacing w:before="0" w:after="0"/>
              <w:ind w:firstLine="0"/>
              <w:jc w:val="center"/>
            </w:pPr>
            <w:r>
              <w:t>0</w:t>
            </w:r>
          </w:p>
        </w:tc>
        <w:tc>
          <w:tcPr>
            <w:tcW w:w="1529" w:type="dxa"/>
            <w:hideMark/>
          </w:tcPr>
          <w:p w14:paraId="1F71F191" w14:textId="77777777" w:rsidR="00CF0BB6" w:rsidRPr="001606F9" w:rsidRDefault="00CF0BB6" w:rsidP="00CF0BB6">
            <w:pPr>
              <w:pStyle w:val="naisf"/>
              <w:spacing w:before="0" w:after="0"/>
              <w:ind w:firstLine="0"/>
              <w:jc w:val="center"/>
            </w:pPr>
            <w:r>
              <w:t>0</w:t>
            </w:r>
          </w:p>
        </w:tc>
        <w:tc>
          <w:tcPr>
            <w:tcW w:w="1246" w:type="dxa"/>
            <w:hideMark/>
          </w:tcPr>
          <w:p w14:paraId="1F71F192" w14:textId="77777777" w:rsidR="00CF0BB6" w:rsidRPr="001606F9" w:rsidRDefault="00CF0BB6" w:rsidP="00CF0BB6">
            <w:pPr>
              <w:jc w:val="center"/>
            </w:pPr>
            <w:r>
              <w:t>0</w:t>
            </w:r>
          </w:p>
        </w:tc>
        <w:tc>
          <w:tcPr>
            <w:tcW w:w="1388" w:type="dxa"/>
            <w:hideMark/>
          </w:tcPr>
          <w:p w14:paraId="1F71F193" w14:textId="77777777" w:rsidR="00CF0BB6" w:rsidRPr="001606F9" w:rsidRDefault="00CF0BB6" w:rsidP="00CF0BB6">
            <w:pPr>
              <w:jc w:val="center"/>
            </w:pPr>
            <w:r>
              <w:t>0</w:t>
            </w:r>
          </w:p>
        </w:tc>
        <w:tc>
          <w:tcPr>
            <w:tcW w:w="1288" w:type="dxa"/>
            <w:hideMark/>
          </w:tcPr>
          <w:p w14:paraId="1F71F194" w14:textId="77777777" w:rsidR="00CF0BB6" w:rsidRPr="001606F9" w:rsidRDefault="00CF0BB6" w:rsidP="00CF0BB6">
            <w:pPr>
              <w:jc w:val="center"/>
            </w:pPr>
            <w:r>
              <w:t>0</w:t>
            </w:r>
          </w:p>
        </w:tc>
      </w:tr>
      <w:tr w:rsidR="00CF0BB6" w:rsidRPr="001606F9" w14:paraId="1F71F19C" w14:textId="77777777" w:rsidTr="00D15931">
        <w:trPr>
          <w:tblCellSpacing w:w="15" w:type="dxa"/>
          <w:jc w:val="center"/>
        </w:trPr>
        <w:tc>
          <w:tcPr>
            <w:tcW w:w="2424" w:type="dxa"/>
            <w:hideMark/>
          </w:tcPr>
          <w:p w14:paraId="1F71F196" w14:textId="77777777" w:rsidR="00CF0BB6" w:rsidRPr="001606F9" w:rsidRDefault="00CF0BB6" w:rsidP="005B5981">
            <w:r w:rsidRPr="001606F9">
              <w:t>2.3. pašvaldību budžets</w:t>
            </w:r>
          </w:p>
        </w:tc>
        <w:tc>
          <w:tcPr>
            <w:tcW w:w="1104" w:type="dxa"/>
            <w:hideMark/>
          </w:tcPr>
          <w:p w14:paraId="1F71F197" w14:textId="77777777" w:rsidR="00CF0BB6" w:rsidRPr="001606F9" w:rsidRDefault="00CF0BB6" w:rsidP="00CF0BB6">
            <w:pPr>
              <w:jc w:val="center"/>
            </w:pPr>
            <w:r>
              <w:t>0</w:t>
            </w:r>
          </w:p>
        </w:tc>
        <w:tc>
          <w:tcPr>
            <w:tcW w:w="1529" w:type="dxa"/>
            <w:hideMark/>
          </w:tcPr>
          <w:p w14:paraId="1F71F198" w14:textId="77777777" w:rsidR="00CF0BB6" w:rsidRPr="001606F9" w:rsidRDefault="00CF0BB6" w:rsidP="00CF0BB6">
            <w:pPr>
              <w:pStyle w:val="naisf"/>
              <w:spacing w:before="0" w:after="0"/>
              <w:ind w:firstLine="0"/>
              <w:jc w:val="center"/>
            </w:pPr>
            <w:r>
              <w:t>0</w:t>
            </w:r>
          </w:p>
        </w:tc>
        <w:tc>
          <w:tcPr>
            <w:tcW w:w="1246" w:type="dxa"/>
            <w:hideMark/>
          </w:tcPr>
          <w:p w14:paraId="1F71F199" w14:textId="77777777" w:rsidR="00CF0BB6" w:rsidRPr="001606F9" w:rsidRDefault="00CF0BB6" w:rsidP="00CF0BB6">
            <w:pPr>
              <w:pStyle w:val="naisf"/>
              <w:spacing w:before="0" w:after="0"/>
              <w:ind w:firstLine="0"/>
              <w:jc w:val="center"/>
            </w:pPr>
            <w:r>
              <w:t>0</w:t>
            </w:r>
          </w:p>
        </w:tc>
        <w:tc>
          <w:tcPr>
            <w:tcW w:w="1388" w:type="dxa"/>
            <w:hideMark/>
          </w:tcPr>
          <w:p w14:paraId="1F71F19A" w14:textId="77777777" w:rsidR="00CF0BB6" w:rsidRPr="001606F9" w:rsidRDefault="00CF0BB6" w:rsidP="00CF0BB6">
            <w:pPr>
              <w:jc w:val="center"/>
            </w:pPr>
            <w:r>
              <w:t>0</w:t>
            </w:r>
          </w:p>
        </w:tc>
        <w:tc>
          <w:tcPr>
            <w:tcW w:w="1288" w:type="dxa"/>
            <w:hideMark/>
          </w:tcPr>
          <w:p w14:paraId="1F71F19B" w14:textId="77777777" w:rsidR="00CF0BB6" w:rsidRPr="001606F9" w:rsidRDefault="00CF0BB6" w:rsidP="00CF0BB6">
            <w:pPr>
              <w:jc w:val="center"/>
            </w:pPr>
            <w:r>
              <w:t>0</w:t>
            </w:r>
          </w:p>
        </w:tc>
      </w:tr>
      <w:tr w:rsidR="00CF0BB6" w:rsidRPr="001606F9" w14:paraId="1F71F1A3" w14:textId="77777777" w:rsidTr="00D15931">
        <w:trPr>
          <w:tblCellSpacing w:w="15" w:type="dxa"/>
          <w:jc w:val="center"/>
        </w:trPr>
        <w:tc>
          <w:tcPr>
            <w:tcW w:w="2424" w:type="dxa"/>
            <w:hideMark/>
          </w:tcPr>
          <w:p w14:paraId="1F71F19D" w14:textId="77777777" w:rsidR="009A716F" w:rsidRPr="001606F9" w:rsidRDefault="009A716F" w:rsidP="005B5981">
            <w:r w:rsidRPr="001606F9">
              <w:t>3. Finansiālā ietekme:</w:t>
            </w:r>
          </w:p>
        </w:tc>
        <w:tc>
          <w:tcPr>
            <w:tcW w:w="1104" w:type="dxa"/>
          </w:tcPr>
          <w:p w14:paraId="1F71F19E" w14:textId="77777777" w:rsidR="009A716F" w:rsidRPr="001606F9" w:rsidRDefault="009A716F" w:rsidP="005B5981">
            <w:pPr>
              <w:jc w:val="center"/>
            </w:pPr>
            <w:r w:rsidRPr="001606F9">
              <w:t>140 493</w:t>
            </w:r>
          </w:p>
        </w:tc>
        <w:tc>
          <w:tcPr>
            <w:tcW w:w="1529" w:type="dxa"/>
          </w:tcPr>
          <w:p w14:paraId="1F71F19F" w14:textId="77777777" w:rsidR="009A716F" w:rsidRPr="001606F9" w:rsidRDefault="009A716F" w:rsidP="005B5981">
            <w:pPr>
              <w:jc w:val="center"/>
            </w:pPr>
            <w:r w:rsidRPr="001606F9">
              <w:t>0</w:t>
            </w:r>
          </w:p>
        </w:tc>
        <w:tc>
          <w:tcPr>
            <w:tcW w:w="1246" w:type="dxa"/>
          </w:tcPr>
          <w:p w14:paraId="1F71F1A0" w14:textId="77777777" w:rsidR="009A716F" w:rsidRPr="001606F9" w:rsidRDefault="00D65BB4" w:rsidP="005B5981">
            <w:pPr>
              <w:jc w:val="center"/>
            </w:pPr>
            <w:r w:rsidRPr="00D65BB4">
              <w:t>–</w:t>
            </w:r>
            <w:r w:rsidR="009A716F" w:rsidRPr="001606F9">
              <w:t>140 493</w:t>
            </w:r>
          </w:p>
        </w:tc>
        <w:tc>
          <w:tcPr>
            <w:tcW w:w="1388" w:type="dxa"/>
          </w:tcPr>
          <w:p w14:paraId="1F71F1A1" w14:textId="77777777" w:rsidR="009A716F" w:rsidRPr="001606F9" w:rsidRDefault="00D65BB4" w:rsidP="005B5981">
            <w:pPr>
              <w:jc w:val="center"/>
            </w:pPr>
            <w:r w:rsidRPr="00D65BB4">
              <w:t>–</w:t>
            </w:r>
            <w:r w:rsidR="009A716F" w:rsidRPr="001606F9">
              <w:t>140 493</w:t>
            </w:r>
          </w:p>
        </w:tc>
        <w:tc>
          <w:tcPr>
            <w:tcW w:w="1288" w:type="dxa"/>
          </w:tcPr>
          <w:p w14:paraId="1F71F1A2" w14:textId="77777777" w:rsidR="009A716F" w:rsidRPr="001606F9" w:rsidRDefault="00D65BB4" w:rsidP="005B5981">
            <w:pPr>
              <w:jc w:val="center"/>
            </w:pPr>
            <w:r w:rsidRPr="00D65BB4">
              <w:t>–</w:t>
            </w:r>
            <w:r w:rsidR="009A716F" w:rsidRPr="001606F9">
              <w:t>140 493</w:t>
            </w:r>
          </w:p>
        </w:tc>
      </w:tr>
      <w:tr w:rsidR="00D65BB4" w:rsidRPr="001606F9" w14:paraId="1F71F1AA" w14:textId="77777777" w:rsidTr="00D15931">
        <w:trPr>
          <w:tblCellSpacing w:w="15" w:type="dxa"/>
          <w:jc w:val="center"/>
        </w:trPr>
        <w:tc>
          <w:tcPr>
            <w:tcW w:w="2424" w:type="dxa"/>
            <w:hideMark/>
          </w:tcPr>
          <w:p w14:paraId="1F71F1A4" w14:textId="77777777" w:rsidR="00D65BB4" w:rsidRPr="001606F9" w:rsidRDefault="00D65BB4" w:rsidP="005B5981">
            <w:r w:rsidRPr="001606F9">
              <w:t>3.1. valsts pamatbudžets</w:t>
            </w:r>
          </w:p>
        </w:tc>
        <w:tc>
          <w:tcPr>
            <w:tcW w:w="1104" w:type="dxa"/>
            <w:hideMark/>
          </w:tcPr>
          <w:p w14:paraId="1F71F1A5" w14:textId="77777777" w:rsidR="00D65BB4" w:rsidRPr="001606F9" w:rsidRDefault="00D65BB4" w:rsidP="00025127">
            <w:pPr>
              <w:jc w:val="center"/>
            </w:pPr>
            <w:r w:rsidRPr="001606F9">
              <w:t>140 493</w:t>
            </w:r>
          </w:p>
        </w:tc>
        <w:tc>
          <w:tcPr>
            <w:tcW w:w="1529" w:type="dxa"/>
            <w:hideMark/>
          </w:tcPr>
          <w:p w14:paraId="1F71F1A6" w14:textId="77777777" w:rsidR="00D65BB4" w:rsidRPr="001606F9" w:rsidRDefault="00D65BB4" w:rsidP="00025127">
            <w:pPr>
              <w:jc w:val="center"/>
            </w:pPr>
            <w:r w:rsidRPr="001606F9">
              <w:t>0</w:t>
            </w:r>
          </w:p>
        </w:tc>
        <w:tc>
          <w:tcPr>
            <w:tcW w:w="1246" w:type="dxa"/>
            <w:hideMark/>
          </w:tcPr>
          <w:p w14:paraId="1F71F1A7" w14:textId="77777777" w:rsidR="00D65BB4" w:rsidRPr="001606F9" w:rsidRDefault="00D65BB4" w:rsidP="00025127">
            <w:pPr>
              <w:jc w:val="center"/>
            </w:pPr>
            <w:r w:rsidRPr="00D65BB4">
              <w:t>–</w:t>
            </w:r>
            <w:r w:rsidRPr="001606F9">
              <w:t>140 493</w:t>
            </w:r>
          </w:p>
        </w:tc>
        <w:tc>
          <w:tcPr>
            <w:tcW w:w="1388" w:type="dxa"/>
            <w:hideMark/>
          </w:tcPr>
          <w:p w14:paraId="1F71F1A8" w14:textId="77777777" w:rsidR="00D65BB4" w:rsidRPr="001606F9" w:rsidRDefault="00D65BB4" w:rsidP="00025127">
            <w:pPr>
              <w:jc w:val="center"/>
            </w:pPr>
            <w:r w:rsidRPr="00D65BB4">
              <w:t>–</w:t>
            </w:r>
            <w:r w:rsidRPr="001606F9">
              <w:t>140 493</w:t>
            </w:r>
          </w:p>
        </w:tc>
        <w:tc>
          <w:tcPr>
            <w:tcW w:w="1288" w:type="dxa"/>
            <w:hideMark/>
          </w:tcPr>
          <w:p w14:paraId="1F71F1A9" w14:textId="77777777" w:rsidR="00D65BB4" w:rsidRPr="001606F9" w:rsidRDefault="00D65BB4" w:rsidP="00025127">
            <w:pPr>
              <w:jc w:val="center"/>
            </w:pPr>
            <w:r w:rsidRPr="00D65BB4">
              <w:t>–</w:t>
            </w:r>
            <w:r w:rsidRPr="001606F9">
              <w:t>140 493</w:t>
            </w:r>
          </w:p>
        </w:tc>
      </w:tr>
      <w:tr w:rsidR="00CF0BB6" w:rsidRPr="001606F9" w14:paraId="1F71F1B1" w14:textId="77777777" w:rsidTr="00D15931">
        <w:trPr>
          <w:tblCellSpacing w:w="15" w:type="dxa"/>
          <w:jc w:val="center"/>
        </w:trPr>
        <w:tc>
          <w:tcPr>
            <w:tcW w:w="2424" w:type="dxa"/>
            <w:hideMark/>
          </w:tcPr>
          <w:p w14:paraId="1F71F1AB" w14:textId="77777777" w:rsidR="00CF0BB6" w:rsidRPr="001606F9" w:rsidRDefault="00CF0BB6" w:rsidP="005B5981">
            <w:r w:rsidRPr="001606F9">
              <w:t>3.2. speciālais budžets</w:t>
            </w:r>
          </w:p>
        </w:tc>
        <w:tc>
          <w:tcPr>
            <w:tcW w:w="1104" w:type="dxa"/>
            <w:hideMark/>
          </w:tcPr>
          <w:p w14:paraId="1F71F1AC" w14:textId="77777777" w:rsidR="00CF0BB6" w:rsidRPr="001606F9" w:rsidRDefault="00CF0BB6" w:rsidP="00CF0BB6">
            <w:pPr>
              <w:pStyle w:val="naisf"/>
              <w:spacing w:before="0" w:after="0"/>
              <w:ind w:firstLine="0"/>
              <w:jc w:val="center"/>
            </w:pPr>
            <w:r>
              <w:t>0</w:t>
            </w:r>
          </w:p>
        </w:tc>
        <w:tc>
          <w:tcPr>
            <w:tcW w:w="1529" w:type="dxa"/>
            <w:hideMark/>
          </w:tcPr>
          <w:p w14:paraId="1F71F1AD" w14:textId="77777777" w:rsidR="00CF0BB6" w:rsidRPr="001606F9" w:rsidRDefault="00CF0BB6" w:rsidP="00CF0BB6">
            <w:pPr>
              <w:pStyle w:val="naisf"/>
              <w:spacing w:before="0" w:after="0"/>
              <w:ind w:firstLine="0"/>
              <w:jc w:val="center"/>
            </w:pPr>
            <w:r>
              <w:t>0</w:t>
            </w:r>
          </w:p>
        </w:tc>
        <w:tc>
          <w:tcPr>
            <w:tcW w:w="1246" w:type="dxa"/>
          </w:tcPr>
          <w:p w14:paraId="1F71F1AE" w14:textId="77777777" w:rsidR="00CF0BB6" w:rsidRPr="001606F9" w:rsidRDefault="00CF0BB6" w:rsidP="00CF0BB6">
            <w:pPr>
              <w:jc w:val="center"/>
            </w:pPr>
            <w:r>
              <w:t>0</w:t>
            </w:r>
          </w:p>
        </w:tc>
        <w:tc>
          <w:tcPr>
            <w:tcW w:w="1388" w:type="dxa"/>
          </w:tcPr>
          <w:p w14:paraId="1F71F1AF" w14:textId="77777777" w:rsidR="00CF0BB6" w:rsidRPr="001606F9" w:rsidRDefault="00CF0BB6" w:rsidP="00CF0BB6">
            <w:pPr>
              <w:jc w:val="center"/>
            </w:pPr>
            <w:r>
              <w:t>0</w:t>
            </w:r>
          </w:p>
        </w:tc>
        <w:tc>
          <w:tcPr>
            <w:tcW w:w="1288" w:type="dxa"/>
          </w:tcPr>
          <w:p w14:paraId="1F71F1B0" w14:textId="77777777" w:rsidR="00CF0BB6" w:rsidRPr="001606F9" w:rsidRDefault="00CF0BB6" w:rsidP="00CF0BB6">
            <w:pPr>
              <w:jc w:val="center"/>
            </w:pPr>
            <w:r>
              <w:t>0</w:t>
            </w:r>
          </w:p>
        </w:tc>
      </w:tr>
      <w:tr w:rsidR="00CF0BB6" w:rsidRPr="001606F9" w14:paraId="1F71F1B8" w14:textId="77777777" w:rsidTr="00D15931">
        <w:trPr>
          <w:tblCellSpacing w:w="15" w:type="dxa"/>
          <w:jc w:val="center"/>
        </w:trPr>
        <w:tc>
          <w:tcPr>
            <w:tcW w:w="2424" w:type="dxa"/>
            <w:hideMark/>
          </w:tcPr>
          <w:p w14:paraId="1F71F1B2" w14:textId="77777777" w:rsidR="00CF0BB6" w:rsidRPr="001606F9" w:rsidRDefault="00CF0BB6" w:rsidP="005B5981">
            <w:r w:rsidRPr="001606F9">
              <w:t>3.3. pašvaldību budžets</w:t>
            </w:r>
          </w:p>
        </w:tc>
        <w:tc>
          <w:tcPr>
            <w:tcW w:w="1104" w:type="dxa"/>
            <w:hideMark/>
          </w:tcPr>
          <w:p w14:paraId="1F71F1B3" w14:textId="77777777" w:rsidR="00CF0BB6" w:rsidRPr="001606F9" w:rsidRDefault="00CF0BB6" w:rsidP="00CF0BB6">
            <w:pPr>
              <w:jc w:val="center"/>
            </w:pPr>
            <w:r>
              <w:t>0</w:t>
            </w:r>
          </w:p>
        </w:tc>
        <w:tc>
          <w:tcPr>
            <w:tcW w:w="1529" w:type="dxa"/>
            <w:hideMark/>
          </w:tcPr>
          <w:p w14:paraId="1F71F1B4" w14:textId="77777777" w:rsidR="00CF0BB6" w:rsidRPr="001606F9" w:rsidRDefault="00CF0BB6" w:rsidP="00CF0BB6">
            <w:pPr>
              <w:pStyle w:val="naisf"/>
              <w:spacing w:before="0" w:after="0"/>
              <w:ind w:firstLine="0"/>
              <w:jc w:val="center"/>
            </w:pPr>
            <w:r>
              <w:t>0</w:t>
            </w:r>
          </w:p>
        </w:tc>
        <w:tc>
          <w:tcPr>
            <w:tcW w:w="1246" w:type="dxa"/>
            <w:hideMark/>
          </w:tcPr>
          <w:p w14:paraId="1F71F1B5" w14:textId="77777777" w:rsidR="00CF0BB6" w:rsidRPr="001606F9" w:rsidRDefault="00CF0BB6" w:rsidP="00CF0BB6">
            <w:pPr>
              <w:pStyle w:val="naisf"/>
              <w:spacing w:before="0" w:after="0"/>
              <w:ind w:firstLine="0"/>
              <w:jc w:val="center"/>
            </w:pPr>
            <w:r>
              <w:t>0</w:t>
            </w:r>
          </w:p>
        </w:tc>
        <w:tc>
          <w:tcPr>
            <w:tcW w:w="1388" w:type="dxa"/>
            <w:hideMark/>
          </w:tcPr>
          <w:p w14:paraId="1F71F1B6" w14:textId="77777777" w:rsidR="00CF0BB6" w:rsidRPr="001606F9" w:rsidRDefault="00CF0BB6" w:rsidP="00CF0BB6">
            <w:pPr>
              <w:jc w:val="center"/>
            </w:pPr>
            <w:r>
              <w:t>0</w:t>
            </w:r>
          </w:p>
        </w:tc>
        <w:tc>
          <w:tcPr>
            <w:tcW w:w="1288" w:type="dxa"/>
            <w:hideMark/>
          </w:tcPr>
          <w:p w14:paraId="1F71F1B7" w14:textId="77777777" w:rsidR="00CF0BB6" w:rsidRPr="001606F9" w:rsidRDefault="00CF0BB6" w:rsidP="00CF0BB6">
            <w:pPr>
              <w:jc w:val="center"/>
            </w:pPr>
            <w:r>
              <w:t>0</w:t>
            </w:r>
          </w:p>
        </w:tc>
      </w:tr>
      <w:tr w:rsidR="00CF0BB6" w:rsidRPr="001606F9" w14:paraId="1F71F1BF" w14:textId="77777777" w:rsidTr="00D15931">
        <w:trPr>
          <w:tblCellSpacing w:w="15" w:type="dxa"/>
          <w:jc w:val="center"/>
        </w:trPr>
        <w:tc>
          <w:tcPr>
            <w:tcW w:w="2424" w:type="dxa"/>
            <w:hideMark/>
          </w:tcPr>
          <w:p w14:paraId="1F71F1B9" w14:textId="77777777" w:rsidR="00CF0BB6" w:rsidRPr="001606F9" w:rsidRDefault="00CF0BB6" w:rsidP="005B5981">
            <w:r w:rsidRPr="001606F9">
              <w:t>4. Finanšu līdzekļi papildu izdevumu finansēšanai (kompensējošu izdevumu samazinājumu norāda ar "+" zīmi)</w:t>
            </w:r>
          </w:p>
        </w:tc>
        <w:tc>
          <w:tcPr>
            <w:tcW w:w="1104" w:type="dxa"/>
            <w:hideMark/>
          </w:tcPr>
          <w:p w14:paraId="1F71F1BA" w14:textId="77777777" w:rsidR="00CF0BB6" w:rsidRPr="001606F9" w:rsidRDefault="00CF0BB6" w:rsidP="00CF0BB6">
            <w:pPr>
              <w:pStyle w:val="naisf"/>
              <w:spacing w:before="0" w:after="0"/>
              <w:ind w:firstLine="0"/>
              <w:jc w:val="center"/>
            </w:pPr>
            <w:r>
              <w:t>0</w:t>
            </w:r>
          </w:p>
        </w:tc>
        <w:tc>
          <w:tcPr>
            <w:tcW w:w="1529" w:type="dxa"/>
            <w:hideMark/>
          </w:tcPr>
          <w:p w14:paraId="1F71F1BB" w14:textId="77777777" w:rsidR="00CF0BB6" w:rsidRPr="001606F9" w:rsidRDefault="00CF0BB6" w:rsidP="00CF0BB6">
            <w:pPr>
              <w:pStyle w:val="naisf"/>
              <w:spacing w:before="0" w:after="0"/>
              <w:ind w:firstLine="0"/>
              <w:jc w:val="center"/>
            </w:pPr>
            <w:r>
              <w:t>0</w:t>
            </w:r>
          </w:p>
        </w:tc>
        <w:tc>
          <w:tcPr>
            <w:tcW w:w="1246" w:type="dxa"/>
            <w:hideMark/>
          </w:tcPr>
          <w:p w14:paraId="1F71F1BC" w14:textId="77777777" w:rsidR="00CF0BB6" w:rsidRPr="001606F9" w:rsidRDefault="00CF0BB6" w:rsidP="00CF0BB6">
            <w:pPr>
              <w:jc w:val="center"/>
            </w:pPr>
            <w:r>
              <w:t>0</w:t>
            </w:r>
          </w:p>
        </w:tc>
        <w:tc>
          <w:tcPr>
            <w:tcW w:w="1388" w:type="dxa"/>
            <w:hideMark/>
          </w:tcPr>
          <w:p w14:paraId="1F71F1BD" w14:textId="77777777" w:rsidR="00CF0BB6" w:rsidRPr="001606F9" w:rsidRDefault="00CF0BB6" w:rsidP="00CF0BB6">
            <w:pPr>
              <w:jc w:val="center"/>
            </w:pPr>
            <w:r>
              <w:t>0</w:t>
            </w:r>
          </w:p>
        </w:tc>
        <w:tc>
          <w:tcPr>
            <w:tcW w:w="1288" w:type="dxa"/>
            <w:hideMark/>
          </w:tcPr>
          <w:p w14:paraId="1F71F1BE" w14:textId="77777777" w:rsidR="00CF0BB6" w:rsidRPr="001606F9" w:rsidRDefault="00CF0BB6" w:rsidP="00CF0BB6">
            <w:pPr>
              <w:jc w:val="center"/>
            </w:pPr>
            <w:r>
              <w:t>0</w:t>
            </w:r>
          </w:p>
        </w:tc>
      </w:tr>
      <w:tr w:rsidR="00CF0BB6" w:rsidRPr="001606F9" w14:paraId="1F71F1C6" w14:textId="77777777" w:rsidTr="00D15931">
        <w:trPr>
          <w:tblCellSpacing w:w="15" w:type="dxa"/>
          <w:jc w:val="center"/>
        </w:trPr>
        <w:tc>
          <w:tcPr>
            <w:tcW w:w="2424" w:type="dxa"/>
            <w:hideMark/>
          </w:tcPr>
          <w:p w14:paraId="1F71F1C0" w14:textId="77777777" w:rsidR="00CF0BB6" w:rsidRPr="001606F9" w:rsidRDefault="00CF0BB6" w:rsidP="005B5981">
            <w:r w:rsidRPr="001606F9">
              <w:t xml:space="preserve">5. Precizēta finansiālā </w:t>
            </w:r>
            <w:r w:rsidRPr="001606F9">
              <w:lastRenderedPageBreak/>
              <w:t>ietekme:</w:t>
            </w:r>
          </w:p>
        </w:tc>
        <w:tc>
          <w:tcPr>
            <w:tcW w:w="1104" w:type="dxa"/>
            <w:hideMark/>
          </w:tcPr>
          <w:p w14:paraId="1F71F1C1" w14:textId="77777777" w:rsidR="00CF0BB6" w:rsidRPr="001606F9" w:rsidRDefault="00CF0BB6" w:rsidP="00CF0BB6">
            <w:pPr>
              <w:jc w:val="center"/>
            </w:pPr>
            <w:r>
              <w:lastRenderedPageBreak/>
              <w:t>0</w:t>
            </w:r>
          </w:p>
        </w:tc>
        <w:tc>
          <w:tcPr>
            <w:tcW w:w="1529" w:type="dxa"/>
            <w:hideMark/>
          </w:tcPr>
          <w:p w14:paraId="1F71F1C2" w14:textId="77777777" w:rsidR="00CF0BB6" w:rsidRPr="001606F9" w:rsidRDefault="00CF0BB6" w:rsidP="00CF0BB6">
            <w:pPr>
              <w:pStyle w:val="naisf"/>
              <w:spacing w:before="0" w:after="0"/>
              <w:ind w:firstLine="0"/>
              <w:jc w:val="center"/>
            </w:pPr>
            <w:r>
              <w:t>0</w:t>
            </w:r>
          </w:p>
        </w:tc>
        <w:tc>
          <w:tcPr>
            <w:tcW w:w="1246" w:type="dxa"/>
            <w:hideMark/>
          </w:tcPr>
          <w:p w14:paraId="1F71F1C3" w14:textId="77777777" w:rsidR="00CF0BB6" w:rsidRPr="001606F9" w:rsidRDefault="00CF0BB6" w:rsidP="00CF0BB6">
            <w:pPr>
              <w:pStyle w:val="naisf"/>
              <w:spacing w:before="0" w:after="0"/>
              <w:ind w:firstLine="0"/>
              <w:jc w:val="center"/>
            </w:pPr>
            <w:r>
              <w:t>0</w:t>
            </w:r>
          </w:p>
        </w:tc>
        <w:tc>
          <w:tcPr>
            <w:tcW w:w="1388" w:type="dxa"/>
            <w:hideMark/>
          </w:tcPr>
          <w:p w14:paraId="1F71F1C4" w14:textId="77777777" w:rsidR="00CF0BB6" w:rsidRPr="001606F9" w:rsidRDefault="00CF0BB6" w:rsidP="00CF0BB6">
            <w:pPr>
              <w:jc w:val="center"/>
            </w:pPr>
            <w:r>
              <w:t>0</w:t>
            </w:r>
          </w:p>
        </w:tc>
        <w:tc>
          <w:tcPr>
            <w:tcW w:w="1288" w:type="dxa"/>
            <w:hideMark/>
          </w:tcPr>
          <w:p w14:paraId="1F71F1C5" w14:textId="77777777" w:rsidR="00CF0BB6" w:rsidRPr="001606F9" w:rsidRDefault="00CF0BB6" w:rsidP="00CF0BB6">
            <w:pPr>
              <w:jc w:val="center"/>
            </w:pPr>
            <w:r>
              <w:t>0</w:t>
            </w:r>
          </w:p>
        </w:tc>
      </w:tr>
      <w:tr w:rsidR="00CF0BB6" w:rsidRPr="001606F9" w14:paraId="1F71F1CD" w14:textId="77777777" w:rsidTr="00D15931">
        <w:trPr>
          <w:tblCellSpacing w:w="15" w:type="dxa"/>
          <w:jc w:val="center"/>
        </w:trPr>
        <w:tc>
          <w:tcPr>
            <w:tcW w:w="2424" w:type="dxa"/>
            <w:hideMark/>
          </w:tcPr>
          <w:p w14:paraId="1F71F1C7" w14:textId="77777777" w:rsidR="00CF0BB6" w:rsidRPr="001606F9" w:rsidRDefault="00CF0BB6" w:rsidP="005B5981">
            <w:r w:rsidRPr="001606F9">
              <w:lastRenderedPageBreak/>
              <w:t>5.1. valsts pamatbudžets</w:t>
            </w:r>
          </w:p>
        </w:tc>
        <w:tc>
          <w:tcPr>
            <w:tcW w:w="1104" w:type="dxa"/>
            <w:hideMark/>
          </w:tcPr>
          <w:p w14:paraId="1F71F1C8" w14:textId="77777777" w:rsidR="00CF0BB6" w:rsidRPr="001606F9" w:rsidRDefault="00CF0BB6" w:rsidP="00CF0BB6">
            <w:pPr>
              <w:pStyle w:val="naisf"/>
              <w:spacing w:before="0" w:after="0"/>
              <w:ind w:firstLine="0"/>
              <w:jc w:val="center"/>
            </w:pPr>
            <w:r>
              <w:t>0</w:t>
            </w:r>
          </w:p>
        </w:tc>
        <w:tc>
          <w:tcPr>
            <w:tcW w:w="1529" w:type="dxa"/>
            <w:hideMark/>
          </w:tcPr>
          <w:p w14:paraId="1F71F1C9" w14:textId="77777777" w:rsidR="00CF0BB6" w:rsidRPr="001606F9" w:rsidRDefault="00CF0BB6" w:rsidP="00CF0BB6">
            <w:pPr>
              <w:pStyle w:val="naisf"/>
              <w:spacing w:before="0" w:after="0"/>
              <w:ind w:firstLine="0"/>
              <w:jc w:val="center"/>
            </w:pPr>
            <w:r>
              <w:t>0</w:t>
            </w:r>
          </w:p>
        </w:tc>
        <w:tc>
          <w:tcPr>
            <w:tcW w:w="1246" w:type="dxa"/>
            <w:hideMark/>
          </w:tcPr>
          <w:p w14:paraId="1F71F1CA" w14:textId="77777777" w:rsidR="00CF0BB6" w:rsidRPr="001606F9" w:rsidRDefault="00CF0BB6" w:rsidP="00CF0BB6">
            <w:pPr>
              <w:jc w:val="center"/>
            </w:pPr>
            <w:r>
              <w:t>0</w:t>
            </w:r>
          </w:p>
        </w:tc>
        <w:tc>
          <w:tcPr>
            <w:tcW w:w="1388" w:type="dxa"/>
            <w:hideMark/>
          </w:tcPr>
          <w:p w14:paraId="1F71F1CB" w14:textId="77777777" w:rsidR="00CF0BB6" w:rsidRPr="001606F9" w:rsidRDefault="00CF0BB6" w:rsidP="00CF0BB6">
            <w:pPr>
              <w:jc w:val="center"/>
            </w:pPr>
            <w:r>
              <w:t>0</w:t>
            </w:r>
          </w:p>
        </w:tc>
        <w:tc>
          <w:tcPr>
            <w:tcW w:w="1288" w:type="dxa"/>
            <w:hideMark/>
          </w:tcPr>
          <w:p w14:paraId="1F71F1CC" w14:textId="77777777" w:rsidR="00CF0BB6" w:rsidRPr="001606F9" w:rsidRDefault="00CF0BB6" w:rsidP="00CF0BB6">
            <w:pPr>
              <w:jc w:val="center"/>
            </w:pPr>
            <w:r>
              <w:t>0</w:t>
            </w:r>
          </w:p>
        </w:tc>
      </w:tr>
      <w:tr w:rsidR="00CF0BB6" w:rsidRPr="001606F9" w14:paraId="1F71F1D4" w14:textId="77777777" w:rsidTr="00D15931">
        <w:trPr>
          <w:tblCellSpacing w:w="15" w:type="dxa"/>
          <w:jc w:val="center"/>
        </w:trPr>
        <w:tc>
          <w:tcPr>
            <w:tcW w:w="2424" w:type="dxa"/>
            <w:hideMark/>
          </w:tcPr>
          <w:p w14:paraId="1F71F1CE" w14:textId="77777777" w:rsidR="00CF0BB6" w:rsidRPr="001606F9" w:rsidRDefault="00CF0BB6" w:rsidP="005B5981">
            <w:r w:rsidRPr="001606F9">
              <w:t>5.2. speciālais budžets</w:t>
            </w:r>
          </w:p>
        </w:tc>
        <w:tc>
          <w:tcPr>
            <w:tcW w:w="1104" w:type="dxa"/>
            <w:hideMark/>
          </w:tcPr>
          <w:p w14:paraId="1F71F1CF" w14:textId="77777777" w:rsidR="00CF0BB6" w:rsidRPr="001606F9" w:rsidRDefault="00CF0BB6" w:rsidP="00CF0BB6">
            <w:pPr>
              <w:jc w:val="center"/>
            </w:pPr>
            <w:r>
              <w:t>0</w:t>
            </w:r>
          </w:p>
        </w:tc>
        <w:tc>
          <w:tcPr>
            <w:tcW w:w="1529" w:type="dxa"/>
            <w:hideMark/>
          </w:tcPr>
          <w:p w14:paraId="1F71F1D0" w14:textId="77777777" w:rsidR="00CF0BB6" w:rsidRPr="001606F9" w:rsidRDefault="00CF0BB6" w:rsidP="00CF0BB6">
            <w:pPr>
              <w:pStyle w:val="naisf"/>
              <w:spacing w:before="0" w:after="0"/>
              <w:ind w:firstLine="0"/>
              <w:jc w:val="center"/>
            </w:pPr>
            <w:r>
              <w:t>0</w:t>
            </w:r>
          </w:p>
        </w:tc>
        <w:tc>
          <w:tcPr>
            <w:tcW w:w="1246" w:type="dxa"/>
            <w:hideMark/>
          </w:tcPr>
          <w:p w14:paraId="1F71F1D1" w14:textId="77777777" w:rsidR="00CF0BB6" w:rsidRPr="001606F9" w:rsidRDefault="00CF0BB6" w:rsidP="00CF0BB6">
            <w:pPr>
              <w:pStyle w:val="naisf"/>
              <w:spacing w:before="0" w:after="0"/>
              <w:ind w:firstLine="0"/>
              <w:jc w:val="center"/>
            </w:pPr>
            <w:r>
              <w:t>0</w:t>
            </w:r>
          </w:p>
        </w:tc>
        <w:tc>
          <w:tcPr>
            <w:tcW w:w="1388" w:type="dxa"/>
            <w:hideMark/>
          </w:tcPr>
          <w:p w14:paraId="1F71F1D2" w14:textId="77777777" w:rsidR="00CF0BB6" w:rsidRPr="001606F9" w:rsidRDefault="00CF0BB6" w:rsidP="00CF0BB6">
            <w:pPr>
              <w:jc w:val="center"/>
            </w:pPr>
            <w:r>
              <w:t>0</w:t>
            </w:r>
          </w:p>
        </w:tc>
        <w:tc>
          <w:tcPr>
            <w:tcW w:w="1288" w:type="dxa"/>
            <w:hideMark/>
          </w:tcPr>
          <w:p w14:paraId="1F71F1D3" w14:textId="77777777" w:rsidR="00CF0BB6" w:rsidRPr="001606F9" w:rsidRDefault="00CF0BB6" w:rsidP="00CF0BB6">
            <w:pPr>
              <w:jc w:val="center"/>
            </w:pPr>
            <w:r>
              <w:t>0</w:t>
            </w:r>
          </w:p>
        </w:tc>
      </w:tr>
      <w:tr w:rsidR="00CF0BB6" w:rsidRPr="001606F9" w14:paraId="1F71F1DB" w14:textId="77777777" w:rsidTr="00D15931">
        <w:trPr>
          <w:tblCellSpacing w:w="15" w:type="dxa"/>
          <w:jc w:val="center"/>
        </w:trPr>
        <w:tc>
          <w:tcPr>
            <w:tcW w:w="2424" w:type="dxa"/>
            <w:hideMark/>
          </w:tcPr>
          <w:p w14:paraId="1F71F1D5" w14:textId="77777777" w:rsidR="00CF0BB6" w:rsidRPr="001606F9" w:rsidRDefault="00CF0BB6" w:rsidP="005B5981">
            <w:r w:rsidRPr="001606F9">
              <w:t>5.3. pašvaldību budžets</w:t>
            </w:r>
          </w:p>
        </w:tc>
        <w:tc>
          <w:tcPr>
            <w:tcW w:w="1104" w:type="dxa"/>
            <w:hideMark/>
          </w:tcPr>
          <w:p w14:paraId="1F71F1D6" w14:textId="77777777" w:rsidR="00CF0BB6" w:rsidRPr="001606F9" w:rsidRDefault="00CF0BB6" w:rsidP="00025127">
            <w:pPr>
              <w:pStyle w:val="naisf"/>
              <w:spacing w:before="0" w:after="0"/>
              <w:ind w:firstLine="0"/>
              <w:jc w:val="center"/>
            </w:pPr>
            <w:r>
              <w:t>0</w:t>
            </w:r>
          </w:p>
        </w:tc>
        <w:tc>
          <w:tcPr>
            <w:tcW w:w="1529" w:type="dxa"/>
            <w:hideMark/>
          </w:tcPr>
          <w:p w14:paraId="1F71F1D7" w14:textId="77777777" w:rsidR="00CF0BB6" w:rsidRPr="001606F9" w:rsidRDefault="00CF0BB6" w:rsidP="00025127">
            <w:pPr>
              <w:pStyle w:val="naisf"/>
              <w:spacing w:before="0" w:after="0"/>
              <w:ind w:firstLine="0"/>
              <w:jc w:val="center"/>
            </w:pPr>
            <w:r>
              <w:t>0</w:t>
            </w:r>
          </w:p>
        </w:tc>
        <w:tc>
          <w:tcPr>
            <w:tcW w:w="1246" w:type="dxa"/>
            <w:hideMark/>
          </w:tcPr>
          <w:p w14:paraId="1F71F1D8" w14:textId="77777777" w:rsidR="00CF0BB6" w:rsidRPr="001606F9" w:rsidRDefault="00CF0BB6" w:rsidP="00025127">
            <w:pPr>
              <w:jc w:val="center"/>
            </w:pPr>
            <w:r>
              <w:t>0</w:t>
            </w:r>
          </w:p>
        </w:tc>
        <w:tc>
          <w:tcPr>
            <w:tcW w:w="1388" w:type="dxa"/>
            <w:hideMark/>
          </w:tcPr>
          <w:p w14:paraId="1F71F1D9" w14:textId="77777777" w:rsidR="00CF0BB6" w:rsidRPr="001606F9" w:rsidRDefault="00CF0BB6" w:rsidP="00025127">
            <w:pPr>
              <w:jc w:val="center"/>
            </w:pPr>
            <w:r>
              <w:t>0</w:t>
            </w:r>
          </w:p>
        </w:tc>
        <w:tc>
          <w:tcPr>
            <w:tcW w:w="1288" w:type="dxa"/>
            <w:hideMark/>
          </w:tcPr>
          <w:p w14:paraId="1F71F1DA" w14:textId="77777777" w:rsidR="00CF0BB6" w:rsidRPr="001606F9" w:rsidRDefault="00CF0BB6" w:rsidP="00025127">
            <w:pPr>
              <w:jc w:val="center"/>
            </w:pPr>
            <w:r>
              <w:t>0</w:t>
            </w:r>
          </w:p>
        </w:tc>
      </w:tr>
      <w:tr w:rsidR="001606F9" w:rsidRPr="001606F9" w14:paraId="1F71F1DF" w14:textId="77777777" w:rsidTr="000764AF">
        <w:trPr>
          <w:tblCellSpacing w:w="15" w:type="dxa"/>
          <w:jc w:val="center"/>
        </w:trPr>
        <w:tc>
          <w:tcPr>
            <w:tcW w:w="2424" w:type="dxa"/>
            <w:hideMark/>
          </w:tcPr>
          <w:p w14:paraId="1F71F1DC" w14:textId="77777777" w:rsidR="005B2D31" w:rsidRPr="001606F9" w:rsidRDefault="00CB1B6D" w:rsidP="005B5981">
            <w:r w:rsidRPr="001606F9">
              <w:t xml:space="preserve">6. Detalizēts ieņēmumu un izdevumu aprēķins (ja nepieciešams, detalizētu ieņēmumu un izdevumu aprēķinu var pievienot anotācijas </w:t>
            </w:r>
          </w:p>
          <w:p w14:paraId="1F71F1DD" w14:textId="77777777" w:rsidR="005B2D31" w:rsidRPr="001606F9" w:rsidRDefault="00CB1B6D" w:rsidP="005B5981">
            <w:r w:rsidRPr="001606F9">
              <w:t>pielikumā):</w:t>
            </w:r>
          </w:p>
        </w:tc>
        <w:tc>
          <w:tcPr>
            <w:tcW w:w="6675" w:type="dxa"/>
            <w:gridSpan w:val="5"/>
            <w:hideMark/>
          </w:tcPr>
          <w:p w14:paraId="1F71F1DE" w14:textId="77777777" w:rsidR="00CB1B6D" w:rsidRPr="00A87352" w:rsidRDefault="00CB1B6D" w:rsidP="000B3F3B">
            <w:pPr>
              <w:jc w:val="both"/>
              <w:rPr>
                <w:color w:val="FF0000"/>
              </w:rPr>
            </w:pPr>
          </w:p>
        </w:tc>
      </w:tr>
      <w:tr w:rsidR="001606F9" w:rsidRPr="001606F9" w14:paraId="1F71F21D" w14:textId="77777777" w:rsidTr="00CF0BB6">
        <w:trPr>
          <w:trHeight w:val="444"/>
          <w:tblCellSpacing w:w="15" w:type="dxa"/>
          <w:jc w:val="center"/>
        </w:trPr>
        <w:tc>
          <w:tcPr>
            <w:tcW w:w="2424" w:type="dxa"/>
            <w:hideMark/>
          </w:tcPr>
          <w:p w14:paraId="1F71F1E0" w14:textId="77777777" w:rsidR="00CB1B6D" w:rsidRPr="001606F9" w:rsidRDefault="005B2D31" w:rsidP="005B5981">
            <w:r w:rsidRPr="001606F9">
              <w:t>6.1. Detalizēts ieņēmumu</w:t>
            </w:r>
          </w:p>
          <w:p w14:paraId="1F71F1E1" w14:textId="77777777" w:rsidR="005B2D31" w:rsidRPr="001606F9" w:rsidRDefault="005B2D31" w:rsidP="005B5981">
            <w:r w:rsidRPr="001606F9">
              <w:t>aprēķins</w:t>
            </w:r>
          </w:p>
          <w:p w14:paraId="1F71F1E2" w14:textId="77777777" w:rsidR="00CB1B6D" w:rsidRPr="001606F9" w:rsidRDefault="00CB1B6D" w:rsidP="005B5981"/>
          <w:p w14:paraId="1F71F1E3" w14:textId="77777777" w:rsidR="00CB1B6D" w:rsidRPr="001606F9" w:rsidRDefault="00CB1B6D" w:rsidP="005B5981"/>
          <w:p w14:paraId="1F71F1E4" w14:textId="77777777" w:rsidR="00CB1B6D" w:rsidRPr="001606F9" w:rsidRDefault="00CB1B6D" w:rsidP="005B5981"/>
          <w:p w14:paraId="1F71F1E5" w14:textId="77777777" w:rsidR="00CB1B6D" w:rsidRPr="001606F9" w:rsidRDefault="00CB1B6D" w:rsidP="005B5981"/>
          <w:p w14:paraId="1F71F1E6" w14:textId="77777777" w:rsidR="00CB1B6D" w:rsidRPr="001606F9" w:rsidRDefault="00CB1B6D" w:rsidP="005B5981"/>
          <w:p w14:paraId="1F71F1E7" w14:textId="77777777" w:rsidR="00CB1B6D" w:rsidRPr="001606F9" w:rsidRDefault="00CB1B6D" w:rsidP="005B5981"/>
          <w:p w14:paraId="1F71F1E8" w14:textId="77777777" w:rsidR="00CB1B6D" w:rsidRPr="001606F9" w:rsidRDefault="00CB1B6D" w:rsidP="005B5981"/>
          <w:p w14:paraId="1F71F1E9" w14:textId="77777777" w:rsidR="00CB1B6D" w:rsidRPr="001606F9" w:rsidRDefault="00CB1B6D" w:rsidP="005B5981"/>
        </w:tc>
        <w:tc>
          <w:tcPr>
            <w:tcW w:w="6675" w:type="dxa"/>
            <w:gridSpan w:val="5"/>
            <w:hideMark/>
          </w:tcPr>
          <w:p w14:paraId="1F71F1EA" w14:textId="77777777" w:rsidR="000627FB" w:rsidRDefault="000627FB" w:rsidP="005B5981">
            <w:pPr>
              <w:jc w:val="both"/>
            </w:pPr>
            <w:r>
              <w:t xml:space="preserve">1. </w:t>
            </w:r>
            <w:r w:rsidR="00AC136F">
              <w:t xml:space="preserve">Plānots, ka VTUA </w:t>
            </w:r>
            <w:r w:rsidR="00D10E1F">
              <w:t>gadā sniegs</w:t>
            </w:r>
            <w:r w:rsidR="00AC136F">
              <w:t xml:space="preserve"> </w:t>
            </w:r>
            <w:r w:rsidR="00A10F76" w:rsidRPr="00A10F76">
              <w:t>13</w:t>
            </w:r>
            <w:r w:rsidR="00A10F76">
              <w:t> </w:t>
            </w:r>
            <w:r w:rsidR="00A10F76" w:rsidRPr="00A10F76">
              <w:t>924</w:t>
            </w:r>
            <w:r w:rsidR="00A10F76">
              <w:t xml:space="preserve"> </w:t>
            </w:r>
            <w:r w:rsidR="00AC136F">
              <w:t>maksas pakalpojum</w:t>
            </w:r>
            <w:r w:rsidR="00A10F76">
              <w:t xml:space="preserve">us </w:t>
            </w:r>
            <w:r w:rsidR="00AC136F">
              <w:t>„</w:t>
            </w:r>
            <w:r w:rsidR="00AC136F" w:rsidRPr="001606F9">
              <w:t>traktortehnikas vai tās piekabes vienas vienības īpašumtiesību nostiprināšana”</w:t>
            </w:r>
            <w:r w:rsidR="00A10F76">
              <w:t xml:space="preserve">. Viena pakalpojuma izcenojums </w:t>
            </w:r>
            <w:r w:rsidR="000A1519">
              <w:t xml:space="preserve">EUR </w:t>
            </w:r>
            <w:r w:rsidR="00A10F76">
              <w:t>10,09</w:t>
            </w:r>
            <w:r w:rsidR="00FA67F8">
              <w:t xml:space="preserve">. Ieņēmumi gadā </w:t>
            </w:r>
            <w:r w:rsidR="000A1519">
              <w:t xml:space="preserve">EUR </w:t>
            </w:r>
            <w:r w:rsidR="00FA67F8">
              <w:t xml:space="preserve">10,09 x 13 924 </w:t>
            </w:r>
            <w:r w:rsidR="003C165F">
              <w:t xml:space="preserve">pakalpojumi </w:t>
            </w:r>
            <w:r w:rsidR="00FA67F8">
              <w:t xml:space="preserve">= </w:t>
            </w:r>
            <w:r w:rsidR="000A1519">
              <w:t xml:space="preserve">EUR </w:t>
            </w:r>
            <w:r w:rsidR="00FA67F8">
              <w:t>140 493,16.</w:t>
            </w:r>
          </w:p>
          <w:p w14:paraId="1F71F1EB" w14:textId="77777777" w:rsidR="005A39A9" w:rsidRPr="001606F9" w:rsidRDefault="000627FB" w:rsidP="005B5981">
            <w:pPr>
              <w:jc w:val="both"/>
            </w:pPr>
            <w:r>
              <w:t xml:space="preserve">2. </w:t>
            </w:r>
            <w:r w:rsidR="005A39A9" w:rsidRPr="001606F9">
              <w:t>L</w:t>
            </w:r>
            <w:r w:rsidR="00237187">
              <w:t>DC</w:t>
            </w:r>
            <w:r w:rsidR="005A39A9" w:rsidRPr="001606F9">
              <w:t xml:space="preserve"> ieņēmumu </w:t>
            </w:r>
            <w:r w:rsidR="00EF056E" w:rsidRPr="001606F9">
              <w:t xml:space="preserve">detalizēts </w:t>
            </w:r>
            <w:r w:rsidR="005A39A9" w:rsidRPr="001606F9">
              <w:t>aprēķins</w:t>
            </w:r>
            <w:r w:rsidR="00C40A39" w:rsidRPr="001606F9">
              <w:t>:</w:t>
            </w:r>
          </w:p>
          <w:tbl>
            <w:tblPr>
              <w:tblW w:w="6614" w:type="dxa"/>
              <w:tblLayout w:type="fixed"/>
              <w:tblLook w:val="04A0" w:firstRow="1" w:lastRow="0" w:firstColumn="1" w:lastColumn="0" w:noHBand="0" w:noVBand="1"/>
            </w:tblPr>
            <w:tblGrid>
              <w:gridCol w:w="1794"/>
              <w:gridCol w:w="992"/>
              <w:gridCol w:w="1276"/>
              <w:gridCol w:w="1276"/>
              <w:gridCol w:w="1276"/>
            </w:tblGrid>
            <w:tr w:rsidR="001606F9" w:rsidRPr="000764AF" w14:paraId="1F71F1F1" w14:textId="77777777" w:rsidTr="000764AF">
              <w:trPr>
                <w:trHeight w:val="480"/>
              </w:trPr>
              <w:tc>
                <w:tcPr>
                  <w:tcW w:w="1794" w:type="dxa"/>
                  <w:tcBorders>
                    <w:top w:val="single" w:sz="4" w:space="0" w:color="auto"/>
                    <w:left w:val="single" w:sz="4" w:space="0" w:color="auto"/>
                    <w:bottom w:val="single" w:sz="4" w:space="0" w:color="000000"/>
                    <w:right w:val="single" w:sz="4" w:space="0" w:color="auto"/>
                  </w:tcBorders>
                  <w:vAlign w:val="center"/>
                  <w:hideMark/>
                </w:tcPr>
                <w:p w14:paraId="1F71F1EC" w14:textId="77777777" w:rsidR="005A39A9" w:rsidRPr="000764AF" w:rsidRDefault="005A39A9" w:rsidP="005B5981">
                  <w:pPr>
                    <w:jc w:val="center"/>
                    <w:rPr>
                      <w:sz w:val="22"/>
                    </w:rPr>
                  </w:pPr>
                  <w:r w:rsidRPr="000764AF">
                    <w:rPr>
                      <w:sz w:val="22"/>
                    </w:rPr>
                    <w:t>Pakalpojuma veids</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71F1ED" w14:textId="77777777" w:rsidR="005A39A9" w:rsidRPr="000764AF" w:rsidRDefault="005A39A9" w:rsidP="005B5981">
                  <w:pPr>
                    <w:jc w:val="center"/>
                    <w:rPr>
                      <w:sz w:val="22"/>
                    </w:rPr>
                  </w:pPr>
                  <w:r w:rsidRPr="000764AF">
                    <w:rPr>
                      <w:sz w:val="22"/>
                    </w:rPr>
                    <w:t>Mērvie</w:t>
                  </w:r>
                  <w:r w:rsidR="000764AF">
                    <w:rPr>
                      <w:sz w:val="22"/>
                    </w:rPr>
                    <w:t>-</w:t>
                  </w:r>
                  <w:r w:rsidRPr="000764AF">
                    <w:rPr>
                      <w:sz w:val="22"/>
                    </w:rPr>
                    <w:t>nība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71F1EE" w14:textId="77777777" w:rsidR="005A39A9" w:rsidRPr="000764AF" w:rsidRDefault="005A39A9" w:rsidP="005B5981">
                  <w:pPr>
                    <w:jc w:val="center"/>
                    <w:rPr>
                      <w:sz w:val="22"/>
                    </w:rPr>
                  </w:pPr>
                  <w:r w:rsidRPr="000764AF">
                    <w:rPr>
                      <w:sz w:val="22"/>
                    </w:rPr>
                    <w:t>Izceno</w:t>
                  </w:r>
                  <w:r w:rsidR="000764AF">
                    <w:rPr>
                      <w:sz w:val="22"/>
                    </w:rPr>
                    <w:t>-</w:t>
                  </w:r>
                  <w:r w:rsidRPr="000764AF">
                    <w:rPr>
                      <w:sz w:val="22"/>
                    </w:rPr>
                    <w:t>jums, EUR</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71F1EF" w14:textId="77777777" w:rsidR="005A39A9" w:rsidRPr="000764AF" w:rsidRDefault="005A39A9" w:rsidP="005B5981">
                  <w:pPr>
                    <w:jc w:val="center"/>
                    <w:rPr>
                      <w:sz w:val="22"/>
                    </w:rPr>
                  </w:pPr>
                  <w:r w:rsidRPr="000764AF">
                    <w:rPr>
                      <w:sz w:val="22"/>
                    </w:rPr>
                    <w:t>Plānotais pakalpoju</w:t>
                  </w:r>
                  <w:r w:rsidR="000764AF">
                    <w:rPr>
                      <w:sz w:val="22"/>
                    </w:rPr>
                    <w:t>-</w:t>
                  </w:r>
                  <w:r w:rsidRPr="000764AF">
                    <w:rPr>
                      <w:sz w:val="22"/>
                    </w:rPr>
                    <w:t>mu skaits 2015.gadā, gab.</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71F1F0" w14:textId="77777777" w:rsidR="005A39A9" w:rsidRPr="000764AF" w:rsidRDefault="005A39A9" w:rsidP="005B5981">
                  <w:pPr>
                    <w:jc w:val="center"/>
                    <w:rPr>
                      <w:sz w:val="22"/>
                    </w:rPr>
                  </w:pPr>
                  <w:r w:rsidRPr="000764AF">
                    <w:rPr>
                      <w:sz w:val="22"/>
                    </w:rPr>
                    <w:t>Plānotie pašu ieņēmumi 2015.gadā, EUR</w:t>
                  </w:r>
                </w:p>
              </w:tc>
            </w:tr>
            <w:tr w:rsidR="001606F9" w:rsidRPr="000764AF" w14:paraId="1F71F1F7" w14:textId="77777777" w:rsidTr="000764AF">
              <w:trPr>
                <w:trHeight w:val="240"/>
              </w:trPr>
              <w:tc>
                <w:tcPr>
                  <w:tcW w:w="1794" w:type="dxa"/>
                  <w:tcBorders>
                    <w:top w:val="nil"/>
                    <w:left w:val="single" w:sz="4" w:space="0" w:color="auto"/>
                    <w:bottom w:val="single" w:sz="4" w:space="0" w:color="auto"/>
                    <w:right w:val="single" w:sz="4" w:space="0" w:color="auto"/>
                  </w:tcBorders>
                  <w:shd w:val="clear" w:color="auto" w:fill="auto"/>
                  <w:vAlign w:val="center"/>
                  <w:hideMark/>
                </w:tcPr>
                <w:p w14:paraId="1F71F1F2" w14:textId="77777777" w:rsidR="005A39A9" w:rsidRPr="000764AF" w:rsidRDefault="005A39A9" w:rsidP="000764AF">
                  <w:pPr>
                    <w:jc w:val="both"/>
                    <w:rPr>
                      <w:sz w:val="22"/>
                    </w:rPr>
                  </w:pPr>
                  <w:r w:rsidRPr="000764AF">
                    <w:rPr>
                      <w:sz w:val="22"/>
                    </w:rPr>
                    <w:t>Jauna ganāmpulka reģistrācija</w:t>
                  </w:r>
                </w:p>
              </w:tc>
              <w:tc>
                <w:tcPr>
                  <w:tcW w:w="992" w:type="dxa"/>
                  <w:tcBorders>
                    <w:top w:val="nil"/>
                    <w:left w:val="nil"/>
                    <w:bottom w:val="single" w:sz="4" w:space="0" w:color="auto"/>
                    <w:right w:val="single" w:sz="4" w:space="0" w:color="auto"/>
                  </w:tcBorders>
                  <w:shd w:val="clear" w:color="auto" w:fill="auto"/>
                  <w:vAlign w:val="center"/>
                  <w:hideMark/>
                </w:tcPr>
                <w:p w14:paraId="1F71F1F3" w14:textId="77777777" w:rsidR="005A39A9" w:rsidRPr="000764AF" w:rsidRDefault="005A39A9" w:rsidP="005B5981">
                  <w:pPr>
                    <w:jc w:val="center"/>
                    <w:rPr>
                      <w:sz w:val="22"/>
                    </w:rPr>
                  </w:pPr>
                  <w:r w:rsidRPr="000764AF">
                    <w:rPr>
                      <w:sz w:val="22"/>
                    </w:rPr>
                    <w:t>gab.</w:t>
                  </w:r>
                </w:p>
              </w:tc>
              <w:tc>
                <w:tcPr>
                  <w:tcW w:w="1276" w:type="dxa"/>
                  <w:tcBorders>
                    <w:top w:val="nil"/>
                    <w:left w:val="nil"/>
                    <w:bottom w:val="single" w:sz="4" w:space="0" w:color="auto"/>
                    <w:right w:val="single" w:sz="4" w:space="0" w:color="auto"/>
                  </w:tcBorders>
                  <w:shd w:val="clear" w:color="auto" w:fill="auto"/>
                  <w:vAlign w:val="center"/>
                  <w:hideMark/>
                </w:tcPr>
                <w:p w14:paraId="1F71F1F4" w14:textId="77777777" w:rsidR="005A39A9" w:rsidRPr="000764AF" w:rsidRDefault="005A39A9" w:rsidP="005B5981">
                  <w:pPr>
                    <w:jc w:val="center"/>
                    <w:rPr>
                      <w:sz w:val="22"/>
                    </w:rPr>
                  </w:pPr>
                  <w:r w:rsidRPr="000764AF">
                    <w:rPr>
                      <w:sz w:val="22"/>
                    </w:rPr>
                    <w:t>5,69</w:t>
                  </w:r>
                </w:p>
              </w:tc>
              <w:tc>
                <w:tcPr>
                  <w:tcW w:w="1276" w:type="dxa"/>
                  <w:tcBorders>
                    <w:top w:val="nil"/>
                    <w:left w:val="nil"/>
                    <w:bottom w:val="single" w:sz="4" w:space="0" w:color="auto"/>
                    <w:right w:val="single" w:sz="4" w:space="0" w:color="auto"/>
                  </w:tcBorders>
                  <w:shd w:val="clear" w:color="auto" w:fill="auto"/>
                  <w:vAlign w:val="center"/>
                  <w:hideMark/>
                </w:tcPr>
                <w:p w14:paraId="1F71F1F5" w14:textId="77777777" w:rsidR="005A39A9" w:rsidRPr="000764AF" w:rsidRDefault="005A39A9" w:rsidP="005B5981">
                  <w:pPr>
                    <w:jc w:val="center"/>
                    <w:rPr>
                      <w:sz w:val="22"/>
                    </w:rPr>
                  </w:pPr>
                  <w:r w:rsidRPr="000764AF">
                    <w:rPr>
                      <w:sz w:val="22"/>
                    </w:rPr>
                    <w:t>2</w:t>
                  </w:r>
                  <w:r w:rsidR="000764AF">
                    <w:rPr>
                      <w:sz w:val="22"/>
                    </w:rPr>
                    <w:t xml:space="preserve"> </w:t>
                  </w:r>
                  <w:r w:rsidRPr="000764AF">
                    <w:rPr>
                      <w:sz w:val="22"/>
                    </w:rPr>
                    <w:t>050</w:t>
                  </w:r>
                </w:p>
              </w:tc>
              <w:tc>
                <w:tcPr>
                  <w:tcW w:w="1276" w:type="dxa"/>
                  <w:tcBorders>
                    <w:top w:val="nil"/>
                    <w:left w:val="nil"/>
                    <w:bottom w:val="single" w:sz="4" w:space="0" w:color="auto"/>
                    <w:right w:val="single" w:sz="4" w:space="0" w:color="auto"/>
                  </w:tcBorders>
                  <w:shd w:val="clear" w:color="auto" w:fill="auto"/>
                  <w:vAlign w:val="center"/>
                  <w:hideMark/>
                </w:tcPr>
                <w:p w14:paraId="1F71F1F6" w14:textId="77777777" w:rsidR="005A39A9" w:rsidRPr="000764AF" w:rsidRDefault="005A39A9" w:rsidP="005B5981">
                  <w:pPr>
                    <w:jc w:val="center"/>
                    <w:rPr>
                      <w:sz w:val="22"/>
                    </w:rPr>
                  </w:pPr>
                  <w:r w:rsidRPr="000764AF">
                    <w:rPr>
                      <w:sz w:val="22"/>
                    </w:rPr>
                    <w:t>11</w:t>
                  </w:r>
                  <w:r w:rsidR="000764AF">
                    <w:rPr>
                      <w:sz w:val="22"/>
                    </w:rPr>
                    <w:t xml:space="preserve"> </w:t>
                  </w:r>
                  <w:r w:rsidRPr="000764AF">
                    <w:rPr>
                      <w:sz w:val="22"/>
                    </w:rPr>
                    <w:t>665</w:t>
                  </w:r>
                </w:p>
              </w:tc>
            </w:tr>
            <w:tr w:rsidR="001606F9" w:rsidRPr="000764AF" w14:paraId="1F71F1FD" w14:textId="77777777" w:rsidTr="00C811F5">
              <w:trPr>
                <w:trHeight w:val="240"/>
              </w:trPr>
              <w:tc>
                <w:tcPr>
                  <w:tcW w:w="1794" w:type="dxa"/>
                  <w:tcBorders>
                    <w:top w:val="nil"/>
                    <w:left w:val="single" w:sz="4" w:space="0" w:color="auto"/>
                    <w:bottom w:val="single" w:sz="4" w:space="0" w:color="auto"/>
                    <w:right w:val="single" w:sz="4" w:space="0" w:color="auto"/>
                  </w:tcBorders>
                  <w:shd w:val="clear" w:color="auto" w:fill="auto"/>
                  <w:vAlign w:val="center"/>
                  <w:hideMark/>
                </w:tcPr>
                <w:p w14:paraId="1F71F1F8" w14:textId="77777777" w:rsidR="005A39A9" w:rsidRPr="000764AF" w:rsidRDefault="005A39A9" w:rsidP="000764AF">
                  <w:pPr>
                    <w:jc w:val="both"/>
                    <w:rPr>
                      <w:sz w:val="22"/>
                    </w:rPr>
                  </w:pPr>
                  <w:r w:rsidRPr="000764AF">
                    <w:rPr>
                      <w:sz w:val="22"/>
                    </w:rPr>
                    <w:t>Jaunas dzīvnieku novietnes reģistrācija</w:t>
                  </w:r>
                </w:p>
              </w:tc>
              <w:tc>
                <w:tcPr>
                  <w:tcW w:w="992" w:type="dxa"/>
                  <w:tcBorders>
                    <w:top w:val="nil"/>
                    <w:left w:val="nil"/>
                    <w:bottom w:val="single" w:sz="4" w:space="0" w:color="auto"/>
                    <w:right w:val="single" w:sz="4" w:space="0" w:color="auto"/>
                  </w:tcBorders>
                  <w:shd w:val="clear" w:color="auto" w:fill="auto"/>
                  <w:vAlign w:val="center"/>
                  <w:hideMark/>
                </w:tcPr>
                <w:p w14:paraId="1F71F1F9" w14:textId="77777777" w:rsidR="005A39A9" w:rsidRPr="000764AF" w:rsidRDefault="005A39A9" w:rsidP="005B5981">
                  <w:pPr>
                    <w:jc w:val="center"/>
                    <w:rPr>
                      <w:sz w:val="22"/>
                    </w:rPr>
                  </w:pPr>
                  <w:r w:rsidRPr="000764AF">
                    <w:rPr>
                      <w:sz w:val="22"/>
                    </w:rPr>
                    <w:t>gab.</w:t>
                  </w:r>
                </w:p>
              </w:tc>
              <w:tc>
                <w:tcPr>
                  <w:tcW w:w="1276" w:type="dxa"/>
                  <w:tcBorders>
                    <w:top w:val="nil"/>
                    <w:left w:val="nil"/>
                    <w:bottom w:val="single" w:sz="4" w:space="0" w:color="auto"/>
                    <w:right w:val="single" w:sz="4" w:space="0" w:color="auto"/>
                  </w:tcBorders>
                  <w:shd w:val="clear" w:color="auto" w:fill="auto"/>
                  <w:vAlign w:val="center"/>
                  <w:hideMark/>
                </w:tcPr>
                <w:p w14:paraId="1F71F1FA" w14:textId="77777777" w:rsidR="005A39A9" w:rsidRPr="000764AF" w:rsidRDefault="005A39A9" w:rsidP="005B5981">
                  <w:pPr>
                    <w:jc w:val="center"/>
                    <w:rPr>
                      <w:sz w:val="22"/>
                    </w:rPr>
                  </w:pPr>
                  <w:r w:rsidRPr="000764AF">
                    <w:rPr>
                      <w:sz w:val="22"/>
                    </w:rPr>
                    <w:t>5,69</w:t>
                  </w:r>
                </w:p>
              </w:tc>
              <w:tc>
                <w:tcPr>
                  <w:tcW w:w="1276" w:type="dxa"/>
                  <w:tcBorders>
                    <w:top w:val="nil"/>
                    <w:left w:val="nil"/>
                    <w:bottom w:val="single" w:sz="4" w:space="0" w:color="auto"/>
                    <w:right w:val="single" w:sz="4" w:space="0" w:color="auto"/>
                  </w:tcBorders>
                  <w:shd w:val="clear" w:color="auto" w:fill="auto"/>
                  <w:vAlign w:val="center"/>
                  <w:hideMark/>
                </w:tcPr>
                <w:p w14:paraId="1F71F1FB" w14:textId="77777777" w:rsidR="005A39A9" w:rsidRPr="000764AF" w:rsidRDefault="005A39A9" w:rsidP="005B5981">
                  <w:pPr>
                    <w:jc w:val="center"/>
                    <w:rPr>
                      <w:sz w:val="22"/>
                    </w:rPr>
                  </w:pPr>
                  <w:r w:rsidRPr="000764AF">
                    <w:rPr>
                      <w:sz w:val="22"/>
                    </w:rPr>
                    <w:t>1</w:t>
                  </w:r>
                  <w:r w:rsidR="000764AF">
                    <w:rPr>
                      <w:sz w:val="22"/>
                    </w:rPr>
                    <w:t xml:space="preserve"> </w:t>
                  </w:r>
                  <w:r w:rsidRPr="000764AF">
                    <w:rPr>
                      <w:sz w:val="22"/>
                    </w:rPr>
                    <w:t>010</w:t>
                  </w:r>
                </w:p>
              </w:tc>
              <w:tc>
                <w:tcPr>
                  <w:tcW w:w="1276" w:type="dxa"/>
                  <w:tcBorders>
                    <w:top w:val="nil"/>
                    <w:left w:val="nil"/>
                    <w:bottom w:val="single" w:sz="4" w:space="0" w:color="auto"/>
                    <w:right w:val="single" w:sz="4" w:space="0" w:color="auto"/>
                  </w:tcBorders>
                  <w:shd w:val="clear" w:color="auto" w:fill="auto"/>
                  <w:vAlign w:val="center"/>
                  <w:hideMark/>
                </w:tcPr>
                <w:p w14:paraId="1F71F1FC" w14:textId="77777777" w:rsidR="005A39A9" w:rsidRPr="000764AF" w:rsidRDefault="005A39A9" w:rsidP="005B5981">
                  <w:pPr>
                    <w:jc w:val="center"/>
                    <w:rPr>
                      <w:sz w:val="22"/>
                    </w:rPr>
                  </w:pPr>
                  <w:r w:rsidRPr="000764AF">
                    <w:rPr>
                      <w:sz w:val="22"/>
                    </w:rPr>
                    <w:t>5</w:t>
                  </w:r>
                  <w:r w:rsidR="000764AF">
                    <w:rPr>
                      <w:sz w:val="22"/>
                    </w:rPr>
                    <w:t xml:space="preserve"> </w:t>
                  </w:r>
                  <w:r w:rsidRPr="000764AF">
                    <w:rPr>
                      <w:sz w:val="22"/>
                    </w:rPr>
                    <w:t>747</w:t>
                  </w:r>
                </w:p>
              </w:tc>
            </w:tr>
            <w:tr w:rsidR="001606F9" w:rsidRPr="000764AF" w14:paraId="1F71F203" w14:textId="77777777" w:rsidTr="000764AF">
              <w:trPr>
                <w:trHeight w:val="240"/>
              </w:trPr>
              <w:tc>
                <w:tcPr>
                  <w:tcW w:w="1794" w:type="dxa"/>
                  <w:tcBorders>
                    <w:top w:val="nil"/>
                    <w:left w:val="single" w:sz="4" w:space="0" w:color="auto"/>
                    <w:bottom w:val="single" w:sz="4" w:space="0" w:color="auto"/>
                    <w:right w:val="single" w:sz="4" w:space="0" w:color="auto"/>
                  </w:tcBorders>
                  <w:shd w:val="clear" w:color="auto" w:fill="auto"/>
                  <w:vAlign w:val="center"/>
                  <w:hideMark/>
                </w:tcPr>
                <w:p w14:paraId="1F71F1FE" w14:textId="77777777" w:rsidR="005A39A9" w:rsidRPr="000764AF" w:rsidRDefault="005A39A9" w:rsidP="000764AF">
                  <w:pPr>
                    <w:jc w:val="both"/>
                    <w:rPr>
                      <w:sz w:val="22"/>
                    </w:rPr>
                  </w:pPr>
                  <w:r w:rsidRPr="000764AF">
                    <w:rPr>
                      <w:sz w:val="22"/>
                    </w:rPr>
                    <w:t>Zirga pases izgatavošana</w:t>
                  </w:r>
                </w:p>
              </w:tc>
              <w:tc>
                <w:tcPr>
                  <w:tcW w:w="992" w:type="dxa"/>
                  <w:tcBorders>
                    <w:top w:val="nil"/>
                    <w:left w:val="nil"/>
                    <w:bottom w:val="single" w:sz="4" w:space="0" w:color="auto"/>
                    <w:right w:val="single" w:sz="4" w:space="0" w:color="auto"/>
                  </w:tcBorders>
                  <w:shd w:val="clear" w:color="auto" w:fill="auto"/>
                  <w:vAlign w:val="center"/>
                  <w:hideMark/>
                </w:tcPr>
                <w:p w14:paraId="1F71F1FF" w14:textId="77777777" w:rsidR="005A39A9" w:rsidRPr="000764AF" w:rsidRDefault="005A39A9" w:rsidP="005B5981">
                  <w:pPr>
                    <w:jc w:val="center"/>
                    <w:rPr>
                      <w:sz w:val="22"/>
                    </w:rPr>
                  </w:pPr>
                  <w:r w:rsidRPr="000764AF">
                    <w:rPr>
                      <w:sz w:val="22"/>
                    </w:rPr>
                    <w:t>gab.</w:t>
                  </w:r>
                </w:p>
              </w:tc>
              <w:tc>
                <w:tcPr>
                  <w:tcW w:w="1276" w:type="dxa"/>
                  <w:tcBorders>
                    <w:top w:val="nil"/>
                    <w:left w:val="nil"/>
                    <w:bottom w:val="single" w:sz="4" w:space="0" w:color="auto"/>
                    <w:right w:val="single" w:sz="4" w:space="0" w:color="auto"/>
                  </w:tcBorders>
                  <w:shd w:val="clear" w:color="auto" w:fill="auto"/>
                  <w:vAlign w:val="center"/>
                  <w:hideMark/>
                </w:tcPr>
                <w:p w14:paraId="1F71F200" w14:textId="77777777" w:rsidR="005A39A9" w:rsidRPr="000764AF" w:rsidRDefault="005A39A9" w:rsidP="005B5981">
                  <w:pPr>
                    <w:jc w:val="center"/>
                    <w:rPr>
                      <w:sz w:val="22"/>
                    </w:rPr>
                  </w:pPr>
                  <w:r w:rsidRPr="000764AF">
                    <w:rPr>
                      <w:sz w:val="22"/>
                    </w:rPr>
                    <w:t>7,11</w:t>
                  </w:r>
                </w:p>
              </w:tc>
              <w:tc>
                <w:tcPr>
                  <w:tcW w:w="1276" w:type="dxa"/>
                  <w:tcBorders>
                    <w:top w:val="nil"/>
                    <w:left w:val="nil"/>
                    <w:bottom w:val="single" w:sz="4" w:space="0" w:color="auto"/>
                    <w:right w:val="single" w:sz="4" w:space="0" w:color="auto"/>
                  </w:tcBorders>
                  <w:shd w:val="clear" w:color="auto" w:fill="auto"/>
                  <w:vAlign w:val="center"/>
                  <w:hideMark/>
                </w:tcPr>
                <w:p w14:paraId="1F71F201" w14:textId="77777777" w:rsidR="005A39A9" w:rsidRPr="000764AF" w:rsidRDefault="005A39A9" w:rsidP="005B5981">
                  <w:pPr>
                    <w:jc w:val="center"/>
                    <w:rPr>
                      <w:sz w:val="22"/>
                    </w:rPr>
                  </w:pPr>
                  <w:r w:rsidRPr="000764AF">
                    <w:rPr>
                      <w:sz w:val="22"/>
                    </w:rPr>
                    <w:t>800</w:t>
                  </w:r>
                </w:p>
              </w:tc>
              <w:tc>
                <w:tcPr>
                  <w:tcW w:w="1276" w:type="dxa"/>
                  <w:tcBorders>
                    <w:top w:val="nil"/>
                    <w:left w:val="nil"/>
                    <w:bottom w:val="single" w:sz="4" w:space="0" w:color="auto"/>
                    <w:right w:val="single" w:sz="4" w:space="0" w:color="auto"/>
                  </w:tcBorders>
                  <w:shd w:val="clear" w:color="auto" w:fill="auto"/>
                  <w:vAlign w:val="center"/>
                  <w:hideMark/>
                </w:tcPr>
                <w:p w14:paraId="1F71F202" w14:textId="77777777" w:rsidR="005A39A9" w:rsidRPr="000764AF" w:rsidRDefault="005A39A9" w:rsidP="005B5981">
                  <w:pPr>
                    <w:jc w:val="center"/>
                    <w:rPr>
                      <w:sz w:val="22"/>
                    </w:rPr>
                  </w:pPr>
                  <w:r w:rsidRPr="000764AF">
                    <w:rPr>
                      <w:sz w:val="22"/>
                    </w:rPr>
                    <w:t>5</w:t>
                  </w:r>
                  <w:r w:rsidR="000764AF">
                    <w:rPr>
                      <w:sz w:val="22"/>
                    </w:rPr>
                    <w:t xml:space="preserve"> </w:t>
                  </w:r>
                  <w:r w:rsidRPr="000764AF">
                    <w:rPr>
                      <w:sz w:val="22"/>
                    </w:rPr>
                    <w:t>688</w:t>
                  </w:r>
                </w:p>
              </w:tc>
            </w:tr>
            <w:tr w:rsidR="001606F9" w:rsidRPr="000764AF" w14:paraId="1F71F209" w14:textId="77777777" w:rsidTr="007A4807">
              <w:trPr>
                <w:trHeight w:val="240"/>
              </w:trPr>
              <w:tc>
                <w:tcPr>
                  <w:tcW w:w="1794" w:type="dxa"/>
                  <w:tcBorders>
                    <w:top w:val="nil"/>
                    <w:left w:val="single" w:sz="4" w:space="0" w:color="auto"/>
                    <w:bottom w:val="single" w:sz="4" w:space="0" w:color="auto"/>
                    <w:right w:val="single" w:sz="4" w:space="0" w:color="auto"/>
                  </w:tcBorders>
                  <w:shd w:val="clear" w:color="auto" w:fill="auto"/>
                  <w:vAlign w:val="center"/>
                  <w:hideMark/>
                </w:tcPr>
                <w:p w14:paraId="1F71F204" w14:textId="77777777" w:rsidR="005A39A9" w:rsidRPr="000764AF" w:rsidRDefault="005A39A9" w:rsidP="000764AF">
                  <w:pPr>
                    <w:jc w:val="both"/>
                    <w:rPr>
                      <w:sz w:val="22"/>
                    </w:rPr>
                  </w:pPr>
                  <w:r w:rsidRPr="000764AF">
                    <w:rPr>
                      <w:sz w:val="22"/>
                    </w:rPr>
                    <w:t>Zirga pases dublikāta izgatavošana</w:t>
                  </w:r>
                </w:p>
              </w:tc>
              <w:tc>
                <w:tcPr>
                  <w:tcW w:w="992" w:type="dxa"/>
                  <w:tcBorders>
                    <w:top w:val="nil"/>
                    <w:left w:val="nil"/>
                    <w:bottom w:val="single" w:sz="4" w:space="0" w:color="auto"/>
                    <w:right w:val="single" w:sz="4" w:space="0" w:color="auto"/>
                  </w:tcBorders>
                  <w:shd w:val="clear" w:color="auto" w:fill="auto"/>
                  <w:vAlign w:val="center"/>
                  <w:hideMark/>
                </w:tcPr>
                <w:p w14:paraId="1F71F205" w14:textId="77777777" w:rsidR="005A39A9" w:rsidRPr="000764AF" w:rsidRDefault="005A39A9" w:rsidP="005B5981">
                  <w:pPr>
                    <w:jc w:val="center"/>
                    <w:rPr>
                      <w:sz w:val="22"/>
                    </w:rPr>
                  </w:pPr>
                  <w:r w:rsidRPr="000764AF">
                    <w:rPr>
                      <w:sz w:val="22"/>
                    </w:rPr>
                    <w:t>gab.</w:t>
                  </w:r>
                </w:p>
              </w:tc>
              <w:tc>
                <w:tcPr>
                  <w:tcW w:w="1276" w:type="dxa"/>
                  <w:tcBorders>
                    <w:top w:val="nil"/>
                    <w:left w:val="nil"/>
                    <w:bottom w:val="single" w:sz="4" w:space="0" w:color="auto"/>
                    <w:right w:val="single" w:sz="4" w:space="0" w:color="auto"/>
                  </w:tcBorders>
                  <w:shd w:val="clear" w:color="auto" w:fill="auto"/>
                  <w:vAlign w:val="center"/>
                  <w:hideMark/>
                </w:tcPr>
                <w:p w14:paraId="1F71F206" w14:textId="77777777" w:rsidR="005A39A9" w:rsidRPr="000764AF" w:rsidRDefault="005A39A9" w:rsidP="005B5981">
                  <w:pPr>
                    <w:jc w:val="center"/>
                    <w:rPr>
                      <w:sz w:val="22"/>
                    </w:rPr>
                  </w:pPr>
                  <w:r w:rsidRPr="000764AF">
                    <w:rPr>
                      <w:sz w:val="22"/>
                    </w:rPr>
                    <w:t>14,23</w:t>
                  </w:r>
                </w:p>
              </w:tc>
              <w:tc>
                <w:tcPr>
                  <w:tcW w:w="1276" w:type="dxa"/>
                  <w:tcBorders>
                    <w:top w:val="nil"/>
                    <w:left w:val="nil"/>
                    <w:bottom w:val="single" w:sz="4" w:space="0" w:color="auto"/>
                    <w:right w:val="single" w:sz="4" w:space="0" w:color="auto"/>
                  </w:tcBorders>
                  <w:shd w:val="clear" w:color="auto" w:fill="auto"/>
                  <w:vAlign w:val="center"/>
                  <w:hideMark/>
                </w:tcPr>
                <w:p w14:paraId="1F71F207" w14:textId="77777777" w:rsidR="005A39A9" w:rsidRPr="000764AF" w:rsidRDefault="005A39A9" w:rsidP="005B5981">
                  <w:pPr>
                    <w:jc w:val="center"/>
                    <w:rPr>
                      <w:sz w:val="22"/>
                    </w:rPr>
                  </w:pPr>
                  <w:r w:rsidRPr="000764AF">
                    <w:rPr>
                      <w:sz w:val="22"/>
                    </w:rPr>
                    <w:t>5</w:t>
                  </w:r>
                </w:p>
              </w:tc>
              <w:tc>
                <w:tcPr>
                  <w:tcW w:w="1276" w:type="dxa"/>
                  <w:tcBorders>
                    <w:top w:val="nil"/>
                    <w:left w:val="nil"/>
                    <w:bottom w:val="single" w:sz="4" w:space="0" w:color="auto"/>
                    <w:right w:val="single" w:sz="4" w:space="0" w:color="auto"/>
                  </w:tcBorders>
                  <w:shd w:val="clear" w:color="auto" w:fill="auto"/>
                  <w:vAlign w:val="center"/>
                  <w:hideMark/>
                </w:tcPr>
                <w:p w14:paraId="1F71F208" w14:textId="77777777" w:rsidR="005A39A9" w:rsidRPr="000764AF" w:rsidRDefault="005A39A9" w:rsidP="005B5981">
                  <w:pPr>
                    <w:jc w:val="center"/>
                    <w:rPr>
                      <w:sz w:val="22"/>
                    </w:rPr>
                  </w:pPr>
                  <w:r w:rsidRPr="000764AF">
                    <w:rPr>
                      <w:sz w:val="22"/>
                    </w:rPr>
                    <w:t>71</w:t>
                  </w:r>
                </w:p>
              </w:tc>
            </w:tr>
            <w:tr w:rsidR="001606F9" w:rsidRPr="000764AF" w14:paraId="1F71F20F" w14:textId="77777777" w:rsidTr="000764AF">
              <w:trPr>
                <w:trHeight w:val="480"/>
              </w:trPr>
              <w:tc>
                <w:tcPr>
                  <w:tcW w:w="1794" w:type="dxa"/>
                  <w:tcBorders>
                    <w:top w:val="nil"/>
                    <w:left w:val="single" w:sz="4" w:space="0" w:color="auto"/>
                    <w:bottom w:val="single" w:sz="4" w:space="0" w:color="auto"/>
                    <w:right w:val="single" w:sz="4" w:space="0" w:color="auto"/>
                  </w:tcBorders>
                  <w:shd w:val="clear" w:color="auto" w:fill="auto"/>
                  <w:vAlign w:val="center"/>
                  <w:hideMark/>
                </w:tcPr>
                <w:p w14:paraId="1F71F20A" w14:textId="77777777" w:rsidR="005A39A9" w:rsidRPr="000764AF" w:rsidRDefault="005A39A9" w:rsidP="000764AF">
                  <w:pPr>
                    <w:jc w:val="both"/>
                    <w:rPr>
                      <w:sz w:val="22"/>
                    </w:rPr>
                  </w:pPr>
                  <w:r w:rsidRPr="000764AF">
                    <w:rPr>
                      <w:sz w:val="22"/>
                    </w:rPr>
                    <w:t>Zirga pases izgatavošana darbdienas laikā</w:t>
                  </w:r>
                </w:p>
              </w:tc>
              <w:tc>
                <w:tcPr>
                  <w:tcW w:w="992" w:type="dxa"/>
                  <w:tcBorders>
                    <w:top w:val="nil"/>
                    <w:left w:val="nil"/>
                    <w:bottom w:val="single" w:sz="4" w:space="0" w:color="auto"/>
                    <w:right w:val="single" w:sz="4" w:space="0" w:color="auto"/>
                  </w:tcBorders>
                  <w:shd w:val="clear" w:color="auto" w:fill="auto"/>
                  <w:vAlign w:val="center"/>
                  <w:hideMark/>
                </w:tcPr>
                <w:p w14:paraId="1F71F20B" w14:textId="77777777" w:rsidR="005A39A9" w:rsidRPr="000764AF" w:rsidRDefault="005A39A9" w:rsidP="005B5981">
                  <w:pPr>
                    <w:jc w:val="center"/>
                    <w:rPr>
                      <w:sz w:val="22"/>
                    </w:rPr>
                  </w:pPr>
                  <w:r w:rsidRPr="000764AF">
                    <w:rPr>
                      <w:sz w:val="22"/>
                    </w:rPr>
                    <w:t>gab.</w:t>
                  </w:r>
                </w:p>
              </w:tc>
              <w:tc>
                <w:tcPr>
                  <w:tcW w:w="1276" w:type="dxa"/>
                  <w:tcBorders>
                    <w:top w:val="nil"/>
                    <w:left w:val="nil"/>
                    <w:bottom w:val="single" w:sz="4" w:space="0" w:color="auto"/>
                    <w:right w:val="single" w:sz="4" w:space="0" w:color="auto"/>
                  </w:tcBorders>
                  <w:shd w:val="clear" w:color="auto" w:fill="auto"/>
                  <w:vAlign w:val="center"/>
                  <w:hideMark/>
                </w:tcPr>
                <w:p w14:paraId="1F71F20C" w14:textId="77777777" w:rsidR="005A39A9" w:rsidRPr="000764AF" w:rsidRDefault="005A39A9" w:rsidP="005B5981">
                  <w:pPr>
                    <w:jc w:val="center"/>
                    <w:rPr>
                      <w:sz w:val="22"/>
                    </w:rPr>
                  </w:pPr>
                  <w:r w:rsidRPr="000764AF">
                    <w:rPr>
                      <w:sz w:val="22"/>
                    </w:rPr>
                    <w:t>21,34</w:t>
                  </w:r>
                </w:p>
              </w:tc>
              <w:tc>
                <w:tcPr>
                  <w:tcW w:w="1276" w:type="dxa"/>
                  <w:tcBorders>
                    <w:top w:val="nil"/>
                    <w:left w:val="nil"/>
                    <w:bottom w:val="single" w:sz="4" w:space="0" w:color="auto"/>
                    <w:right w:val="single" w:sz="4" w:space="0" w:color="auto"/>
                  </w:tcBorders>
                  <w:shd w:val="clear" w:color="auto" w:fill="auto"/>
                  <w:vAlign w:val="center"/>
                  <w:hideMark/>
                </w:tcPr>
                <w:p w14:paraId="1F71F20D" w14:textId="77777777" w:rsidR="005A39A9" w:rsidRPr="000764AF" w:rsidRDefault="005A39A9" w:rsidP="005B5981">
                  <w:pPr>
                    <w:jc w:val="center"/>
                    <w:rPr>
                      <w:sz w:val="22"/>
                    </w:rPr>
                  </w:pPr>
                  <w:r w:rsidRPr="000764AF">
                    <w:rPr>
                      <w:sz w:val="22"/>
                    </w:rPr>
                    <w:t>1</w:t>
                  </w:r>
                </w:p>
              </w:tc>
              <w:tc>
                <w:tcPr>
                  <w:tcW w:w="1276" w:type="dxa"/>
                  <w:tcBorders>
                    <w:top w:val="nil"/>
                    <w:left w:val="nil"/>
                    <w:bottom w:val="single" w:sz="4" w:space="0" w:color="auto"/>
                    <w:right w:val="single" w:sz="4" w:space="0" w:color="auto"/>
                  </w:tcBorders>
                  <w:shd w:val="clear" w:color="auto" w:fill="auto"/>
                  <w:vAlign w:val="center"/>
                  <w:hideMark/>
                </w:tcPr>
                <w:p w14:paraId="1F71F20E" w14:textId="77777777" w:rsidR="005A39A9" w:rsidRPr="000764AF" w:rsidRDefault="005A39A9" w:rsidP="005B5981">
                  <w:pPr>
                    <w:jc w:val="center"/>
                    <w:rPr>
                      <w:sz w:val="22"/>
                    </w:rPr>
                  </w:pPr>
                  <w:r w:rsidRPr="000764AF">
                    <w:rPr>
                      <w:sz w:val="22"/>
                    </w:rPr>
                    <w:t>21</w:t>
                  </w:r>
                </w:p>
              </w:tc>
            </w:tr>
            <w:tr w:rsidR="001606F9" w:rsidRPr="000764AF" w14:paraId="1F71F215" w14:textId="77777777" w:rsidTr="000764AF">
              <w:trPr>
                <w:trHeight w:val="720"/>
              </w:trPr>
              <w:tc>
                <w:tcPr>
                  <w:tcW w:w="1794" w:type="dxa"/>
                  <w:tcBorders>
                    <w:top w:val="nil"/>
                    <w:left w:val="single" w:sz="4" w:space="0" w:color="auto"/>
                    <w:bottom w:val="single" w:sz="4" w:space="0" w:color="auto"/>
                    <w:right w:val="single" w:sz="4" w:space="0" w:color="auto"/>
                  </w:tcBorders>
                  <w:shd w:val="clear" w:color="auto" w:fill="auto"/>
                  <w:vAlign w:val="center"/>
                  <w:hideMark/>
                </w:tcPr>
                <w:p w14:paraId="1F71F210" w14:textId="77777777" w:rsidR="005A39A9" w:rsidRPr="000764AF" w:rsidRDefault="005A39A9" w:rsidP="000764AF">
                  <w:pPr>
                    <w:jc w:val="both"/>
                    <w:rPr>
                      <w:sz w:val="22"/>
                    </w:rPr>
                  </w:pPr>
                  <w:r w:rsidRPr="000764AF">
                    <w:rPr>
                      <w:sz w:val="22"/>
                    </w:rPr>
                    <w:t>Lopkopības pārraugu, mākslīgās apsēklošanas tehniķu, ekspertu-vērtētāju sertifikācija</w:t>
                  </w:r>
                </w:p>
              </w:tc>
              <w:tc>
                <w:tcPr>
                  <w:tcW w:w="992" w:type="dxa"/>
                  <w:tcBorders>
                    <w:top w:val="nil"/>
                    <w:left w:val="nil"/>
                    <w:bottom w:val="single" w:sz="4" w:space="0" w:color="auto"/>
                    <w:right w:val="single" w:sz="4" w:space="0" w:color="auto"/>
                  </w:tcBorders>
                  <w:shd w:val="clear" w:color="auto" w:fill="auto"/>
                  <w:vAlign w:val="center"/>
                  <w:hideMark/>
                </w:tcPr>
                <w:p w14:paraId="1F71F211" w14:textId="77777777" w:rsidR="005A39A9" w:rsidRPr="000764AF" w:rsidRDefault="005A39A9" w:rsidP="005B5981">
                  <w:pPr>
                    <w:jc w:val="center"/>
                    <w:rPr>
                      <w:sz w:val="22"/>
                    </w:rPr>
                  </w:pPr>
                  <w:r w:rsidRPr="000764AF">
                    <w:rPr>
                      <w:sz w:val="22"/>
                    </w:rPr>
                    <w:t>gab.</w:t>
                  </w:r>
                </w:p>
              </w:tc>
              <w:tc>
                <w:tcPr>
                  <w:tcW w:w="1276" w:type="dxa"/>
                  <w:tcBorders>
                    <w:top w:val="nil"/>
                    <w:left w:val="nil"/>
                    <w:bottom w:val="single" w:sz="4" w:space="0" w:color="auto"/>
                    <w:right w:val="single" w:sz="4" w:space="0" w:color="auto"/>
                  </w:tcBorders>
                  <w:shd w:val="clear" w:color="auto" w:fill="auto"/>
                  <w:vAlign w:val="center"/>
                  <w:hideMark/>
                </w:tcPr>
                <w:p w14:paraId="1F71F212" w14:textId="77777777" w:rsidR="005A39A9" w:rsidRPr="000764AF" w:rsidRDefault="005A39A9" w:rsidP="005B5981">
                  <w:pPr>
                    <w:jc w:val="center"/>
                    <w:rPr>
                      <w:sz w:val="22"/>
                    </w:rPr>
                  </w:pPr>
                  <w:r w:rsidRPr="000764AF">
                    <w:rPr>
                      <w:sz w:val="22"/>
                    </w:rPr>
                    <w:t>26,86</w:t>
                  </w:r>
                </w:p>
              </w:tc>
              <w:tc>
                <w:tcPr>
                  <w:tcW w:w="1276" w:type="dxa"/>
                  <w:tcBorders>
                    <w:top w:val="nil"/>
                    <w:left w:val="nil"/>
                    <w:bottom w:val="single" w:sz="4" w:space="0" w:color="auto"/>
                    <w:right w:val="single" w:sz="4" w:space="0" w:color="auto"/>
                  </w:tcBorders>
                  <w:shd w:val="clear" w:color="auto" w:fill="auto"/>
                  <w:vAlign w:val="center"/>
                  <w:hideMark/>
                </w:tcPr>
                <w:p w14:paraId="1F71F213" w14:textId="77777777" w:rsidR="005A39A9" w:rsidRPr="000764AF" w:rsidRDefault="005A39A9" w:rsidP="005B5981">
                  <w:pPr>
                    <w:jc w:val="center"/>
                    <w:rPr>
                      <w:sz w:val="22"/>
                    </w:rPr>
                  </w:pPr>
                  <w:r w:rsidRPr="000764AF">
                    <w:rPr>
                      <w:sz w:val="22"/>
                    </w:rPr>
                    <w:t>162</w:t>
                  </w:r>
                </w:p>
              </w:tc>
              <w:tc>
                <w:tcPr>
                  <w:tcW w:w="1276" w:type="dxa"/>
                  <w:tcBorders>
                    <w:top w:val="nil"/>
                    <w:left w:val="nil"/>
                    <w:bottom w:val="single" w:sz="4" w:space="0" w:color="auto"/>
                    <w:right w:val="single" w:sz="4" w:space="0" w:color="auto"/>
                  </w:tcBorders>
                  <w:shd w:val="clear" w:color="auto" w:fill="auto"/>
                  <w:vAlign w:val="center"/>
                  <w:hideMark/>
                </w:tcPr>
                <w:p w14:paraId="1F71F214" w14:textId="77777777" w:rsidR="005A39A9" w:rsidRPr="00715F50" w:rsidRDefault="005A39A9" w:rsidP="002718F2">
                  <w:pPr>
                    <w:jc w:val="center"/>
                    <w:rPr>
                      <w:sz w:val="22"/>
                    </w:rPr>
                  </w:pPr>
                  <w:r w:rsidRPr="00715F50">
                    <w:rPr>
                      <w:sz w:val="22"/>
                    </w:rPr>
                    <w:t>4</w:t>
                  </w:r>
                  <w:r w:rsidR="000764AF" w:rsidRPr="00715F50">
                    <w:rPr>
                      <w:sz w:val="22"/>
                    </w:rPr>
                    <w:t xml:space="preserve"> </w:t>
                  </w:r>
                  <w:r w:rsidRPr="00715F50">
                    <w:rPr>
                      <w:sz w:val="22"/>
                    </w:rPr>
                    <w:t>35</w:t>
                  </w:r>
                  <w:r w:rsidR="002718F2" w:rsidRPr="00715F50">
                    <w:rPr>
                      <w:sz w:val="22"/>
                    </w:rPr>
                    <w:t>1</w:t>
                  </w:r>
                </w:p>
              </w:tc>
            </w:tr>
            <w:tr w:rsidR="001606F9" w:rsidRPr="000764AF" w14:paraId="1F71F21B" w14:textId="77777777" w:rsidTr="000764AF">
              <w:trPr>
                <w:trHeight w:val="240"/>
              </w:trPr>
              <w:tc>
                <w:tcPr>
                  <w:tcW w:w="1794" w:type="dxa"/>
                  <w:tcBorders>
                    <w:top w:val="nil"/>
                    <w:left w:val="single" w:sz="4" w:space="0" w:color="auto"/>
                    <w:bottom w:val="single" w:sz="4" w:space="0" w:color="auto"/>
                    <w:right w:val="single" w:sz="4" w:space="0" w:color="auto"/>
                  </w:tcBorders>
                  <w:shd w:val="clear" w:color="auto" w:fill="auto"/>
                  <w:vAlign w:val="center"/>
                  <w:hideMark/>
                </w:tcPr>
                <w:p w14:paraId="1F71F216" w14:textId="77777777" w:rsidR="005A39A9" w:rsidRPr="000764AF" w:rsidRDefault="005A39A9" w:rsidP="000764AF">
                  <w:pPr>
                    <w:jc w:val="right"/>
                    <w:rPr>
                      <w:sz w:val="22"/>
                    </w:rPr>
                  </w:pPr>
                  <w:r w:rsidRPr="000764AF">
                    <w:rPr>
                      <w:sz w:val="22"/>
                    </w:rPr>
                    <w:t>KOPĀ</w:t>
                  </w:r>
                </w:p>
              </w:tc>
              <w:tc>
                <w:tcPr>
                  <w:tcW w:w="992" w:type="dxa"/>
                  <w:tcBorders>
                    <w:top w:val="nil"/>
                    <w:left w:val="nil"/>
                    <w:bottom w:val="single" w:sz="4" w:space="0" w:color="auto"/>
                    <w:right w:val="single" w:sz="4" w:space="0" w:color="auto"/>
                  </w:tcBorders>
                  <w:shd w:val="clear" w:color="auto" w:fill="auto"/>
                  <w:vAlign w:val="center"/>
                  <w:hideMark/>
                </w:tcPr>
                <w:p w14:paraId="1F71F217" w14:textId="77777777" w:rsidR="005A39A9" w:rsidRPr="000764AF" w:rsidRDefault="005A39A9" w:rsidP="005B5981">
                  <w:pPr>
                    <w:jc w:val="center"/>
                    <w:rPr>
                      <w:sz w:val="22"/>
                    </w:rPr>
                  </w:pPr>
                </w:p>
              </w:tc>
              <w:tc>
                <w:tcPr>
                  <w:tcW w:w="1276" w:type="dxa"/>
                  <w:tcBorders>
                    <w:top w:val="nil"/>
                    <w:left w:val="nil"/>
                    <w:bottom w:val="single" w:sz="4" w:space="0" w:color="auto"/>
                    <w:right w:val="single" w:sz="4" w:space="0" w:color="auto"/>
                  </w:tcBorders>
                  <w:shd w:val="clear" w:color="auto" w:fill="auto"/>
                  <w:vAlign w:val="center"/>
                  <w:hideMark/>
                </w:tcPr>
                <w:p w14:paraId="1F71F218" w14:textId="77777777" w:rsidR="005A39A9" w:rsidRPr="000764AF" w:rsidRDefault="005A39A9" w:rsidP="005B5981">
                  <w:pPr>
                    <w:jc w:val="center"/>
                    <w:rPr>
                      <w:sz w:val="22"/>
                    </w:rPr>
                  </w:pPr>
                </w:p>
              </w:tc>
              <w:tc>
                <w:tcPr>
                  <w:tcW w:w="1276" w:type="dxa"/>
                  <w:tcBorders>
                    <w:top w:val="nil"/>
                    <w:left w:val="nil"/>
                    <w:bottom w:val="single" w:sz="4" w:space="0" w:color="auto"/>
                    <w:right w:val="single" w:sz="4" w:space="0" w:color="auto"/>
                  </w:tcBorders>
                  <w:shd w:val="clear" w:color="auto" w:fill="auto"/>
                  <w:vAlign w:val="center"/>
                  <w:hideMark/>
                </w:tcPr>
                <w:p w14:paraId="1F71F219" w14:textId="77777777" w:rsidR="005A39A9" w:rsidRPr="000764AF" w:rsidRDefault="005A39A9" w:rsidP="005B5981">
                  <w:pPr>
                    <w:jc w:val="center"/>
                    <w:rPr>
                      <w:sz w:val="22"/>
                    </w:rPr>
                  </w:pPr>
                </w:p>
              </w:tc>
              <w:tc>
                <w:tcPr>
                  <w:tcW w:w="1276" w:type="dxa"/>
                  <w:tcBorders>
                    <w:top w:val="nil"/>
                    <w:left w:val="nil"/>
                    <w:bottom w:val="single" w:sz="4" w:space="0" w:color="auto"/>
                    <w:right w:val="single" w:sz="4" w:space="0" w:color="auto"/>
                  </w:tcBorders>
                  <w:shd w:val="clear" w:color="auto" w:fill="auto"/>
                  <w:vAlign w:val="center"/>
                  <w:hideMark/>
                </w:tcPr>
                <w:p w14:paraId="1F71F21A" w14:textId="77777777" w:rsidR="005A39A9" w:rsidRPr="00715F50" w:rsidRDefault="005A39A9" w:rsidP="002718F2">
                  <w:pPr>
                    <w:jc w:val="center"/>
                    <w:rPr>
                      <w:sz w:val="22"/>
                    </w:rPr>
                  </w:pPr>
                  <w:r w:rsidRPr="00715F50">
                    <w:rPr>
                      <w:sz w:val="22"/>
                    </w:rPr>
                    <w:t>27</w:t>
                  </w:r>
                  <w:r w:rsidR="000764AF" w:rsidRPr="00715F50">
                    <w:rPr>
                      <w:sz w:val="22"/>
                    </w:rPr>
                    <w:t xml:space="preserve"> </w:t>
                  </w:r>
                  <w:r w:rsidRPr="00715F50">
                    <w:rPr>
                      <w:sz w:val="22"/>
                    </w:rPr>
                    <w:t>54</w:t>
                  </w:r>
                  <w:r w:rsidR="002718F2" w:rsidRPr="00715F50">
                    <w:rPr>
                      <w:sz w:val="22"/>
                    </w:rPr>
                    <w:t>3</w:t>
                  </w:r>
                </w:p>
              </w:tc>
            </w:tr>
          </w:tbl>
          <w:p w14:paraId="1F71F21C" w14:textId="77777777" w:rsidR="005B2D31" w:rsidRPr="001606F9" w:rsidRDefault="005B2D31" w:rsidP="005B5981">
            <w:pPr>
              <w:ind w:firstLine="301"/>
              <w:contextualSpacing/>
              <w:jc w:val="both"/>
            </w:pPr>
          </w:p>
        </w:tc>
      </w:tr>
      <w:tr w:rsidR="001606F9" w:rsidRPr="001606F9" w14:paraId="1F71F286" w14:textId="77777777" w:rsidTr="00CF0BB6">
        <w:trPr>
          <w:trHeight w:val="444"/>
          <w:tblCellSpacing w:w="15" w:type="dxa"/>
          <w:jc w:val="center"/>
        </w:trPr>
        <w:tc>
          <w:tcPr>
            <w:tcW w:w="2424" w:type="dxa"/>
            <w:hideMark/>
          </w:tcPr>
          <w:p w14:paraId="1F71F21E" w14:textId="77777777" w:rsidR="005B2D31" w:rsidRPr="001606F9" w:rsidRDefault="005B2D31" w:rsidP="005B5981">
            <w:r w:rsidRPr="001606F9">
              <w:t>6.2. detalizēts izdevumu aprēķins</w:t>
            </w:r>
          </w:p>
          <w:p w14:paraId="1F71F21F" w14:textId="77777777" w:rsidR="005B2D31" w:rsidRPr="001606F9" w:rsidRDefault="005B2D31" w:rsidP="005B5981"/>
        </w:tc>
        <w:tc>
          <w:tcPr>
            <w:tcW w:w="6675" w:type="dxa"/>
            <w:gridSpan w:val="5"/>
            <w:hideMark/>
          </w:tcPr>
          <w:p w14:paraId="1F71F220" w14:textId="77777777" w:rsidR="000A7435" w:rsidRDefault="000A7435" w:rsidP="005B5981">
            <w:pPr>
              <w:jc w:val="both"/>
            </w:pPr>
            <w:r>
              <w:t xml:space="preserve">1. </w:t>
            </w:r>
            <w:r w:rsidR="00FE5C64" w:rsidRPr="00FE5C64">
              <w:t xml:space="preserve">Maksas pakalpojuma </w:t>
            </w:r>
            <w:r w:rsidR="003C165F">
              <w:t>„</w:t>
            </w:r>
            <w:r w:rsidR="003C165F" w:rsidRPr="001606F9">
              <w:t xml:space="preserve">traktortehnikas vai tās piekabes vienas vienības īpašumtiesību nostiprināšana” </w:t>
            </w:r>
            <w:r w:rsidR="00FE5C64" w:rsidRPr="00FE5C64">
              <w:t>vienas vienības izcenojuma aprēķins</w:t>
            </w:r>
            <w:r w:rsidR="00FE5C64">
              <w:t>:</w:t>
            </w:r>
          </w:p>
          <w:tbl>
            <w:tblPr>
              <w:tblW w:w="6472" w:type="dxa"/>
              <w:tblLayout w:type="fixed"/>
              <w:tblLook w:val="04A0" w:firstRow="1" w:lastRow="0" w:firstColumn="1" w:lastColumn="0" w:noHBand="0" w:noVBand="1"/>
            </w:tblPr>
            <w:tblGrid>
              <w:gridCol w:w="1260"/>
              <w:gridCol w:w="4020"/>
              <w:gridCol w:w="1192"/>
            </w:tblGrid>
            <w:tr w:rsidR="00211311" w14:paraId="1F71F224" w14:textId="77777777" w:rsidTr="006912AA">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F221" w14:textId="77777777" w:rsidR="00211311" w:rsidRDefault="00211311" w:rsidP="006912AA">
                  <w:pPr>
                    <w:jc w:val="center"/>
                  </w:pPr>
                  <w:r>
                    <w:t>Izdevumu EKK</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14:paraId="1F71F222" w14:textId="77777777" w:rsidR="00211311" w:rsidRDefault="00211311" w:rsidP="006912AA">
                  <w:pPr>
                    <w:jc w:val="center"/>
                  </w:pPr>
                  <w:r>
                    <w:t>Izdevumu veids</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1F71F223" w14:textId="77777777" w:rsidR="00211311" w:rsidRDefault="00211311" w:rsidP="006912AA">
                  <w:pPr>
                    <w:jc w:val="center"/>
                  </w:pPr>
                  <w:r>
                    <w:t>Izmaksas, EUR</w:t>
                  </w:r>
                </w:p>
              </w:tc>
            </w:tr>
            <w:tr w:rsidR="00211311" w14:paraId="1F71F227" w14:textId="77777777" w:rsidTr="006912AA">
              <w:tc>
                <w:tcPr>
                  <w:tcW w:w="52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71F225" w14:textId="77777777" w:rsidR="00211311" w:rsidRDefault="00211311" w:rsidP="006912AA">
                  <w:r>
                    <w:t>Tiešās izmaksas</w:t>
                  </w:r>
                </w:p>
              </w:tc>
              <w:tc>
                <w:tcPr>
                  <w:tcW w:w="1192" w:type="dxa"/>
                  <w:tcBorders>
                    <w:top w:val="nil"/>
                    <w:left w:val="nil"/>
                    <w:bottom w:val="single" w:sz="4" w:space="0" w:color="auto"/>
                    <w:right w:val="single" w:sz="4" w:space="0" w:color="auto"/>
                  </w:tcBorders>
                  <w:shd w:val="clear" w:color="auto" w:fill="auto"/>
                  <w:vAlign w:val="center"/>
                  <w:hideMark/>
                </w:tcPr>
                <w:p w14:paraId="1F71F226" w14:textId="77777777" w:rsidR="00211311" w:rsidRDefault="00211311" w:rsidP="006912AA">
                  <w:pPr>
                    <w:jc w:val="center"/>
                  </w:pPr>
                  <w:r>
                    <w:t> </w:t>
                  </w:r>
                </w:p>
              </w:tc>
            </w:tr>
            <w:tr w:rsidR="00211311" w14:paraId="1F71F22B"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28" w14:textId="77777777" w:rsidR="00211311" w:rsidRDefault="00211311" w:rsidP="006912AA">
                  <w:pPr>
                    <w:jc w:val="center"/>
                  </w:pPr>
                  <w:r>
                    <w:lastRenderedPageBreak/>
                    <w:t>1000-1210</w:t>
                  </w:r>
                </w:p>
              </w:tc>
              <w:tc>
                <w:tcPr>
                  <w:tcW w:w="4020" w:type="dxa"/>
                  <w:tcBorders>
                    <w:top w:val="nil"/>
                    <w:left w:val="nil"/>
                    <w:bottom w:val="single" w:sz="4" w:space="0" w:color="auto"/>
                    <w:right w:val="single" w:sz="4" w:space="0" w:color="auto"/>
                  </w:tcBorders>
                  <w:shd w:val="clear" w:color="auto" w:fill="auto"/>
                  <w:vAlign w:val="bottom"/>
                  <w:hideMark/>
                </w:tcPr>
                <w:p w14:paraId="1F71F229" w14:textId="77777777" w:rsidR="00211311" w:rsidRDefault="00211311" w:rsidP="006912AA">
                  <w:pPr>
                    <w:jc w:val="both"/>
                  </w:pPr>
                  <w:r>
                    <w:t>Atlīdzība izņemot darba devēja sociālās apdrošināšanas obligātās iemaksas</w:t>
                  </w:r>
                </w:p>
              </w:tc>
              <w:tc>
                <w:tcPr>
                  <w:tcW w:w="1192" w:type="dxa"/>
                  <w:tcBorders>
                    <w:top w:val="nil"/>
                    <w:left w:val="nil"/>
                    <w:bottom w:val="single" w:sz="4" w:space="0" w:color="auto"/>
                    <w:right w:val="single" w:sz="4" w:space="0" w:color="auto"/>
                  </w:tcBorders>
                  <w:shd w:val="clear" w:color="auto" w:fill="auto"/>
                  <w:noWrap/>
                  <w:vAlign w:val="bottom"/>
                  <w:hideMark/>
                </w:tcPr>
                <w:p w14:paraId="1F71F22A" w14:textId="77777777" w:rsidR="00211311" w:rsidRDefault="00211311" w:rsidP="006132E2">
                  <w:pPr>
                    <w:jc w:val="center"/>
                  </w:pPr>
                  <w:r>
                    <w:t>3,68</w:t>
                  </w:r>
                </w:p>
              </w:tc>
            </w:tr>
            <w:tr w:rsidR="00211311" w14:paraId="1F71F22F"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2C" w14:textId="77777777" w:rsidR="00211311" w:rsidRDefault="00211311" w:rsidP="006912AA">
                  <w:pPr>
                    <w:jc w:val="center"/>
                  </w:pPr>
                  <w:r>
                    <w:t>1210</w:t>
                  </w:r>
                </w:p>
              </w:tc>
              <w:tc>
                <w:tcPr>
                  <w:tcW w:w="4020" w:type="dxa"/>
                  <w:tcBorders>
                    <w:top w:val="nil"/>
                    <w:left w:val="nil"/>
                    <w:bottom w:val="single" w:sz="4" w:space="0" w:color="auto"/>
                    <w:right w:val="single" w:sz="4" w:space="0" w:color="auto"/>
                  </w:tcBorders>
                  <w:shd w:val="clear" w:color="auto" w:fill="auto"/>
                  <w:vAlign w:val="bottom"/>
                  <w:hideMark/>
                </w:tcPr>
                <w:p w14:paraId="1F71F22D" w14:textId="77777777" w:rsidR="00211311" w:rsidRDefault="00211311" w:rsidP="006912AA">
                  <w:pPr>
                    <w:jc w:val="both"/>
                  </w:pPr>
                  <w:r>
                    <w:t>Darba devēja valsts sociālās apdrošināšanas obligātās iemaksas</w:t>
                  </w:r>
                </w:p>
              </w:tc>
              <w:tc>
                <w:tcPr>
                  <w:tcW w:w="1192" w:type="dxa"/>
                  <w:tcBorders>
                    <w:top w:val="nil"/>
                    <w:left w:val="nil"/>
                    <w:bottom w:val="single" w:sz="4" w:space="0" w:color="auto"/>
                    <w:right w:val="single" w:sz="4" w:space="0" w:color="auto"/>
                  </w:tcBorders>
                  <w:shd w:val="clear" w:color="auto" w:fill="auto"/>
                  <w:noWrap/>
                  <w:vAlign w:val="bottom"/>
                  <w:hideMark/>
                </w:tcPr>
                <w:p w14:paraId="1F71F22E" w14:textId="77777777" w:rsidR="00211311" w:rsidRDefault="00211311" w:rsidP="006132E2">
                  <w:pPr>
                    <w:jc w:val="center"/>
                  </w:pPr>
                  <w:r>
                    <w:t>0,88</w:t>
                  </w:r>
                </w:p>
              </w:tc>
            </w:tr>
            <w:tr w:rsidR="00211311" w14:paraId="1F71F233"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30" w14:textId="77777777" w:rsidR="00211311" w:rsidRDefault="00211311" w:rsidP="006912AA">
                  <w:pPr>
                    <w:jc w:val="center"/>
                  </w:pPr>
                  <w:r>
                    <w:t>2100</w:t>
                  </w:r>
                </w:p>
              </w:tc>
              <w:tc>
                <w:tcPr>
                  <w:tcW w:w="4020" w:type="dxa"/>
                  <w:tcBorders>
                    <w:top w:val="nil"/>
                    <w:left w:val="nil"/>
                    <w:bottom w:val="single" w:sz="4" w:space="0" w:color="auto"/>
                    <w:right w:val="single" w:sz="4" w:space="0" w:color="auto"/>
                  </w:tcBorders>
                  <w:shd w:val="clear" w:color="auto" w:fill="auto"/>
                  <w:vAlign w:val="bottom"/>
                  <w:hideMark/>
                </w:tcPr>
                <w:p w14:paraId="1F71F231" w14:textId="77777777" w:rsidR="00211311" w:rsidRDefault="00211311" w:rsidP="006912AA">
                  <w:pPr>
                    <w:jc w:val="both"/>
                  </w:pPr>
                  <w:r>
                    <w:t>Komandējumi un dienesta braucieni</w:t>
                  </w:r>
                </w:p>
              </w:tc>
              <w:tc>
                <w:tcPr>
                  <w:tcW w:w="1192" w:type="dxa"/>
                  <w:tcBorders>
                    <w:top w:val="nil"/>
                    <w:left w:val="nil"/>
                    <w:bottom w:val="single" w:sz="4" w:space="0" w:color="auto"/>
                    <w:right w:val="single" w:sz="4" w:space="0" w:color="auto"/>
                  </w:tcBorders>
                  <w:shd w:val="clear" w:color="auto" w:fill="auto"/>
                  <w:noWrap/>
                  <w:vAlign w:val="bottom"/>
                  <w:hideMark/>
                </w:tcPr>
                <w:p w14:paraId="1F71F232" w14:textId="77777777" w:rsidR="00211311" w:rsidRDefault="00211311" w:rsidP="006132E2">
                  <w:pPr>
                    <w:jc w:val="center"/>
                  </w:pPr>
                  <w:r>
                    <w:t>0,00</w:t>
                  </w:r>
                </w:p>
              </w:tc>
            </w:tr>
            <w:tr w:rsidR="00211311" w14:paraId="1F71F237"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34" w14:textId="77777777" w:rsidR="00211311" w:rsidRDefault="00211311" w:rsidP="006912AA">
                  <w:pPr>
                    <w:jc w:val="center"/>
                  </w:pPr>
                  <w:r>
                    <w:t>2210</w:t>
                  </w:r>
                </w:p>
              </w:tc>
              <w:tc>
                <w:tcPr>
                  <w:tcW w:w="4020" w:type="dxa"/>
                  <w:tcBorders>
                    <w:top w:val="nil"/>
                    <w:left w:val="nil"/>
                    <w:bottom w:val="single" w:sz="4" w:space="0" w:color="auto"/>
                    <w:right w:val="single" w:sz="4" w:space="0" w:color="auto"/>
                  </w:tcBorders>
                  <w:shd w:val="clear" w:color="auto" w:fill="auto"/>
                  <w:vAlign w:val="bottom"/>
                  <w:hideMark/>
                </w:tcPr>
                <w:p w14:paraId="1F71F235" w14:textId="77777777" w:rsidR="00211311" w:rsidRDefault="00211311" w:rsidP="006912AA">
                  <w:pPr>
                    <w:jc w:val="both"/>
                  </w:pPr>
                  <w:r>
                    <w:t>Pasta, telefona un citi sakaru pakalpojumi</w:t>
                  </w:r>
                </w:p>
              </w:tc>
              <w:tc>
                <w:tcPr>
                  <w:tcW w:w="1192" w:type="dxa"/>
                  <w:tcBorders>
                    <w:top w:val="nil"/>
                    <w:left w:val="nil"/>
                    <w:bottom w:val="single" w:sz="4" w:space="0" w:color="auto"/>
                    <w:right w:val="single" w:sz="4" w:space="0" w:color="auto"/>
                  </w:tcBorders>
                  <w:shd w:val="clear" w:color="auto" w:fill="auto"/>
                  <w:noWrap/>
                  <w:vAlign w:val="bottom"/>
                  <w:hideMark/>
                </w:tcPr>
                <w:p w14:paraId="1F71F236" w14:textId="77777777" w:rsidR="00211311" w:rsidRDefault="00211311" w:rsidP="006132E2">
                  <w:pPr>
                    <w:jc w:val="center"/>
                  </w:pPr>
                  <w:r>
                    <w:t>1,08</w:t>
                  </w:r>
                </w:p>
              </w:tc>
            </w:tr>
            <w:tr w:rsidR="00211311" w14:paraId="1F71F23B"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38" w14:textId="77777777" w:rsidR="00211311" w:rsidRDefault="00211311" w:rsidP="006912AA">
                  <w:pPr>
                    <w:jc w:val="center"/>
                  </w:pPr>
                  <w:r>
                    <w:t>2220</w:t>
                  </w:r>
                </w:p>
              </w:tc>
              <w:tc>
                <w:tcPr>
                  <w:tcW w:w="4020" w:type="dxa"/>
                  <w:tcBorders>
                    <w:top w:val="nil"/>
                    <w:left w:val="nil"/>
                    <w:bottom w:val="single" w:sz="4" w:space="0" w:color="auto"/>
                    <w:right w:val="single" w:sz="4" w:space="0" w:color="auto"/>
                  </w:tcBorders>
                  <w:shd w:val="clear" w:color="auto" w:fill="auto"/>
                  <w:vAlign w:val="bottom"/>
                  <w:hideMark/>
                </w:tcPr>
                <w:p w14:paraId="1F71F239" w14:textId="77777777" w:rsidR="00211311" w:rsidRDefault="00211311" w:rsidP="006912AA">
                  <w:pPr>
                    <w:jc w:val="both"/>
                  </w:pPr>
                  <w:r>
                    <w:t>Izdevumi komunālajiem pakalpojumiem</w:t>
                  </w:r>
                </w:p>
              </w:tc>
              <w:tc>
                <w:tcPr>
                  <w:tcW w:w="1192" w:type="dxa"/>
                  <w:tcBorders>
                    <w:top w:val="nil"/>
                    <w:left w:val="nil"/>
                    <w:bottom w:val="single" w:sz="4" w:space="0" w:color="auto"/>
                    <w:right w:val="single" w:sz="4" w:space="0" w:color="auto"/>
                  </w:tcBorders>
                  <w:shd w:val="clear" w:color="auto" w:fill="auto"/>
                  <w:noWrap/>
                  <w:vAlign w:val="bottom"/>
                  <w:hideMark/>
                </w:tcPr>
                <w:p w14:paraId="1F71F23A" w14:textId="77777777" w:rsidR="00211311" w:rsidRDefault="00211311" w:rsidP="006132E2">
                  <w:pPr>
                    <w:jc w:val="center"/>
                  </w:pPr>
                  <w:r>
                    <w:t>0,00</w:t>
                  </w:r>
                </w:p>
              </w:tc>
            </w:tr>
            <w:tr w:rsidR="00211311" w14:paraId="1F71F23F"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3C" w14:textId="77777777" w:rsidR="00211311" w:rsidRDefault="00211311" w:rsidP="006912AA">
                  <w:pPr>
                    <w:jc w:val="center"/>
                  </w:pPr>
                  <w:r>
                    <w:t>2230</w:t>
                  </w:r>
                </w:p>
              </w:tc>
              <w:tc>
                <w:tcPr>
                  <w:tcW w:w="4020" w:type="dxa"/>
                  <w:tcBorders>
                    <w:top w:val="nil"/>
                    <w:left w:val="nil"/>
                    <w:bottom w:val="single" w:sz="4" w:space="0" w:color="auto"/>
                    <w:right w:val="single" w:sz="4" w:space="0" w:color="auto"/>
                  </w:tcBorders>
                  <w:shd w:val="clear" w:color="auto" w:fill="auto"/>
                  <w:vAlign w:val="bottom"/>
                  <w:hideMark/>
                </w:tcPr>
                <w:p w14:paraId="1F71F23D" w14:textId="77777777" w:rsidR="00211311" w:rsidRDefault="00211311" w:rsidP="006912AA">
                  <w:pPr>
                    <w:jc w:val="both"/>
                  </w:pPr>
                  <w:r>
                    <w:t>Preses izdevumi</w:t>
                  </w:r>
                </w:p>
              </w:tc>
              <w:tc>
                <w:tcPr>
                  <w:tcW w:w="1192" w:type="dxa"/>
                  <w:tcBorders>
                    <w:top w:val="nil"/>
                    <w:left w:val="nil"/>
                    <w:bottom w:val="single" w:sz="4" w:space="0" w:color="auto"/>
                    <w:right w:val="single" w:sz="4" w:space="0" w:color="auto"/>
                  </w:tcBorders>
                  <w:shd w:val="clear" w:color="auto" w:fill="auto"/>
                  <w:noWrap/>
                  <w:vAlign w:val="bottom"/>
                  <w:hideMark/>
                </w:tcPr>
                <w:p w14:paraId="1F71F23E" w14:textId="77777777" w:rsidR="00211311" w:rsidRDefault="00211311" w:rsidP="006132E2">
                  <w:pPr>
                    <w:jc w:val="center"/>
                  </w:pPr>
                  <w:r>
                    <w:t>0,00</w:t>
                  </w:r>
                </w:p>
              </w:tc>
            </w:tr>
            <w:tr w:rsidR="00211311" w14:paraId="1F71F243"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40" w14:textId="77777777" w:rsidR="00211311" w:rsidRDefault="00211311" w:rsidP="006912AA">
                  <w:pPr>
                    <w:jc w:val="center"/>
                  </w:pPr>
                  <w:r>
                    <w:t>2240</w:t>
                  </w:r>
                </w:p>
              </w:tc>
              <w:tc>
                <w:tcPr>
                  <w:tcW w:w="4020" w:type="dxa"/>
                  <w:tcBorders>
                    <w:top w:val="nil"/>
                    <w:left w:val="nil"/>
                    <w:bottom w:val="single" w:sz="4" w:space="0" w:color="auto"/>
                    <w:right w:val="single" w:sz="4" w:space="0" w:color="auto"/>
                  </w:tcBorders>
                  <w:shd w:val="clear" w:color="auto" w:fill="auto"/>
                  <w:vAlign w:val="bottom"/>
                  <w:hideMark/>
                </w:tcPr>
                <w:p w14:paraId="1F71F241" w14:textId="77777777" w:rsidR="00211311" w:rsidRDefault="00211311" w:rsidP="006912AA">
                  <w:pPr>
                    <w:jc w:val="both"/>
                  </w:pPr>
                  <w:r>
                    <w:t>Remontdarbi, uzturēšana</w:t>
                  </w:r>
                </w:p>
              </w:tc>
              <w:tc>
                <w:tcPr>
                  <w:tcW w:w="1192" w:type="dxa"/>
                  <w:tcBorders>
                    <w:top w:val="nil"/>
                    <w:left w:val="nil"/>
                    <w:bottom w:val="single" w:sz="4" w:space="0" w:color="auto"/>
                    <w:right w:val="single" w:sz="4" w:space="0" w:color="auto"/>
                  </w:tcBorders>
                  <w:shd w:val="clear" w:color="auto" w:fill="auto"/>
                  <w:noWrap/>
                  <w:vAlign w:val="bottom"/>
                  <w:hideMark/>
                </w:tcPr>
                <w:p w14:paraId="1F71F242" w14:textId="77777777" w:rsidR="00211311" w:rsidRDefault="00211311" w:rsidP="006132E2">
                  <w:pPr>
                    <w:jc w:val="center"/>
                  </w:pPr>
                  <w:r>
                    <w:t>0,72</w:t>
                  </w:r>
                </w:p>
              </w:tc>
            </w:tr>
            <w:tr w:rsidR="00211311" w14:paraId="1F71F247"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44" w14:textId="77777777" w:rsidR="00211311" w:rsidRDefault="00211311" w:rsidP="006912AA">
                  <w:pPr>
                    <w:jc w:val="center"/>
                  </w:pPr>
                  <w:r>
                    <w:t>2250</w:t>
                  </w:r>
                </w:p>
              </w:tc>
              <w:tc>
                <w:tcPr>
                  <w:tcW w:w="4020" w:type="dxa"/>
                  <w:tcBorders>
                    <w:top w:val="nil"/>
                    <w:left w:val="nil"/>
                    <w:bottom w:val="single" w:sz="4" w:space="0" w:color="auto"/>
                    <w:right w:val="single" w:sz="4" w:space="0" w:color="auto"/>
                  </w:tcBorders>
                  <w:shd w:val="clear" w:color="auto" w:fill="auto"/>
                  <w:vAlign w:val="bottom"/>
                  <w:hideMark/>
                </w:tcPr>
                <w:p w14:paraId="1F71F245" w14:textId="77777777" w:rsidR="00211311" w:rsidRDefault="00211311" w:rsidP="006912AA">
                  <w:pPr>
                    <w:jc w:val="both"/>
                  </w:pPr>
                  <w:r>
                    <w:t>Informācijas tehnoloģiju pakalpojumi</w:t>
                  </w:r>
                </w:p>
              </w:tc>
              <w:tc>
                <w:tcPr>
                  <w:tcW w:w="1192" w:type="dxa"/>
                  <w:tcBorders>
                    <w:top w:val="nil"/>
                    <w:left w:val="nil"/>
                    <w:bottom w:val="single" w:sz="4" w:space="0" w:color="auto"/>
                    <w:right w:val="single" w:sz="4" w:space="0" w:color="auto"/>
                  </w:tcBorders>
                  <w:shd w:val="clear" w:color="auto" w:fill="auto"/>
                  <w:noWrap/>
                  <w:vAlign w:val="bottom"/>
                  <w:hideMark/>
                </w:tcPr>
                <w:p w14:paraId="1F71F246" w14:textId="77777777" w:rsidR="00211311" w:rsidRDefault="00211311" w:rsidP="006132E2">
                  <w:pPr>
                    <w:jc w:val="center"/>
                  </w:pPr>
                  <w:r>
                    <w:t>0,83</w:t>
                  </w:r>
                </w:p>
              </w:tc>
            </w:tr>
            <w:tr w:rsidR="00211311" w14:paraId="1F71F24B"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48" w14:textId="77777777" w:rsidR="00211311" w:rsidRDefault="00211311" w:rsidP="006912AA">
                  <w:pPr>
                    <w:jc w:val="center"/>
                  </w:pPr>
                  <w:r>
                    <w:t>2260</w:t>
                  </w:r>
                </w:p>
              </w:tc>
              <w:tc>
                <w:tcPr>
                  <w:tcW w:w="4020" w:type="dxa"/>
                  <w:tcBorders>
                    <w:top w:val="nil"/>
                    <w:left w:val="nil"/>
                    <w:bottom w:val="single" w:sz="4" w:space="0" w:color="auto"/>
                    <w:right w:val="single" w:sz="4" w:space="0" w:color="auto"/>
                  </w:tcBorders>
                  <w:shd w:val="clear" w:color="auto" w:fill="auto"/>
                  <w:vAlign w:val="bottom"/>
                  <w:hideMark/>
                </w:tcPr>
                <w:p w14:paraId="1F71F249" w14:textId="77777777" w:rsidR="00211311" w:rsidRDefault="00211311" w:rsidP="006912AA">
                  <w:pPr>
                    <w:jc w:val="both"/>
                  </w:pPr>
                  <w:r>
                    <w:t>Īre un noma</w:t>
                  </w:r>
                </w:p>
              </w:tc>
              <w:tc>
                <w:tcPr>
                  <w:tcW w:w="1192" w:type="dxa"/>
                  <w:tcBorders>
                    <w:top w:val="nil"/>
                    <w:left w:val="nil"/>
                    <w:bottom w:val="single" w:sz="4" w:space="0" w:color="auto"/>
                    <w:right w:val="single" w:sz="4" w:space="0" w:color="auto"/>
                  </w:tcBorders>
                  <w:shd w:val="clear" w:color="auto" w:fill="auto"/>
                  <w:noWrap/>
                  <w:vAlign w:val="bottom"/>
                  <w:hideMark/>
                </w:tcPr>
                <w:p w14:paraId="1F71F24A" w14:textId="77777777" w:rsidR="00211311" w:rsidRDefault="00211311" w:rsidP="006132E2">
                  <w:pPr>
                    <w:jc w:val="center"/>
                  </w:pPr>
                  <w:r>
                    <w:t>0,00</w:t>
                  </w:r>
                </w:p>
              </w:tc>
            </w:tr>
            <w:tr w:rsidR="00211311" w14:paraId="1F71F24F"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4C" w14:textId="77777777" w:rsidR="00211311" w:rsidRDefault="00211311" w:rsidP="006912AA">
                  <w:pPr>
                    <w:jc w:val="center"/>
                  </w:pPr>
                  <w:r>
                    <w:t>2310</w:t>
                  </w:r>
                </w:p>
              </w:tc>
              <w:tc>
                <w:tcPr>
                  <w:tcW w:w="4020" w:type="dxa"/>
                  <w:tcBorders>
                    <w:top w:val="nil"/>
                    <w:left w:val="nil"/>
                    <w:bottom w:val="single" w:sz="4" w:space="0" w:color="auto"/>
                    <w:right w:val="single" w:sz="4" w:space="0" w:color="auto"/>
                  </w:tcBorders>
                  <w:shd w:val="clear" w:color="auto" w:fill="auto"/>
                  <w:vAlign w:val="bottom"/>
                  <w:hideMark/>
                </w:tcPr>
                <w:p w14:paraId="1F71F24D" w14:textId="77777777" w:rsidR="00211311" w:rsidRDefault="00211311" w:rsidP="006912AA">
                  <w:pPr>
                    <w:jc w:val="both"/>
                  </w:pPr>
                  <w:r>
                    <w:t>Biroja preces un inventārs</w:t>
                  </w:r>
                </w:p>
              </w:tc>
              <w:tc>
                <w:tcPr>
                  <w:tcW w:w="1192" w:type="dxa"/>
                  <w:tcBorders>
                    <w:top w:val="nil"/>
                    <w:left w:val="nil"/>
                    <w:bottom w:val="single" w:sz="4" w:space="0" w:color="auto"/>
                    <w:right w:val="single" w:sz="4" w:space="0" w:color="auto"/>
                  </w:tcBorders>
                  <w:shd w:val="clear" w:color="auto" w:fill="auto"/>
                  <w:noWrap/>
                  <w:vAlign w:val="bottom"/>
                  <w:hideMark/>
                </w:tcPr>
                <w:p w14:paraId="1F71F24E" w14:textId="77777777" w:rsidR="00211311" w:rsidRDefault="00211311" w:rsidP="006132E2">
                  <w:pPr>
                    <w:jc w:val="center"/>
                  </w:pPr>
                  <w:r>
                    <w:t>1,07</w:t>
                  </w:r>
                </w:p>
              </w:tc>
            </w:tr>
            <w:tr w:rsidR="00211311" w14:paraId="1F71F253"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50" w14:textId="77777777" w:rsidR="00211311" w:rsidRDefault="00211311" w:rsidP="006912AA">
                  <w:pPr>
                    <w:jc w:val="center"/>
                  </w:pPr>
                  <w:r>
                    <w:t>2320</w:t>
                  </w:r>
                </w:p>
              </w:tc>
              <w:tc>
                <w:tcPr>
                  <w:tcW w:w="4020" w:type="dxa"/>
                  <w:tcBorders>
                    <w:top w:val="nil"/>
                    <w:left w:val="nil"/>
                    <w:bottom w:val="single" w:sz="4" w:space="0" w:color="auto"/>
                    <w:right w:val="single" w:sz="4" w:space="0" w:color="auto"/>
                  </w:tcBorders>
                  <w:shd w:val="clear" w:color="auto" w:fill="auto"/>
                  <w:vAlign w:val="bottom"/>
                  <w:hideMark/>
                </w:tcPr>
                <w:p w14:paraId="1F71F251" w14:textId="77777777" w:rsidR="00211311" w:rsidRDefault="00211311" w:rsidP="006912AA">
                  <w:pPr>
                    <w:jc w:val="both"/>
                  </w:pPr>
                  <w:r>
                    <w:t>Degviela</w:t>
                  </w:r>
                </w:p>
              </w:tc>
              <w:tc>
                <w:tcPr>
                  <w:tcW w:w="1192" w:type="dxa"/>
                  <w:tcBorders>
                    <w:top w:val="nil"/>
                    <w:left w:val="nil"/>
                    <w:bottom w:val="single" w:sz="4" w:space="0" w:color="auto"/>
                    <w:right w:val="single" w:sz="4" w:space="0" w:color="auto"/>
                  </w:tcBorders>
                  <w:shd w:val="clear" w:color="auto" w:fill="auto"/>
                  <w:noWrap/>
                  <w:vAlign w:val="bottom"/>
                  <w:hideMark/>
                </w:tcPr>
                <w:p w14:paraId="1F71F252" w14:textId="77777777" w:rsidR="00211311" w:rsidRDefault="00211311" w:rsidP="006132E2">
                  <w:pPr>
                    <w:jc w:val="center"/>
                  </w:pPr>
                  <w:r>
                    <w:t>0,00</w:t>
                  </w:r>
                </w:p>
              </w:tc>
            </w:tr>
            <w:tr w:rsidR="00211311" w14:paraId="1F71F257"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54" w14:textId="77777777" w:rsidR="00211311" w:rsidRDefault="00211311" w:rsidP="006912AA">
                  <w:pPr>
                    <w:jc w:val="center"/>
                  </w:pPr>
                  <w:r>
                    <w:t>2350</w:t>
                  </w:r>
                </w:p>
              </w:tc>
              <w:tc>
                <w:tcPr>
                  <w:tcW w:w="4020" w:type="dxa"/>
                  <w:tcBorders>
                    <w:top w:val="nil"/>
                    <w:left w:val="nil"/>
                    <w:bottom w:val="single" w:sz="4" w:space="0" w:color="auto"/>
                    <w:right w:val="single" w:sz="4" w:space="0" w:color="auto"/>
                  </w:tcBorders>
                  <w:shd w:val="clear" w:color="auto" w:fill="auto"/>
                  <w:vAlign w:val="bottom"/>
                  <w:hideMark/>
                </w:tcPr>
                <w:p w14:paraId="1F71F255" w14:textId="77777777" w:rsidR="00211311" w:rsidRDefault="00211311" w:rsidP="006912AA">
                  <w:pPr>
                    <w:jc w:val="both"/>
                  </w:pPr>
                  <w:r>
                    <w:t>Uzturēšanas materiāli</w:t>
                  </w:r>
                </w:p>
              </w:tc>
              <w:tc>
                <w:tcPr>
                  <w:tcW w:w="1192" w:type="dxa"/>
                  <w:tcBorders>
                    <w:top w:val="nil"/>
                    <w:left w:val="nil"/>
                    <w:bottom w:val="single" w:sz="4" w:space="0" w:color="auto"/>
                    <w:right w:val="single" w:sz="4" w:space="0" w:color="auto"/>
                  </w:tcBorders>
                  <w:shd w:val="clear" w:color="auto" w:fill="auto"/>
                  <w:noWrap/>
                  <w:vAlign w:val="bottom"/>
                  <w:hideMark/>
                </w:tcPr>
                <w:p w14:paraId="1F71F256" w14:textId="77777777" w:rsidR="00211311" w:rsidRDefault="00211311" w:rsidP="006132E2">
                  <w:pPr>
                    <w:jc w:val="center"/>
                  </w:pPr>
                  <w:r>
                    <w:t>0,85</w:t>
                  </w:r>
                </w:p>
              </w:tc>
            </w:tr>
            <w:tr w:rsidR="00211311" w14:paraId="1F71F25B"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58" w14:textId="77777777" w:rsidR="00211311" w:rsidRDefault="00211311" w:rsidP="006912AA">
                  <w:pPr>
                    <w:jc w:val="center"/>
                  </w:pPr>
                  <w:r>
                    <w:t>2390</w:t>
                  </w:r>
                </w:p>
              </w:tc>
              <w:tc>
                <w:tcPr>
                  <w:tcW w:w="4020" w:type="dxa"/>
                  <w:tcBorders>
                    <w:top w:val="nil"/>
                    <w:left w:val="nil"/>
                    <w:bottom w:val="single" w:sz="4" w:space="0" w:color="auto"/>
                    <w:right w:val="single" w:sz="4" w:space="0" w:color="auto"/>
                  </w:tcBorders>
                  <w:shd w:val="clear" w:color="auto" w:fill="auto"/>
                  <w:vAlign w:val="bottom"/>
                  <w:hideMark/>
                </w:tcPr>
                <w:p w14:paraId="1F71F259" w14:textId="77777777" w:rsidR="00211311" w:rsidRDefault="00211311" w:rsidP="006912AA">
                  <w:pPr>
                    <w:jc w:val="both"/>
                  </w:pPr>
                  <w:r>
                    <w:t>Preces pakalpojuma sniegšanai</w:t>
                  </w:r>
                </w:p>
              </w:tc>
              <w:tc>
                <w:tcPr>
                  <w:tcW w:w="1192" w:type="dxa"/>
                  <w:tcBorders>
                    <w:top w:val="nil"/>
                    <w:left w:val="nil"/>
                    <w:bottom w:val="single" w:sz="4" w:space="0" w:color="auto"/>
                    <w:right w:val="single" w:sz="4" w:space="0" w:color="auto"/>
                  </w:tcBorders>
                  <w:shd w:val="clear" w:color="auto" w:fill="auto"/>
                  <w:noWrap/>
                  <w:vAlign w:val="bottom"/>
                  <w:hideMark/>
                </w:tcPr>
                <w:p w14:paraId="1F71F25A" w14:textId="77777777" w:rsidR="00211311" w:rsidRDefault="00211311" w:rsidP="006132E2">
                  <w:pPr>
                    <w:jc w:val="center"/>
                  </w:pPr>
                  <w:r>
                    <w:t>0,78</w:t>
                  </w:r>
                </w:p>
              </w:tc>
            </w:tr>
            <w:tr w:rsidR="00211311" w14:paraId="1F71F25F" w14:textId="77777777" w:rsidTr="006912AA">
              <w:tc>
                <w:tcPr>
                  <w:tcW w:w="1260" w:type="dxa"/>
                  <w:tcBorders>
                    <w:top w:val="nil"/>
                    <w:left w:val="single" w:sz="4" w:space="0" w:color="auto"/>
                    <w:bottom w:val="single" w:sz="4" w:space="0" w:color="auto"/>
                    <w:right w:val="single" w:sz="4" w:space="0" w:color="auto"/>
                  </w:tcBorders>
                  <w:shd w:val="clear" w:color="auto" w:fill="auto"/>
                  <w:noWrap/>
                  <w:hideMark/>
                </w:tcPr>
                <w:p w14:paraId="1F71F25C" w14:textId="77777777" w:rsidR="00211311" w:rsidRDefault="00211311" w:rsidP="006912AA">
                  <w:pPr>
                    <w:jc w:val="center"/>
                  </w:pPr>
                  <w:r>
                    <w:t>5000</w:t>
                  </w:r>
                </w:p>
              </w:tc>
              <w:tc>
                <w:tcPr>
                  <w:tcW w:w="4020" w:type="dxa"/>
                  <w:tcBorders>
                    <w:top w:val="nil"/>
                    <w:left w:val="nil"/>
                    <w:bottom w:val="single" w:sz="4" w:space="0" w:color="auto"/>
                    <w:right w:val="single" w:sz="4" w:space="0" w:color="auto"/>
                  </w:tcBorders>
                  <w:shd w:val="clear" w:color="auto" w:fill="auto"/>
                  <w:vAlign w:val="bottom"/>
                  <w:hideMark/>
                </w:tcPr>
                <w:p w14:paraId="1F71F25D" w14:textId="77777777" w:rsidR="00211311" w:rsidRDefault="00211311" w:rsidP="006912AA">
                  <w:pPr>
                    <w:jc w:val="both"/>
                  </w:pPr>
                  <w:r>
                    <w:t>Kapitālie izdevumi</w:t>
                  </w:r>
                </w:p>
              </w:tc>
              <w:tc>
                <w:tcPr>
                  <w:tcW w:w="1192" w:type="dxa"/>
                  <w:tcBorders>
                    <w:top w:val="nil"/>
                    <w:left w:val="nil"/>
                    <w:bottom w:val="single" w:sz="4" w:space="0" w:color="auto"/>
                    <w:right w:val="single" w:sz="4" w:space="0" w:color="auto"/>
                  </w:tcBorders>
                  <w:shd w:val="clear" w:color="auto" w:fill="auto"/>
                  <w:noWrap/>
                  <w:vAlign w:val="bottom"/>
                  <w:hideMark/>
                </w:tcPr>
                <w:p w14:paraId="1F71F25E" w14:textId="77777777" w:rsidR="00211311" w:rsidRDefault="00211311" w:rsidP="006132E2">
                  <w:pPr>
                    <w:jc w:val="center"/>
                  </w:pPr>
                  <w:r>
                    <w:t>0,00</w:t>
                  </w:r>
                </w:p>
              </w:tc>
            </w:tr>
            <w:tr w:rsidR="00211311" w14:paraId="1F71F263" w14:textId="77777777" w:rsidTr="006912AA">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F71F260" w14:textId="77777777" w:rsidR="00211311" w:rsidRDefault="00211311" w:rsidP="006912AA">
                  <w:pPr>
                    <w:jc w:val="center"/>
                  </w:pPr>
                  <w:r>
                    <w:t> </w:t>
                  </w:r>
                </w:p>
              </w:tc>
              <w:tc>
                <w:tcPr>
                  <w:tcW w:w="4020" w:type="dxa"/>
                  <w:tcBorders>
                    <w:top w:val="nil"/>
                    <w:left w:val="nil"/>
                    <w:bottom w:val="single" w:sz="4" w:space="0" w:color="auto"/>
                    <w:right w:val="single" w:sz="4" w:space="0" w:color="auto"/>
                  </w:tcBorders>
                  <w:shd w:val="clear" w:color="auto" w:fill="auto"/>
                  <w:noWrap/>
                  <w:vAlign w:val="bottom"/>
                  <w:hideMark/>
                </w:tcPr>
                <w:p w14:paraId="1F71F261" w14:textId="77777777" w:rsidR="00211311" w:rsidRPr="00211311" w:rsidRDefault="00211311" w:rsidP="006912AA">
                  <w:pPr>
                    <w:jc w:val="right"/>
                    <w:rPr>
                      <w:bCs/>
                    </w:rPr>
                  </w:pPr>
                  <w:r w:rsidRPr="00211311">
                    <w:rPr>
                      <w:bCs/>
                    </w:rPr>
                    <w:t>Kopā tiešās izmaksas</w:t>
                  </w:r>
                </w:p>
              </w:tc>
              <w:tc>
                <w:tcPr>
                  <w:tcW w:w="1192" w:type="dxa"/>
                  <w:tcBorders>
                    <w:top w:val="nil"/>
                    <w:left w:val="nil"/>
                    <w:bottom w:val="single" w:sz="4" w:space="0" w:color="auto"/>
                    <w:right w:val="single" w:sz="4" w:space="0" w:color="auto"/>
                  </w:tcBorders>
                  <w:shd w:val="clear" w:color="auto" w:fill="auto"/>
                  <w:noWrap/>
                  <w:vAlign w:val="bottom"/>
                  <w:hideMark/>
                </w:tcPr>
                <w:p w14:paraId="1F71F262" w14:textId="77777777" w:rsidR="00211311" w:rsidRPr="00211311" w:rsidRDefault="00211311" w:rsidP="006132E2">
                  <w:pPr>
                    <w:jc w:val="center"/>
                    <w:rPr>
                      <w:bCs/>
                    </w:rPr>
                  </w:pPr>
                  <w:r w:rsidRPr="00211311">
                    <w:rPr>
                      <w:bCs/>
                    </w:rPr>
                    <w:t>9,89</w:t>
                  </w:r>
                </w:p>
              </w:tc>
            </w:tr>
            <w:tr w:rsidR="00211311" w14:paraId="1F71F266" w14:textId="77777777" w:rsidTr="006912AA">
              <w:tc>
                <w:tcPr>
                  <w:tcW w:w="52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71F264" w14:textId="77777777" w:rsidR="00211311" w:rsidRPr="00211311" w:rsidRDefault="00211311" w:rsidP="006912AA">
                  <w:r w:rsidRPr="00211311">
                    <w:t>Netiešās izmaksas 2%</w:t>
                  </w:r>
                </w:p>
              </w:tc>
              <w:tc>
                <w:tcPr>
                  <w:tcW w:w="1192" w:type="dxa"/>
                  <w:tcBorders>
                    <w:top w:val="nil"/>
                    <w:left w:val="nil"/>
                    <w:bottom w:val="single" w:sz="4" w:space="0" w:color="auto"/>
                    <w:right w:val="single" w:sz="4" w:space="0" w:color="auto"/>
                  </w:tcBorders>
                  <w:shd w:val="clear" w:color="auto" w:fill="auto"/>
                  <w:noWrap/>
                  <w:vAlign w:val="bottom"/>
                  <w:hideMark/>
                </w:tcPr>
                <w:p w14:paraId="1F71F265" w14:textId="77777777" w:rsidR="00211311" w:rsidRPr="00211311" w:rsidRDefault="00211311" w:rsidP="006132E2">
                  <w:pPr>
                    <w:jc w:val="center"/>
                    <w:rPr>
                      <w:bCs/>
                    </w:rPr>
                  </w:pPr>
                  <w:r w:rsidRPr="00211311">
                    <w:rPr>
                      <w:bCs/>
                    </w:rPr>
                    <w:t>0,20</w:t>
                  </w:r>
                </w:p>
              </w:tc>
            </w:tr>
            <w:tr w:rsidR="00211311" w14:paraId="1F71F26A" w14:textId="77777777" w:rsidTr="006912AA">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F71F267" w14:textId="77777777" w:rsidR="00211311" w:rsidRDefault="00211311" w:rsidP="006912AA">
                  <w:pPr>
                    <w:jc w:val="center"/>
                  </w:pPr>
                  <w:r>
                    <w:t> </w:t>
                  </w:r>
                </w:p>
              </w:tc>
              <w:tc>
                <w:tcPr>
                  <w:tcW w:w="4020" w:type="dxa"/>
                  <w:tcBorders>
                    <w:top w:val="nil"/>
                    <w:left w:val="nil"/>
                    <w:bottom w:val="single" w:sz="4" w:space="0" w:color="auto"/>
                    <w:right w:val="single" w:sz="4" w:space="0" w:color="auto"/>
                  </w:tcBorders>
                  <w:shd w:val="clear" w:color="auto" w:fill="auto"/>
                  <w:noWrap/>
                  <w:vAlign w:val="bottom"/>
                  <w:hideMark/>
                </w:tcPr>
                <w:p w14:paraId="1F71F268" w14:textId="77777777" w:rsidR="00211311" w:rsidRPr="00211311" w:rsidRDefault="00211311" w:rsidP="006912AA">
                  <w:pPr>
                    <w:jc w:val="right"/>
                    <w:rPr>
                      <w:bCs/>
                    </w:rPr>
                  </w:pPr>
                  <w:r w:rsidRPr="00211311">
                    <w:rPr>
                      <w:bCs/>
                    </w:rPr>
                    <w:t>Kopā</w:t>
                  </w:r>
                </w:p>
              </w:tc>
              <w:tc>
                <w:tcPr>
                  <w:tcW w:w="1192" w:type="dxa"/>
                  <w:tcBorders>
                    <w:top w:val="nil"/>
                    <w:left w:val="nil"/>
                    <w:bottom w:val="single" w:sz="4" w:space="0" w:color="auto"/>
                    <w:right w:val="single" w:sz="4" w:space="0" w:color="auto"/>
                  </w:tcBorders>
                  <w:shd w:val="clear" w:color="auto" w:fill="auto"/>
                  <w:noWrap/>
                  <w:vAlign w:val="bottom"/>
                  <w:hideMark/>
                </w:tcPr>
                <w:p w14:paraId="1F71F269" w14:textId="77777777" w:rsidR="00211311" w:rsidRPr="00211311" w:rsidRDefault="00211311" w:rsidP="006132E2">
                  <w:pPr>
                    <w:jc w:val="center"/>
                    <w:rPr>
                      <w:bCs/>
                    </w:rPr>
                  </w:pPr>
                  <w:r w:rsidRPr="00211311">
                    <w:rPr>
                      <w:bCs/>
                    </w:rPr>
                    <w:t>10,09</w:t>
                  </w:r>
                </w:p>
              </w:tc>
            </w:tr>
          </w:tbl>
          <w:p w14:paraId="1F71F26B" w14:textId="77777777" w:rsidR="00FE5C64" w:rsidRDefault="003C165F" w:rsidP="005B5981">
            <w:pPr>
              <w:jc w:val="both"/>
            </w:pPr>
            <w:r>
              <w:t xml:space="preserve">Kopējās izmaksas gadā </w:t>
            </w:r>
            <w:r w:rsidR="00264F8E">
              <w:t xml:space="preserve">EUR </w:t>
            </w:r>
            <w:r>
              <w:t xml:space="preserve">10,09 x 13 924 pakalpojumi = </w:t>
            </w:r>
            <w:r w:rsidR="00264F8E">
              <w:t>EUR </w:t>
            </w:r>
            <w:r>
              <w:t>140 493,16.</w:t>
            </w:r>
          </w:p>
          <w:p w14:paraId="1F71F26C" w14:textId="77777777" w:rsidR="00C40A39" w:rsidRPr="001606F9" w:rsidRDefault="000A7435" w:rsidP="005B5981">
            <w:pPr>
              <w:jc w:val="both"/>
              <w:rPr>
                <w:highlight w:val="yellow"/>
              </w:rPr>
            </w:pPr>
            <w:r>
              <w:t xml:space="preserve">2. </w:t>
            </w:r>
            <w:r w:rsidR="00C40A39" w:rsidRPr="001606F9">
              <w:t>L</w:t>
            </w:r>
            <w:r w:rsidR="00F57DEF">
              <w:t>DC</w:t>
            </w:r>
            <w:r w:rsidR="00C40A39" w:rsidRPr="001606F9">
              <w:t xml:space="preserve"> izdevumu </w:t>
            </w:r>
            <w:r w:rsidR="00EF056E" w:rsidRPr="001606F9">
              <w:t xml:space="preserve">detalizēts </w:t>
            </w:r>
            <w:r w:rsidR="00C40A39" w:rsidRPr="001606F9">
              <w:t>aprēķins: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2693"/>
              <w:gridCol w:w="1985"/>
            </w:tblGrid>
            <w:tr w:rsidR="001606F9" w:rsidRPr="001606F9" w14:paraId="1F71F270" w14:textId="77777777" w:rsidTr="0001250B">
              <w:tc>
                <w:tcPr>
                  <w:tcW w:w="1652" w:type="dxa"/>
                  <w:tcBorders>
                    <w:top w:val="single" w:sz="4" w:space="0" w:color="auto"/>
                    <w:left w:val="single" w:sz="4" w:space="0" w:color="auto"/>
                    <w:bottom w:val="single" w:sz="4" w:space="0" w:color="auto"/>
                    <w:right w:val="single" w:sz="4" w:space="0" w:color="auto"/>
                  </w:tcBorders>
                  <w:vAlign w:val="center"/>
                </w:tcPr>
                <w:p w14:paraId="1F71F26D" w14:textId="77777777" w:rsidR="00C40A39" w:rsidRPr="001606F9" w:rsidRDefault="00C40A39" w:rsidP="005B5981">
                  <w:pPr>
                    <w:pStyle w:val="naisf"/>
                    <w:spacing w:before="0" w:after="0"/>
                    <w:ind w:firstLine="0"/>
                    <w:jc w:val="center"/>
                  </w:pPr>
                  <w:r w:rsidRPr="001606F9">
                    <w:t>EKK</w:t>
                  </w:r>
                </w:p>
              </w:tc>
              <w:tc>
                <w:tcPr>
                  <w:tcW w:w="2693" w:type="dxa"/>
                  <w:tcBorders>
                    <w:top w:val="single" w:sz="4" w:space="0" w:color="auto"/>
                    <w:left w:val="single" w:sz="4" w:space="0" w:color="auto"/>
                    <w:bottom w:val="single" w:sz="4" w:space="0" w:color="auto"/>
                    <w:right w:val="single" w:sz="4" w:space="0" w:color="auto"/>
                  </w:tcBorders>
                  <w:vAlign w:val="center"/>
                </w:tcPr>
                <w:p w14:paraId="1F71F26E" w14:textId="77777777" w:rsidR="00C40A39" w:rsidRPr="001606F9" w:rsidRDefault="00C40A39" w:rsidP="005B5981">
                  <w:pPr>
                    <w:pStyle w:val="naisf"/>
                    <w:spacing w:before="0" w:after="0"/>
                    <w:ind w:firstLine="0"/>
                    <w:jc w:val="center"/>
                  </w:pPr>
                  <w:r w:rsidRPr="001606F9">
                    <w:t>Izdevumu veidi</w:t>
                  </w:r>
                </w:p>
              </w:tc>
              <w:tc>
                <w:tcPr>
                  <w:tcW w:w="1985" w:type="dxa"/>
                  <w:tcBorders>
                    <w:top w:val="single" w:sz="4" w:space="0" w:color="auto"/>
                    <w:left w:val="single" w:sz="4" w:space="0" w:color="auto"/>
                    <w:bottom w:val="single" w:sz="4" w:space="0" w:color="auto"/>
                    <w:right w:val="single" w:sz="4" w:space="0" w:color="auto"/>
                  </w:tcBorders>
                  <w:vAlign w:val="center"/>
                </w:tcPr>
                <w:p w14:paraId="1F71F26F" w14:textId="77777777" w:rsidR="00C40A39" w:rsidRPr="001606F9" w:rsidRDefault="00C40A39" w:rsidP="00BA7B26">
                  <w:pPr>
                    <w:jc w:val="center"/>
                  </w:pPr>
                  <w:r w:rsidRPr="001606F9">
                    <w:t>2015.g</w:t>
                  </w:r>
                  <w:r w:rsidR="00BA7B26">
                    <w:t>ada</w:t>
                  </w:r>
                  <w:r w:rsidRPr="001606F9">
                    <w:t xml:space="preserve"> plāns, EUR</w:t>
                  </w:r>
                </w:p>
              </w:tc>
            </w:tr>
            <w:tr w:rsidR="001606F9" w:rsidRPr="001606F9" w14:paraId="1F71F274" w14:textId="77777777" w:rsidTr="0001250B">
              <w:tc>
                <w:tcPr>
                  <w:tcW w:w="1652" w:type="dxa"/>
                  <w:tcBorders>
                    <w:top w:val="single" w:sz="4" w:space="0" w:color="auto"/>
                    <w:left w:val="single" w:sz="4" w:space="0" w:color="auto"/>
                    <w:bottom w:val="single" w:sz="4" w:space="0" w:color="auto"/>
                    <w:right w:val="single" w:sz="4" w:space="0" w:color="auto"/>
                  </w:tcBorders>
                </w:tcPr>
                <w:p w14:paraId="1F71F271" w14:textId="77777777" w:rsidR="00C40A39" w:rsidRPr="0001250B" w:rsidRDefault="00C40A39" w:rsidP="0001250B">
                  <w:pPr>
                    <w:jc w:val="both"/>
                    <w:rPr>
                      <w:bCs/>
                    </w:rPr>
                  </w:pPr>
                  <w:r w:rsidRPr="001606F9">
                    <w:rPr>
                      <w:bCs/>
                    </w:rPr>
                    <w:t>1000-4000;</w:t>
                  </w:r>
                  <w:r w:rsidRPr="001606F9">
                    <w:rPr>
                      <w:bCs/>
                    </w:rPr>
                    <w:br/>
                    <w:t>6000-7000</w:t>
                  </w:r>
                </w:p>
              </w:tc>
              <w:tc>
                <w:tcPr>
                  <w:tcW w:w="2693" w:type="dxa"/>
                  <w:tcBorders>
                    <w:top w:val="single" w:sz="4" w:space="0" w:color="auto"/>
                    <w:left w:val="single" w:sz="4" w:space="0" w:color="auto"/>
                    <w:bottom w:val="single" w:sz="4" w:space="0" w:color="auto"/>
                    <w:right w:val="single" w:sz="4" w:space="0" w:color="auto"/>
                  </w:tcBorders>
                  <w:vAlign w:val="center"/>
                </w:tcPr>
                <w:p w14:paraId="1F71F272" w14:textId="77777777" w:rsidR="00C40A39" w:rsidRPr="0001250B" w:rsidRDefault="00C40A39" w:rsidP="005B5981">
                  <w:pPr>
                    <w:rPr>
                      <w:bCs/>
                    </w:rPr>
                  </w:pPr>
                  <w:r w:rsidRPr="0001250B">
                    <w:rPr>
                      <w:bCs/>
                    </w:rPr>
                    <w:t>Uzturēšanas izdevumi</w:t>
                  </w:r>
                </w:p>
              </w:tc>
              <w:tc>
                <w:tcPr>
                  <w:tcW w:w="1985" w:type="dxa"/>
                  <w:tcBorders>
                    <w:top w:val="single" w:sz="4" w:space="0" w:color="auto"/>
                    <w:left w:val="single" w:sz="4" w:space="0" w:color="auto"/>
                    <w:bottom w:val="single" w:sz="4" w:space="0" w:color="auto"/>
                    <w:right w:val="single" w:sz="4" w:space="0" w:color="auto"/>
                  </w:tcBorders>
                  <w:vAlign w:val="center"/>
                </w:tcPr>
                <w:p w14:paraId="1F71F273" w14:textId="77777777" w:rsidR="00C40A39" w:rsidRPr="00E92CA1" w:rsidRDefault="00C40A39" w:rsidP="002718F2">
                  <w:pPr>
                    <w:pStyle w:val="naisf"/>
                    <w:spacing w:before="0" w:after="0"/>
                    <w:ind w:firstLine="0"/>
                    <w:jc w:val="center"/>
                  </w:pPr>
                  <w:r w:rsidRPr="00E92CA1">
                    <w:t>27</w:t>
                  </w:r>
                  <w:r w:rsidR="003B45B8" w:rsidRPr="00E92CA1">
                    <w:t xml:space="preserve"> </w:t>
                  </w:r>
                  <w:r w:rsidRPr="00E92CA1">
                    <w:t>54</w:t>
                  </w:r>
                  <w:r w:rsidR="002718F2" w:rsidRPr="00E92CA1">
                    <w:t>3</w:t>
                  </w:r>
                </w:p>
              </w:tc>
            </w:tr>
            <w:tr w:rsidR="001606F9" w:rsidRPr="001606F9" w14:paraId="1F71F278" w14:textId="77777777" w:rsidTr="0001250B">
              <w:tc>
                <w:tcPr>
                  <w:tcW w:w="1652" w:type="dxa"/>
                  <w:tcBorders>
                    <w:top w:val="single" w:sz="4" w:space="0" w:color="auto"/>
                    <w:left w:val="single" w:sz="4" w:space="0" w:color="auto"/>
                    <w:bottom w:val="single" w:sz="4" w:space="0" w:color="auto"/>
                    <w:right w:val="single" w:sz="4" w:space="0" w:color="auto"/>
                  </w:tcBorders>
                </w:tcPr>
                <w:p w14:paraId="1F71F275" w14:textId="77777777" w:rsidR="00C40A39" w:rsidRPr="0001250B" w:rsidRDefault="00C40A39" w:rsidP="0001250B">
                  <w:pPr>
                    <w:jc w:val="both"/>
                    <w:rPr>
                      <w:bCs/>
                    </w:rPr>
                  </w:pPr>
                  <w:r w:rsidRPr="001606F9">
                    <w:rPr>
                      <w:bCs/>
                    </w:rPr>
                    <w:t>1000-2000</w:t>
                  </w:r>
                </w:p>
              </w:tc>
              <w:tc>
                <w:tcPr>
                  <w:tcW w:w="2693" w:type="dxa"/>
                  <w:tcBorders>
                    <w:top w:val="single" w:sz="4" w:space="0" w:color="auto"/>
                    <w:left w:val="single" w:sz="4" w:space="0" w:color="auto"/>
                    <w:bottom w:val="single" w:sz="4" w:space="0" w:color="auto"/>
                    <w:right w:val="single" w:sz="4" w:space="0" w:color="auto"/>
                  </w:tcBorders>
                  <w:vAlign w:val="center"/>
                </w:tcPr>
                <w:p w14:paraId="1F71F276" w14:textId="77777777" w:rsidR="00C40A39" w:rsidRPr="0001250B" w:rsidRDefault="00C40A39" w:rsidP="005B5981">
                  <w:pPr>
                    <w:rPr>
                      <w:bCs/>
                    </w:rPr>
                  </w:pPr>
                  <w:r w:rsidRPr="0001250B">
                    <w:rPr>
                      <w:bCs/>
                    </w:rPr>
                    <w:t>Kārtējie izdevumi</w:t>
                  </w:r>
                </w:p>
              </w:tc>
              <w:tc>
                <w:tcPr>
                  <w:tcW w:w="1985" w:type="dxa"/>
                  <w:tcBorders>
                    <w:top w:val="single" w:sz="4" w:space="0" w:color="auto"/>
                    <w:left w:val="single" w:sz="4" w:space="0" w:color="auto"/>
                    <w:bottom w:val="single" w:sz="4" w:space="0" w:color="auto"/>
                    <w:right w:val="single" w:sz="4" w:space="0" w:color="auto"/>
                  </w:tcBorders>
                  <w:vAlign w:val="center"/>
                </w:tcPr>
                <w:p w14:paraId="1F71F277" w14:textId="77777777" w:rsidR="00C40A39" w:rsidRPr="00E92CA1" w:rsidRDefault="00C40A39" w:rsidP="002718F2">
                  <w:pPr>
                    <w:pStyle w:val="naisf"/>
                    <w:spacing w:before="0" w:after="0"/>
                    <w:ind w:firstLine="0"/>
                    <w:jc w:val="center"/>
                  </w:pPr>
                  <w:r w:rsidRPr="00E92CA1">
                    <w:t>27</w:t>
                  </w:r>
                  <w:r w:rsidR="003B45B8" w:rsidRPr="00E92CA1">
                    <w:t xml:space="preserve"> </w:t>
                  </w:r>
                  <w:r w:rsidRPr="00E92CA1">
                    <w:t>54</w:t>
                  </w:r>
                  <w:r w:rsidR="002718F2" w:rsidRPr="00E92CA1">
                    <w:t>3</w:t>
                  </w:r>
                </w:p>
              </w:tc>
            </w:tr>
            <w:tr w:rsidR="001606F9" w:rsidRPr="001606F9" w14:paraId="1F71F27C" w14:textId="77777777" w:rsidTr="0001250B">
              <w:tc>
                <w:tcPr>
                  <w:tcW w:w="1652" w:type="dxa"/>
                  <w:tcBorders>
                    <w:top w:val="single" w:sz="4" w:space="0" w:color="auto"/>
                    <w:left w:val="single" w:sz="4" w:space="0" w:color="auto"/>
                    <w:bottom w:val="single" w:sz="4" w:space="0" w:color="auto"/>
                    <w:right w:val="single" w:sz="4" w:space="0" w:color="auto"/>
                  </w:tcBorders>
                </w:tcPr>
                <w:p w14:paraId="1F71F279" w14:textId="77777777" w:rsidR="00C40A39" w:rsidRPr="001606F9" w:rsidRDefault="00C40A39" w:rsidP="005B5981">
                  <w:pPr>
                    <w:jc w:val="both"/>
                    <w:rPr>
                      <w:bCs/>
                    </w:rPr>
                  </w:pPr>
                  <w:r w:rsidRPr="001606F9">
                    <w:rPr>
                      <w:bCs/>
                    </w:rPr>
                    <w:t>1000</w:t>
                  </w:r>
                </w:p>
              </w:tc>
              <w:tc>
                <w:tcPr>
                  <w:tcW w:w="2693" w:type="dxa"/>
                  <w:tcBorders>
                    <w:top w:val="single" w:sz="4" w:space="0" w:color="auto"/>
                    <w:left w:val="single" w:sz="4" w:space="0" w:color="auto"/>
                    <w:bottom w:val="single" w:sz="4" w:space="0" w:color="auto"/>
                    <w:right w:val="single" w:sz="4" w:space="0" w:color="auto"/>
                  </w:tcBorders>
                  <w:vAlign w:val="center"/>
                </w:tcPr>
                <w:p w14:paraId="1F71F27A" w14:textId="77777777" w:rsidR="00C40A39" w:rsidRPr="001606F9" w:rsidRDefault="00C40A39" w:rsidP="005B5981">
                  <w:pPr>
                    <w:rPr>
                      <w:bCs/>
                    </w:rPr>
                  </w:pPr>
                  <w:r w:rsidRPr="001606F9">
                    <w:rPr>
                      <w:bCs/>
                    </w:rPr>
                    <w:t>Atlīdzība</w:t>
                  </w:r>
                </w:p>
              </w:tc>
              <w:tc>
                <w:tcPr>
                  <w:tcW w:w="1985" w:type="dxa"/>
                  <w:tcBorders>
                    <w:top w:val="single" w:sz="4" w:space="0" w:color="auto"/>
                    <w:left w:val="single" w:sz="4" w:space="0" w:color="auto"/>
                    <w:bottom w:val="single" w:sz="4" w:space="0" w:color="auto"/>
                    <w:right w:val="single" w:sz="4" w:space="0" w:color="auto"/>
                  </w:tcBorders>
                </w:tcPr>
                <w:p w14:paraId="1F71F27B" w14:textId="77777777" w:rsidR="00C40A39" w:rsidRPr="00E92CA1" w:rsidRDefault="00C40A39" w:rsidP="0001250B">
                  <w:pPr>
                    <w:pStyle w:val="naisf"/>
                    <w:spacing w:before="0" w:after="0"/>
                    <w:ind w:firstLine="0"/>
                    <w:jc w:val="center"/>
                  </w:pPr>
                  <w:r w:rsidRPr="00E92CA1">
                    <w:t>25</w:t>
                  </w:r>
                  <w:r w:rsidR="003B45B8" w:rsidRPr="00E92CA1">
                    <w:t xml:space="preserve"> </w:t>
                  </w:r>
                  <w:r w:rsidRPr="00E92CA1">
                    <w:t>380</w:t>
                  </w:r>
                </w:p>
              </w:tc>
            </w:tr>
            <w:tr w:rsidR="001606F9" w:rsidRPr="001606F9" w14:paraId="1F71F280" w14:textId="77777777" w:rsidTr="0001250B">
              <w:tc>
                <w:tcPr>
                  <w:tcW w:w="1652" w:type="dxa"/>
                  <w:tcBorders>
                    <w:top w:val="single" w:sz="4" w:space="0" w:color="auto"/>
                    <w:left w:val="single" w:sz="4" w:space="0" w:color="auto"/>
                    <w:bottom w:val="single" w:sz="4" w:space="0" w:color="auto"/>
                    <w:right w:val="single" w:sz="4" w:space="0" w:color="auto"/>
                  </w:tcBorders>
                </w:tcPr>
                <w:p w14:paraId="1F71F27D" w14:textId="77777777" w:rsidR="00C40A39" w:rsidRPr="001606F9" w:rsidRDefault="00C40A39" w:rsidP="005B5981">
                  <w:pPr>
                    <w:jc w:val="both"/>
                    <w:rPr>
                      <w:bCs/>
                    </w:rPr>
                  </w:pPr>
                  <w:r w:rsidRPr="001606F9">
                    <w:rPr>
                      <w:bCs/>
                    </w:rPr>
                    <w:t>1100</w:t>
                  </w:r>
                </w:p>
              </w:tc>
              <w:tc>
                <w:tcPr>
                  <w:tcW w:w="2693" w:type="dxa"/>
                  <w:tcBorders>
                    <w:top w:val="single" w:sz="4" w:space="0" w:color="auto"/>
                    <w:left w:val="single" w:sz="4" w:space="0" w:color="auto"/>
                    <w:bottom w:val="single" w:sz="4" w:space="0" w:color="auto"/>
                    <w:right w:val="single" w:sz="4" w:space="0" w:color="auto"/>
                  </w:tcBorders>
                  <w:vAlign w:val="center"/>
                </w:tcPr>
                <w:p w14:paraId="1F71F27E" w14:textId="77777777" w:rsidR="00C40A39" w:rsidRPr="001606F9" w:rsidRDefault="00C40A39" w:rsidP="005B5981">
                  <w:pPr>
                    <w:rPr>
                      <w:bCs/>
                    </w:rPr>
                  </w:pPr>
                  <w:r w:rsidRPr="001606F9">
                    <w:rPr>
                      <w:bCs/>
                    </w:rPr>
                    <w:t>Atalgojums</w:t>
                  </w:r>
                </w:p>
              </w:tc>
              <w:tc>
                <w:tcPr>
                  <w:tcW w:w="1985" w:type="dxa"/>
                  <w:tcBorders>
                    <w:top w:val="single" w:sz="4" w:space="0" w:color="auto"/>
                    <w:left w:val="single" w:sz="4" w:space="0" w:color="auto"/>
                    <w:bottom w:val="single" w:sz="4" w:space="0" w:color="auto"/>
                    <w:right w:val="single" w:sz="4" w:space="0" w:color="auto"/>
                  </w:tcBorders>
                </w:tcPr>
                <w:p w14:paraId="1F71F27F" w14:textId="77777777" w:rsidR="00C40A39" w:rsidRPr="00E92CA1" w:rsidRDefault="00C40A39" w:rsidP="0001250B">
                  <w:pPr>
                    <w:pStyle w:val="naisf"/>
                    <w:spacing w:before="0" w:after="0"/>
                    <w:ind w:firstLine="0"/>
                    <w:jc w:val="center"/>
                  </w:pPr>
                  <w:r w:rsidRPr="00E92CA1">
                    <w:t>20</w:t>
                  </w:r>
                  <w:r w:rsidR="003B45B8" w:rsidRPr="00E92CA1">
                    <w:t xml:space="preserve"> </w:t>
                  </w:r>
                  <w:r w:rsidRPr="00E92CA1">
                    <w:t>536</w:t>
                  </w:r>
                </w:p>
              </w:tc>
            </w:tr>
            <w:tr w:rsidR="001606F9" w:rsidRPr="001606F9" w14:paraId="1F71F284" w14:textId="77777777" w:rsidTr="0001250B">
              <w:tc>
                <w:tcPr>
                  <w:tcW w:w="1652" w:type="dxa"/>
                  <w:tcBorders>
                    <w:top w:val="single" w:sz="4" w:space="0" w:color="auto"/>
                    <w:left w:val="single" w:sz="4" w:space="0" w:color="auto"/>
                    <w:bottom w:val="single" w:sz="4" w:space="0" w:color="auto"/>
                    <w:right w:val="single" w:sz="4" w:space="0" w:color="auto"/>
                  </w:tcBorders>
                </w:tcPr>
                <w:p w14:paraId="1F71F281" w14:textId="77777777" w:rsidR="00C40A39" w:rsidRPr="001606F9" w:rsidRDefault="00C40A39" w:rsidP="005B5981">
                  <w:pPr>
                    <w:pStyle w:val="naisf"/>
                    <w:spacing w:before="0" w:after="0"/>
                    <w:ind w:firstLine="0"/>
                  </w:pPr>
                  <w:r w:rsidRPr="001606F9">
                    <w:t>2000</w:t>
                  </w:r>
                </w:p>
              </w:tc>
              <w:tc>
                <w:tcPr>
                  <w:tcW w:w="2693" w:type="dxa"/>
                  <w:tcBorders>
                    <w:top w:val="single" w:sz="4" w:space="0" w:color="auto"/>
                    <w:left w:val="single" w:sz="4" w:space="0" w:color="auto"/>
                    <w:bottom w:val="single" w:sz="4" w:space="0" w:color="auto"/>
                    <w:right w:val="single" w:sz="4" w:space="0" w:color="auto"/>
                  </w:tcBorders>
                  <w:vAlign w:val="center"/>
                </w:tcPr>
                <w:p w14:paraId="1F71F282" w14:textId="77777777" w:rsidR="00C40A39" w:rsidRPr="001606F9" w:rsidRDefault="00C40A39" w:rsidP="005B5981">
                  <w:r w:rsidRPr="001606F9">
                    <w:t>Preces un pakalpojumi</w:t>
                  </w:r>
                </w:p>
              </w:tc>
              <w:tc>
                <w:tcPr>
                  <w:tcW w:w="1985" w:type="dxa"/>
                  <w:tcBorders>
                    <w:top w:val="single" w:sz="4" w:space="0" w:color="auto"/>
                    <w:left w:val="single" w:sz="4" w:space="0" w:color="auto"/>
                    <w:bottom w:val="single" w:sz="4" w:space="0" w:color="auto"/>
                    <w:right w:val="single" w:sz="4" w:space="0" w:color="auto"/>
                  </w:tcBorders>
                </w:tcPr>
                <w:p w14:paraId="1F71F283" w14:textId="77777777" w:rsidR="00C40A39" w:rsidRPr="00E92CA1" w:rsidRDefault="00C40A39" w:rsidP="002718F2">
                  <w:pPr>
                    <w:pStyle w:val="naisf"/>
                    <w:spacing w:before="0" w:after="0"/>
                    <w:ind w:firstLine="0"/>
                    <w:jc w:val="center"/>
                  </w:pPr>
                  <w:r w:rsidRPr="00E92CA1">
                    <w:t>2</w:t>
                  </w:r>
                  <w:r w:rsidR="003B45B8" w:rsidRPr="00E92CA1">
                    <w:t xml:space="preserve"> </w:t>
                  </w:r>
                  <w:r w:rsidRPr="00E92CA1">
                    <w:t>16</w:t>
                  </w:r>
                  <w:r w:rsidR="002718F2" w:rsidRPr="00E92CA1">
                    <w:t>3</w:t>
                  </w:r>
                </w:p>
              </w:tc>
            </w:tr>
          </w:tbl>
          <w:p w14:paraId="1F71F285" w14:textId="77777777" w:rsidR="005B2D31" w:rsidRPr="001606F9" w:rsidRDefault="005B2D31" w:rsidP="00D33E3D">
            <w:pPr>
              <w:jc w:val="both"/>
            </w:pPr>
            <w:r w:rsidRPr="001606F9">
              <w:t>Pārveidojot likumā noteiktās valsts nodevas par maksas pakalpojumiem, samazināsies valsts pamatbudžeta ieņēmumi no likumā noteiktām nodevām, vienlaikus samazinot L</w:t>
            </w:r>
            <w:r w:rsidR="00D33E3D">
              <w:t>DC</w:t>
            </w:r>
            <w:r w:rsidRPr="001606F9">
              <w:t xml:space="preserve"> piešķirto dotāciju no vispārējiem ieņēmumiem nodevu administrēšanai, un palielināsies </w:t>
            </w:r>
            <w:r w:rsidR="00D33E3D">
              <w:t>LDC</w:t>
            </w:r>
            <w:r w:rsidRPr="001606F9">
              <w:t xml:space="preserve"> ieņēmumi no maksas pakalpojumiem un citi pašu ieņēmumi. </w:t>
            </w:r>
          </w:p>
        </w:tc>
      </w:tr>
      <w:tr w:rsidR="001606F9" w:rsidRPr="001606F9" w14:paraId="1F71F28A" w14:textId="77777777" w:rsidTr="00CF0BB6">
        <w:trPr>
          <w:trHeight w:val="444"/>
          <w:tblCellSpacing w:w="15" w:type="dxa"/>
          <w:jc w:val="center"/>
        </w:trPr>
        <w:tc>
          <w:tcPr>
            <w:tcW w:w="2424" w:type="dxa"/>
            <w:hideMark/>
          </w:tcPr>
          <w:p w14:paraId="1F71F287" w14:textId="77777777" w:rsidR="00CB1B6D" w:rsidRPr="001606F9" w:rsidRDefault="00CB1B6D" w:rsidP="005B5981">
            <w:r w:rsidRPr="001606F9">
              <w:lastRenderedPageBreak/>
              <w:t>7. Cita informācija</w:t>
            </w:r>
          </w:p>
        </w:tc>
        <w:tc>
          <w:tcPr>
            <w:tcW w:w="6675" w:type="dxa"/>
            <w:gridSpan w:val="5"/>
            <w:hideMark/>
          </w:tcPr>
          <w:p w14:paraId="1F71F288" w14:textId="77777777" w:rsidR="00FB4C18" w:rsidRPr="00271E8F" w:rsidRDefault="004C61E1" w:rsidP="008C4507">
            <w:pPr>
              <w:widowControl w:val="0"/>
              <w:adjustRightInd w:val="0"/>
              <w:jc w:val="both"/>
            </w:pPr>
            <w:r>
              <w:t>1</w:t>
            </w:r>
            <w:r w:rsidR="00FB4C18" w:rsidRPr="00271E8F">
              <w:t>. Ministru kabineta 2009.gada 22.decembra noteikum</w:t>
            </w:r>
            <w:r w:rsidR="004968BA" w:rsidRPr="00271E8F">
              <w:t>i</w:t>
            </w:r>
            <w:r w:rsidR="00FB4C18" w:rsidRPr="00271E8F">
              <w:t xml:space="preserve"> Nr.1589 „Noteikumi par valsts nodevu par atzinuma sagatavošanu veselīguma n</w:t>
            </w:r>
            <w:r w:rsidR="004968BA" w:rsidRPr="00271E8F">
              <w:t xml:space="preserve">orādei uz pārtikas produktiem” ar </w:t>
            </w:r>
            <w:r w:rsidR="004B52A3" w:rsidRPr="00271E8F">
              <w:t>2012.gada 2.novembri</w:t>
            </w:r>
            <w:r w:rsidR="00FB4C18" w:rsidRPr="00271E8F">
              <w:t xml:space="preserve"> </w:t>
            </w:r>
            <w:r w:rsidR="00264F8E" w:rsidRPr="00271E8F">
              <w:t>ir zaudējuši spēku</w:t>
            </w:r>
            <w:r w:rsidR="00264F8E">
              <w:t>,</w:t>
            </w:r>
            <w:r w:rsidR="00264F8E" w:rsidRPr="00271E8F">
              <w:t xml:space="preserve"> </w:t>
            </w:r>
            <w:r w:rsidR="00FB4C18" w:rsidRPr="00271E8F">
              <w:t xml:space="preserve">un </w:t>
            </w:r>
            <w:r w:rsidR="004B52A3" w:rsidRPr="00271E8F">
              <w:t xml:space="preserve">attiecīgās nodevas objekta izslēgšana no likuma </w:t>
            </w:r>
            <w:r w:rsidR="00FB4C18" w:rsidRPr="00271E8F">
              <w:t>neietekmē valsts budžetu, jo līdz šim neviens Latvijas uzņēmējs nav iesniedzis pieteikumu par atzinuma sagatavošanu veselīguma norādei uz pārtikas produkt</w:t>
            </w:r>
            <w:r w:rsidR="00B879AE" w:rsidRPr="00271E8F">
              <w:t>iem un ieņēmumi 2013.gadā netika plānoti.</w:t>
            </w:r>
          </w:p>
          <w:p w14:paraId="1F71F289" w14:textId="77777777" w:rsidR="00661858" w:rsidRPr="001606F9" w:rsidRDefault="004C61E1" w:rsidP="00D87780">
            <w:pPr>
              <w:widowControl w:val="0"/>
              <w:adjustRightInd w:val="0"/>
              <w:jc w:val="both"/>
            </w:pPr>
            <w:r>
              <w:t>2</w:t>
            </w:r>
            <w:r w:rsidR="00264F8E">
              <w:t>. Tā kā</w:t>
            </w:r>
            <w:r w:rsidR="00661858" w:rsidRPr="00271E8F">
              <w:t xml:space="preserve"> no 2013.gada 1.janvāra PVD veic nacionālās pārtikas kvalitātes shēmas kontroles institūcijas funkcijas un netiek apstiprinātas citas kontroles institūcijas, valsts nodev</w:t>
            </w:r>
            <w:r w:rsidR="00DB7410" w:rsidRPr="00271E8F">
              <w:t>a</w:t>
            </w:r>
            <w:r w:rsidR="00661858" w:rsidRPr="00271E8F">
              <w:t xml:space="preserve"> par </w:t>
            </w:r>
            <w:r w:rsidR="00661858" w:rsidRPr="00271E8F">
              <w:lastRenderedPageBreak/>
              <w:t>nacionālās pārtikas kvalitātes shēmas kontroles institūcijas apstiprināšanas apliecības izsniegšanu</w:t>
            </w:r>
            <w:r w:rsidR="00DB7410" w:rsidRPr="00271E8F">
              <w:t xml:space="preserve"> nav maksāta un ienākumi valsts budžetā </w:t>
            </w:r>
            <w:r w:rsidR="00D87780" w:rsidRPr="00271E8F">
              <w:t>2013.gadā un turpmākajos gados net</w:t>
            </w:r>
            <w:r w:rsidR="00DB7410" w:rsidRPr="00271E8F">
              <w:t>ika plānoti.</w:t>
            </w:r>
          </w:p>
        </w:tc>
      </w:tr>
    </w:tbl>
    <w:p w14:paraId="1F71F28B" w14:textId="77777777" w:rsidR="005B2D31" w:rsidRPr="00E92CA1" w:rsidRDefault="00E92CA1" w:rsidP="00884C87">
      <w:pPr>
        <w:rPr>
          <w:i/>
          <w:sz w:val="22"/>
        </w:rPr>
      </w:pPr>
      <w:r w:rsidRPr="00E92CA1">
        <w:rPr>
          <w:sz w:val="22"/>
        </w:rPr>
        <w:lastRenderedPageBreak/>
        <w:t>* dati atspoguļoti atbilstoši 2013.gada valsts budžeta izpildei.</w:t>
      </w:r>
    </w:p>
    <w:p w14:paraId="1F71F28C" w14:textId="77777777" w:rsidR="00E92CA1" w:rsidRPr="003F7E1D" w:rsidRDefault="00E92CA1" w:rsidP="00884C87">
      <w:pPr>
        <w:rPr>
          <w:i/>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3"/>
        <w:gridCol w:w="2685"/>
        <w:gridCol w:w="6011"/>
      </w:tblGrid>
      <w:tr w:rsidR="00CE2543" w:rsidRPr="003F7E1D" w14:paraId="1F71F28E" w14:textId="77777777" w:rsidTr="00025127">
        <w:trPr>
          <w:trHeight w:val="336"/>
          <w:tblCellSpacing w:w="15" w:type="dxa"/>
          <w:jc w:val="center"/>
        </w:trPr>
        <w:tc>
          <w:tcPr>
            <w:tcW w:w="0" w:type="auto"/>
            <w:gridSpan w:val="3"/>
            <w:vAlign w:val="center"/>
            <w:hideMark/>
          </w:tcPr>
          <w:p w14:paraId="1F71F28D" w14:textId="77777777" w:rsidR="00CE2543" w:rsidRPr="003F7E1D" w:rsidRDefault="00CE2543" w:rsidP="007D6B54">
            <w:pPr>
              <w:jc w:val="center"/>
              <w:rPr>
                <w:b/>
                <w:bCs/>
                <w:sz w:val="28"/>
              </w:rPr>
            </w:pPr>
            <w:r w:rsidRPr="003F7E1D">
              <w:rPr>
                <w:b/>
                <w:bCs/>
                <w:sz w:val="28"/>
              </w:rPr>
              <w:t xml:space="preserve">IV. Tiesību akta projekta ietekme uz spēkā esošo tiesību normu sistēmu </w:t>
            </w:r>
          </w:p>
        </w:tc>
      </w:tr>
      <w:tr w:rsidR="00CE2543" w:rsidRPr="003F7E1D" w14:paraId="1F71F29E" w14:textId="77777777" w:rsidTr="00025BB6">
        <w:trPr>
          <w:trHeight w:val="1090"/>
          <w:tblCellSpacing w:w="15" w:type="dxa"/>
          <w:jc w:val="center"/>
        </w:trPr>
        <w:tc>
          <w:tcPr>
            <w:tcW w:w="244" w:type="pct"/>
            <w:hideMark/>
          </w:tcPr>
          <w:p w14:paraId="1F71F28F" w14:textId="77777777" w:rsidR="00CE2543" w:rsidRPr="003F7E1D" w:rsidRDefault="00CE2543" w:rsidP="005B5981">
            <w:r w:rsidRPr="003F7E1D">
              <w:t>1.</w:t>
            </w:r>
          </w:p>
        </w:tc>
        <w:tc>
          <w:tcPr>
            <w:tcW w:w="1445" w:type="pct"/>
            <w:hideMark/>
          </w:tcPr>
          <w:p w14:paraId="1F71F290" w14:textId="77777777" w:rsidR="00CE2543" w:rsidRPr="003F7E1D" w:rsidRDefault="00CE2543" w:rsidP="005B5981">
            <w:r w:rsidRPr="003F7E1D">
              <w:t xml:space="preserve">Nepieciešamie saistītie tiesību aktu projekti </w:t>
            </w:r>
          </w:p>
        </w:tc>
        <w:tc>
          <w:tcPr>
            <w:tcW w:w="3246" w:type="pct"/>
            <w:hideMark/>
          </w:tcPr>
          <w:p w14:paraId="1F71F291" w14:textId="77777777" w:rsidR="00827C7B" w:rsidRDefault="009A716F" w:rsidP="00827C7B">
            <w:pPr>
              <w:pStyle w:val="Sarakstarindkopa"/>
              <w:tabs>
                <w:tab w:val="left" w:pos="883"/>
              </w:tabs>
              <w:spacing w:before="0" w:beforeAutospacing="0" w:after="0" w:afterAutospacing="0"/>
              <w:contextualSpacing/>
              <w:jc w:val="both"/>
            </w:pPr>
            <w:r w:rsidRPr="00663C87">
              <w:t>1</w:t>
            </w:r>
            <w:r w:rsidR="0067393E" w:rsidRPr="00663C87">
              <w:t>.</w:t>
            </w:r>
            <w:r w:rsidR="00CA711C">
              <w:t xml:space="preserve"> </w:t>
            </w:r>
            <w:r w:rsidR="00827C7B">
              <w:t xml:space="preserve">Nepieciešams izdarīt grozījumu Ceļu satiksmes </w:t>
            </w:r>
            <w:r w:rsidR="00827C7B" w:rsidRPr="00A84E76">
              <w:t>likumā</w:t>
            </w:r>
            <w:r w:rsidR="00827C7B">
              <w:t xml:space="preserve">, </w:t>
            </w:r>
            <w:r w:rsidR="00827C7B">
              <w:rPr>
                <w:szCs w:val="22"/>
              </w:rPr>
              <w:t>izslēdzot šī likuma 10.</w:t>
            </w:r>
            <w:r w:rsidR="00827C7B" w:rsidRPr="008634BB">
              <w:rPr>
                <w:szCs w:val="22"/>
                <w:vertAlign w:val="superscript"/>
              </w:rPr>
              <w:t>1</w:t>
            </w:r>
            <w:r w:rsidR="00827C7B">
              <w:rPr>
                <w:szCs w:val="22"/>
              </w:rPr>
              <w:t xml:space="preserve"> pantu, kas nosaka, ka </w:t>
            </w:r>
            <w:r w:rsidR="00827C7B" w:rsidRPr="008634BB">
              <w:t>pirms transportlīdzekļu reģistrācijas V</w:t>
            </w:r>
            <w:r w:rsidR="00827C7B">
              <w:t>TUA</w:t>
            </w:r>
            <w:r w:rsidR="00827C7B" w:rsidRPr="008634BB">
              <w:t xml:space="preserve"> samaksājama transportlīdze</w:t>
            </w:r>
            <w:r w:rsidR="00827C7B">
              <w:t xml:space="preserve">kļu reģistrācijas valsts nodeva. Likumprojektu „Grozījumi Ceļu satiksmes </w:t>
            </w:r>
            <w:r w:rsidR="00827C7B" w:rsidRPr="00A84E76">
              <w:t>likumā</w:t>
            </w:r>
            <w:r w:rsidR="00827C7B">
              <w:t>”</w:t>
            </w:r>
            <w:r w:rsidR="00827C7B" w:rsidRPr="00A84E76">
              <w:t xml:space="preserve"> (</w:t>
            </w:r>
            <w:r w:rsidR="00827C7B">
              <w:rPr>
                <w:szCs w:val="22"/>
              </w:rPr>
              <w:t>Nr.</w:t>
            </w:r>
            <w:r w:rsidR="00827C7B" w:rsidRPr="00A84E76">
              <w:rPr>
                <w:szCs w:val="22"/>
              </w:rPr>
              <w:t>975/Lp11)</w:t>
            </w:r>
            <w:r w:rsidR="00827C7B">
              <w:rPr>
                <w:szCs w:val="22"/>
              </w:rPr>
              <w:t xml:space="preserve"> </w:t>
            </w:r>
            <w:r w:rsidR="00827C7B">
              <w:t xml:space="preserve">2014.gada 6.martā </w:t>
            </w:r>
            <w:r w:rsidR="000830E8">
              <w:t>Saeima pieņēma otrajā lasījumā</w:t>
            </w:r>
            <w:r w:rsidR="00264F8E">
              <w:t>,</w:t>
            </w:r>
            <w:r w:rsidR="000830E8">
              <w:t xml:space="preserve"> un tas paredz, ka grozījums Ceļu satiksmes </w:t>
            </w:r>
            <w:r w:rsidR="000830E8" w:rsidRPr="00A84E76">
              <w:t>likumā</w:t>
            </w:r>
            <w:r w:rsidR="000830E8">
              <w:t xml:space="preserve"> par </w:t>
            </w:r>
            <w:r w:rsidR="000830E8">
              <w:rPr>
                <w:szCs w:val="22"/>
              </w:rPr>
              <w:t>10.</w:t>
            </w:r>
            <w:r w:rsidR="000830E8" w:rsidRPr="008634BB">
              <w:rPr>
                <w:szCs w:val="22"/>
                <w:vertAlign w:val="superscript"/>
              </w:rPr>
              <w:t>1</w:t>
            </w:r>
            <w:r w:rsidR="000830E8">
              <w:rPr>
                <w:szCs w:val="22"/>
              </w:rPr>
              <w:t xml:space="preserve"> panta izslēgšanu stāsies spēkā 2015.gada 1.janvārī.</w:t>
            </w:r>
          </w:p>
          <w:p w14:paraId="1F71F292" w14:textId="77777777" w:rsidR="0067393E" w:rsidRPr="00663C87" w:rsidRDefault="0067393E" w:rsidP="00827C7B">
            <w:pPr>
              <w:pStyle w:val="Sarakstarindkopa"/>
              <w:tabs>
                <w:tab w:val="left" w:pos="883"/>
              </w:tabs>
              <w:spacing w:before="0" w:beforeAutospacing="0" w:after="0" w:afterAutospacing="0"/>
              <w:contextualSpacing/>
              <w:jc w:val="both"/>
            </w:pPr>
            <w:r w:rsidRPr="00663C87">
              <w:rPr>
                <w:iCs/>
              </w:rPr>
              <w:t xml:space="preserve">2. </w:t>
            </w:r>
            <w:r w:rsidR="00296DA4">
              <w:rPr>
                <w:iCs/>
              </w:rPr>
              <w:t xml:space="preserve">Nepieciešams sagatavot </w:t>
            </w:r>
            <w:r w:rsidR="00841DA0">
              <w:t>š</w:t>
            </w:r>
            <w:r w:rsidR="00296DA4">
              <w:t>ādus</w:t>
            </w:r>
            <w:r w:rsidR="00CE2543" w:rsidRPr="00663C87">
              <w:t xml:space="preserve"> noteikumu projekt</w:t>
            </w:r>
            <w:r w:rsidR="00296DA4">
              <w:t>us</w:t>
            </w:r>
            <w:r w:rsidRPr="00663C87">
              <w:t>:</w:t>
            </w:r>
          </w:p>
          <w:p w14:paraId="1F71F293" w14:textId="77777777" w:rsidR="0067393E" w:rsidRPr="00663C87" w:rsidRDefault="00841DA0" w:rsidP="005B5981">
            <w:pPr>
              <w:tabs>
                <w:tab w:val="left" w:pos="883"/>
              </w:tabs>
              <w:jc w:val="both"/>
            </w:pPr>
            <w:r>
              <w:t>2</w:t>
            </w:r>
            <w:r w:rsidR="0067393E" w:rsidRPr="00663C87">
              <w:t>.1. „Grozījumi Ministru kabineta 2013.gada 3.septembra noteikumos Nr.753 „Valsts tehniskās uzraudzības aģentūras maksas pakalpojumu</w:t>
            </w:r>
            <w:r w:rsidR="00264F8E">
              <w:t xml:space="preserve"> cenrādis””, tajoa</w:t>
            </w:r>
            <w:r w:rsidR="00763CD0">
              <w:t xml:space="preserve"> paredzot jauna</w:t>
            </w:r>
            <w:r w:rsidR="0067393E" w:rsidRPr="00663C87">
              <w:t xml:space="preserve"> VTUA</w:t>
            </w:r>
            <w:r w:rsidR="00296DA4">
              <w:t xml:space="preserve"> maksas pakalpojuma ieviešanu – </w:t>
            </w:r>
            <w:r w:rsidR="0067393E" w:rsidRPr="00663C87">
              <w:t>traktortehnikas vai tās piekabes reģistrācij</w:t>
            </w:r>
            <w:r w:rsidR="00296DA4">
              <w:t>a</w:t>
            </w:r>
            <w:r w:rsidR="0067393E" w:rsidRPr="00663C87">
              <w:t>;</w:t>
            </w:r>
          </w:p>
          <w:p w14:paraId="1F71F294" w14:textId="77777777" w:rsidR="00CE2543" w:rsidRPr="00663C87" w:rsidRDefault="00841DA0" w:rsidP="005B5981">
            <w:pPr>
              <w:pStyle w:val="naiskr"/>
              <w:tabs>
                <w:tab w:val="left" w:pos="2628"/>
              </w:tabs>
              <w:spacing w:before="0" w:after="0"/>
              <w:jc w:val="both"/>
            </w:pPr>
            <w:r>
              <w:t>2</w:t>
            </w:r>
            <w:r w:rsidR="0067393E" w:rsidRPr="00663C87">
              <w:t>.2.</w:t>
            </w:r>
            <w:r w:rsidR="00CE2543" w:rsidRPr="00663C87">
              <w:t xml:space="preserve"> „Grozījumi Ministru kabineta 2013.gada </w:t>
            </w:r>
            <w:r w:rsidR="00DC6080">
              <w:t>17</w:t>
            </w:r>
            <w:r w:rsidR="00CE2543" w:rsidRPr="00663C87">
              <w:t>.</w:t>
            </w:r>
            <w:r w:rsidR="00DC6080">
              <w:t>septembra</w:t>
            </w:r>
            <w:r w:rsidR="00CE2543" w:rsidRPr="00663C87">
              <w:t xml:space="preserve"> noteikumos Nr.</w:t>
            </w:r>
            <w:r w:rsidR="00DC6080">
              <w:t>880</w:t>
            </w:r>
            <w:r w:rsidR="00CE2543" w:rsidRPr="00663C87">
              <w:t xml:space="preserve"> „Lauksaimniecības datu centra publisko maks</w:t>
            </w:r>
            <w:r w:rsidR="0067393E" w:rsidRPr="00663C87">
              <w:t>as pakalpojumu cenrādis””</w:t>
            </w:r>
            <w:r w:rsidR="006A44EB">
              <w:t>,</w:t>
            </w:r>
            <w:r w:rsidR="0067393E" w:rsidRPr="00663C87">
              <w:t xml:space="preserve"> kuros</w:t>
            </w:r>
            <w:r w:rsidR="00CE2543" w:rsidRPr="00663C87">
              <w:t xml:space="preserve"> tiks noteikti maksas pakalpojumi par </w:t>
            </w:r>
            <w:r w:rsidR="006A44EB">
              <w:t>šādām</w:t>
            </w:r>
            <w:r w:rsidR="00CE2543" w:rsidRPr="00663C87">
              <w:t xml:space="preserve"> LDC veiktajām darbībām:</w:t>
            </w:r>
          </w:p>
          <w:p w14:paraId="1F71F295" w14:textId="77777777" w:rsidR="00CE2543" w:rsidRPr="00663C87" w:rsidRDefault="009A716F" w:rsidP="005B5981">
            <w:pPr>
              <w:pStyle w:val="Paraststmeklis"/>
              <w:spacing w:before="0" w:beforeAutospacing="0" w:after="0" w:afterAutospacing="0"/>
              <w:jc w:val="both"/>
            </w:pPr>
            <w:r w:rsidRPr="00663C87">
              <w:t>2.</w:t>
            </w:r>
            <w:r w:rsidR="006A44EB">
              <w:t>2.1.</w:t>
            </w:r>
            <w:r w:rsidRPr="00663C87">
              <w:t xml:space="preserve"> </w:t>
            </w:r>
            <w:r w:rsidR="006A44EB">
              <w:t>s</w:t>
            </w:r>
            <w:r w:rsidR="00CE2543" w:rsidRPr="00663C87">
              <w:t>ertifikātu izsniegšan</w:t>
            </w:r>
            <w:r w:rsidR="00264F8E">
              <w:t>u</w:t>
            </w:r>
            <w:r w:rsidR="00CE2543" w:rsidRPr="00663C87">
              <w:t xml:space="preserve"> fiziskām personām, kas veic lauksaimniecības dzīvnieku vērtēšanu, pārraudzību, mākslīgo apsēklošanu, olšūnu un embriju transplantāciju;</w:t>
            </w:r>
          </w:p>
          <w:p w14:paraId="1F71F296" w14:textId="77777777" w:rsidR="00CE2543" w:rsidRPr="00663C87" w:rsidRDefault="006A44EB" w:rsidP="005B5981">
            <w:pPr>
              <w:pStyle w:val="Paraststmeklis"/>
              <w:spacing w:before="0" w:beforeAutospacing="0" w:after="0" w:afterAutospacing="0"/>
              <w:jc w:val="both"/>
            </w:pPr>
            <w:r>
              <w:t xml:space="preserve">2.2.2. </w:t>
            </w:r>
            <w:r w:rsidR="00CE2543" w:rsidRPr="00663C87">
              <w:t>gan</w:t>
            </w:r>
            <w:r>
              <w:t xml:space="preserve">āmpulku un novietņu </w:t>
            </w:r>
            <w:r w:rsidR="00264F8E">
              <w:t>reģistrēšanu</w:t>
            </w:r>
            <w:r w:rsidR="00CE2543" w:rsidRPr="00663C87">
              <w:t>;</w:t>
            </w:r>
          </w:p>
          <w:p w14:paraId="1F71F297" w14:textId="77777777" w:rsidR="00CE2543" w:rsidRDefault="006A44EB" w:rsidP="005B5981">
            <w:pPr>
              <w:pStyle w:val="Paraststmeklis"/>
              <w:spacing w:before="0" w:beforeAutospacing="0" w:after="0" w:afterAutospacing="0"/>
              <w:jc w:val="both"/>
            </w:pPr>
            <w:r>
              <w:t>2</w:t>
            </w:r>
            <w:r w:rsidR="009A716F" w:rsidRPr="00663C87">
              <w:t xml:space="preserve">.2.3. </w:t>
            </w:r>
            <w:r>
              <w:t>z</w:t>
            </w:r>
            <w:r w:rsidR="00CE2543" w:rsidRPr="00663C87">
              <w:t>irga pases izsniegšan</w:t>
            </w:r>
            <w:r w:rsidR="00264F8E">
              <w:t>u</w:t>
            </w:r>
            <w:r w:rsidR="00CE2543" w:rsidRPr="00663C87">
              <w:t>.</w:t>
            </w:r>
          </w:p>
          <w:p w14:paraId="1F71F298" w14:textId="77777777" w:rsidR="003138A2" w:rsidRPr="003138A2" w:rsidRDefault="003138A2" w:rsidP="005B5981">
            <w:pPr>
              <w:pStyle w:val="Paraststmeklis"/>
              <w:spacing w:before="0" w:beforeAutospacing="0" w:after="0" w:afterAutospacing="0"/>
              <w:jc w:val="both"/>
              <w:rPr>
                <w:iCs/>
              </w:rPr>
            </w:pPr>
            <w:r>
              <w:rPr>
                <w:iCs/>
              </w:rPr>
              <w:t>Minētos noteikumu projektus plānots</w:t>
            </w:r>
            <w:r w:rsidRPr="00663C87">
              <w:t xml:space="preserve"> iesnie</w:t>
            </w:r>
            <w:r>
              <w:t>gt</w:t>
            </w:r>
            <w:r w:rsidRPr="00663C87">
              <w:t xml:space="preserve"> Ministru kabinetā</w:t>
            </w:r>
            <w:r>
              <w:rPr>
                <w:iCs/>
              </w:rPr>
              <w:t xml:space="preserve"> l</w:t>
            </w:r>
            <w:r w:rsidRPr="00663C87">
              <w:t>īdz 2014.gada 1.</w:t>
            </w:r>
            <w:r w:rsidR="00383391">
              <w:t>decembrim, paredzot, ka tie stāsies spēkā 2015.gada 1.janvārī.</w:t>
            </w:r>
            <w:r w:rsidRPr="00663C87">
              <w:t xml:space="preserve"> </w:t>
            </w:r>
          </w:p>
          <w:p w14:paraId="1F71F299" w14:textId="77777777" w:rsidR="00CE2543" w:rsidRPr="00663C87" w:rsidRDefault="00352092" w:rsidP="005B5981">
            <w:pPr>
              <w:pStyle w:val="naiskr"/>
              <w:tabs>
                <w:tab w:val="left" w:pos="2628"/>
              </w:tabs>
              <w:spacing w:before="0" w:after="0"/>
              <w:jc w:val="both"/>
            </w:pPr>
            <w:r>
              <w:t>3</w:t>
            </w:r>
            <w:r w:rsidR="009A716F" w:rsidRPr="00663C87">
              <w:t>. A</w:t>
            </w:r>
            <w:r w:rsidR="00CE2543" w:rsidRPr="00663C87">
              <w:t xml:space="preserve">r 2015.gada 1.janvāri spēku </w:t>
            </w:r>
            <w:r w:rsidR="00CE2543" w:rsidRPr="00663C87">
              <w:rPr>
                <w:iCs/>
              </w:rPr>
              <w:t>zaudēs:</w:t>
            </w:r>
          </w:p>
          <w:p w14:paraId="1F71F29A" w14:textId="77777777" w:rsidR="00CE2543" w:rsidRPr="00663C87" w:rsidRDefault="00352092" w:rsidP="005B5981">
            <w:pPr>
              <w:pStyle w:val="naisf"/>
              <w:tabs>
                <w:tab w:val="left" w:pos="431"/>
              </w:tabs>
              <w:spacing w:before="0" w:after="0"/>
              <w:ind w:firstLine="0"/>
              <w:rPr>
                <w:bCs/>
              </w:rPr>
            </w:pPr>
            <w:r>
              <w:t>3</w:t>
            </w:r>
            <w:r w:rsidR="009A716F" w:rsidRPr="00663C87">
              <w:t xml:space="preserve">.1. </w:t>
            </w:r>
            <w:r w:rsidR="00CE2543" w:rsidRPr="00663C87">
              <w:rPr>
                <w:bCs/>
              </w:rPr>
              <w:t xml:space="preserve">Ministru kabineta </w:t>
            </w:r>
            <w:r w:rsidR="009A716F" w:rsidRPr="00663C87">
              <w:t xml:space="preserve">2011.gada 16.augusta </w:t>
            </w:r>
            <w:r w:rsidR="00CE2543" w:rsidRPr="00663C87">
              <w:rPr>
                <w:bCs/>
              </w:rPr>
              <w:t>noteikumi Nr.648</w:t>
            </w:r>
            <w:r w:rsidR="009A716F" w:rsidRPr="00663C87">
              <w:rPr>
                <w:bCs/>
              </w:rPr>
              <w:t xml:space="preserve"> </w:t>
            </w:r>
            <w:r w:rsidR="00CE2543" w:rsidRPr="00663C87">
              <w:rPr>
                <w:bCs/>
              </w:rPr>
              <w:t>„Noteikumi par valsts nodevu par ganāmpulku un novietņu reģistrēšanu un zirga pases izsniegšanu”</w:t>
            </w:r>
            <w:r>
              <w:rPr>
                <w:bCs/>
              </w:rPr>
              <w:t>;</w:t>
            </w:r>
          </w:p>
          <w:p w14:paraId="1F71F29B" w14:textId="77777777" w:rsidR="00492EC2" w:rsidRPr="00663C87" w:rsidRDefault="00352092" w:rsidP="005B5981">
            <w:pPr>
              <w:pStyle w:val="naisf"/>
              <w:tabs>
                <w:tab w:val="left" w:pos="431"/>
              </w:tabs>
              <w:spacing w:before="0" w:after="0"/>
              <w:ind w:firstLine="0"/>
              <w:rPr>
                <w:bCs/>
              </w:rPr>
            </w:pPr>
            <w:r>
              <w:t>3</w:t>
            </w:r>
            <w:r w:rsidR="009A716F" w:rsidRPr="00663C87">
              <w:t xml:space="preserve">.2. </w:t>
            </w:r>
            <w:r w:rsidR="00CE2543" w:rsidRPr="00663C87">
              <w:rPr>
                <w:bCs/>
              </w:rPr>
              <w:t xml:space="preserve">Ministru kabineta </w:t>
            </w:r>
            <w:r w:rsidR="009A716F" w:rsidRPr="00663C87">
              <w:t>2011.gada 5.jūlija</w:t>
            </w:r>
            <w:r w:rsidR="009A716F" w:rsidRPr="00663C87">
              <w:rPr>
                <w:bCs/>
              </w:rPr>
              <w:t xml:space="preserve"> </w:t>
            </w:r>
            <w:r w:rsidR="00CE2543" w:rsidRPr="00663C87">
              <w:rPr>
                <w:bCs/>
              </w:rPr>
              <w:t>noteikumi Nr.546 „Noteikumi par lauksaimniecības dzīvnieku vērtēšanas, pārraudzības, mākslīgās apsēklošanas, olšūnu un embriju transplantācijas sertifi</w:t>
            </w:r>
            <w:r>
              <w:rPr>
                <w:bCs/>
              </w:rPr>
              <w:t>kāta izsniegšanas valsts nodevu</w:t>
            </w:r>
            <w:r w:rsidR="00CE2543" w:rsidRPr="00663C87">
              <w:rPr>
                <w:bCs/>
              </w:rPr>
              <w:t>”</w:t>
            </w:r>
            <w:r>
              <w:rPr>
                <w:bCs/>
              </w:rPr>
              <w:t>;</w:t>
            </w:r>
          </w:p>
          <w:p w14:paraId="1F71F29C" w14:textId="77777777" w:rsidR="009A716F" w:rsidRDefault="00352092" w:rsidP="005B5981">
            <w:pPr>
              <w:pStyle w:val="naisf"/>
              <w:tabs>
                <w:tab w:val="left" w:pos="431"/>
              </w:tabs>
              <w:spacing w:before="0" w:after="0"/>
              <w:ind w:firstLine="0"/>
              <w:rPr>
                <w:bCs/>
              </w:rPr>
            </w:pPr>
            <w:r>
              <w:rPr>
                <w:bCs/>
              </w:rPr>
              <w:t>3</w:t>
            </w:r>
            <w:r w:rsidR="009A716F" w:rsidRPr="00663C87">
              <w:rPr>
                <w:bCs/>
              </w:rPr>
              <w:t>.3. Ministru kabineta 2011.gada 30.augusta noteikumi Nr.669 „Noteikumi par traktortehnikas un tās piekabju reģistrācijas valsts nodevu”</w:t>
            </w:r>
            <w:r w:rsidR="00D1026F">
              <w:rPr>
                <w:bCs/>
              </w:rPr>
              <w:t>;</w:t>
            </w:r>
          </w:p>
          <w:p w14:paraId="1F71F29D" w14:textId="77777777" w:rsidR="00D1026F" w:rsidRPr="003F7E1D" w:rsidRDefault="00D1026F" w:rsidP="00D1026F">
            <w:pPr>
              <w:pStyle w:val="naisf"/>
              <w:tabs>
                <w:tab w:val="left" w:pos="431"/>
              </w:tabs>
              <w:spacing w:before="0" w:after="0"/>
              <w:ind w:firstLine="0"/>
            </w:pPr>
            <w:r>
              <w:rPr>
                <w:bCs/>
              </w:rPr>
              <w:t xml:space="preserve">3.4. Ministru kabineta </w:t>
            </w:r>
            <w:r w:rsidRPr="00D1026F">
              <w:rPr>
                <w:bCs/>
              </w:rPr>
              <w:t xml:space="preserve">2010.gada 16.marta noteikumi Nr.252 </w:t>
            </w:r>
            <w:r>
              <w:rPr>
                <w:bCs/>
              </w:rPr>
              <w:t>„</w:t>
            </w:r>
            <w:r w:rsidRPr="00D1026F">
              <w:rPr>
                <w:bCs/>
              </w:rPr>
              <w:t>Noteikumi par valsts nodevu par nacionālās pārtikas kvalitātes shēmas kontroles institūcijas apstiprināšanas apliecības izsniegšanu</w:t>
            </w:r>
            <w:r>
              <w:rPr>
                <w:bCs/>
              </w:rPr>
              <w:t>”.</w:t>
            </w:r>
          </w:p>
        </w:tc>
      </w:tr>
      <w:tr w:rsidR="00CE2543" w:rsidRPr="003F7E1D" w14:paraId="1F71F2A2" w14:textId="77777777" w:rsidTr="00CD0C35">
        <w:trPr>
          <w:trHeight w:val="264"/>
          <w:tblCellSpacing w:w="15" w:type="dxa"/>
          <w:jc w:val="center"/>
        </w:trPr>
        <w:tc>
          <w:tcPr>
            <w:tcW w:w="244" w:type="pct"/>
            <w:hideMark/>
          </w:tcPr>
          <w:p w14:paraId="1F71F29F" w14:textId="77777777" w:rsidR="00CE2543" w:rsidRPr="003F7E1D" w:rsidRDefault="00CE2543" w:rsidP="005B5981">
            <w:r w:rsidRPr="003F7E1D">
              <w:t>2.</w:t>
            </w:r>
          </w:p>
        </w:tc>
        <w:tc>
          <w:tcPr>
            <w:tcW w:w="1445" w:type="pct"/>
            <w:hideMark/>
          </w:tcPr>
          <w:p w14:paraId="1F71F2A0" w14:textId="77777777" w:rsidR="00CE2543" w:rsidRPr="003F7E1D" w:rsidRDefault="00CE2543" w:rsidP="005B5981">
            <w:r w:rsidRPr="003F7E1D">
              <w:t>Atbildīgā institūcija</w:t>
            </w:r>
          </w:p>
        </w:tc>
        <w:tc>
          <w:tcPr>
            <w:tcW w:w="3246" w:type="pct"/>
            <w:hideMark/>
          </w:tcPr>
          <w:p w14:paraId="1F71F2A1" w14:textId="77777777" w:rsidR="00CE2543" w:rsidRPr="003F7E1D" w:rsidRDefault="00CE2543" w:rsidP="005B5981">
            <w:r w:rsidRPr="003F7E1D">
              <w:t>Zemkopības ministrija</w:t>
            </w:r>
          </w:p>
        </w:tc>
      </w:tr>
      <w:tr w:rsidR="00CE2543" w:rsidRPr="003F7E1D" w14:paraId="1F71F2A6" w14:textId="77777777" w:rsidTr="00CD0C35">
        <w:trPr>
          <w:trHeight w:val="145"/>
          <w:tblCellSpacing w:w="15" w:type="dxa"/>
          <w:jc w:val="center"/>
        </w:trPr>
        <w:tc>
          <w:tcPr>
            <w:tcW w:w="244" w:type="pct"/>
            <w:hideMark/>
          </w:tcPr>
          <w:p w14:paraId="1F71F2A3" w14:textId="77777777" w:rsidR="00CE2543" w:rsidRPr="003F7E1D" w:rsidRDefault="00CE2543" w:rsidP="005B5981">
            <w:r w:rsidRPr="003F7E1D">
              <w:t>4.</w:t>
            </w:r>
          </w:p>
        </w:tc>
        <w:tc>
          <w:tcPr>
            <w:tcW w:w="1445" w:type="pct"/>
            <w:hideMark/>
          </w:tcPr>
          <w:p w14:paraId="1F71F2A4" w14:textId="77777777" w:rsidR="00CE2543" w:rsidRPr="003F7E1D" w:rsidRDefault="00CE2543" w:rsidP="005B5981">
            <w:r w:rsidRPr="003F7E1D">
              <w:t>Cita informācija</w:t>
            </w:r>
          </w:p>
        </w:tc>
        <w:tc>
          <w:tcPr>
            <w:tcW w:w="3246" w:type="pct"/>
            <w:hideMark/>
          </w:tcPr>
          <w:p w14:paraId="1F71F2A5" w14:textId="77777777" w:rsidR="00CE2543" w:rsidRPr="003F7E1D" w:rsidRDefault="00CE2543" w:rsidP="005B5981">
            <w:r w:rsidRPr="003F7E1D">
              <w:t>Nav</w:t>
            </w:r>
          </w:p>
        </w:tc>
      </w:tr>
    </w:tbl>
    <w:p w14:paraId="1F71F2A7" w14:textId="77777777" w:rsidR="00CE2543" w:rsidRPr="003F7E1D" w:rsidRDefault="00CE2543" w:rsidP="005B5981">
      <w:pPr>
        <w:ind w:firstLine="301"/>
        <w:rPr>
          <w:i/>
        </w:rPr>
      </w:pPr>
    </w:p>
    <w:p w14:paraId="1F71F2A8" w14:textId="77777777" w:rsidR="004B4410" w:rsidRPr="004B4410" w:rsidRDefault="004B4410" w:rsidP="005B5981"/>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9189"/>
      </w:tblGrid>
      <w:tr w:rsidR="004B4410" w:rsidRPr="004B4410" w14:paraId="1F71F2AA" w14:textId="77777777" w:rsidTr="004B4410">
        <w:trPr>
          <w:trHeight w:val="264"/>
          <w:tblCellSpacing w:w="15" w:type="dxa"/>
          <w:jc w:val="center"/>
        </w:trPr>
        <w:tc>
          <w:tcPr>
            <w:tcW w:w="4967" w:type="pct"/>
            <w:hideMark/>
          </w:tcPr>
          <w:p w14:paraId="1F71F2A9" w14:textId="77777777" w:rsidR="004B4410" w:rsidRPr="004B4410" w:rsidRDefault="004B4410" w:rsidP="004B4410">
            <w:pPr>
              <w:jc w:val="center"/>
              <w:rPr>
                <w:b/>
              </w:rPr>
            </w:pPr>
            <w:r w:rsidRPr="004B4410">
              <w:rPr>
                <w:b/>
              </w:rPr>
              <w:t>V. Tiesību aktu projekta atbilstība Latvijas Republikas starptautiskajām saistībām</w:t>
            </w:r>
          </w:p>
        </w:tc>
      </w:tr>
      <w:tr w:rsidR="004B4410" w:rsidRPr="004B4410" w14:paraId="1F71F2AC" w14:textId="77777777" w:rsidTr="004B4410">
        <w:trPr>
          <w:trHeight w:val="145"/>
          <w:tblCellSpacing w:w="15" w:type="dxa"/>
          <w:jc w:val="center"/>
        </w:trPr>
        <w:tc>
          <w:tcPr>
            <w:tcW w:w="4967" w:type="pct"/>
            <w:hideMark/>
          </w:tcPr>
          <w:p w14:paraId="1F71F2AB" w14:textId="77777777" w:rsidR="004B4410" w:rsidRPr="004B4410" w:rsidRDefault="004B4410" w:rsidP="004B4410">
            <w:pPr>
              <w:jc w:val="center"/>
              <w:rPr>
                <w:i/>
              </w:rPr>
            </w:pPr>
            <w:r w:rsidRPr="004B4410">
              <w:rPr>
                <w:i/>
              </w:rPr>
              <w:t>Projekts šo jomu neskar</w:t>
            </w:r>
            <w:r w:rsidR="00FF4556">
              <w:rPr>
                <w:i/>
              </w:rPr>
              <w:t>.</w:t>
            </w:r>
          </w:p>
        </w:tc>
      </w:tr>
    </w:tbl>
    <w:p w14:paraId="1F71F2AD" w14:textId="77777777" w:rsidR="004B4410" w:rsidRPr="004B4410" w:rsidRDefault="004B4410" w:rsidP="005B5981"/>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9189"/>
      </w:tblGrid>
      <w:tr w:rsidR="004B4410" w:rsidRPr="004B4410" w14:paraId="1F71F2AF" w14:textId="77777777" w:rsidTr="00BA6910">
        <w:trPr>
          <w:trHeight w:val="264"/>
          <w:tblCellSpacing w:w="15" w:type="dxa"/>
          <w:jc w:val="center"/>
        </w:trPr>
        <w:tc>
          <w:tcPr>
            <w:tcW w:w="4967" w:type="pct"/>
            <w:hideMark/>
          </w:tcPr>
          <w:p w14:paraId="1F71F2AE" w14:textId="77777777" w:rsidR="004B4410" w:rsidRPr="004B4410" w:rsidRDefault="004B4410" w:rsidP="004B4410">
            <w:pPr>
              <w:jc w:val="center"/>
              <w:rPr>
                <w:b/>
              </w:rPr>
            </w:pPr>
            <w:r w:rsidRPr="004B4410">
              <w:rPr>
                <w:b/>
              </w:rPr>
              <w:t>V</w:t>
            </w:r>
            <w:r>
              <w:rPr>
                <w:b/>
              </w:rPr>
              <w:t>I</w:t>
            </w:r>
            <w:r w:rsidRPr="004B4410">
              <w:rPr>
                <w:b/>
              </w:rPr>
              <w:t xml:space="preserve">. </w:t>
            </w:r>
            <w:r>
              <w:rPr>
                <w:b/>
              </w:rPr>
              <w:t>Sabiedrības līdzdalība un komunikācijas aktivitātes</w:t>
            </w:r>
          </w:p>
        </w:tc>
      </w:tr>
      <w:tr w:rsidR="004B4410" w:rsidRPr="004B4410" w14:paraId="1F71F2B1" w14:textId="77777777" w:rsidTr="00BA6910">
        <w:trPr>
          <w:trHeight w:val="145"/>
          <w:tblCellSpacing w:w="15" w:type="dxa"/>
          <w:jc w:val="center"/>
        </w:trPr>
        <w:tc>
          <w:tcPr>
            <w:tcW w:w="4967" w:type="pct"/>
            <w:hideMark/>
          </w:tcPr>
          <w:p w14:paraId="1F71F2B0" w14:textId="77777777" w:rsidR="004B4410" w:rsidRPr="004B4410" w:rsidRDefault="004B4410" w:rsidP="00BA6910">
            <w:pPr>
              <w:jc w:val="center"/>
              <w:rPr>
                <w:i/>
              </w:rPr>
            </w:pPr>
            <w:r w:rsidRPr="004B4410">
              <w:rPr>
                <w:i/>
              </w:rPr>
              <w:t>Projekts šo jomu neskar</w:t>
            </w:r>
            <w:r w:rsidR="00FF4556">
              <w:rPr>
                <w:i/>
              </w:rPr>
              <w:t>.</w:t>
            </w:r>
          </w:p>
        </w:tc>
      </w:tr>
    </w:tbl>
    <w:p w14:paraId="1F71F2B2" w14:textId="77777777" w:rsidR="004B4410" w:rsidRPr="004B4410" w:rsidRDefault="004B4410" w:rsidP="005B5981"/>
    <w:p w14:paraId="1F71F2B3" w14:textId="77777777" w:rsidR="0034630B" w:rsidRPr="003F7E1D" w:rsidRDefault="0034630B" w:rsidP="005B5981">
      <w:pPr>
        <w:ind w:firstLine="301"/>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8"/>
        <w:gridCol w:w="2680"/>
        <w:gridCol w:w="6011"/>
      </w:tblGrid>
      <w:tr w:rsidR="00B80673" w:rsidRPr="003F7E1D" w14:paraId="1F71F2B5" w14:textId="77777777" w:rsidTr="00025127">
        <w:trPr>
          <w:trHeight w:val="300"/>
          <w:tblCellSpacing w:w="15" w:type="dxa"/>
          <w:jc w:val="center"/>
        </w:trPr>
        <w:tc>
          <w:tcPr>
            <w:tcW w:w="0" w:type="auto"/>
            <w:gridSpan w:val="3"/>
            <w:vAlign w:val="center"/>
            <w:hideMark/>
          </w:tcPr>
          <w:p w14:paraId="1F71F2B4" w14:textId="77777777" w:rsidR="00EB09A4" w:rsidRPr="003F7E1D" w:rsidRDefault="00EB09A4" w:rsidP="002D0946">
            <w:pPr>
              <w:jc w:val="center"/>
              <w:rPr>
                <w:b/>
                <w:bCs/>
              </w:rPr>
            </w:pPr>
            <w:r w:rsidRPr="003F7E1D">
              <w:rPr>
                <w:b/>
                <w:bCs/>
                <w:sz w:val="28"/>
              </w:rPr>
              <w:t>VII. Tiesību akta projekta izpildes nodrošināšana un tās ietekme uz institūcijām</w:t>
            </w:r>
          </w:p>
        </w:tc>
      </w:tr>
      <w:tr w:rsidR="00B80673" w:rsidRPr="003F7E1D" w14:paraId="1F71F2B9" w14:textId="77777777" w:rsidTr="00CD0C35">
        <w:trPr>
          <w:trHeight w:val="336"/>
          <w:tblCellSpacing w:w="15" w:type="dxa"/>
          <w:jc w:val="center"/>
        </w:trPr>
        <w:tc>
          <w:tcPr>
            <w:tcW w:w="246" w:type="pct"/>
            <w:hideMark/>
          </w:tcPr>
          <w:p w14:paraId="1F71F2B6" w14:textId="77777777" w:rsidR="00EB09A4" w:rsidRPr="003F7E1D" w:rsidRDefault="00EB09A4" w:rsidP="005B5981">
            <w:r w:rsidRPr="003F7E1D">
              <w:t>1.</w:t>
            </w:r>
          </w:p>
        </w:tc>
        <w:tc>
          <w:tcPr>
            <w:tcW w:w="1442" w:type="pct"/>
            <w:hideMark/>
          </w:tcPr>
          <w:p w14:paraId="1F71F2B7" w14:textId="77777777" w:rsidR="00EB09A4" w:rsidRPr="003F7E1D" w:rsidRDefault="00EB09A4" w:rsidP="00DA06F0">
            <w:pPr>
              <w:jc w:val="both"/>
            </w:pPr>
            <w:r w:rsidRPr="003F7E1D">
              <w:t>Projekta izpildē iesaistītās institūcijas</w:t>
            </w:r>
          </w:p>
        </w:tc>
        <w:tc>
          <w:tcPr>
            <w:tcW w:w="3246" w:type="pct"/>
            <w:hideMark/>
          </w:tcPr>
          <w:p w14:paraId="1F71F2B8" w14:textId="77777777" w:rsidR="00EB09A4" w:rsidRPr="003F7E1D" w:rsidRDefault="009A716F" w:rsidP="00A00167">
            <w:pPr>
              <w:jc w:val="both"/>
            </w:pPr>
            <w:r w:rsidRPr="00A00167">
              <w:t xml:space="preserve">Valsts tehniskās uzraudzības aģentūra </w:t>
            </w:r>
            <w:r w:rsidR="008A2C88" w:rsidRPr="00A00167">
              <w:t>un Lauk</w:t>
            </w:r>
            <w:r w:rsidR="00492EC2" w:rsidRPr="00A00167">
              <w:t>saimniecības datu centrs</w:t>
            </w:r>
          </w:p>
        </w:tc>
      </w:tr>
      <w:tr w:rsidR="00492EC2" w:rsidRPr="003F7E1D" w14:paraId="1F71F2BD" w14:textId="77777777" w:rsidTr="00CD0C35">
        <w:trPr>
          <w:trHeight w:val="360"/>
          <w:tblCellSpacing w:w="15" w:type="dxa"/>
          <w:jc w:val="center"/>
        </w:trPr>
        <w:tc>
          <w:tcPr>
            <w:tcW w:w="246" w:type="pct"/>
            <w:hideMark/>
          </w:tcPr>
          <w:p w14:paraId="1F71F2BA" w14:textId="77777777" w:rsidR="00492EC2" w:rsidRPr="003F7E1D" w:rsidRDefault="00492EC2" w:rsidP="005B5981">
            <w:r w:rsidRPr="003F7E1D">
              <w:t>2.</w:t>
            </w:r>
          </w:p>
        </w:tc>
        <w:tc>
          <w:tcPr>
            <w:tcW w:w="1442" w:type="pct"/>
            <w:hideMark/>
          </w:tcPr>
          <w:p w14:paraId="1F71F2BB" w14:textId="77777777" w:rsidR="00492EC2" w:rsidRPr="003F7E1D" w:rsidRDefault="00492EC2" w:rsidP="00DA06F0">
            <w:pPr>
              <w:jc w:val="both"/>
            </w:pPr>
            <w:r w:rsidRPr="003F7E1D">
              <w:t>Projekta izpildes ietekme uz pārvaldes funkcijām un institucionālo struktūru. Jaunu institūciju izveide, esošu institūciju likvidācija vai reorganizācija, to ietekme uz institūcijas cilvēkresursiem</w:t>
            </w:r>
          </w:p>
        </w:tc>
        <w:tc>
          <w:tcPr>
            <w:tcW w:w="3246" w:type="pct"/>
            <w:hideMark/>
          </w:tcPr>
          <w:p w14:paraId="1F71F2BC" w14:textId="77777777" w:rsidR="00492EC2" w:rsidRPr="003F7E1D" w:rsidRDefault="00492EC2" w:rsidP="005B5981">
            <w:pPr>
              <w:jc w:val="both"/>
            </w:pPr>
            <w:r w:rsidRPr="003F7E1D">
              <w:t>Projekts šo jomu neskar.</w:t>
            </w:r>
          </w:p>
        </w:tc>
      </w:tr>
      <w:tr w:rsidR="00492EC2" w:rsidRPr="003F7E1D" w14:paraId="1F71F2C1" w14:textId="77777777" w:rsidTr="00CD0C35">
        <w:trPr>
          <w:trHeight w:val="312"/>
          <w:tblCellSpacing w:w="15" w:type="dxa"/>
          <w:jc w:val="center"/>
        </w:trPr>
        <w:tc>
          <w:tcPr>
            <w:tcW w:w="246" w:type="pct"/>
            <w:hideMark/>
          </w:tcPr>
          <w:p w14:paraId="1F71F2BE" w14:textId="77777777" w:rsidR="00492EC2" w:rsidRPr="003F7E1D" w:rsidRDefault="00492EC2" w:rsidP="005B5981">
            <w:r w:rsidRPr="003F7E1D">
              <w:t>3.</w:t>
            </w:r>
          </w:p>
        </w:tc>
        <w:tc>
          <w:tcPr>
            <w:tcW w:w="1442" w:type="pct"/>
            <w:hideMark/>
          </w:tcPr>
          <w:p w14:paraId="1F71F2BF" w14:textId="77777777" w:rsidR="00492EC2" w:rsidRPr="003F7E1D" w:rsidRDefault="00492EC2" w:rsidP="005B5981">
            <w:r w:rsidRPr="003F7E1D">
              <w:t>Cita informācija</w:t>
            </w:r>
          </w:p>
        </w:tc>
        <w:tc>
          <w:tcPr>
            <w:tcW w:w="3246" w:type="pct"/>
            <w:hideMark/>
          </w:tcPr>
          <w:p w14:paraId="1F71F2C0" w14:textId="77777777" w:rsidR="00492EC2" w:rsidRPr="003F7E1D" w:rsidRDefault="00492EC2" w:rsidP="005B5981">
            <w:r w:rsidRPr="003F7E1D">
              <w:t>Nav</w:t>
            </w:r>
          </w:p>
        </w:tc>
      </w:tr>
    </w:tbl>
    <w:p w14:paraId="1F71F2C2" w14:textId="77777777" w:rsidR="00EB09A4" w:rsidRPr="003F7E1D" w:rsidRDefault="00EB09A4" w:rsidP="005B5981"/>
    <w:p w14:paraId="1F71F2C3" w14:textId="77777777" w:rsidR="006E253A" w:rsidRDefault="006E253A" w:rsidP="005B5981"/>
    <w:p w14:paraId="1F71F2C4" w14:textId="77777777" w:rsidR="007A4807" w:rsidRDefault="007A4807" w:rsidP="005B5981"/>
    <w:p w14:paraId="1F71F2C5" w14:textId="77777777" w:rsidR="00CD0C35" w:rsidRPr="003F7E1D" w:rsidRDefault="00CD0C35" w:rsidP="005B5981"/>
    <w:p w14:paraId="1F71F2C6" w14:textId="77777777" w:rsidR="00124DE3" w:rsidRPr="003F7E1D" w:rsidRDefault="00124DE3" w:rsidP="005B5981">
      <w:pPr>
        <w:rPr>
          <w:sz w:val="28"/>
        </w:rPr>
      </w:pPr>
      <w:r w:rsidRPr="003F7E1D">
        <w:rPr>
          <w:sz w:val="28"/>
        </w:rPr>
        <w:t>Zemkopības ministr</w:t>
      </w:r>
      <w:r w:rsidR="00F67557" w:rsidRPr="003F7E1D">
        <w:rPr>
          <w:sz w:val="28"/>
        </w:rPr>
        <w:t>s</w:t>
      </w:r>
      <w:r w:rsidRPr="003F7E1D">
        <w:rPr>
          <w:sz w:val="28"/>
        </w:rPr>
        <w:tab/>
      </w:r>
      <w:r w:rsidRPr="003F7E1D">
        <w:rPr>
          <w:sz w:val="28"/>
        </w:rPr>
        <w:tab/>
      </w:r>
      <w:r w:rsidRPr="003F7E1D">
        <w:rPr>
          <w:sz w:val="28"/>
        </w:rPr>
        <w:tab/>
      </w:r>
      <w:r w:rsidRPr="003F7E1D">
        <w:rPr>
          <w:sz w:val="28"/>
        </w:rPr>
        <w:tab/>
      </w:r>
      <w:r w:rsidRPr="003F7E1D">
        <w:rPr>
          <w:sz w:val="28"/>
        </w:rPr>
        <w:tab/>
      </w:r>
      <w:r w:rsidRPr="003F7E1D">
        <w:rPr>
          <w:sz w:val="28"/>
        </w:rPr>
        <w:tab/>
      </w:r>
      <w:r w:rsidRPr="003F7E1D">
        <w:rPr>
          <w:sz w:val="28"/>
        </w:rPr>
        <w:tab/>
        <w:t xml:space="preserve"> </w:t>
      </w:r>
      <w:r w:rsidR="00F67557" w:rsidRPr="003F7E1D">
        <w:rPr>
          <w:sz w:val="28"/>
        </w:rPr>
        <w:t>J</w:t>
      </w:r>
      <w:r w:rsidR="00943164">
        <w:rPr>
          <w:sz w:val="28"/>
        </w:rPr>
        <w:t xml:space="preserve">ānis </w:t>
      </w:r>
      <w:r w:rsidR="00F67557" w:rsidRPr="003F7E1D">
        <w:rPr>
          <w:sz w:val="28"/>
        </w:rPr>
        <w:t>Dūklavs</w:t>
      </w:r>
    </w:p>
    <w:p w14:paraId="1F71F2C7" w14:textId="77777777" w:rsidR="006E253A" w:rsidRPr="003F7E1D" w:rsidRDefault="006E253A" w:rsidP="005B5981">
      <w:pPr>
        <w:rPr>
          <w:sz w:val="28"/>
        </w:rPr>
      </w:pPr>
    </w:p>
    <w:p w14:paraId="1F71F2C8" w14:textId="77777777" w:rsidR="006E253A" w:rsidRPr="003F7E1D" w:rsidRDefault="006E253A" w:rsidP="005B5981">
      <w:pPr>
        <w:rPr>
          <w:sz w:val="28"/>
        </w:rPr>
      </w:pPr>
    </w:p>
    <w:p w14:paraId="1F71F2C9" w14:textId="77777777" w:rsidR="006E253A" w:rsidRPr="003F7E1D" w:rsidRDefault="006E253A" w:rsidP="005B5981"/>
    <w:p w14:paraId="1F71F2CA" w14:textId="77777777" w:rsidR="006E253A" w:rsidRPr="003F7E1D" w:rsidRDefault="006E253A" w:rsidP="005B5981"/>
    <w:p w14:paraId="1F71F2CB" w14:textId="77777777" w:rsidR="0034630B" w:rsidRDefault="0034630B" w:rsidP="007A4807">
      <w:pPr>
        <w:jc w:val="both"/>
      </w:pPr>
    </w:p>
    <w:p w14:paraId="1F71F2CE" w14:textId="77777777" w:rsidR="007E023E" w:rsidRDefault="007E023E" w:rsidP="007A4807">
      <w:pPr>
        <w:jc w:val="both"/>
      </w:pPr>
    </w:p>
    <w:p w14:paraId="1F71F2CF" w14:textId="77777777" w:rsidR="007E023E" w:rsidRDefault="007E023E" w:rsidP="007A4807">
      <w:pPr>
        <w:jc w:val="both"/>
      </w:pPr>
    </w:p>
    <w:p w14:paraId="1F71F2D0" w14:textId="77777777" w:rsidR="007E023E" w:rsidRDefault="007E023E" w:rsidP="007A4807">
      <w:pPr>
        <w:jc w:val="both"/>
      </w:pPr>
    </w:p>
    <w:p w14:paraId="1F71F2D1" w14:textId="77777777" w:rsidR="007E023E" w:rsidRDefault="007E023E" w:rsidP="007A4807">
      <w:pPr>
        <w:jc w:val="both"/>
      </w:pPr>
    </w:p>
    <w:p w14:paraId="1F71F2D2" w14:textId="77777777" w:rsidR="00CD0C35" w:rsidRDefault="00CD0C35" w:rsidP="007A4807">
      <w:pPr>
        <w:jc w:val="both"/>
      </w:pPr>
    </w:p>
    <w:p w14:paraId="1F71F2D3" w14:textId="77777777" w:rsidR="00CD0C35" w:rsidRPr="003F7E1D" w:rsidRDefault="00CD0C35" w:rsidP="007A4807">
      <w:pPr>
        <w:jc w:val="both"/>
      </w:pPr>
    </w:p>
    <w:p w14:paraId="1F71F2D4" w14:textId="77777777" w:rsidR="007E023E" w:rsidRDefault="007E023E" w:rsidP="005B5981">
      <w:pPr>
        <w:rPr>
          <w:sz w:val="20"/>
          <w:szCs w:val="20"/>
        </w:rPr>
      </w:pPr>
      <w:r>
        <w:rPr>
          <w:sz w:val="20"/>
          <w:szCs w:val="20"/>
        </w:rPr>
        <w:t>2014.06.16. 14:45</w:t>
      </w:r>
    </w:p>
    <w:p w14:paraId="19917F67" w14:textId="77777777" w:rsidR="00420FBA" w:rsidRDefault="00420FBA" w:rsidP="007D6B54">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2700</w:t>
      </w:r>
      <w:r>
        <w:rPr>
          <w:sz w:val="20"/>
          <w:szCs w:val="20"/>
        </w:rPr>
        <w:fldChar w:fldCharType="end"/>
      </w:r>
    </w:p>
    <w:p w14:paraId="1F71F2D6" w14:textId="7DD154BA" w:rsidR="007D6B54" w:rsidRPr="007A4807" w:rsidRDefault="007D6B54" w:rsidP="007D6B54">
      <w:pPr>
        <w:rPr>
          <w:sz w:val="20"/>
          <w:szCs w:val="20"/>
        </w:rPr>
      </w:pPr>
      <w:r w:rsidRPr="007A4807">
        <w:rPr>
          <w:sz w:val="20"/>
          <w:szCs w:val="20"/>
        </w:rPr>
        <w:t>L.Gurecka</w:t>
      </w:r>
    </w:p>
    <w:p w14:paraId="1F71F2D7" w14:textId="77777777" w:rsidR="007D6B54" w:rsidRPr="007A4807" w:rsidRDefault="007D6B54" w:rsidP="007D6B54">
      <w:pPr>
        <w:pStyle w:val="Bezatstarpm"/>
        <w:jc w:val="both"/>
        <w:rPr>
          <w:rFonts w:ascii="Times New Roman" w:hAnsi="Times New Roman"/>
          <w:sz w:val="20"/>
          <w:szCs w:val="20"/>
        </w:rPr>
      </w:pPr>
      <w:r w:rsidRPr="007A4807">
        <w:rPr>
          <w:rFonts w:ascii="Times New Roman" w:hAnsi="Times New Roman"/>
          <w:sz w:val="20"/>
          <w:szCs w:val="20"/>
        </w:rPr>
        <w:t>67027063, Linda.Gurecka@zm.gov.lv</w:t>
      </w:r>
    </w:p>
    <w:p w14:paraId="1F71F2D8" w14:textId="77777777" w:rsidR="0096303C" w:rsidRPr="007A4807" w:rsidRDefault="00492EC2" w:rsidP="005B5981">
      <w:pPr>
        <w:rPr>
          <w:sz w:val="20"/>
          <w:szCs w:val="20"/>
        </w:rPr>
      </w:pPr>
      <w:r w:rsidRPr="007A4807">
        <w:rPr>
          <w:sz w:val="20"/>
          <w:szCs w:val="20"/>
        </w:rPr>
        <w:t>S</w:t>
      </w:r>
      <w:r w:rsidR="00F67557" w:rsidRPr="007A4807">
        <w:rPr>
          <w:sz w:val="20"/>
          <w:szCs w:val="20"/>
        </w:rPr>
        <w:t>.</w:t>
      </w:r>
      <w:r w:rsidR="0096303C" w:rsidRPr="007A4807">
        <w:rPr>
          <w:sz w:val="20"/>
          <w:szCs w:val="20"/>
        </w:rPr>
        <w:t>Justa</w:t>
      </w:r>
    </w:p>
    <w:p w14:paraId="1F71F2D9" w14:textId="77777777" w:rsidR="00124DE3" w:rsidRDefault="00F67557" w:rsidP="005B5981">
      <w:pPr>
        <w:rPr>
          <w:sz w:val="20"/>
          <w:szCs w:val="20"/>
        </w:rPr>
      </w:pPr>
      <w:r w:rsidRPr="007A4807">
        <w:rPr>
          <w:sz w:val="20"/>
          <w:szCs w:val="20"/>
        </w:rPr>
        <w:t>67027</w:t>
      </w:r>
      <w:r w:rsidR="00492EC2" w:rsidRPr="007E023E">
        <w:rPr>
          <w:sz w:val="20"/>
          <w:szCs w:val="20"/>
        </w:rPr>
        <w:t>379</w:t>
      </w:r>
      <w:r w:rsidR="0096303C" w:rsidRPr="007E023E">
        <w:rPr>
          <w:sz w:val="20"/>
          <w:szCs w:val="20"/>
        </w:rPr>
        <w:t xml:space="preserve">, </w:t>
      </w:r>
      <w:hyperlink r:id="rId9" w:history="1">
        <w:r w:rsidR="00943164" w:rsidRPr="007E023E">
          <w:rPr>
            <w:rStyle w:val="Hipersaite"/>
            <w:color w:val="auto"/>
            <w:sz w:val="20"/>
            <w:szCs w:val="20"/>
          </w:rPr>
          <w:t>Sandra.Justa@zm.gov.lv</w:t>
        </w:r>
      </w:hyperlink>
    </w:p>
    <w:p w14:paraId="1F71F2DA" w14:textId="77777777" w:rsidR="00943164" w:rsidRDefault="00943164" w:rsidP="005B5981">
      <w:pPr>
        <w:rPr>
          <w:sz w:val="20"/>
          <w:szCs w:val="20"/>
        </w:rPr>
      </w:pPr>
      <w:r>
        <w:rPr>
          <w:sz w:val="20"/>
          <w:szCs w:val="20"/>
        </w:rPr>
        <w:t>A.Bumbuls</w:t>
      </w:r>
    </w:p>
    <w:p w14:paraId="1F71F2DB" w14:textId="77777777" w:rsidR="00943164" w:rsidRPr="00943164" w:rsidRDefault="00943164" w:rsidP="005B5981">
      <w:pPr>
        <w:rPr>
          <w:b/>
          <w:sz w:val="20"/>
          <w:szCs w:val="20"/>
        </w:rPr>
      </w:pPr>
      <w:r>
        <w:rPr>
          <w:sz w:val="20"/>
          <w:szCs w:val="20"/>
        </w:rPr>
        <w:t>67027184, Adris.Bumbuls@zm.gov.lv</w:t>
      </w:r>
    </w:p>
    <w:sectPr w:rsidR="00943164" w:rsidRPr="00943164" w:rsidSect="005B5981">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D9EEB" w14:textId="77777777" w:rsidR="006A5762" w:rsidRDefault="006A5762">
      <w:r>
        <w:separator/>
      </w:r>
    </w:p>
  </w:endnote>
  <w:endnote w:type="continuationSeparator" w:id="0">
    <w:p w14:paraId="008DFEFE" w14:textId="77777777" w:rsidR="006A5762" w:rsidRDefault="006A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F2E4" w14:textId="22F88370" w:rsidR="00025127" w:rsidRPr="002D0946" w:rsidRDefault="00025127" w:rsidP="002D0946">
    <w:pPr>
      <w:jc w:val="both"/>
      <w:rPr>
        <w:sz w:val="20"/>
        <w:szCs w:val="16"/>
      </w:rPr>
    </w:pPr>
    <w:r>
      <w:rPr>
        <w:sz w:val="20"/>
        <w:szCs w:val="16"/>
      </w:rPr>
      <w:t>Z</w:t>
    </w:r>
    <w:r w:rsidR="008D6669">
      <w:rPr>
        <w:sz w:val="20"/>
        <w:szCs w:val="16"/>
      </w:rPr>
      <w:t>MA</w:t>
    </w:r>
    <w:r w:rsidR="00943164">
      <w:rPr>
        <w:sz w:val="20"/>
        <w:szCs w:val="16"/>
      </w:rPr>
      <w:t>not_12</w:t>
    </w:r>
    <w:r>
      <w:rPr>
        <w:sz w:val="20"/>
        <w:szCs w:val="16"/>
      </w:rPr>
      <w:t>0</w:t>
    </w:r>
    <w:r w:rsidR="0089403E">
      <w:rPr>
        <w:sz w:val="20"/>
        <w:szCs w:val="16"/>
      </w:rPr>
      <w:t>6</w:t>
    </w:r>
    <w:r>
      <w:rPr>
        <w:sz w:val="20"/>
        <w:szCs w:val="16"/>
      </w:rPr>
      <w:t>14_</w:t>
    </w:r>
    <w:r w:rsidRPr="00AF3EA6">
      <w:rPr>
        <w:sz w:val="20"/>
        <w:szCs w:val="16"/>
      </w:rPr>
      <w:t xml:space="preserve">nodevas; </w:t>
    </w:r>
    <w:r>
      <w:rPr>
        <w:sz w:val="20"/>
        <w:szCs w:val="16"/>
      </w:rPr>
      <w:t>likumprojekta „Grozījumi</w:t>
    </w:r>
    <w:r w:rsidRPr="00AF3EA6">
      <w:rPr>
        <w:sz w:val="20"/>
        <w:szCs w:val="16"/>
      </w:rPr>
      <w:t xml:space="preserve"> likumā „Par nodokļiem un nodevām”” </w:t>
    </w:r>
    <w:r>
      <w:rPr>
        <w:bCs/>
        <w:sz w:val="20"/>
        <w:szCs w:val="16"/>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F2E5" w14:textId="4EA42063" w:rsidR="00025127" w:rsidRPr="002D0946" w:rsidRDefault="00025127" w:rsidP="002D0946">
    <w:pPr>
      <w:jc w:val="both"/>
      <w:rPr>
        <w:sz w:val="20"/>
        <w:szCs w:val="16"/>
      </w:rPr>
    </w:pPr>
    <w:r>
      <w:rPr>
        <w:sz w:val="20"/>
        <w:szCs w:val="16"/>
      </w:rPr>
      <w:t>Z</w:t>
    </w:r>
    <w:r w:rsidR="008D6669">
      <w:rPr>
        <w:sz w:val="20"/>
        <w:szCs w:val="16"/>
      </w:rPr>
      <w:t>MA</w:t>
    </w:r>
    <w:r w:rsidR="00943164">
      <w:rPr>
        <w:sz w:val="20"/>
        <w:szCs w:val="16"/>
      </w:rPr>
      <w:t>not_12</w:t>
    </w:r>
    <w:r>
      <w:rPr>
        <w:sz w:val="20"/>
        <w:szCs w:val="16"/>
      </w:rPr>
      <w:t>0</w:t>
    </w:r>
    <w:r w:rsidR="0089403E">
      <w:rPr>
        <w:sz w:val="20"/>
        <w:szCs w:val="16"/>
      </w:rPr>
      <w:t>6</w:t>
    </w:r>
    <w:r>
      <w:rPr>
        <w:sz w:val="20"/>
        <w:szCs w:val="16"/>
      </w:rPr>
      <w:t>14_</w:t>
    </w:r>
    <w:r w:rsidRPr="00AF3EA6">
      <w:rPr>
        <w:sz w:val="20"/>
        <w:szCs w:val="16"/>
      </w:rPr>
      <w:t xml:space="preserve">nodevas; </w:t>
    </w:r>
    <w:r>
      <w:rPr>
        <w:sz w:val="20"/>
        <w:szCs w:val="16"/>
      </w:rPr>
      <w:t>likumprojekta „Grozījumi</w:t>
    </w:r>
    <w:r w:rsidRPr="00AF3EA6">
      <w:rPr>
        <w:sz w:val="20"/>
        <w:szCs w:val="16"/>
      </w:rPr>
      <w:t xml:space="preserve"> likumā „Par nodokļiem un nodevām”” </w:t>
    </w:r>
    <w:r>
      <w:rPr>
        <w:bCs/>
        <w:sz w:val="20"/>
        <w:szCs w:val="16"/>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E4C5" w14:textId="77777777" w:rsidR="006A5762" w:rsidRDefault="006A5762">
      <w:r>
        <w:separator/>
      </w:r>
    </w:p>
  </w:footnote>
  <w:footnote w:type="continuationSeparator" w:id="0">
    <w:p w14:paraId="28A1F9BA" w14:textId="77777777" w:rsidR="006A5762" w:rsidRDefault="006A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F2E0" w14:textId="77777777" w:rsidR="00025127" w:rsidRDefault="00025127"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71F2E1" w14:textId="77777777" w:rsidR="00025127" w:rsidRDefault="0002512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F2E2" w14:textId="77777777" w:rsidR="00025127" w:rsidRDefault="00025127"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48AE">
      <w:rPr>
        <w:rStyle w:val="Lappusesnumurs"/>
        <w:noProof/>
      </w:rPr>
      <w:t>2</w:t>
    </w:r>
    <w:r>
      <w:rPr>
        <w:rStyle w:val="Lappusesnumurs"/>
      </w:rPr>
      <w:fldChar w:fldCharType="end"/>
    </w:r>
  </w:p>
  <w:p w14:paraId="1F71F2E3" w14:textId="77777777" w:rsidR="00025127" w:rsidRDefault="0002512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0A3E2AD6"/>
    <w:multiLevelType w:val="hybridMultilevel"/>
    <w:tmpl w:val="333E1AE6"/>
    <w:lvl w:ilvl="0" w:tplc="6442D624">
      <w:start w:val="1"/>
      <w:numFmt w:val="decimal"/>
      <w:lvlText w:val="%1)"/>
      <w:lvlJc w:val="left"/>
      <w:pPr>
        <w:ind w:left="872" w:hanging="360"/>
      </w:pPr>
      <w:rPr>
        <w:rFonts w:hint="default"/>
      </w:rPr>
    </w:lvl>
    <w:lvl w:ilvl="1" w:tplc="04260003" w:tentative="1">
      <w:start w:val="1"/>
      <w:numFmt w:val="bullet"/>
      <w:lvlText w:val="o"/>
      <w:lvlJc w:val="left"/>
      <w:pPr>
        <w:ind w:left="1592" w:hanging="360"/>
      </w:pPr>
      <w:rPr>
        <w:rFonts w:ascii="Courier New" w:hAnsi="Courier New" w:cs="Courier New" w:hint="default"/>
      </w:rPr>
    </w:lvl>
    <w:lvl w:ilvl="2" w:tplc="04260005" w:tentative="1">
      <w:start w:val="1"/>
      <w:numFmt w:val="bullet"/>
      <w:lvlText w:val=""/>
      <w:lvlJc w:val="left"/>
      <w:pPr>
        <w:ind w:left="2312" w:hanging="360"/>
      </w:pPr>
      <w:rPr>
        <w:rFonts w:ascii="Wingdings" w:hAnsi="Wingdings" w:hint="default"/>
      </w:rPr>
    </w:lvl>
    <w:lvl w:ilvl="3" w:tplc="04260001" w:tentative="1">
      <w:start w:val="1"/>
      <w:numFmt w:val="bullet"/>
      <w:lvlText w:val=""/>
      <w:lvlJc w:val="left"/>
      <w:pPr>
        <w:ind w:left="3032" w:hanging="360"/>
      </w:pPr>
      <w:rPr>
        <w:rFonts w:ascii="Symbol" w:hAnsi="Symbol" w:hint="default"/>
      </w:rPr>
    </w:lvl>
    <w:lvl w:ilvl="4" w:tplc="04260003" w:tentative="1">
      <w:start w:val="1"/>
      <w:numFmt w:val="bullet"/>
      <w:lvlText w:val="o"/>
      <w:lvlJc w:val="left"/>
      <w:pPr>
        <w:ind w:left="3752" w:hanging="360"/>
      </w:pPr>
      <w:rPr>
        <w:rFonts w:ascii="Courier New" w:hAnsi="Courier New" w:cs="Courier New" w:hint="default"/>
      </w:rPr>
    </w:lvl>
    <w:lvl w:ilvl="5" w:tplc="04260005" w:tentative="1">
      <w:start w:val="1"/>
      <w:numFmt w:val="bullet"/>
      <w:lvlText w:val=""/>
      <w:lvlJc w:val="left"/>
      <w:pPr>
        <w:ind w:left="4472" w:hanging="360"/>
      </w:pPr>
      <w:rPr>
        <w:rFonts w:ascii="Wingdings" w:hAnsi="Wingdings" w:hint="default"/>
      </w:rPr>
    </w:lvl>
    <w:lvl w:ilvl="6" w:tplc="04260001" w:tentative="1">
      <w:start w:val="1"/>
      <w:numFmt w:val="bullet"/>
      <w:lvlText w:val=""/>
      <w:lvlJc w:val="left"/>
      <w:pPr>
        <w:ind w:left="5192" w:hanging="360"/>
      </w:pPr>
      <w:rPr>
        <w:rFonts w:ascii="Symbol" w:hAnsi="Symbol" w:hint="default"/>
      </w:rPr>
    </w:lvl>
    <w:lvl w:ilvl="7" w:tplc="04260003" w:tentative="1">
      <w:start w:val="1"/>
      <w:numFmt w:val="bullet"/>
      <w:lvlText w:val="o"/>
      <w:lvlJc w:val="left"/>
      <w:pPr>
        <w:ind w:left="5912" w:hanging="360"/>
      </w:pPr>
      <w:rPr>
        <w:rFonts w:ascii="Courier New" w:hAnsi="Courier New" w:cs="Courier New" w:hint="default"/>
      </w:rPr>
    </w:lvl>
    <w:lvl w:ilvl="8" w:tplc="04260005" w:tentative="1">
      <w:start w:val="1"/>
      <w:numFmt w:val="bullet"/>
      <w:lvlText w:val=""/>
      <w:lvlJc w:val="left"/>
      <w:pPr>
        <w:ind w:left="6632" w:hanging="360"/>
      </w:pPr>
      <w:rPr>
        <w:rFonts w:ascii="Wingdings" w:hAnsi="Wingdings" w:hint="default"/>
      </w:rPr>
    </w:lvl>
  </w:abstractNum>
  <w:abstractNum w:abstractNumId="2">
    <w:nsid w:val="0AD23D82"/>
    <w:multiLevelType w:val="hybridMultilevel"/>
    <w:tmpl w:val="052CAC7E"/>
    <w:lvl w:ilvl="0" w:tplc="87CE8912">
      <w:start w:val="1"/>
      <w:numFmt w:val="decimal"/>
      <w:suff w:val="space"/>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7C62EC"/>
    <w:multiLevelType w:val="hybridMultilevel"/>
    <w:tmpl w:val="B58A2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17145F"/>
    <w:multiLevelType w:val="hybridMultilevel"/>
    <w:tmpl w:val="72D6EB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1F44FF"/>
    <w:multiLevelType w:val="hybridMultilevel"/>
    <w:tmpl w:val="010C75E0"/>
    <w:lvl w:ilvl="0" w:tplc="6442D624">
      <w:start w:val="1"/>
      <w:numFmt w:val="decimal"/>
      <w:lvlText w:val="%1)"/>
      <w:lvlJc w:val="left"/>
      <w:pPr>
        <w:ind w:left="720" w:hanging="360"/>
      </w:pPr>
      <w:rPr>
        <w:rFonts w:hint="default"/>
      </w:rPr>
    </w:lvl>
    <w:lvl w:ilvl="1" w:tplc="6442D62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415A6BE2"/>
    <w:multiLevelType w:val="hybridMultilevel"/>
    <w:tmpl w:val="1004E9CA"/>
    <w:lvl w:ilvl="0" w:tplc="F60A622E">
      <w:start w:val="1"/>
      <w:numFmt w:val="decimal"/>
      <w:suff w:val="space"/>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471956FB"/>
    <w:multiLevelType w:val="hybridMultilevel"/>
    <w:tmpl w:val="B97EB48A"/>
    <w:lvl w:ilvl="0" w:tplc="AE6AAFD2">
      <w:start w:val="1"/>
      <w:numFmt w:val="decimal"/>
      <w:lvlText w:val="%1."/>
      <w:lvlJc w:val="left"/>
      <w:pPr>
        <w:ind w:left="490" w:hanging="360"/>
      </w:pPr>
      <w:rPr>
        <w:rFonts w:hint="default"/>
      </w:rPr>
    </w:lvl>
    <w:lvl w:ilvl="1" w:tplc="04260019" w:tentative="1">
      <w:start w:val="1"/>
      <w:numFmt w:val="lowerLetter"/>
      <w:lvlText w:val="%2."/>
      <w:lvlJc w:val="left"/>
      <w:pPr>
        <w:ind w:left="1210" w:hanging="360"/>
      </w:pPr>
    </w:lvl>
    <w:lvl w:ilvl="2" w:tplc="0426001B" w:tentative="1">
      <w:start w:val="1"/>
      <w:numFmt w:val="lowerRoman"/>
      <w:lvlText w:val="%3."/>
      <w:lvlJc w:val="right"/>
      <w:pPr>
        <w:ind w:left="1930" w:hanging="180"/>
      </w:pPr>
    </w:lvl>
    <w:lvl w:ilvl="3" w:tplc="0426000F" w:tentative="1">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10">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nsid w:val="6386654A"/>
    <w:multiLevelType w:val="hybridMultilevel"/>
    <w:tmpl w:val="7B947BD6"/>
    <w:lvl w:ilvl="0" w:tplc="01824CE6">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4D04DB"/>
    <w:multiLevelType w:val="hybridMultilevel"/>
    <w:tmpl w:val="38FA557C"/>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num>
  <w:num w:numId="3">
    <w:abstractNumId w:val="10"/>
  </w:num>
  <w:num w:numId="4">
    <w:abstractNumId w:val="6"/>
  </w:num>
  <w:num w:numId="5">
    <w:abstractNumId w:val="8"/>
  </w:num>
  <w:num w:numId="6">
    <w:abstractNumId w:val="5"/>
  </w:num>
  <w:num w:numId="7">
    <w:abstractNumId w:val="9"/>
  </w:num>
  <w:num w:numId="8">
    <w:abstractNumId w:val="1"/>
  </w:num>
  <w:num w:numId="9">
    <w:abstractNumId w:val="4"/>
  </w:num>
  <w:num w:numId="10">
    <w:abstractNumId w:val="7"/>
  </w:num>
  <w:num w:numId="11">
    <w:abstractNumId w:val="11"/>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6"/>
    <w:rsid w:val="00002270"/>
    <w:rsid w:val="00002BA8"/>
    <w:rsid w:val="00004AF8"/>
    <w:rsid w:val="00010FA0"/>
    <w:rsid w:val="0001250B"/>
    <w:rsid w:val="00014A71"/>
    <w:rsid w:val="00016FE9"/>
    <w:rsid w:val="0001767D"/>
    <w:rsid w:val="00025127"/>
    <w:rsid w:val="00025839"/>
    <w:rsid w:val="00025BB6"/>
    <w:rsid w:val="00027155"/>
    <w:rsid w:val="00030CD8"/>
    <w:rsid w:val="000317A5"/>
    <w:rsid w:val="00034AFC"/>
    <w:rsid w:val="00037689"/>
    <w:rsid w:val="00042708"/>
    <w:rsid w:val="00043429"/>
    <w:rsid w:val="000446F4"/>
    <w:rsid w:val="00045479"/>
    <w:rsid w:val="00045B35"/>
    <w:rsid w:val="00046E2B"/>
    <w:rsid w:val="000519D5"/>
    <w:rsid w:val="000519F8"/>
    <w:rsid w:val="00056C3A"/>
    <w:rsid w:val="00061C67"/>
    <w:rsid w:val="000627FB"/>
    <w:rsid w:val="000660A3"/>
    <w:rsid w:val="00070B7D"/>
    <w:rsid w:val="0007210C"/>
    <w:rsid w:val="00072A53"/>
    <w:rsid w:val="0007490B"/>
    <w:rsid w:val="000764AF"/>
    <w:rsid w:val="00077AD3"/>
    <w:rsid w:val="0008145B"/>
    <w:rsid w:val="000830E8"/>
    <w:rsid w:val="00084907"/>
    <w:rsid w:val="00095FDB"/>
    <w:rsid w:val="000A04B8"/>
    <w:rsid w:val="000A1519"/>
    <w:rsid w:val="000A15B9"/>
    <w:rsid w:val="000A196D"/>
    <w:rsid w:val="000A3314"/>
    <w:rsid w:val="000A608F"/>
    <w:rsid w:val="000A7435"/>
    <w:rsid w:val="000A7B2A"/>
    <w:rsid w:val="000B087F"/>
    <w:rsid w:val="000B3F3B"/>
    <w:rsid w:val="000B7F0F"/>
    <w:rsid w:val="000C0189"/>
    <w:rsid w:val="000C0AA9"/>
    <w:rsid w:val="000C18B3"/>
    <w:rsid w:val="000D0812"/>
    <w:rsid w:val="000D0B1C"/>
    <w:rsid w:val="000D26A3"/>
    <w:rsid w:val="000D3276"/>
    <w:rsid w:val="000D33D4"/>
    <w:rsid w:val="000E33C1"/>
    <w:rsid w:val="000E3537"/>
    <w:rsid w:val="000E3CA0"/>
    <w:rsid w:val="000E62CE"/>
    <w:rsid w:val="000E782B"/>
    <w:rsid w:val="000F5137"/>
    <w:rsid w:val="000F5507"/>
    <w:rsid w:val="000F6538"/>
    <w:rsid w:val="000F7FEB"/>
    <w:rsid w:val="00100753"/>
    <w:rsid w:val="00103FFB"/>
    <w:rsid w:val="00104C3E"/>
    <w:rsid w:val="00107633"/>
    <w:rsid w:val="00107B33"/>
    <w:rsid w:val="00114B2C"/>
    <w:rsid w:val="00114F7D"/>
    <w:rsid w:val="00117630"/>
    <w:rsid w:val="001209FA"/>
    <w:rsid w:val="001229E8"/>
    <w:rsid w:val="00123974"/>
    <w:rsid w:val="00124DE3"/>
    <w:rsid w:val="00127335"/>
    <w:rsid w:val="0013184E"/>
    <w:rsid w:val="00133C28"/>
    <w:rsid w:val="00135F38"/>
    <w:rsid w:val="00137300"/>
    <w:rsid w:val="00140D52"/>
    <w:rsid w:val="001434DE"/>
    <w:rsid w:val="00144F5A"/>
    <w:rsid w:val="001460FE"/>
    <w:rsid w:val="001470A9"/>
    <w:rsid w:val="001474B5"/>
    <w:rsid w:val="0015218A"/>
    <w:rsid w:val="00152B7F"/>
    <w:rsid w:val="00152D91"/>
    <w:rsid w:val="00155C68"/>
    <w:rsid w:val="001606F9"/>
    <w:rsid w:val="00161F09"/>
    <w:rsid w:val="00164C5E"/>
    <w:rsid w:val="001666D7"/>
    <w:rsid w:val="00166D35"/>
    <w:rsid w:val="0017558F"/>
    <w:rsid w:val="00180F0F"/>
    <w:rsid w:val="001819AA"/>
    <w:rsid w:val="00181F7B"/>
    <w:rsid w:val="001931C3"/>
    <w:rsid w:val="001A1034"/>
    <w:rsid w:val="001A13EF"/>
    <w:rsid w:val="001A2EEA"/>
    <w:rsid w:val="001A4906"/>
    <w:rsid w:val="001A4F3E"/>
    <w:rsid w:val="001A50DB"/>
    <w:rsid w:val="001B17E9"/>
    <w:rsid w:val="001B29CD"/>
    <w:rsid w:val="001B5C25"/>
    <w:rsid w:val="001B70D9"/>
    <w:rsid w:val="001C2C1B"/>
    <w:rsid w:val="001C4050"/>
    <w:rsid w:val="001C66D2"/>
    <w:rsid w:val="001C7B92"/>
    <w:rsid w:val="001D7A69"/>
    <w:rsid w:val="001E1037"/>
    <w:rsid w:val="001E1133"/>
    <w:rsid w:val="001E1B85"/>
    <w:rsid w:val="001E69DC"/>
    <w:rsid w:val="001E7F5F"/>
    <w:rsid w:val="001F15B1"/>
    <w:rsid w:val="001F6507"/>
    <w:rsid w:val="002022A6"/>
    <w:rsid w:val="00205D9B"/>
    <w:rsid w:val="002060EE"/>
    <w:rsid w:val="00211311"/>
    <w:rsid w:val="002262CD"/>
    <w:rsid w:val="00226C16"/>
    <w:rsid w:val="00226F33"/>
    <w:rsid w:val="00236AC7"/>
    <w:rsid w:val="00237187"/>
    <w:rsid w:val="00237310"/>
    <w:rsid w:val="0024753B"/>
    <w:rsid w:val="002507B1"/>
    <w:rsid w:val="00250895"/>
    <w:rsid w:val="0025239A"/>
    <w:rsid w:val="00253790"/>
    <w:rsid w:val="00253916"/>
    <w:rsid w:val="00256448"/>
    <w:rsid w:val="00256C3B"/>
    <w:rsid w:val="002611F3"/>
    <w:rsid w:val="00264F8E"/>
    <w:rsid w:val="00266BD3"/>
    <w:rsid w:val="00270201"/>
    <w:rsid w:val="002718F2"/>
    <w:rsid w:val="00271C7E"/>
    <w:rsid w:val="00271E8F"/>
    <w:rsid w:val="002733F6"/>
    <w:rsid w:val="00275C45"/>
    <w:rsid w:val="00283528"/>
    <w:rsid w:val="00285453"/>
    <w:rsid w:val="002905E5"/>
    <w:rsid w:val="00292677"/>
    <w:rsid w:val="002946EA"/>
    <w:rsid w:val="00294AE0"/>
    <w:rsid w:val="0029520C"/>
    <w:rsid w:val="002959EB"/>
    <w:rsid w:val="00295A5E"/>
    <w:rsid w:val="00295CE1"/>
    <w:rsid w:val="00296DA4"/>
    <w:rsid w:val="002972D4"/>
    <w:rsid w:val="002A2085"/>
    <w:rsid w:val="002A4C35"/>
    <w:rsid w:val="002A5CC7"/>
    <w:rsid w:val="002A62FE"/>
    <w:rsid w:val="002A7E22"/>
    <w:rsid w:val="002B307C"/>
    <w:rsid w:val="002B41BE"/>
    <w:rsid w:val="002B43ED"/>
    <w:rsid w:val="002B6EF4"/>
    <w:rsid w:val="002C3ED1"/>
    <w:rsid w:val="002C3F17"/>
    <w:rsid w:val="002C665B"/>
    <w:rsid w:val="002C6959"/>
    <w:rsid w:val="002C6F2D"/>
    <w:rsid w:val="002D0946"/>
    <w:rsid w:val="002D0AA6"/>
    <w:rsid w:val="002D65A0"/>
    <w:rsid w:val="002D75C7"/>
    <w:rsid w:val="002E29AE"/>
    <w:rsid w:val="002F0505"/>
    <w:rsid w:val="002F2AED"/>
    <w:rsid w:val="00304426"/>
    <w:rsid w:val="003044D6"/>
    <w:rsid w:val="00306806"/>
    <w:rsid w:val="003074D4"/>
    <w:rsid w:val="00310AA6"/>
    <w:rsid w:val="00310CAB"/>
    <w:rsid w:val="003124CF"/>
    <w:rsid w:val="0031268C"/>
    <w:rsid w:val="003138A2"/>
    <w:rsid w:val="00314A13"/>
    <w:rsid w:val="00320B81"/>
    <w:rsid w:val="00320F29"/>
    <w:rsid w:val="00321E0E"/>
    <w:rsid w:val="00327AFB"/>
    <w:rsid w:val="0033042D"/>
    <w:rsid w:val="00331595"/>
    <w:rsid w:val="00335C3E"/>
    <w:rsid w:val="00337272"/>
    <w:rsid w:val="003408B2"/>
    <w:rsid w:val="0034602C"/>
    <w:rsid w:val="0034630B"/>
    <w:rsid w:val="00352092"/>
    <w:rsid w:val="0035726F"/>
    <w:rsid w:val="0036017C"/>
    <w:rsid w:val="0036125C"/>
    <w:rsid w:val="00361FF0"/>
    <w:rsid w:val="003673E0"/>
    <w:rsid w:val="0037023F"/>
    <w:rsid w:val="003721BD"/>
    <w:rsid w:val="00375433"/>
    <w:rsid w:val="00382CE1"/>
    <w:rsid w:val="00383391"/>
    <w:rsid w:val="003847E2"/>
    <w:rsid w:val="00387C11"/>
    <w:rsid w:val="00390099"/>
    <w:rsid w:val="00390AAF"/>
    <w:rsid w:val="003919D1"/>
    <w:rsid w:val="0039451C"/>
    <w:rsid w:val="00396A57"/>
    <w:rsid w:val="003A0C41"/>
    <w:rsid w:val="003A1ED1"/>
    <w:rsid w:val="003A1FF9"/>
    <w:rsid w:val="003A2D58"/>
    <w:rsid w:val="003B2410"/>
    <w:rsid w:val="003B45B8"/>
    <w:rsid w:val="003B4E5D"/>
    <w:rsid w:val="003B7AAF"/>
    <w:rsid w:val="003B7AF6"/>
    <w:rsid w:val="003C165F"/>
    <w:rsid w:val="003C4E23"/>
    <w:rsid w:val="003C5026"/>
    <w:rsid w:val="003D0409"/>
    <w:rsid w:val="003D0C06"/>
    <w:rsid w:val="003D0C1B"/>
    <w:rsid w:val="003D2A75"/>
    <w:rsid w:val="003D3036"/>
    <w:rsid w:val="003D58C1"/>
    <w:rsid w:val="003E1E55"/>
    <w:rsid w:val="003E35F7"/>
    <w:rsid w:val="003F1A3F"/>
    <w:rsid w:val="003F2AF7"/>
    <w:rsid w:val="003F4BF8"/>
    <w:rsid w:val="003F670A"/>
    <w:rsid w:val="003F7E1D"/>
    <w:rsid w:val="00403568"/>
    <w:rsid w:val="004048D4"/>
    <w:rsid w:val="004070A0"/>
    <w:rsid w:val="00407F6D"/>
    <w:rsid w:val="00412D00"/>
    <w:rsid w:val="0041683B"/>
    <w:rsid w:val="004172E3"/>
    <w:rsid w:val="00417F67"/>
    <w:rsid w:val="00420C0E"/>
    <w:rsid w:val="00420FBA"/>
    <w:rsid w:val="00421523"/>
    <w:rsid w:val="00432D85"/>
    <w:rsid w:val="00433E65"/>
    <w:rsid w:val="0043515E"/>
    <w:rsid w:val="00436830"/>
    <w:rsid w:val="00440346"/>
    <w:rsid w:val="00442D4B"/>
    <w:rsid w:val="004504B0"/>
    <w:rsid w:val="004505D7"/>
    <w:rsid w:val="00450691"/>
    <w:rsid w:val="00451538"/>
    <w:rsid w:val="00451E84"/>
    <w:rsid w:val="00453F67"/>
    <w:rsid w:val="00456507"/>
    <w:rsid w:val="00456557"/>
    <w:rsid w:val="004578E6"/>
    <w:rsid w:val="00460076"/>
    <w:rsid w:val="00462390"/>
    <w:rsid w:val="00462871"/>
    <w:rsid w:val="00465D68"/>
    <w:rsid w:val="00467368"/>
    <w:rsid w:val="00470883"/>
    <w:rsid w:val="00471788"/>
    <w:rsid w:val="0047394D"/>
    <w:rsid w:val="004744D4"/>
    <w:rsid w:val="0047570B"/>
    <w:rsid w:val="00475F24"/>
    <w:rsid w:val="004812CD"/>
    <w:rsid w:val="0048357B"/>
    <w:rsid w:val="004874E4"/>
    <w:rsid w:val="00487F47"/>
    <w:rsid w:val="00490567"/>
    <w:rsid w:val="00492EC2"/>
    <w:rsid w:val="00494034"/>
    <w:rsid w:val="00496362"/>
    <w:rsid w:val="004968BA"/>
    <w:rsid w:val="004A488C"/>
    <w:rsid w:val="004A6A68"/>
    <w:rsid w:val="004B3D24"/>
    <w:rsid w:val="004B4410"/>
    <w:rsid w:val="004B52A3"/>
    <w:rsid w:val="004B57FE"/>
    <w:rsid w:val="004B7CB7"/>
    <w:rsid w:val="004C17F6"/>
    <w:rsid w:val="004C296C"/>
    <w:rsid w:val="004C61E1"/>
    <w:rsid w:val="004D1AA3"/>
    <w:rsid w:val="004D5FE4"/>
    <w:rsid w:val="004D6388"/>
    <w:rsid w:val="004E137A"/>
    <w:rsid w:val="004E1D98"/>
    <w:rsid w:val="004E5FFD"/>
    <w:rsid w:val="004E6473"/>
    <w:rsid w:val="004F1697"/>
    <w:rsid w:val="004F6745"/>
    <w:rsid w:val="004F7053"/>
    <w:rsid w:val="004F74F4"/>
    <w:rsid w:val="00500665"/>
    <w:rsid w:val="00500BA7"/>
    <w:rsid w:val="00503F06"/>
    <w:rsid w:val="00506A36"/>
    <w:rsid w:val="00506B43"/>
    <w:rsid w:val="00507ACD"/>
    <w:rsid w:val="005148E2"/>
    <w:rsid w:val="005151D9"/>
    <w:rsid w:val="0051577E"/>
    <w:rsid w:val="00517942"/>
    <w:rsid w:val="00524027"/>
    <w:rsid w:val="005335E0"/>
    <w:rsid w:val="0053445E"/>
    <w:rsid w:val="005345EE"/>
    <w:rsid w:val="005356CB"/>
    <w:rsid w:val="00536486"/>
    <w:rsid w:val="005378AD"/>
    <w:rsid w:val="00553CE3"/>
    <w:rsid w:val="00554527"/>
    <w:rsid w:val="0056089A"/>
    <w:rsid w:val="0056361B"/>
    <w:rsid w:val="00566D13"/>
    <w:rsid w:val="00567AD2"/>
    <w:rsid w:val="005703DC"/>
    <w:rsid w:val="005750DC"/>
    <w:rsid w:val="00575F11"/>
    <w:rsid w:val="00576043"/>
    <w:rsid w:val="00576CF7"/>
    <w:rsid w:val="0057787E"/>
    <w:rsid w:val="00577C97"/>
    <w:rsid w:val="005800FD"/>
    <w:rsid w:val="00580340"/>
    <w:rsid w:val="00581028"/>
    <w:rsid w:val="00585D38"/>
    <w:rsid w:val="0059177B"/>
    <w:rsid w:val="00597025"/>
    <w:rsid w:val="005A1702"/>
    <w:rsid w:val="005A1D94"/>
    <w:rsid w:val="005A20A5"/>
    <w:rsid w:val="005A39A9"/>
    <w:rsid w:val="005A3C61"/>
    <w:rsid w:val="005A73A3"/>
    <w:rsid w:val="005B2D31"/>
    <w:rsid w:val="005B5373"/>
    <w:rsid w:val="005B5981"/>
    <w:rsid w:val="005C5BF8"/>
    <w:rsid w:val="005C6B09"/>
    <w:rsid w:val="005D1B38"/>
    <w:rsid w:val="005E2016"/>
    <w:rsid w:val="005E3BEF"/>
    <w:rsid w:val="005E6EF5"/>
    <w:rsid w:val="005E7248"/>
    <w:rsid w:val="0060038E"/>
    <w:rsid w:val="00602F99"/>
    <w:rsid w:val="006033F4"/>
    <w:rsid w:val="006063EC"/>
    <w:rsid w:val="006068D6"/>
    <w:rsid w:val="00607E6E"/>
    <w:rsid w:val="006132E2"/>
    <w:rsid w:val="00613CDF"/>
    <w:rsid w:val="00620A1D"/>
    <w:rsid w:val="006221E0"/>
    <w:rsid w:val="00622434"/>
    <w:rsid w:val="006248AE"/>
    <w:rsid w:val="00624B9E"/>
    <w:rsid w:val="00625132"/>
    <w:rsid w:val="00627DEC"/>
    <w:rsid w:val="00630BF5"/>
    <w:rsid w:val="00634330"/>
    <w:rsid w:val="006413E5"/>
    <w:rsid w:val="00645789"/>
    <w:rsid w:val="00646022"/>
    <w:rsid w:val="006460FB"/>
    <w:rsid w:val="00652AAE"/>
    <w:rsid w:val="006575CF"/>
    <w:rsid w:val="00657DE4"/>
    <w:rsid w:val="00661858"/>
    <w:rsid w:val="0066209C"/>
    <w:rsid w:val="00662C40"/>
    <w:rsid w:val="00663C87"/>
    <w:rsid w:val="00666F3A"/>
    <w:rsid w:val="00667E8E"/>
    <w:rsid w:val="0067393E"/>
    <w:rsid w:val="00680CAC"/>
    <w:rsid w:val="00685986"/>
    <w:rsid w:val="006912AA"/>
    <w:rsid w:val="00694B4D"/>
    <w:rsid w:val="00695F6E"/>
    <w:rsid w:val="006A44EB"/>
    <w:rsid w:val="006A45CB"/>
    <w:rsid w:val="006A5762"/>
    <w:rsid w:val="006A5BDB"/>
    <w:rsid w:val="006A6D9B"/>
    <w:rsid w:val="006A738C"/>
    <w:rsid w:val="006B0273"/>
    <w:rsid w:val="006B1236"/>
    <w:rsid w:val="006C5E24"/>
    <w:rsid w:val="006C6881"/>
    <w:rsid w:val="006D5016"/>
    <w:rsid w:val="006D5948"/>
    <w:rsid w:val="006D62DB"/>
    <w:rsid w:val="006D689A"/>
    <w:rsid w:val="006E1BCE"/>
    <w:rsid w:val="006E22EA"/>
    <w:rsid w:val="006E253A"/>
    <w:rsid w:val="006E4D5F"/>
    <w:rsid w:val="006E5FAF"/>
    <w:rsid w:val="006E63B1"/>
    <w:rsid w:val="006E6455"/>
    <w:rsid w:val="006F612A"/>
    <w:rsid w:val="00703AFF"/>
    <w:rsid w:val="00705676"/>
    <w:rsid w:val="00710514"/>
    <w:rsid w:val="00713A57"/>
    <w:rsid w:val="0071453A"/>
    <w:rsid w:val="00715F50"/>
    <w:rsid w:val="00716F1B"/>
    <w:rsid w:val="00717C64"/>
    <w:rsid w:val="0072299D"/>
    <w:rsid w:val="00724617"/>
    <w:rsid w:val="00726803"/>
    <w:rsid w:val="007273AE"/>
    <w:rsid w:val="0072740E"/>
    <w:rsid w:val="00730577"/>
    <w:rsid w:val="00731F03"/>
    <w:rsid w:val="00734D92"/>
    <w:rsid w:val="00741C6E"/>
    <w:rsid w:val="00742E42"/>
    <w:rsid w:val="0075081A"/>
    <w:rsid w:val="00753E83"/>
    <w:rsid w:val="00755554"/>
    <w:rsid w:val="007560F0"/>
    <w:rsid w:val="00757494"/>
    <w:rsid w:val="00761007"/>
    <w:rsid w:val="00761140"/>
    <w:rsid w:val="00761F27"/>
    <w:rsid w:val="00763CD0"/>
    <w:rsid w:val="00765FAC"/>
    <w:rsid w:val="00767FF4"/>
    <w:rsid w:val="00775B61"/>
    <w:rsid w:val="007805C4"/>
    <w:rsid w:val="00781603"/>
    <w:rsid w:val="0078254B"/>
    <w:rsid w:val="00782C24"/>
    <w:rsid w:val="00785552"/>
    <w:rsid w:val="00786D2F"/>
    <w:rsid w:val="0079217C"/>
    <w:rsid w:val="007A1AA1"/>
    <w:rsid w:val="007A4807"/>
    <w:rsid w:val="007A62F2"/>
    <w:rsid w:val="007B07CF"/>
    <w:rsid w:val="007C0125"/>
    <w:rsid w:val="007C16F0"/>
    <w:rsid w:val="007C5D3A"/>
    <w:rsid w:val="007C780E"/>
    <w:rsid w:val="007C7E73"/>
    <w:rsid w:val="007D00DC"/>
    <w:rsid w:val="007D558D"/>
    <w:rsid w:val="007D6B54"/>
    <w:rsid w:val="007E023E"/>
    <w:rsid w:val="007E3A12"/>
    <w:rsid w:val="007E6CE8"/>
    <w:rsid w:val="007F1974"/>
    <w:rsid w:val="007F26D5"/>
    <w:rsid w:val="007F4625"/>
    <w:rsid w:val="00802D59"/>
    <w:rsid w:val="00805D3D"/>
    <w:rsid w:val="00807032"/>
    <w:rsid w:val="0080789D"/>
    <w:rsid w:val="00820026"/>
    <w:rsid w:val="008235DC"/>
    <w:rsid w:val="00823631"/>
    <w:rsid w:val="0082780F"/>
    <w:rsid w:val="00827C7B"/>
    <w:rsid w:val="00830D2A"/>
    <w:rsid w:val="00841DA0"/>
    <w:rsid w:val="00843F98"/>
    <w:rsid w:val="00846552"/>
    <w:rsid w:val="00846889"/>
    <w:rsid w:val="00851630"/>
    <w:rsid w:val="00851CD7"/>
    <w:rsid w:val="00853718"/>
    <w:rsid w:val="0085418B"/>
    <w:rsid w:val="008603A0"/>
    <w:rsid w:val="00860515"/>
    <w:rsid w:val="00860997"/>
    <w:rsid w:val="008634BB"/>
    <w:rsid w:val="0086466C"/>
    <w:rsid w:val="00873ED1"/>
    <w:rsid w:val="008763D4"/>
    <w:rsid w:val="00880116"/>
    <w:rsid w:val="0088162C"/>
    <w:rsid w:val="00882F0E"/>
    <w:rsid w:val="00882F81"/>
    <w:rsid w:val="00883366"/>
    <w:rsid w:val="00884C87"/>
    <w:rsid w:val="008866D9"/>
    <w:rsid w:val="00886EF4"/>
    <w:rsid w:val="008919DA"/>
    <w:rsid w:val="00892830"/>
    <w:rsid w:val="008928D3"/>
    <w:rsid w:val="00892E83"/>
    <w:rsid w:val="0089403E"/>
    <w:rsid w:val="008A13F9"/>
    <w:rsid w:val="008A17E9"/>
    <w:rsid w:val="008A2C88"/>
    <w:rsid w:val="008A354D"/>
    <w:rsid w:val="008A5346"/>
    <w:rsid w:val="008A60AF"/>
    <w:rsid w:val="008A7B59"/>
    <w:rsid w:val="008B1611"/>
    <w:rsid w:val="008C006F"/>
    <w:rsid w:val="008C0C16"/>
    <w:rsid w:val="008C27DA"/>
    <w:rsid w:val="008C4507"/>
    <w:rsid w:val="008C5C61"/>
    <w:rsid w:val="008C76C7"/>
    <w:rsid w:val="008C7B24"/>
    <w:rsid w:val="008D0E88"/>
    <w:rsid w:val="008D212C"/>
    <w:rsid w:val="008D48C4"/>
    <w:rsid w:val="008D4FCA"/>
    <w:rsid w:val="008D6669"/>
    <w:rsid w:val="008E5655"/>
    <w:rsid w:val="008E614B"/>
    <w:rsid w:val="008F63FC"/>
    <w:rsid w:val="008F68BA"/>
    <w:rsid w:val="00901254"/>
    <w:rsid w:val="00902D2E"/>
    <w:rsid w:val="00907F0E"/>
    <w:rsid w:val="0091439C"/>
    <w:rsid w:val="009150C3"/>
    <w:rsid w:val="009151E6"/>
    <w:rsid w:val="00916AEF"/>
    <w:rsid w:val="00921B9B"/>
    <w:rsid w:val="00923CC5"/>
    <w:rsid w:val="00924CAC"/>
    <w:rsid w:val="00926AD2"/>
    <w:rsid w:val="009300A0"/>
    <w:rsid w:val="0093061F"/>
    <w:rsid w:val="009319AD"/>
    <w:rsid w:val="0093337D"/>
    <w:rsid w:val="009410D8"/>
    <w:rsid w:val="009427A5"/>
    <w:rsid w:val="00943164"/>
    <w:rsid w:val="00943D22"/>
    <w:rsid w:val="00951466"/>
    <w:rsid w:val="009601A7"/>
    <w:rsid w:val="0096043B"/>
    <w:rsid w:val="0096303C"/>
    <w:rsid w:val="00964B48"/>
    <w:rsid w:val="00965858"/>
    <w:rsid w:val="0097313A"/>
    <w:rsid w:val="0097427C"/>
    <w:rsid w:val="009755AC"/>
    <w:rsid w:val="00976E7E"/>
    <w:rsid w:val="009775F5"/>
    <w:rsid w:val="00981DF3"/>
    <w:rsid w:val="00985EF4"/>
    <w:rsid w:val="00986160"/>
    <w:rsid w:val="0099042A"/>
    <w:rsid w:val="00990D29"/>
    <w:rsid w:val="0099678E"/>
    <w:rsid w:val="009978FD"/>
    <w:rsid w:val="00997AFC"/>
    <w:rsid w:val="009A032E"/>
    <w:rsid w:val="009A160D"/>
    <w:rsid w:val="009A1F8C"/>
    <w:rsid w:val="009A58ED"/>
    <w:rsid w:val="009A5997"/>
    <w:rsid w:val="009A6DD8"/>
    <w:rsid w:val="009A6E61"/>
    <w:rsid w:val="009A716F"/>
    <w:rsid w:val="009B0104"/>
    <w:rsid w:val="009B24E5"/>
    <w:rsid w:val="009B2B08"/>
    <w:rsid w:val="009B2F9A"/>
    <w:rsid w:val="009B5E5D"/>
    <w:rsid w:val="009C34A1"/>
    <w:rsid w:val="009C3867"/>
    <w:rsid w:val="009C3AA1"/>
    <w:rsid w:val="009C58B5"/>
    <w:rsid w:val="009C669E"/>
    <w:rsid w:val="009C7559"/>
    <w:rsid w:val="009D2B3A"/>
    <w:rsid w:val="009D3C49"/>
    <w:rsid w:val="009D4438"/>
    <w:rsid w:val="009D4470"/>
    <w:rsid w:val="009E0860"/>
    <w:rsid w:val="009E594A"/>
    <w:rsid w:val="009E59BD"/>
    <w:rsid w:val="009E69EE"/>
    <w:rsid w:val="009E6E50"/>
    <w:rsid w:val="009E71BC"/>
    <w:rsid w:val="009F3273"/>
    <w:rsid w:val="009F4E1F"/>
    <w:rsid w:val="009F5469"/>
    <w:rsid w:val="009F581B"/>
    <w:rsid w:val="009F5888"/>
    <w:rsid w:val="00A00081"/>
    <w:rsid w:val="00A00167"/>
    <w:rsid w:val="00A008F4"/>
    <w:rsid w:val="00A02795"/>
    <w:rsid w:val="00A02CAB"/>
    <w:rsid w:val="00A03B77"/>
    <w:rsid w:val="00A04C5B"/>
    <w:rsid w:val="00A052EE"/>
    <w:rsid w:val="00A06C70"/>
    <w:rsid w:val="00A07F10"/>
    <w:rsid w:val="00A10F76"/>
    <w:rsid w:val="00A119F3"/>
    <w:rsid w:val="00A122E9"/>
    <w:rsid w:val="00A127FA"/>
    <w:rsid w:val="00A13B4C"/>
    <w:rsid w:val="00A141C1"/>
    <w:rsid w:val="00A208E9"/>
    <w:rsid w:val="00A22291"/>
    <w:rsid w:val="00A32255"/>
    <w:rsid w:val="00A3288E"/>
    <w:rsid w:val="00A333E9"/>
    <w:rsid w:val="00A34177"/>
    <w:rsid w:val="00A347CC"/>
    <w:rsid w:val="00A3588E"/>
    <w:rsid w:val="00A40A3D"/>
    <w:rsid w:val="00A42911"/>
    <w:rsid w:val="00A43B8C"/>
    <w:rsid w:val="00A45924"/>
    <w:rsid w:val="00A5411F"/>
    <w:rsid w:val="00A547F2"/>
    <w:rsid w:val="00A547FA"/>
    <w:rsid w:val="00A615CE"/>
    <w:rsid w:val="00A637B8"/>
    <w:rsid w:val="00A648D1"/>
    <w:rsid w:val="00A67095"/>
    <w:rsid w:val="00A72374"/>
    <w:rsid w:val="00A73998"/>
    <w:rsid w:val="00A73D8A"/>
    <w:rsid w:val="00A74C2C"/>
    <w:rsid w:val="00A75F02"/>
    <w:rsid w:val="00A77E01"/>
    <w:rsid w:val="00A80CF4"/>
    <w:rsid w:val="00A81451"/>
    <w:rsid w:val="00A8424F"/>
    <w:rsid w:val="00A844B0"/>
    <w:rsid w:val="00A84E76"/>
    <w:rsid w:val="00A85B00"/>
    <w:rsid w:val="00A87352"/>
    <w:rsid w:val="00A91700"/>
    <w:rsid w:val="00A92060"/>
    <w:rsid w:val="00A93596"/>
    <w:rsid w:val="00A9622E"/>
    <w:rsid w:val="00AA11FE"/>
    <w:rsid w:val="00AA33BA"/>
    <w:rsid w:val="00AB05C0"/>
    <w:rsid w:val="00AB6D9C"/>
    <w:rsid w:val="00AB7B2D"/>
    <w:rsid w:val="00AC136F"/>
    <w:rsid w:val="00AC2D4C"/>
    <w:rsid w:val="00AC308D"/>
    <w:rsid w:val="00AC3120"/>
    <w:rsid w:val="00AC4291"/>
    <w:rsid w:val="00AC4A8C"/>
    <w:rsid w:val="00AC4CB9"/>
    <w:rsid w:val="00AC524E"/>
    <w:rsid w:val="00AD3E25"/>
    <w:rsid w:val="00AE0839"/>
    <w:rsid w:val="00AE215A"/>
    <w:rsid w:val="00AE4AF1"/>
    <w:rsid w:val="00AE61F3"/>
    <w:rsid w:val="00AE79B5"/>
    <w:rsid w:val="00AF10A9"/>
    <w:rsid w:val="00AF1641"/>
    <w:rsid w:val="00AF1FA9"/>
    <w:rsid w:val="00AF233A"/>
    <w:rsid w:val="00AF2384"/>
    <w:rsid w:val="00AF2EDA"/>
    <w:rsid w:val="00AF490B"/>
    <w:rsid w:val="00AF6584"/>
    <w:rsid w:val="00AF6E21"/>
    <w:rsid w:val="00AF710B"/>
    <w:rsid w:val="00B0097B"/>
    <w:rsid w:val="00B013B1"/>
    <w:rsid w:val="00B025CC"/>
    <w:rsid w:val="00B05C81"/>
    <w:rsid w:val="00B06B15"/>
    <w:rsid w:val="00B07244"/>
    <w:rsid w:val="00B14840"/>
    <w:rsid w:val="00B16E08"/>
    <w:rsid w:val="00B229D3"/>
    <w:rsid w:val="00B2303A"/>
    <w:rsid w:val="00B23056"/>
    <w:rsid w:val="00B2634D"/>
    <w:rsid w:val="00B302CC"/>
    <w:rsid w:val="00B30E58"/>
    <w:rsid w:val="00B32C5A"/>
    <w:rsid w:val="00B336A0"/>
    <w:rsid w:val="00B363C6"/>
    <w:rsid w:val="00B3686E"/>
    <w:rsid w:val="00B36BA4"/>
    <w:rsid w:val="00B40681"/>
    <w:rsid w:val="00B413B2"/>
    <w:rsid w:val="00B437C9"/>
    <w:rsid w:val="00B4448B"/>
    <w:rsid w:val="00B46048"/>
    <w:rsid w:val="00B476F0"/>
    <w:rsid w:val="00B50098"/>
    <w:rsid w:val="00B54CB6"/>
    <w:rsid w:val="00B56A22"/>
    <w:rsid w:val="00B57957"/>
    <w:rsid w:val="00B63E94"/>
    <w:rsid w:val="00B654DA"/>
    <w:rsid w:val="00B71AD0"/>
    <w:rsid w:val="00B77FA5"/>
    <w:rsid w:val="00B80673"/>
    <w:rsid w:val="00B812D0"/>
    <w:rsid w:val="00B851CF"/>
    <w:rsid w:val="00B858E5"/>
    <w:rsid w:val="00B85AEC"/>
    <w:rsid w:val="00B879AE"/>
    <w:rsid w:val="00B9062A"/>
    <w:rsid w:val="00B90886"/>
    <w:rsid w:val="00B94CCD"/>
    <w:rsid w:val="00BA172E"/>
    <w:rsid w:val="00BA1C6F"/>
    <w:rsid w:val="00BA254E"/>
    <w:rsid w:val="00BA2B7F"/>
    <w:rsid w:val="00BA36BA"/>
    <w:rsid w:val="00BA3DBA"/>
    <w:rsid w:val="00BA4095"/>
    <w:rsid w:val="00BA5A19"/>
    <w:rsid w:val="00BA72C7"/>
    <w:rsid w:val="00BA7B26"/>
    <w:rsid w:val="00BA7C90"/>
    <w:rsid w:val="00BB274E"/>
    <w:rsid w:val="00BB45C2"/>
    <w:rsid w:val="00BB5122"/>
    <w:rsid w:val="00BB62FF"/>
    <w:rsid w:val="00BC0AFD"/>
    <w:rsid w:val="00BC3833"/>
    <w:rsid w:val="00BD1BE3"/>
    <w:rsid w:val="00BD5C63"/>
    <w:rsid w:val="00BD7317"/>
    <w:rsid w:val="00BE35A8"/>
    <w:rsid w:val="00BE38E2"/>
    <w:rsid w:val="00BE7677"/>
    <w:rsid w:val="00BF0F0C"/>
    <w:rsid w:val="00BF2BDF"/>
    <w:rsid w:val="00BF700E"/>
    <w:rsid w:val="00BF7D5C"/>
    <w:rsid w:val="00C0237B"/>
    <w:rsid w:val="00C0575B"/>
    <w:rsid w:val="00C059C6"/>
    <w:rsid w:val="00C104D7"/>
    <w:rsid w:val="00C11B6F"/>
    <w:rsid w:val="00C1440E"/>
    <w:rsid w:val="00C14451"/>
    <w:rsid w:val="00C14BB5"/>
    <w:rsid w:val="00C25FCB"/>
    <w:rsid w:val="00C305E1"/>
    <w:rsid w:val="00C30ED1"/>
    <w:rsid w:val="00C332B9"/>
    <w:rsid w:val="00C34D9D"/>
    <w:rsid w:val="00C40A39"/>
    <w:rsid w:val="00C4371E"/>
    <w:rsid w:val="00C457C0"/>
    <w:rsid w:val="00C45B27"/>
    <w:rsid w:val="00C468CC"/>
    <w:rsid w:val="00C503C9"/>
    <w:rsid w:val="00C513D6"/>
    <w:rsid w:val="00C55938"/>
    <w:rsid w:val="00C56C24"/>
    <w:rsid w:val="00C57290"/>
    <w:rsid w:val="00C5763F"/>
    <w:rsid w:val="00C57B92"/>
    <w:rsid w:val="00C630AC"/>
    <w:rsid w:val="00C67566"/>
    <w:rsid w:val="00C732A9"/>
    <w:rsid w:val="00C73605"/>
    <w:rsid w:val="00C7391E"/>
    <w:rsid w:val="00C769D1"/>
    <w:rsid w:val="00C811F5"/>
    <w:rsid w:val="00C85B4C"/>
    <w:rsid w:val="00C9038A"/>
    <w:rsid w:val="00C94003"/>
    <w:rsid w:val="00C96B84"/>
    <w:rsid w:val="00CA1FDE"/>
    <w:rsid w:val="00CA711C"/>
    <w:rsid w:val="00CB0A5F"/>
    <w:rsid w:val="00CB0E45"/>
    <w:rsid w:val="00CB1B6D"/>
    <w:rsid w:val="00CB24F0"/>
    <w:rsid w:val="00CB5C03"/>
    <w:rsid w:val="00CC33D0"/>
    <w:rsid w:val="00CC3CD0"/>
    <w:rsid w:val="00CC646C"/>
    <w:rsid w:val="00CD0C35"/>
    <w:rsid w:val="00CD21F7"/>
    <w:rsid w:val="00CE131F"/>
    <w:rsid w:val="00CE2543"/>
    <w:rsid w:val="00CE2C53"/>
    <w:rsid w:val="00CE3401"/>
    <w:rsid w:val="00CE490E"/>
    <w:rsid w:val="00CE4E48"/>
    <w:rsid w:val="00CE5AC0"/>
    <w:rsid w:val="00CF0BB6"/>
    <w:rsid w:val="00D05BB6"/>
    <w:rsid w:val="00D06BC6"/>
    <w:rsid w:val="00D06F93"/>
    <w:rsid w:val="00D1026F"/>
    <w:rsid w:val="00D10E1F"/>
    <w:rsid w:val="00D10F81"/>
    <w:rsid w:val="00D110A5"/>
    <w:rsid w:val="00D14608"/>
    <w:rsid w:val="00D14CD2"/>
    <w:rsid w:val="00D15931"/>
    <w:rsid w:val="00D16690"/>
    <w:rsid w:val="00D17381"/>
    <w:rsid w:val="00D2096F"/>
    <w:rsid w:val="00D2154C"/>
    <w:rsid w:val="00D23B7E"/>
    <w:rsid w:val="00D3003E"/>
    <w:rsid w:val="00D30C3D"/>
    <w:rsid w:val="00D30E03"/>
    <w:rsid w:val="00D33E3D"/>
    <w:rsid w:val="00D3543A"/>
    <w:rsid w:val="00D372BC"/>
    <w:rsid w:val="00D378F7"/>
    <w:rsid w:val="00D41DC3"/>
    <w:rsid w:val="00D54362"/>
    <w:rsid w:val="00D55BC5"/>
    <w:rsid w:val="00D57D80"/>
    <w:rsid w:val="00D65BB4"/>
    <w:rsid w:val="00D66367"/>
    <w:rsid w:val="00D66CCC"/>
    <w:rsid w:val="00D67E8F"/>
    <w:rsid w:val="00D7213E"/>
    <w:rsid w:val="00D74C4F"/>
    <w:rsid w:val="00D76D21"/>
    <w:rsid w:val="00D82308"/>
    <w:rsid w:val="00D83D66"/>
    <w:rsid w:val="00D8411D"/>
    <w:rsid w:val="00D87780"/>
    <w:rsid w:val="00D96D3B"/>
    <w:rsid w:val="00DA06F0"/>
    <w:rsid w:val="00DA143C"/>
    <w:rsid w:val="00DA1A4B"/>
    <w:rsid w:val="00DB020E"/>
    <w:rsid w:val="00DB0231"/>
    <w:rsid w:val="00DB082D"/>
    <w:rsid w:val="00DB2BBD"/>
    <w:rsid w:val="00DB7410"/>
    <w:rsid w:val="00DC0987"/>
    <w:rsid w:val="00DC444E"/>
    <w:rsid w:val="00DC4D76"/>
    <w:rsid w:val="00DC6080"/>
    <w:rsid w:val="00DC7E49"/>
    <w:rsid w:val="00DD1C76"/>
    <w:rsid w:val="00DD297B"/>
    <w:rsid w:val="00DD53A4"/>
    <w:rsid w:val="00DE3841"/>
    <w:rsid w:val="00DE3A5E"/>
    <w:rsid w:val="00DE408E"/>
    <w:rsid w:val="00DF0CBF"/>
    <w:rsid w:val="00DF25E9"/>
    <w:rsid w:val="00DF287E"/>
    <w:rsid w:val="00DF63B7"/>
    <w:rsid w:val="00DF7B24"/>
    <w:rsid w:val="00E00920"/>
    <w:rsid w:val="00E0178C"/>
    <w:rsid w:val="00E03329"/>
    <w:rsid w:val="00E077E7"/>
    <w:rsid w:val="00E113AE"/>
    <w:rsid w:val="00E12349"/>
    <w:rsid w:val="00E14CBC"/>
    <w:rsid w:val="00E16C64"/>
    <w:rsid w:val="00E17782"/>
    <w:rsid w:val="00E21D90"/>
    <w:rsid w:val="00E228E4"/>
    <w:rsid w:val="00E22CCA"/>
    <w:rsid w:val="00E25EB6"/>
    <w:rsid w:val="00E2623E"/>
    <w:rsid w:val="00E3742F"/>
    <w:rsid w:val="00E40288"/>
    <w:rsid w:val="00E42F78"/>
    <w:rsid w:val="00E45788"/>
    <w:rsid w:val="00E51E59"/>
    <w:rsid w:val="00E5230C"/>
    <w:rsid w:val="00E523EF"/>
    <w:rsid w:val="00E5262A"/>
    <w:rsid w:val="00E54990"/>
    <w:rsid w:val="00E5562B"/>
    <w:rsid w:val="00E629FD"/>
    <w:rsid w:val="00E62B66"/>
    <w:rsid w:val="00E63A66"/>
    <w:rsid w:val="00E65D72"/>
    <w:rsid w:val="00E70E0A"/>
    <w:rsid w:val="00E80EC4"/>
    <w:rsid w:val="00E8100B"/>
    <w:rsid w:val="00E86D9D"/>
    <w:rsid w:val="00E86DD3"/>
    <w:rsid w:val="00E92CA1"/>
    <w:rsid w:val="00E92E15"/>
    <w:rsid w:val="00E9340D"/>
    <w:rsid w:val="00E97804"/>
    <w:rsid w:val="00EA18BC"/>
    <w:rsid w:val="00EA3820"/>
    <w:rsid w:val="00EA3F30"/>
    <w:rsid w:val="00EA411D"/>
    <w:rsid w:val="00EA561B"/>
    <w:rsid w:val="00EA5D3E"/>
    <w:rsid w:val="00EA7106"/>
    <w:rsid w:val="00EA7443"/>
    <w:rsid w:val="00EB09A4"/>
    <w:rsid w:val="00EB29A4"/>
    <w:rsid w:val="00EB3145"/>
    <w:rsid w:val="00EC67D8"/>
    <w:rsid w:val="00ED1A25"/>
    <w:rsid w:val="00ED2B8A"/>
    <w:rsid w:val="00ED34EA"/>
    <w:rsid w:val="00ED3569"/>
    <w:rsid w:val="00ED47E3"/>
    <w:rsid w:val="00ED6F68"/>
    <w:rsid w:val="00EE0347"/>
    <w:rsid w:val="00EE3DD2"/>
    <w:rsid w:val="00EE4C62"/>
    <w:rsid w:val="00EF056E"/>
    <w:rsid w:val="00EF4126"/>
    <w:rsid w:val="00F007B7"/>
    <w:rsid w:val="00F052EF"/>
    <w:rsid w:val="00F10AA0"/>
    <w:rsid w:val="00F12BD7"/>
    <w:rsid w:val="00F13363"/>
    <w:rsid w:val="00F14AE2"/>
    <w:rsid w:val="00F151BD"/>
    <w:rsid w:val="00F170DA"/>
    <w:rsid w:val="00F172F0"/>
    <w:rsid w:val="00F21CE6"/>
    <w:rsid w:val="00F22413"/>
    <w:rsid w:val="00F2412C"/>
    <w:rsid w:val="00F333B8"/>
    <w:rsid w:val="00F336F7"/>
    <w:rsid w:val="00F42879"/>
    <w:rsid w:val="00F43518"/>
    <w:rsid w:val="00F43A9C"/>
    <w:rsid w:val="00F47520"/>
    <w:rsid w:val="00F47A43"/>
    <w:rsid w:val="00F50074"/>
    <w:rsid w:val="00F576D8"/>
    <w:rsid w:val="00F57DEF"/>
    <w:rsid w:val="00F61CD9"/>
    <w:rsid w:val="00F62EFF"/>
    <w:rsid w:val="00F659F8"/>
    <w:rsid w:val="00F67557"/>
    <w:rsid w:val="00F72AF9"/>
    <w:rsid w:val="00F74FC8"/>
    <w:rsid w:val="00F75305"/>
    <w:rsid w:val="00F83B89"/>
    <w:rsid w:val="00F83FBD"/>
    <w:rsid w:val="00F86A98"/>
    <w:rsid w:val="00F92C7C"/>
    <w:rsid w:val="00F9711D"/>
    <w:rsid w:val="00FA2BD7"/>
    <w:rsid w:val="00FA422B"/>
    <w:rsid w:val="00FA67F8"/>
    <w:rsid w:val="00FB11BC"/>
    <w:rsid w:val="00FB42BE"/>
    <w:rsid w:val="00FB4C18"/>
    <w:rsid w:val="00FC16BE"/>
    <w:rsid w:val="00FC3E8D"/>
    <w:rsid w:val="00FC4233"/>
    <w:rsid w:val="00FD133B"/>
    <w:rsid w:val="00FD734E"/>
    <w:rsid w:val="00FE1E56"/>
    <w:rsid w:val="00FE484B"/>
    <w:rsid w:val="00FE5186"/>
    <w:rsid w:val="00FE5C64"/>
    <w:rsid w:val="00FE6DA9"/>
    <w:rsid w:val="00FF0CF3"/>
    <w:rsid w:val="00FF4556"/>
    <w:rsid w:val="00FF6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1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B4410"/>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99"/>
    <w:rsid w:val="008C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uiPriority w:val="99"/>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link w:val="Galvene"/>
    <w:uiPriority w:val="99"/>
    <w:semiHidden/>
    <w:rsid w:val="00FA6CBD"/>
    <w:rPr>
      <w:sz w:val="24"/>
      <w:szCs w:val="24"/>
    </w:rPr>
  </w:style>
  <w:style w:type="character" w:styleId="Lappusesnumurs">
    <w:name w:val="page number"/>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s"/>
    <w:link w:val="KjeneRakstz"/>
    <w:uiPriority w:val="99"/>
    <w:rsid w:val="008C0C16"/>
    <w:pPr>
      <w:tabs>
        <w:tab w:val="center" w:pos="4153"/>
        <w:tab w:val="right" w:pos="8306"/>
      </w:tabs>
    </w:pPr>
  </w:style>
  <w:style w:type="character" w:customStyle="1" w:styleId="KjeneRakstz">
    <w:name w:val="Kājene Rakstz."/>
    <w:link w:val="Kjene"/>
    <w:uiPriority w:val="99"/>
    <w:semiHidden/>
    <w:rsid w:val="00FA6CBD"/>
    <w:rPr>
      <w:sz w:val="24"/>
      <w:szCs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sz w:val="0"/>
      <w:szCs w:val="0"/>
    </w:rPr>
  </w:style>
  <w:style w:type="character" w:customStyle="1" w:styleId="BalontekstsRakstz">
    <w:name w:val="Balonteksts Rakstz."/>
    <w:link w:val="Balonteksts"/>
    <w:uiPriority w:val="99"/>
    <w:semiHidden/>
    <w:rsid w:val="00FA6CBD"/>
    <w:rPr>
      <w:sz w:val="0"/>
      <w:szCs w:val="0"/>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link w:val="ParaststmeklisRakstz"/>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eastAsia="Times New Roman" w:hAnsi="Calibri" w:cs="Times New Roman"/>
      <w:lang w:eastAsia="en-US"/>
    </w:rPr>
  </w:style>
  <w:style w:type="character" w:styleId="Vresatsauce">
    <w:name w:val="footnote reference"/>
    <w:uiPriority w:val="99"/>
    <w:rsid w:val="003B4E5D"/>
    <w:rPr>
      <w:rFonts w:cs="Times New Roman"/>
      <w:vertAlign w:val="superscript"/>
    </w:rPr>
  </w:style>
  <w:style w:type="paragraph" w:customStyle="1" w:styleId="tv2131">
    <w:name w:val="tv2131"/>
    <w:basedOn w:val="Parasts"/>
    <w:rsid w:val="00A73D8A"/>
    <w:pPr>
      <w:spacing w:line="360" w:lineRule="auto"/>
      <w:ind w:firstLine="300"/>
    </w:pPr>
    <w:rPr>
      <w:color w:val="414142"/>
      <w:sz w:val="20"/>
      <w:szCs w:val="20"/>
    </w:rPr>
  </w:style>
  <w:style w:type="paragraph" w:styleId="Pamattekstaatkpe2">
    <w:name w:val="Body Text Indent 2"/>
    <w:basedOn w:val="Parasts"/>
    <w:link w:val="Pamattekstaatkpe2Rakstz"/>
    <w:uiPriority w:val="99"/>
    <w:rsid w:val="00004AF8"/>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rsid w:val="00004AF8"/>
    <w:rPr>
      <w:sz w:val="24"/>
      <w:lang w:eastAsia="en-US"/>
    </w:rPr>
  </w:style>
  <w:style w:type="character" w:customStyle="1" w:styleId="ParaststmeklisRakstz">
    <w:name w:val="Parasts (tīmeklis) Rakstz."/>
    <w:link w:val="Paraststmeklis"/>
    <w:locked/>
    <w:rsid w:val="00CE2543"/>
    <w:rPr>
      <w:sz w:val="24"/>
      <w:szCs w:val="24"/>
    </w:rPr>
  </w:style>
  <w:style w:type="paragraph" w:styleId="Bezatstarpm">
    <w:name w:val="No Spacing"/>
    <w:qFormat/>
    <w:rsid w:val="007D6B54"/>
    <w:rPr>
      <w:rFonts w:ascii="Calibri" w:eastAsia="Calibri" w:hAnsi="Calibri"/>
      <w:sz w:val="22"/>
      <w:szCs w:val="22"/>
      <w:lang w:eastAsia="en-US"/>
    </w:rPr>
  </w:style>
  <w:style w:type="paragraph" w:customStyle="1" w:styleId="tv213">
    <w:name w:val="tv213"/>
    <w:basedOn w:val="Parasts"/>
    <w:rsid w:val="00E00920"/>
    <w:pPr>
      <w:spacing w:before="100" w:beforeAutospacing="1" w:after="100" w:afterAutospacing="1"/>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B4410"/>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99"/>
    <w:rsid w:val="008C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uiPriority w:val="99"/>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link w:val="Galvene"/>
    <w:uiPriority w:val="99"/>
    <w:semiHidden/>
    <w:rsid w:val="00FA6CBD"/>
    <w:rPr>
      <w:sz w:val="24"/>
      <w:szCs w:val="24"/>
    </w:rPr>
  </w:style>
  <w:style w:type="character" w:styleId="Lappusesnumurs">
    <w:name w:val="page number"/>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s"/>
    <w:link w:val="KjeneRakstz"/>
    <w:uiPriority w:val="99"/>
    <w:rsid w:val="008C0C16"/>
    <w:pPr>
      <w:tabs>
        <w:tab w:val="center" w:pos="4153"/>
        <w:tab w:val="right" w:pos="8306"/>
      </w:tabs>
    </w:pPr>
  </w:style>
  <w:style w:type="character" w:customStyle="1" w:styleId="KjeneRakstz">
    <w:name w:val="Kājene Rakstz."/>
    <w:link w:val="Kjene"/>
    <w:uiPriority w:val="99"/>
    <w:semiHidden/>
    <w:rsid w:val="00FA6CBD"/>
    <w:rPr>
      <w:sz w:val="24"/>
      <w:szCs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sz w:val="0"/>
      <w:szCs w:val="0"/>
    </w:rPr>
  </w:style>
  <w:style w:type="character" w:customStyle="1" w:styleId="BalontekstsRakstz">
    <w:name w:val="Balonteksts Rakstz."/>
    <w:link w:val="Balonteksts"/>
    <w:uiPriority w:val="99"/>
    <w:semiHidden/>
    <w:rsid w:val="00FA6CBD"/>
    <w:rPr>
      <w:sz w:val="0"/>
      <w:szCs w:val="0"/>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link w:val="ParaststmeklisRakstz"/>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eastAsia="Times New Roman" w:hAnsi="Calibri" w:cs="Times New Roman"/>
      <w:lang w:eastAsia="en-US"/>
    </w:rPr>
  </w:style>
  <w:style w:type="character" w:styleId="Vresatsauce">
    <w:name w:val="footnote reference"/>
    <w:uiPriority w:val="99"/>
    <w:rsid w:val="003B4E5D"/>
    <w:rPr>
      <w:rFonts w:cs="Times New Roman"/>
      <w:vertAlign w:val="superscript"/>
    </w:rPr>
  </w:style>
  <w:style w:type="paragraph" w:customStyle="1" w:styleId="tv2131">
    <w:name w:val="tv2131"/>
    <w:basedOn w:val="Parasts"/>
    <w:rsid w:val="00A73D8A"/>
    <w:pPr>
      <w:spacing w:line="360" w:lineRule="auto"/>
      <w:ind w:firstLine="300"/>
    </w:pPr>
    <w:rPr>
      <w:color w:val="414142"/>
      <w:sz w:val="20"/>
      <w:szCs w:val="20"/>
    </w:rPr>
  </w:style>
  <w:style w:type="paragraph" w:styleId="Pamattekstaatkpe2">
    <w:name w:val="Body Text Indent 2"/>
    <w:basedOn w:val="Parasts"/>
    <w:link w:val="Pamattekstaatkpe2Rakstz"/>
    <w:uiPriority w:val="99"/>
    <w:rsid w:val="00004AF8"/>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rsid w:val="00004AF8"/>
    <w:rPr>
      <w:sz w:val="24"/>
      <w:lang w:eastAsia="en-US"/>
    </w:rPr>
  </w:style>
  <w:style w:type="character" w:customStyle="1" w:styleId="ParaststmeklisRakstz">
    <w:name w:val="Parasts (tīmeklis) Rakstz."/>
    <w:link w:val="Paraststmeklis"/>
    <w:locked/>
    <w:rsid w:val="00CE2543"/>
    <w:rPr>
      <w:sz w:val="24"/>
      <w:szCs w:val="24"/>
    </w:rPr>
  </w:style>
  <w:style w:type="paragraph" w:styleId="Bezatstarpm">
    <w:name w:val="No Spacing"/>
    <w:qFormat/>
    <w:rsid w:val="007D6B54"/>
    <w:rPr>
      <w:rFonts w:ascii="Calibri" w:eastAsia="Calibri" w:hAnsi="Calibri"/>
      <w:sz w:val="22"/>
      <w:szCs w:val="22"/>
      <w:lang w:eastAsia="en-US"/>
    </w:rPr>
  </w:style>
  <w:style w:type="paragraph" w:customStyle="1" w:styleId="tv213">
    <w:name w:val="tv213"/>
    <w:basedOn w:val="Parasts"/>
    <w:rsid w:val="00E00920"/>
    <w:pPr>
      <w:spacing w:before="100" w:beforeAutospacing="1" w:after="100" w:afterAutospacing="1"/>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19411">
      <w:bodyDiv w:val="1"/>
      <w:marLeft w:val="0"/>
      <w:marRight w:val="0"/>
      <w:marTop w:val="0"/>
      <w:marBottom w:val="0"/>
      <w:divBdr>
        <w:top w:val="none" w:sz="0" w:space="0" w:color="auto"/>
        <w:left w:val="none" w:sz="0" w:space="0" w:color="auto"/>
        <w:bottom w:val="none" w:sz="0" w:space="0" w:color="auto"/>
        <w:right w:val="none" w:sz="0" w:space="0" w:color="auto"/>
      </w:divBdr>
      <w:divsChild>
        <w:div w:id="693924477">
          <w:marLeft w:val="0"/>
          <w:marRight w:val="0"/>
          <w:marTop w:val="0"/>
          <w:marBottom w:val="0"/>
          <w:divBdr>
            <w:top w:val="none" w:sz="0" w:space="0" w:color="auto"/>
            <w:left w:val="none" w:sz="0" w:space="0" w:color="auto"/>
            <w:bottom w:val="none" w:sz="0" w:space="0" w:color="auto"/>
            <w:right w:val="none" w:sz="0" w:space="0" w:color="auto"/>
          </w:divBdr>
          <w:divsChild>
            <w:div w:id="36316957">
              <w:marLeft w:val="0"/>
              <w:marRight w:val="0"/>
              <w:marTop w:val="0"/>
              <w:marBottom w:val="0"/>
              <w:divBdr>
                <w:top w:val="none" w:sz="0" w:space="0" w:color="auto"/>
                <w:left w:val="none" w:sz="0" w:space="0" w:color="auto"/>
                <w:bottom w:val="none" w:sz="0" w:space="0" w:color="auto"/>
                <w:right w:val="none" w:sz="0" w:space="0" w:color="auto"/>
              </w:divBdr>
              <w:divsChild>
                <w:div w:id="188763612">
                  <w:marLeft w:val="0"/>
                  <w:marRight w:val="0"/>
                  <w:marTop w:val="0"/>
                  <w:marBottom w:val="0"/>
                  <w:divBdr>
                    <w:top w:val="none" w:sz="0" w:space="0" w:color="auto"/>
                    <w:left w:val="none" w:sz="0" w:space="0" w:color="auto"/>
                    <w:bottom w:val="none" w:sz="0" w:space="0" w:color="auto"/>
                    <w:right w:val="none" w:sz="0" w:space="0" w:color="auto"/>
                  </w:divBdr>
                  <w:divsChild>
                    <w:div w:id="943656514">
                      <w:marLeft w:val="0"/>
                      <w:marRight w:val="0"/>
                      <w:marTop w:val="0"/>
                      <w:marBottom w:val="0"/>
                      <w:divBdr>
                        <w:top w:val="none" w:sz="0" w:space="0" w:color="auto"/>
                        <w:left w:val="none" w:sz="0" w:space="0" w:color="auto"/>
                        <w:bottom w:val="none" w:sz="0" w:space="0" w:color="auto"/>
                        <w:right w:val="none" w:sz="0" w:space="0" w:color="auto"/>
                      </w:divBdr>
                      <w:divsChild>
                        <w:div w:id="1398094482">
                          <w:marLeft w:val="0"/>
                          <w:marRight w:val="0"/>
                          <w:marTop w:val="0"/>
                          <w:marBottom w:val="0"/>
                          <w:divBdr>
                            <w:top w:val="none" w:sz="0" w:space="0" w:color="auto"/>
                            <w:left w:val="none" w:sz="0" w:space="0" w:color="auto"/>
                            <w:bottom w:val="none" w:sz="0" w:space="0" w:color="auto"/>
                            <w:right w:val="none" w:sz="0" w:space="0" w:color="auto"/>
                          </w:divBdr>
                          <w:divsChild>
                            <w:div w:id="3891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5540">
      <w:marLeft w:val="0"/>
      <w:marRight w:val="0"/>
      <w:marTop w:val="0"/>
      <w:marBottom w:val="0"/>
      <w:divBdr>
        <w:top w:val="none" w:sz="0" w:space="0" w:color="auto"/>
        <w:left w:val="none" w:sz="0" w:space="0" w:color="auto"/>
        <w:bottom w:val="none" w:sz="0" w:space="0" w:color="auto"/>
        <w:right w:val="none" w:sz="0" w:space="0" w:color="auto"/>
      </w:divBdr>
      <w:divsChild>
        <w:div w:id="1671635541">
          <w:marLeft w:val="0"/>
          <w:marRight w:val="0"/>
          <w:marTop w:val="0"/>
          <w:marBottom w:val="0"/>
          <w:divBdr>
            <w:top w:val="none" w:sz="0" w:space="0" w:color="auto"/>
            <w:left w:val="none" w:sz="0" w:space="0" w:color="auto"/>
            <w:bottom w:val="none" w:sz="0" w:space="0" w:color="auto"/>
            <w:right w:val="none" w:sz="0" w:space="0" w:color="auto"/>
          </w:divBdr>
        </w:div>
      </w:divsChild>
    </w:div>
    <w:div w:id="1671635542">
      <w:marLeft w:val="0"/>
      <w:marRight w:val="0"/>
      <w:marTop w:val="0"/>
      <w:marBottom w:val="0"/>
      <w:divBdr>
        <w:top w:val="none" w:sz="0" w:space="0" w:color="auto"/>
        <w:left w:val="none" w:sz="0" w:space="0" w:color="auto"/>
        <w:bottom w:val="none" w:sz="0" w:space="0" w:color="auto"/>
        <w:right w:val="none" w:sz="0" w:space="0" w:color="auto"/>
      </w:divBdr>
    </w:div>
    <w:div w:id="1671635544">
      <w:marLeft w:val="0"/>
      <w:marRight w:val="0"/>
      <w:marTop w:val="0"/>
      <w:marBottom w:val="0"/>
      <w:divBdr>
        <w:top w:val="none" w:sz="0" w:space="0" w:color="auto"/>
        <w:left w:val="none" w:sz="0" w:space="0" w:color="auto"/>
        <w:bottom w:val="none" w:sz="0" w:space="0" w:color="auto"/>
        <w:right w:val="none" w:sz="0" w:space="0" w:color="auto"/>
      </w:divBdr>
      <w:divsChild>
        <w:div w:id="1671635543">
          <w:marLeft w:val="0"/>
          <w:marRight w:val="0"/>
          <w:marTop w:val="0"/>
          <w:marBottom w:val="0"/>
          <w:divBdr>
            <w:top w:val="none" w:sz="0" w:space="0" w:color="auto"/>
            <w:left w:val="none" w:sz="0" w:space="0" w:color="auto"/>
            <w:bottom w:val="none" w:sz="0" w:space="0" w:color="auto"/>
            <w:right w:val="none" w:sz="0" w:space="0" w:color="auto"/>
          </w:divBdr>
        </w:div>
        <w:div w:id="1671635545">
          <w:marLeft w:val="0"/>
          <w:marRight w:val="0"/>
          <w:marTop w:val="0"/>
          <w:marBottom w:val="0"/>
          <w:divBdr>
            <w:top w:val="none" w:sz="0" w:space="0" w:color="auto"/>
            <w:left w:val="none" w:sz="0" w:space="0" w:color="auto"/>
            <w:bottom w:val="none" w:sz="0" w:space="0" w:color="auto"/>
            <w:right w:val="none" w:sz="0" w:space="0" w:color="auto"/>
          </w:divBdr>
        </w:div>
      </w:divsChild>
    </w:div>
    <w:div w:id="20936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Just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DD6A-EFE1-45E5-B41F-A94A0C9C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13682</Words>
  <Characters>7800</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1995.gada 19.decembra noteikumos Nr.388 "Zivju fonda nolikums"” sākotnējās ietekmes novērtējuma ziņojums (anotācija)</vt:lpstr>
    </vt:vector>
  </TitlesOfParts>
  <Company>ZM</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1995.gada 19.decembra noteikumos Nr.388 "Zivju fonda nolikums"” sākotnējās ietekmes novērtējuma ziņojums (anotācija)</dc:title>
  <dc:subject>Anotācija</dc:subject>
  <dc:creator>Zemkopības ministrija</dc:creator>
  <dc:description>Jānis Ābele, tālr.67027823</dc:description>
  <cp:lastModifiedBy>Ineta Lakstigala</cp:lastModifiedBy>
  <cp:revision>2</cp:revision>
  <cp:lastPrinted>2014-05-07T08:10:00Z</cp:lastPrinted>
  <dcterms:created xsi:type="dcterms:W3CDTF">2014-06-16T12:38:00Z</dcterms:created>
  <dcterms:modified xsi:type="dcterms:W3CDTF">2014-06-16T12:38:00Z</dcterms:modified>
</cp:coreProperties>
</file>