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232" w:rsidRPr="002225BF" w:rsidRDefault="0096178F">
      <w:pPr>
        <w:rPr>
          <w:rFonts w:ascii="Times New Roman" w:hAnsi="Times New Roman" w:cs="Times New Roman"/>
          <w:b/>
          <w:sz w:val="24"/>
          <w:szCs w:val="24"/>
        </w:rPr>
      </w:pPr>
      <w:bookmarkStart w:id="0" w:name="OLE_LINK1"/>
      <w:bookmarkStart w:id="1" w:name="OLE_LINK2"/>
      <w:bookmarkStart w:id="2" w:name="_GoBack"/>
      <w:r>
        <w:rPr>
          <w:rFonts w:ascii="Times New Roman" w:hAnsi="Times New Roman" w:cs="Times New Roman"/>
          <w:b/>
          <w:sz w:val="24"/>
          <w:szCs w:val="24"/>
        </w:rPr>
        <w:t>S</w:t>
      </w:r>
      <w:r w:rsidR="00DC398B" w:rsidRPr="002225BF">
        <w:rPr>
          <w:rFonts w:ascii="Times New Roman" w:hAnsi="Times New Roman" w:cs="Times New Roman"/>
          <w:b/>
          <w:sz w:val="24"/>
          <w:szCs w:val="24"/>
        </w:rPr>
        <w:t xml:space="preserve">adarbības programmas </w:t>
      </w:r>
      <w:r w:rsidR="00053AEA">
        <w:rPr>
          <w:rFonts w:ascii="Times New Roman" w:hAnsi="Times New Roman" w:cs="Times New Roman"/>
          <w:b/>
          <w:sz w:val="24"/>
          <w:szCs w:val="24"/>
        </w:rPr>
        <w:t>INTERACT</w:t>
      </w:r>
      <w:r w:rsidR="00812325">
        <w:rPr>
          <w:rFonts w:ascii="Times New Roman" w:hAnsi="Times New Roman" w:cs="Times New Roman"/>
          <w:b/>
          <w:sz w:val="24"/>
          <w:szCs w:val="24"/>
        </w:rPr>
        <w:t xml:space="preserve"> </w:t>
      </w:r>
      <w:r w:rsidR="00BF2B54">
        <w:rPr>
          <w:rFonts w:ascii="Times New Roman" w:hAnsi="Times New Roman" w:cs="Times New Roman"/>
          <w:b/>
          <w:sz w:val="24"/>
          <w:szCs w:val="24"/>
        </w:rPr>
        <w:t>III</w:t>
      </w:r>
      <w:r w:rsidR="00DC398B" w:rsidRPr="002225BF">
        <w:rPr>
          <w:rFonts w:ascii="Times New Roman" w:hAnsi="Times New Roman" w:cs="Times New Roman"/>
          <w:b/>
          <w:sz w:val="24"/>
          <w:szCs w:val="24"/>
        </w:rPr>
        <w:t xml:space="preserve"> 2014.-2020.gadam</w:t>
      </w:r>
      <w:r w:rsidR="00B64CE3" w:rsidRPr="002225BF">
        <w:rPr>
          <w:rFonts w:ascii="Times New Roman" w:hAnsi="Times New Roman" w:cs="Times New Roman"/>
          <w:b/>
          <w:sz w:val="24"/>
          <w:szCs w:val="24"/>
        </w:rPr>
        <w:t xml:space="preserve"> projekta</w:t>
      </w:r>
      <w:bookmarkEnd w:id="0"/>
      <w:bookmarkEnd w:id="1"/>
    </w:p>
    <w:p w:rsidR="00DC398B" w:rsidRPr="002225BF" w:rsidRDefault="00DC398B">
      <w:pPr>
        <w:rPr>
          <w:rFonts w:ascii="Times New Roman" w:hAnsi="Times New Roman" w:cs="Times New Roman"/>
          <w:b/>
          <w:sz w:val="24"/>
          <w:szCs w:val="24"/>
        </w:rPr>
      </w:pPr>
      <w:r w:rsidRPr="002225BF">
        <w:rPr>
          <w:rFonts w:ascii="Times New Roman" w:hAnsi="Times New Roman" w:cs="Times New Roman"/>
          <w:b/>
          <w:sz w:val="24"/>
          <w:szCs w:val="24"/>
        </w:rPr>
        <w:t>KOPSAVILKUMS</w:t>
      </w:r>
    </w:p>
    <w:p w:rsidR="00DC398B" w:rsidRPr="002225BF" w:rsidRDefault="00DC398B">
      <w:pPr>
        <w:rPr>
          <w:rFonts w:ascii="Times New Roman" w:hAnsi="Times New Roman" w:cs="Times New Roman"/>
          <w:b/>
          <w:sz w:val="24"/>
          <w:szCs w:val="24"/>
        </w:rPr>
      </w:pPr>
    </w:p>
    <w:p w:rsidR="00DC398B" w:rsidRDefault="00A51B0C" w:rsidP="00812325">
      <w:pPr>
        <w:ind w:left="-284" w:right="-524" w:firstLine="284"/>
        <w:jc w:val="both"/>
        <w:rPr>
          <w:rFonts w:ascii="Times New Roman" w:hAnsi="Times New Roman" w:cs="Times New Roman"/>
          <w:b/>
          <w:sz w:val="24"/>
          <w:szCs w:val="24"/>
        </w:rPr>
      </w:pPr>
      <w:r w:rsidRPr="002225BF">
        <w:rPr>
          <w:rFonts w:ascii="Times New Roman" w:hAnsi="Times New Roman" w:cs="Times New Roman"/>
          <w:b/>
          <w:sz w:val="24"/>
          <w:szCs w:val="24"/>
        </w:rPr>
        <w:t>1.Risināmā jautājuma būtība</w:t>
      </w:r>
    </w:p>
    <w:p w:rsidR="00812325" w:rsidRPr="002225BF" w:rsidRDefault="00812325" w:rsidP="00812325">
      <w:pPr>
        <w:ind w:left="-284" w:right="-524" w:firstLine="284"/>
        <w:jc w:val="both"/>
        <w:rPr>
          <w:rFonts w:ascii="Times New Roman" w:hAnsi="Times New Roman" w:cs="Times New Roman"/>
          <w:b/>
          <w:sz w:val="24"/>
          <w:szCs w:val="24"/>
        </w:rPr>
      </w:pPr>
    </w:p>
    <w:p w:rsidR="00471CBD" w:rsidRPr="002225BF" w:rsidRDefault="00471CBD" w:rsidP="00053AEA">
      <w:pPr>
        <w:ind w:left="0" w:right="-524"/>
        <w:jc w:val="both"/>
        <w:rPr>
          <w:rFonts w:ascii="Times New Roman" w:hAnsi="Times New Roman" w:cs="Times New Roman"/>
          <w:sz w:val="24"/>
          <w:szCs w:val="24"/>
        </w:rPr>
      </w:pPr>
      <w:r w:rsidRPr="002225BF">
        <w:rPr>
          <w:rFonts w:ascii="Times New Roman" w:hAnsi="Times New Roman" w:cs="Times New Roman"/>
          <w:sz w:val="24"/>
          <w:szCs w:val="24"/>
        </w:rPr>
        <w:t xml:space="preserve">Pamatojoties uz Ministru Kabineta </w:t>
      </w:r>
      <w:r w:rsidR="009F54DB">
        <w:rPr>
          <w:rFonts w:ascii="Times New Roman" w:hAnsi="Times New Roman" w:cs="Times New Roman"/>
          <w:sz w:val="24"/>
          <w:szCs w:val="24"/>
        </w:rPr>
        <w:t xml:space="preserve">(turpmāk – MK) </w:t>
      </w:r>
      <w:r w:rsidRPr="002225BF">
        <w:rPr>
          <w:rFonts w:ascii="Times New Roman" w:hAnsi="Times New Roman" w:cs="Times New Roman"/>
          <w:sz w:val="24"/>
          <w:szCs w:val="24"/>
        </w:rPr>
        <w:t xml:space="preserve">2013.gada 22.novembra </w:t>
      </w:r>
      <w:r w:rsidR="00BC4993">
        <w:rPr>
          <w:rFonts w:ascii="Times New Roman" w:hAnsi="Times New Roman" w:cs="Times New Roman"/>
          <w:sz w:val="24"/>
          <w:szCs w:val="24"/>
        </w:rPr>
        <w:t>rīkojuma</w:t>
      </w:r>
      <w:r w:rsidR="00812325">
        <w:rPr>
          <w:rFonts w:ascii="Times New Roman" w:hAnsi="Times New Roman" w:cs="Times New Roman"/>
          <w:sz w:val="24"/>
          <w:szCs w:val="24"/>
        </w:rPr>
        <w:t xml:space="preserve"> </w:t>
      </w:r>
      <w:r w:rsidR="00812325" w:rsidRPr="00074196">
        <w:rPr>
          <w:rFonts w:ascii="Times New Roman" w:hAnsi="Times New Roman"/>
          <w:sz w:val="24"/>
          <w:szCs w:val="24"/>
        </w:rPr>
        <w:t>Nr.561 „Par uzdevumiem Eiropas Savienības strukturālo un investīciju fondu mērķa "Eiropas teritoriālā sadarbība" 2014.–2020.gada plānošanas periodam vadības, uzraudzības un kontroles sistēmas ievi</w:t>
      </w:r>
      <w:r w:rsidR="00812325">
        <w:rPr>
          <w:rFonts w:ascii="Times New Roman" w:hAnsi="Times New Roman"/>
          <w:sz w:val="24"/>
          <w:szCs w:val="24"/>
        </w:rPr>
        <w:t xml:space="preserve">ešanai” </w:t>
      </w:r>
      <w:r w:rsidR="00812325" w:rsidRPr="00074196">
        <w:rPr>
          <w:rFonts w:ascii="Times New Roman" w:hAnsi="Times New Roman"/>
          <w:sz w:val="24"/>
          <w:szCs w:val="24"/>
        </w:rPr>
        <w:t>2.2.punktā doto uzdevumu</w:t>
      </w:r>
      <w:r w:rsidRPr="002225BF">
        <w:rPr>
          <w:rFonts w:ascii="Times New Roman" w:hAnsi="Times New Roman" w:cs="Times New Roman"/>
          <w:sz w:val="24"/>
          <w:szCs w:val="24"/>
        </w:rPr>
        <w:t xml:space="preserve">, Vides aizsardzības un reģionālās attīstības ministrija (turpmāk – VARAM) ir sagatavojusi </w:t>
      </w:r>
      <w:r w:rsidR="002C1D11">
        <w:rPr>
          <w:rFonts w:ascii="Times New Roman" w:hAnsi="Times New Roman" w:cs="Times New Roman"/>
          <w:sz w:val="24"/>
          <w:szCs w:val="24"/>
        </w:rPr>
        <w:t>sa</w:t>
      </w:r>
      <w:r w:rsidR="00053AEA">
        <w:rPr>
          <w:rFonts w:ascii="Times New Roman" w:hAnsi="Times New Roman" w:cs="Times New Roman"/>
          <w:sz w:val="24"/>
          <w:szCs w:val="24"/>
        </w:rPr>
        <w:t xml:space="preserve">darbības </w:t>
      </w:r>
      <w:r w:rsidRPr="002225BF">
        <w:rPr>
          <w:rFonts w:ascii="Times New Roman" w:hAnsi="Times New Roman" w:cs="Times New Roman"/>
          <w:sz w:val="24"/>
          <w:szCs w:val="24"/>
        </w:rPr>
        <w:t xml:space="preserve">programmas </w:t>
      </w:r>
      <w:r w:rsidR="00053AEA">
        <w:rPr>
          <w:rFonts w:ascii="Times New Roman" w:hAnsi="Times New Roman" w:cs="Times New Roman"/>
          <w:sz w:val="24"/>
          <w:szCs w:val="24"/>
        </w:rPr>
        <w:t>INTERACT</w:t>
      </w:r>
      <w:r w:rsidR="00974435">
        <w:rPr>
          <w:rFonts w:ascii="Times New Roman" w:hAnsi="Times New Roman" w:cs="Times New Roman"/>
          <w:sz w:val="24"/>
          <w:szCs w:val="24"/>
        </w:rPr>
        <w:t>III</w:t>
      </w:r>
      <w:r w:rsidRPr="002225BF">
        <w:rPr>
          <w:rFonts w:ascii="Times New Roman" w:hAnsi="Times New Roman" w:cs="Times New Roman"/>
          <w:sz w:val="24"/>
          <w:szCs w:val="24"/>
        </w:rPr>
        <w:t xml:space="preserve"> 2014.-2020.gadam projektu (turpmāk - Programma), kas tiks īstenota Eiropas Savienības Struktu</w:t>
      </w:r>
      <w:r w:rsidR="00812325">
        <w:rPr>
          <w:rFonts w:ascii="Times New Roman" w:hAnsi="Times New Roman" w:cs="Times New Roman"/>
          <w:sz w:val="24"/>
          <w:szCs w:val="24"/>
        </w:rPr>
        <w:t xml:space="preserve">rālo un investīciju fondu mērķa </w:t>
      </w:r>
      <w:r w:rsidRPr="002225BF">
        <w:rPr>
          <w:rFonts w:ascii="Times New Roman" w:hAnsi="Times New Roman" w:cs="Times New Roman"/>
          <w:sz w:val="24"/>
          <w:szCs w:val="24"/>
        </w:rPr>
        <w:t xml:space="preserve">„Eiropas teritoriālā sadarbība” </w:t>
      </w:r>
      <w:r w:rsidR="00B04DC2">
        <w:rPr>
          <w:rFonts w:ascii="Times New Roman" w:hAnsi="Times New Roman" w:cs="Times New Roman"/>
          <w:sz w:val="24"/>
          <w:szCs w:val="24"/>
        </w:rPr>
        <w:t xml:space="preserve">          </w:t>
      </w:r>
      <w:r w:rsidRPr="002225BF">
        <w:rPr>
          <w:rFonts w:ascii="Times New Roman" w:hAnsi="Times New Roman" w:cs="Times New Roman"/>
          <w:sz w:val="24"/>
          <w:szCs w:val="24"/>
        </w:rPr>
        <w:t>(turpmāk – ETS) ietvaros.</w:t>
      </w:r>
    </w:p>
    <w:p w:rsidR="00471CBD" w:rsidRPr="002225BF" w:rsidRDefault="00471CBD" w:rsidP="00053AEA">
      <w:pPr>
        <w:ind w:left="0" w:right="-524"/>
        <w:jc w:val="both"/>
        <w:rPr>
          <w:rFonts w:ascii="Times New Roman" w:hAnsi="Times New Roman" w:cs="Times New Roman"/>
          <w:sz w:val="24"/>
          <w:szCs w:val="24"/>
        </w:rPr>
      </w:pPr>
    </w:p>
    <w:p w:rsidR="00471CBD" w:rsidRPr="002225BF" w:rsidRDefault="00471CBD" w:rsidP="00053AEA">
      <w:pPr>
        <w:ind w:left="0" w:right="-524"/>
        <w:jc w:val="both"/>
        <w:rPr>
          <w:rFonts w:ascii="Times New Roman" w:hAnsi="Times New Roman" w:cs="Times New Roman"/>
          <w:sz w:val="24"/>
          <w:szCs w:val="24"/>
        </w:rPr>
      </w:pPr>
      <w:r w:rsidRPr="002225BF">
        <w:rPr>
          <w:rFonts w:ascii="Times New Roman" w:hAnsi="Times New Roman" w:cs="Times New Roman"/>
          <w:sz w:val="24"/>
          <w:szCs w:val="24"/>
        </w:rPr>
        <w:t>Eiropas Savienības Strukturālo un investīciju fondu 2014.-2020.gadam perioda ETS mērķis paredz pārrobežu, transnacionālās un starpreģionu sadarbības programmu ieviešanu, kas tiks finansētas no Eiropas Reģionālās attīstības fonda līdzekļiem.</w:t>
      </w:r>
    </w:p>
    <w:p w:rsidR="00471CBD" w:rsidRPr="002225BF" w:rsidRDefault="00471CBD" w:rsidP="00053AEA">
      <w:pPr>
        <w:ind w:left="-284" w:right="-524"/>
        <w:jc w:val="both"/>
        <w:rPr>
          <w:rFonts w:ascii="Times New Roman" w:hAnsi="Times New Roman" w:cs="Times New Roman"/>
          <w:sz w:val="24"/>
          <w:szCs w:val="24"/>
        </w:rPr>
      </w:pPr>
    </w:p>
    <w:p w:rsidR="00471CBD" w:rsidRDefault="00471CBD" w:rsidP="00053AEA">
      <w:pPr>
        <w:ind w:left="0" w:right="-524"/>
        <w:jc w:val="both"/>
        <w:rPr>
          <w:rFonts w:ascii="Times New Roman" w:hAnsi="Times New Roman" w:cs="Times New Roman"/>
          <w:b/>
          <w:sz w:val="24"/>
          <w:szCs w:val="24"/>
        </w:rPr>
      </w:pPr>
      <w:r w:rsidRPr="002225BF">
        <w:rPr>
          <w:rFonts w:ascii="Times New Roman" w:hAnsi="Times New Roman" w:cs="Times New Roman"/>
          <w:b/>
          <w:sz w:val="24"/>
          <w:szCs w:val="24"/>
        </w:rPr>
        <w:t>Programma ir izstrādāta atbilstoši:</w:t>
      </w:r>
    </w:p>
    <w:p w:rsidR="00BF620B" w:rsidRPr="002225BF" w:rsidRDefault="00BF620B" w:rsidP="00053AEA">
      <w:pPr>
        <w:ind w:left="0" w:right="-524"/>
        <w:jc w:val="both"/>
        <w:rPr>
          <w:rFonts w:ascii="Times New Roman" w:hAnsi="Times New Roman" w:cs="Times New Roman"/>
          <w:b/>
          <w:sz w:val="24"/>
          <w:szCs w:val="24"/>
        </w:rPr>
      </w:pPr>
    </w:p>
    <w:p w:rsidR="002C1D11" w:rsidRPr="002C1D11" w:rsidRDefault="002C1D11" w:rsidP="00B04DC2">
      <w:pPr>
        <w:pStyle w:val="ListParagraph"/>
        <w:numPr>
          <w:ilvl w:val="0"/>
          <w:numId w:val="6"/>
        </w:numPr>
        <w:tabs>
          <w:tab w:val="left" w:pos="5245"/>
        </w:tabs>
        <w:spacing w:before="120" w:after="120"/>
        <w:ind w:right="-524"/>
        <w:jc w:val="both"/>
        <w:rPr>
          <w:rFonts w:ascii="Times New Roman" w:hAnsi="Times New Roman"/>
          <w:noProof/>
          <w:sz w:val="24"/>
          <w:szCs w:val="24"/>
        </w:rPr>
      </w:pPr>
      <w:r w:rsidRPr="002C1D11">
        <w:rPr>
          <w:rStyle w:val="at2"/>
          <w:rFonts w:ascii="Times New Roman" w:hAnsi="Times New Roman"/>
          <w:sz w:val="24"/>
          <w:szCs w:val="24"/>
        </w:rPr>
        <w:t xml:space="preserve">Eiropas </w:t>
      </w:r>
      <w:r w:rsidRPr="002C1D11">
        <w:rPr>
          <w:rFonts w:ascii="Times New Roman" w:hAnsi="Times New Roman"/>
          <w:noProof/>
          <w:sz w:val="24"/>
          <w:szCs w:val="24"/>
        </w:rPr>
        <w:t>Parlamenta un Padomes 2013.gada 17.decembra Regula</w:t>
      </w:r>
      <w:r w:rsidR="00CD4E4B">
        <w:rPr>
          <w:rFonts w:ascii="Times New Roman" w:hAnsi="Times New Roman"/>
          <w:noProof/>
          <w:sz w:val="24"/>
          <w:szCs w:val="24"/>
        </w:rPr>
        <w:t>i</w:t>
      </w:r>
      <w:r w:rsidRPr="002C1D11">
        <w:rPr>
          <w:rFonts w:ascii="Times New Roman" w:hAnsi="Times New Roman"/>
          <w:noProof/>
          <w:sz w:val="24"/>
          <w:szCs w:val="24"/>
        </w:rPr>
        <w:t xml:space="preserve">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w:t>
      </w:r>
    </w:p>
    <w:p w:rsidR="002C1D11" w:rsidRPr="002C1D11" w:rsidRDefault="002C1D11" w:rsidP="00B04DC2">
      <w:pPr>
        <w:pStyle w:val="ListParagraph"/>
        <w:numPr>
          <w:ilvl w:val="0"/>
          <w:numId w:val="6"/>
        </w:numPr>
        <w:tabs>
          <w:tab w:val="left" w:pos="5245"/>
        </w:tabs>
        <w:spacing w:before="120" w:after="120"/>
        <w:ind w:right="-524"/>
        <w:jc w:val="both"/>
        <w:rPr>
          <w:rFonts w:ascii="Times New Roman" w:hAnsi="Times New Roman"/>
          <w:noProof/>
          <w:sz w:val="24"/>
          <w:szCs w:val="24"/>
        </w:rPr>
      </w:pPr>
      <w:r w:rsidRPr="002C1D11">
        <w:rPr>
          <w:rFonts w:ascii="Times New Roman" w:hAnsi="Times New Roman"/>
          <w:sz w:val="24"/>
          <w:szCs w:val="24"/>
        </w:rPr>
        <w:t>Eiropas Parlamenta un Padomes 2013.gada 17.decembra Regula</w:t>
      </w:r>
      <w:r w:rsidR="00CD4E4B">
        <w:rPr>
          <w:rFonts w:ascii="Times New Roman" w:hAnsi="Times New Roman"/>
          <w:sz w:val="24"/>
          <w:szCs w:val="24"/>
        </w:rPr>
        <w:t>i</w:t>
      </w:r>
      <w:r w:rsidRPr="002C1D11">
        <w:rPr>
          <w:rFonts w:ascii="Times New Roman" w:hAnsi="Times New Roman"/>
          <w:sz w:val="24"/>
          <w:szCs w:val="24"/>
        </w:rPr>
        <w:t xml:space="preserve"> Nr.1301/2013 par Eiropas Reģionālās attīstības fondu un īpašiem noteikumiem attiecībā uz mērķi „Ieguldījums izaugsmei un nodarbinātībai” un ar ko atceļ Regulu (EK) Nr. 1080/2006;</w:t>
      </w:r>
    </w:p>
    <w:p w:rsidR="00471CBD" w:rsidRPr="00B04DC2" w:rsidRDefault="002C1D11" w:rsidP="00B04DC2">
      <w:pPr>
        <w:pStyle w:val="ListParagraph"/>
        <w:numPr>
          <w:ilvl w:val="0"/>
          <w:numId w:val="6"/>
        </w:numPr>
        <w:tabs>
          <w:tab w:val="left" w:pos="5245"/>
        </w:tabs>
        <w:spacing w:before="120" w:after="120"/>
        <w:ind w:right="-524"/>
        <w:jc w:val="both"/>
        <w:rPr>
          <w:rFonts w:ascii="Times New Roman" w:hAnsi="Times New Roman"/>
          <w:sz w:val="24"/>
          <w:szCs w:val="24"/>
        </w:rPr>
      </w:pPr>
      <w:r w:rsidRPr="002C1D11">
        <w:rPr>
          <w:rFonts w:ascii="Times New Roman" w:hAnsi="Times New Roman"/>
          <w:noProof/>
          <w:sz w:val="24"/>
          <w:szCs w:val="24"/>
        </w:rPr>
        <w:t>Eiropas Parlamenta un Padomes 2013.gada 17.decembra Regula</w:t>
      </w:r>
      <w:r w:rsidR="00CD4E4B">
        <w:rPr>
          <w:rFonts w:ascii="Times New Roman" w:hAnsi="Times New Roman"/>
          <w:noProof/>
          <w:sz w:val="24"/>
          <w:szCs w:val="24"/>
        </w:rPr>
        <w:t>i</w:t>
      </w:r>
      <w:r w:rsidRPr="002C1D11">
        <w:rPr>
          <w:rFonts w:ascii="Times New Roman" w:hAnsi="Times New Roman"/>
          <w:noProof/>
          <w:sz w:val="24"/>
          <w:szCs w:val="24"/>
        </w:rPr>
        <w:t xml:space="preserve"> Nr.1299/2013 par īpašiem noteikumiem par atbalstu no Eiropas Reģionālās attīstības fonda saistībā ar mērķi „Eiropas teritoriālā sadarbība” (turpmāk – Regula Nr.1299/2013)</w:t>
      </w:r>
      <w:r w:rsidRPr="002C1D11">
        <w:rPr>
          <w:rFonts w:ascii="Times New Roman" w:hAnsi="Times New Roman"/>
          <w:sz w:val="24"/>
          <w:szCs w:val="24"/>
        </w:rPr>
        <w:t>;</w:t>
      </w:r>
    </w:p>
    <w:p w:rsidR="00471CBD" w:rsidRPr="00BF620B" w:rsidRDefault="00053AEA" w:rsidP="00B04DC2">
      <w:pPr>
        <w:pStyle w:val="ListParagraph"/>
        <w:numPr>
          <w:ilvl w:val="0"/>
          <w:numId w:val="6"/>
        </w:numPr>
        <w:tabs>
          <w:tab w:val="left" w:pos="0"/>
        </w:tabs>
        <w:ind w:right="-524"/>
        <w:jc w:val="both"/>
        <w:rPr>
          <w:rFonts w:ascii="Times New Roman" w:hAnsi="Times New Roman" w:cs="Times New Roman"/>
          <w:sz w:val="24"/>
          <w:szCs w:val="24"/>
        </w:rPr>
      </w:pPr>
      <w:r>
        <w:rPr>
          <w:rFonts w:ascii="Times New Roman" w:hAnsi="Times New Roman" w:cs="Times New Roman"/>
          <w:sz w:val="24"/>
          <w:szCs w:val="24"/>
        </w:rPr>
        <w:t>Stratēģijai „Eiropa 2020”;</w:t>
      </w:r>
    </w:p>
    <w:p w:rsidR="00471CBD" w:rsidRPr="002225BF" w:rsidRDefault="00471CBD" w:rsidP="00B04DC2">
      <w:pPr>
        <w:pStyle w:val="ListParagraph"/>
        <w:numPr>
          <w:ilvl w:val="0"/>
          <w:numId w:val="6"/>
        </w:numPr>
        <w:tabs>
          <w:tab w:val="left" w:pos="0"/>
        </w:tabs>
        <w:ind w:right="-524"/>
        <w:jc w:val="both"/>
        <w:rPr>
          <w:rFonts w:ascii="Times New Roman" w:hAnsi="Times New Roman" w:cs="Times New Roman"/>
          <w:sz w:val="24"/>
          <w:szCs w:val="24"/>
        </w:rPr>
      </w:pPr>
      <w:r w:rsidRPr="002225BF">
        <w:rPr>
          <w:rFonts w:ascii="Times New Roman" w:hAnsi="Times New Roman" w:cs="Times New Roman"/>
          <w:sz w:val="24"/>
          <w:szCs w:val="24"/>
        </w:rPr>
        <w:t>Nacionālajiem plānošanas dokumentiem.</w:t>
      </w:r>
    </w:p>
    <w:p w:rsidR="00E676F4" w:rsidRPr="002225BF" w:rsidRDefault="00E676F4" w:rsidP="00812325">
      <w:pPr>
        <w:ind w:left="0" w:right="-524"/>
        <w:jc w:val="both"/>
        <w:rPr>
          <w:rFonts w:ascii="Times New Roman" w:hAnsi="Times New Roman" w:cs="Times New Roman"/>
          <w:sz w:val="24"/>
          <w:szCs w:val="24"/>
        </w:rPr>
      </w:pPr>
    </w:p>
    <w:p w:rsidR="00E676F4" w:rsidRPr="002225BF" w:rsidRDefault="002C252E" w:rsidP="00812325">
      <w:pPr>
        <w:ind w:left="0" w:right="-524"/>
        <w:jc w:val="both"/>
        <w:rPr>
          <w:rFonts w:ascii="Times New Roman" w:hAnsi="Times New Roman" w:cs="Times New Roman"/>
          <w:sz w:val="24"/>
          <w:szCs w:val="24"/>
        </w:rPr>
      </w:pPr>
      <w:r w:rsidRPr="002225BF">
        <w:rPr>
          <w:rFonts w:ascii="Times New Roman" w:hAnsi="Times New Roman" w:cs="Times New Roman"/>
          <w:sz w:val="24"/>
          <w:szCs w:val="24"/>
        </w:rPr>
        <w:t>Saskaņā ar</w:t>
      </w:r>
      <w:r w:rsidR="00E676F4" w:rsidRPr="002225BF">
        <w:rPr>
          <w:rFonts w:ascii="Times New Roman" w:hAnsi="Times New Roman" w:cs="Times New Roman"/>
          <w:sz w:val="24"/>
          <w:szCs w:val="24"/>
        </w:rPr>
        <w:t xml:space="preserve"> Regulas Nr. 1299/</w:t>
      </w:r>
      <w:r w:rsidRPr="002225BF">
        <w:rPr>
          <w:rFonts w:ascii="Times New Roman" w:hAnsi="Times New Roman" w:cs="Times New Roman"/>
          <w:sz w:val="24"/>
          <w:szCs w:val="24"/>
        </w:rPr>
        <w:t xml:space="preserve">2013 </w:t>
      </w:r>
      <w:r w:rsidR="002E5112" w:rsidRPr="002225BF">
        <w:rPr>
          <w:rFonts w:ascii="Times New Roman" w:hAnsi="Times New Roman" w:cs="Times New Roman"/>
          <w:sz w:val="24"/>
          <w:szCs w:val="24"/>
        </w:rPr>
        <w:t>8.panta 9.punktu</w:t>
      </w:r>
      <w:r w:rsidRPr="002225BF">
        <w:rPr>
          <w:rFonts w:ascii="Times New Roman" w:hAnsi="Times New Roman" w:cs="Times New Roman"/>
          <w:sz w:val="24"/>
          <w:szCs w:val="24"/>
        </w:rPr>
        <w:t xml:space="preserve"> pirms sadarbības programmas iesniegšanas Eiropas Komisijā iesaistītajām dalībvalstīm rakstiski jāapstiprina sava piekrišana sadarbības programmas saturam. Šī piekrišana aptver arī visu iesaistīto</w:t>
      </w:r>
      <w:r w:rsidR="003F3F01" w:rsidRPr="002225BF">
        <w:rPr>
          <w:rFonts w:ascii="Times New Roman" w:hAnsi="Times New Roman" w:cs="Times New Roman"/>
          <w:sz w:val="24"/>
          <w:szCs w:val="24"/>
        </w:rPr>
        <w:t xml:space="preserve"> dalībvalstu </w:t>
      </w:r>
      <w:r w:rsidRPr="002225BF">
        <w:rPr>
          <w:rFonts w:ascii="Times New Roman" w:hAnsi="Times New Roman" w:cs="Times New Roman"/>
          <w:sz w:val="24"/>
          <w:szCs w:val="24"/>
        </w:rPr>
        <w:t xml:space="preserve">saistības nodrošināt sadarbības programmas īstenošanai vajadzīgo </w:t>
      </w:r>
      <w:r w:rsidR="00471CBD" w:rsidRPr="002225BF">
        <w:rPr>
          <w:rFonts w:ascii="Times New Roman" w:hAnsi="Times New Roman" w:cs="Times New Roman"/>
          <w:sz w:val="24"/>
          <w:szCs w:val="24"/>
        </w:rPr>
        <w:t xml:space="preserve">nacionālo </w:t>
      </w:r>
      <w:r w:rsidRPr="002225BF">
        <w:rPr>
          <w:rFonts w:ascii="Times New Roman" w:hAnsi="Times New Roman" w:cs="Times New Roman"/>
          <w:sz w:val="24"/>
          <w:szCs w:val="24"/>
        </w:rPr>
        <w:t>līdzfinansējumu.</w:t>
      </w:r>
    </w:p>
    <w:p w:rsidR="002C252E" w:rsidRPr="002225BF" w:rsidRDefault="002C252E" w:rsidP="00812325">
      <w:pPr>
        <w:ind w:left="0" w:right="-524"/>
        <w:jc w:val="both"/>
        <w:rPr>
          <w:rFonts w:ascii="Times New Roman" w:hAnsi="Times New Roman" w:cs="Times New Roman"/>
          <w:sz w:val="24"/>
          <w:szCs w:val="24"/>
        </w:rPr>
      </w:pPr>
    </w:p>
    <w:p w:rsidR="002C252E" w:rsidRPr="002225BF" w:rsidRDefault="001F1BE1" w:rsidP="00812325">
      <w:pPr>
        <w:ind w:left="0" w:right="-524"/>
        <w:jc w:val="both"/>
        <w:rPr>
          <w:rFonts w:ascii="Times New Roman" w:hAnsi="Times New Roman" w:cs="Times New Roman"/>
          <w:sz w:val="24"/>
          <w:szCs w:val="24"/>
        </w:rPr>
      </w:pPr>
      <w:r w:rsidRPr="002225BF">
        <w:rPr>
          <w:rFonts w:ascii="Times New Roman" w:hAnsi="Times New Roman" w:cs="Times New Roman"/>
          <w:sz w:val="24"/>
          <w:szCs w:val="24"/>
        </w:rPr>
        <w:t xml:space="preserve">Saskaņā ar </w:t>
      </w:r>
      <w:r w:rsidR="002C1D11">
        <w:rPr>
          <w:rFonts w:ascii="Times New Roman" w:hAnsi="Times New Roman" w:cs="Times New Roman"/>
          <w:sz w:val="24"/>
          <w:szCs w:val="24"/>
        </w:rPr>
        <w:t>MK</w:t>
      </w:r>
      <w:r w:rsidRPr="002225BF">
        <w:rPr>
          <w:rFonts w:ascii="Times New Roman" w:hAnsi="Times New Roman" w:cs="Times New Roman"/>
          <w:sz w:val="24"/>
          <w:szCs w:val="24"/>
        </w:rPr>
        <w:t xml:space="preserve"> 2013.gada 22.novembra rīkojumu Nr. 561 „Par uzdevumiem Eiropas Savienības strukturālo un investīciju fondu mērķa</w:t>
      </w:r>
      <w:r w:rsidR="00681E5B" w:rsidRPr="002225BF">
        <w:rPr>
          <w:rFonts w:ascii="Times New Roman" w:hAnsi="Times New Roman" w:cs="Times New Roman"/>
          <w:sz w:val="24"/>
          <w:szCs w:val="24"/>
        </w:rPr>
        <w:t xml:space="preserve"> </w:t>
      </w:r>
      <w:r w:rsidRPr="002225BF">
        <w:rPr>
          <w:rFonts w:ascii="Times New Roman" w:hAnsi="Times New Roman" w:cs="Times New Roman"/>
          <w:sz w:val="24"/>
          <w:szCs w:val="24"/>
        </w:rPr>
        <w:t>”Eiropas teritoriālā sadarbība”</w:t>
      </w:r>
      <w:proofErr w:type="gramStart"/>
      <w:r w:rsidR="00681E5B" w:rsidRPr="002225BF">
        <w:rPr>
          <w:rFonts w:ascii="Times New Roman" w:hAnsi="Times New Roman" w:cs="Times New Roman"/>
          <w:sz w:val="24"/>
          <w:szCs w:val="24"/>
        </w:rPr>
        <w:t xml:space="preserve"> </w:t>
      </w:r>
      <w:r w:rsidR="00B04DC2">
        <w:rPr>
          <w:rFonts w:ascii="Times New Roman" w:hAnsi="Times New Roman" w:cs="Times New Roman"/>
          <w:sz w:val="24"/>
          <w:szCs w:val="24"/>
        </w:rPr>
        <w:t xml:space="preserve"> </w:t>
      </w:r>
      <w:proofErr w:type="gramEnd"/>
      <w:r w:rsidRPr="002225BF">
        <w:rPr>
          <w:rFonts w:ascii="Times New Roman" w:hAnsi="Times New Roman" w:cs="Times New Roman"/>
          <w:sz w:val="24"/>
          <w:szCs w:val="24"/>
        </w:rPr>
        <w:t xml:space="preserve">2014.-2020.gada plānošanas periodam vadības, uzraudzības un kontroles sistēmas ieviešanai” 1.punktu </w:t>
      </w:r>
      <w:r w:rsidR="00B56457">
        <w:rPr>
          <w:rFonts w:ascii="Times New Roman" w:hAnsi="Times New Roman" w:cs="Times New Roman"/>
          <w:sz w:val="24"/>
          <w:szCs w:val="24"/>
        </w:rPr>
        <w:t>VARAM</w:t>
      </w:r>
      <w:r w:rsidR="00471CBD" w:rsidRPr="002225BF">
        <w:rPr>
          <w:rFonts w:ascii="Times New Roman" w:hAnsi="Times New Roman" w:cs="Times New Roman"/>
          <w:sz w:val="24"/>
          <w:szCs w:val="24"/>
        </w:rPr>
        <w:t xml:space="preserve"> </w:t>
      </w:r>
      <w:r w:rsidR="005A2E11">
        <w:rPr>
          <w:rFonts w:ascii="Times New Roman" w:hAnsi="Times New Roman" w:cs="Times New Roman"/>
          <w:sz w:val="24"/>
          <w:szCs w:val="24"/>
        </w:rPr>
        <w:t xml:space="preserve">ir </w:t>
      </w:r>
      <w:r w:rsidRPr="002225BF">
        <w:rPr>
          <w:rFonts w:ascii="Times New Roman" w:hAnsi="Times New Roman" w:cs="Times New Roman"/>
          <w:sz w:val="24"/>
          <w:szCs w:val="24"/>
        </w:rPr>
        <w:t xml:space="preserve">noteikta par nacionālo atbildīgo iestādi </w:t>
      </w:r>
      <w:r w:rsidR="005F4610" w:rsidRPr="002225BF">
        <w:rPr>
          <w:rFonts w:ascii="Times New Roman" w:hAnsi="Times New Roman" w:cs="Times New Roman"/>
          <w:sz w:val="24"/>
          <w:szCs w:val="24"/>
        </w:rPr>
        <w:t xml:space="preserve">ETS </w:t>
      </w:r>
      <w:r w:rsidR="00B04DC2">
        <w:rPr>
          <w:rFonts w:ascii="Times New Roman" w:hAnsi="Times New Roman" w:cs="Times New Roman"/>
          <w:sz w:val="24"/>
          <w:szCs w:val="24"/>
        </w:rPr>
        <w:t>mērķa</w:t>
      </w:r>
      <w:r w:rsidRPr="002225BF">
        <w:rPr>
          <w:rFonts w:ascii="Times New Roman" w:hAnsi="Times New Roman" w:cs="Times New Roman"/>
          <w:sz w:val="24"/>
          <w:szCs w:val="24"/>
        </w:rPr>
        <w:t xml:space="preserve"> programmu politikas izstrādei un koordinēšanai.</w:t>
      </w:r>
    </w:p>
    <w:p w:rsidR="001F1BE1" w:rsidRPr="002225BF" w:rsidRDefault="001F1BE1" w:rsidP="00812325">
      <w:pPr>
        <w:ind w:left="-284" w:right="-524" w:firstLine="284"/>
        <w:jc w:val="both"/>
        <w:rPr>
          <w:rFonts w:ascii="Times New Roman" w:hAnsi="Times New Roman" w:cs="Times New Roman"/>
          <w:sz w:val="24"/>
          <w:szCs w:val="24"/>
        </w:rPr>
      </w:pPr>
    </w:p>
    <w:p w:rsidR="001F1BE1" w:rsidRPr="002225BF" w:rsidRDefault="001F1BE1" w:rsidP="00812325">
      <w:pPr>
        <w:ind w:left="0" w:right="-524"/>
        <w:jc w:val="both"/>
        <w:rPr>
          <w:rFonts w:ascii="Times New Roman" w:hAnsi="Times New Roman" w:cs="Times New Roman"/>
          <w:sz w:val="24"/>
          <w:szCs w:val="24"/>
        </w:rPr>
      </w:pPr>
      <w:r w:rsidRPr="002225BF">
        <w:rPr>
          <w:rFonts w:ascii="Times New Roman" w:hAnsi="Times New Roman" w:cs="Times New Roman"/>
          <w:sz w:val="24"/>
          <w:szCs w:val="24"/>
        </w:rPr>
        <w:t>2012.gadā VARAM sadarbībā ar attiecīgo Programmas partnervalstu pārstāvjiem uzsāka Programmas izstrādi, izveidojot Programmēšanas komiteju</w:t>
      </w:r>
      <w:r w:rsidR="007B5D59" w:rsidRPr="002225BF">
        <w:rPr>
          <w:rFonts w:ascii="Times New Roman" w:hAnsi="Times New Roman" w:cs="Times New Roman"/>
          <w:sz w:val="24"/>
          <w:szCs w:val="24"/>
        </w:rPr>
        <w:t xml:space="preserve">, kurā piedalās visu Eiropas </w:t>
      </w:r>
      <w:r w:rsidR="007B5D59" w:rsidRPr="002225BF">
        <w:rPr>
          <w:rFonts w:ascii="Times New Roman" w:hAnsi="Times New Roman" w:cs="Times New Roman"/>
          <w:sz w:val="24"/>
          <w:szCs w:val="24"/>
        </w:rPr>
        <w:lastRenderedPageBreak/>
        <w:t>Savienības dalībvalstu/partnervalstu (Šveice, Norvēģija) pārstāvji, kā arī Eiropas Komisijas pārstāvji.</w:t>
      </w:r>
    </w:p>
    <w:p w:rsidR="006812A8" w:rsidRPr="002225BF" w:rsidRDefault="006812A8" w:rsidP="00812325">
      <w:pPr>
        <w:ind w:left="0" w:right="-524"/>
        <w:jc w:val="both"/>
        <w:rPr>
          <w:rFonts w:ascii="Times New Roman" w:hAnsi="Times New Roman" w:cs="Times New Roman"/>
          <w:sz w:val="24"/>
          <w:szCs w:val="24"/>
        </w:rPr>
      </w:pPr>
    </w:p>
    <w:p w:rsidR="00D22911" w:rsidRPr="000D0337" w:rsidRDefault="00D22911" w:rsidP="00812325">
      <w:pPr>
        <w:ind w:left="0" w:right="-524"/>
        <w:jc w:val="both"/>
        <w:rPr>
          <w:rFonts w:ascii="Times New Roman" w:hAnsi="Times New Roman" w:cs="Times New Roman"/>
          <w:sz w:val="24"/>
          <w:szCs w:val="24"/>
        </w:rPr>
      </w:pPr>
      <w:r w:rsidRPr="002225BF">
        <w:rPr>
          <w:rFonts w:ascii="Times New Roman" w:hAnsi="Times New Roman" w:cs="Times New Roman"/>
          <w:sz w:val="24"/>
          <w:szCs w:val="24"/>
        </w:rPr>
        <w:t xml:space="preserve">Latvijā, lai nodrošinātu Eiropas Savienības Strukturālo un investīciju </w:t>
      </w:r>
      <w:r w:rsidRPr="002225BF">
        <w:rPr>
          <w:rFonts w:ascii="Times New Roman" w:eastAsia="Calibri" w:hAnsi="Times New Roman" w:cs="Times New Roman"/>
          <w:sz w:val="24"/>
          <w:szCs w:val="24"/>
        </w:rPr>
        <w:t>fondu 2014.-2020.gada plānošanas perioda ETS mērķa darbības programmu izstrādes uzraudzību</w:t>
      </w:r>
      <w:r w:rsidRPr="002225BF">
        <w:rPr>
          <w:rFonts w:ascii="Times New Roman" w:hAnsi="Times New Roman" w:cs="Times New Roman"/>
          <w:sz w:val="24"/>
          <w:szCs w:val="24"/>
        </w:rPr>
        <w:t xml:space="preserve">, kā arī koordināciju un sinerģiju starp Eiropas Savienības programmām un Latvijas nacionālajām interesēm, tika izveidota un darbojas Latvijas Konsultatīvā darba grupa, kuras sastāvā ir </w:t>
      </w:r>
      <w:r w:rsidR="00471CBD" w:rsidRPr="002225BF">
        <w:rPr>
          <w:rFonts w:ascii="Times New Roman" w:hAnsi="Times New Roman" w:cs="Times New Roman"/>
          <w:sz w:val="24"/>
          <w:szCs w:val="24"/>
        </w:rPr>
        <w:t xml:space="preserve">Ārlietu ministrijas, Ekonomikas ministrijas, Finanšu ministrijas, Iekšlietu ministrijas, Izglītības un zinātnes ministrijas, </w:t>
      </w:r>
      <w:r w:rsidRPr="002225BF">
        <w:rPr>
          <w:rFonts w:ascii="Times New Roman" w:hAnsi="Times New Roman" w:cs="Times New Roman"/>
          <w:sz w:val="24"/>
          <w:szCs w:val="24"/>
          <w:shd w:val="clear" w:color="auto" w:fill="FFFFFF"/>
        </w:rPr>
        <w:t xml:space="preserve">Finanšu ministrijas, </w:t>
      </w:r>
      <w:r w:rsidR="00471CBD" w:rsidRPr="002225BF">
        <w:rPr>
          <w:rFonts w:ascii="Times New Roman" w:hAnsi="Times New Roman" w:cs="Times New Roman"/>
          <w:sz w:val="24"/>
          <w:szCs w:val="24"/>
          <w:shd w:val="clear" w:color="auto" w:fill="FFFFFF"/>
        </w:rPr>
        <w:t>Kultūras ministrijas</w:t>
      </w:r>
      <w:r w:rsidRPr="002225BF">
        <w:rPr>
          <w:rFonts w:ascii="Times New Roman" w:hAnsi="Times New Roman" w:cs="Times New Roman"/>
          <w:sz w:val="24"/>
          <w:szCs w:val="24"/>
          <w:shd w:val="clear" w:color="auto" w:fill="FFFFFF"/>
        </w:rPr>
        <w:t>,</w:t>
      </w:r>
      <w:r w:rsidR="00471CBD" w:rsidRPr="002225BF">
        <w:rPr>
          <w:rFonts w:ascii="Times New Roman" w:hAnsi="Times New Roman" w:cs="Times New Roman"/>
          <w:sz w:val="24"/>
          <w:szCs w:val="24"/>
          <w:shd w:val="clear" w:color="auto" w:fill="FFFFFF"/>
        </w:rPr>
        <w:t xml:space="preserve"> Labklājības ministrijas, Satiksmes ministrijas, Veselības ministrijas, Vides aizsardzības un reģionālās attīstības ministrijas, Zemkopības ministrijas,</w:t>
      </w:r>
      <w:r w:rsidRPr="002225BF">
        <w:rPr>
          <w:rFonts w:ascii="Times New Roman" w:hAnsi="Times New Roman" w:cs="Times New Roman"/>
          <w:sz w:val="24"/>
          <w:szCs w:val="24"/>
          <w:shd w:val="clear" w:color="auto" w:fill="FFFFFF"/>
        </w:rPr>
        <w:t xml:space="preserve"> Latgales, Vidzemes, Rīgas, Kurzemes un Zemgales plānošanas reģionu, Pārresoru koordinācijas centra, biedrības "Latvijas Pašvaldību savienība" un </w:t>
      </w:r>
      <w:r w:rsidRPr="000D0337">
        <w:rPr>
          <w:rFonts w:ascii="Times New Roman" w:hAnsi="Times New Roman" w:cs="Times New Roman"/>
          <w:sz w:val="24"/>
          <w:szCs w:val="24"/>
          <w:shd w:val="clear" w:color="auto" w:fill="FFFFFF"/>
        </w:rPr>
        <w:t>biedrības "Latvijas Lielo Pilsētu asociācija" pārstāvji.</w:t>
      </w:r>
      <w:r w:rsidRPr="000D0337">
        <w:rPr>
          <w:rFonts w:ascii="Times New Roman" w:hAnsi="Times New Roman" w:cs="Times New Roman"/>
          <w:sz w:val="24"/>
          <w:szCs w:val="24"/>
        </w:rPr>
        <w:t xml:space="preserve"> </w:t>
      </w:r>
    </w:p>
    <w:p w:rsidR="00681E5B" w:rsidRPr="000D0337" w:rsidRDefault="00681E5B" w:rsidP="00812325">
      <w:pPr>
        <w:ind w:left="-284" w:right="-524" w:firstLine="284"/>
        <w:jc w:val="both"/>
        <w:rPr>
          <w:rFonts w:ascii="Times New Roman" w:hAnsi="Times New Roman" w:cs="Times New Roman"/>
          <w:sz w:val="24"/>
          <w:szCs w:val="24"/>
        </w:rPr>
      </w:pPr>
    </w:p>
    <w:p w:rsidR="00812325" w:rsidRPr="000D0337" w:rsidRDefault="00053AEA" w:rsidP="00053AEA">
      <w:pPr>
        <w:ind w:left="0" w:right="-524"/>
        <w:jc w:val="both"/>
        <w:rPr>
          <w:rFonts w:ascii="Times New Roman" w:hAnsi="Times New Roman" w:cs="Times New Roman"/>
          <w:sz w:val="24"/>
          <w:szCs w:val="24"/>
        </w:rPr>
      </w:pPr>
      <w:r w:rsidRPr="000D0337">
        <w:rPr>
          <w:rFonts w:ascii="Times New Roman" w:hAnsi="Times New Roman" w:cs="Times New Roman"/>
          <w:sz w:val="24"/>
          <w:szCs w:val="24"/>
        </w:rPr>
        <w:t>Stratēģiskais ietekmes uz vidi novērtējums, ņemot vērā programmas specifiku, programmai nav nepieciešams un tas arī netika veikts.</w:t>
      </w:r>
    </w:p>
    <w:p w:rsidR="00812325" w:rsidRPr="000D0337" w:rsidRDefault="00812325" w:rsidP="00812325">
      <w:pPr>
        <w:ind w:left="0" w:right="-524"/>
        <w:jc w:val="both"/>
        <w:rPr>
          <w:rFonts w:ascii="Times New Roman" w:hAnsi="Times New Roman" w:cs="Times New Roman"/>
          <w:sz w:val="24"/>
          <w:szCs w:val="24"/>
        </w:rPr>
      </w:pPr>
    </w:p>
    <w:p w:rsidR="006812A8" w:rsidRPr="002225BF" w:rsidRDefault="006812A8" w:rsidP="00812325">
      <w:pPr>
        <w:ind w:left="0" w:right="-524"/>
        <w:jc w:val="both"/>
        <w:rPr>
          <w:rFonts w:ascii="Times New Roman" w:hAnsi="Times New Roman" w:cs="Times New Roman"/>
          <w:sz w:val="24"/>
          <w:szCs w:val="24"/>
        </w:rPr>
      </w:pPr>
      <w:r w:rsidRPr="000D0337">
        <w:rPr>
          <w:rFonts w:ascii="Times New Roman" w:hAnsi="Times New Roman" w:cs="Times New Roman"/>
          <w:sz w:val="24"/>
          <w:szCs w:val="24"/>
        </w:rPr>
        <w:t xml:space="preserve">Latvijā publiskā apspriešana </w:t>
      </w:r>
      <w:r w:rsidR="002D70ED" w:rsidRPr="000D0337">
        <w:rPr>
          <w:rFonts w:ascii="Times New Roman" w:hAnsi="Times New Roman" w:cs="Times New Roman"/>
          <w:sz w:val="24"/>
          <w:szCs w:val="24"/>
        </w:rPr>
        <w:t xml:space="preserve">par Programmas projektu </w:t>
      </w:r>
      <w:r w:rsidRPr="000D0337">
        <w:rPr>
          <w:rFonts w:ascii="Times New Roman" w:hAnsi="Times New Roman" w:cs="Times New Roman"/>
          <w:sz w:val="24"/>
          <w:szCs w:val="24"/>
        </w:rPr>
        <w:t>ti</w:t>
      </w:r>
      <w:r w:rsidR="00974435" w:rsidRPr="000D0337">
        <w:rPr>
          <w:rFonts w:ascii="Times New Roman" w:hAnsi="Times New Roman" w:cs="Times New Roman"/>
          <w:sz w:val="24"/>
          <w:szCs w:val="24"/>
        </w:rPr>
        <w:t>ek</w:t>
      </w:r>
      <w:r w:rsidRPr="000D0337">
        <w:rPr>
          <w:rFonts w:ascii="Times New Roman" w:hAnsi="Times New Roman" w:cs="Times New Roman"/>
          <w:sz w:val="24"/>
          <w:szCs w:val="24"/>
        </w:rPr>
        <w:t xml:space="preserve"> organizēta laikā no 2014.gada </w:t>
      </w:r>
      <w:r w:rsidR="000D0337" w:rsidRPr="000D0337">
        <w:rPr>
          <w:rFonts w:ascii="Times New Roman" w:hAnsi="Times New Roman" w:cs="Times New Roman"/>
          <w:sz w:val="24"/>
          <w:szCs w:val="24"/>
        </w:rPr>
        <w:t xml:space="preserve">no </w:t>
      </w:r>
      <w:r w:rsidRPr="000D0337">
        <w:rPr>
          <w:rFonts w:ascii="Times New Roman" w:hAnsi="Times New Roman" w:cs="Times New Roman"/>
          <w:sz w:val="24"/>
          <w:szCs w:val="24"/>
        </w:rPr>
        <w:t>1</w:t>
      </w:r>
      <w:r w:rsidR="00974435" w:rsidRPr="000D0337">
        <w:rPr>
          <w:rFonts w:ascii="Times New Roman" w:hAnsi="Times New Roman" w:cs="Times New Roman"/>
          <w:sz w:val="24"/>
          <w:szCs w:val="24"/>
        </w:rPr>
        <w:t>6</w:t>
      </w:r>
      <w:r w:rsidRPr="000D0337">
        <w:rPr>
          <w:rFonts w:ascii="Times New Roman" w:hAnsi="Times New Roman" w:cs="Times New Roman"/>
          <w:sz w:val="24"/>
          <w:szCs w:val="24"/>
        </w:rPr>
        <w:t>.ma</w:t>
      </w:r>
      <w:r w:rsidR="00974435" w:rsidRPr="000D0337">
        <w:rPr>
          <w:rFonts w:ascii="Times New Roman" w:hAnsi="Times New Roman" w:cs="Times New Roman"/>
          <w:sz w:val="24"/>
          <w:szCs w:val="24"/>
        </w:rPr>
        <w:t>ij</w:t>
      </w:r>
      <w:r w:rsidR="000D0337" w:rsidRPr="000D0337">
        <w:rPr>
          <w:rFonts w:ascii="Times New Roman" w:hAnsi="Times New Roman" w:cs="Times New Roman"/>
          <w:sz w:val="24"/>
          <w:szCs w:val="24"/>
        </w:rPr>
        <w:t>a līdz 16.jūnijam</w:t>
      </w:r>
      <w:r w:rsidRPr="000D0337">
        <w:rPr>
          <w:rFonts w:ascii="Times New Roman" w:hAnsi="Times New Roman" w:cs="Times New Roman"/>
          <w:sz w:val="24"/>
          <w:szCs w:val="24"/>
        </w:rPr>
        <w:t>, savukārt sabiedriskās apspriedes sanāksme notik</w:t>
      </w:r>
      <w:r w:rsidR="000D0337" w:rsidRPr="000D0337">
        <w:rPr>
          <w:rFonts w:ascii="Times New Roman" w:hAnsi="Times New Roman" w:cs="Times New Roman"/>
          <w:sz w:val="24"/>
          <w:szCs w:val="24"/>
        </w:rPr>
        <w:t>a</w:t>
      </w:r>
      <w:r w:rsidRPr="000D0337">
        <w:rPr>
          <w:rFonts w:ascii="Times New Roman" w:hAnsi="Times New Roman" w:cs="Times New Roman"/>
          <w:sz w:val="24"/>
          <w:szCs w:val="24"/>
        </w:rPr>
        <w:t xml:space="preserve"> 2014.gada </w:t>
      </w:r>
      <w:r w:rsidR="000D0337" w:rsidRPr="000D0337">
        <w:rPr>
          <w:rFonts w:ascii="Times New Roman" w:hAnsi="Times New Roman" w:cs="Times New Roman"/>
          <w:sz w:val="24"/>
          <w:szCs w:val="24"/>
        </w:rPr>
        <w:t>2.jūnijā</w:t>
      </w:r>
      <w:r w:rsidRPr="000D0337">
        <w:rPr>
          <w:rFonts w:ascii="Times New Roman" w:hAnsi="Times New Roman" w:cs="Times New Roman"/>
          <w:sz w:val="24"/>
          <w:szCs w:val="24"/>
        </w:rPr>
        <w:t>.</w:t>
      </w:r>
    </w:p>
    <w:p w:rsidR="00471CBD" w:rsidRPr="002225BF" w:rsidRDefault="00471CBD" w:rsidP="00812325">
      <w:pPr>
        <w:ind w:left="-284" w:firstLine="284"/>
        <w:jc w:val="both"/>
        <w:rPr>
          <w:rFonts w:ascii="Times New Roman" w:hAnsi="Times New Roman" w:cs="Times New Roman"/>
          <w:sz w:val="24"/>
          <w:szCs w:val="24"/>
        </w:rPr>
      </w:pPr>
    </w:p>
    <w:p w:rsidR="00A51B0C" w:rsidRPr="002225BF" w:rsidRDefault="00A51B0C" w:rsidP="00770BAA">
      <w:pPr>
        <w:ind w:left="-284" w:right="-524" w:firstLine="284"/>
        <w:jc w:val="both"/>
        <w:rPr>
          <w:rFonts w:ascii="Times New Roman" w:hAnsi="Times New Roman" w:cs="Times New Roman"/>
          <w:b/>
          <w:sz w:val="24"/>
          <w:szCs w:val="24"/>
        </w:rPr>
      </w:pPr>
      <w:r w:rsidRPr="002225BF">
        <w:rPr>
          <w:rFonts w:ascii="Times New Roman" w:hAnsi="Times New Roman" w:cs="Times New Roman"/>
          <w:b/>
          <w:sz w:val="24"/>
          <w:szCs w:val="24"/>
        </w:rPr>
        <w:t>2.</w:t>
      </w:r>
      <w:r w:rsidR="002225BF">
        <w:rPr>
          <w:rFonts w:ascii="Times New Roman" w:hAnsi="Times New Roman" w:cs="Times New Roman"/>
          <w:b/>
          <w:sz w:val="24"/>
          <w:szCs w:val="24"/>
        </w:rPr>
        <w:t xml:space="preserve"> </w:t>
      </w:r>
      <w:r w:rsidRPr="002225BF">
        <w:rPr>
          <w:rFonts w:ascii="Times New Roman" w:hAnsi="Times New Roman" w:cs="Times New Roman"/>
          <w:b/>
          <w:sz w:val="24"/>
          <w:szCs w:val="24"/>
        </w:rPr>
        <w:t>Piedāvātais risinājums</w:t>
      </w:r>
    </w:p>
    <w:p w:rsidR="000C4E0A" w:rsidRPr="002225BF" w:rsidRDefault="000C4E0A" w:rsidP="00770BAA">
      <w:pPr>
        <w:ind w:left="-284" w:right="-524" w:firstLine="284"/>
        <w:jc w:val="both"/>
        <w:rPr>
          <w:rFonts w:ascii="Times New Roman" w:hAnsi="Times New Roman" w:cs="Times New Roman"/>
          <w:b/>
          <w:sz w:val="24"/>
          <w:szCs w:val="24"/>
        </w:rPr>
      </w:pPr>
    </w:p>
    <w:p w:rsidR="00F1753B" w:rsidRDefault="00F453C9" w:rsidP="00770BAA">
      <w:pPr>
        <w:pStyle w:val="BodyText"/>
        <w:spacing w:before="200" w:line="243" w:lineRule="auto"/>
        <w:ind w:right="-524"/>
        <w:jc w:val="both"/>
      </w:pPr>
      <w:r w:rsidRPr="00B60B07">
        <w:t xml:space="preserve">INTERACT III ir </w:t>
      </w:r>
      <w:r>
        <w:t xml:space="preserve">Eiropas Reģionālās attīstības fonda (turpmāk – </w:t>
      </w:r>
      <w:r w:rsidRPr="00B60B07">
        <w:t>ERAF</w:t>
      </w:r>
      <w:r>
        <w:t>)</w:t>
      </w:r>
      <w:r w:rsidRPr="00B60B07">
        <w:t xml:space="preserve"> līdzfinansēta programma</w:t>
      </w:r>
      <w:r>
        <w:t>, kas pārklāj visu</w:t>
      </w:r>
      <w:r w:rsidRPr="00B60B07">
        <w:t xml:space="preserve"> </w:t>
      </w:r>
      <w:r>
        <w:t xml:space="preserve">Eiropas Savienības (turpmāk - ES), </w:t>
      </w:r>
      <w:r w:rsidRPr="00B60B07">
        <w:t xml:space="preserve">Norvēģijas un Šveices teritoriju. INTERACT III </w:t>
      </w:r>
      <w:r>
        <w:t xml:space="preserve">ir </w:t>
      </w:r>
      <w:r w:rsidRPr="00B60B07">
        <w:t>izvēlēts viens tematiskais mērķis</w:t>
      </w:r>
      <w:r>
        <w:t xml:space="preserve">, lai nodrošinātu </w:t>
      </w:r>
      <w:r w:rsidRPr="00B60B07">
        <w:t>maksim</w:t>
      </w:r>
      <w:r>
        <w:t>ālu</w:t>
      </w:r>
      <w:r w:rsidRPr="00B60B07">
        <w:t xml:space="preserve"> kohēzijas politikas ietekmi </w:t>
      </w:r>
      <w:r>
        <w:t xml:space="preserve">visā </w:t>
      </w:r>
      <w:r w:rsidRPr="00B60B07">
        <w:t xml:space="preserve">Eiropā. </w:t>
      </w:r>
      <w:r w:rsidR="00F1753B">
        <w:t>P</w:t>
      </w:r>
      <w:r>
        <w:t>rogrammas mērķis</w:t>
      </w:r>
      <w:r w:rsidRPr="00B60B07">
        <w:t xml:space="preserve"> </w:t>
      </w:r>
      <w:r>
        <w:t xml:space="preserve">- ar </w:t>
      </w:r>
      <w:r w:rsidRPr="00B60B07">
        <w:t xml:space="preserve"> starpreģionālās sadarbības</w:t>
      </w:r>
      <w:r>
        <w:t xml:space="preserve"> palīdzību sekmēt kohēzijas politikas mērķu </w:t>
      </w:r>
      <w:r w:rsidRPr="00B60B07">
        <w:t xml:space="preserve">“Investīcijas izaugsmei un </w:t>
      </w:r>
      <w:r>
        <w:t>nodarbinātībai</w:t>
      </w:r>
      <w:r w:rsidRPr="00B60B07">
        <w:t>” un “Eiropas</w:t>
      </w:r>
      <w:r>
        <w:t xml:space="preserve"> teritoriālās</w:t>
      </w:r>
      <w:r w:rsidRPr="00B60B07">
        <w:t xml:space="preserve"> sadarbība” efektivitāti.</w:t>
      </w:r>
    </w:p>
    <w:p w:rsidR="00F453C9" w:rsidRPr="000D0337" w:rsidRDefault="00F453C9" w:rsidP="00770BAA">
      <w:pPr>
        <w:pStyle w:val="BodyText"/>
        <w:spacing w:before="200" w:line="243" w:lineRule="auto"/>
        <w:ind w:right="-524"/>
        <w:jc w:val="both"/>
        <w:rPr>
          <w:color w:val="000000" w:themeColor="text1"/>
        </w:rPr>
      </w:pPr>
      <w:r w:rsidRPr="000D0337">
        <w:rPr>
          <w:color w:val="000000" w:themeColor="text1"/>
        </w:rPr>
        <w:t>Programmā izvēlēts 11. tematiskais mērķis: "Uzlabot publisko iestāžu un ieinteresēto personu institucionālās spējas un veidot efektīvu valsts pārvaldi"</w:t>
      </w:r>
      <w:r w:rsidR="00770BAA" w:rsidRPr="000D0337">
        <w:rPr>
          <w:color w:val="000000" w:themeColor="text1"/>
        </w:rPr>
        <w:t xml:space="preserve">, un attiecīgā investīciju prioritāte </w:t>
      </w:r>
      <w:r w:rsidR="000D0337">
        <w:rPr>
          <w:color w:val="000000" w:themeColor="text1"/>
        </w:rPr>
        <w:t>–</w:t>
      </w:r>
      <w:r w:rsidR="00770BAA" w:rsidRPr="000D0337">
        <w:rPr>
          <w:color w:val="000000" w:themeColor="text1"/>
        </w:rPr>
        <w:t xml:space="preserve"> </w:t>
      </w:r>
      <w:r w:rsidR="000D0337">
        <w:rPr>
          <w:color w:val="000000" w:themeColor="text1"/>
        </w:rPr>
        <w:t>„</w:t>
      </w:r>
      <w:r w:rsidR="00770BAA" w:rsidRPr="000D0337">
        <w:rPr>
          <w:color w:val="000000" w:themeColor="text1"/>
        </w:rPr>
        <w:t>Pieredzes apmaiņas veicināšana, lai paaugstinātu teritoriālās sadarbības programmu un pasākumu efektivitāti, kā arī ETSG izmantošanu</w:t>
      </w:r>
      <w:r w:rsidR="000D0337">
        <w:rPr>
          <w:color w:val="000000" w:themeColor="text1"/>
        </w:rPr>
        <w:t>”</w:t>
      </w:r>
      <w:r w:rsidR="00770BAA" w:rsidRPr="000D0337">
        <w:rPr>
          <w:color w:val="000000" w:themeColor="text1"/>
        </w:rPr>
        <w:t>.</w:t>
      </w:r>
    </w:p>
    <w:p w:rsidR="00812325" w:rsidRPr="000D0337" w:rsidRDefault="00F1753B" w:rsidP="00361D0C">
      <w:pPr>
        <w:ind w:left="0" w:right="-524"/>
        <w:jc w:val="both"/>
        <w:rPr>
          <w:rFonts w:ascii="Times New Roman" w:hAnsi="Times New Roman" w:cs="Times New Roman"/>
          <w:color w:val="000000" w:themeColor="text1"/>
          <w:sz w:val="24"/>
          <w:szCs w:val="24"/>
        </w:rPr>
      </w:pPr>
      <w:r w:rsidRPr="000D0337">
        <w:rPr>
          <w:rFonts w:ascii="Times New Roman" w:hAnsi="Times New Roman" w:cs="Times New Roman"/>
          <w:color w:val="000000" w:themeColor="text1"/>
          <w:sz w:val="24"/>
          <w:szCs w:val="24"/>
        </w:rPr>
        <w:t>Ir izvēlēti 3 konkrētie mērķi:</w:t>
      </w:r>
    </w:p>
    <w:p w:rsidR="00F1753B" w:rsidRPr="000D0337" w:rsidRDefault="00F1753B" w:rsidP="00361D0C">
      <w:pPr>
        <w:pStyle w:val="TableParagraph"/>
        <w:numPr>
          <w:ilvl w:val="0"/>
          <w:numId w:val="13"/>
        </w:numPr>
        <w:spacing w:line="291" w:lineRule="exact"/>
        <w:ind w:right="-524"/>
        <w:jc w:val="both"/>
        <w:rPr>
          <w:rFonts w:ascii="Times New Roman" w:eastAsia="Times New Roman" w:hAnsi="Times New Roman" w:cs="Times New Roman"/>
          <w:color w:val="000000" w:themeColor="text1"/>
          <w:sz w:val="24"/>
          <w:szCs w:val="24"/>
          <w:lang w:val="lv-LV"/>
        </w:rPr>
      </w:pPr>
      <w:r w:rsidRPr="000D0337">
        <w:rPr>
          <w:rFonts w:ascii="Times New Roman" w:hAnsi="Times New Roman" w:cs="Times New Roman"/>
          <w:color w:val="000000" w:themeColor="text1"/>
          <w:sz w:val="24"/>
          <w:lang w:val="lv-LV"/>
        </w:rPr>
        <w:t>Pilnveidot ETS programmu vadībā un kontrolē iesaistīto veiktspēju</w:t>
      </w:r>
      <w:r w:rsidR="00770BAA" w:rsidRPr="000D0337">
        <w:rPr>
          <w:rFonts w:ascii="Times New Roman" w:hAnsi="Times New Roman" w:cs="Times New Roman"/>
          <w:color w:val="000000" w:themeColor="text1"/>
          <w:sz w:val="24"/>
          <w:lang w:val="lv-LV"/>
        </w:rPr>
        <w:t xml:space="preserve"> (sniegt ieguldījumu lietderīgai un efektīvai ETS programmu īstenošanai, vēršot savu darbību arī uz vienkāršāku un vairāk standartizētu  programmas  vadības procesu);</w:t>
      </w:r>
    </w:p>
    <w:p w:rsidR="00770BAA" w:rsidRPr="000D0337" w:rsidRDefault="00770BAA" w:rsidP="00361D0C">
      <w:pPr>
        <w:pStyle w:val="TableParagraph"/>
        <w:numPr>
          <w:ilvl w:val="0"/>
          <w:numId w:val="13"/>
        </w:numPr>
        <w:spacing w:line="241" w:lineRule="auto"/>
        <w:ind w:right="-524"/>
        <w:jc w:val="both"/>
        <w:rPr>
          <w:rFonts w:ascii="Times New Roman" w:eastAsia="Times New Roman" w:hAnsi="Times New Roman" w:cs="Times New Roman"/>
          <w:color w:val="000000" w:themeColor="text1"/>
          <w:sz w:val="24"/>
          <w:szCs w:val="24"/>
          <w:lang w:val="lv-LV"/>
        </w:rPr>
      </w:pPr>
      <w:r w:rsidRPr="000D0337">
        <w:rPr>
          <w:rFonts w:ascii="Times New Roman" w:hAnsi="Times New Roman" w:cs="Times New Roman"/>
          <w:color w:val="000000" w:themeColor="text1"/>
          <w:sz w:val="24"/>
          <w:lang w:val="lv-LV"/>
        </w:rPr>
        <w:t>Pilnveidot veiktspēju attiecībā uz ETS programmu rezultātu apkopošanu un izplatīšanu (</w:t>
      </w:r>
      <w:r w:rsidR="002C1D11">
        <w:rPr>
          <w:rFonts w:ascii="Times New Roman" w:hAnsi="Times New Roman" w:cs="Times New Roman"/>
          <w:color w:val="000000" w:themeColor="text1"/>
          <w:sz w:val="24"/>
          <w:lang w:val="lv-LV"/>
        </w:rPr>
        <w:t>r</w:t>
      </w:r>
      <w:r w:rsidRPr="000D0337">
        <w:rPr>
          <w:rFonts w:ascii="Times New Roman" w:hAnsi="Times New Roman" w:cs="Times New Roman"/>
          <w:color w:val="000000" w:themeColor="text1"/>
          <w:sz w:val="24"/>
          <w:lang w:val="lv-LV"/>
        </w:rPr>
        <w:t>aita ETS</w:t>
      </w:r>
      <w:r w:rsidR="002C1D11">
        <w:rPr>
          <w:rFonts w:ascii="Times New Roman" w:hAnsi="Times New Roman" w:cs="Times New Roman"/>
          <w:color w:val="000000" w:themeColor="text1"/>
          <w:sz w:val="24"/>
          <w:lang w:val="lv-LV"/>
        </w:rPr>
        <w:t xml:space="preserve"> </w:t>
      </w:r>
      <w:r w:rsidRPr="000D0337">
        <w:rPr>
          <w:rFonts w:ascii="Times New Roman" w:hAnsi="Times New Roman" w:cs="Times New Roman"/>
          <w:color w:val="000000" w:themeColor="text1"/>
          <w:sz w:val="24"/>
          <w:lang w:val="lv-LV"/>
        </w:rPr>
        <w:t>programmu īstenošana attiecībā uz tematisko koncentrēšanos un uzsvaru uz rezultātu);</w:t>
      </w:r>
    </w:p>
    <w:p w:rsidR="00770BAA" w:rsidRPr="000D0337" w:rsidRDefault="00770BAA" w:rsidP="00361D0C">
      <w:pPr>
        <w:pStyle w:val="TableParagraph"/>
        <w:numPr>
          <w:ilvl w:val="0"/>
          <w:numId w:val="13"/>
        </w:numPr>
        <w:spacing w:line="241" w:lineRule="auto"/>
        <w:ind w:right="-524"/>
        <w:jc w:val="both"/>
        <w:rPr>
          <w:rFonts w:ascii="Times New Roman" w:eastAsia="Times New Roman" w:hAnsi="Times New Roman" w:cs="Times New Roman"/>
          <w:color w:val="000000" w:themeColor="text1"/>
          <w:sz w:val="24"/>
          <w:szCs w:val="24"/>
          <w:lang w:val="lv-LV"/>
        </w:rPr>
      </w:pPr>
      <w:r w:rsidRPr="000D0337">
        <w:rPr>
          <w:rFonts w:ascii="Times New Roman" w:hAnsi="Times New Roman" w:cs="Times New Roman"/>
          <w:color w:val="000000" w:themeColor="text1"/>
          <w:sz w:val="24"/>
          <w:lang w:val="lv-LV"/>
        </w:rPr>
        <w:t>Pilnveidot sadarbības vadības veiktspēju, lai īstenotu inovatīvas metodes (jaunu mehānismi, kas padara sadarbību ilgtspējīgāku, līdzsvarotāku, efektīvāku un jauniem partneriem interesantāku., izmantošanas stiprināšana, inovatīvas prakses identifikācija un tās izplatīšana).</w:t>
      </w:r>
    </w:p>
    <w:p w:rsidR="00603D6C" w:rsidRDefault="00603D6C" w:rsidP="00361D0C">
      <w:pPr>
        <w:pStyle w:val="BodyText"/>
        <w:spacing w:before="204" w:line="243" w:lineRule="auto"/>
        <w:ind w:right="-524"/>
        <w:jc w:val="both"/>
      </w:pPr>
    </w:p>
    <w:p w:rsidR="00603D6C" w:rsidRPr="005B1D4B" w:rsidRDefault="00603D6C" w:rsidP="00361D0C">
      <w:pPr>
        <w:pStyle w:val="BodyText"/>
        <w:spacing w:after="0"/>
        <w:ind w:right="-524"/>
        <w:jc w:val="both"/>
      </w:pPr>
      <w:r w:rsidRPr="005B1D4B">
        <w:lastRenderedPageBreak/>
        <w:t>Programmas īpatnība ir tā, ka INTERACT III ietvaros netiks atlasīti un īstenoti projekti parastajā ETS izpratnē.</w:t>
      </w:r>
      <w:r w:rsidR="000A655C" w:rsidRPr="005B1D4B">
        <w:t xml:space="preserve"> INTERACT programmu administrējošām struktūrām </w:t>
      </w:r>
      <w:r w:rsidRPr="005B1D4B">
        <w:t xml:space="preserve">ir jāveic visas aktivitātes un </w:t>
      </w:r>
      <w:r w:rsidR="000A655C" w:rsidRPr="005B1D4B">
        <w:t>jāīsteno „</w:t>
      </w:r>
      <w:r w:rsidRPr="005B1D4B">
        <w:t>darba pakas</w:t>
      </w:r>
      <w:r w:rsidR="000A655C" w:rsidRPr="005B1D4B">
        <w:t>”</w:t>
      </w:r>
      <w:r w:rsidRPr="005B1D4B">
        <w:t xml:space="preserve">  saskaņā ar gada darba plānu, kas balstīts uz mērķa grupu vajadzībām un ko ir apstiprinājusi un uzrauga INTERACT uzraudzības komiteja. Tādēļ </w:t>
      </w:r>
      <w:r w:rsidRPr="005B1D4B">
        <w:rPr>
          <w:u w:val="single"/>
        </w:rPr>
        <w:t>INTERACT finansējuma saņēmēji</w:t>
      </w:r>
      <w:r w:rsidRPr="005B1D4B">
        <w:t xml:space="preserve"> var tikt definēti kā tās publiskās institūcijas, kam dalībvalstis ir uzticējušas īstenot visu programmu kopumā ar to pasākumu starpniecību, ko veic to četri reģionālie biroji attiecībā uz INTERACT Vadošās iestādes vadības funkcijām. </w:t>
      </w:r>
    </w:p>
    <w:p w:rsidR="00603D6C" w:rsidRPr="005B1D4B" w:rsidRDefault="00603D6C" w:rsidP="00361D0C">
      <w:pPr>
        <w:ind w:left="0" w:right="-524"/>
        <w:jc w:val="both"/>
        <w:rPr>
          <w:rFonts w:ascii="Times New Roman" w:hAnsi="Times New Roman" w:cs="Times New Roman"/>
          <w:sz w:val="24"/>
          <w:szCs w:val="24"/>
        </w:rPr>
      </w:pPr>
    </w:p>
    <w:p w:rsidR="000A655C" w:rsidRPr="005B1D4B" w:rsidRDefault="000A655C" w:rsidP="00361D0C">
      <w:pPr>
        <w:pStyle w:val="BodyText"/>
        <w:spacing w:after="0"/>
        <w:ind w:right="-524"/>
        <w:jc w:val="both"/>
      </w:pPr>
      <w:r w:rsidRPr="005B1D4B">
        <w:rPr>
          <w:u w:val="single"/>
        </w:rPr>
        <w:t>Konkrētas darbības</w:t>
      </w:r>
      <w:r w:rsidRPr="005B1D4B">
        <w:t>, kas ir vērstas uz dažādu mērķa grupu starpnozaru vajadzībām un stratēģiskajiem mērķiem ir:</w:t>
      </w:r>
    </w:p>
    <w:p w:rsidR="000A655C" w:rsidRPr="005B1D4B" w:rsidRDefault="000A655C" w:rsidP="00361D0C">
      <w:pPr>
        <w:pStyle w:val="BodyText"/>
        <w:numPr>
          <w:ilvl w:val="0"/>
          <w:numId w:val="17"/>
        </w:numPr>
        <w:spacing w:after="0"/>
        <w:ind w:right="-524"/>
        <w:jc w:val="both"/>
      </w:pPr>
      <w:r w:rsidRPr="005B1D4B">
        <w:t>sadarbības un sadarbības tīklu iniciēšana un vadīšana, sniedzot ieguldījumu sadarbības tīkla darba metodēs un sadarbības veicināšan</w:t>
      </w:r>
      <w:r w:rsidR="00832BCE">
        <w:t>as instrumentos, un to savieto</w:t>
      </w:r>
      <w:r w:rsidRPr="005B1D4B">
        <w:t xml:space="preserve">šanā ar politiku; </w:t>
      </w:r>
    </w:p>
    <w:p w:rsidR="000A655C" w:rsidRPr="005B1D4B" w:rsidRDefault="000A655C" w:rsidP="00361D0C">
      <w:pPr>
        <w:pStyle w:val="BodyText"/>
        <w:numPr>
          <w:ilvl w:val="0"/>
          <w:numId w:val="17"/>
        </w:numPr>
        <w:spacing w:after="0"/>
        <w:ind w:right="-524"/>
        <w:jc w:val="both"/>
      </w:pPr>
      <w:r w:rsidRPr="005B1D4B">
        <w:t xml:space="preserve">sadarbības tīklu koordinācija, organizācija un atbalsts, padziļinātu zināšanu par attiecīgo tēmu iegūšanai; </w:t>
      </w:r>
    </w:p>
    <w:p w:rsidR="000A655C" w:rsidRPr="005B1D4B" w:rsidRDefault="000A655C" w:rsidP="00361D0C">
      <w:pPr>
        <w:pStyle w:val="BodyText"/>
        <w:numPr>
          <w:ilvl w:val="0"/>
          <w:numId w:val="17"/>
        </w:numPr>
        <w:spacing w:after="0"/>
        <w:ind w:right="-524"/>
        <w:jc w:val="both"/>
      </w:pPr>
      <w:r w:rsidRPr="005B1D4B">
        <w:t xml:space="preserve">sadarbības veicināšana starp ETS un citām programmām, makrostratēģijām un citām ieinteresētajām pusēm; </w:t>
      </w:r>
    </w:p>
    <w:p w:rsidR="005B1D4B" w:rsidRPr="005B1D4B" w:rsidRDefault="000A655C" w:rsidP="00361D0C">
      <w:pPr>
        <w:pStyle w:val="BodyText"/>
        <w:numPr>
          <w:ilvl w:val="0"/>
          <w:numId w:val="17"/>
        </w:numPr>
        <w:spacing w:after="0"/>
        <w:ind w:right="-524"/>
        <w:jc w:val="both"/>
      </w:pPr>
      <w:r w:rsidRPr="005B1D4B">
        <w:t xml:space="preserve">pieredzes apmaiņas organizēšana starp jau esošajām makro stratēģijās ieinteresētajām pusēm un jaunajām ieinteresētajām pusēm; </w:t>
      </w:r>
    </w:p>
    <w:p w:rsidR="005B1D4B" w:rsidRPr="005B1D4B" w:rsidRDefault="000A655C" w:rsidP="00361D0C">
      <w:pPr>
        <w:pStyle w:val="BodyText"/>
        <w:numPr>
          <w:ilvl w:val="0"/>
          <w:numId w:val="17"/>
        </w:numPr>
        <w:spacing w:after="0"/>
        <w:ind w:right="-524"/>
        <w:jc w:val="both"/>
      </w:pPr>
      <w:r w:rsidRPr="005B1D4B">
        <w:t xml:space="preserve">darba metodiku un pieeju kapitalizācija, kā savu ieguldījumu sniedzot risinājumus sadarbības procesa uzsākšanai un ieskatu makro-sadarbības norises principos, kā arī sniedzot vienkāršošanas piemērus; </w:t>
      </w:r>
    </w:p>
    <w:p w:rsidR="000A655C" w:rsidRPr="005B1D4B" w:rsidRDefault="000A655C" w:rsidP="00361D0C">
      <w:pPr>
        <w:pStyle w:val="BodyText"/>
        <w:numPr>
          <w:ilvl w:val="0"/>
          <w:numId w:val="17"/>
        </w:numPr>
        <w:spacing w:after="0"/>
        <w:ind w:right="-524"/>
        <w:jc w:val="both"/>
      </w:pPr>
      <w:r w:rsidRPr="005B1D4B">
        <w:t>veicinot saziņas plūsmu, sniedzot ieguldījumu vispārējā komunikācijas stratēģijā sadarbībā ar EK un nacionālajiem kontaktpunktiem, attiecībā un makroreģioniem/jūras baseiniem atpazīstamību,  īpaši  saistībā ar  ETS programmām.</w:t>
      </w:r>
    </w:p>
    <w:p w:rsidR="000A655C" w:rsidRPr="005B1D4B" w:rsidRDefault="000A655C" w:rsidP="00361D0C">
      <w:pPr>
        <w:ind w:left="0" w:right="-524"/>
        <w:jc w:val="both"/>
        <w:rPr>
          <w:rFonts w:ascii="Times New Roman" w:hAnsi="Times New Roman" w:cs="Times New Roman"/>
          <w:sz w:val="24"/>
          <w:szCs w:val="24"/>
        </w:rPr>
      </w:pPr>
    </w:p>
    <w:p w:rsidR="00603D6C" w:rsidRPr="005B1D4B" w:rsidRDefault="000A655C" w:rsidP="00361D0C">
      <w:pPr>
        <w:ind w:left="0" w:right="-524"/>
        <w:jc w:val="both"/>
        <w:rPr>
          <w:rFonts w:ascii="Times New Roman" w:hAnsi="Times New Roman" w:cs="Times New Roman"/>
          <w:sz w:val="24"/>
          <w:szCs w:val="24"/>
        </w:rPr>
      </w:pPr>
      <w:r w:rsidRPr="005B1D4B">
        <w:rPr>
          <w:rFonts w:ascii="Times New Roman" w:hAnsi="Times New Roman" w:cs="Times New Roman"/>
          <w:sz w:val="24"/>
          <w:szCs w:val="24"/>
        </w:rPr>
        <w:t>Turklāt, tiks risināti jautājumi, kas saistīti ar ETSG (Eiropas teritoriālās  sadarbības grupa), īpaši to attīstība un apmaiņa ar labu praksi, kā arī  ETSG nozīme un izmantošana</w:t>
      </w:r>
    </w:p>
    <w:p w:rsidR="00361D0C" w:rsidRDefault="00361D0C" w:rsidP="00361D0C">
      <w:pPr>
        <w:pStyle w:val="BodyText"/>
        <w:spacing w:after="0"/>
        <w:ind w:right="-524"/>
        <w:jc w:val="both"/>
        <w:rPr>
          <w:rFonts w:eastAsiaTheme="minorHAnsi"/>
          <w:u w:val="single"/>
          <w:lang w:eastAsia="en-US"/>
        </w:rPr>
      </w:pPr>
    </w:p>
    <w:p w:rsidR="000A655C" w:rsidRPr="005B1D4B" w:rsidRDefault="005B1D4B" w:rsidP="00361D0C">
      <w:pPr>
        <w:pStyle w:val="BodyText"/>
        <w:spacing w:after="0"/>
        <w:ind w:right="-524"/>
        <w:jc w:val="both"/>
        <w:rPr>
          <w:u w:val="single"/>
        </w:rPr>
      </w:pPr>
      <w:r w:rsidRPr="005B1D4B">
        <w:rPr>
          <w:rFonts w:eastAsiaTheme="minorHAnsi"/>
          <w:u w:val="single"/>
          <w:lang w:eastAsia="en-US"/>
        </w:rPr>
        <w:t>G</w:t>
      </w:r>
      <w:r w:rsidR="000A655C" w:rsidRPr="005B1D4B">
        <w:rPr>
          <w:u w:val="single"/>
        </w:rPr>
        <w:t>alvenās mērķa grupas būs:</w:t>
      </w:r>
    </w:p>
    <w:p w:rsidR="00361D0C" w:rsidRDefault="00361D0C" w:rsidP="002D70ED">
      <w:pPr>
        <w:pStyle w:val="BodyText"/>
        <w:widowControl w:val="0"/>
        <w:numPr>
          <w:ilvl w:val="0"/>
          <w:numId w:val="14"/>
        </w:numPr>
        <w:tabs>
          <w:tab w:val="left" w:pos="458"/>
        </w:tabs>
        <w:spacing w:before="198" w:after="0" w:line="243" w:lineRule="auto"/>
        <w:ind w:right="-524"/>
        <w:jc w:val="both"/>
      </w:pPr>
      <w:r>
        <w:t xml:space="preserve">Programmas vadītāji - </w:t>
      </w:r>
      <w:r w:rsidRPr="00B60B07">
        <w:t xml:space="preserve"> </w:t>
      </w:r>
      <w:r>
        <w:t xml:space="preserve">institūcijas, kas iesaistītas ETS </w:t>
      </w:r>
      <w:r w:rsidRPr="00B60B07">
        <w:t>programm</w:t>
      </w:r>
      <w:r>
        <w:t xml:space="preserve">u un projektu vadībā, kontrolē revīzijā un komunikācijā. </w:t>
      </w:r>
    </w:p>
    <w:p w:rsidR="00361D0C" w:rsidRPr="00B60B07" w:rsidRDefault="00361D0C" w:rsidP="002D70ED">
      <w:pPr>
        <w:pStyle w:val="BodyText"/>
        <w:widowControl w:val="0"/>
        <w:numPr>
          <w:ilvl w:val="0"/>
          <w:numId w:val="14"/>
        </w:numPr>
        <w:tabs>
          <w:tab w:val="left" w:pos="458"/>
        </w:tabs>
        <w:spacing w:before="198" w:after="0" w:line="243" w:lineRule="auto"/>
        <w:ind w:right="-524"/>
        <w:jc w:val="both"/>
      </w:pPr>
      <w:r>
        <w:t>Nacionālajā/reģionālajā sadarbībā ieinteresētās personas: šī m</w:t>
      </w:r>
      <w:r w:rsidRPr="00B60B07">
        <w:t>ērķa grupa attiecas uz teritoriālo sadarbīb</w:t>
      </w:r>
      <w:r>
        <w:t>as</w:t>
      </w:r>
      <w:r w:rsidRPr="00B60B07">
        <w:t xml:space="preserve"> un kopumā </w:t>
      </w:r>
      <w:r>
        <w:t xml:space="preserve">sadarbības (ārpus ETS) interesentiem. </w:t>
      </w:r>
      <w:r w:rsidRPr="00B60B07">
        <w:t xml:space="preserve">Tas arī ietver </w:t>
      </w:r>
      <w:r>
        <w:t>specifisku</w:t>
      </w:r>
      <w:r w:rsidRPr="00B60B07">
        <w:t xml:space="preserve"> atbalstu valst</w:t>
      </w:r>
      <w:r>
        <w:t xml:space="preserve">u nacionālajiem teritoriālās </w:t>
      </w:r>
      <w:r w:rsidRPr="00B60B07">
        <w:t xml:space="preserve">sadarbības  tīkliem, kas </w:t>
      </w:r>
      <w:r>
        <w:t xml:space="preserve">tiks nodrošināta </w:t>
      </w:r>
      <w:r w:rsidRPr="00B60B07">
        <w:t>visām valstīm</w:t>
      </w:r>
      <w:r>
        <w:t xml:space="preserve"> atbilstoši</w:t>
      </w:r>
      <w:r w:rsidRPr="00B60B07">
        <w:t xml:space="preserve"> INTERACT </w:t>
      </w:r>
      <w:r>
        <w:t xml:space="preserve">pieejamajiem </w:t>
      </w:r>
      <w:r w:rsidRPr="00B60B07">
        <w:t xml:space="preserve">resursiem,  </w:t>
      </w:r>
      <w:r>
        <w:t xml:space="preserve">specifiskajām </w:t>
      </w:r>
      <w:r w:rsidRPr="00B60B07">
        <w:t>vajadzībām un apstākļiem</w:t>
      </w:r>
      <w:r>
        <w:t xml:space="preserve"> valstī</w:t>
      </w:r>
      <w:r w:rsidRPr="00B60B07">
        <w:t>.</w:t>
      </w:r>
    </w:p>
    <w:p w:rsidR="00361D0C" w:rsidRDefault="002D70ED" w:rsidP="002D70ED">
      <w:pPr>
        <w:pStyle w:val="BodyText"/>
        <w:widowControl w:val="0"/>
        <w:numPr>
          <w:ilvl w:val="0"/>
          <w:numId w:val="14"/>
        </w:numPr>
        <w:tabs>
          <w:tab w:val="left" w:pos="458"/>
        </w:tabs>
        <w:spacing w:before="204" w:after="0" w:line="242" w:lineRule="auto"/>
        <w:ind w:right="-524"/>
        <w:jc w:val="both"/>
      </w:pPr>
      <w:r w:rsidRPr="00B60B07">
        <w:t>Ieinteresētās puses viscaur ES</w:t>
      </w:r>
      <w:r>
        <w:t xml:space="preserve"> </w:t>
      </w:r>
      <w:r w:rsidRPr="00B60B07">
        <w:t xml:space="preserve">tikai tiktāl, cik tas </w:t>
      </w:r>
      <w:r>
        <w:t xml:space="preserve">attiecas uz </w:t>
      </w:r>
      <w:r w:rsidRPr="00B60B07">
        <w:t>sadarbīb</w:t>
      </w:r>
      <w:r>
        <w:t xml:space="preserve">u - </w:t>
      </w:r>
      <w:r w:rsidR="00361D0C">
        <w:t>šī m</w:t>
      </w:r>
      <w:r w:rsidR="00361D0C" w:rsidRPr="00894CFC">
        <w:t>ērķa grupa, kas ir būtiska  INTERACT kopienas daļa: INTERACT vienmēr ir veidojis stratēģiskas saiknes starp programmu īstenošanā iesaistītajiem, (strādājošiem pamatlīmenī) un ES līmeņa stratēģiskajiem "spēlētājiem" un lēmumu pieņēmējiem, piemēram, Eiropas Komisiju, Eiropas Parlamentu utt. Šai mērķa grupai ir pievērusies arī INTERACT I un II</w:t>
      </w:r>
      <w:r w:rsidR="00361D0C">
        <w:t>,  bet tā nekad nav bijusi skaidri noteikta kā INTERACT pasākumu mērķa grupa. Tomēr ņemot vērā, ka tā ļoti ietekmē programmu īstenošanu, tā ir būtiska IN</w:t>
      </w:r>
      <w:r>
        <w:t>T</w:t>
      </w:r>
      <w:r w:rsidR="00361D0C">
        <w:t>ERACT kopienas daļa un  ir iesaistāma virknē IN</w:t>
      </w:r>
      <w:r>
        <w:t>T</w:t>
      </w:r>
      <w:r w:rsidR="00361D0C">
        <w:t>ERACT aktivitāšu. Mērķa grupas sasniegšanai pieejamie resursi tiks ierobežoti atbilstoši pieprasījumam un vajadzībām un tiks izmantoti sniegtu ieguldījumu sadarbības programmu ieviešanas uzlabošanā.</w:t>
      </w:r>
    </w:p>
    <w:p w:rsidR="000A655C" w:rsidRDefault="000A655C" w:rsidP="00812325">
      <w:pPr>
        <w:ind w:left="0"/>
        <w:jc w:val="both"/>
        <w:rPr>
          <w:rFonts w:ascii="Times New Roman" w:hAnsi="Times New Roman" w:cs="Times New Roman"/>
          <w:sz w:val="24"/>
          <w:szCs w:val="24"/>
        </w:rPr>
      </w:pPr>
    </w:p>
    <w:p w:rsidR="003C0DD8" w:rsidRPr="002225BF" w:rsidRDefault="003C0DD8" w:rsidP="002225BF">
      <w:pPr>
        <w:ind w:left="-284" w:firstLine="284"/>
        <w:jc w:val="both"/>
        <w:rPr>
          <w:rFonts w:ascii="Times New Roman" w:hAnsi="Times New Roman" w:cs="Times New Roman"/>
          <w:b/>
          <w:sz w:val="24"/>
          <w:szCs w:val="24"/>
        </w:rPr>
      </w:pPr>
    </w:p>
    <w:p w:rsidR="00A51B0C" w:rsidRPr="002225BF" w:rsidRDefault="00A51B0C" w:rsidP="00812325">
      <w:pPr>
        <w:ind w:left="0"/>
        <w:jc w:val="both"/>
        <w:rPr>
          <w:rFonts w:ascii="Times New Roman" w:hAnsi="Times New Roman" w:cs="Times New Roman"/>
          <w:b/>
          <w:sz w:val="24"/>
          <w:szCs w:val="24"/>
        </w:rPr>
      </w:pPr>
      <w:r w:rsidRPr="002225BF">
        <w:rPr>
          <w:rFonts w:ascii="Times New Roman" w:hAnsi="Times New Roman" w:cs="Times New Roman"/>
          <w:b/>
          <w:sz w:val="24"/>
          <w:szCs w:val="24"/>
        </w:rPr>
        <w:t>3.</w:t>
      </w:r>
      <w:r w:rsidR="002225BF">
        <w:rPr>
          <w:rFonts w:ascii="Times New Roman" w:hAnsi="Times New Roman" w:cs="Times New Roman"/>
          <w:b/>
          <w:sz w:val="24"/>
          <w:szCs w:val="24"/>
        </w:rPr>
        <w:t xml:space="preserve"> </w:t>
      </w:r>
      <w:r w:rsidRPr="002225BF">
        <w:rPr>
          <w:rFonts w:ascii="Times New Roman" w:hAnsi="Times New Roman" w:cs="Times New Roman"/>
          <w:b/>
          <w:sz w:val="24"/>
          <w:szCs w:val="24"/>
        </w:rPr>
        <w:t>Politikas dokumenta īstenošanai papildus nepieciešamais finansējums un paredzētie finansēšanas avoti</w:t>
      </w:r>
    </w:p>
    <w:p w:rsidR="00676213" w:rsidRPr="002225BF" w:rsidRDefault="00676213" w:rsidP="002225BF">
      <w:pPr>
        <w:ind w:left="-284" w:firstLine="284"/>
        <w:jc w:val="both"/>
        <w:rPr>
          <w:rFonts w:ascii="Times New Roman" w:hAnsi="Times New Roman" w:cs="Times New Roman"/>
          <w:b/>
          <w:sz w:val="24"/>
          <w:szCs w:val="24"/>
        </w:rPr>
      </w:pPr>
    </w:p>
    <w:p w:rsidR="001143F0" w:rsidRPr="000D0337" w:rsidRDefault="00524EE7" w:rsidP="00812325">
      <w:pPr>
        <w:ind w:left="0"/>
        <w:jc w:val="both"/>
        <w:rPr>
          <w:rFonts w:ascii="Times New Roman" w:hAnsi="Times New Roman"/>
          <w:sz w:val="24"/>
          <w:szCs w:val="24"/>
        </w:rPr>
      </w:pPr>
      <w:r w:rsidRPr="000D0337">
        <w:rPr>
          <w:rFonts w:ascii="Times New Roman" w:eastAsia="Verdana" w:hAnsi="Times New Roman"/>
          <w:sz w:val="24"/>
          <w:szCs w:val="24"/>
        </w:rPr>
        <w:t xml:space="preserve">Programmu līdzfinansē Eiropas Reģionālās attīstības fonds (ERAF), 2014.–2020. gadam piešķirtais budžets ir </w:t>
      </w:r>
      <w:r w:rsidR="000D0337" w:rsidRPr="000D0337">
        <w:rPr>
          <w:rFonts w:ascii="Times New Roman" w:hAnsi="Times New Roman" w:cs="Times New Roman"/>
          <w:sz w:val="24"/>
        </w:rPr>
        <w:t xml:space="preserve">39 </w:t>
      </w:r>
      <w:r w:rsidR="00FC270A" w:rsidRPr="000D0337">
        <w:rPr>
          <w:rFonts w:ascii="Times New Roman" w:hAnsi="Times New Roman" w:cs="Times New Roman"/>
          <w:sz w:val="24"/>
        </w:rPr>
        <w:t>39</w:t>
      </w:r>
      <w:r w:rsidR="00FC270A">
        <w:rPr>
          <w:rFonts w:ascii="Times New Roman" w:hAnsi="Times New Roman" w:cs="Times New Roman"/>
          <w:sz w:val="24"/>
        </w:rPr>
        <w:t>2</w:t>
      </w:r>
      <w:r w:rsidR="00FC270A" w:rsidRPr="000D0337">
        <w:rPr>
          <w:rFonts w:ascii="Times New Roman" w:hAnsi="Times New Roman" w:cs="Times New Roman"/>
          <w:sz w:val="24"/>
        </w:rPr>
        <w:t> </w:t>
      </w:r>
      <w:r w:rsidR="00FC270A">
        <w:rPr>
          <w:rFonts w:ascii="Times New Roman" w:hAnsi="Times New Roman" w:cs="Times New Roman"/>
          <w:sz w:val="24"/>
        </w:rPr>
        <w:t> 587,00</w:t>
      </w:r>
      <w:r w:rsidR="00FC270A" w:rsidRPr="000D0337">
        <w:rPr>
          <w:rFonts w:ascii="Times New Roman" w:hAnsi="Times New Roman" w:cs="Times New Roman"/>
          <w:sz w:val="24"/>
        </w:rPr>
        <w:t xml:space="preserve"> </w:t>
      </w:r>
      <w:r w:rsidR="000D0337" w:rsidRPr="000D0337">
        <w:rPr>
          <w:rFonts w:ascii="Times New Roman" w:hAnsi="Times New Roman" w:cs="Times New Roman"/>
          <w:sz w:val="24"/>
        </w:rPr>
        <w:t>e</w:t>
      </w:r>
      <w:r w:rsidR="00FC270A">
        <w:rPr>
          <w:rFonts w:ascii="Times New Roman" w:hAnsi="Times New Roman" w:cs="Times New Roman"/>
          <w:sz w:val="24"/>
        </w:rPr>
        <w:t>u</w:t>
      </w:r>
      <w:r w:rsidR="000D0337" w:rsidRPr="000D0337">
        <w:rPr>
          <w:rFonts w:ascii="Times New Roman" w:hAnsi="Times New Roman" w:cs="Times New Roman"/>
          <w:sz w:val="24"/>
        </w:rPr>
        <w:t>ro</w:t>
      </w:r>
      <w:r w:rsidR="000D0337" w:rsidRPr="000D0337">
        <w:rPr>
          <w:rFonts w:ascii="Times New Roman" w:eastAsia="Verdana" w:hAnsi="Times New Roman"/>
          <w:sz w:val="24"/>
          <w:szCs w:val="24"/>
        </w:rPr>
        <w:t xml:space="preserve">, no tiem </w:t>
      </w:r>
      <w:r w:rsidR="000D0337" w:rsidRPr="000D0337">
        <w:rPr>
          <w:rFonts w:ascii="Times New Roman" w:hAnsi="Times New Roman" w:cs="Times New Roman"/>
          <w:sz w:val="24"/>
        </w:rPr>
        <w:t>2 757 </w:t>
      </w:r>
      <w:r w:rsidR="00FC270A">
        <w:rPr>
          <w:rFonts w:ascii="Times New Roman" w:hAnsi="Times New Roman" w:cs="Times New Roman"/>
          <w:sz w:val="24"/>
        </w:rPr>
        <w:t> 481,00</w:t>
      </w:r>
      <w:r w:rsidR="00FC270A" w:rsidRPr="000D0337">
        <w:rPr>
          <w:rFonts w:ascii="Times New Roman" w:hAnsi="Times New Roman" w:cs="Times New Roman"/>
          <w:sz w:val="24"/>
        </w:rPr>
        <w:t xml:space="preserve"> </w:t>
      </w:r>
      <w:r w:rsidR="00FC270A">
        <w:rPr>
          <w:rFonts w:ascii="Times New Roman" w:hAnsi="Times New Roman" w:cs="Times New Roman"/>
          <w:sz w:val="24"/>
        </w:rPr>
        <w:t xml:space="preserve">euro </w:t>
      </w:r>
      <w:r w:rsidR="000D0337" w:rsidRPr="000D0337">
        <w:rPr>
          <w:rFonts w:ascii="Times New Roman" w:hAnsi="Times New Roman" w:cs="Times New Roman"/>
          <w:sz w:val="24"/>
        </w:rPr>
        <w:t>ir atvēlēti Tehniskajai palīdzībai.</w:t>
      </w:r>
    </w:p>
    <w:p w:rsidR="003F3F01" w:rsidRPr="00524EE7" w:rsidRDefault="003F3F01" w:rsidP="00812325">
      <w:pPr>
        <w:ind w:left="0"/>
        <w:jc w:val="both"/>
        <w:rPr>
          <w:rFonts w:ascii="Times New Roman" w:hAnsi="Times New Roman" w:cs="Times New Roman"/>
          <w:sz w:val="24"/>
          <w:szCs w:val="24"/>
          <w:highlight w:val="yellow"/>
        </w:rPr>
      </w:pPr>
    </w:p>
    <w:p w:rsidR="0090295E" w:rsidRDefault="0090295E" w:rsidP="00BF620B">
      <w:pPr>
        <w:ind w:left="0"/>
        <w:jc w:val="both"/>
        <w:rPr>
          <w:rFonts w:ascii="Times New Roman" w:hAnsi="Times New Roman"/>
          <w:bCs/>
          <w:color w:val="000000"/>
          <w:sz w:val="24"/>
          <w:szCs w:val="24"/>
        </w:rPr>
      </w:pPr>
      <w:r w:rsidRPr="00256F6D">
        <w:rPr>
          <w:rFonts w:ascii="Times New Roman" w:hAnsi="Times New Roman" w:cs="Times New Roman"/>
          <w:sz w:val="24"/>
          <w:szCs w:val="24"/>
        </w:rPr>
        <w:t>Dalībvalstīm ir jānodrošina nacionālais līdzfinansējums Programmas Tehniskās palīdzības budžetam</w:t>
      </w:r>
      <w:r w:rsidR="00DE268E" w:rsidRPr="00256F6D">
        <w:rPr>
          <w:rFonts w:ascii="Times New Roman" w:hAnsi="Times New Roman" w:cs="Times New Roman"/>
          <w:sz w:val="24"/>
          <w:szCs w:val="24"/>
        </w:rPr>
        <w:t xml:space="preserve"> no 201</w:t>
      </w:r>
      <w:r w:rsidR="00256F6D" w:rsidRPr="00256F6D">
        <w:rPr>
          <w:rFonts w:ascii="Times New Roman" w:hAnsi="Times New Roman" w:cs="Times New Roman"/>
          <w:sz w:val="24"/>
          <w:szCs w:val="24"/>
        </w:rPr>
        <w:t>4</w:t>
      </w:r>
      <w:r w:rsidR="00DE268E" w:rsidRPr="00256F6D">
        <w:rPr>
          <w:rFonts w:ascii="Times New Roman" w:hAnsi="Times New Roman" w:cs="Times New Roman"/>
          <w:sz w:val="24"/>
          <w:szCs w:val="24"/>
        </w:rPr>
        <w:t>.-202</w:t>
      </w:r>
      <w:r w:rsidR="002C1D11">
        <w:rPr>
          <w:rFonts w:ascii="Times New Roman" w:hAnsi="Times New Roman" w:cs="Times New Roman"/>
          <w:sz w:val="24"/>
          <w:szCs w:val="24"/>
        </w:rPr>
        <w:t>0</w:t>
      </w:r>
      <w:r w:rsidRPr="00256F6D">
        <w:rPr>
          <w:rFonts w:ascii="Times New Roman" w:hAnsi="Times New Roman" w:cs="Times New Roman"/>
          <w:sz w:val="24"/>
          <w:szCs w:val="24"/>
        </w:rPr>
        <w:t>.</w:t>
      </w:r>
      <w:r w:rsidR="00DE268E" w:rsidRPr="00256F6D">
        <w:rPr>
          <w:rFonts w:ascii="Times New Roman" w:hAnsi="Times New Roman" w:cs="Times New Roman"/>
          <w:sz w:val="24"/>
          <w:szCs w:val="24"/>
        </w:rPr>
        <w:t xml:space="preserve">gadam. </w:t>
      </w:r>
      <w:r w:rsidR="00DE268E" w:rsidRPr="0032763F">
        <w:rPr>
          <w:rFonts w:ascii="Times New Roman" w:hAnsi="Times New Roman" w:cs="Times New Roman"/>
          <w:sz w:val="24"/>
          <w:szCs w:val="24"/>
        </w:rPr>
        <w:t xml:space="preserve">Latvijai nacionālā līdzfinansējuma </w:t>
      </w:r>
      <w:r w:rsidR="000D0337">
        <w:rPr>
          <w:rFonts w:ascii="Times New Roman" w:hAnsi="Times New Roman" w:cs="Times New Roman"/>
          <w:color w:val="000000"/>
          <w:sz w:val="24"/>
          <w:szCs w:val="24"/>
        </w:rPr>
        <w:t>kopēja</w:t>
      </w:r>
      <w:r w:rsidR="00B13CFA" w:rsidRPr="0032763F">
        <w:rPr>
          <w:rFonts w:ascii="Times New Roman" w:hAnsi="Times New Roman" w:cs="Times New Roman"/>
          <w:color w:val="000000"/>
          <w:sz w:val="24"/>
          <w:szCs w:val="24"/>
        </w:rPr>
        <w:t xml:space="preserve"> </w:t>
      </w:r>
      <w:r w:rsidR="000D0337">
        <w:rPr>
          <w:rFonts w:ascii="Times New Roman" w:hAnsi="Times New Roman" w:cs="Times New Roman"/>
          <w:color w:val="000000"/>
          <w:sz w:val="24"/>
          <w:szCs w:val="24"/>
        </w:rPr>
        <w:t xml:space="preserve">summa ir </w:t>
      </w:r>
      <w:r w:rsidR="002C1D11" w:rsidRPr="004A7040">
        <w:rPr>
          <w:rFonts w:ascii="Times New Roman" w:eastAsia="Times New Roman" w:hAnsi="Times New Roman"/>
          <w:color w:val="000000"/>
          <w:sz w:val="24"/>
          <w:szCs w:val="24"/>
        </w:rPr>
        <w:t>66</w:t>
      </w:r>
      <w:r w:rsidR="002C1D11">
        <w:rPr>
          <w:rFonts w:ascii="Times New Roman" w:eastAsia="Times New Roman" w:hAnsi="Times New Roman"/>
          <w:color w:val="000000"/>
          <w:sz w:val="24"/>
          <w:szCs w:val="24"/>
        </w:rPr>
        <w:t> </w:t>
      </w:r>
      <w:r w:rsidR="002C1D11" w:rsidRPr="004A7040">
        <w:rPr>
          <w:rFonts w:ascii="Times New Roman" w:eastAsia="Times New Roman" w:hAnsi="Times New Roman"/>
          <w:color w:val="000000"/>
          <w:sz w:val="24"/>
          <w:szCs w:val="24"/>
        </w:rPr>
        <w:t>199</w:t>
      </w:r>
      <w:r w:rsidR="002C1D11">
        <w:rPr>
          <w:rFonts w:ascii="Times New Roman" w:eastAsia="Times New Roman" w:hAnsi="Times New Roman"/>
          <w:color w:val="000000"/>
          <w:sz w:val="24"/>
          <w:szCs w:val="24"/>
        </w:rPr>
        <w:t>,00</w:t>
      </w:r>
      <w:r w:rsidR="000D0337" w:rsidRPr="008C2A9B">
        <w:rPr>
          <w:rFonts w:ascii="Times New Roman" w:hAnsi="Times New Roman"/>
          <w:bCs/>
          <w:color w:val="000000"/>
          <w:sz w:val="24"/>
          <w:szCs w:val="24"/>
        </w:rPr>
        <w:t>euro</w:t>
      </w:r>
      <w:r w:rsidR="000D0337">
        <w:rPr>
          <w:rFonts w:ascii="Times New Roman" w:hAnsi="Times New Roman"/>
          <w:bCs/>
          <w:color w:val="000000"/>
          <w:sz w:val="24"/>
          <w:szCs w:val="24"/>
        </w:rPr>
        <w:t>.</w:t>
      </w:r>
    </w:p>
    <w:p w:rsidR="000D0337" w:rsidRDefault="000D0337" w:rsidP="00BF620B">
      <w:pPr>
        <w:ind w:left="0"/>
        <w:jc w:val="both"/>
        <w:rPr>
          <w:rFonts w:ascii="Times New Roman" w:hAnsi="Times New Roman"/>
          <w:bCs/>
          <w:color w:val="000000"/>
          <w:sz w:val="24"/>
          <w:szCs w:val="24"/>
        </w:rPr>
      </w:pPr>
    </w:p>
    <w:p w:rsidR="000D0337" w:rsidRDefault="000D0337" w:rsidP="00BF620B">
      <w:pPr>
        <w:ind w:left="0"/>
        <w:jc w:val="both"/>
        <w:rPr>
          <w:rFonts w:ascii="Times New Roman" w:hAnsi="Times New Roman"/>
          <w:bCs/>
          <w:color w:val="000000"/>
          <w:sz w:val="24"/>
          <w:szCs w:val="24"/>
        </w:rPr>
      </w:pPr>
    </w:p>
    <w:p w:rsidR="000D0337" w:rsidRPr="002225BF" w:rsidRDefault="000D0337" w:rsidP="00BF620B">
      <w:pPr>
        <w:ind w:left="0"/>
        <w:jc w:val="both"/>
        <w:rPr>
          <w:rFonts w:ascii="Times New Roman" w:hAnsi="Times New Roman" w:cs="Times New Roman"/>
          <w:sz w:val="24"/>
          <w:szCs w:val="24"/>
        </w:rPr>
      </w:pPr>
    </w:p>
    <w:p w:rsidR="00B13CFA" w:rsidRPr="002225BF" w:rsidRDefault="00B04DC2" w:rsidP="00812325">
      <w:pPr>
        <w:tabs>
          <w:tab w:val="left" w:pos="5820"/>
        </w:tabs>
        <w:ind w:left="-284" w:firstLine="284"/>
        <w:jc w:val="both"/>
        <w:rPr>
          <w:rFonts w:ascii="Times New Roman" w:hAnsi="Times New Roman" w:cs="Times New Roman"/>
          <w:sz w:val="20"/>
          <w:szCs w:val="20"/>
        </w:rPr>
      </w:pPr>
      <w:r>
        <w:rPr>
          <w:rFonts w:ascii="Times New Roman" w:hAnsi="Times New Roman" w:cs="Times New Roman"/>
          <w:sz w:val="20"/>
          <w:szCs w:val="20"/>
        </w:rPr>
        <w:t>19</w:t>
      </w:r>
      <w:r w:rsidR="00B13CFA" w:rsidRPr="002225BF">
        <w:rPr>
          <w:rFonts w:ascii="Times New Roman" w:hAnsi="Times New Roman" w:cs="Times New Roman"/>
          <w:sz w:val="20"/>
          <w:szCs w:val="20"/>
        </w:rPr>
        <w:t>.</w:t>
      </w:r>
      <w:r>
        <w:rPr>
          <w:rFonts w:ascii="Times New Roman" w:hAnsi="Times New Roman" w:cs="Times New Roman"/>
          <w:sz w:val="20"/>
          <w:szCs w:val="20"/>
        </w:rPr>
        <w:t>12</w:t>
      </w:r>
      <w:r w:rsidR="00B13CFA" w:rsidRPr="002225BF">
        <w:rPr>
          <w:rFonts w:ascii="Times New Roman" w:hAnsi="Times New Roman" w:cs="Times New Roman"/>
          <w:sz w:val="20"/>
          <w:szCs w:val="20"/>
        </w:rPr>
        <w:t>.2014.</w:t>
      </w:r>
      <w:r w:rsidR="00B13CFA" w:rsidRPr="002225BF">
        <w:rPr>
          <w:rFonts w:ascii="Times New Roman" w:hAnsi="Times New Roman" w:cs="Times New Roman"/>
          <w:sz w:val="20"/>
          <w:szCs w:val="20"/>
        </w:rPr>
        <w:tab/>
      </w:r>
    </w:p>
    <w:p w:rsidR="00B13CFA" w:rsidRPr="002225BF" w:rsidRDefault="002C1D11" w:rsidP="00812325">
      <w:pPr>
        <w:tabs>
          <w:tab w:val="left" w:pos="2985"/>
        </w:tabs>
        <w:ind w:left="-284" w:firstLine="284"/>
        <w:jc w:val="both"/>
        <w:rPr>
          <w:rFonts w:ascii="Times New Roman" w:hAnsi="Times New Roman" w:cs="Times New Roman"/>
          <w:sz w:val="20"/>
          <w:szCs w:val="20"/>
        </w:rPr>
      </w:pPr>
      <w:r>
        <w:rPr>
          <w:rFonts w:ascii="Times New Roman" w:hAnsi="Times New Roman" w:cs="Times New Roman"/>
          <w:sz w:val="20"/>
          <w:szCs w:val="20"/>
        </w:rPr>
        <w:t>1</w:t>
      </w:r>
      <w:r w:rsidR="00614890">
        <w:rPr>
          <w:rFonts w:ascii="Times New Roman" w:hAnsi="Times New Roman" w:cs="Times New Roman"/>
          <w:sz w:val="20"/>
          <w:szCs w:val="20"/>
        </w:rPr>
        <w:t xml:space="preserve"> </w:t>
      </w:r>
      <w:r>
        <w:rPr>
          <w:rFonts w:ascii="Times New Roman" w:hAnsi="Times New Roman" w:cs="Times New Roman"/>
          <w:sz w:val="20"/>
          <w:szCs w:val="20"/>
        </w:rPr>
        <w:t>1</w:t>
      </w:r>
      <w:r w:rsidR="00256108">
        <w:rPr>
          <w:rFonts w:ascii="Times New Roman" w:hAnsi="Times New Roman" w:cs="Times New Roman"/>
          <w:sz w:val="20"/>
          <w:szCs w:val="20"/>
        </w:rPr>
        <w:t>3</w:t>
      </w:r>
      <w:r w:rsidR="005A2E11">
        <w:rPr>
          <w:rFonts w:ascii="Times New Roman" w:hAnsi="Times New Roman" w:cs="Times New Roman"/>
          <w:sz w:val="20"/>
          <w:szCs w:val="20"/>
        </w:rPr>
        <w:t>8</w:t>
      </w:r>
      <w:r w:rsidR="00B13CFA" w:rsidRPr="002225BF">
        <w:rPr>
          <w:rFonts w:ascii="Times New Roman" w:hAnsi="Times New Roman" w:cs="Times New Roman"/>
          <w:sz w:val="20"/>
          <w:szCs w:val="20"/>
        </w:rPr>
        <w:tab/>
      </w:r>
    </w:p>
    <w:p w:rsidR="00B13CFA" w:rsidRPr="002225BF" w:rsidRDefault="00363C3D" w:rsidP="00812325">
      <w:pPr>
        <w:ind w:left="-284" w:firstLine="284"/>
        <w:jc w:val="both"/>
        <w:rPr>
          <w:rFonts w:ascii="Times New Roman" w:hAnsi="Times New Roman" w:cs="Times New Roman"/>
          <w:sz w:val="20"/>
          <w:szCs w:val="20"/>
        </w:rPr>
      </w:pPr>
      <w:r>
        <w:rPr>
          <w:rFonts w:ascii="Times New Roman" w:hAnsi="Times New Roman" w:cs="Times New Roman"/>
          <w:sz w:val="20"/>
          <w:szCs w:val="20"/>
        </w:rPr>
        <w:t>V.Prokopoviča</w:t>
      </w:r>
      <w:r w:rsidR="000D0337">
        <w:rPr>
          <w:rFonts w:ascii="Times New Roman" w:hAnsi="Times New Roman" w:cs="Times New Roman"/>
          <w:sz w:val="20"/>
          <w:szCs w:val="20"/>
        </w:rPr>
        <w:t xml:space="preserve">, </w:t>
      </w:r>
      <w:r>
        <w:rPr>
          <w:rFonts w:ascii="Times New Roman" w:hAnsi="Times New Roman" w:cs="Times New Roman"/>
          <w:sz w:val="20"/>
          <w:szCs w:val="20"/>
        </w:rPr>
        <w:t>67026471</w:t>
      </w:r>
    </w:p>
    <w:p w:rsidR="00DC398B" w:rsidRPr="002225BF" w:rsidRDefault="00E01602" w:rsidP="00812325">
      <w:pPr>
        <w:ind w:left="-284" w:firstLine="284"/>
        <w:jc w:val="both"/>
        <w:rPr>
          <w:rFonts w:ascii="Times New Roman" w:hAnsi="Times New Roman" w:cs="Times New Roman"/>
          <w:b/>
          <w:sz w:val="20"/>
          <w:szCs w:val="20"/>
        </w:rPr>
      </w:pPr>
      <w:hyperlink r:id="rId7" w:history="1">
        <w:r w:rsidR="00363C3D">
          <w:rPr>
            <w:rStyle w:val="Hyperlink"/>
            <w:rFonts w:ascii="Times New Roman" w:hAnsi="Times New Roman" w:cs="Times New Roman"/>
            <w:sz w:val="20"/>
            <w:szCs w:val="20"/>
          </w:rPr>
          <w:t>vita.prokopovica</w:t>
        </w:r>
        <w:r w:rsidR="00363C3D" w:rsidRPr="007330B1">
          <w:rPr>
            <w:rStyle w:val="Hyperlink"/>
            <w:rFonts w:ascii="Times New Roman" w:hAnsi="Times New Roman" w:cs="Times New Roman"/>
            <w:sz w:val="20"/>
            <w:szCs w:val="20"/>
          </w:rPr>
          <w:t>@varam.gov.lv</w:t>
        </w:r>
      </w:hyperlink>
      <w:bookmarkEnd w:id="2"/>
    </w:p>
    <w:sectPr w:rsidR="00DC398B" w:rsidRPr="002225BF" w:rsidSect="003C0DD8">
      <w:footerReference w:type="default" r:id="rId8"/>
      <w:pgSz w:w="11906" w:h="16838"/>
      <w:pgMar w:top="1440" w:right="1558"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2E2" w:rsidRDefault="008102E2" w:rsidP="00B13CFA">
      <w:r>
        <w:separator/>
      </w:r>
    </w:p>
  </w:endnote>
  <w:endnote w:type="continuationSeparator" w:id="0">
    <w:p w:rsidR="008102E2" w:rsidRDefault="008102E2" w:rsidP="00B13C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585" w:rsidRPr="007E4149" w:rsidRDefault="00A72585" w:rsidP="00533D49">
    <w:pPr>
      <w:pStyle w:val="BodyText"/>
      <w:ind w:right="-524"/>
      <w:jc w:val="both"/>
      <w:rPr>
        <w:sz w:val="20"/>
        <w:szCs w:val="20"/>
      </w:rPr>
    </w:pPr>
    <w:r>
      <w:rPr>
        <w:sz w:val="20"/>
        <w:szCs w:val="20"/>
      </w:rPr>
      <w:t>VARAMkopsv</w:t>
    </w:r>
    <w:r w:rsidRPr="00391DA4">
      <w:rPr>
        <w:sz w:val="20"/>
        <w:szCs w:val="20"/>
      </w:rPr>
      <w:t>_</w:t>
    </w:r>
    <w:r>
      <w:rPr>
        <w:sz w:val="20"/>
        <w:szCs w:val="20"/>
      </w:rPr>
      <w:t>1912</w:t>
    </w:r>
    <w:r w:rsidRPr="00391DA4">
      <w:rPr>
        <w:sz w:val="20"/>
        <w:szCs w:val="20"/>
      </w:rPr>
      <w:t>14</w:t>
    </w:r>
    <w:r>
      <w:rPr>
        <w:sz w:val="20"/>
        <w:szCs w:val="20"/>
      </w:rPr>
      <w:t xml:space="preserve">_INTERACT; Sadarbības programmas INTERACTIII </w:t>
    </w:r>
    <w:r w:rsidRPr="009F363C">
      <w:rPr>
        <w:noProof/>
        <w:sz w:val="20"/>
        <w:szCs w:val="20"/>
      </w:rPr>
      <w:t>2014.–2020.</w:t>
    </w:r>
    <w:r w:rsidRPr="009F363C">
      <w:rPr>
        <w:sz w:val="20"/>
        <w:szCs w:val="20"/>
      </w:rPr>
      <w:t xml:space="preserve"> gadam projekta </w:t>
    </w:r>
    <w:r>
      <w:rPr>
        <w:sz w:val="20"/>
        <w:szCs w:val="20"/>
      </w:rPr>
      <w:t>kopsavilkums</w:t>
    </w:r>
  </w:p>
  <w:p w:rsidR="00A72585" w:rsidRDefault="00A725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2E2" w:rsidRDefault="008102E2" w:rsidP="00B13CFA">
      <w:r>
        <w:separator/>
      </w:r>
    </w:p>
  </w:footnote>
  <w:footnote w:type="continuationSeparator" w:id="0">
    <w:p w:rsidR="008102E2" w:rsidRDefault="008102E2" w:rsidP="00B13C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C752B"/>
    <w:multiLevelType w:val="multilevel"/>
    <w:tmpl w:val="4044C33A"/>
    <w:lvl w:ilvl="0">
      <w:start w:val="1"/>
      <w:numFmt w:val="decimal"/>
      <w:lvlText w:val="%1."/>
      <w:lvlJc w:val="left"/>
      <w:pPr>
        <w:tabs>
          <w:tab w:val="num" w:pos="720"/>
        </w:tabs>
        <w:ind w:left="720" w:hanging="360"/>
      </w:pPr>
    </w:lvl>
    <w:lvl w:ilvl="1">
      <w:start w:val="1"/>
      <w:numFmt w:val="decimal"/>
      <w:isLgl/>
      <w:lvlText w:val="%1.%2."/>
      <w:lvlJc w:val="left"/>
      <w:pPr>
        <w:tabs>
          <w:tab w:val="num" w:pos="795"/>
        </w:tabs>
        <w:ind w:left="795" w:hanging="43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
    <w:nsid w:val="0654774F"/>
    <w:multiLevelType w:val="hybridMultilevel"/>
    <w:tmpl w:val="0A3041CA"/>
    <w:lvl w:ilvl="0" w:tplc="67E2D0AC">
      <w:numFmt w:val="bullet"/>
      <w:lvlText w:val="–"/>
      <w:lvlJc w:val="left"/>
      <w:pPr>
        <w:ind w:left="720" w:hanging="360"/>
      </w:pPr>
      <w:rPr>
        <w:rFonts w:ascii="Times New Roman" w:eastAsia="Verdan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3183F92"/>
    <w:multiLevelType w:val="hybridMultilevel"/>
    <w:tmpl w:val="9F0CFB6A"/>
    <w:lvl w:ilvl="0" w:tplc="F214A0C2">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33855EB"/>
    <w:multiLevelType w:val="hybridMultilevel"/>
    <w:tmpl w:val="BCC68FA8"/>
    <w:lvl w:ilvl="0" w:tplc="67E2D0AC">
      <w:numFmt w:val="bullet"/>
      <w:lvlText w:val="–"/>
      <w:lvlJc w:val="left"/>
      <w:pPr>
        <w:ind w:left="720" w:hanging="360"/>
      </w:pPr>
      <w:rPr>
        <w:rFonts w:ascii="Times New Roman" w:eastAsia="Verdan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33EB7ED3"/>
    <w:multiLevelType w:val="hybridMultilevel"/>
    <w:tmpl w:val="90D6F2D6"/>
    <w:lvl w:ilvl="0" w:tplc="ADF40830">
      <w:start w:val="3"/>
      <w:numFmt w:val="bullet"/>
      <w:lvlText w:val="-"/>
      <w:lvlJc w:val="left"/>
      <w:pPr>
        <w:ind w:left="1068" w:hanging="360"/>
      </w:pPr>
      <w:rPr>
        <w:rFonts w:ascii="Arial" w:eastAsia="Calibri" w:hAnsi="Arial" w:cs="Arial" w:hint="default"/>
      </w:rPr>
    </w:lvl>
    <w:lvl w:ilvl="1" w:tplc="08090003" w:tentative="1">
      <w:start w:val="1"/>
      <w:numFmt w:val="bullet"/>
      <w:lvlText w:val="o"/>
      <w:lvlJc w:val="left"/>
      <w:pPr>
        <w:ind w:left="1068" w:hanging="360"/>
      </w:pPr>
      <w:rPr>
        <w:rFonts w:ascii="Courier New" w:hAnsi="Courier New" w:cs="Courier New" w:hint="default"/>
      </w:rPr>
    </w:lvl>
    <w:lvl w:ilvl="2" w:tplc="08090005" w:tentative="1">
      <w:start w:val="1"/>
      <w:numFmt w:val="bullet"/>
      <w:lvlText w:val=""/>
      <w:lvlJc w:val="left"/>
      <w:pPr>
        <w:ind w:left="1788" w:hanging="360"/>
      </w:pPr>
      <w:rPr>
        <w:rFonts w:ascii="Wingdings" w:hAnsi="Wingdings" w:hint="default"/>
      </w:rPr>
    </w:lvl>
    <w:lvl w:ilvl="3" w:tplc="08090001" w:tentative="1">
      <w:start w:val="1"/>
      <w:numFmt w:val="bullet"/>
      <w:lvlText w:val=""/>
      <w:lvlJc w:val="left"/>
      <w:pPr>
        <w:ind w:left="2508" w:hanging="360"/>
      </w:pPr>
      <w:rPr>
        <w:rFonts w:ascii="Symbol" w:hAnsi="Symbol" w:hint="default"/>
      </w:rPr>
    </w:lvl>
    <w:lvl w:ilvl="4" w:tplc="08090003" w:tentative="1">
      <w:start w:val="1"/>
      <w:numFmt w:val="bullet"/>
      <w:lvlText w:val="o"/>
      <w:lvlJc w:val="left"/>
      <w:pPr>
        <w:ind w:left="3228" w:hanging="360"/>
      </w:pPr>
      <w:rPr>
        <w:rFonts w:ascii="Courier New" w:hAnsi="Courier New" w:cs="Courier New" w:hint="default"/>
      </w:rPr>
    </w:lvl>
    <w:lvl w:ilvl="5" w:tplc="08090005" w:tentative="1">
      <w:start w:val="1"/>
      <w:numFmt w:val="bullet"/>
      <w:lvlText w:val=""/>
      <w:lvlJc w:val="left"/>
      <w:pPr>
        <w:ind w:left="3948" w:hanging="360"/>
      </w:pPr>
      <w:rPr>
        <w:rFonts w:ascii="Wingdings" w:hAnsi="Wingdings" w:hint="default"/>
      </w:rPr>
    </w:lvl>
    <w:lvl w:ilvl="6" w:tplc="08090001" w:tentative="1">
      <w:start w:val="1"/>
      <w:numFmt w:val="bullet"/>
      <w:lvlText w:val=""/>
      <w:lvlJc w:val="left"/>
      <w:pPr>
        <w:ind w:left="4668" w:hanging="360"/>
      </w:pPr>
      <w:rPr>
        <w:rFonts w:ascii="Symbol" w:hAnsi="Symbol" w:hint="default"/>
      </w:rPr>
    </w:lvl>
    <w:lvl w:ilvl="7" w:tplc="08090003" w:tentative="1">
      <w:start w:val="1"/>
      <w:numFmt w:val="bullet"/>
      <w:lvlText w:val="o"/>
      <w:lvlJc w:val="left"/>
      <w:pPr>
        <w:ind w:left="5388" w:hanging="360"/>
      </w:pPr>
      <w:rPr>
        <w:rFonts w:ascii="Courier New" w:hAnsi="Courier New" w:cs="Courier New" w:hint="default"/>
      </w:rPr>
    </w:lvl>
    <w:lvl w:ilvl="8" w:tplc="08090005" w:tentative="1">
      <w:start w:val="1"/>
      <w:numFmt w:val="bullet"/>
      <w:lvlText w:val=""/>
      <w:lvlJc w:val="left"/>
      <w:pPr>
        <w:ind w:left="6108" w:hanging="360"/>
      </w:pPr>
      <w:rPr>
        <w:rFonts w:ascii="Wingdings" w:hAnsi="Wingdings" w:hint="default"/>
      </w:rPr>
    </w:lvl>
  </w:abstractNum>
  <w:abstractNum w:abstractNumId="5">
    <w:nsid w:val="40CD3BE5"/>
    <w:multiLevelType w:val="hybridMultilevel"/>
    <w:tmpl w:val="E0F01CD6"/>
    <w:lvl w:ilvl="0" w:tplc="B324E56C">
      <w:start w:val="1"/>
      <w:numFmt w:val="lowerLetter"/>
      <w:lvlText w:val="%1)"/>
      <w:lvlJc w:val="left"/>
      <w:pPr>
        <w:ind w:left="457" w:hanging="341"/>
      </w:pPr>
      <w:rPr>
        <w:rFonts w:ascii="Times New Roman" w:eastAsia="Times New Roman" w:hAnsi="Times New Roman" w:hint="default"/>
        <w:sz w:val="24"/>
        <w:szCs w:val="24"/>
      </w:rPr>
    </w:lvl>
    <w:lvl w:ilvl="1" w:tplc="E9A63F82">
      <w:start w:val="1"/>
      <w:numFmt w:val="bullet"/>
      <w:lvlText w:val="•"/>
      <w:lvlJc w:val="left"/>
      <w:pPr>
        <w:ind w:left="1353" w:hanging="341"/>
      </w:pPr>
      <w:rPr>
        <w:rFonts w:hint="default"/>
      </w:rPr>
    </w:lvl>
    <w:lvl w:ilvl="2" w:tplc="B14668A4">
      <w:start w:val="1"/>
      <w:numFmt w:val="bullet"/>
      <w:lvlText w:val="•"/>
      <w:lvlJc w:val="left"/>
      <w:pPr>
        <w:ind w:left="2249" w:hanging="341"/>
      </w:pPr>
      <w:rPr>
        <w:rFonts w:hint="default"/>
      </w:rPr>
    </w:lvl>
    <w:lvl w:ilvl="3" w:tplc="EE5CD86E">
      <w:start w:val="1"/>
      <w:numFmt w:val="bullet"/>
      <w:lvlText w:val="•"/>
      <w:lvlJc w:val="left"/>
      <w:pPr>
        <w:ind w:left="3145" w:hanging="341"/>
      </w:pPr>
      <w:rPr>
        <w:rFonts w:hint="default"/>
      </w:rPr>
    </w:lvl>
    <w:lvl w:ilvl="4" w:tplc="95E0457C">
      <w:start w:val="1"/>
      <w:numFmt w:val="bullet"/>
      <w:lvlText w:val="•"/>
      <w:lvlJc w:val="left"/>
      <w:pPr>
        <w:ind w:left="4042" w:hanging="341"/>
      </w:pPr>
      <w:rPr>
        <w:rFonts w:hint="default"/>
      </w:rPr>
    </w:lvl>
    <w:lvl w:ilvl="5" w:tplc="1868BFF4">
      <w:start w:val="1"/>
      <w:numFmt w:val="bullet"/>
      <w:lvlText w:val="•"/>
      <w:lvlJc w:val="left"/>
      <w:pPr>
        <w:ind w:left="4938" w:hanging="341"/>
      </w:pPr>
      <w:rPr>
        <w:rFonts w:hint="default"/>
      </w:rPr>
    </w:lvl>
    <w:lvl w:ilvl="6" w:tplc="65EEF7A8">
      <w:start w:val="1"/>
      <w:numFmt w:val="bullet"/>
      <w:lvlText w:val="•"/>
      <w:lvlJc w:val="left"/>
      <w:pPr>
        <w:ind w:left="5834" w:hanging="341"/>
      </w:pPr>
      <w:rPr>
        <w:rFonts w:hint="default"/>
      </w:rPr>
    </w:lvl>
    <w:lvl w:ilvl="7" w:tplc="744C26A2">
      <w:start w:val="1"/>
      <w:numFmt w:val="bullet"/>
      <w:lvlText w:val="•"/>
      <w:lvlJc w:val="left"/>
      <w:pPr>
        <w:ind w:left="6730" w:hanging="341"/>
      </w:pPr>
      <w:rPr>
        <w:rFonts w:hint="default"/>
      </w:rPr>
    </w:lvl>
    <w:lvl w:ilvl="8" w:tplc="8E225656">
      <w:start w:val="1"/>
      <w:numFmt w:val="bullet"/>
      <w:lvlText w:val="•"/>
      <w:lvlJc w:val="left"/>
      <w:pPr>
        <w:ind w:left="7626" w:hanging="341"/>
      </w:pPr>
      <w:rPr>
        <w:rFonts w:hint="default"/>
      </w:rPr>
    </w:lvl>
  </w:abstractNum>
  <w:abstractNum w:abstractNumId="6">
    <w:nsid w:val="41132782"/>
    <w:multiLevelType w:val="hybridMultilevel"/>
    <w:tmpl w:val="AB02FB5C"/>
    <w:lvl w:ilvl="0" w:tplc="3C8EA07E">
      <w:start w:val="1"/>
      <w:numFmt w:val="bullet"/>
      <w:lvlText w:val="-"/>
      <w:lvlJc w:val="left"/>
      <w:pPr>
        <w:ind w:left="462" w:hanging="360"/>
      </w:pPr>
      <w:rPr>
        <w:rFonts w:ascii="Times New Roman" w:eastAsiaTheme="minorHAnsi" w:hAnsi="Times New Roman" w:cs="Times New Roman" w:hint="default"/>
      </w:rPr>
    </w:lvl>
    <w:lvl w:ilvl="1" w:tplc="04260003" w:tentative="1">
      <w:start w:val="1"/>
      <w:numFmt w:val="bullet"/>
      <w:lvlText w:val="o"/>
      <w:lvlJc w:val="left"/>
      <w:pPr>
        <w:ind w:left="1182" w:hanging="360"/>
      </w:pPr>
      <w:rPr>
        <w:rFonts w:ascii="Courier New" w:hAnsi="Courier New" w:cs="Courier New" w:hint="default"/>
      </w:rPr>
    </w:lvl>
    <w:lvl w:ilvl="2" w:tplc="04260005" w:tentative="1">
      <w:start w:val="1"/>
      <w:numFmt w:val="bullet"/>
      <w:lvlText w:val=""/>
      <w:lvlJc w:val="left"/>
      <w:pPr>
        <w:ind w:left="1902" w:hanging="360"/>
      </w:pPr>
      <w:rPr>
        <w:rFonts w:ascii="Wingdings" w:hAnsi="Wingdings" w:hint="default"/>
      </w:rPr>
    </w:lvl>
    <w:lvl w:ilvl="3" w:tplc="04260001" w:tentative="1">
      <w:start w:val="1"/>
      <w:numFmt w:val="bullet"/>
      <w:lvlText w:val=""/>
      <w:lvlJc w:val="left"/>
      <w:pPr>
        <w:ind w:left="2622" w:hanging="360"/>
      </w:pPr>
      <w:rPr>
        <w:rFonts w:ascii="Symbol" w:hAnsi="Symbol" w:hint="default"/>
      </w:rPr>
    </w:lvl>
    <w:lvl w:ilvl="4" w:tplc="04260003" w:tentative="1">
      <w:start w:val="1"/>
      <w:numFmt w:val="bullet"/>
      <w:lvlText w:val="o"/>
      <w:lvlJc w:val="left"/>
      <w:pPr>
        <w:ind w:left="3342" w:hanging="360"/>
      </w:pPr>
      <w:rPr>
        <w:rFonts w:ascii="Courier New" w:hAnsi="Courier New" w:cs="Courier New" w:hint="default"/>
      </w:rPr>
    </w:lvl>
    <w:lvl w:ilvl="5" w:tplc="04260005" w:tentative="1">
      <w:start w:val="1"/>
      <w:numFmt w:val="bullet"/>
      <w:lvlText w:val=""/>
      <w:lvlJc w:val="left"/>
      <w:pPr>
        <w:ind w:left="4062" w:hanging="360"/>
      </w:pPr>
      <w:rPr>
        <w:rFonts w:ascii="Wingdings" w:hAnsi="Wingdings" w:hint="default"/>
      </w:rPr>
    </w:lvl>
    <w:lvl w:ilvl="6" w:tplc="04260001" w:tentative="1">
      <w:start w:val="1"/>
      <w:numFmt w:val="bullet"/>
      <w:lvlText w:val=""/>
      <w:lvlJc w:val="left"/>
      <w:pPr>
        <w:ind w:left="4782" w:hanging="360"/>
      </w:pPr>
      <w:rPr>
        <w:rFonts w:ascii="Symbol" w:hAnsi="Symbol" w:hint="default"/>
      </w:rPr>
    </w:lvl>
    <w:lvl w:ilvl="7" w:tplc="04260003" w:tentative="1">
      <w:start w:val="1"/>
      <w:numFmt w:val="bullet"/>
      <w:lvlText w:val="o"/>
      <w:lvlJc w:val="left"/>
      <w:pPr>
        <w:ind w:left="5502" w:hanging="360"/>
      </w:pPr>
      <w:rPr>
        <w:rFonts w:ascii="Courier New" w:hAnsi="Courier New" w:cs="Courier New" w:hint="default"/>
      </w:rPr>
    </w:lvl>
    <w:lvl w:ilvl="8" w:tplc="04260005" w:tentative="1">
      <w:start w:val="1"/>
      <w:numFmt w:val="bullet"/>
      <w:lvlText w:val=""/>
      <w:lvlJc w:val="left"/>
      <w:pPr>
        <w:ind w:left="6222" w:hanging="360"/>
      </w:pPr>
      <w:rPr>
        <w:rFonts w:ascii="Wingdings" w:hAnsi="Wingdings" w:hint="default"/>
      </w:rPr>
    </w:lvl>
  </w:abstractNum>
  <w:abstractNum w:abstractNumId="7">
    <w:nsid w:val="45DD02B8"/>
    <w:multiLevelType w:val="multilevel"/>
    <w:tmpl w:val="A8DEE6D2"/>
    <w:lvl w:ilvl="0">
      <w:start w:val="1"/>
      <w:numFmt w:val="decimal"/>
      <w:lvlText w:val="%1."/>
      <w:lvlJc w:val="left"/>
      <w:pPr>
        <w:ind w:left="450" w:hanging="450"/>
      </w:pPr>
      <w:rPr>
        <w:rFonts w:hint="default"/>
        <w:b/>
      </w:rPr>
    </w:lvl>
    <w:lvl w:ilvl="1">
      <w:start w:val="1"/>
      <w:numFmt w:val="decimal"/>
      <w:lvlText w:val="%1.%2."/>
      <w:lvlJc w:val="left"/>
      <w:pPr>
        <w:ind w:left="876" w:hanging="450"/>
      </w:pPr>
      <w:rPr>
        <w:rFonts w:hint="default"/>
        <w:b w:val="0"/>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8">
    <w:nsid w:val="584232A0"/>
    <w:multiLevelType w:val="hybridMultilevel"/>
    <w:tmpl w:val="BF4447C4"/>
    <w:lvl w:ilvl="0" w:tplc="B5645180">
      <w:start w:val="1"/>
      <w:numFmt w:val="bullet"/>
      <w:lvlText w:val=""/>
      <w:lvlJc w:val="left"/>
      <w:pPr>
        <w:tabs>
          <w:tab w:val="num" w:pos="720"/>
        </w:tabs>
        <w:ind w:left="720" w:hanging="360"/>
      </w:pPr>
      <w:rPr>
        <w:rFonts w:ascii="Wingdings" w:hAnsi="Wingdings" w:hint="default"/>
      </w:rPr>
    </w:lvl>
    <w:lvl w:ilvl="1" w:tplc="22AA3654" w:tentative="1">
      <w:start w:val="1"/>
      <w:numFmt w:val="bullet"/>
      <w:lvlText w:val=""/>
      <w:lvlJc w:val="left"/>
      <w:pPr>
        <w:tabs>
          <w:tab w:val="num" w:pos="1440"/>
        </w:tabs>
        <w:ind w:left="1440" w:hanging="360"/>
      </w:pPr>
      <w:rPr>
        <w:rFonts w:ascii="Wingdings" w:hAnsi="Wingdings" w:hint="default"/>
      </w:rPr>
    </w:lvl>
    <w:lvl w:ilvl="2" w:tplc="A8C2A4EE" w:tentative="1">
      <w:start w:val="1"/>
      <w:numFmt w:val="bullet"/>
      <w:lvlText w:val=""/>
      <w:lvlJc w:val="left"/>
      <w:pPr>
        <w:tabs>
          <w:tab w:val="num" w:pos="2160"/>
        </w:tabs>
        <w:ind w:left="2160" w:hanging="360"/>
      </w:pPr>
      <w:rPr>
        <w:rFonts w:ascii="Wingdings" w:hAnsi="Wingdings" w:hint="default"/>
      </w:rPr>
    </w:lvl>
    <w:lvl w:ilvl="3" w:tplc="C3146E30" w:tentative="1">
      <w:start w:val="1"/>
      <w:numFmt w:val="bullet"/>
      <w:lvlText w:val=""/>
      <w:lvlJc w:val="left"/>
      <w:pPr>
        <w:tabs>
          <w:tab w:val="num" w:pos="2880"/>
        </w:tabs>
        <w:ind w:left="2880" w:hanging="360"/>
      </w:pPr>
      <w:rPr>
        <w:rFonts w:ascii="Wingdings" w:hAnsi="Wingdings" w:hint="default"/>
      </w:rPr>
    </w:lvl>
    <w:lvl w:ilvl="4" w:tplc="99B65044" w:tentative="1">
      <w:start w:val="1"/>
      <w:numFmt w:val="bullet"/>
      <w:lvlText w:val=""/>
      <w:lvlJc w:val="left"/>
      <w:pPr>
        <w:tabs>
          <w:tab w:val="num" w:pos="3600"/>
        </w:tabs>
        <w:ind w:left="3600" w:hanging="360"/>
      </w:pPr>
      <w:rPr>
        <w:rFonts w:ascii="Wingdings" w:hAnsi="Wingdings" w:hint="default"/>
      </w:rPr>
    </w:lvl>
    <w:lvl w:ilvl="5" w:tplc="BFF4AB02" w:tentative="1">
      <w:start w:val="1"/>
      <w:numFmt w:val="bullet"/>
      <w:lvlText w:val=""/>
      <w:lvlJc w:val="left"/>
      <w:pPr>
        <w:tabs>
          <w:tab w:val="num" w:pos="4320"/>
        </w:tabs>
        <w:ind w:left="4320" w:hanging="360"/>
      </w:pPr>
      <w:rPr>
        <w:rFonts w:ascii="Wingdings" w:hAnsi="Wingdings" w:hint="default"/>
      </w:rPr>
    </w:lvl>
    <w:lvl w:ilvl="6" w:tplc="084EE0C6" w:tentative="1">
      <w:start w:val="1"/>
      <w:numFmt w:val="bullet"/>
      <w:lvlText w:val=""/>
      <w:lvlJc w:val="left"/>
      <w:pPr>
        <w:tabs>
          <w:tab w:val="num" w:pos="5040"/>
        </w:tabs>
        <w:ind w:left="5040" w:hanging="360"/>
      </w:pPr>
      <w:rPr>
        <w:rFonts w:ascii="Wingdings" w:hAnsi="Wingdings" w:hint="default"/>
      </w:rPr>
    </w:lvl>
    <w:lvl w:ilvl="7" w:tplc="9DB0D020" w:tentative="1">
      <w:start w:val="1"/>
      <w:numFmt w:val="bullet"/>
      <w:lvlText w:val=""/>
      <w:lvlJc w:val="left"/>
      <w:pPr>
        <w:tabs>
          <w:tab w:val="num" w:pos="5760"/>
        </w:tabs>
        <w:ind w:left="5760" w:hanging="360"/>
      </w:pPr>
      <w:rPr>
        <w:rFonts w:ascii="Wingdings" w:hAnsi="Wingdings" w:hint="default"/>
      </w:rPr>
    </w:lvl>
    <w:lvl w:ilvl="8" w:tplc="188634CC" w:tentative="1">
      <w:start w:val="1"/>
      <w:numFmt w:val="bullet"/>
      <w:lvlText w:val=""/>
      <w:lvlJc w:val="left"/>
      <w:pPr>
        <w:tabs>
          <w:tab w:val="num" w:pos="6480"/>
        </w:tabs>
        <w:ind w:left="6480" w:hanging="360"/>
      </w:pPr>
      <w:rPr>
        <w:rFonts w:ascii="Wingdings" w:hAnsi="Wingdings" w:hint="default"/>
      </w:rPr>
    </w:lvl>
  </w:abstractNum>
  <w:abstractNum w:abstractNumId="9">
    <w:nsid w:val="66161C7E"/>
    <w:multiLevelType w:val="hybridMultilevel"/>
    <w:tmpl w:val="639A84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6B8A5647"/>
    <w:multiLevelType w:val="hybridMultilevel"/>
    <w:tmpl w:val="64520B18"/>
    <w:lvl w:ilvl="0" w:tplc="7F72D342">
      <w:start w:val="2011"/>
      <w:numFmt w:val="bullet"/>
      <w:lvlText w:val="-"/>
      <w:lvlJc w:val="left"/>
      <w:pPr>
        <w:ind w:left="720" w:hanging="360"/>
      </w:pPr>
      <w:rPr>
        <w:rFonts w:ascii="Times New Roman" w:eastAsia="Calibri"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73E30F9C"/>
    <w:multiLevelType w:val="multilevel"/>
    <w:tmpl w:val="94BA33E4"/>
    <w:lvl w:ilvl="0">
      <w:start w:val="1"/>
      <w:numFmt w:val="decimal"/>
      <w:lvlText w:val="%1."/>
      <w:lvlJc w:val="left"/>
      <w:pPr>
        <w:ind w:left="720" w:hanging="360"/>
      </w:pPr>
      <w:rPr>
        <w:rFonts w:cstheme="minorBidi" w:hint="default"/>
        <w:b/>
      </w:rPr>
    </w:lvl>
    <w:lvl w:ilvl="1">
      <w:start w:val="2"/>
      <w:numFmt w:val="decimal"/>
      <w:isLgl/>
      <w:lvlText w:val="%1.%2."/>
      <w:lvlJc w:val="left"/>
      <w:pPr>
        <w:ind w:left="786" w:hanging="360"/>
      </w:pPr>
      <w:rPr>
        <w:rFonts w:eastAsia="Verdana" w:hint="default"/>
      </w:rPr>
    </w:lvl>
    <w:lvl w:ilvl="2">
      <w:start w:val="1"/>
      <w:numFmt w:val="decimal"/>
      <w:isLgl/>
      <w:lvlText w:val="%1.%2.%3."/>
      <w:lvlJc w:val="left"/>
      <w:pPr>
        <w:ind w:left="1800" w:hanging="720"/>
      </w:pPr>
      <w:rPr>
        <w:rFonts w:eastAsia="Verdana" w:hint="default"/>
      </w:rPr>
    </w:lvl>
    <w:lvl w:ilvl="3">
      <w:start w:val="1"/>
      <w:numFmt w:val="decimal"/>
      <w:isLgl/>
      <w:lvlText w:val="%1.%2.%3.%4."/>
      <w:lvlJc w:val="left"/>
      <w:pPr>
        <w:ind w:left="2160" w:hanging="720"/>
      </w:pPr>
      <w:rPr>
        <w:rFonts w:eastAsia="Verdana" w:hint="default"/>
      </w:rPr>
    </w:lvl>
    <w:lvl w:ilvl="4">
      <w:start w:val="1"/>
      <w:numFmt w:val="decimal"/>
      <w:isLgl/>
      <w:lvlText w:val="%1.%2.%3.%4.%5."/>
      <w:lvlJc w:val="left"/>
      <w:pPr>
        <w:ind w:left="2880" w:hanging="1080"/>
      </w:pPr>
      <w:rPr>
        <w:rFonts w:eastAsia="Verdana" w:hint="default"/>
      </w:rPr>
    </w:lvl>
    <w:lvl w:ilvl="5">
      <w:start w:val="1"/>
      <w:numFmt w:val="decimal"/>
      <w:isLgl/>
      <w:lvlText w:val="%1.%2.%3.%4.%5.%6."/>
      <w:lvlJc w:val="left"/>
      <w:pPr>
        <w:ind w:left="3240" w:hanging="1080"/>
      </w:pPr>
      <w:rPr>
        <w:rFonts w:eastAsia="Verdana" w:hint="default"/>
      </w:rPr>
    </w:lvl>
    <w:lvl w:ilvl="6">
      <w:start w:val="1"/>
      <w:numFmt w:val="decimal"/>
      <w:isLgl/>
      <w:lvlText w:val="%1.%2.%3.%4.%5.%6.%7."/>
      <w:lvlJc w:val="left"/>
      <w:pPr>
        <w:ind w:left="3960" w:hanging="1440"/>
      </w:pPr>
      <w:rPr>
        <w:rFonts w:eastAsia="Verdana" w:hint="default"/>
      </w:rPr>
    </w:lvl>
    <w:lvl w:ilvl="7">
      <w:start w:val="1"/>
      <w:numFmt w:val="decimal"/>
      <w:isLgl/>
      <w:lvlText w:val="%1.%2.%3.%4.%5.%6.%7.%8."/>
      <w:lvlJc w:val="left"/>
      <w:pPr>
        <w:ind w:left="4320" w:hanging="1440"/>
      </w:pPr>
      <w:rPr>
        <w:rFonts w:eastAsia="Verdana" w:hint="default"/>
      </w:rPr>
    </w:lvl>
    <w:lvl w:ilvl="8">
      <w:start w:val="1"/>
      <w:numFmt w:val="decimal"/>
      <w:isLgl/>
      <w:lvlText w:val="%1.%2.%3.%4.%5.%6.%7.%8.%9."/>
      <w:lvlJc w:val="left"/>
      <w:pPr>
        <w:ind w:left="5040" w:hanging="1800"/>
      </w:pPr>
      <w:rPr>
        <w:rFonts w:eastAsia="Verdana" w:hint="default"/>
      </w:rPr>
    </w:lvl>
  </w:abstractNum>
  <w:abstractNum w:abstractNumId="12">
    <w:nsid w:val="77141173"/>
    <w:multiLevelType w:val="hybridMultilevel"/>
    <w:tmpl w:val="0688F910"/>
    <w:lvl w:ilvl="0" w:tplc="74602A4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3">
    <w:nsid w:val="7954574C"/>
    <w:multiLevelType w:val="hybridMultilevel"/>
    <w:tmpl w:val="A9A24028"/>
    <w:lvl w:ilvl="0" w:tplc="8D86C702">
      <w:start w:val="1"/>
      <w:numFmt w:val="bullet"/>
      <w:lvlText w:val="•"/>
      <w:lvlJc w:val="left"/>
      <w:pPr>
        <w:tabs>
          <w:tab w:val="num" w:pos="720"/>
        </w:tabs>
        <w:ind w:left="720" w:hanging="360"/>
      </w:pPr>
      <w:rPr>
        <w:rFonts w:ascii="Times New Roman" w:hAnsi="Times New Roman" w:hint="default"/>
      </w:rPr>
    </w:lvl>
    <w:lvl w:ilvl="1" w:tplc="20A477E4" w:tentative="1">
      <w:start w:val="1"/>
      <w:numFmt w:val="bullet"/>
      <w:lvlText w:val="•"/>
      <w:lvlJc w:val="left"/>
      <w:pPr>
        <w:tabs>
          <w:tab w:val="num" w:pos="1440"/>
        </w:tabs>
        <w:ind w:left="1440" w:hanging="360"/>
      </w:pPr>
      <w:rPr>
        <w:rFonts w:ascii="Times New Roman" w:hAnsi="Times New Roman" w:hint="default"/>
      </w:rPr>
    </w:lvl>
    <w:lvl w:ilvl="2" w:tplc="C1BAA9BC" w:tentative="1">
      <w:start w:val="1"/>
      <w:numFmt w:val="bullet"/>
      <w:lvlText w:val="•"/>
      <w:lvlJc w:val="left"/>
      <w:pPr>
        <w:tabs>
          <w:tab w:val="num" w:pos="2160"/>
        </w:tabs>
        <w:ind w:left="2160" w:hanging="360"/>
      </w:pPr>
      <w:rPr>
        <w:rFonts w:ascii="Times New Roman" w:hAnsi="Times New Roman" w:hint="default"/>
      </w:rPr>
    </w:lvl>
    <w:lvl w:ilvl="3" w:tplc="196A652A" w:tentative="1">
      <w:start w:val="1"/>
      <w:numFmt w:val="bullet"/>
      <w:lvlText w:val="•"/>
      <w:lvlJc w:val="left"/>
      <w:pPr>
        <w:tabs>
          <w:tab w:val="num" w:pos="2880"/>
        </w:tabs>
        <w:ind w:left="2880" w:hanging="360"/>
      </w:pPr>
      <w:rPr>
        <w:rFonts w:ascii="Times New Roman" w:hAnsi="Times New Roman" w:hint="default"/>
      </w:rPr>
    </w:lvl>
    <w:lvl w:ilvl="4" w:tplc="87D6A080" w:tentative="1">
      <w:start w:val="1"/>
      <w:numFmt w:val="bullet"/>
      <w:lvlText w:val="•"/>
      <w:lvlJc w:val="left"/>
      <w:pPr>
        <w:tabs>
          <w:tab w:val="num" w:pos="3600"/>
        </w:tabs>
        <w:ind w:left="3600" w:hanging="360"/>
      </w:pPr>
      <w:rPr>
        <w:rFonts w:ascii="Times New Roman" w:hAnsi="Times New Roman" w:hint="default"/>
      </w:rPr>
    </w:lvl>
    <w:lvl w:ilvl="5" w:tplc="BE381738" w:tentative="1">
      <w:start w:val="1"/>
      <w:numFmt w:val="bullet"/>
      <w:lvlText w:val="•"/>
      <w:lvlJc w:val="left"/>
      <w:pPr>
        <w:tabs>
          <w:tab w:val="num" w:pos="4320"/>
        </w:tabs>
        <w:ind w:left="4320" w:hanging="360"/>
      </w:pPr>
      <w:rPr>
        <w:rFonts w:ascii="Times New Roman" w:hAnsi="Times New Roman" w:hint="default"/>
      </w:rPr>
    </w:lvl>
    <w:lvl w:ilvl="6" w:tplc="19ECEAD8" w:tentative="1">
      <w:start w:val="1"/>
      <w:numFmt w:val="bullet"/>
      <w:lvlText w:val="•"/>
      <w:lvlJc w:val="left"/>
      <w:pPr>
        <w:tabs>
          <w:tab w:val="num" w:pos="5040"/>
        </w:tabs>
        <w:ind w:left="5040" w:hanging="360"/>
      </w:pPr>
      <w:rPr>
        <w:rFonts w:ascii="Times New Roman" w:hAnsi="Times New Roman" w:hint="default"/>
      </w:rPr>
    </w:lvl>
    <w:lvl w:ilvl="7" w:tplc="DFE4BC74" w:tentative="1">
      <w:start w:val="1"/>
      <w:numFmt w:val="bullet"/>
      <w:lvlText w:val="•"/>
      <w:lvlJc w:val="left"/>
      <w:pPr>
        <w:tabs>
          <w:tab w:val="num" w:pos="5760"/>
        </w:tabs>
        <w:ind w:left="5760" w:hanging="360"/>
      </w:pPr>
      <w:rPr>
        <w:rFonts w:ascii="Times New Roman" w:hAnsi="Times New Roman" w:hint="default"/>
      </w:rPr>
    </w:lvl>
    <w:lvl w:ilvl="8" w:tplc="501479D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976783A"/>
    <w:multiLevelType w:val="hybridMultilevel"/>
    <w:tmpl w:val="514A0316"/>
    <w:lvl w:ilvl="0" w:tplc="C3F637FA">
      <w:start w:val="1"/>
      <w:numFmt w:val="lowerLetter"/>
      <w:lvlText w:val="%1)"/>
      <w:lvlJc w:val="left"/>
      <w:pPr>
        <w:ind w:left="457" w:hanging="341"/>
      </w:pPr>
      <w:rPr>
        <w:rFonts w:ascii="Times New Roman" w:eastAsia="Times New Roman" w:hAnsi="Times New Roman" w:hint="default"/>
        <w:sz w:val="24"/>
        <w:szCs w:val="24"/>
      </w:rPr>
    </w:lvl>
    <w:lvl w:ilvl="1" w:tplc="CB0C35E8">
      <w:start w:val="1"/>
      <w:numFmt w:val="bullet"/>
      <w:lvlText w:val="•"/>
      <w:lvlJc w:val="left"/>
      <w:pPr>
        <w:ind w:left="1341" w:hanging="341"/>
      </w:pPr>
      <w:rPr>
        <w:rFonts w:hint="default"/>
      </w:rPr>
    </w:lvl>
    <w:lvl w:ilvl="2" w:tplc="6EA89C32">
      <w:start w:val="1"/>
      <w:numFmt w:val="bullet"/>
      <w:lvlText w:val="•"/>
      <w:lvlJc w:val="left"/>
      <w:pPr>
        <w:ind w:left="2225" w:hanging="341"/>
      </w:pPr>
      <w:rPr>
        <w:rFonts w:hint="default"/>
      </w:rPr>
    </w:lvl>
    <w:lvl w:ilvl="3" w:tplc="A512393E">
      <w:start w:val="1"/>
      <w:numFmt w:val="bullet"/>
      <w:lvlText w:val="•"/>
      <w:lvlJc w:val="left"/>
      <w:pPr>
        <w:ind w:left="3109" w:hanging="341"/>
      </w:pPr>
      <w:rPr>
        <w:rFonts w:hint="default"/>
      </w:rPr>
    </w:lvl>
    <w:lvl w:ilvl="4" w:tplc="787A618C">
      <w:start w:val="1"/>
      <w:numFmt w:val="bullet"/>
      <w:lvlText w:val="•"/>
      <w:lvlJc w:val="left"/>
      <w:pPr>
        <w:ind w:left="3994" w:hanging="341"/>
      </w:pPr>
      <w:rPr>
        <w:rFonts w:hint="default"/>
      </w:rPr>
    </w:lvl>
    <w:lvl w:ilvl="5" w:tplc="9A868E6E">
      <w:start w:val="1"/>
      <w:numFmt w:val="bullet"/>
      <w:lvlText w:val="•"/>
      <w:lvlJc w:val="left"/>
      <w:pPr>
        <w:ind w:left="4878" w:hanging="341"/>
      </w:pPr>
      <w:rPr>
        <w:rFonts w:hint="default"/>
      </w:rPr>
    </w:lvl>
    <w:lvl w:ilvl="6" w:tplc="B734D130">
      <w:start w:val="1"/>
      <w:numFmt w:val="bullet"/>
      <w:lvlText w:val="•"/>
      <w:lvlJc w:val="left"/>
      <w:pPr>
        <w:ind w:left="5762" w:hanging="341"/>
      </w:pPr>
      <w:rPr>
        <w:rFonts w:hint="default"/>
      </w:rPr>
    </w:lvl>
    <w:lvl w:ilvl="7" w:tplc="AF98C6D4">
      <w:start w:val="1"/>
      <w:numFmt w:val="bullet"/>
      <w:lvlText w:val="•"/>
      <w:lvlJc w:val="left"/>
      <w:pPr>
        <w:ind w:left="6646" w:hanging="341"/>
      </w:pPr>
      <w:rPr>
        <w:rFonts w:hint="default"/>
      </w:rPr>
    </w:lvl>
    <w:lvl w:ilvl="8" w:tplc="42320B72">
      <w:start w:val="1"/>
      <w:numFmt w:val="bullet"/>
      <w:lvlText w:val="•"/>
      <w:lvlJc w:val="left"/>
      <w:pPr>
        <w:ind w:left="7530" w:hanging="341"/>
      </w:pPr>
      <w:rPr>
        <w:rFonts w:hint="default"/>
      </w:rPr>
    </w:lvl>
  </w:abstractNum>
  <w:abstractNum w:abstractNumId="15">
    <w:nsid w:val="7D452248"/>
    <w:multiLevelType w:val="hybridMultilevel"/>
    <w:tmpl w:val="B8A067D4"/>
    <w:lvl w:ilvl="0" w:tplc="B848427E">
      <w:start w:val="1"/>
      <w:numFmt w:val="bullet"/>
      <w:lvlText w:val=""/>
      <w:lvlJc w:val="left"/>
      <w:pPr>
        <w:tabs>
          <w:tab w:val="num" w:pos="720"/>
        </w:tabs>
        <w:ind w:left="720" w:hanging="360"/>
      </w:pPr>
      <w:rPr>
        <w:rFonts w:ascii="Wingdings" w:hAnsi="Wingdings" w:hint="default"/>
      </w:rPr>
    </w:lvl>
    <w:lvl w:ilvl="1" w:tplc="461041E0" w:tentative="1">
      <w:start w:val="1"/>
      <w:numFmt w:val="bullet"/>
      <w:lvlText w:val=""/>
      <w:lvlJc w:val="left"/>
      <w:pPr>
        <w:tabs>
          <w:tab w:val="num" w:pos="1440"/>
        </w:tabs>
        <w:ind w:left="1440" w:hanging="360"/>
      </w:pPr>
      <w:rPr>
        <w:rFonts w:ascii="Wingdings" w:hAnsi="Wingdings" w:hint="default"/>
      </w:rPr>
    </w:lvl>
    <w:lvl w:ilvl="2" w:tplc="C0EE0868" w:tentative="1">
      <w:start w:val="1"/>
      <w:numFmt w:val="bullet"/>
      <w:lvlText w:val=""/>
      <w:lvlJc w:val="left"/>
      <w:pPr>
        <w:tabs>
          <w:tab w:val="num" w:pos="2160"/>
        </w:tabs>
        <w:ind w:left="2160" w:hanging="360"/>
      </w:pPr>
      <w:rPr>
        <w:rFonts w:ascii="Wingdings" w:hAnsi="Wingdings" w:hint="default"/>
      </w:rPr>
    </w:lvl>
    <w:lvl w:ilvl="3" w:tplc="BB6A7222" w:tentative="1">
      <w:start w:val="1"/>
      <w:numFmt w:val="bullet"/>
      <w:lvlText w:val=""/>
      <w:lvlJc w:val="left"/>
      <w:pPr>
        <w:tabs>
          <w:tab w:val="num" w:pos="2880"/>
        </w:tabs>
        <w:ind w:left="2880" w:hanging="360"/>
      </w:pPr>
      <w:rPr>
        <w:rFonts w:ascii="Wingdings" w:hAnsi="Wingdings" w:hint="default"/>
      </w:rPr>
    </w:lvl>
    <w:lvl w:ilvl="4" w:tplc="208E668E" w:tentative="1">
      <w:start w:val="1"/>
      <w:numFmt w:val="bullet"/>
      <w:lvlText w:val=""/>
      <w:lvlJc w:val="left"/>
      <w:pPr>
        <w:tabs>
          <w:tab w:val="num" w:pos="3600"/>
        </w:tabs>
        <w:ind w:left="3600" w:hanging="360"/>
      </w:pPr>
      <w:rPr>
        <w:rFonts w:ascii="Wingdings" w:hAnsi="Wingdings" w:hint="default"/>
      </w:rPr>
    </w:lvl>
    <w:lvl w:ilvl="5" w:tplc="CBD2C86E" w:tentative="1">
      <w:start w:val="1"/>
      <w:numFmt w:val="bullet"/>
      <w:lvlText w:val=""/>
      <w:lvlJc w:val="left"/>
      <w:pPr>
        <w:tabs>
          <w:tab w:val="num" w:pos="4320"/>
        </w:tabs>
        <w:ind w:left="4320" w:hanging="360"/>
      </w:pPr>
      <w:rPr>
        <w:rFonts w:ascii="Wingdings" w:hAnsi="Wingdings" w:hint="default"/>
      </w:rPr>
    </w:lvl>
    <w:lvl w:ilvl="6" w:tplc="C31A5A3A" w:tentative="1">
      <w:start w:val="1"/>
      <w:numFmt w:val="bullet"/>
      <w:lvlText w:val=""/>
      <w:lvlJc w:val="left"/>
      <w:pPr>
        <w:tabs>
          <w:tab w:val="num" w:pos="5040"/>
        </w:tabs>
        <w:ind w:left="5040" w:hanging="360"/>
      </w:pPr>
      <w:rPr>
        <w:rFonts w:ascii="Wingdings" w:hAnsi="Wingdings" w:hint="default"/>
      </w:rPr>
    </w:lvl>
    <w:lvl w:ilvl="7" w:tplc="C1542EB6" w:tentative="1">
      <w:start w:val="1"/>
      <w:numFmt w:val="bullet"/>
      <w:lvlText w:val=""/>
      <w:lvlJc w:val="left"/>
      <w:pPr>
        <w:tabs>
          <w:tab w:val="num" w:pos="5760"/>
        </w:tabs>
        <w:ind w:left="5760" w:hanging="360"/>
      </w:pPr>
      <w:rPr>
        <w:rFonts w:ascii="Wingdings" w:hAnsi="Wingdings" w:hint="default"/>
      </w:rPr>
    </w:lvl>
    <w:lvl w:ilvl="8" w:tplc="542C8D44" w:tentative="1">
      <w:start w:val="1"/>
      <w:numFmt w:val="bullet"/>
      <w:lvlText w:val=""/>
      <w:lvlJc w:val="left"/>
      <w:pPr>
        <w:tabs>
          <w:tab w:val="num" w:pos="6480"/>
        </w:tabs>
        <w:ind w:left="6480" w:hanging="360"/>
      </w:pPr>
      <w:rPr>
        <w:rFonts w:ascii="Wingdings" w:hAnsi="Wingdings" w:hint="default"/>
      </w:rPr>
    </w:lvl>
  </w:abstractNum>
  <w:abstractNum w:abstractNumId="16">
    <w:nsid w:val="7F0B1725"/>
    <w:multiLevelType w:val="hybridMultilevel"/>
    <w:tmpl w:val="576E7AA2"/>
    <w:lvl w:ilvl="0" w:tplc="227C449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8"/>
  </w:num>
  <w:num w:numId="4">
    <w:abstractNumId w:val="1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11"/>
  </w:num>
  <w:num w:numId="9">
    <w:abstractNumId w:val="7"/>
  </w:num>
  <w:num w:numId="10">
    <w:abstractNumId w:val="16"/>
  </w:num>
  <w:num w:numId="11">
    <w:abstractNumId w:val="1"/>
  </w:num>
  <w:num w:numId="12">
    <w:abstractNumId w:val="3"/>
  </w:num>
  <w:num w:numId="13">
    <w:abstractNumId w:val="2"/>
  </w:num>
  <w:num w:numId="14">
    <w:abstractNumId w:val="14"/>
  </w:num>
  <w:num w:numId="15">
    <w:abstractNumId w:val="5"/>
  </w:num>
  <w:num w:numId="16">
    <w:abstractNumId w:val="9"/>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doNotShadeFormData/>
  <w:characterSpacingControl w:val="doNotCompress"/>
  <w:footnotePr>
    <w:footnote w:id="-1"/>
    <w:footnote w:id="0"/>
  </w:footnotePr>
  <w:endnotePr>
    <w:endnote w:id="-1"/>
    <w:endnote w:id="0"/>
  </w:endnotePr>
  <w:compat/>
  <w:rsids>
    <w:rsidRoot w:val="00DC398B"/>
    <w:rsid w:val="00021E2C"/>
    <w:rsid w:val="00044F82"/>
    <w:rsid w:val="00053AEA"/>
    <w:rsid w:val="00066EE6"/>
    <w:rsid w:val="0009084F"/>
    <w:rsid w:val="00093928"/>
    <w:rsid w:val="000A4064"/>
    <w:rsid w:val="000A655C"/>
    <w:rsid w:val="000C4E0A"/>
    <w:rsid w:val="000D0337"/>
    <w:rsid w:val="00103EB0"/>
    <w:rsid w:val="00106370"/>
    <w:rsid w:val="001143F0"/>
    <w:rsid w:val="0013112D"/>
    <w:rsid w:val="00140968"/>
    <w:rsid w:val="00156DB5"/>
    <w:rsid w:val="001927B8"/>
    <w:rsid w:val="001C4A17"/>
    <w:rsid w:val="001F1BE1"/>
    <w:rsid w:val="001F3627"/>
    <w:rsid w:val="001F59AC"/>
    <w:rsid w:val="00206600"/>
    <w:rsid w:val="002225BF"/>
    <w:rsid w:val="00256108"/>
    <w:rsid w:val="00256F5B"/>
    <w:rsid w:val="00256F6D"/>
    <w:rsid w:val="00277291"/>
    <w:rsid w:val="002A7AFA"/>
    <w:rsid w:val="002C1D11"/>
    <w:rsid w:val="002C252E"/>
    <w:rsid w:val="002D3925"/>
    <w:rsid w:val="002D6BEB"/>
    <w:rsid w:val="002D70ED"/>
    <w:rsid w:val="002E5112"/>
    <w:rsid w:val="002F4E77"/>
    <w:rsid w:val="0030334B"/>
    <w:rsid w:val="0030455E"/>
    <w:rsid w:val="00313B4A"/>
    <w:rsid w:val="0032763F"/>
    <w:rsid w:val="00361D0C"/>
    <w:rsid w:val="00363C3D"/>
    <w:rsid w:val="00385458"/>
    <w:rsid w:val="003C0DD8"/>
    <w:rsid w:val="003F3F01"/>
    <w:rsid w:val="004161F1"/>
    <w:rsid w:val="00427767"/>
    <w:rsid w:val="004526FE"/>
    <w:rsid w:val="004647E4"/>
    <w:rsid w:val="004718A8"/>
    <w:rsid w:val="00471CBD"/>
    <w:rsid w:val="004726B1"/>
    <w:rsid w:val="004A1B08"/>
    <w:rsid w:val="00513846"/>
    <w:rsid w:val="00524EE7"/>
    <w:rsid w:val="00533D49"/>
    <w:rsid w:val="005903D9"/>
    <w:rsid w:val="00596025"/>
    <w:rsid w:val="005A2E11"/>
    <w:rsid w:val="005A2EF7"/>
    <w:rsid w:val="005A5B6C"/>
    <w:rsid w:val="005B1D4B"/>
    <w:rsid w:val="005B7CDD"/>
    <w:rsid w:val="005D4A00"/>
    <w:rsid w:val="005D67F8"/>
    <w:rsid w:val="005F4610"/>
    <w:rsid w:val="005F5DD8"/>
    <w:rsid w:val="00603739"/>
    <w:rsid w:val="00603D6C"/>
    <w:rsid w:val="00614890"/>
    <w:rsid w:val="006156E7"/>
    <w:rsid w:val="00635A71"/>
    <w:rsid w:val="00650F25"/>
    <w:rsid w:val="00671409"/>
    <w:rsid w:val="00676213"/>
    <w:rsid w:val="006812A8"/>
    <w:rsid w:val="00681E5B"/>
    <w:rsid w:val="00693D2B"/>
    <w:rsid w:val="006E6C36"/>
    <w:rsid w:val="00702997"/>
    <w:rsid w:val="00702A2E"/>
    <w:rsid w:val="0073093E"/>
    <w:rsid w:val="00740A07"/>
    <w:rsid w:val="00770BAA"/>
    <w:rsid w:val="007728F1"/>
    <w:rsid w:val="00775E8D"/>
    <w:rsid w:val="00783FE6"/>
    <w:rsid w:val="007935C6"/>
    <w:rsid w:val="007A49E4"/>
    <w:rsid w:val="007A736F"/>
    <w:rsid w:val="007B5D59"/>
    <w:rsid w:val="007D4534"/>
    <w:rsid w:val="008102E2"/>
    <w:rsid w:val="00812325"/>
    <w:rsid w:val="00832BCE"/>
    <w:rsid w:val="008628AC"/>
    <w:rsid w:val="008A48B3"/>
    <w:rsid w:val="008E0312"/>
    <w:rsid w:val="008F6659"/>
    <w:rsid w:val="0090295E"/>
    <w:rsid w:val="009068F0"/>
    <w:rsid w:val="00911554"/>
    <w:rsid w:val="00921CD4"/>
    <w:rsid w:val="00935E89"/>
    <w:rsid w:val="00946D25"/>
    <w:rsid w:val="0096178F"/>
    <w:rsid w:val="0097319F"/>
    <w:rsid w:val="00974435"/>
    <w:rsid w:val="00994BD7"/>
    <w:rsid w:val="009D792F"/>
    <w:rsid w:val="009F54DB"/>
    <w:rsid w:val="00A4191E"/>
    <w:rsid w:val="00A51B0C"/>
    <w:rsid w:val="00A634C3"/>
    <w:rsid w:val="00A70ED6"/>
    <w:rsid w:val="00A72585"/>
    <w:rsid w:val="00AB1307"/>
    <w:rsid w:val="00AD7232"/>
    <w:rsid w:val="00B00F99"/>
    <w:rsid w:val="00B04DC2"/>
    <w:rsid w:val="00B13CFA"/>
    <w:rsid w:val="00B56457"/>
    <w:rsid w:val="00B64CE3"/>
    <w:rsid w:val="00B674C4"/>
    <w:rsid w:val="00BA1EF3"/>
    <w:rsid w:val="00BC1243"/>
    <w:rsid w:val="00BC4993"/>
    <w:rsid w:val="00BF2B54"/>
    <w:rsid w:val="00BF620B"/>
    <w:rsid w:val="00C05126"/>
    <w:rsid w:val="00C07560"/>
    <w:rsid w:val="00C12E4A"/>
    <w:rsid w:val="00C2137B"/>
    <w:rsid w:val="00C3291E"/>
    <w:rsid w:val="00C42764"/>
    <w:rsid w:val="00C528AE"/>
    <w:rsid w:val="00C64850"/>
    <w:rsid w:val="00C86FD0"/>
    <w:rsid w:val="00C91690"/>
    <w:rsid w:val="00CA251B"/>
    <w:rsid w:val="00CD06DE"/>
    <w:rsid w:val="00CD4E4B"/>
    <w:rsid w:val="00CF197E"/>
    <w:rsid w:val="00CF71F2"/>
    <w:rsid w:val="00D05DFE"/>
    <w:rsid w:val="00D1395B"/>
    <w:rsid w:val="00D22911"/>
    <w:rsid w:val="00D53EED"/>
    <w:rsid w:val="00DC398B"/>
    <w:rsid w:val="00DE268E"/>
    <w:rsid w:val="00E00DBA"/>
    <w:rsid w:val="00E01602"/>
    <w:rsid w:val="00E34C63"/>
    <w:rsid w:val="00E46343"/>
    <w:rsid w:val="00E62FF8"/>
    <w:rsid w:val="00E66567"/>
    <w:rsid w:val="00E676F4"/>
    <w:rsid w:val="00E77FB7"/>
    <w:rsid w:val="00ED5CB3"/>
    <w:rsid w:val="00EE5755"/>
    <w:rsid w:val="00EF049B"/>
    <w:rsid w:val="00F16EE3"/>
    <w:rsid w:val="00F1753B"/>
    <w:rsid w:val="00F453C9"/>
    <w:rsid w:val="00F84FEF"/>
    <w:rsid w:val="00FB62B1"/>
    <w:rsid w:val="00FC270A"/>
    <w:rsid w:val="00FE50CA"/>
    <w:rsid w:val="00FF54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ind w:left="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2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03739"/>
    <w:rPr>
      <w:b/>
      <w:bCs/>
    </w:rPr>
  </w:style>
  <w:style w:type="paragraph" w:styleId="ListParagraph">
    <w:name w:val="List Paragraph"/>
    <w:basedOn w:val="Normal"/>
    <w:uiPriority w:val="34"/>
    <w:qFormat/>
    <w:rsid w:val="005F4610"/>
    <w:pPr>
      <w:ind w:left="720"/>
      <w:contextualSpacing/>
    </w:pPr>
  </w:style>
  <w:style w:type="character" w:styleId="Hyperlink">
    <w:name w:val="Hyperlink"/>
    <w:basedOn w:val="DefaultParagraphFont"/>
    <w:rsid w:val="00B13CFA"/>
    <w:rPr>
      <w:color w:val="0000FF"/>
      <w:u w:val="single"/>
    </w:rPr>
  </w:style>
  <w:style w:type="paragraph" w:styleId="Header">
    <w:name w:val="header"/>
    <w:basedOn w:val="Normal"/>
    <w:link w:val="HeaderChar"/>
    <w:uiPriority w:val="99"/>
    <w:semiHidden/>
    <w:unhideWhenUsed/>
    <w:rsid w:val="00B13CFA"/>
    <w:pPr>
      <w:tabs>
        <w:tab w:val="center" w:pos="4153"/>
        <w:tab w:val="right" w:pos="8306"/>
      </w:tabs>
    </w:pPr>
  </w:style>
  <w:style w:type="character" w:customStyle="1" w:styleId="HeaderChar">
    <w:name w:val="Header Char"/>
    <w:basedOn w:val="DefaultParagraphFont"/>
    <w:link w:val="Header"/>
    <w:uiPriority w:val="99"/>
    <w:semiHidden/>
    <w:rsid w:val="00B13CFA"/>
  </w:style>
  <w:style w:type="paragraph" w:styleId="Footer">
    <w:name w:val="footer"/>
    <w:basedOn w:val="Normal"/>
    <w:link w:val="FooterChar"/>
    <w:uiPriority w:val="99"/>
    <w:semiHidden/>
    <w:unhideWhenUsed/>
    <w:rsid w:val="00B13CFA"/>
    <w:pPr>
      <w:tabs>
        <w:tab w:val="center" w:pos="4153"/>
        <w:tab w:val="right" w:pos="8306"/>
      </w:tabs>
    </w:pPr>
  </w:style>
  <w:style w:type="character" w:customStyle="1" w:styleId="FooterChar">
    <w:name w:val="Footer Char"/>
    <w:basedOn w:val="DefaultParagraphFont"/>
    <w:link w:val="Footer"/>
    <w:uiPriority w:val="99"/>
    <w:semiHidden/>
    <w:rsid w:val="00B13CFA"/>
  </w:style>
  <w:style w:type="paragraph" w:styleId="BodyText">
    <w:name w:val="Body Text"/>
    <w:basedOn w:val="Normal"/>
    <w:link w:val="BodyTextChar"/>
    <w:rsid w:val="00B13CFA"/>
    <w:pPr>
      <w:spacing w:after="120"/>
      <w:ind w:left="0"/>
      <w:jc w:val="left"/>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B13CFA"/>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D22911"/>
    <w:rPr>
      <w:rFonts w:ascii="Tahoma" w:hAnsi="Tahoma" w:cs="Tahoma"/>
      <w:sz w:val="16"/>
      <w:szCs w:val="16"/>
    </w:rPr>
  </w:style>
  <w:style w:type="character" w:customStyle="1" w:styleId="BalloonTextChar">
    <w:name w:val="Balloon Text Char"/>
    <w:basedOn w:val="DefaultParagraphFont"/>
    <w:link w:val="BalloonText"/>
    <w:uiPriority w:val="99"/>
    <w:semiHidden/>
    <w:rsid w:val="00D22911"/>
    <w:rPr>
      <w:rFonts w:ascii="Tahoma" w:hAnsi="Tahoma" w:cs="Tahoma"/>
      <w:sz w:val="16"/>
      <w:szCs w:val="16"/>
    </w:rPr>
  </w:style>
  <w:style w:type="paragraph" w:customStyle="1" w:styleId="TableParagraph">
    <w:name w:val="Table Paragraph"/>
    <w:basedOn w:val="Normal"/>
    <w:uiPriority w:val="1"/>
    <w:qFormat/>
    <w:rsid w:val="00F1753B"/>
    <w:pPr>
      <w:widowControl w:val="0"/>
      <w:ind w:left="0"/>
      <w:jc w:val="left"/>
    </w:pPr>
    <w:rPr>
      <w:lang w:val="en-GB" w:eastAsia="en-GB" w:bidi="en-GB"/>
    </w:rPr>
  </w:style>
  <w:style w:type="character" w:customStyle="1" w:styleId="at2">
    <w:name w:val="a__t2"/>
    <w:rsid w:val="002C1D11"/>
  </w:style>
</w:styles>
</file>

<file path=word/webSettings.xml><?xml version="1.0" encoding="utf-8"?>
<w:webSettings xmlns:r="http://schemas.openxmlformats.org/officeDocument/2006/relationships" xmlns:w="http://schemas.openxmlformats.org/wordprocessingml/2006/main">
  <w:divs>
    <w:div w:id="211161057">
      <w:bodyDiv w:val="1"/>
      <w:marLeft w:val="0"/>
      <w:marRight w:val="0"/>
      <w:marTop w:val="0"/>
      <w:marBottom w:val="0"/>
      <w:divBdr>
        <w:top w:val="none" w:sz="0" w:space="0" w:color="auto"/>
        <w:left w:val="none" w:sz="0" w:space="0" w:color="auto"/>
        <w:bottom w:val="none" w:sz="0" w:space="0" w:color="auto"/>
        <w:right w:val="none" w:sz="0" w:space="0" w:color="auto"/>
      </w:divBdr>
    </w:div>
    <w:div w:id="519316819">
      <w:bodyDiv w:val="1"/>
      <w:marLeft w:val="0"/>
      <w:marRight w:val="0"/>
      <w:marTop w:val="0"/>
      <w:marBottom w:val="0"/>
      <w:divBdr>
        <w:top w:val="none" w:sz="0" w:space="0" w:color="auto"/>
        <w:left w:val="none" w:sz="0" w:space="0" w:color="auto"/>
        <w:bottom w:val="none" w:sz="0" w:space="0" w:color="auto"/>
        <w:right w:val="none" w:sz="0" w:space="0" w:color="auto"/>
      </w:divBdr>
      <w:divsChild>
        <w:div w:id="1431898854">
          <w:marLeft w:val="547"/>
          <w:marRight w:val="0"/>
          <w:marTop w:val="160"/>
          <w:marBottom w:val="0"/>
          <w:divBdr>
            <w:top w:val="none" w:sz="0" w:space="0" w:color="auto"/>
            <w:left w:val="none" w:sz="0" w:space="0" w:color="auto"/>
            <w:bottom w:val="none" w:sz="0" w:space="0" w:color="auto"/>
            <w:right w:val="none" w:sz="0" w:space="0" w:color="auto"/>
          </w:divBdr>
        </w:div>
      </w:divsChild>
    </w:div>
    <w:div w:id="814488107">
      <w:bodyDiv w:val="1"/>
      <w:marLeft w:val="0"/>
      <w:marRight w:val="0"/>
      <w:marTop w:val="0"/>
      <w:marBottom w:val="0"/>
      <w:divBdr>
        <w:top w:val="none" w:sz="0" w:space="0" w:color="auto"/>
        <w:left w:val="none" w:sz="0" w:space="0" w:color="auto"/>
        <w:bottom w:val="none" w:sz="0" w:space="0" w:color="auto"/>
        <w:right w:val="none" w:sz="0" w:space="0" w:color="auto"/>
      </w:divBdr>
    </w:div>
    <w:div w:id="1207984068">
      <w:bodyDiv w:val="1"/>
      <w:marLeft w:val="0"/>
      <w:marRight w:val="0"/>
      <w:marTop w:val="0"/>
      <w:marBottom w:val="0"/>
      <w:divBdr>
        <w:top w:val="none" w:sz="0" w:space="0" w:color="auto"/>
        <w:left w:val="none" w:sz="0" w:space="0" w:color="auto"/>
        <w:bottom w:val="none" w:sz="0" w:space="0" w:color="auto"/>
        <w:right w:val="none" w:sz="0" w:space="0" w:color="auto"/>
      </w:divBdr>
      <w:divsChild>
        <w:div w:id="1891334921">
          <w:marLeft w:val="0"/>
          <w:marRight w:val="0"/>
          <w:marTop w:val="86"/>
          <w:marBottom w:val="0"/>
          <w:divBdr>
            <w:top w:val="none" w:sz="0" w:space="0" w:color="auto"/>
            <w:left w:val="none" w:sz="0" w:space="0" w:color="auto"/>
            <w:bottom w:val="none" w:sz="0" w:space="0" w:color="auto"/>
            <w:right w:val="none" w:sz="0" w:space="0" w:color="auto"/>
          </w:divBdr>
        </w:div>
      </w:divsChild>
    </w:div>
    <w:div w:id="2041976929">
      <w:bodyDiv w:val="1"/>
      <w:marLeft w:val="0"/>
      <w:marRight w:val="0"/>
      <w:marTop w:val="0"/>
      <w:marBottom w:val="0"/>
      <w:divBdr>
        <w:top w:val="none" w:sz="0" w:space="0" w:color="auto"/>
        <w:left w:val="none" w:sz="0" w:space="0" w:color="auto"/>
        <w:bottom w:val="none" w:sz="0" w:space="0" w:color="auto"/>
        <w:right w:val="none" w:sz="0" w:space="0" w:color="auto"/>
      </w:divBdr>
      <w:divsChild>
        <w:div w:id="1630864494">
          <w:marLeft w:val="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lze.krieva@vara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1428</Words>
  <Characters>8143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IlgaGruseva</dc:creator>
  <cp:lastModifiedBy>larisat</cp:lastModifiedBy>
  <cp:revision>6</cp:revision>
  <dcterms:created xsi:type="dcterms:W3CDTF">2015-01-15T07:06:00Z</dcterms:created>
  <dcterms:modified xsi:type="dcterms:W3CDTF">2015-01-23T10:20:00Z</dcterms:modified>
  <cp:contentStatus/>
</cp:coreProperties>
</file>