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D0" w:rsidRPr="00E52C93" w:rsidRDefault="004B3AD0" w:rsidP="004B3AD0">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E52C93">
        <w:rPr>
          <w:b/>
          <w:sz w:val="28"/>
          <w:szCs w:val="28"/>
          <w:lang w:val="lv-LV"/>
        </w:rPr>
        <w:t xml:space="preserve">Ministru kabineta noteikumu projekta </w:t>
      </w:r>
    </w:p>
    <w:p w:rsidR="004B3AD0" w:rsidRPr="00C87CF6" w:rsidRDefault="004B3AD0" w:rsidP="004B3AD0">
      <w:pPr>
        <w:ind w:firstLine="720"/>
        <w:jc w:val="center"/>
        <w:rPr>
          <w:b/>
          <w:bCs/>
          <w:sz w:val="26"/>
          <w:szCs w:val="26"/>
          <w:lang w:val="lv-LV"/>
        </w:rPr>
      </w:pPr>
      <w:r w:rsidRPr="00E52C93">
        <w:rPr>
          <w:b/>
          <w:sz w:val="28"/>
          <w:szCs w:val="28"/>
          <w:lang w:val="lv-LV"/>
        </w:rPr>
        <w:t>„Noteikumi par Latvijas būvnormatīvu LBN 20</w:t>
      </w:r>
      <w:r>
        <w:rPr>
          <w:b/>
          <w:sz w:val="28"/>
          <w:szCs w:val="28"/>
          <w:lang w:val="lv-LV"/>
        </w:rPr>
        <w:t>9</w:t>
      </w:r>
      <w:r w:rsidRPr="00E52C93">
        <w:rPr>
          <w:b/>
          <w:sz w:val="28"/>
          <w:szCs w:val="28"/>
          <w:lang w:val="lv-LV"/>
        </w:rPr>
        <w:t>-1</w:t>
      </w:r>
      <w:r>
        <w:rPr>
          <w:b/>
          <w:sz w:val="28"/>
          <w:szCs w:val="28"/>
          <w:lang w:val="lv-LV"/>
        </w:rPr>
        <w:t>5</w:t>
      </w:r>
      <w:r w:rsidRPr="00E52C93">
        <w:rPr>
          <w:b/>
          <w:sz w:val="28"/>
          <w:szCs w:val="28"/>
          <w:lang w:val="lv-LV"/>
        </w:rPr>
        <w:t xml:space="preserve"> </w:t>
      </w:r>
      <w:r>
        <w:rPr>
          <w:b/>
          <w:sz w:val="28"/>
          <w:szCs w:val="28"/>
          <w:lang w:val="lv-LV"/>
        </w:rPr>
        <w:t>„Mazstāvu dzīvojamās mājas”</w:t>
      </w:r>
      <w:r w:rsidRPr="00E52C93">
        <w:rPr>
          <w:b/>
          <w:sz w:val="28"/>
          <w:szCs w:val="28"/>
          <w:lang w:val="lv-LV"/>
        </w:rPr>
        <w:t xml:space="preserve">” sākotnējās ietekmes novērtējuma </w:t>
      </w:r>
      <w:smartTag w:uri="schemas-tilde-lv/tildestengine" w:element="veidnes">
        <w:smartTagPr>
          <w:attr w:name="text" w:val="ziņojums"/>
          <w:attr w:name="baseform" w:val="ziņojums"/>
          <w:attr w:name="id" w:val="-1"/>
        </w:smartTagPr>
        <w:r w:rsidRPr="00E52C93">
          <w:rPr>
            <w:b/>
            <w:sz w:val="28"/>
            <w:szCs w:val="28"/>
            <w:lang w:val="lv-LV"/>
          </w:rPr>
          <w:t>ziņojums</w:t>
        </w:r>
      </w:smartTag>
      <w:r w:rsidRPr="00E52C93">
        <w:rPr>
          <w:b/>
          <w:sz w:val="28"/>
          <w:szCs w:val="28"/>
          <w:lang w:val="lv-LV"/>
        </w:rPr>
        <w:t xml:space="preserve"> (</w:t>
      </w:r>
      <w:r w:rsidRPr="00E52C93">
        <w:rPr>
          <w:b/>
          <w:bCs/>
          <w:sz w:val="28"/>
          <w:szCs w:val="28"/>
          <w:lang w:val="lv-LV"/>
        </w:rPr>
        <w:t>anotācija)</w:t>
      </w:r>
      <w:bookmarkEnd w:id="0"/>
      <w:bookmarkEnd w:id="1"/>
      <w:bookmarkEnd w:id="2"/>
      <w:bookmarkEnd w:id="3"/>
      <w:bookmarkEnd w:id="4"/>
    </w:p>
    <w:p w:rsidR="004B3AD0" w:rsidRPr="00882A82" w:rsidRDefault="004B3AD0" w:rsidP="004B3AD0">
      <w:pPr>
        <w:tabs>
          <w:tab w:val="left" w:pos="7230"/>
        </w:tabs>
        <w:rPr>
          <w:color w:val="FF0000"/>
          <w:sz w:val="26"/>
          <w:szCs w:val="26"/>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4B3AD0" w:rsidRPr="008B4AF0" w:rsidTr="00814E2E">
        <w:tc>
          <w:tcPr>
            <w:tcW w:w="9062" w:type="dxa"/>
            <w:gridSpan w:val="3"/>
            <w:vAlign w:val="center"/>
          </w:tcPr>
          <w:p w:rsidR="004B3AD0" w:rsidRPr="006109A9" w:rsidRDefault="004B3AD0" w:rsidP="00814E2E">
            <w:pPr>
              <w:jc w:val="center"/>
              <w:rPr>
                <w:sz w:val="26"/>
                <w:szCs w:val="26"/>
                <w:lang w:val="lv-LV"/>
              </w:rPr>
            </w:pPr>
            <w:r w:rsidRPr="006109A9">
              <w:rPr>
                <w:b/>
                <w:sz w:val="26"/>
                <w:szCs w:val="26"/>
                <w:lang w:val="lv-LV"/>
              </w:rPr>
              <w:t>I. Tiesību akta projekta izstrādes nepieciešamība</w:t>
            </w:r>
          </w:p>
        </w:tc>
      </w:tr>
      <w:tr w:rsidR="004B3AD0" w:rsidRPr="008B4AF0" w:rsidTr="00814E2E">
        <w:trPr>
          <w:trHeight w:val="439"/>
        </w:trPr>
        <w:tc>
          <w:tcPr>
            <w:tcW w:w="524" w:type="dxa"/>
          </w:tcPr>
          <w:p w:rsidR="004B3AD0" w:rsidRPr="006109A9" w:rsidRDefault="004B3AD0" w:rsidP="00814E2E">
            <w:pPr>
              <w:ind w:left="57" w:right="57"/>
              <w:rPr>
                <w:sz w:val="26"/>
                <w:szCs w:val="26"/>
                <w:lang w:val="lv-LV"/>
              </w:rPr>
            </w:pPr>
            <w:r w:rsidRPr="006109A9">
              <w:rPr>
                <w:sz w:val="26"/>
                <w:szCs w:val="26"/>
                <w:lang w:val="lv-LV"/>
              </w:rPr>
              <w:t> 1.</w:t>
            </w:r>
          </w:p>
        </w:tc>
        <w:tc>
          <w:tcPr>
            <w:tcW w:w="3177" w:type="dxa"/>
          </w:tcPr>
          <w:p w:rsidR="004B3AD0" w:rsidRPr="006109A9" w:rsidRDefault="004B3AD0" w:rsidP="00814E2E">
            <w:pPr>
              <w:ind w:left="57" w:right="57"/>
              <w:rPr>
                <w:sz w:val="26"/>
                <w:szCs w:val="26"/>
                <w:lang w:val="lv-LV"/>
              </w:rPr>
            </w:pPr>
            <w:r w:rsidRPr="006109A9">
              <w:rPr>
                <w:sz w:val="26"/>
                <w:szCs w:val="26"/>
                <w:lang w:val="lv-LV"/>
              </w:rPr>
              <w:t>Pamatojums</w:t>
            </w:r>
          </w:p>
        </w:tc>
        <w:tc>
          <w:tcPr>
            <w:tcW w:w="5361" w:type="dxa"/>
          </w:tcPr>
          <w:p w:rsidR="004B3AD0" w:rsidRPr="00E52C93" w:rsidRDefault="004B3AD0" w:rsidP="00814E2E">
            <w:pPr>
              <w:ind w:left="57" w:right="57" w:firstLine="284"/>
              <w:jc w:val="both"/>
              <w:rPr>
                <w:sz w:val="26"/>
                <w:szCs w:val="26"/>
                <w:lang w:val="lv-LV"/>
              </w:rPr>
            </w:pPr>
            <w:r w:rsidRPr="00E52C93">
              <w:rPr>
                <w:sz w:val="26"/>
                <w:szCs w:val="26"/>
                <w:lang w:val="lv-LV"/>
              </w:rPr>
              <w:t xml:space="preserve">Ministru kabineta noteikumu projekts </w:t>
            </w:r>
            <w:r>
              <w:rPr>
                <w:sz w:val="26"/>
                <w:szCs w:val="26"/>
                <w:lang w:val="lv-LV"/>
              </w:rPr>
              <w:t>„</w:t>
            </w:r>
            <w:r w:rsidRPr="00E52C93">
              <w:rPr>
                <w:sz w:val="26"/>
                <w:szCs w:val="26"/>
                <w:lang w:val="lv-LV"/>
              </w:rPr>
              <w:t>Noteikumi par Latvijas būvnormatīvu LBN 20</w:t>
            </w:r>
            <w:r>
              <w:rPr>
                <w:sz w:val="26"/>
                <w:szCs w:val="26"/>
                <w:lang w:val="lv-LV"/>
              </w:rPr>
              <w:t>9</w:t>
            </w:r>
            <w:r w:rsidRPr="00E52C93">
              <w:rPr>
                <w:sz w:val="26"/>
                <w:szCs w:val="26"/>
                <w:lang w:val="lv-LV"/>
              </w:rPr>
              <w:t>-1</w:t>
            </w:r>
            <w:r>
              <w:rPr>
                <w:sz w:val="26"/>
                <w:szCs w:val="26"/>
                <w:lang w:val="lv-LV"/>
              </w:rPr>
              <w:t>5</w:t>
            </w:r>
            <w:r w:rsidRPr="00E52C93">
              <w:rPr>
                <w:sz w:val="26"/>
                <w:szCs w:val="26"/>
                <w:lang w:val="lv-LV"/>
              </w:rPr>
              <w:t xml:space="preserve"> </w:t>
            </w:r>
            <w:r>
              <w:rPr>
                <w:sz w:val="26"/>
                <w:szCs w:val="26"/>
                <w:lang w:val="lv-LV"/>
              </w:rPr>
              <w:t>„Mazstāvu dzīvojamās mājas</w:t>
            </w:r>
            <w:r w:rsidRPr="00E52C93">
              <w:rPr>
                <w:sz w:val="26"/>
                <w:szCs w:val="26"/>
                <w:lang w:val="lv-LV"/>
              </w:rPr>
              <w:t>””</w:t>
            </w:r>
            <w:r>
              <w:rPr>
                <w:sz w:val="26"/>
                <w:szCs w:val="26"/>
                <w:lang w:val="lv-LV"/>
              </w:rPr>
              <w:t xml:space="preserve"> (turpmāk – būvnormatīvs)</w:t>
            </w:r>
            <w:r w:rsidRPr="00E52C93">
              <w:rPr>
                <w:sz w:val="26"/>
                <w:szCs w:val="26"/>
                <w:lang w:val="lv-LV"/>
              </w:rPr>
              <w:t xml:space="preserve"> tiek izdots saskaņā ar </w:t>
            </w:r>
            <w:r w:rsidRPr="00E52C93">
              <w:rPr>
                <w:rFonts w:eastAsia="SimSun"/>
                <w:sz w:val="26"/>
                <w:szCs w:val="26"/>
                <w:lang w:val="lv-LV" w:eastAsia="zh-CN"/>
              </w:rPr>
              <w:t>Būvniecības likuma 5.panta pirmās daļas 3.punktu</w:t>
            </w:r>
            <w:r w:rsidRPr="00E52C93">
              <w:rPr>
                <w:sz w:val="26"/>
                <w:szCs w:val="26"/>
                <w:lang w:val="lv-LV"/>
              </w:rPr>
              <w:t xml:space="preserve">, kā arī, lai nodrošinātu </w:t>
            </w:r>
            <w:r>
              <w:rPr>
                <w:sz w:val="26"/>
                <w:szCs w:val="26"/>
                <w:lang w:val="lv-LV"/>
              </w:rPr>
              <w:t xml:space="preserve">Būvniecības </w:t>
            </w:r>
            <w:r w:rsidRPr="00E52C93">
              <w:rPr>
                <w:bCs/>
                <w:sz w:val="26"/>
                <w:szCs w:val="26"/>
                <w:lang w:val="lv-LV"/>
              </w:rPr>
              <w:t>likuma pārejas noteikumu 2.punkta izpildi.</w:t>
            </w:r>
          </w:p>
          <w:p w:rsidR="004B3AD0" w:rsidRPr="006109A9" w:rsidRDefault="004B3AD0" w:rsidP="00814E2E">
            <w:pPr>
              <w:pStyle w:val="naiskr"/>
              <w:spacing w:before="0" w:after="0"/>
              <w:ind w:left="57" w:right="57"/>
              <w:jc w:val="both"/>
              <w:rPr>
                <w:sz w:val="26"/>
                <w:szCs w:val="26"/>
              </w:rPr>
            </w:pPr>
          </w:p>
        </w:tc>
      </w:tr>
      <w:tr w:rsidR="004B3AD0" w:rsidRPr="008B4AF0" w:rsidTr="00814E2E">
        <w:trPr>
          <w:trHeight w:val="977"/>
        </w:trPr>
        <w:tc>
          <w:tcPr>
            <w:tcW w:w="524" w:type="dxa"/>
          </w:tcPr>
          <w:p w:rsidR="004B3AD0" w:rsidRPr="00605028" w:rsidRDefault="004B3AD0" w:rsidP="00814E2E">
            <w:pPr>
              <w:ind w:left="57" w:right="57"/>
              <w:rPr>
                <w:sz w:val="26"/>
                <w:szCs w:val="26"/>
                <w:lang w:val="lv-LV"/>
              </w:rPr>
            </w:pPr>
            <w:r w:rsidRPr="00605028">
              <w:rPr>
                <w:sz w:val="26"/>
                <w:szCs w:val="26"/>
                <w:lang w:val="lv-LV"/>
              </w:rPr>
              <w:t> 2.</w:t>
            </w:r>
          </w:p>
        </w:tc>
        <w:tc>
          <w:tcPr>
            <w:tcW w:w="3177" w:type="dxa"/>
          </w:tcPr>
          <w:p w:rsidR="004B3AD0" w:rsidRPr="00605028" w:rsidRDefault="004B3AD0" w:rsidP="00814E2E">
            <w:pPr>
              <w:ind w:left="57" w:right="57"/>
              <w:rPr>
                <w:sz w:val="26"/>
                <w:szCs w:val="26"/>
                <w:lang w:val="lv-LV"/>
              </w:rPr>
            </w:pPr>
            <w:r w:rsidRPr="00605028">
              <w:rPr>
                <w:sz w:val="26"/>
                <w:szCs w:val="26"/>
                <w:lang w:val="lv-LV"/>
              </w:rPr>
              <w:t>Pašreizējā situācija un problēmas</w:t>
            </w:r>
            <w:r>
              <w:rPr>
                <w:sz w:val="26"/>
                <w:szCs w:val="26"/>
                <w:lang w:val="lv-LV"/>
              </w:rPr>
              <w:t>, kuru risināšanai tiesību akta projekts izstrādāts,</w:t>
            </w:r>
            <w:r w:rsidRPr="00EF36D4">
              <w:rPr>
                <w:sz w:val="26"/>
                <w:szCs w:val="26"/>
                <w:lang w:val="lv-LV"/>
              </w:rPr>
              <w:t xml:space="preserve"> </w:t>
            </w:r>
            <w:r>
              <w:rPr>
                <w:sz w:val="26"/>
                <w:szCs w:val="26"/>
                <w:lang w:val="lv-LV"/>
              </w:rPr>
              <w:t>t</w:t>
            </w:r>
            <w:r w:rsidRPr="00EF36D4">
              <w:rPr>
                <w:sz w:val="26"/>
                <w:szCs w:val="26"/>
                <w:lang w:val="lv-LV"/>
              </w:rPr>
              <w:t>iesiskā regulējuma mērķis un būtība</w:t>
            </w:r>
          </w:p>
        </w:tc>
        <w:tc>
          <w:tcPr>
            <w:tcW w:w="5361" w:type="dxa"/>
          </w:tcPr>
          <w:p w:rsidR="004B3AD0" w:rsidRDefault="004B3AD0" w:rsidP="00814E2E">
            <w:pPr>
              <w:pStyle w:val="naiskr"/>
              <w:spacing w:before="0" w:after="0"/>
              <w:ind w:left="57" w:right="57" w:firstLine="284"/>
              <w:jc w:val="both"/>
              <w:rPr>
                <w:sz w:val="26"/>
                <w:szCs w:val="26"/>
              </w:rPr>
            </w:pPr>
            <w:r w:rsidRPr="00B77CFC">
              <w:rPr>
                <w:sz w:val="26"/>
                <w:szCs w:val="26"/>
              </w:rPr>
              <w:t xml:space="preserve">Atbilstoši Būvniecības likuma pārejas noteikumu 2. punktam Latvijas būvnormatīvs LBN 209-09 „Mazstāvu dzīvojamās mājas” ir piemērojams </w:t>
            </w:r>
            <w:r>
              <w:rPr>
                <w:sz w:val="26"/>
                <w:szCs w:val="26"/>
              </w:rPr>
              <w:t xml:space="preserve">ne ilgāk kā </w:t>
            </w:r>
            <w:r w:rsidRPr="00B77CFC">
              <w:rPr>
                <w:sz w:val="26"/>
                <w:szCs w:val="26"/>
              </w:rPr>
              <w:t xml:space="preserve">līdz 2015.gada </w:t>
            </w:r>
            <w:r>
              <w:rPr>
                <w:sz w:val="26"/>
                <w:szCs w:val="26"/>
              </w:rPr>
              <w:t>1</w:t>
            </w:r>
            <w:r w:rsidRPr="00B77CFC">
              <w:rPr>
                <w:sz w:val="26"/>
                <w:szCs w:val="26"/>
              </w:rPr>
              <w:t>.jū</w:t>
            </w:r>
            <w:r>
              <w:rPr>
                <w:sz w:val="26"/>
                <w:szCs w:val="26"/>
              </w:rPr>
              <w:t>l</w:t>
            </w:r>
            <w:r w:rsidRPr="00B77CFC">
              <w:rPr>
                <w:sz w:val="26"/>
                <w:szCs w:val="26"/>
              </w:rPr>
              <w:t>ijam. Līdz ar to, līdz š</w:t>
            </w:r>
            <w:r>
              <w:rPr>
                <w:sz w:val="26"/>
                <w:szCs w:val="26"/>
              </w:rPr>
              <w:t>i</w:t>
            </w:r>
            <w:r w:rsidRPr="00B77CFC">
              <w:rPr>
                <w:sz w:val="26"/>
                <w:szCs w:val="26"/>
              </w:rPr>
              <w:t xml:space="preserve">m laikam ir nepieciešamas izdot jaunu atbilstošu būvnormatīvu, lai noteiktu projektēšanas prasības mazstāvu dzīvojamām mājām. </w:t>
            </w:r>
          </w:p>
          <w:p w:rsidR="004B3AD0" w:rsidRDefault="004B3AD0" w:rsidP="00814E2E">
            <w:pPr>
              <w:pStyle w:val="naiskr"/>
              <w:spacing w:before="0" w:after="0"/>
              <w:ind w:left="57" w:right="57" w:firstLine="284"/>
              <w:jc w:val="both"/>
              <w:rPr>
                <w:sz w:val="26"/>
                <w:szCs w:val="26"/>
              </w:rPr>
            </w:pPr>
            <w:r>
              <w:rPr>
                <w:sz w:val="26"/>
                <w:szCs w:val="26"/>
              </w:rPr>
              <w:t xml:space="preserve">Jaunais būvnormatīvs pēc būtības nemaina līdz šim noteiktās </w:t>
            </w:r>
            <w:r w:rsidRPr="00B77CFC">
              <w:rPr>
                <w:sz w:val="26"/>
                <w:szCs w:val="26"/>
              </w:rPr>
              <w:t xml:space="preserve">projektēšanas prasības mazstāvu dzīvojamām mājām. </w:t>
            </w:r>
          </w:p>
          <w:p w:rsidR="004B3AD0" w:rsidRPr="00B77CFC" w:rsidRDefault="004B3AD0" w:rsidP="00814E2E">
            <w:pPr>
              <w:pStyle w:val="naiskr"/>
              <w:spacing w:before="0" w:after="0"/>
              <w:ind w:left="57" w:right="57" w:firstLine="284"/>
              <w:jc w:val="both"/>
              <w:rPr>
                <w:sz w:val="26"/>
                <w:szCs w:val="26"/>
              </w:rPr>
            </w:pPr>
            <w:r w:rsidRPr="00B77CFC">
              <w:rPr>
                <w:sz w:val="26"/>
                <w:szCs w:val="26"/>
              </w:rPr>
              <w:t>Būvnormatīvs nosaka prasības būvniecības, tai skaitā pārbūves un atjaunošanas projektēšanas prasības dzīvojamām mājām, kurās ir ne vairāk kā trīs stāvi, viens vai divi dzīvokļi ar atsevišķu ieeju katram dzīvoklim, patstāvīgi iekšējie inženiertīkli, kā arī citas izmantošanas telpas ir ne vairāk kā 50 % no ēkas virszemes stāvu kopējās platības, kā arī to palīgēkām (turpmāk – mazstāvu dzīvojamās mājas), ciktāl tas nav pretrunā ar kultūras pieminekļu aizsardzību reglamentējošajiem normatīvajiem aktiem.</w:t>
            </w:r>
          </w:p>
          <w:p w:rsidR="004B3AD0" w:rsidRPr="00B77CFC" w:rsidRDefault="004B3AD0" w:rsidP="00814E2E">
            <w:pPr>
              <w:pStyle w:val="naiskr"/>
              <w:spacing w:before="0" w:after="0"/>
              <w:ind w:left="57" w:right="57" w:firstLine="284"/>
              <w:jc w:val="both"/>
              <w:rPr>
                <w:color w:val="000000" w:themeColor="text1"/>
                <w:sz w:val="26"/>
                <w:szCs w:val="26"/>
              </w:rPr>
            </w:pPr>
            <w:r w:rsidRPr="00B77CFC">
              <w:rPr>
                <w:sz w:val="26"/>
                <w:szCs w:val="26"/>
              </w:rPr>
              <w:t>Būvnormatīvā ir noteikts, kāda informācija ir jāparedz projektēšanas uzdevumā, kā arī kādas prasības pasūtītājs var izvirzīt papildus. Pasūtītājam būvniecības ieceres realizācijai ir pienākums pasūtīt būvprojektu, kas ietver visus būvdarbu uzsākšanai nepieciešamos konstruktīvos risinājumus un mezglus, lai nodrošinātu, ka m</w:t>
            </w:r>
            <w:r w:rsidRPr="00B77CFC">
              <w:rPr>
                <w:color w:val="000000" w:themeColor="text1"/>
                <w:sz w:val="26"/>
                <w:szCs w:val="26"/>
              </w:rPr>
              <w:t>azstāvu dzīvojamā māja</w:t>
            </w:r>
            <w:r w:rsidRPr="00B77CFC">
              <w:rPr>
                <w:sz w:val="26"/>
                <w:szCs w:val="26"/>
              </w:rPr>
              <w:t xml:space="preserve"> atbildīs būves būtiskām prasībām. </w:t>
            </w:r>
            <w:r w:rsidRPr="00B77CFC">
              <w:rPr>
                <w:color w:val="000000" w:themeColor="text1"/>
                <w:sz w:val="26"/>
                <w:szCs w:val="26"/>
              </w:rPr>
              <w:t>Projektēšanas uzdevumu paraksta pasūtītājs un būvprojekta vadītājs.</w:t>
            </w:r>
          </w:p>
          <w:p w:rsidR="004B3AD0" w:rsidRPr="00B77CFC" w:rsidRDefault="004B3AD0" w:rsidP="00814E2E">
            <w:pPr>
              <w:pStyle w:val="naiskr"/>
              <w:spacing w:before="0" w:after="0"/>
              <w:ind w:left="57" w:right="57" w:firstLine="284"/>
              <w:jc w:val="both"/>
              <w:rPr>
                <w:sz w:val="26"/>
                <w:szCs w:val="26"/>
              </w:rPr>
            </w:pPr>
            <w:r w:rsidRPr="00B77CFC">
              <w:rPr>
                <w:sz w:val="26"/>
                <w:szCs w:val="26"/>
              </w:rPr>
              <w:t xml:space="preserve">  Mazstāvu dzīvojamās mājas būvniecības process ir atkarīgs no Ministru kabineta 2014.gada 19.augusta noteikumu Nr.500 „Vispārīgie būvnoteikumi” 1.pielikumā noteiktajām ēku grupām. Savukārt šādu ēku būvniecības ieceres un būvprojekta sastāvs ir noteikts Ministru kabineta 2014.gada 2.septembra noteikumos Nr.529 „Ēku būvnoteikumi”. </w:t>
            </w:r>
          </w:p>
          <w:p w:rsidR="004B3AD0" w:rsidRDefault="004B3AD0" w:rsidP="00814E2E">
            <w:pPr>
              <w:pStyle w:val="naiskr"/>
              <w:spacing w:before="0" w:after="0"/>
              <w:ind w:left="57" w:right="57" w:firstLine="284"/>
              <w:jc w:val="both"/>
              <w:rPr>
                <w:strike/>
                <w:sz w:val="26"/>
                <w:szCs w:val="26"/>
              </w:rPr>
            </w:pPr>
            <w:bookmarkStart w:id="5" w:name="n3"/>
            <w:bookmarkStart w:id="6" w:name="n4"/>
            <w:bookmarkStart w:id="7" w:name="p-302268"/>
            <w:bookmarkStart w:id="8" w:name="p15"/>
            <w:bookmarkEnd w:id="5"/>
            <w:bookmarkEnd w:id="6"/>
            <w:bookmarkEnd w:id="7"/>
            <w:bookmarkEnd w:id="8"/>
            <w:r w:rsidRPr="00B77CFC">
              <w:rPr>
                <w:sz w:val="26"/>
                <w:szCs w:val="26"/>
              </w:rPr>
              <w:t>Ar būvnormatīva spēkā stāšanos spēku zaudēs Ministru kabineta 2009.gada 1.septembra noteikumi Nr.1000 „Noteikumi par Latvijas būvnormatīvu LBN 209-09 „Mazstāvu dzīvojamās mājas””.</w:t>
            </w:r>
          </w:p>
          <w:p w:rsidR="004B3AD0" w:rsidRPr="00437CA7" w:rsidRDefault="004B3AD0" w:rsidP="00814E2E">
            <w:pPr>
              <w:pStyle w:val="naiskr"/>
              <w:spacing w:before="0" w:after="0"/>
              <w:ind w:left="57" w:right="57" w:firstLine="284"/>
              <w:jc w:val="both"/>
              <w:rPr>
                <w:strike/>
                <w:sz w:val="26"/>
                <w:szCs w:val="26"/>
              </w:rPr>
            </w:pPr>
          </w:p>
        </w:tc>
      </w:tr>
      <w:tr w:rsidR="004B3AD0" w:rsidRPr="00656978" w:rsidTr="00814E2E">
        <w:trPr>
          <w:trHeight w:val="706"/>
        </w:trPr>
        <w:tc>
          <w:tcPr>
            <w:tcW w:w="524" w:type="dxa"/>
          </w:tcPr>
          <w:p w:rsidR="004B3AD0" w:rsidRPr="00F87A29" w:rsidRDefault="004B3AD0" w:rsidP="00814E2E">
            <w:pPr>
              <w:ind w:left="57" w:right="57"/>
              <w:rPr>
                <w:sz w:val="26"/>
                <w:szCs w:val="26"/>
                <w:lang w:val="lv-LV"/>
              </w:rPr>
            </w:pPr>
            <w:r w:rsidRPr="00F87A29">
              <w:rPr>
                <w:sz w:val="26"/>
                <w:szCs w:val="26"/>
                <w:lang w:val="lv-LV"/>
              </w:rPr>
              <w:t> 3.</w:t>
            </w:r>
          </w:p>
        </w:tc>
        <w:tc>
          <w:tcPr>
            <w:tcW w:w="3177" w:type="dxa"/>
          </w:tcPr>
          <w:p w:rsidR="004B3AD0" w:rsidRPr="00F87A29" w:rsidRDefault="004B3AD0" w:rsidP="00814E2E">
            <w:pPr>
              <w:ind w:left="57" w:right="57"/>
              <w:rPr>
                <w:sz w:val="26"/>
                <w:szCs w:val="26"/>
                <w:lang w:val="lv-LV"/>
              </w:rPr>
            </w:pPr>
            <w:r w:rsidRPr="005761CE">
              <w:rPr>
                <w:sz w:val="26"/>
                <w:szCs w:val="26"/>
                <w:lang w:val="lv-LV"/>
              </w:rPr>
              <w:t>Projekta izstrādē iesaistītās institūcijas</w:t>
            </w:r>
          </w:p>
        </w:tc>
        <w:tc>
          <w:tcPr>
            <w:tcW w:w="5361" w:type="dxa"/>
          </w:tcPr>
          <w:p w:rsidR="004B3AD0" w:rsidRPr="00437CA7" w:rsidRDefault="004B3AD0" w:rsidP="00814E2E">
            <w:pPr>
              <w:ind w:left="57" w:right="57" w:firstLine="284"/>
              <w:jc w:val="both"/>
              <w:rPr>
                <w:sz w:val="26"/>
                <w:szCs w:val="26"/>
                <w:lang w:val="lv-LV"/>
              </w:rPr>
            </w:pPr>
            <w:r>
              <w:rPr>
                <w:sz w:val="26"/>
                <w:szCs w:val="26"/>
                <w:lang w:val="lv-LV"/>
              </w:rPr>
              <w:t>Projekts šo jomu neskar</w:t>
            </w:r>
          </w:p>
        </w:tc>
      </w:tr>
      <w:tr w:rsidR="004B3AD0" w:rsidRPr="00882A82" w:rsidTr="00814E2E">
        <w:trPr>
          <w:trHeight w:val="384"/>
        </w:trPr>
        <w:tc>
          <w:tcPr>
            <w:tcW w:w="524" w:type="dxa"/>
          </w:tcPr>
          <w:p w:rsidR="004B3AD0" w:rsidRPr="00EF36D4" w:rsidRDefault="004B3AD0" w:rsidP="00814E2E">
            <w:pPr>
              <w:ind w:left="57" w:right="57"/>
              <w:rPr>
                <w:sz w:val="26"/>
                <w:szCs w:val="26"/>
                <w:lang w:val="lv-LV"/>
              </w:rPr>
            </w:pPr>
            <w:r w:rsidRPr="00EF36D4">
              <w:rPr>
                <w:sz w:val="26"/>
                <w:szCs w:val="26"/>
                <w:lang w:val="lv-LV"/>
              </w:rPr>
              <w:t> 4.</w:t>
            </w:r>
          </w:p>
        </w:tc>
        <w:tc>
          <w:tcPr>
            <w:tcW w:w="3177" w:type="dxa"/>
          </w:tcPr>
          <w:p w:rsidR="004B3AD0" w:rsidRPr="005761CE" w:rsidRDefault="004B3AD0" w:rsidP="00814E2E">
            <w:pPr>
              <w:ind w:left="57" w:right="57"/>
              <w:rPr>
                <w:sz w:val="26"/>
                <w:szCs w:val="26"/>
                <w:lang w:val="lv-LV"/>
              </w:rPr>
            </w:pPr>
            <w:r w:rsidRPr="005761CE">
              <w:rPr>
                <w:sz w:val="26"/>
                <w:szCs w:val="26"/>
                <w:lang w:val="lv-LV"/>
              </w:rPr>
              <w:t>Cita informācija</w:t>
            </w:r>
          </w:p>
        </w:tc>
        <w:tc>
          <w:tcPr>
            <w:tcW w:w="5361" w:type="dxa"/>
          </w:tcPr>
          <w:p w:rsidR="004B3AD0" w:rsidRPr="005761CE" w:rsidRDefault="004B3AD0" w:rsidP="00814E2E">
            <w:pPr>
              <w:pStyle w:val="naiskr"/>
              <w:spacing w:before="0" w:after="0"/>
              <w:ind w:left="57" w:right="57" w:firstLine="284"/>
              <w:jc w:val="both"/>
              <w:rPr>
                <w:sz w:val="26"/>
                <w:szCs w:val="26"/>
              </w:rPr>
            </w:pPr>
            <w:r w:rsidRPr="005761CE">
              <w:rPr>
                <w:sz w:val="26"/>
                <w:szCs w:val="26"/>
              </w:rPr>
              <w:t>Nav</w:t>
            </w:r>
          </w:p>
        </w:tc>
      </w:tr>
    </w:tbl>
    <w:p w:rsidR="004B3AD0" w:rsidRDefault="004B3AD0" w:rsidP="004B3AD0">
      <w:pPr>
        <w:ind w:left="57" w:right="57"/>
        <w:rPr>
          <w:color w:val="FF0000"/>
          <w:sz w:val="26"/>
          <w:szCs w:val="26"/>
          <w:lang w:val="lv-LV"/>
        </w:rPr>
      </w:pPr>
    </w:p>
    <w:p w:rsidR="004B3AD0" w:rsidRPr="00882A82" w:rsidRDefault="004B3AD0" w:rsidP="004B3AD0">
      <w:pPr>
        <w:ind w:left="57" w:right="57"/>
        <w:rPr>
          <w:color w:val="FF0000"/>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4B3AD0" w:rsidRPr="008B4AF0" w:rsidTr="00814E2E">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4B3AD0" w:rsidRPr="00D67C5B" w:rsidRDefault="004B3AD0" w:rsidP="00814E2E">
            <w:pPr>
              <w:ind w:left="57" w:right="57"/>
              <w:jc w:val="center"/>
              <w:rPr>
                <w:b/>
                <w:sz w:val="26"/>
                <w:szCs w:val="26"/>
                <w:lang w:val="lv-LV"/>
              </w:rPr>
            </w:pPr>
            <w:r w:rsidRPr="00D67C5B">
              <w:rPr>
                <w:b/>
                <w:sz w:val="26"/>
                <w:szCs w:val="26"/>
                <w:lang w:val="lv-LV"/>
              </w:rPr>
              <w:t>II. Tiesību akta projekta ietekme uz sabiedrību</w:t>
            </w:r>
            <w:r>
              <w:rPr>
                <w:b/>
                <w:sz w:val="26"/>
                <w:szCs w:val="26"/>
                <w:lang w:val="lv-LV"/>
              </w:rPr>
              <w:t xml:space="preserve"> tautsaimniecības attīstību un administratīvo slogu</w:t>
            </w:r>
          </w:p>
        </w:tc>
      </w:tr>
      <w:tr w:rsidR="004B3AD0" w:rsidRPr="00E14CB3" w:rsidTr="00814E2E">
        <w:trPr>
          <w:trHeight w:val="467"/>
        </w:trPr>
        <w:tc>
          <w:tcPr>
            <w:tcW w:w="52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1.</w:t>
            </w:r>
          </w:p>
        </w:tc>
        <w:tc>
          <w:tcPr>
            <w:tcW w:w="315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Sabiedrības mērķgrupa</w:t>
            </w:r>
            <w:r>
              <w:rPr>
                <w:sz w:val="26"/>
                <w:szCs w:val="26"/>
                <w:lang w:val="lv-LV"/>
              </w:rPr>
              <w:t xml:space="preserve">s, </w:t>
            </w:r>
            <w:r w:rsidRPr="00D67C5B">
              <w:rPr>
                <w:sz w:val="26"/>
                <w:szCs w:val="26"/>
                <w:lang w:val="lv-LV"/>
              </w:rPr>
              <w:t xml:space="preserve">kuras </w:t>
            </w:r>
            <w:r>
              <w:rPr>
                <w:sz w:val="26"/>
                <w:szCs w:val="26"/>
                <w:lang w:val="lv-LV"/>
              </w:rPr>
              <w:t xml:space="preserve">tiesiskais regulējums </w:t>
            </w:r>
            <w:r w:rsidRPr="00D67C5B">
              <w:rPr>
                <w:sz w:val="26"/>
                <w:szCs w:val="26"/>
                <w:lang w:val="lv-LV"/>
              </w:rPr>
              <w:t xml:space="preserve">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4B3AD0" w:rsidRDefault="004B3AD0" w:rsidP="00814E2E">
            <w:pPr>
              <w:ind w:left="57" w:right="57" w:firstLine="284"/>
              <w:jc w:val="both"/>
              <w:rPr>
                <w:iCs/>
                <w:sz w:val="26"/>
                <w:szCs w:val="26"/>
                <w:lang w:val="lv-LV"/>
              </w:rPr>
            </w:pPr>
            <w:r>
              <w:rPr>
                <w:iCs/>
                <w:sz w:val="26"/>
                <w:szCs w:val="26"/>
                <w:lang w:val="lv-LV"/>
              </w:rPr>
              <w:t xml:space="preserve">Būvnormatīva </w:t>
            </w:r>
            <w:r w:rsidRPr="00665D97">
              <w:rPr>
                <w:iCs/>
                <w:sz w:val="26"/>
                <w:szCs w:val="26"/>
                <w:lang w:val="lv-LV"/>
              </w:rPr>
              <w:t xml:space="preserve">regulējums var ietekmēt jebkuru personu, kura ierosinās un veiks būvniecību, kā arī institūcijas, kuras iesaistītas būvniecības procesā. </w:t>
            </w:r>
            <w:r>
              <w:rPr>
                <w:iCs/>
                <w:sz w:val="26"/>
                <w:szCs w:val="26"/>
                <w:lang w:val="lv-LV"/>
              </w:rPr>
              <w:t>Regulējums attiecas uz būvniecības nozarē strādājošajiem arhitektiem un projektētājiem.</w:t>
            </w:r>
          </w:p>
          <w:p w:rsidR="004B3AD0" w:rsidRPr="00D67C5B" w:rsidRDefault="004B3AD0" w:rsidP="00814E2E">
            <w:pPr>
              <w:ind w:left="57" w:right="57" w:firstLine="284"/>
              <w:jc w:val="both"/>
              <w:rPr>
                <w:sz w:val="26"/>
                <w:szCs w:val="26"/>
                <w:lang w:val="lv-LV"/>
              </w:rPr>
            </w:pPr>
          </w:p>
        </w:tc>
      </w:tr>
      <w:tr w:rsidR="004B3AD0" w:rsidRPr="008B4AF0" w:rsidTr="00814E2E">
        <w:trPr>
          <w:trHeight w:val="523"/>
        </w:trPr>
        <w:tc>
          <w:tcPr>
            <w:tcW w:w="52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2.</w:t>
            </w:r>
          </w:p>
        </w:tc>
        <w:tc>
          <w:tcPr>
            <w:tcW w:w="315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xml:space="preserve">Tiesiskā </w:t>
            </w:r>
            <w:r>
              <w:rPr>
                <w:sz w:val="26"/>
                <w:szCs w:val="26"/>
                <w:lang w:val="lv-LV"/>
              </w:rPr>
              <w:t>r</w:t>
            </w:r>
            <w:r w:rsidRPr="00D67C5B">
              <w:rPr>
                <w:sz w:val="26"/>
                <w:szCs w:val="26"/>
                <w:lang w:val="lv-LV"/>
              </w:rPr>
              <w:t>egulējuma ietekme</w:t>
            </w:r>
            <w:r>
              <w:rPr>
                <w:sz w:val="26"/>
                <w:szCs w:val="26"/>
                <w:lang w:val="lv-LV"/>
              </w:rPr>
              <w:t xml:space="preserve"> uz</w:t>
            </w:r>
            <w:r w:rsidRPr="00D67C5B">
              <w:rPr>
                <w:sz w:val="26"/>
                <w:szCs w:val="26"/>
                <w:lang w:val="lv-LV"/>
              </w:rPr>
              <w:t xml:space="preserve"> </w:t>
            </w:r>
            <w:r>
              <w:rPr>
                <w:sz w:val="26"/>
                <w:szCs w:val="26"/>
                <w:lang w:val="lv-LV"/>
              </w:rPr>
              <w:t>tautsaimniecību un a</w:t>
            </w:r>
            <w:r w:rsidRPr="00D67C5B">
              <w:rPr>
                <w:sz w:val="26"/>
                <w:szCs w:val="26"/>
                <w:lang w:val="lv-LV"/>
              </w:rPr>
              <w:t>dministratīvo</w:t>
            </w:r>
            <w:r>
              <w:rPr>
                <w:sz w:val="26"/>
                <w:szCs w:val="26"/>
                <w:lang w:val="lv-LV"/>
              </w:rPr>
              <w:t xml:space="preserve"> slogu</w:t>
            </w:r>
          </w:p>
        </w:tc>
        <w:tc>
          <w:tcPr>
            <w:tcW w:w="5386" w:type="dxa"/>
            <w:tcBorders>
              <w:top w:val="single" w:sz="4" w:space="0" w:color="auto"/>
              <w:left w:val="single" w:sz="4" w:space="0" w:color="auto"/>
              <w:bottom w:val="single" w:sz="4" w:space="0" w:color="auto"/>
              <w:right w:val="single" w:sz="4" w:space="0" w:color="auto"/>
            </w:tcBorders>
            <w:hideMark/>
          </w:tcPr>
          <w:p w:rsidR="004B3AD0" w:rsidRDefault="004B3AD0" w:rsidP="00814E2E">
            <w:pPr>
              <w:ind w:left="57" w:right="57" w:firstLine="284"/>
              <w:jc w:val="both"/>
              <w:rPr>
                <w:sz w:val="26"/>
                <w:szCs w:val="26"/>
                <w:lang w:val="lv-LV"/>
              </w:rPr>
            </w:pPr>
            <w:r>
              <w:rPr>
                <w:sz w:val="26"/>
                <w:szCs w:val="26"/>
                <w:lang w:val="lv-LV"/>
              </w:rPr>
              <w:t xml:space="preserve">Šīs sadaļas 1.punktā minētajām sabiedrības mērķgrupām un institūcijām projekta tiesiskais regulējums nemaina tiesības un pienākumus, kā arī veicamās darbības </w:t>
            </w:r>
            <w:r w:rsidRPr="002116A3">
              <w:rPr>
                <w:sz w:val="26"/>
                <w:szCs w:val="26"/>
                <w:lang w:val="lv-LV"/>
              </w:rPr>
              <w:t>salīdzinājumā ar līdzšinējo normatīvo regulējumu</w:t>
            </w:r>
            <w:r>
              <w:rPr>
                <w:sz w:val="26"/>
                <w:szCs w:val="26"/>
                <w:lang w:val="lv-LV"/>
              </w:rPr>
              <w:t>.</w:t>
            </w:r>
          </w:p>
          <w:p w:rsidR="004B3AD0" w:rsidRPr="00D67C5B" w:rsidRDefault="004B3AD0" w:rsidP="00814E2E">
            <w:pPr>
              <w:ind w:left="57" w:right="57" w:firstLine="284"/>
              <w:jc w:val="both"/>
              <w:rPr>
                <w:sz w:val="26"/>
                <w:szCs w:val="26"/>
                <w:lang w:val="lv-LV"/>
              </w:rPr>
            </w:pPr>
          </w:p>
        </w:tc>
      </w:tr>
      <w:tr w:rsidR="004B3AD0" w:rsidRPr="00D67C5B" w:rsidTr="00814E2E">
        <w:trPr>
          <w:trHeight w:val="517"/>
        </w:trPr>
        <w:tc>
          <w:tcPr>
            <w:tcW w:w="52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Pr>
                <w:sz w:val="26"/>
                <w:szCs w:val="26"/>
                <w:lang w:val="lv-LV"/>
              </w:rPr>
              <w:t>Administratīvo</w:t>
            </w:r>
            <w:r w:rsidRPr="00D67C5B">
              <w:rPr>
                <w:sz w:val="26"/>
                <w:szCs w:val="26"/>
                <w:lang w:val="lv-LV"/>
              </w:rPr>
              <w:t xml:space="preserve">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firstLine="284"/>
              <w:jc w:val="both"/>
              <w:rPr>
                <w:sz w:val="26"/>
                <w:szCs w:val="26"/>
                <w:lang w:val="lv-LV"/>
              </w:rPr>
            </w:pPr>
            <w:r>
              <w:rPr>
                <w:sz w:val="26"/>
                <w:szCs w:val="26"/>
                <w:lang w:val="lv-LV"/>
              </w:rPr>
              <w:t>Projekts šo jomu neskar</w:t>
            </w:r>
          </w:p>
        </w:tc>
      </w:tr>
      <w:tr w:rsidR="004B3AD0" w:rsidRPr="00D67C5B" w:rsidTr="00814E2E">
        <w:tc>
          <w:tcPr>
            <w:tcW w:w="52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w:t>
            </w:r>
            <w:r>
              <w:rPr>
                <w:sz w:val="26"/>
                <w:szCs w:val="26"/>
                <w:lang w:val="lv-LV"/>
              </w:rPr>
              <w:t>4</w:t>
            </w:r>
            <w:r w:rsidRPr="00D67C5B">
              <w:rPr>
                <w:sz w:val="26"/>
                <w:szCs w:val="26"/>
                <w:lang w:val="lv-LV"/>
              </w:rPr>
              <w:t>.</w:t>
            </w:r>
          </w:p>
        </w:tc>
        <w:tc>
          <w:tcPr>
            <w:tcW w:w="3153"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rPr>
                <w:sz w:val="26"/>
                <w:szCs w:val="26"/>
                <w:lang w:val="lv-LV"/>
              </w:rPr>
            </w:pPr>
            <w:r w:rsidRPr="00D67C5B">
              <w:rPr>
                <w:sz w:val="26"/>
                <w:szCs w:val="26"/>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4B3AD0" w:rsidRPr="00D67C5B" w:rsidRDefault="004B3AD0" w:rsidP="00814E2E">
            <w:pPr>
              <w:ind w:left="57" w:right="57" w:firstLine="284"/>
              <w:jc w:val="both"/>
              <w:rPr>
                <w:sz w:val="26"/>
                <w:szCs w:val="26"/>
                <w:lang w:val="lv-LV"/>
              </w:rPr>
            </w:pPr>
            <w:r>
              <w:rPr>
                <w:sz w:val="26"/>
                <w:szCs w:val="26"/>
                <w:lang w:val="lv-LV"/>
              </w:rPr>
              <w:t>Nav</w:t>
            </w:r>
          </w:p>
        </w:tc>
      </w:tr>
    </w:tbl>
    <w:p w:rsidR="004B3AD0" w:rsidRDefault="004B3AD0" w:rsidP="004B3AD0">
      <w:pPr>
        <w:ind w:left="57" w:right="57"/>
        <w:rPr>
          <w:sz w:val="26"/>
          <w:szCs w:val="26"/>
          <w:lang w:val="lv-LV"/>
        </w:rPr>
      </w:pPr>
    </w:p>
    <w:p w:rsidR="004B3AD0" w:rsidRDefault="004B3AD0" w:rsidP="004B3AD0">
      <w:pPr>
        <w:ind w:left="57" w:right="57"/>
        <w:rPr>
          <w:sz w:val="26"/>
          <w:szCs w:val="26"/>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4B3AD0" w:rsidRPr="008B4AF0" w:rsidTr="00814E2E">
        <w:trPr>
          <w:jc w:val="center"/>
        </w:trPr>
        <w:tc>
          <w:tcPr>
            <w:tcW w:w="9215" w:type="dxa"/>
            <w:gridSpan w:val="3"/>
          </w:tcPr>
          <w:p w:rsidR="004B3AD0" w:rsidRPr="00D67C5B" w:rsidRDefault="004B3AD0" w:rsidP="00814E2E">
            <w:pPr>
              <w:pStyle w:val="naisnod"/>
              <w:spacing w:before="0" w:after="0"/>
              <w:ind w:left="57" w:right="57"/>
              <w:rPr>
                <w:sz w:val="26"/>
                <w:szCs w:val="26"/>
              </w:rPr>
            </w:pPr>
            <w:r w:rsidRPr="00D67C5B">
              <w:rPr>
                <w:sz w:val="26"/>
                <w:szCs w:val="26"/>
              </w:rPr>
              <w:t xml:space="preserve">VI. Sabiedrības līdzdalība un </w:t>
            </w:r>
            <w:r>
              <w:rPr>
                <w:sz w:val="26"/>
                <w:szCs w:val="26"/>
              </w:rPr>
              <w:t>komunikācijas aktivitātes</w:t>
            </w:r>
          </w:p>
        </w:tc>
      </w:tr>
      <w:tr w:rsidR="004B3AD0" w:rsidRPr="008B4AF0" w:rsidTr="00814E2E">
        <w:trPr>
          <w:trHeight w:val="553"/>
          <w:jc w:val="center"/>
        </w:trPr>
        <w:tc>
          <w:tcPr>
            <w:tcW w:w="567" w:type="dxa"/>
          </w:tcPr>
          <w:p w:rsidR="004B3AD0" w:rsidRPr="0067679F" w:rsidRDefault="004B3AD0" w:rsidP="00814E2E">
            <w:pPr>
              <w:pStyle w:val="naiskr"/>
              <w:spacing w:before="0" w:after="0"/>
              <w:ind w:left="57" w:right="57"/>
              <w:rPr>
                <w:bCs/>
                <w:sz w:val="26"/>
                <w:szCs w:val="26"/>
              </w:rPr>
            </w:pPr>
            <w:r w:rsidRPr="0067679F">
              <w:rPr>
                <w:bCs/>
                <w:sz w:val="26"/>
                <w:szCs w:val="26"/>
              </w:rPr>
              <w:t>1.</w:t>
            </w:r>
          </w:p>
        </w:tc>
        <w:tc>
          <w:tcPr>
            <w:tcW w:w="2934" w:type="dxa"/>
          </w:tcPr>
          <w:p w:rsidR="004B3AD0" w:rsidRPr="0067679F" w:rsidRDefault="004B3AD0" w:rsidP="00814E2E">
            <w:pPr>
              <w:pStyle w:val="naiskr"/>
              <w:tabs>
                <w:tab w:val="left" w:pos="170"/>
              </w:tabs>
              <w:spacing w:before="0" w:after="0"/>
              <w:ind w:left="57" w:right="57"/>
              <w:rPr>
                <w:sz w:val="26"/>
                <w:szCs w:val="26"/>
              </w:rPr>
            </w:pPr>
            <w:r w:rsidRPr="0067679F">
              <w:rPr>
                <w:sz w:val="26"/>
                <w:szCs w:val="26"/>
              </w:rPr>
              <w:t>Plānotās sabiedrības līdzdalības un komunikācijas aktivitātes saistībā ar projektu</w:t>
            </w:r>
          </w:p>
        </w:tc>
        <w:tc>
          <w:tcPr>
            <w:tcW w:w="5714" w:type="dxa"/>
          </w:tcPr>
          <w:p w:rsidR="004B3AD0" w:rsidRDefault="004B3AD0" w:rsidP="00814E2E">
            <w:pPr>
              <w:pStyle w:val="naiskr"/>
              <w:spacing w:before="0" w:after="0"/>
              <w:ind w:left="57" w:right="57" w:firstLine="284"/>
              <w:jc w:val="both"/>
              <w:rPr>
                <w:iCs/>
                <w:sz w:val="26"/>
                <w:szCs w:val="26"/>
              </w:rPr>
            </w:pPr>
            <w:r>
              <w:rPr>
                <w:iCs/>
                <w:sz w:val="26"/>
                <w:szCs w:val="26"/>
              </w:rPr>
              <w:t xml:space="preserve">Par būvnormatīva pārstrādi </w:t>
            </w:r>
            <w:r w:rsidR="005E42AA">
              <w:rPr>
                <w:iCs/>
                <w:sz w:val="26"/>
                <w:szCs w:val="26"/>
              </w:rPr>
              <w:t xml:space="preserve">sabiedrība tika </w:t>
            </w:r>
            <w:r>
              <w:rPr>
                <w:iCs/>
                <w:sz w:val="26"/>
                <w:szCs w:val="26"/>
              </w:rPr>
              <w:t xml:space="preserve"> informēta</w:t>
            </w:r>
            <w:r w:rsidR="005E42AA">
              <w:rPr>
                <w:iCs/>
                <w:sz w:val="26"/>
                <w:szCs w:val="26"/>
              </w:rPr>
              <w:t xml:space="preserve"> E</w:t>
            </w:r>
            <w:r>
              <w:rPr>
                <w:iCs/>
                <w:sz w:val="26"/>
                <w:szCs w:val="26"/>
              </w:rPr>
              <w:t>konomikas ministrijas rīkotajos semināros par jauno būvniecības regulējumu. Būvnormatīvs sabiedrībai publiski ir piee</w:t>
            </w:r>
            <w:r w:rsidR="000C3B97">
              <w:rPr>
                <w:iCs/>
                <w:sz w:val="26"/>
                <w:szCs w:val="26"/>
              </w:rPr>
              <w:t>jams Ekonomikas ministrijas māja</w:t>
            </w:r>
            <w:r>
              <w:rPr>
                <w:iCs/>
                <w:sz w:val="26"/>
                <w:szCs w:val="26"/>
              </w:rPr>
              <w:t>s lap</w:t>
            </w:r>
            <w:r w:rsidR="000C3B97">
              <w:rPr>
                <w:iCs/>
                <w:sz w:val="26"/>
                <w:szCs w:val="26"/>
              </w:rPr>
              <w:t>ā</w:t>
            </w:r>
            <w:bookmarkStart w:id="9" w:name="_GoBack"/>
            <w:bookmarkEnd w:id="9"/>
            <w:r>
              <w:rPr>
                <w:iCs/>
                <w:sz w:val="26"/>
                <w:szCs w:val="26"/>
              </w:rPr>
              <w:t xml:space="preserve"> internetā.</w:t>
            </w:r>
          </w:p>
          <w:p w:rsidR="004B3AD0" w:rsidRDefault="005E42AA" w:rsidP="00814E2E">
            <w:pPr>
              <w:pStyle w:val="naiskr"/>
              <w:spacing w:before="0" w:after="0"/>
              <w:ind w:left="57" w:right="57" w:firstLine="284"/>
              <w:jc w:val="both"/>
              <w:rPr>
                <w:sz w:val="26"/>
                <w:szCs w:val="26"/>
              </w:rPr>
            </w:pPr>
            <w:r w:rsidRPr="005E42AA">
              <w:rPr>
                <w:sz w:val="26"/>
                <w:szCs w:val="26"/>
              </w:rPr>
              <w:t xml:space="preserve">Ministru kabineta 2009.gada 25.augusta noteikumu Nr.970 “Sabiedrības līdzdalības kārtība attīstības plānošanas procesā” 13.punktā minētās darbības nav jāveic, jo </w:t>
            </w:r>
            <w:r w:rsidR="008B4AF0">
              <w:rPr>
                <w:sz w:val="26"/>
                <w:szCs w:val="26"/>
              </w:rPr>
              <w:t>būvnormatīvā</w:t>
            </w:r>
            <w:r w:rsidRPr="005E42AA">
              <w:rPr>
                <w:sz w:val="26"/>
                <w:szCs w:val="26"/>
              </w:rPr>
              <w:t xml:space="preserve"> paredzētais tiesiskais regulējums nemaina līdzšinējo spēkā esošo regulējumu.</w:t>
            </w:r>
          </w:p>
          <w:p w:rsidR="005E42AA" w:rsidRPr="005E42AA" w:rsidRDefault="005E42AA" w:rsidP="00814E2E">
            <w:pPr>
              <w:pStyle w:val="naiskr"/>
              <w:spacing w:before="0" w:after="0"/>
              <w:ind w:left="57" w:right="57" w:firstLine="284"/>
              <w:jc w:val="both"/>
              <w:rPr>
                <w:sz w:val="26"/>
                <w:szCs w:val="26"/>
              </w:rPr>
            </w:pPr>
          </w:p>
        </w:tc>
      </w:tr>
      <w:tr w:rsidR="004B3AD0" w:rsidRPr="008B4AF0" w:rsidTr="00814E2E">
        <w:trPr>
          <w:trHeight w:val="339"/>
          <w:jc w:val="center"/>
        </w:trPr>
        <w:tc>
          <w:tcPr>
            <w:tcW w:w="567" w:type="dxa"/>
          </w:tcPr>
          <w:p w:rsidR="004B3AD0" w:rsidRPr="00D67C5B" w:rsidRDefault="004B3AD0" w:rsidP="00814E2E">
            <w:pPr>
              <w:pStyle w:val="naiskr"/>
              <w:spacing w:before="0" w:after="0"/>
              <w:ind w:left="57" w:right="57"/>
              <w:rPr>
                <w:bCs/>
                <w:sz w:val="26"/>
                <w:szCs w:val="26"/>
              </w:rPr>
            </w:pPr>
            <w:r w:rsidRPr="00D67C5B">
              <w:rPr>
                <w:bCs/>
                <w:sz w:val="26"/>
                <w:szCs w:val="26"/>
              </w:rPr>
              <w:t>2.</w:t>
            </w:r>
          </w:p>
        </w:tc>
        <w:tc>
          <w:tcPr>
            <w:tcW w:w="2934" w:type="dxa"/>
          </w:tcPr>
          <w:p w:rsidR="004B3AD0" w:rsidRPr="00D67C5B" w:rsidRDefault="004B3AD0" w:rsidP="00814E2E">
            <w:pPr>
              <w:pStyle w:val="naiskr"/>
              <w:spacing w:before="0" w:after="0"/>
              <w:ind w:left="57" w:right="57"/>
              <w:rPr>
                <w:sz w:val="26"/>
                <w:szCs w:val="26"/>
              </w:rPr>
            </w:pPr>
            <w:r w:rsidRPr="00D67C5B">
              <w:rPr>
                <w:sz w:val="26"/>
                <w:szCs w:val="26"/>
              </w:rPr>
              <w:t xml:space="preserve">Sabiedrības līdzdalība projekta izstrādē </w:t>
            </w:r>
          </w:p>
        </w:tc>
        <w:tc>
          <w:tcPr>
            <w:tcW w:w="5714" w:type="dxa"/>
          </w:tcPr>
          <w:p w:rsidR="004B3AD0" w:rsidRPr="00D67C5B" w:rsidRDefault="00AB07B5" w:rsidP="00814E2E">
            <w:pPr>
              <w:pStyle w:val="naiskr"/>
              <w:spacing w:before="0" w:after="0"/>
              <w:ind w:left="57" w:right="57" w:firstLine="284"/>
              <w:jc w:val="both"/>
              <w:rPr>
                <w:sz w:val="26"/>
                <w:szCs w:val="26"/>
              </w:rPr>
            </w:pPr>
            <w:r>
              <w:rPr>
                <w:sz w:val="26"/>
                <w:szCs w:val="26"/>
              </w:rPr>
              <w:t xml:space="preserve">Līdz šim nav saņemti priekšlikumi </w:t>
            </w:r>
          </w:p>
        </w:tc>
      </w:tr>
      <w:tr w:rsidR="004B3AD0" w:rsidRPr="008B4AF0" w:rsidTr="00814E2E">
        <w:trPr>
          <w:trHeight w:val="375"/>
          <w:jc w:val="center"/>
        </w:trPr>
        <w:tc>
          <w:tcPr>
            <w:tcW w:w="567" w:type="dxa"/>
          </w:tcPr>
          <w:p w:rsidR="004B3AD0" w:rsidRPr="00D67C5B" w:rsidRDefault="004B3AD0" w:rsidP="00814E2E">
            <w:pPr>
              <w:pStyle w:val="naiskr"/>
              <w:spacing w:before="0" w:after="0"/>
              <w:ind w:left="57" w:right="57"/>
              <w:rPr>
                <w:bCs/>
                <w:sz w:val="26"/>
                <w:szCs w:val="26"/>
              </w:rPr>
            </w:pPr>
            <w:r w:rsidRPr="00D67C5B">
              <w:rPr>
                <w:bCs/>
                <w:sz w:val="26"/>
                <w:szCs w:val="26"/>
              </w:rPr>
              <w:t>3.</w:t>
            </w:r>
          </w:p>
        </w:tc>
        <w:tc>
          <w:tcPr>
            <w:tcW w:w="2934" w:type="dxa"/>
          </w:tcPr>
          <w:p w:rsidR="004B3AD0" w:rsidRPr="00D67C5B" w:rsidRDefault="004B3AD0" w:rsidP="00814E2E">
            <w:pPr>
              <w:pStyle w:val="naiskr"/>
              <w:spacing w:before="0" w:after="0"/>
              <w:ind w:left="57" w:right="57"/>
              <w:rPr>
                <w:sz w:val="26"/>
                <w:szCs w:val="26"/>
              </w:rPr>
            </w:pPr>
            <w:r w:rsidRPr="00D67C5B">
              <w:rPr>
                <w:sz w:val="26"/>
                <w:szCs w:val="26"/>
              </w:rPr>
              <w:t xml:space="preserve">Sabiedrības līdzdalības rezultāti </w:t>
            </w:r>
          </w:p>
        </w:tc>
        <w:tc>
          <w:tcPr>
            <w:tcW w:w="5714" w:type="dxa"/>
          </w:tcPr>
          <w:p w:rsidR="004B3AD0" w:rsidRDefault="004B3AD0" w:rsidP="00814E2E">
            <w:pPr>
              <w:pStyle w:val="naiskr"/>
              <w:spacing w:before="0" w:after="0"/>
              <w:ind w:left="57" w:right="57" w:firstLine="284"/>
              <w:jc w:val="both"/>
              <w:rPr>
                <w:sz w:val="26"/>
                <w:szCs w:val="26"/>
              </w:rPr>
            </w:pPr>
            <w:r>
              <w:rPr>
                <w:sz w:val="26"/>
                <w:szCs w:val="26"/>
              </w:rPr>
              <w:t>Rezultāti tiks vērtēti atbilstoši saņemtajiem atzinumiem.</w:t>
            </w:r>
          </w:p>
          <w:p w:rsidR="004B3AD0" w:rsidRPr="00D67C5B" w:rsidRDefault="004B3AD0" w:rsidP="00814E2E">
            <w:pPr>
              <w:pStyle w:val="naiskr"/>
              <w:spacing w:before="0" w:after="0"/>
              <w:ind w:left="57" w:right="57" w:firstLine="284"/>
              <w:jc w:val="both"/>
              <w:rPr>
                <w:sz w:val="26"/>
                <w:szCs w:val="26"/>
              </w:rPr>
            </w:pPr>
          </w:p>
        </w:tc>
      </w:tr>
      <w:tr w:rsidR="004B3AD0" w:rsidRPr="00882A82" w:rsidTr="00814E2E">
        <w:trPr>
          <w:trHeight w:val="476"/>
          <w:jc w:val="center"/>
        </w:trPr>
        <w:tc>
          <w:tcPr>
            <w:tcW w:w="567" w:type="dxa"/>
          </w:tcPr>
          <w:p w:rsidR="004B3AD0" w:rsidRPr="00D67C5B" w:rsidRDefault="004B3AD0" w:rsidP="00814E2E">
            <w:pPr>
              <w:pStyle w:val="naiskr"/>
              <w:spacing w:before="0" w:after="0"/>
              <w:ind w:left="57" w:right="57"/>
              <w:rPr>
                <w:bCs/>
                <w:sz w:val="26"/>
                <w:szCs w:val="26"/>
              </w:rPr>
            </w:pPr>
            <w:r>
              <w:rPr>
                <w:bCs/>
                <w:sz w:val="26"/>
                <w:szCs w:val="26"/>
              </w:rPr>
              <w:t>4</w:t>
            </w:r>
            <w:r w:rsidRPr="00D67C5B">
              <w:rPr>
                <w:bCs/>
                <w:sz w:val="26"/>
                <w:szCs w:val="26"/>
              </w:rPr>
              <w:t>.</w:t>
            </w:r>
          </w:p>
        </w:tc>
        <w:tc>
          <w:tcPr>
            <w:tcW w:w="2934" w:type="dxa"/>
          </w:tcPr>
          <w:p w:rsidR="004B3AD0" w:rsidRPr="00D67C5B" w:rsidRDefault="004B3AD0" w:rsidP="00814E2E">
            <w:pPr>
              <w:pStyle w:val="naiskr"/>
              <w:spacing w:before="0" w:after="0"/>
              <w:ind w:left="57" w:right="57"/>
              <w:rPr>
                <w:sz w:val="26"/>
                <w:szCs w:val="26"/>
              </w:rPr>
            </w:pPr>
            <w:r w:rsidRPr="00D67C5B">
              <w:rPr>
                <w:sz w:val="26"/>
                <w:szCs w:val="26"/>
              </w:rPr>
              <w:t>Cita informācija</w:t>
            </w:r>
          </w:p>
        </w:tc>
        <w:tc>
          <w:tcPr>
            <w:tcW w:w="5714" w:type="dxa"/>
          </w:tcPr>
          <w:p w:rsidR="004B3AD0" w:rsidRPr="00D67C5B" w:rsidRDefault="004B3AD0" w:rsidP="00814E2E">
            <w:pPr>
              <w:pStyle w:val="naiskr"/>
              <w:spacing w:before="0" w:after="0"/>
              <w:ind w:left="57" w:right="57" w:firstLine="284"/>
              <w:jc w:val="both"/>
              <w:rPr>
                <w:sz w:val="26"/>
                <w:szCs w:val="26"/>
              </w:rPr>
            </w:pPr>
            <w:r w:rsidRPr="00D67C5B">
              <w:rPr>
                <w:sz w:val="26"/>
                <w:szCs w:val="26"/>
              </w:rPr>
              <w:t>Nav</w:t>
            </w:r>
            <w:r>
              <w:rPr>
                <w:sz w:val="26"/>
                <w:szCs w:val="26"/>
              </w:rPr>
              <w:t>.</w:t>
            </w:r>
          </w:p>
        </w:tc>
      </w:tr>
    </w:tbl>
    <w:p w:rsidR="004B3AD0" w:rsidRDefault="004B3AD0" w:rsidP="004B3AD0">
      <w:pPr>
        <w:ind w:left="57" w:right="57"/>
        <w:rPr>
          <w:color w:val="FF0000"/>
          <w:sz w:val="26"/>
          <w:szCs w:val="26"/>
          <w:lang w:val="lv-LV"/>
        </w:rPr>
      </w:pPr>
    </w:p>
    <w:p w:rsidR="004B3AD0" w:rsidRPr="00882A82" w:rsidRDefault="004B3AD0" w:rsidP="004B3AD0">
      <w:pPr>
        <w:ind w:left="57" w:right="57"/>
        <w:rPr>
          <w:color w:val="FF0000"/>
          <w:sz w:val="26"/>
          <w:szCs w:val="26"/>
          <w:lang w:val="lv-LV"/>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4B3AD0" w:rsidRPr="008B4AF0" w:rsidTr="00814E2E">
        <w:trPr>
          <w:trHeight w:val="65"/>
        </w:trPr>
        <w:tc>
          <w:tcPr>
            <w:tcW w:w="9065" w:type="dxa"/>
            <w:gridSpan w:val="3"/>
          </w:tcPr>
          <w:p w:rsidR="004B3AD0" w:rsidRPr="00D67C5B" w:rsidRDefault="004B3AD0" w:rsidP="00814E2E">
            <w:pPr>
              <w:ind w:left="57" w:right="57"/>
              <w:jc w:val="center"/>
              <w:rPr>
                <w:sz w:val="26"/>
                <w:szCs w:val="26"/>
                <w:lang w:val="lv-LV"/>
              </w:rPr>
            </w:pPr>
            <w:r w:rsidRPr="00D67C5B">
              <w:rPr>
                <w:b/>
                <w:sz w:val="26"/>
                <w:szCs w:val="26"/>
                <w:lang w:val="lv-LV"/>
              </w:rPr>
              <w:t>VII. Tiesību akta projekta izpildes nodrošināšana un tās ietekme uz institūcijām</w:t>
            </w:r>
          </w:p>
        </w:tc>
      </w:tr>
      <w:tr w:rsidR="004B3AD0" w:rsidRPr="008B4AF0" w:rsidTr="00814E2E">
        <w:trPr>
          <w:trHeight w:val="427"/>
        </w:trPr>
        <w:tc>
          <w:tcPr>
            <w:tcW w:w="507" w:type="dxa"/>
          </w:tcPr>
          <w:p w:rsidR="004B3AD0" w:rsidRPr="00D67C5B" w:rsidRDefault="004B3AD0" w:rsidP="00814E2E">
            <w:pPr>
              <w:ind w:left="57" w:right="57"/>
              <w:rPr>
                <w:sz w:val="26"/>
                <w:szCs w:val="26"/>
                <w:lang w:val="lv-LV"/>
              </w:rPr>
            </w:pPr>
            <w:r w:rsidRPr="00D67C5B">
              <w:rPr>
                <w:sz w:val="26"/>
                <w:szCs w:val="26"/>
                <w:lang w:val="lv-LV"/>
              </w:rPr>
              <w:t> 1.</w:t>
            </w:r>
          </w:p>
        </w:tc>
        <w:tc>
          <w:tcPr>
            <w:tcW w:w="3172" w:type="dxa"/>
          </w:tcPr>
          <w:p w:rsidR="004B3AD0" w:rsidRPr="00D67C5B" w:rsidRDefault="004B3AD0" w:rsidP="00814E2E">
            <w:pPr>
              <w:ind w:left="57" w:right="57"/>
              <w:rPr>
                <w:sz w:val="26"/>
                <w:szCs w:val="26"/>
                <w:lang w:val="lv-LV"/>
              </w:rPr>
            </w:pPr>
            <w:r w:rsidRPr="00D67C5B">
              <w:rPr>
                <w:sz w:val="26"/>
                <w:szCs w:val="26"/>
                <w:lang w:val="lv-LV"/>
              </w:rPr>
              <w:t> Projekta izpildē iesaistītās institūcijas</w:t>
            </w:r>
          </w:p>
        </w:tc>
        <w:tc>
          <w:tcPr>
            <w:tcW w:w="5386" w:type="dxa"/>
          </w:tcPr>
          <w:p w:rsidR="004B3AD0" w:rsidRDefault="004B3AD0" w:rsidP="00814E2E">
            <w:pPr>
              <w:pStyle w:val="naisnod"/>
              <w:spacing w:before="0" w:after="0"/>
              <w:ind w:left="142" w:right="141" w:firstLine="283"/>
              <w:jc w:val="left"/>
              <w:rPr>
                <w:b w:val="0"/>
                <w:sz w:val="26"/>
                <w:szCs w:val="26"/>
              </w:rPr>
            </w:pPr>
            <w:r w:rsidRPr="00E52C93">
              <w:rPr>
                <w:b w:val="0"/>
                <w:sz w:val="26"/>
                <w:szCs w:val="26"/>
              </w:rPr>
              <w:t>Būvvaldes un valsts institūcijas, kas kontrolē būvniecības procesu.</w:t>
            </w:r>
          </w:p>
          <w:p w:rsidR="004B3AD0" w:rsidRPr="00455D47" w:rsidRDefault="004B3AD0" w:rsidP="00814E2E">
            <w:pPr>
              <w:pStyle w:val="naisnod"/>
              <w:spacing w:before="0" w:after="0"/>
              <w:ind w:left="142" w:right="141" w:firstLine="283"/>
              <w:jc w:val="left"/>
              <w:rPr>
                <w:b w:val="0"/>
                <w:sz w:val="26"/>
                <w:szCs w:val="26"/>
              </w:rPr>
            </w:pPr>
          </w:p>
        </w:tc>
      </w:tr>
      <w:tr w:rsidR="004B3AD0" w:rsidRPr="00D67C5B" w:rsidTr="00814E2E">
        <w:trPr>
          <w:trHeight w:val="463"/>
        </w:trPr>
        <w:tc>
          <w:tcPr>
            <w:tcW w:w="507" w:type="dxa"/>
          </w:tcPr>
          <w:p w:rsidR="004B3AD0" w:rsidRPr="00D67C5B" w:rsidRDefault="004B3AD0" w:rsidP="00814E2E">
            <w:pPr>
              <w:ind w:left="57" w:right="57"/>
              <w:rPr>
                <w:sz w:val="26"/>
                <w:szCs w:val="26"/>
                <w:lang w:val="lv-LV"/>
              </w:rPr>
            </w:pPr>
            <w:r w:rsidRPr="00D67C5B">
              <w:rPr>
                <w:sz w:val="26"/>
                <w:szCs w:val="26"/>
                <w:lang w:val="lv-LV"/>
              </w:rPr>
              <w:t> 2.</w:t>
            </w:r>
          </w:p>
        </w:tc>
        <w:tc>
          <w:tcPr>
            <w:tcW w:w="3172" w:type="dxa"/>
          </w:tcPr>
          <w:p w:rsidR="004B3AD0" w:rsidRPr="00D67C5B" w:rsidRDefault="004B3AD0" w:rsidP="00814E2E">
            <w:pPr>
              <w:ind w:left="57" w:right="57"/>
              <w:rPr>
                <w:sz w:val="26"/>
                <w:szCs w:val="26"/>
                <w:lang w:val="lv-LV"/>
              </w:rPr>
            </w:pPr>
            <w:r w:rsidRPr="00D67C5B">
              <w:rPr>
                <w:sz w:val="26"/>
                <w:szCs w:val="26"/>
                <w:lang w:val="lv-LV"/>
              </w:rPr>
              <w:t> Projekta izpildes ietekme uz pārvaldes funkcijām</w:t>
            </w:r>
            <w:r>
              <w:rPr>
                <w:sz w:val="26"/>
                <w:szCs w:val="26"/>
                <w:lang w:val="lv-LV"/>
              </w:rPr>
              <w:t xml:space="preserve"> un institucionālo struktūru.</w:t>
            </w:r>
            <w:r w:rsidRPr="00D67C5B">
              <w:rPr>
                <w:sz w:val="26"/>
                <w:szCs w:val="26"/>
                <w:lang w:val="lv-LV"/>
              </w:rPr>
              <w:t xml:space="preserve"> Jaunu institūciju izveide</w:t>
            </w:r>
            <w:r>
              <w:rPr>
                <w:sz w:val="26"/>
                <w:szCs w:val="26"/>
                <w:lang w:val="lv-LV"/>
              </w:rPr>
              <w:t>, e</w:t>
            </w:r>
            <w:r w:rsidRPr="00D67C5B">
              <w:rPr>
                <w:sz w:val="26"/>
                <w:szCs w:val="26"/>
                <w:lang w:val="lv-LV"/>
              </w:rPr>
              <w:t xml:space="preserve">sošu institūciju likvidācija </w:t>
            </w:r>
            <w:r>
              <w:rPr>
                <w:sz w:val="26"/>
                <w:szCs w:val="26"/>
                <w:lang w:val="lv-LV"/>
              </w:rPr>
              <w:t xml:space="preserve">vai </w:t>
            </w:r>
            <w:r w:rsidRPr="00D67C5B">
              <w:rPr>
                <w:sz w:val="26"/>
                <w:szCs w:val="26"/>
                <w:lang w:val="lv-LV"/>
              </w:rPr>
              <w:t>reorganizācija</w:t>
            </w:r>
            <w:r>
              <w:rPr>
                <w:sz w:val="26"/>
                <w:szCs w:val="26"/>
                <w:lang w:val="lv-LV"/>
              </w:rPr>
              <w:t>, to</w:t>
            </w:r>
            <w:r w:rsidRPr="00D67C5B">
              <w:rPr>
                <w:sz w:val="26"/>
                <w:szCs w:val="26"/>
                <w:lang w:val="lv-LV"/>
              </w:rPr>
              <w:t xml:space="preserve"> ietekme uz instit</w:t>
            </w:r>
            <w:r>
              <w:rPr>
                <w:sz w:val="26"/>
                <w:szCs w:val="26"/>
                <w:lang w:val="lv-LV"/>
              </w:rPr>
              <w:t>ūcijas cilvēkresursiem</w:t>
            </w:r>
          </w:p>
        </w:tc>
        <w:tc>
          <w:tcPr>
            <w:tcW w:w="5386" w:type="dxa"/>
          </w:tcPr>
          <w:p w:rsidR="004B3AD0" w:rsidRPr="00455D47" w:rsidRDefault="004B3AD0" w:rsidP="00814E2E">
            <w:pPr>
              <w:pStyle w:val="naisnod"/>
              <w:spacing w:before="0" w:after="0"/>
              <w:ind w:left="57" w:right="57" w:firstLine="368"/>
              <w:jc w:val="both"/>
              <w:rPr>
                <w:b w:val="0"/>
                <w:sz w:val="26"/>
                <w:szCs w:val="26"/>
              </w:rPr>
            </w:pPr>
            <w:r w:rsidRPr="00CD5814">
              <w:rPr>
                <w:b w:val="0"/>
                <w:sz w:val="26"/>
                <w:szCs w:val="26"/>
              </w:rPr>
              <w:t xml:space="preserve">Jaunas institūcijas netiks veidotas un nav nepieciešams likvidēt vai reorganizēt esošās institūcijas. Līdz ar to </w:t>
            </w:r>
            <w:r>
              <w:rPr>
                <w:b w:val="0"/>
                <w:sz w:val="26"/>
                <w:szCs w:val="26"/>
              </w:rPr>
              <w:t>būvnormatīva</w:t>
            </w:r>
            <w:r w:rsidRPr="00CD5814">
              <w:rPr>
                <w:b w:val="0"/>
                <w:sz w:val="26"/>
                <w:szCs w:val="26"/>
              </w:rPr>
              <w:t xml:space="preserve"> izpilde neietekmēs institūciju cilvēkresursus.</w:t>
            </w:r>
          </w:p>
        </w:tc>
      </w:tr>
      <w:tr w:rsidR="004B3AD0" w:rsidRPr="00D67C5B" w:rsidTr="00814E2E">
        <w:trPr>
          <w:trHeight w:val="476"/>
        </w:trPr>
        <w:tc>
          <w:tcPr>
            <w:tcW w:w="507" w:type="dxa"/>
          </w:tcPr>
          <w:p w:rsidR="004B3AD0" w:rsidRPr="00D67C5B" w:rsidRDefault="004B3AD0" w:rsidP="00814E2E">
            <w:pPr>
              <w:ind w:left="57" w:right="57"/>
              <w:rPr>
                <w:sz w:val="26"/>
                <w:szCs w:val="26"/>
                <w:lang w:val="lv-LV"/>
              </w:rPr>
            </w:pPr>
            <w:r w:rsidRPr="00D67C5B">
              <w:rPr>
                <w:sz w:val="26"/>
                <w:szCs w:val="26"/>
                <w:lang w:val="lv-LV"/>
              </w:rPr>
              <w:t> </w:t>
            </w:r>
            <w:r>
              <w:rPr>
                <w:sz w:val="26"/>
                <w:szCs w:val="26"/>
                <w:lang w:val="lv-LV"/>
              </w:rPr>
              <w:t>3.</w:t>
            </w:r>
          </w:p>
        </w:tc>
        <w:tc>
          <w:tcPr>
            <w:tcW w:w="3172" w:type="dxa"/>
          </w:tcPr>
          <w:p w:rsidR="004B3AD0" w:rsidRPr="00D67C5B" w:rsidRDefault="004B3AD0" w:rsidP="00814E2E">
            <w:pPr>
              <w:ind w:left="57" w:right="57"/>
              <w:rPr>
                <w:sz w:val="26"/>
                <w:szCs w:val="26"/>
                <w:lang w:val="lv-LV"/>
              </w:rPr>
            </w:pPr>
            <w:r w:rsidRPr="00D67C5B">
              <w:rPr>
                <w:sz w:val="26"/>
                <w:szCs w:val="26"/>
                <w:lang w:val="lv-LV"/>
              </w:rPr>
              <w:t> Cita informācija</w:t>
            </w:r>
          </w:p>
        </w:tc>
        <w:tc>
          <w:tcPr>
            <w:tcW w:w="5386" w:type="dxa"/>
          </w:tcPr>
          <w:p w:rsidR="004B3AD0" w:rsidRPr="00D67C5B" w:rsidRDefault="004B3AD0" w:rsidP="00814E2E">
            <w:pPr>
              <w:ind w:left="57" w:right="57" w:firstLine="368"/>
              <w:jc w:val="both"/>
              <w:rPr>
                <w:sz w:val="26"/>
                <w:szCs w:val="26"/>
                <w:lang w:val="lv-LV"/>
              </w:rPr>
            </w:pPr>
            <w:r w:rsidRPr="00D67C5B">
              <w:rPr>
                <w:sz w:val="26"/>
                <w:szCs w:val="26"/>
                <w:lang w:val="lv-LV"/>
              </w:rPr>
              <w:t>Nav.</w:t>
            </w:r>
          </w:p>
        </w:tc>
      </w:tr>
    </w:tbl>
    <w:p w:rsidR="004B3AD0" w:rsidRPr="00513873" w:rsidRDefault="004B3AD0" w:rsidP="004B3AD0">
      <w:pPr>
        <w:pStyle w:val="naisf"/>
        <w:tabs>
          <w:tab w:val="left" w:pos="6710"/>
        </w:tabs>
        <w:spacing w:before="120" w:after="240"/>
        <w:rPr>
          <w:i/>
          <w:sz w:val="28"/>
          <w:szCs w:val="28"/>
        </w:rPr>
      </w:pPr>
      <w:r w:rsidRPr="00513873">
        <w:rPr>
          <w:i/>
          <w:sz w:val="28"/>
          <w:szCs w:val="28"/>
        </w:rPr>
        <w:t>Anotācijas III, IV un V sadaļa - projekts šīs jomas neskar.</w:t>
      </w:r>
    </w:p>
    <w:p w:rsidR="004B3AD0" w:rsidRDefault="004B3AD0" w:rsidP="004B3AD0">
      <w:pPr>
        <w:pStyle w:val="naisf"/>
        <w:tabs>
          <w:tab w:val="left" w:pos="6710"/>
        </w:tabs>
        <w:spacing w:before="0" w:after="0"/>
        <w:ind w:right="-1"/>
        <w:rPr>
          <w:sz w:val="26"/>
          <w:szCs w:val="26"/>
        </w:rPr>
      </w:pPr>
    </w:p>
    <w:p w:rsidR="004B3AD0" w:rsidRDefault="004B3AD0" w:rsidP="004B3AD0">
      <w:pPr>
        <w:tabs>
          <w:tab w:val="right" w:pos="9072"/>
        </w:tabs>
        <w:jc w:val="both"/>
        <w:rPr>
          <w:sz w:val="28"/>
          <w:szCs w:val="28"/>
          <w:lang w:val="lv-LV"/>
        </w:rPr>
      </w:pPr>
    </w:p>
    <w:p w:rsidR="004B3AD0" w:rsidRPr="00437CA7" w:rsidRDefault="004B3AD0" w:rsidP="004B3AD0">
      <w:pPr>
        <w:tabs>
          <w:tab w:val="right" w:pos="9072"/>
        </w:tabs>
        <w:jc w:val="both"/>
        <w:rPr>
          <w:sz w:val="28"/>
          <w:szCs w:val="28"/>
          <w:lang w:val="lv-LV"/>
        </w:rPr>
      </w:pPr>
      <w:r w:rsidRPr="00437CA7">
        <w:rPr>
          <w:sz w:val="28"/>
          <w:szCs w:val="28"/>
          <w:lang w:val="lv-LV"/>
        </w:rPr>
        <w:t>Ekonomikas ministre</w:t>
      </w:r>
      <w:r w:rsidRPr="00437CA7">
        <w:rPr>
          <w:sz w:val="28"/>
          <w:szCs w:val="28"/>
          <w:lang w:val="lv-LV"/>
        </w:rPr>
        <w:tab/>
        <w:t>D.Reizniece-Ozola</w:t>
      </w:r>
    </w:p>
    <w:p w:rsidR="00861665" w:rsidRDefault="00861665" w:rsidP="00F9712E">
      <w:pPr>
        <w:rPr>
          <w:sz w:val="28"/>
          <w:szCs w:val="28"/>
          <w:lang w:val="lv-LV"/>
        </w:rPr>
      </w:pPr>
    </w:p>
    <w:p w:rsidR="00861665" w:rsidRDefault="00861665" w:rsidP="00F9712E">
      <w:pPr>
        <w:rPr>
          <w:sz w:val="28"/>
          <w:szCs w:val="28"/>
          <w:lang w:val="lv-LV"/>
        </w:rPr>
      </w:pPr>
    </w:p>
    <w:p w:rsidR="004B3AD0" w:rsidRPr="00437CA7" w:rsidRDefault="004B3AD0" w:rsidP="00F9712E">
      <w:pPr>
        <w:rPr>
          <w:sz w:val="28"/>
          <w:szCs w:val="28"/>
          <w:lang w:val="lv-LV"/>
        </w:rPr>
      </w:pPr>
      <w:r w:rsidRPr="00437CA7">
        <w:rPr>
          <w:sz w:val="28"/>
          <w:szCs w:val="28"/>
          <w:lang w:val="lv-LV"/>
        </w:rPr>
        <w:t>Vīza:</w:t>
      </w:r>
    </w:p>
    <w:p w:rsidR="00F9712E" w:rsidRDefault="004B3AD0" w:rsidP="00F9712E">
      <w:pPr>
        <w:tabs>
          <w:tab w:val="right" w:pos="9072"/>
        </w:tabs>
        <w:rPr>
          <w:sz w:val="28"/>
          <w:szCs w:val="28"/>
          <w:lang w:val="lv-LV"/>
        </w:rPr>
      </w:pPr>
      <w:r w:rsidRPr="00437CA7">
        <w:rPr>
          <w:sz w:val="28"/>
          <w:szCs w:val="28"/>
          <w:lang w:val="lv-LV"/>
        </w:rPr>
        <w:t>Valsts sekretār</w:t>
      </w:r>
      <w:r w:rsidR="00F9712E">
        <w:rPr>
          <w:sz w:val="28"/>
          <w:szCs w:val="28"/>
          <w:lang w:val="lv-LV"/>
        </w:rPr>
        <w:t>a</w:t>
      </w:r>
    </w:p>
    <w:p w:rsidR="00F9712E" w:rsidRDefault="00F9712E" w:rsidP="00F9712E">
      <w:pPr>
        <w:tabs>
          <w:tab w:val="right" w:pos="9072"/>
        </w:tabs>
        <w:rPr>
          <w:sz w:val="28"/>
          <w:szCs w:val="28"/>
          <w:lang w:val="lv-LV"/>
        </w:rPr>
      </w:pPr>
      <w:r>
        <w:rPr>
          <w:sz w:val="28"/>
          <w:szCs w:val="28"/>
          <w:lang w:val="lv-LV"/>
        </w:rPr>
        <w:t>pienākumu izpildītājs,</w:t>
      </w:r>
    </w:p>
    <w:p w:rsidR="004B3AD0" w:rsidRPr="00437CA7" w:rsidRDefault="00F9712E" w:rsidP="00F9712E">
      <w:pPr>
        <w:tabs>
          <w:tab w:val="right" w:pos="9072"/>
        </w:tabs>
        <w:rPr>
          <w:sz w:val="28"/>
          <w:szCs w:val="28"/>
          <w:lang w:val="lv-LV"/>
        </w:rPr>
      </w:pPr>
      <w:r>
        <w:rPr>
          <w:sz w:val="28"/>
          <w:szCs w:val="28"/>
          <w:lang w:val="lv-LV"/>
        </w:rPr>
        <w:t xml:space="preserve">valsts sekretāra vietnieks </w:t>
      </w:r>
      <w:r w:rsidR="004B3AD0" w:rsidRPr="00437CA7">
        <w:rPr>
          <w:sz w:val="28"/>
          <w:szCs w:val="28"/>
          <w:lang w:val="lv-LV"/>
        </w:rPr>
        <w:tab/>
      </w:r>
      <w:r>
        <w:rPr>
          <w:sz w:val="28"/>
          <w:szCs w:val="28"/>
          <w:lang w:val="lv-LV"/>
        </w:rPr>
        <w:t>J.Spiridonovs</w:t>
      </w:r>
    </w:p>
    <w:p w:rsidR="004B3AD0" w:rsidRPr="00053B75" w:rsidRDefault="004B3AD0" w:rsidP="004B3AD0">
      <w:pPr>
        <w:rPr>
          <w:sz w:val="20"/>
          <w:lang w:val="lv-LV"/>
        </w:rPr>
      </w:pPr>
    </w:p>
    <w:p w:rsidR="004B3AD0" w:rsidRDefault="004B3AD0" w:rsidP="004B3AD0">
      <w:pPr>
        <w:rPr>
          <w:sz w:val="20"/>
          <w:lang w:val="lv-LV"/>
        </w:rPr>
      </w:pPr>
    </w:p>
    <w:p w:rsidR="00861665" w:rsidRDefault="00861665" w:rsidP="004B3AD0">
      <w:pPr>
        <w:rPr>
          <w:sz w:val="20"/>
          <w:lang w:val="lv-LV"/>
        </w:rPr>
      </w:pPr>
    </w:p>
    <w:p w:rsidR="004B3AD0" w:rsidRPr="00053B75" w:rsidRDefault="004B3AD0" w:rsidP="004B3AD0">
      <w:pPr>
        <w:rPr>
          <w:sz w:val="20"/>
          <w:lang w:val="lv-LV"/>
        </w:rPr>
      </w:pPr>
    </w:p>
    <w:p w:rsidR="004B3AD0" w:rsidRPr="00453AB4" w:rsidRDefault="004B3AD0" w:rsidP="004B3AD0">
      <w:pPr>
        <w:keepLines/>
        <w:widowControl w:val="0"/>
        <w:jc w:val="both"/>
        <w:rPr>
          <w:sz w:val="20"/>
          <w:lang w:val="lv-LV"/>
        </w:rPr>
      </w:pPr>
      <w:r w:rsidRPr="00517475">
        <w:rPr>
          <w:sz w:val="20"/>
        </w:rPr>
        <w:fldChar w:fldCharType="begin"/>
      </w:r>
      <w:r w:rsidRPr="00517475">
        <w:rPr>
          <w:sz w:val="20"/>
        </w:rPr>
        <w:instrText xml:space="preserve"> DATE  \@ "dd.MM.yyyy. H:mm"  \* MERGEFORMAT </w:instrText>
      </w:r>
      <w:r w:rsidRPr="00517475">
        <w:rPr>
          <w:sz w:val="20"/>
        </w:rPr>
        <w:fldChar w:fldCharType="end"/>
      </w:r>
    </w:p>
    <w:p w:rsidR="004B3AD0" w:rsidRPr="00453AB4" w:rsidRDefault="004B3AD0" w:rsidP="004B3AD0">
      <w:pPr>
        <w:tabs>
          <w:tab w:val="left" w:pos="1080"/>
        </w:tabs>
        <w:ind w:right="71"/>
        <w:jc w:val="both"/>
        <w:rPr>
          <w:sz w:val="20"/>
          <w:lang w:val="lv-LV"/>
        </w:rPr>
      </w:pPr>
      <w:r w:rsidRPr="00BB74E9">
        <w:rPr>
          <w:sz w:val="20"/>
        </w:rPr>
        <w:fldChar w:fldCharType="begin"/>
      </w:r>
      <w:r w:rsidRPr="00453AB4">
        <w:rPr>
          <w:sz w:val="20"/>
          <w:lang w:val="lv-LV"/>
        </w:rPr>
        <w:instrText xml:space="preserve"> NUMWORDS   \* MERGEFORMAT </w:instrText>
      </w:r>
      <w:r w:rsidRPr="00BB74E9">
        <w:rPr>
          <w:sz w:val="20"/>
        </w:rPr>
        <w:fldChar w:fldCharType="separate"/>
      </w:r>
      <w:r w:rsidR="00581043">
        <w:rPr>
          <w:noProof/>
          <w:sz w:val="20"/>
          <w:lang w:val="lv-LV"/>
        </w:rPr>
        <w:t>609</w:t>
      </w:r>
      <w:r w:rsidRPr="00BB74E9">
        <w:rPr>
          <w:sz w:val="20"/>
        </w:rPr>
        <w:fldChar w:fldCharType="end"/>
      </w:r>
    </w:p>
    <w:p w:rsidR="004B3AD0" w:rsidRPr="00453AB4" w:rsidRDefault="004B3AD0" w:rsidP="004B3AD0">
      <w:pPr>
        <w:tabs>
          <w:tab w:val="left" w:pos="1080"/>
        </w:tabs>
        <w:ind w:right="71"/>
        <w:jc w:val="both"/>
        <w:rPr>
          <w:sz w:val="20"/>
          <w:lang w:val="lv-LV"/>
        </w:rPr>
      </w:pPr>
      <w:r w:rsidRPr="00453AB4">
        <w:rPr>
          <w:sz w:val="20"/>
          <w:lang w:val="lv-LV"/>
        </w:rPr>
        <w:t>E.Bučinska,</w:t>
      </w:r>
    </w:p>
    <w:p w:rsidR="004B3AD0" w:rsidRPr="00B77CFC" w:rsidRDefault="004B3AD0" w:rsidP="004B3AD0">
      <w:pPr>
        <w:tabs>
          <w:tab w:val="left" w:pos="1080"/>
        </w:tabs>
        <w:ind w:right="71"/>
        <w:jc w:val="both"/>
        <w:rPr>
          <w:sz w:val="20"/>
          <w:lang w:val="de-DE"/>
        </w:rPr>
      </w:pPr>
      <w:r w:rsidRPr="00B77CFC">
        <w:rPr>
          <w:sz w:val="20"/>
          <w:lang w:val="de-DE"/>
        </w:rPr>
        <w:t xml:space="preserve">67013032, </w:t>
      </w:r>
      <w:hyperlink r:id="rId7" w:history="1">
        <w:r w:rsidRPr="00B77CFC">
          <w:rPr>
            <w:rStyle w:val="Hyperlink"/>
            <w:sz w:val="20"/>
            <w:lang w:val="de-DE"/>
          </w:rPr>
          <w:t>Elga.Bucinska@em.gov.lv</w:t>
        </w:r>
      </w:hyperlink>
      <w:r w:rsidRPr="00B77CFC">
        <w:rPr>
          <w:sz w:val="20"/>
          <w:lang w:val="de-DE"/>
        </w:rPr>
        <w:t xml:space="preserve"> </w:t>
      </w:r>
    </w:p>
    <w:p w:rsidR="00386E17" w:rsidRPr="005E42AA" w:rsidRDefault="00386E17">
      <w:pPr>
        <w:rPr>
          <w:lang w:val="de-DE"/>
        </w:rPr>
      </w:pPr>
    </w:p>
    <w:sectPr w:rsidR="00386E17" w:rsidRPr="005E42AA" w:rsidSect="00FD2D5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6C" w:rsidRDefault="00B0236C" w:rsidP="00094391">
      <w:r>
        <w:separator/>
      </w:r>
    </w:p>
  </w:endnote>
  <w:endnote w:type="continuationSeparator" w:id="0">
    <w:p w:rsidR="00B0236C" w:rsidRDefault="00B0236C" w:rsidP="0009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91" w:rsidRDefault="0009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B6" w:rsidRPr="00C2565A" w:rsidRDefault="002F2164" w:rsidP="00650CB6">
    <w:pPr>
      <w:jc w:val="both"/>
      <w:rPr>
        <w:sz w:val="20"/>
        <w:lang w:val="lv-LV"/>
      </w:rPr>
    </w:pPr>
    <w:r>
      <w:fldChar w:fldCharType="begin"/>
    </w:r>
    <w:r>
      <w:instrText xml:space="preserve"> FILENAME   \* MERGEFORMAT </w:instrText>
    </w:r>
    <w:r>
      <w:fldChar w:fldCharType="separate"/>
    </w:r>
    <w:r w:rsidR="00094391" w:rsidRPr="00094391">
      <w:rPr>
        <w:noProof/>
        <w:sz w:val="20"/>
        <w:lang w:val="lv-LV"/>
      </w:rPr>
      <w:t>EManot_230215_LBN209</w:t>
    </w:r>
    <w:r>
      <w:rPr>
        <w:noProof/>
        <w:sz w:val="20"/>
        <w:lang w:val="lv-LV"/>
      </w:rPr>
      <w:fldChar w:fldCharType="end"/>
    </w:r>
    <w:r w:rsidR="00AB0FF4" w:rsidRPr="00C2565A">
      <w:rPr>
        <w:sz w:val="20"/>
        <w:lang w:val="lv-LV"/>
      </w:rPr>
      <w:t xml:space="preserve">; </w:t>
    </w:r>
    <w:r w:rsidR="00AB0FF4">
      <w:rPr>
        <w:sz w:val="20"/>
        <w:lang w:val="lv-LV"/>
      </w:rPr>
      <w:t>Ministru kabineta noteikumu projekta „Noteikumi par Latvijas būvnormatīvu LBN 209-15 „Mazstāvu dzīvojamās mājas”” sākotnējās ietekmes novērtējuma ziņojums (anotācija)</w:t>
    </w:r>
  </w:p>
  <w:p w:rsidR="00727BC6" w:rsidRPr="00513873" w:rsidRDefault="002F2164" w:rsidP="0051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50" w:rsidRPr="00C2565A" w:rsidRDefault="002F2164" w:rsidP="00DC7450">
    <w:pPr>
      <w:jc w:val="both"/>
      <w:rPr>
        <w:sz w:val="20"/>
        <w:lang w:val="lv-LV"/>
      </w:rPr>
    </w:pPr>
    <w:r>
      <w:fldChar w:fldCharType="begin"/>
    </w:r>
    <w:r>
      <w:instrText xml:space="preserve"> FILENAME   \* MERGEFORMAT </w:instrText>
    </w:r>
    <w:r>
      <w:fldChar w:fldCharType="separate"/>
    </w:r>
    <w:r w:rsidR="00094391" w:rsidRPr="00094391">
      <w:rPr>
        <w:noProof/>
        <w:sz w:val="20"/>
        <w:lang w:val="lv-LV"/>
      </w:rPr>
      <w:t>EManot_230215_LBN209</w:t>
    </w:r>
    <w:r>
      <w:rPr>
        <w:noProof/>
        <w:sz w:val="20"/>
        <w:lang w:val="lv-LV"/>
      </w:rPr>
      <w:fldChar w:fldCharType="end"/>
    </w:r>
    <w:r w:rsidR="00AB0FF4" w:rsidRPr="00C2565A">
      <w:rPr>
        <w:sz w:val="20"/>
        <w:lang w:val="lv-LV"/>
      </w:rPr>
      <w:t xml:space="preserve">; </w:t>
    </w:r>
    <w:r w:rsidR="00AB0FF4">
      <w:rPr>
        <w:sz w:val="20"/>
        <w:lang w:val="lv-LV"/>
      </w:rPr>
      <w:t>Ministru kabineta noteikumu projekta „Noteikumi par Latvijas būvnormatīvu LBN 209-15 „Mazstāvu dzīvojamās mājas”” sākotnējās ietekmes novērtējuma ziņojums (anotācija)</w:t>
    </w:r>
  </w:p>
  <w:p w:rsidR="00727BC6" w:rsidRPr="00EE3404" w:rsidRDefault="002F2164" w:rsidP="00EE3404">
    <w:pPr>
      <w:jc w:val="both"/>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6C" w:rsidRDefault="00B0236C" w:rsidP="00094391">
      <w:r>
        <w:separator/>
      </w:r>
    </w:p>
  </w:footnote>
  <w:footnote w:type="continuationSeparator" w:id="0">
    <w:p w:rsidR="00B0236C" w:rsidRDefault="00B0236C" w:rsidP="0009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91" w:rsidRDefault="0009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AB0FF4">
    <w:pPr>
      <w:pStyle w:val="Header"/>
      <w:jc w:val="center"/>
      <w:rPr>
        <w:sz w:val="24"/>
      </w:rPr>
    </w:pPr>
    <w:r>
      <w:rPr>
        <w:sz w:val="24"/>
      </w:rPr>
      <w:fldChar w:fldCharType="begin"/>
    </w:r>
    <w:r>
      <w:rPr>
        <w:sz w:val="24"/>
      </w:rPr>
      <w:instrText xml:space="preserve"> PAGE   \* MERGEFORMAT </w:instrText>
    </w:r>
    <w:r>
      <w:rPr>
        <w:sz w:val="24"/>
      </w:rPr>
      <w:fldChar w:fldCharType="separate"/>
    </w:r>
    <w:r w:rsidR="002F2164">
      <w:rPr>
        <w:noProof/>
        <w:sz w:val="24"/>
      </w:rPr>
      <w:t>3</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91" w:rsidRDefault="0009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D0"/>
    <w:rsid w:val="00025E8B"/>
    <w:rsid w:val="00094391"/>
    <w:rsid w:val="000C3B97"/>
    <w:rsid w:val="00147F01"/>
    <w:rsid w:val="002116A3"/>
    <w:rsid w:val="002F2164"/>
    <w:rsid w:val="00386E17"/>
    <w:rsid w:val="004B3AD0"/>
    <w:rsid w:val="005008F5"/>
    <w:rsid w:val="00581043"/>
    <w:rsid w:val="005E42AA"/>
    <w:rsid w:val="00711A9A"/>
    <w:rsid w:val="00851E61"/>
    <w:rsid w:val="00861665"/>
    <w:rsid w:val="008B4AF0"/>
    <w:rsid w:val="00990745"/>
    <w:rsid w:val="00AB07B5"/>
    <w:rsid w:val="00AB0FF4"/>
    <w:rsid w:val="00B0236C"/>
    <w:rsid w:val="00B25E82"/>
    <w:rsid w:val="00BC3070"/>
    <w:rsid w:val="00C3063B"/>
    <w:rsid w:val="00D91A00"/>
    <w:rsid w:val="00EE5C5B"/>
    <w:rsid w:val="00F9712E"/>
    <w:rsid w:val="00FC7803"/>
    <w:rsid w:val="00FE4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9FCDC1B-95BD-4B37-9E0F-B175A72F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D0"/>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B3AD0"/>
    <w:pPr>
      <w:spacing w:before="100" w:after="100"/>
    </w:pPr>
    <w:rPr>
      <w:lang w:val="lv-LV"/>
    </w:rPr>
  </w:style>
  <w:style w:type="paragraph" w:styleId="Header">
    <w:name w:val="header"/>
    <w:basedOn w:val="Normal"/>
    <w:link w:val="HeaderChar"/>
    <w:uiPriority w:val="99"/>
    <w:rsid w:val="004B3AD0"/>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4B3AD0"/>
    <w:rPr>
      <w:rFonts w:ascii="Times New Roman" w:eastAsia="Times New Roman" w:hAnsi="Times New Roman" w:cs="Times New Roman"/>
      <w:szCs w:val="20"/>
      <w:lang w:eastAsia="lv-LV"/>
    </w:rPr>
  </w:style>
  <w:style w:type="character" w:styleId="Hyperlink">
    <w:name w:val="Hyperlink"/>
    <w:basedOn w:val="DefaultParagraphFont"/>
    <w:uiPriority w:val="99"/>
    <w:rsid w:val="004B3AD0"/>
    <w:rPr>
      <w:color w:val="0000FF"/>
      <w:u w:val="single"/>
    </w:rPr>
  </w:style>
  <w:style w:type="paragraph" w:customStyle="1" w:styleId="naiskr">
    <w:name w:val="naiskr"/>
    <w:basedOn w:val="Normal"/>
    <w:rsid w:val="004B3AD0"/>
    <w:pPr>
      <w:spacing w:before="75" w:after="75"/>
    </w:pPr>
    <w:rPr>
      <w:szCs w:val="24"/>
      <w:lang w:val="lv-LV"/>
    </w:rPr>
  </w:style>
  <w:style w:type="paragraph" w:customStyle="1" w:styleId="naisnod">
    <w:name w:val="naisnod"/>
    <w:basedOn w:val="Normal"/>
    <w:rsid w:val="004B3AD0"/>
    <w:pPr>
      <w:spacing w:before="150" w:after="150"/>
      <w:jc w:val="center"/>
    </w:pPr>
    <w:rPr>
      <w:b/>
      <w:bCs/>
      <w:szCs w:val="24"/>
      <w:lang w:val="lv-LV"/>
    </w:rPr>
  </w:style>
  <w:style w:type="paragraph" w:styleId="Footer">
    <w:name w:val="footer"/>
    <w:basedOn w:val="Normal"/>
    <w:link w:val="FooterChar"/>
    <w:uiPriority w:val="99"/>
    <w:unhideWhenUsed/>
    <w:rsid w:val="004B3AD0"/>
    <w:pPr>
      <w:tabs>
        <w:tab w:val="center" w:pos="4153"/>
        <w:tab w:val="right" w:pos="8306"/>
      </w:tabs>
    </w:pPr>
  </w:style>
  <w:style w:type="character" w:customStyle="1" w:styleId="FooterChar">
    <w:name w:val="Footer Char"/>
    <w:basedOn w:val="DefaultParagraphFont"/>
    <w:link w:val="Footer"/>
    <w:uiPriority w:val="99"/>
    <w:rsid w:val="004B3AD0"/>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4B3AD0"/>
    <w:rPr>
      <w:sz w:val="16"/>
      <w:szCs w:val="16"/>
    </w:rPr>
  </w:style>
  <w:style w:type="paragraph" w:styleId="CommentText">
    <w:name w:val="annotation text"/>
    <w:basedOn w:val="Normal"/>
    <w:link w:val="CommentTextChar"/>
    <w:uiPriority w:val="99"/>
    <w:semiHidden/>
    <w:unhideWhenUsed/>
    <w:rsid w:val="004B3AD0"/>
    <w:rPr>
      <w:sz w:val="20"/>
    </w:rPr>
  </w:style>
  <w:style w:type="character" w:customStyle="1" w:styleId="CommentTextChar">
    <w:name w:val="Comment Text Char"/>
    <w:basedOn w:val="DefaultParagraphFont"/>
    <w:link w:val="CommentText"/>
    <w:uiPriority w:val="99"/>
    <w:semiHidden/>
    <w:rsid w:val="004B3AD0"/>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4B3AD0"/>
    <w:rPr>
      <w:rFonts w:ascii="Tahoma" w:hAnsi="Tahoma" w:cs="Tahoma"/>
      <w:sz w:val="16"/>
      <w:szCs w:val="16"/>
    </w:rPr>
  </w:style>
  <w:style w:type="character" w:customStyle="1" w:styleId="BalloonTextChar">
    <w:name w:val="Balloon Text Char"/>
    <w:basedOn w:val="DefaultParagraphFont"/>
    <w:link w:val="BalloonText"/>
    <w:uiPriority w:val="99"/>
    <w:semiHidden/>
    <w:rsid w:val="004B3AD0"/>
    <w:rPr>
      <w:rFonts w:ascii="Tahoma" w:eastAsia="Times New Roman" w:hAnsi="Tahoma" w:cs="Tahoma"/>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607</Words>
  <Characters>4462</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Diāna Ņesterenko</cp:lastModifiedBy>
  <cp:revision>20</cp:revision>
  <dcterms:created xsi:type="dcterms:W3CDTF">2015-02-23T07:07:00Z</dcterms:created>
  <dcterms:modified xsi:type="dcterms:W3CDTF">2015-02-23T11:29:00Z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