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42" w:rsidRPr="000A2AD3" w:rsidRDefault="00852042" w:rsidP="00FB4446">
      <w:pPr>
        <w:pStyle w:val="naislab"/>
        <w:spacing w:before="0" w:after="0"/>
      </w:pPr>
    </w:p>
    <w:p w:rsidR="00AB1914" w:rsidRPr="00BB0D9A" w:rsidRDefault="00613D42" w:rsidP="00FB4446">
      <w:pPr>
        <w:pStyle w:val="naislab"/>
        <w:spacing w:before="0" w:after="0"/>
        <w:jc w:val="center"/>
        <w:outlineLvl w:val="0"/>
        <w:rPr>
          <w:b/>
        </w:rPr>
      </w:pPr>
      <w:r w:rsidRPr="00BB0D9A">
        <w:t>Ministru kabineta noteikumu projekta</w:t>
      </w:r>
      <w:r w:rsidRPr="00BB0D9A">
        <w:rPr>
          <w:b/>
        </w:rPr>
        <w:t xml:space="preserve"> </w:t>
      </w:r>
    </w:p>
    <w:p w:rsidR="00AB1914" w:rsidRPr="00BB0D9A" w:rsidRDefault="00627A5A" w:rsidP="00FB4446">
      <w:pPr>
        <w:pStyle w:val="naislab"/>
        <w:spacing w:before="0" w:after="0"/>
        <w:jc w:val="center"/>
        <w:outlineLvl w:val="0"/>
        <w:rPr>
          <w:b/>
        </w:rPr>
      </w:pPr>
      <w:r w:rsidRPr="00BB0D9A">
        <w:rPr>
          <w:b/>
        </w:rPr>
        <w:t xml:space="preserve">„Grozījumi Ministru kabineta 2014.gada 9.decembra noteikumos Nr.755 </w:t>
      </w:r>
      <w:r w:rsidR="00613D42" w:rsidRPr="00BB0D9A">
        <w:rPr>
          <w:b/>
        </w:rPr>
        <w:t>„</w:t>
      </w:r>
      <w:r w:rsidR="009F0C3D" w:rsidRPr="00BB0D9A">
        <w:rPr>
          <w:b/>
        </w:rPr>
        <w:t>Gāzes balonu aprites</w:t>
      </w:r>
      <w:r w:rsidR="00AB1914" w:rsidRPr="00BB0D9A">
        <w:rPr>
          <w:b/>
        </w:rPr>
        <w:t xml:space="preserve">, </w:t>
      </w:r>
      <w:r w:rsidR="00DD79AA" w:rsidRPr="00BB0D9A">
        <w:rPr>
          <w:b/>
        </w:rPr>
        <w:t xml:space="preserve">uzraudzības </w:t>
      </w:r>
      <w:r w:rsidR="00AB1914" w:rsidRPr="00BB0D9A">
        <w:rPr>
          <w:b/>
        </w:rPr>
        <w:t xml:space="preserve">un kontroles </w:t>
      </w:r>
      <w:r w:rsidR="00DD79AA" w:rsidRPr="00BB0D9A">
        <w:rPr>
          <w:b/>
        </w:rPr>
        <w:t>kārtība</w:t>
      </w:r>
      <w:r w:rsidR="00613D42" w:rsidRPr="00BB0D9A">
        <w:rPr>
          <w:b/>
        </w:rPr>
        <w:t>”</w:t>
      </w:r>
      <w:r w:rsidR="00852042" w:rsidRPr="00BB0D9A">
        <w:rPr>
          <w:b/>
        </w:rPr>
        <w:t xml:space="preserve"> </w:t>
      </w:r>
    </w:p>
    <w:p w:rsidR="008C5649" w:rsidRPr="00BB0D9A" w:rsidRDefault="00852042" w:rsidP="00FB4446">
      <w:pPr>
        <w:pStyle w:val="naislab"/>
        <w:spacing w:before="0" w:after="0"/>
        <w:jc w:val="center"/>
        <w:outlineLvl w:val="0"/>
        <w:rPr>
          <w:b/>
        </w:rPr>
      </w:pPr>
      <w:r w:rsidRPr="00BB0D9A">
        <w:t>sākotnējā</w:t>
      </w:r>
      <w:r w:rsidR="002D3306" w:rsidRPr="00BB0D9A">
        <w:t>s</w:t>
      </w:r>
      <w:r w:rsidRPr="00BB0D9A">
        <w:t xml:space="preserve"> ietekmes novērtējuma ziņojums (anotācija)</w:t>
      </w: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4556"/>
        <w:gridCol w:w="4758"/>
      </w:tblGrid>
      <w:tr w:rsidR="00852042" w:rsidRPr="00BB0D9A" w:rsidTr="00627A5A">
        <w:tc>
          <w:tcPr>
            <w:tcW w:w="9745" w:type="dxa"/>
            <w:gridSpan w:val="3"/>
            <w:vAlign w:val="center"/>
          </w:tcPr>
          <w:p w:rsidR="00852042" w:rsidRPr="00BB0D9A" w:rsidRDefault="00852042" w:rsidP="00FB4446">
            <w:pPr>
              <w:pStyle w:val="naisnod"/>
              <w:numPr>
                <w:ilvl w:val="0"/>
                <w:numId w:val="20"/>
              </w:numPr>
              <w:spacing w:before="0" w:after="0"/>
            </w:pPr>
            <w:r w:rsidRPr="00BB0D9A">
              <w:t xml:space="preserve">Tiesību akta </w:t>
            </w:r>
            <w:r w:rsidR="002E3FF4" w:rsidRPr="00BB0D9A">
              <w:t xml:space="preserve">projekta </w:t>
            </w:r>
            <w:r w:rsidRPr="00BB0D9A">
              <w:t>izstrādes nepieciešamība</w:t>
            </w:r>
          </w:p>
          <w:p w:rsidR="00AB1914" w:rsidRPr="00BB0D9A" w:rsidRDefault="00AB1914" w:rsidP="00FB4446">
            <w:pPr>
              <w:pStyle w:val="naisnod"/>
              <w:spacing w:before="0" w:after="0"/>
              <w:ind w:left="360"/>
              <w:jc w:val="both"/>
            </w:pPr>
          </w:p>
        </w:tc>
      </w:tr>
      <w:tr w:rsidR="00262E2B" w:rsidRPr="00BB0D9A" w:rsidTr="00627A5A">
        <w:trPr>
          <w:trHeight w:val="630"/>
        </w:trPr>
        <w:tc>
          <w:tcPr>
            <w:tcW w:w="431" w:type="dxa"/>
          </w:tcPr>
          <w:p w:rsidR="00262E2B" w:rsidRPr="00BB0D9A" w:rsidRDefault="00262E2B" w:rsidP="00FB4446">
            <w:pPr>
              <w:pStyle w:val="naiskr"/>
              <w:spacing w:before="0" w:after="0"/>
              <w:jc w:val="center"/>
            </w:pPr>
            <w:r w:rsidRPr="00BB0D9A">
              <w:t>1.</w:t>
            </w:r>
          </w:p>
        </w:tc>
        <w:tc>
          <w:tcPr>
            <w:tcW w:w="4556" w:type="dxa"/>
          </w:tcPr>
          <w:p w:rsidR="00262E2B" w:rsidRPr="00BB0D9A" w:rsidRDefault="002D7F54" w:rsidP="006D4C86">
            <w:pPr>
              <w:pStyle w:val="naiskr"/>
              <w:spacing w:before="0" w:after="0"/>
              <w:ind w:firstLine="141"/>
              <w:jc w:val="both"/>
            </w:pPr>
            <w:r w:rsidRPr="00BB0D9A">
              <w:t>Pamatojums</w:t>
            </w:r>
          </w:p>
        </w:tc>
        <w:tc>
          <w:tcPr>
            <w:tcW w:w="4758" w:type="dxa"/>
          </w:tcPr>
          <w:p w:rsidR="00262E2B" w:rsidRPr="00BB0D9A" w:rsidRDefault="009F0C3D" w:rsidP="00FB4446">
            <w:pPr>
              <w:pStyle w:val="naiskr"/>
              <w:spacing w:before="0" w:after="0"/>
              <w:ind w:left="102" w:right="81" w:firstLine="283"/>
              <w:jc w:val="both"/>
            </w:pPr>
            <w:r w:rsidRPr="00BB0D9A">
              <w:t>Preču un pakalpojumu drošuma likuma 8.</w:t>
            </w:r>
            <w:r w:rsidRPr="00BB0D9A">
              <w:rPr>
                <w:vertAlign w:val="superscript"/>
              </w:rPr>
              <w:t>1</w:t>
            </w:r>
            <w:r w:rsidRPr="00BB0D9A">
              <w:t>pants</w:t>
            </w:r>
            <w:r w:rsidR="0097313A" w:rsidRPr="00BB0D9A">
              <w:t>.</w:t>
            </w:r>
            <w:r w:rsidRPr="00BB0D9A">
              <w:t xml:space="preserve"> </w:t>
            </w:r>
          </w:p>
        </w:tc>
      </w:tr>
      <w:tr w:rsidR="00262E2B" w:rsidRPr="00BB0D9A" w:rsidTr="00627A5A">
        <w:trPr>
          <w:trHeight w:val="472"/>
        </w:trPr>
        <w:tc>
          <w:tcPr>
            <w:tcW w:w="431" w:type="dxa"/>
          </w:tcPr>
          <w:p w:rsidR="00262E2B" w:rsidRPr="00BB0D9A" w:rsidRDefault="00262E2B" w:rsidP="00FB4446">
            <w:pPr>
              <w:pStyle w:val="naiskr"/>
              <w:spacing w:before="0" w:after="0"/>
              <w:jc w:val="center"/>
            </w:pPr>
            <w:r w:rsidRPr="00BB0D9A">
              <w:t>2.</w:t>
            </w:r>
          </w:p>
        </w:tc>
        <w:tc>
          <w:tcPr>
            <w:tcW w:w="4556" w:type="dxa"/>
          </w:tcPr>
          <w:p w:rsidR="00262E2B" w:rsidRPr="00BB0D9A" w:rsidRDefault="00262E2B" w:rsidP="00FB4446">
            <w:pPr>
              <w:pStyle w:val="naiskr"/>
              <w:tabs>
                <w:tab w:val="left" w:pos="170"/>
              </w:tabs>
              <w:spacing w:before="0" w:after="0"/>
              <w:ind w:left="142" w:right="141"/>
              <w:jc w:val="both"/>
            </w:pPr>
            <w:r w:rsidRPr="00BB0D9A">
              <w:t>Pašreizējā situācija</w:t>
            </w:r>
            <w:r w:rsidR="001F5CD6" w:rsidRPr="00BB0D9A">
              <w:t xml:space="preserve"> un problēmas</w:t>
            </w:r>
            <w:r w:rsidR="001D71BC" w:rsidRPr="00BB0D9A">
              <w:t>, kuru risināšanai tiesību akta projekts izstrādāts, tiesiskā regulējuma mērķis un būtība</w:t>
            </w:r>
          </w:p>
        </w:tc>
        <w:tc>
          <w:tcPr>
            <w:tcW w:w="4758" w:type="dxa"/>
          </w:tcPr>
          <w:p w:rsidR="002A5FA9" w:rsidRPr="00BB0D9A" w:rsidRDefault="00627A5A" w:rsidP="002A5FA9">
            <w:pPr>
              <w:pStyle w:val="naiskr"/>
              <w:ind w:left="102" w:right="81" w:firstLine="283"/>
              <w:jc w:val="both"/>
            </w:pPr>
            <w:r w:rsidRPr="00BB0D9A">
              <w:rPr>
                <w:iCs/>
              </w:rPr>
              <w:t>Prasības attiecībā uz gāzes balonu apriti ir noteiktas Ministru kabineta 2014.gada 9.decembra noteikumos Nr.755 „Gāzes balonu aprites, uzraudzības un kontroles kārtība”</w:t>
            </w:r>
            <w:r w:rsidR="00B766F6" w:rsidRPr="00BB0D9A">
              <w:rPr>
                <w:iCs/>
              </w:rPr>
              <w:t xml:space="preserve"> (turpmāk – Noteikumi)</w:t>
            </w:r>
            <w:r w:rsidRPr="00BB0D9A">
              <w:rPr>
                <w:iCs/>
              </w:rPr>
              <w:t>, kuri stāsies spēkā 2015.gada 31.martā.</w:t>
            </w:r>
            <w:r w:rsidR="0098724F" w:rsidRPr="00BB0D9A">
              <w:t xml:space="preserve"> </w:t>
            </w:r>
            <w:r w:rsidR="00B766F6" w:rsidRPr="00BB0D9A">
              <w:t xml:space="preserve">Noteikumi </w:t>
            </w:r>
            <w:r w:rsidR="0098724F" w:rsidRPr="00BB0D9A">
              <w:t xml:space="preserve">nosaka atkārtoti uzpildāmu gāzes balonu aprites, uzraudzības un kontroles kārtību. </w:t>
            </w:r>
            <w:r w:rsidR="0049633C" w:rsidRPr="00BB0D9A">
              <w:t xml:space="preserve">Noteikumu spēkā stāšanās termiņš tika pieskaņots gāzes balonu parka nomaiņas brīdim, proti, brīdim, kad vecie, Eiropas Savienības tehniskajām prasībām neatbilstošie gāzes baloni tiktu nomainīti pret jaunajiem baloniem, kuriem ir veikta atbilstības novērtēšana vai pārvērtēšana, kā arī tie ir marķēti ar atbilstību apliecinošo marķējumu – “Pī” zīmi. </w:t>
            </w:r>
            <w:r w:rsidR="0098724F" w:rsidRPr="00BB0D9A">
              <w:t>Galvenokā</w:t>
            </w:r>
            <w:r w:rsidR="00B766F6" w:rsidRPr="00BB0D9A">
              <w:t>rt ar N</w:t>
            </w:r>
            <w:r w:rsidR="0098724F" w:rsidRPr="00BB0D9A">
              <w:t>oteikum</w:t>
            </w:r>
            <w:r w:rsidR="00B766F6" w:rsidRPr="00BB0D9A">
              <w:t>iem</w:t>
            </w:r>
            <w:r w:rsidR="0098724F" w:rsidRPr="00BB0D9A">
              <w:t xml:space="preserve"> projektu </w:t>
            </w:r>
            <w:r w:rsidR="00B766F6" w:rsidRPr="00BB0D9A">
              <w:t>bija plānots atrisināt līdz šim neskaidros</w:t>
            </w:r>
            <w:r w:rsidR="0098724F" w:rsidRPr="00BB0D9A">
              <w:t xml:space="preserve"> jautājums gāzes balonu</w:t>
            </w:r>
            <w:r w:rsidR="00271614" w:rsidRPr="00BB0D9A">
              <w:t xml:space="preserve"> apritē, proti, faktu, ka gāzes balonu ceļo no personas pie personas līdzīgi kā tukšo pudeļu tara un par gāzes baloniem nav konkrētas atbildīgās personas. Noteikumos primārais mērķis bija panākt, ka gāzes baloni pieder kompānijām un tie tiek nodoti patērētājiem lietošanā. Atbilstoši gāzes balonu lietotājs ir tiesīgs apmainīt tukšu gāzes balonu pret pilnu tās pašas atbildīgās personas gāzes balonu. Vienlaikus, ņemot vērā apstākli, ka jau šobrīd iedzīvotājiem ir savi baloni, tad noteikumos tika paredzēta iespēja, ka arī lietotājs var būt sava gāzes balona īpašnieks, taču šādā gadījumā viņš nav tiesīgs apmainīt savu balonu, bet gan var to no dot tikai uzpildei un saņemt atpakaļ to pašu balonu. Noteikumu redakcija tika saskaņota ar </w:t>
            </w:r>
            <w:r w:rsidR="00251AFD" w:rsidRPr="00BB0D9A">
              <w:t>gāzes balonu tirgū iesaistīto komersantu asociācijām un šāda iniciatīva gāzes balonu tirgus sakārtošanai tika atbalstīta no viņu puses. Taču, risinot jautājumus par Noteikumu tiesību normu praktisko piemērošanu, šobr</w:t>
            </w:r>
            <w:r w:rsidR="00996B50" w:rsidRPr="00BB0D9A">
              <w:t>īd</w:t>
            </w:r>
            <w:r w:rsidR="0049633C" w:rsidRPr="00BB0D9A">
              <w:t xml:space="preserve"> komersanti</w:t>
            </w:r>
            <w:r w:rsidR="00996B50" w:rsidRPr="00BB0D9A">
              <w:t xml:space="preserve"> saskata </w:t>
            </w:r>
            <w:r w:rsidR="007A11D4" w:rsidRPr="00BB0D9A">
              <w:t>būtiskus šķērslis</w:t>
            </w:r>
            <w:r w:rsidR="0049633C" w:rsidRPr="00BB0D9A">
              <w:t xml:space="preserve"> jaunā regulējuma ieviešanā</w:t>
            </w:r>
            <w:r w:rsidR="007A11D4" w:rsidRPr="00BB0D9A">
              <w:t xml:space="preserve"> </w:t>
            </w:r>
            <w:r w:rsidR="00996B50" w:rsidRPr="00BB0D9A">
              <w:t xml:space="preserve">un tāpēc praktiski neplāno nodot </w:t>
            </w:r>
            <w:r w:rsidR="00996B50" w:rsidRPr="00BB0D9A">
              <w:lastRenderedPageBreak/>
              <w:t>gāzes balonu lietošanā patērētājiem</w:t>
            </w:r>
            <w:r w:rsidR="006E31AA" w:rsidRPr="00BB0D9A">
              <w:t>, bet gan plāno tos tirgot</w:t>
            </w:r>
            <w:r w:rsidR="002A5FA9" w:rsidRPr="00BB0D9A">
              <w:t xml:space="preserve">.  Komersanti norāda, ka nodošanu lietošanā apgrūtina apstāklis, ka gāzes baloni tiek tirgoti caur starpniekiem, piemēram, degvielas uzpildes stacijām, ka arī lietošanā nodoto gāzes balonu uzskaite ir jāveido no jauna, kas prasītu ievērojamus administratīvos un finanšu resursus. Pēc pašreizējā Noteikumu regulējuma tas nozīmē, ka </w:t>
            </w:r>
            <w:r w:rsidR="00996B50" w:rsidRPr="00BB0D9A">
              <w:t>cilvēki būs spiesti iegādāties vismaz divus balonus,</w:t>
            </w:r>
            <w:r w:rsidR="007A11D4" w:rsidRPr="00BB0D9A">
              <w:t xml:space="preserve"> kurus pamīšus nodos uzpildei,</w:t>
            </w:r>
            <w:r w:rsidR="00996B50" w:rsidRPr="00BB0D9A">
              <w:t xml:space="preserve"> lai varētu lietot </w:t>
            </w:r>
            <w:r w:rsidR="002A5FA9" w:rsidRPr="00BB0D9A">
              <w:t>gāzi</w:t>
            </w:r>
            <w:r w:rsidR="007A11D4" w:rsidRPr="00BB0D9A">
              <w:t xml:space="preserve"> </w:t>
            </w:r>
            <w:r w:rsidR="00996B50" w:rsidRPr="00BB0D9A">
              <w:t>bez pārtraukumiem</w:t>
            </w:r>
            <w:r w:rsidR="007A11D4" w:rsidRPr="00BB0D9A">
              <w:t xml:space="preserve">. </w:t>
            </w:r>
          </w:p>
          <w:p w:rsidR="006E31AA" w:rsidRPr="00BB0D9A" w:rsidRDefault="007A11D4" w:rsidP="002A5FA9">
            <w:pPr>
              <w:pStyle w:val="naiskr"/>
              <w:ind w:left="102" w:right="81" w:firstLine="283"/>
              <w:jc w:val="both"/>
            </w:pPr>
            <w:r w:rsidRPr="00BB0D9A">
              <w:t>Apkopojot šī brīža gāzes balonu tirgotāju piedāvājumus, secināms, ka 27 litru gāzes balona cena svārstās no 35 līdz 55 EUR, savukārt 46 litru gāzes balonu cena svārstās no 65 – 90 EUR. Gāzes balonu gāzi pēc Centrālās statistikas pārvaldes informācijas lietu aptuveni 35% no Latvijas mājsaimniecībām. Turklāt lielu daļu no tām veido lauku</w:t>
            </w:r>
            <w:r w:rsidR="006E31AA" w:rsidRPr="00BB0D9A">
              <w:t xml:space="preserve"> iedzīvotāju</w:t>
            </w:r>
            <w:r w:rsidRPr="00BB0D9A">
              <w:t xml:space="preserve"> un sociāli neaizsargāt</w:t>
            </w:r>
            <w:r w:rsidR="006E31AA" w:rsidRPr="00BB0D9A">
              <w:t>o</w:t>
            </w:r>
            <w:r w:rsidRPr="00BB0D9A">
              <w:t xml:space="preserve"> iedzīvot</w:t>
            </w:r>
            <w:r w:rsidR="006E31AA" w:rsidRPr="00BB0D9A">
              <w:t>āju grupa</w:t>
            </w:r>
            <w:r w:rsidRPr="00BB0D9A">
              <w:t>. Tāpēc vismaz divu gāzes balonu iegāde šiem iedzīvotājiem</w:t>
            </w:r>
            <w:r w:rsidR="002A5FA9" w:rsidRPr="00BB0D9A">
              <w:t xml:space="preserve"> radītu būtisku finansiālo slogu</w:t>
            </w:r>
            <w:r w:rsidRPr="00BB0D9A">
              <w:t>, kas  varētu arī novest pie situācijas, ka iedzīvot</w:t>
            </w:r>
            <w:r w:rsidR="006E31AA" w:rsidRPr="00BB0D9A">
              <w:t>āji</w:t>
            </w:r>
            <w:r w:rsidRPr="00BB0D9A">
              <w:t xml:space="preserve"> finanšu līdzekļu ekonomijas nolūkos neiegādājās gāzes balonus pie legālajiem gāzes balonu tirgotājiem, bet gan izmanto nelegālo tirgotāju pakalpojumus.</w:t>
            </w:r>
          </w:p>
          <w:p w:rsidR="00F6085F" w:rsidRPr="00BB0D9A" w:rsidRDefault="0049633C" w:rsidP="002A5FA9">
            <w:pPr>
              <w:pStyle w:val="naiskr"/>
              <w:spacing w:before="0" w:after="0"/>
              <w:ind w:left="102" w:right="81" w:firstLine="283"/>
              <w:jc w:val="both"/>
            </w:pPr>
            <w:r w:rsidRPr="00BB0D9A">
              <w:t>Ievērojot minēto, ir izstrādāts noteikumu projekts, kas precizē, ka</w:t>
            </w:r>
            <w:r w:rsidR="00F6085F" w:rsidRPr="00BB0D9A">
              <w:t>:</w:t>
            </w:r>
          </w:p>
          <w:p w:rsidR="002A5FA9" w:rsidRPr="00BB0D9A" w:rsidRDefault="00F6085F" w:rsidP="002A5FA9">
            <w:pPr>
              <w:pStyle w:val="naiskr"/>
              <w:spacing w:before="0" w:after="0"/>
              <w:ind w:left="102" w:right="81" w:firstLine="283"/>
              <w:jc w:val="both"/>
            </w:pPr>
            <w:r w:rsidRPr="00BB0D9A">
              <w:t>1)</w:t>
            </w:r>
            <w:r w:rsidR="0049633C" w:rsidRPr="00BB0D9A">
              <w:t xml:space="preserve"> Noteikumi tiks attiecināti tikai uz gāzes baloniem, kuriem atbilstoši normatīvajiem aktiem par transportējamām spiedieniekārtām ir veikta atbilstības novērtēšana vai atkārtota atbilstības novērtēšana un tie ir marķēti ar atbilstību apliecinošo marķējumu – „Pī” zīmi, proti, uz visiem jaunajiem gāzes baloniem. </w:t>
            </w:r>
          </w:p>
          <w:p w:rsidR="00F6085F" w:rsidRPr="00BB0D9A" w:rsidRDefault="00F6085F" w:rsidP="00F6085F">
            <w:pPr>
              <w:pStyle w:val="naiskr"/>
              <w:spacing w:before="0" w:after="0"/>
              <w:ind w:left="102" w:right="81" w:firstLine="283"/>
              <w:jc w:val="both"/>
            </w:pPr>
            <w:r w:rsidRPr="00BB0D9A">
              <w:t xml:space="preserve">2) </w:t>
            </w:r>
            <w:r w:rsidR="0049633C" w:rsidRPr="00BB0D9A">
              <w:t xml:space="preserve">Vienlaikus noteikumu projektā tiek atvieglotas prasības tukšu gāzes balonu nomaiņai pret pilniem. </w:t>
            </w:r>
            <w:r w:rsidR="00C637A0" w:rsidRPr="00BB0D9A">
              <w:t>Tādējādi novēršot risku, ka patērētājam nav iespējams veikt tukša balona apmaiņu pret pilnu</w:t>
            </w:r>
            <w:r w:rsidRPr="00BB0D9A">
              <w:t>, kā arī novērsta situācija, ka gāzes balonu lietotājam ir jāiegādājas no atbildīgās personas divi gāzes baloni (tirdzniecības pakalpojuma gadījumā)</w:t>
            </w:r>
            <w:r w:rsidR="00C637A0" w:rsidRPr="00BB0D9A">
              <w:t>. Gāzes balonu nomaiņas prasību atvieglošana neradītu negatīvu ietekmi uz gāzes balonu aprites kontroli, jo tirdzniecības vietā tukšo gāzes balonu uzglabāšanas vietā varēs būt arī citu atbildīgo personu gāzes balon</w:t>
            </w:r>
            <w:r w:rsidRPr="00BB0D9A">
              <w:t>i</w:t>
            </w:r>
            <w:r w:rsidR="002A5FA9" w:rsidRPr="00BB0D9A">
              <w:t>,</w:t>
            </w:r>
            <w:r w:rsidR="00C637A0" w:rsidRPr="00BB0D9A">
              <w:t xml:space="preserve"> par kuriem attiecīgais tirgotājs nav paziņojis reģistrācijas </w:t>
            </w:r>
            <w:r w:rsidR="00C637A0" w:rsidRPr="00BB0D9A">
              <w:lastRenderedPageBreak/>
              <w:t xml:space="preserve">brīdī, savukārt pilno gāzes balonu konteinerā varēs atrasties tikai konkrētās atbildīgās personas gāzes baloni. </w:t>
            </w:r>
            <w:r w:rsidR="0049633C" w:rsidRPr="00BB0D9A">
              <w:t xml:space="preserve"> </w:t>
            </w:r>
          </w:p>
          <w:p w:rsidR="00D11E05" w:rsidRPr="00BB0D9A" w:rsidRDefault="00F6085F" w:rsidP="00D4006E">
            <w:pPr>
              <w:pStyle w:val="naiskr"/>
              <w:spacing w:before="0" w:after="0"/>
              <w:ind w:left="102" w:right="81" w:firstLine="283"/>
              <w:jc w:val="both"/>
            </w:pPr>
            <w:r w:rsidRPr="00BB0D9A">
              <w:t xml:space="preserve">3) </w:t>
            </w:r>
            <w:r w:rsidR="00D4006E" w:rsidRPr="00BB0D9A">
              <w:t xml:space="preserve">Lai mazinātu tūlītēju negatīvo finansiālo ietekmi uz gāzes balonu lietotājiem, </w:t>
            </w:r>
            <w:r w:rsidR="00C637A0" w:rsidRPr="00BB0D9A">
              <w:t>noteikumu projekts uzliek papildus pienākumu atbildīgajām personām nodrošināt gāzes balonu nomas pakalpojumu, kā arī gāzes balonu periodisko inspicēšanu veikšanu.</w:t>
            </w:r>
          </w:p>
          <w:p w:rsidR="00BA227C" w:rsidRPr="00BB0D9A" w:rsidRDefault="00D11E05" w:rsidP="00D11E05">
            <w:pPr>
              <w:pStyle w:val="naiskr"/>
              <w:spacing w:before="0" w:after="0"/>
              <w:ind w:left="102" w:right="81" w:firstLine="283"/>
              <w:jc w:val="both"/>
            </w:pPr>
            <w:r w:rsidRPr="00BB0D9A">
              <w:t xml:space="preserve">4) Ņemot vērā, ka noteikumu projektā tiek   atvieglotas prasības tukšu gāzes balonu nomaiņai pret pilniem, zūd nepieciešamība pēc lietotāju gāzes balonu aprites reglamentācijas, līdz ar to noteikumos tiek svītrota apakšnodaļa, kas nosaka papildus prasības lietotāju gāzes balonu apritei. </w:t>
            </w:r>
            <w:r w:rsidR="00C637A0" w:rsidRPr="00BB0D9A">
              <w:t xml:space="preserve"> </w:t>
            </w:r>
          </w:p>
        </w:tc>
      </w:tr>
      <w:tr w:rsidR="00262E2B" w:rsidRPr="00BB0D9A" w:rsidTr="00627A5A">
        <w:trPr>
          <w:trHeight w:val="870"/>
        </w:trPr>
        <w:tc>
          <w:tcPr>
            <w:tcW w:w="431" w:type="dxa"/>
          </w:tcPr>
          <w:p w:rsidR="00262E2B" w:rsidRPr="00BB0D9A" w:rsidRDefault="00262E2B" w:rsidP="00FB4446">
            <w:pPr>
              <w:pStyle w:val="naiskr"/>
              <w:spacing w:before="0" w:after="0"/>
              <w:jc w:val="center"/>
            </w:pPr>
            <w:r w:rsidRPr="00BB0D9A">
              <w:lastRenderedPageBreak/>
              <w:t>3.</w:t>
            </w:r>
          </w:p>
        </w:tc>
        <w:tc>
          <w:tcPr>
            <w:tcW w:w="4556" w:type="dxa"/>
          </w:tcPr>
          <w:p w:rsidR="00BA227C" w:rsidRPr="00BB0D9A" w:rsidRDefault="007E4D9D" w:rsidP="00FB4446">
            <w:pPr>
              <w:pStyle w:val="naiskr"/>
              <w:spacing w:before="0" w:after="0"/>
              <w:jc w:val="both"/>
            </w:pPr>
            <w:r w:rsidRPr="00BB0D9A">
              <w:t>Projekta izstrādē iesaistītās institūcijas</w:t>
            </w:r>
          </w:p>
          <w:p w:rsidR="00BA227C" w:rsidRPr="00BB0D9A" w:rsidRDefault="00BA227C" w:rsidP="00FB4446"/>
          <w:p w:rsidR="00262E2B" w:rsidRPr="00BB0D9A" w:rsidRDefault="00BA227C" w:rsidP="00FB4446">
            <w:pPr>
              <w:tabs>
                <w:tab w:val="left" w:pos="2715"/>
              </w:tabs>
            </w:pPr>
            <w:r w:rsidRPr="00BB0D9A">
              <w:tab/>
            </w:r>
          </w:p>
        </w:tc>
        <w:tc>
          <w:tcPr>
            <w:tcW w:w="4758" w:type="dxa"/>
          </w:tcPr>
          <w:p w:rsidR="00D20FF4" w:rsidRPr="00BB0D9A" w:rsidRDefault="00627A5A" w:rsidP="00627A5A">
            <w:pPr>
              <w:pStyle w:val="FootnoteText"/>
              <w:ind w:left="102" w:right="81" w:firstLine="283"/>
              <w:jc w:val="both"/>
              <w:rPr>
                <w:sz w:val="24"/>
                <w:szCs w:val="24"/>
              </w:rPr>
            </w:pPr>
            <w:r w:rsidRPr="00BB0D9A">
              <w:rPr>
                <w:sz w:val="24"/>
                <w:szCs w:val="24"/>
              </w:rPr>
              <w:t>Latvijas gāzes asociācija, Latvijas sašķidrinātās naftas gāzes asociācija, Latvijas Degvielas tirgotāju asociācija, Degvielas tirgotāju un ražotāju savienība, Latvijas Ķīmijas un farmācijas uzņēmēju asociācija</w:t>
            </w:r>
            <w:r w:rsidR="0083623F" w:rsidRPr="00BB0D9A">
              <w:rPr>
                <w:sz w:val="24"/>
                <w:szCs w:val="24"/>
              </w:rPr>
              <w:t xml:space="preserve">, </w:t>
            </w:r>
            <w:r w:rsidR="00BA227C" w:rsidRPr="00BB0D9A">
              <w:rPr>
                <w:sz w:val="24"/>
                <w:szCs w:val="24"/>
              </w:rPr>
              <w:t>Patērētāju tiesību aizsardzības centrs un Tehnisko ekspertu asociācija</w:t>
            </w:r>
          </w:p>
        </w:tc>
      </w:tr>
      <w:tr w:rsidR="00262E2B" w:rsidRPr="00BB0D9A" w:rsidTr="00627A5A">
        <w:tc>
          <w:tcPr>
            <w:tcW w:w="431" w:type="dxa"/>
          </w:tcPr>
          <w:p w:rsidR="00262E2B" w:rsidRPr="00BB0D9A" w:rsidRDefault="00BA227C" w:rsidP="00FB4446">
            <w:pPr>
              <w:pStyle w:val="naiskr"/>
              <w:spacing w:before="0" w:after="0"/>
              <w:jc w:val="center"/>
            </w:pPr>
            <w:r w:rsidRPr="00BB0D9A">
              <w:t>4</w:t>
            </w:r>
            <w:r w:rsidR="00262E2B" w:rsidRPr="00BB0D9A">
              <w:t>.</w:t>
            </w:r>
          </w:p>
        </w:tc>
        <w:tc>
          <w:tcPr>
            <w:tcW w:w="4556" w:type="dxa"/>
          </w:tcPr>
          <w:p w:rsidR="00262E2B" w:rsidRPr="00BB0D9A" w:rsidRDefault="00262E2B" w:rsidP="00FB4446">
            <w:pPr>
              <w:pStyle w:val="naiskr"/>
              <w:spacing w:before="0" w:after="0"/>
              <w:jc w:val="both"/>
            </w:pPr>
            <w:r w:rsidRPr="00BB0D9A">
              <w:t>Cita informācija</w:t>
            </w:r>
          </w:p>
        </w:tc>
        <w:tc>
          <w:tcPr>
            <w:tcW w:w="4758" w:type="dxa"/>
          </w:tcPr>
          <w:p w:rsidR="00D53D9B" w:rsidRPr="00BB0D9A" w:rsidRDefault="00BB0D9A" w:rsidP="0083623F">
            <w:pPr>
              <w:pStyle w:val="naisc"/>
              <w:spacing w:before="0" w:after="0"/>
              <w:ind w:left="141" w:right="81"/>
              <w:jc w:val="both"/>
            </w:pPr>
            <w:r w:rsidRPr="00BB0D9A">
              <w:rPr>
                <w:iCs/>
              </w:rPr>
              <w:t>Noteikumu projekts ir saistīts ar grozījumiem Ministru kabineta 2011.gada 28.jūnija noteikumos Nr.500 „Noteikumi par transportējamām spiedieniekārtām” un Ministru kabineta 2011.gada 13.decembra noteikumos Nr.960 „Noteikumi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p>
        </w:tc>
      </w:tr>
    </w:tbl>
    <w:p w:rsidR="00852042" w:rsidRPr="00BB0D9A" w:rsidRDefault="00852042" w:rsidP="00B06598"/>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4110"/>
        <w:gridCol w:w="5217"/>
      </w:tblGrid>
      <w:tr w:rsidR="0062298A" w:rsidRPr="00BB0D9A" w:rsidTr="00FD2A8A">
        <w:tc>
          <w:tcPr>
            <w:tcW w:w="9758" w:type="dxa"/>
            <w:gridSpan w:val="3"/>
            <w:vAlign w:val="center"/>
          </w:tcPr>
          <w:p w:rsidR="0062298A" w:rsidRPr="00BB0D9A" w:rsidRDefault="0062298A" w:rsidP="00FB4446">
            <w:pPr>
              <w:pStyle w:val="naisnod"/>
              <w:numPr>
                <w:ilvl w:val="0"/>
                <w:numId w:val="20"/>
              </w:numPr>
              <w:spacing w:before="0" w:after="0"/>
            </w:pPr>
            <w:r w:rsidRPr="00BB0D9A">
              <w:t>Tiesību akta projekta ietekme uz sabiedrību</w:t>
            </w:r>
            <w:r w:rsidR="00107AD5" w:rsidRPr="00BB0D9A">
              <w:t>, tautsaimniecības attīstību un administratīvo slogu</w:t>
            </w:r>
          </w:p>
          <w:p w:rsidR="00AB1914" w:rsidRPr="00BB0D9A" w:rsidRDefault="00AB1914" w:rsidP="00FB4446">
            <w:pPr>
              <w:pStyle w:val="naisnod"/>
              <w:spacing w:before="0" w:after="0"/>
              <w:ind w:left="1080"/>
              <w:jc w:val="left"/>
            </w:pPr>
          </w:p>
        </w:tc>
      </w:tr>
      <w:tr w:rsidR="0062298A" w:rsidRPr="00BB0D9A" w:rsidTr="00FB4446">
        <w:trPr>
          <w:trHeight w:val="467"/>
        </w:trPr>
        <w:tc>
          <w:tcPr>
            <w:tcW w:w="431" w:type="dxa"/>
          </w:tcPr>
          <w:p w:rsidR="0062298A" w:rsidRPr="00BB0D9A" w:rsidRDefault="0062298A" w:rsidP="00FB4446">
            <w:pPr>
              <w:pStyle w:val="naiskr"/>
              <w:spacing w:before="0" w:after="0"/>
              <w:jc w:val="center"/>
            </w:pPr>
            <w:r w:rsidRPr="00BB0D9A">
              <w:t>1.</w:t>
            </w:r>
          </w:p>
        </w:tc>
        <w:tc>
          <w:tcPr>
            <w:tcW w:w="4110" w:type="dxa"/>
          </w:tcPr>
          <w:p w:rsidR="0062298A" w:rsidRPr="00BB0D9A" w:rsidRDefault="00C27A08" w:rsidP="009D7140">
            <w:pPr>
              <w:pStyle w:val="naiskr"/>
              <w:spacing w:before="0" w:after="0"/>
              <w:ind w:left="141"/>
            </w:pPr>
            <w:r w:rsidRPr="00BB0D9A">
              <w:t>Sabiedrības mērķgrupa</w:t>
            </w:r>
            <w:r w:rsidR="00107AD5" w:rsidRPr="00BB0D9A">
              <w:t>s, kuras tiesiskais regulējums ietekmē vai varētu ietekmēt</w:t>
            </w:r>
          </w:p>
          <w:p w:rsidR="00AB1914" w:rsidRPr="00BB0D9A" w:rsidRDefault="00AB1914" w:rsidP="009D7140">
            <w:pPr>
              <w:pStyle w:val="naiskr"/>
              <w:spacing w:before="0" w:after="0"/>
              <w:ind w:left="141"/>
            </w:pPr>
          </w:p>
        </w:tc>
        <w:tc>
          <w:tcPr>
            <w:tcW w:w="5217" w:type="dxa"/>
          </w:tcPr>
          <w:p w:rsidR="0062298A" w:rsidRPr="00BB0D9A" w:rsidRDefault="00A3094A" w:rsidP="006027F4">
            <w:pPr>
              <w:pStyle w:val="naiskr"/>
              <w:spacing w:before="0" w:after="0"/>
              <w:ind w:right="114" w:firstLine="425"/>
              <w:jc w:val="both"/>
            </w:pPr>
            <w:r w:rsidRPr="00BB0D9A">
              <w:rPr>
                <w:iCs/>
              </w:rPr>
              <w:t>Atbildīgās personas</w:t>
            </w:r>
            <w:r w:rsidR="006027F4" w:rsidRPr="00BB0D9A">
              <w:rPr>
                <w:iCs/>
              </w:rPr>
              <w:t xml:space="preserve">, kuras organizē gāzes balonu uzpildīšanu un piedāvāšanu gāzes balonu </w:t>
            </w:r>
            <w:r w:rsidRPr="00BB0D9A">
              <w:rPr>
                <w:iCs/>
              </w:rPr>
              <w:t xml:space="preserve"> tirgotājiem vai gāzes balonu lietotājiem, g</w:t>
            </w:r>
            <w:r w:rsidR="00040F4C" w:rsidRPr="00BB0D9A">
              <w:rPr>
                <w:iCs/>
              </w:rPr>
              <w:t>āzes balonu tirgotāji un lietotāji</w:t>
            </w:r>
            <w:r w:rsidR="00711FA9" w:rsidRPr="00BB0D9A">
              <w:rPr>
                <w:iCs/>
              </w:rPr>
              <w:t xml:space="preserve"> </w:t>
            </w:r>
          </w:p>
        </w:tc>
      </w:tr>
      <w:tr w:rsidR="0062298A" w:rsidRPr="00BB0D9A" w:rsidTr="00FB4446">
        <w:trPr>
          <w:trHeight w:val="523"/>
        </w:trPr>
        <w:tc>
          <w:tcPr>
            <w:tcW w:w="431" w:type="dxa"/>
          </w:tcPr>
          <w:p w:rsidR="0062298A" w:rsidRPr="00BB0D9A" w:rsidRDefault="0062298A" w:rsidP="00FB4446">
            <w:pPr>
              <w:pStyle w:val="naiskr"/>
              <w:spacing w:before="0" w:after="0"/>
              <w:jc w:val="center"/>
            </w:pPr>
            <w:r w:rsidRPr="00BB0D9A">
              <w:t>2.</w:t>
            </w:r>
          </w:p>
        </w:tc>
        <w:tc>
          <w:tcPr>
            <w:tcW w:w="4110" w:type="dxa"/>
          </w:tcPr>
          <w:p w:rsidR="00C1133D" w:rsidRPr="00BB0D9A" w:rsidRDefault="00107AD5" w:rsidP="009D7140">
            <w:pPr>
              <w:pStyle w:val="naiskr"/>
              <w:spacing w:before="0" w:after="0"/>
              <w:ind w:left="141"/>
            </w:pPr>
            <w:r w:rsidRPr="00BB0D9A">
              <w:t>Tiesiskā regulējuma ietekme uz tautsaimniecību un administratīvo slogu</w:t>
            </w:r>
          </w:p>
        </w:tc>
        <w:tc>
          <w:tcPr>
            <w:tcW w:w="5217" w:type="dxa"/>
          </w:tcPr>
          <w:p w:rsidR="008A5808" w:rsidRPr="00BB0D9A" w:rsidRDefault="008A5808" w:rsidP="006027F4">
            <w:pPr>
              <w:pStyle w:val="naiskr"/>
              <w:spacing w:before="0" w:after="0"/>
              <w:ind w:left="142" w:right="114" w:firstLine="283"/>
              <w:jc w:val="both"/>
              <w:rPr>
                <w:iCs/>
              </w:rPr>
            </w:pPr>
            <w:r w:rsidRPr="00BB0D9A">
              <w:rPr>
                <w:iCs/>
              </w:rPr>
              <w:t>Ar projektu tiek atvieglota gāzes balonu aprites kārtība priekš gāzes balonu</w:t>
            </w:r>
            <w:r w:rsidR="0098724F" w:rsidRPr="00BB0D9A">
              <w:rPr>
                <w:iCs/>
              </w:rPr>
              <w:t xml:space="preserve"> lietotājiem un</w:t>
            </w:r>
            <w:r w:rsidRPr="00BB0D9A">
              <w:rPr>
                <w:iCs/>
              </w:rPr>
              <w:t xml:space="preserve"> tirgotājiem, proti, tirgotāju būs tiesīgi pieņemt </w:t>
            </w:r>
            <w:r w:rsidR="00CD4A94" w:rsidRPr="00BB0D9A">
              <w:rPr>
                <w:iCs/>
              </w:rPr>
              <w:t xml:space="preserve">apmaiņai </w:t>
            </w:r>
            <w:r w:rsidRPr="00BB0D9A">
              <w:rPr>
                <w:iCs/>
              </w:rPr>
              <w:t xml:space="preserve">visus </w:t>
            </w:r>
            <w:r w:rsidR="00CD4A94" w:rsidRPr="00BB0D9A">
              <w:rPr>
                <w:iCs/>
              </w:rPr>
              <w:t xml:space="preserve">tukšos </w:t>
            </w:r>
            <w:r w:rsidR="0098724F" w:rsidRPr="00BB0D9A">
              <w:rPr>
                <w:iCs/>
              </w:rPr>
              <w:t xml:space="preserve">lietotāju </w:t>
            </w:r>
            <w:r w:rsidRPr="00BB0D9A">
              <w:rPr>
                <w:iCs/>
              </w:rPr>
              <w:t>gāzes balonu</w:t>
            </w:r>
            <w:r w:rsidR="0098724F" w:rsidRPr="00BB0D9A">
              <w:rPr>
                <w:iCs/>
              </w:rPr>
              <w:t>s</w:t>
            </w:r>
            <w:r w:rsidRPr="00BB0D9A">
              <w:rPr>
                <w:iCs/>
              </w:rPr>
              <w:t xml:space="preserve">, kuri nav tehniski bojāti un atbilst Ministru kabineta 2011.gada 28.jūnija noteikumiem Nr.500 „Noteikumi par transportējamām </w:t>
            </w:r>
            <w:r w:rsidRPr="00BB0D9A">
              <w:rPr>
                <w:iCs/>
              </w:rPr>
              <w:lastRenderedPageBreak/>
              <w:t xml:space="preserve">spiedieniekārtām”, taču pretī tie būs tiesīgi izsniegt </w:t>
            </w:r>
            <w:r w:rsidR="00CD4A94" w:rsidRPr="00BB0D9A">
              <w:rPr>
                <w:iCs/>
              </w:rPr>
              <w:t xml:space="preserve">uzpildītu </w:t>
            </w:r>
            <w:r w:rsidRPr="00BB0D9A">
              <w:rPr>
                <w:iCs/>
              </w:rPr>
              <w:t xml:space="preserve">tās atbildīgās personas gāzes balonu, kurus attiecīgais tirgotājs piedāvā patērētājiem. </w:t>
            </w:r>
            <w:r w:rsidR="00CD4A94" w:rsidRPr="00BB0D9A">
              <w:rPr>
                <w:iCs/>
              </w:rPr>
              <w:t>Neskatoties uz to, ka noteikumu projekta regulējums uzliks papildus pienākumus atbildīgajām personām savstarpēji vienoties par nosacījumiem un kārtību, kādā tiek veikta savstarpējā gāzes balonu apmaiņa, kopumā noteikumu projekts novērš līdzšinējās tirgotāju bažas par regulējuma sarežģītību attiecībā uz gāzes balonu apmaiņas procesu, samazina administratīvo slogu un vienlaikus uzlabo uzņēmējdarbības vidi.</w:t>
            </w:r>
            <w:r w:rsidRPr="00BB0D9A">
              <w:rPr>
                <w:iCs/>
              </w:rPr>
              <w:t xml:space="preserve"> </w:t>
            </w:r>
          </w:p>
          <w:p w:rsidR="00256C82" w:rsidRPr="00BB0D9A" w:rsidRDefault="00CD4A94" w:rsidP="004572AF">
            <w:pPr>
              <w:pStyle w:val="naiskr"/>
              <w:spacing w:before="0" w:after="0"/>
              <w:ind w:left="142" w:right="114" w:firstLine="283"/>
              <w:jc w:val="both"/>
              <w:rPr>
                <w:iCs/>
              </w:rPr>
            </w:pPr>
            <w:r w:rsidRPr="00BB0D9A">
              <w:rPr>
                <w:iCs/>
              </w:rPr>
              <w:t>Administratīvais slogs Patērētāju tiesību aizsardzības centram paliks nemainīgs.</w:t>
            </w:r>
          </w:p>
        </w:tc>
      </w:tr>
      <w:tr w:rsidR="0062298A" w:rsidRPr="00BB0D9A" w:rsidTr="00FB4446">
        <w:trPr>
          <w:trHeight w:val="357"/>
        </w:trPr>
        <w:tc>
          <w:tcPr>
            <w:tcW w:w="431" w:type="dxa"/>
          </w:tcPr>
          <w:p w:rsidR="0062298A" w:rsidRPr="00BB0D9A" w:rsidRDefault="00107AD5" w:rsidP="00FB4446">
            <w:pPr>
              <w:pStyle w:val="naiskr"/>
              <w:spacing w:before="0" w:after="0"/>
              <w:jc w:val="center"/>
            </w:pPr>
            <w:r w:rsidRPr="00BB0D9A">
              <w:lastRenderedPageBreak/>
              <w:t>3</w:t>
            </w:r>
            <w:r w:rsidR="0062298A" w:rsidRPr="00BB0D9A">
              <w:t>.</w:t>
            </w:r>
          </w:p>
        </w:tc>
        <w:tc>
          <w:tcPr>
            <w:tcW w:w="4110" w:type="dxa"/>
          </w:tcPr>
          <w:p w:rsidR="00AE5066" w:rsidRPr="00BB0D9A" w:rsidRDefault="00C27A08" w:rsidP="009D7140">
            <w:pPr>
              <w:pStyle w:val="naiskr"/>
              <w:spacing w:before="0" w:after="0"/>
              <w:ind w:left="141"/>
            </w:pPr>
            <w:r w:rsidRPr="00BB0D9A">
              <w:t xml:space="preserve">Administratīvo izmaksu </w:t>
            </w:r>
            <w:r w:rsidR="00502374" w:rsidRPr="00BB0D9A">
              <w:t xml:space="preserve">monetārs </w:t>
            </w:r>
            <w:r w:rsidRPr="00BB0D9A">
              <w:t>novērtējums</w:t>
            </w:r>
          </w:p>
        </w:tc>
        <w:tc>
          <w:tcPr>
            <w:tcW w:w="5217" w:type="dxa"/>
          </w:tcPr>
          <w:p w:rsidR="004C7FEF" w:rsidRPr="00BB0D9A" w:rsidRDefault="00376BAB" w:rsidP="00CD4A94">
            <w:pPr>
              <w:pStyle w:val="naiskr"/>
              <w:spacing w:before="0" w:after="0"/>
              <w:ind w:left="142" w:right="114" w:firstLine="283"/>
              <w:jc w:val="both"/>
              <w:rPr>
                <w:iCs/>
              </w:rPr>
            </w:pPr>
            <w:r w:rsidRPr="00BB0D9A">
              <w:rPr>
                <w:iCs/>
              </w:rPr>
              <w:t>Projekts šo jomu neskar</w:t>
            </w:r>
          </w:p>
        </w:tc>
      </w:tr>
      <w:tr w:rsidR="0062298A" w:rsidRPr="00BB0D9A" w:rsidTr="00FB4446">
        <w:tc>
          <w:tcPr>
            <w:tcW w:w="431" w:type="dxa"/>
          </w:tcPr>
          <w:p w:rsidR="0062298A" w:rsidRPr="00BB0D9A" w:rsidRDefault="00107AD5" w:rsidP="00FB4446">
            <w:pPr>
              <w:pStyle w:val="naiskr"/>
              <w:spacing w:before="0" w:after="0"/>
              <w:jc w:val="center"/>
            </w:pPr>
            <w:r w:rsidRPr="00BB0D9A">
              <w:t>4</w:t>
            </w:r>
            <w:r w:rsidR="0062298A" w:rsidRPr="00BB0D9A">
              <w:t>.</w:t>
            </w:r>
          </w:p>
        </w:tc>
        <w:tc>
          <w:tcPr>
            <w:tcW w:w="4110" w:type="dxa"/>
          </w:tcPr>
          <w:p w:rsidR="0062298A" w:rsidRPr="00BB0D9A" w:rsidRDefault="009E12D7" w:rsidP="00FB4446">
            <w:pPr>
              <w:pStyle w:val="naiskr"/>
              <w:spacing w:before="0" w:after="0"/>
            </w:pPr>
            <w:r w:rsidRPr="00BB0D9A">
              <w:t>Cita informācija</w:t>
            </w:r>
          </w:p>
        </w:tc>
        <w:tc>
          <w:tcPr>
            <w:tcW w:w="5217" w:type="dxa"/>
          </w:tcPr>
          <w:p w:rsidR="0062298A" w:rsidRPr="00BB0D9A" w:rsidRDefault="000C3B78" w:rsidP="00FB4446">
            <w:pPr>
              <w:pStyle w:val="naiskr"/>
              <w:spacing w:before="0" w:after="0"/>
              <w:ind w:firstLine="425"/>
            </w:pPr>
            <w:r w:rsidRPr="00BB0D9A">
              <w:t>Nav</w:t>
            </w:r>
          </w:p>
          <w:p w:rsidR="00AB1914" w:rsidRPr="00BB0D9A" w:rsidRDefault="00AB1914" w:rsidP="00FB4446">
            <w:pPr>
              <w:pStyle w:val="naiskr"/>
              <w:spacing w:before="0" w:after="0"/>
              <w:ind w:firstLine="425"/>
            </w:pPr>
          </w:p>
        </w:tc>
      </w:tr>
    </w:tbl>
    <w:p w:rsidR="007A13A6" w:rsidRDefault="007A13A6" w:rsidP="00FB4446">
      <w:pPr>
        <w:pStyle w:val="naisf"/>
        <w:spacing w:before="0" w:after="0"/>
        <w:ind w:firstLine="0"/>
        <w:rPr>
          <w:b/>
        </w:rPr>
      </w:pPr>
    </w:p>
    <w:p w:rsidR="00BB0D9A" w:rsidRPr="00BB0D9A" w:rsidRDefault="00BB0D9A" w:rsidP="00FB4446">
      <w:pPr>
        <w:pStyle w:val="naisf"/>
        <w:spacing w:before="0" w:after="0"/>
        <w:ind w:firstLine="0"/>
        <w:rPr>
          <w:b/>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3"/>
        <w:gridCol w:w="3260"/>
        <w:gridCol w:w="6030"/>
      </w:tblGrid>
      <w:tr w:rsidR="00277929" w:rsidRPr="00BB0D9A" w:rsidTr="00EF666B">
        <w:trPr>
          <w:jc w:val="center"/>
        </w:trPr>
        <w:tc>
          <w:tcPr>
            <w:tcW w:w="9793" w:type="dxa"/>
            <w:gridSpan w:val="3"/>
          </w:tcPr>
          <w:p w:rsidR="00277929" w:rsidRPr="00BB0D9A" w:rsidRDefault="00277929" w:rsidP="001374E2">
            <w:pPr>
              <w:pStyle w:val="naisnod"/>
              <w:numPr>
                <w:ilvl w:val="0"/>
                <w:numId w:val="25"/>
              </w:numPr>
              <w:spacing w:before="0" w:after="0"/>
              <w:ind w:right="57"/>
            </w:pPr>
            <w:r w:rsidRPr="00BB0D9A">
              <w:t xml:space="preserve">Sabiedrības līdzdalība un </w:t>
            </w:r>
            <w:r w:rsidR="00F54B82" w:rsidRPr="00BB0D9A">
              <w:t>komunikācijas aktivitātes</w:t>
            </w:r>
          </w:p>
          <w:p w:rsidR="00AB1914" w:rsidRPr="00BB0D9A" w:rsidRDefault="00AB1914" w:rsidP="00FB4446">
            <w:pPr>
              <w:pStyle w:val="naisnod"/>
              <w:spacing w:before="0" w:after="0"/>
              <w:ind w:left="1080" w:right="57"/>
              <w:jc w:val="left"/>
            </w:pPr>
          </w:p>
        </w:tc>
      </w:tr>
      <w:tr w:rsidR="00183CC2" w:rsidRPr="00BB0D9A" w:rsidTr="00FB4446">
        <w:trPr>
          <w:trHeight w:val="553"/>
          <w:jc w:val="center"/>
        </w:trPr>
        <w:tc>
          <w:tcPr>
            <w:tcW w:w="503" w:type="dxa"/>
          </w:tcPr>
          <w:p w:rsidR="00183CC2" w:rsidRPr="00BB0D9A" w:rsidRDefault="00183CC2" w:rsidP="00FB4446">
            <w:pPr>
              <w:pStyle w:val="naiskr"/>
              <w:spacing w:before="0" w:after="0"/>
              <w:ind w:left="57" w:right="57"/>
              <w:jc w:val="center"/>
              <w:rPr>
                <w:bCs/>
              </w:rPr>
            </w:pPr>
            <w:r w:rsidRPr="00BB0D9A">
              <w:rPr>
                <w:bCs/>
              </w:rPr>
              <w:t>1.</w:t>
            </w:r>
          </w:p>
        </w:tc>
        <w:tc>
          <w:tcPr>
            <w:tcW w:w="3260" w:type="dxa"/>
          </w:tcPr>
          <w:p w:rsidR="00183CC2" w:rsidRPr="00BB0D9A" w:rsidRDefault="00F54B82" w:rsidP="00FB4446">
            <w:pPr>
              <w:pStyle w:val="naiskr"/>
              <w:tabs>
                <w:tab w:val="left" w:pos="170"/>
              </w:tabs>
              <w:spacing w:before="0" w:after="0"/>
              <w:ind w:left="57" w:right="57"/>
              <w:rPr>
                <w:highlight w:val="yellow"/>
              </w:rPr>
            </w:pPr>
            <w:r w:rsidRPr="00BB0D9A">
              <w:t>Plānotās sabiedrības līdzdalības un komunikācijas aktivitātes saistībā ar projektu</w:t>
            </w:r>
          </w:p>
        </w:tc>
        <w:tc>
          <w:tcPr>
            <w:tcW w:w="6030" w:type="dxa"/>
          </w:tcPr>
          <w:p w:rsidR="0044478C" w:rsidRPr="00BB0D9A" w:rsidRDefault="0044478C" w:rsidP="00FB4446">
            <w:pPr>
              <w:pStyle w:val="naiskr"/>
              <w:spacing w:before="0" w:after="0"/>
              <w:ind w:left="142" w:right="57" w:firstLine="284"/>
              <w:jc w:val="both"/>
              <w:rPr>
                <w:iCs/>
              </w:rPr>
            </w:pPr>
            <w:r w:rsidRPr="00BB0D9A">
              <w:t>Gāzes balonu tirgū iesaistīto komersantu asociācijas</w:t>
            </w:r>
            <w:r w:rsidRPr="00BB0D9A">
              <w:rPr>
                <w:iCs/>
              </w:rPr>
              <w:t xml:space="preserve"> ir informētas par projekta izstrādi un ir piedalījušās tā izstrādes gaitā.</w:t>
            </w:r>
          </w:p>
          <w:p w:rsidR="00183CC2" w:rsidRPr="00BB0D9A" w:rsidRDefault="0044478C" w:rsidP="00FB4446">
            <w:pPr>
              <w:pStyle w:val="naiskr"/>
              <w:spacing w:before="0" w:after="0"/>
              <w:ind w:left="142" w:right="57" w:firstLine="284"/>
              <w:jc w:val="both"/>
              <w:rPr>
                <w:iCs/>
              </w:rPr>
            </w:pPr>
            <w:r w:rsidRPr="00BB0D9A">
              <w:rPr>
                <w:iCs/>
              </w:rPr>
              <w:t xml:space="preserve">Plašākas sabiedrības  informēšanas kampaņu ir plānots uzsākt pēc noteikumu projekta pieņemšanas.  </w:t>
            </w:r>
            <w:r w:rsidR="003728C6" w:rsidRPr="00BB0D9A">
              <w:rPr>
                <w:iCs/>
              </w:rPr>
              <w:t xml:space="preserve"> </w:t>
            </w:r>
            <w:r w:rsidR="00D15880" w:rsidRPr="00BB0D9A">
              <w:rPr>
                <w:iCs/>
              </w:rPr>
              <w:t xml:space="preserve"> </w:t>
            </w:r>
          </w:p>
        </w:tc>
      </w:tr>
      <w:tr w:rsidR="00277929" w:rsidRPr="00BB0D9A" w:rsidTr="00FB4446">
        <w:trPr>
          <w:trHeight w:val="339"/>
          <w:jc w:val="center"/>
        </w:trPr>
        <w:tc>
          <w:tcPr>
            <w:tcW w:w="503" w:type="dxa"/>
          </w:tcPr>
          <w:p w:rsidR="00277929" w:rsidRPr="00BB0D9A" w:rsidRDefault="00183CC2" w:rsidP="00FB4446">
            <w:pPr>
              <w:pStyle w:val="naiskr"/>
              <w:spacing w:before="0" w:after="0"/>
              <w:ind w:left="57" w:right="57"/>
              <w:jc w:val="center"/>
              <w:rPr>
                <w:bCs/>
              </w:rPr>
            </w:pPr>
            <w:r w:rsidRPr="00BB0D9A">
              <w:rPr>
                <w:bCs/>
              </w:rPr>
              <w:t>2</w:t>
            </w:r>
            <w:r w:rsidR="00277929" w:rsidRPr="00BB0D9A">
              <w:rPr>
                <w:bCs/>
              </w:rPr>
              <w:t>.</w:t>
            </w:r>
          </w:p>
        </w:tc>
        <w:tc>
          <w:tcPr>
            <w:tcW w:w="3260" w:type="dxa"/>
          </w:tcPr>
          <w:p w:rsidR="00277929" w:rsidRPr="00BB0D9A" w:rsidRDefault="00E179CD" w:rsidP="00FB4446">
            <w:pPr>
              <w:pStyle w:val="naiskr"/>
              <w:spacing w:before="0" w:after="0"/>
              <w:ind w:left="57" w:right="57"/>
              <w:rPr>
                <w:highlight w:val="yellow"/>
              </w:rPr>
            </w:pPr>
            <w:r w:rsidRPr="00BB0D9A">
              <w:t>S</w:t>
            </w:r>
            <w:r w:rsidR="00DB073B" w:rsidRPr="00BB0D9A">
              <w:t>abiedrības</w:t>
            </w:r>
            <w:r w:rsidR="00B73166" w:rsidRPr="00BB0D9A">
              <w:t xml:space="preserve"> </w:t>
            </w:r>
            <w:r w:rsidR="00DB073B" w:rsidRPr="00BB0D9A">
              <w:t>līdzdalība</w:t>
            </w:r>
            <w:r w:rsidR="00B73166" w:rsidRPr="00BB0D9A">
              <w:t xml:space="preserve"> </w:t>
            </w:r>
            <w:r w:rsidR="00AB2B1A" w:rsidRPr="00BB0D9A">
              <w:t>projekta izstrādē</w:t>
            </w:r>
            <w:r w:rsidR="00DB073B" w:rsidRPr="00BB0D9A">
              <w:t xml:space="preserve"> </w:t>
            </w:r>
          </w:p>
        </w:tc>
        <w:tc>
          <w:tcPr>
            <w:tcW w:w="6030" w:type="dxa"/>
          </w:tcPr>
          <w:p w:rsidR="00AB1914" w:rsidRPr="00BB0D9A" w:rsidRDefault="00E324BC" w:rsidP="005E6089">
            <w:pPr>
              <w:pStyle w:val="naiskr"/>
              <w:spacing w:before="0" w:after="0"/>
              <w:ind w:left="142" w:right="57" w:firstLine="227"/>
              <w:jc w:val="both"/>
            </w:pPr>
            <w:r w:rsidRPr="00BB0D9A">
              <w:rPr>
                <w:iCs/>
              </w:rPr>
              <w:t xml:space="preserve">Projekta izstrādē </w:t>
            </w:r>
            <w:r w:rsidR="0044478C" w:rsidRPr="00BB0D9A">
              <w:rPr>
                <w:iCs/>
              </w:rPr>
              <w:t>tika iesaistīta</w:t>
            </w:r>
            <w:r w:rsidR="003728C6" w:rsidRPr="00BB0D9A">
              <w:rPr>
                <w:iCs/>
              </w:rPr>
              <w:t xml:space="preserve"> </w:t>
            </w:r>
            <w:r w:rsidRPr="00BB0D9A">
              <w:rPr>
                <w:iCs/>
              </w:rPr>
              <w:t>Latvijas ķīmijas un farmācijas uzņēmēju asociācij</w:t>
            </w:r>
            <w:r w:rsidR="003728C6" w:rsidRPr="00BB0D9A">
              <w:rPr>
                <w:iCs/>
              </w:rPr>
              <w:t>a</w:t>
            </w:r>
            <w:r w:rsidRPr="00BB0D9A">
              <w:rPr>
                <w:iCs/>
              </w:rPr>
              <w:t>, Sašķidrinātās naftas gāzes asociācij</w:t>
            </w:r>
            <w:r w:rsidR="003728C6" w:rsidRPr="00BB0D9A">
              <w:rPr>
                <w:iCs/>
              </w:rPr>
              <w:t>a</w:t>
            </w:r>
            <w:r w:rsidRPr="00BB0D9A">
              <w:rPr>
                <w:iCs/>
              </w:rPr>
              <w:t>, Latvijas gāzes asociācij</w:t>
            </w:r>
            <w:r w:rsidR="003728C6" w:rsidRPr="00BB0D9A">
              <w:rPr>
                <w:iCs/>
              </w:rPr>
              <w:t xml:space="preserve">a, </w:t>
            </w:r>
            <w:r w:rsidR="0044478C" w:rsidRPr="00BB0D9A">
              <w:rPr>
                <w:iCs/>
              </w:rPr>
              <w:t>Latvijas Degvielas tirgotāju asociācija, kā arī Degvielas tirgotāju un ražotāju savienība</w:t>
            </w:r>
            <w:r w:rsidRPr="00BB0D9A">
              <w:rPr>
                <w:iCs/>
              </w:rPr>
              <w:t>.</w:t>
            </w:r>
            <w:r w:rsidR="003728C6" w:rsidRPr="00BB0D9A">
              <w:rPr>
                <w:iCs/>
              </w:rPr>
              <w:t xml:space="preserve"> </w:t>
            </w:r>
          </w:p>
        </w:tc>
      </w:tr>
      <w:tr w:rsidR="00277929" w:rsidRPr="00BB0D9A" w:rsidTr="00FB4446">
        <w:trPr>
          <w:trHeight w:val="375"/>
          <w:jc w:val="center"/>
        </w:trPr>
        <w:tc>
          <w:tcPr>
            <w:tcW w:w="503" w:type="dxa"/>
          </w:tcPr>
          <w:p w:rsidR="00277929" w:rsidRPr="00BB0D9A" w:rsidRDefault="00183CC2" w:rsidP="00FB4446">
            <w:pPr>
              <w:pStyle w:val="naiskr"/>
              <w:spacing w:before="0" w:after="0"/>
              <w:ind w:left="57" w:right="57"/>
              <w:jc w:val="center"/>
              <w:rPr>
                <w:bCs/>
              </w:rPr>
            </w:pPr>
            <w:r w:rsidRPr="00BB0D9A">
              <w:rPr>
                <w:bCs/>
              </w:rPr>
              <w:t>3</w:t>
            </w:r>
            <w:r w:rsidR="00277929" w:rsidRPr="00BB0D9A">
              <w:rPr>
                <w:bCs/>
              </w:rPr>
              <w:t>.</w:t>
            </w:r>
          </w:p>
        </w:tc>
        <w:tc>
          <w:tcPr>
            <w:tcW w:w="3260" w:type="dxa"/>
          </w:tcPr>
          <w:p w:rsidR="00784422" w:rsidRPr="00BB0D9A" w:rsidRDefault="00DB78F0" w:rsidP="00FB4446">
            <w:pPr>
              <w:pStyle w:val="naiskr"/>
              <w:spacing w:before="0" w:after="0"/>
              <w:ind w:left="57" w:right="57"/>
              <w:rPr>
                <w:highlight w:val="yellow"/>
              </w:rPr>
            </w:pPr>
            <w:r w:rsidRPr="00BB0D9A">
              <w:t xml:space="preserve">Sabiedrības līdzdalības rezultāti </w:t>
            </w:r>
          </w:p>
        </w:tc>
        <w:tc>
          <w:tcPr>
            <w:tcW w:w="6030" w:type="dxa"/>
          </w:tcPr>
          <w:p w:rsidR="00AB1914" w:rsidRPr="00BB0D9A" w:rsidRDefault="00D360D1" w:rsidP="00FB4446">
            <w:pPr>
              <w:pStyle w:val="naiskr"/>
              <w:spacing w:before="0" w:after="0"/>
              <w:ind w:left="142" w:right="57" w:firstLine="227"/>
              <w:jc w:val="both"/>
              <w:rPr>
                <w:iCs/>
              </w:rPr>
            </w:pPr>
            <w:r w:rsidRPr="00BB0D9A">
              <w:rPr>
                <w:iCs/>
              </w:rPr>
              <w:t>Sabiedrības priekšlikumu ir ņemti vērā</w:t>
            </w:r>
            <w:r w:rsidR="009656E1" w:rsidRPr="00BB0D9A">
              <w:rPr>
                <w:iCs/>
              </w:rPr>
              <w:t xml:space="preserve"> un</w:t>
            </w:r>
            <w:r w:rsidRPr="00BB0D9A">
              <w:rPr>
                <w:iCs/>
              </w:rPr>
              <w:t xml:space="preserve"> </w:t>
            </w:r>
            <w:r w:rsidR="003728C6" w:rsidRPr="00BB0D9A">
              <w:rPr>
                <w:iCs/>
              </w:rPr>
              <w:t>sabiedrība atbalsta noteikumu projekt</w:t>
            </w:r>
            <w:r w:rsidRPr="00BB0D9A">
              <w:rPr>
                <w:iCs/>
              </w:rPr>
              <w:t>u</w:t>
            </w:r>
            <w:r w:rsidR="00E324BC" w:rsidRPr="00BB0D9A">
              <w:rPr>
                <w:iCs/>
              </w:rPr>
              <w:t>.</w:t>
            </w:r>
          </w:p>
          <w:p w:rsidR="00277929" w:rsidRPr="00BB0D9A" w:rsidRDefault="00E324BC" w:rsidP="00FB4446">
            <w:pPr>
              <w:pStyle w:val="naiskr"/>
              <w:spacing w:before="0" w:after="0"/>
              <w:ind w:left="142" w:right="57" w:firstLine="227"/>
              <w:jc w:val="both"/>
              <w:rPr>
                <w:iCs/>
              </w:rPr>
            </w:pPr>
            <w:r w:rsidRPr="00BB0D9A">
              <w:rPr>
                <w:iCs/>
              </w:rPr>
              <w:t xml:space="preserve"> </w:t>
            </w:r>
          </w:p>
        </w:tc>
      </w:tr>
      <w:tr w:rsidR="00277929" w:rsidRPr="00BB0D9A" w:rsidTr="00FB4446">
        <w:trPr>
          <w:trHeight w:val="476"/>
          <w:jc w:val="center"/>
        </w:trPr>
        <w:tc>
          <w:tcPr>
            <w:tcW w:w="503" w:type="dxa"/>
          </w:tcPr>
          <w:p w:rsidR="00277929" w:rsidRPr="00BB0D9A" w:rsidRDefault="00F54B82" w:rsidP="00FB4446">
            <w:pPr>
              <w:pStyle w:val="naiskr"/>
              <w:spacing w:before="0" w:after="0"/>
              <w:ind w:left="57" w:right="57"/>
              <w:jc w:val="center"/>
              <w:rPr>
                <w:bCs/>
              </w:rPr>
            </w:pPr>
            <w:r w:rsidRPr="00BB0D9A">
              <w:rPr>
                <w:bCs/>
              </w:rPr>
              <w:t>4</w:t>
            </w:r>
            <w:r w:rsidR="00277929" w:rsidRPr="00BB0D9A">
              <w:rPr>
                <w:bCs/>
              </w:rPr>
              <w:t>.</w:t>
            </w:r>
          </w:p>
        </w:tc>
        <w:tc>
          <w:tcPr>
            <w:tcW w:w="3260" w:type="dxa"/>
          </w:tcPr>
          <w:p w:rsidR="00277929" w:rsidRPr="00BB0D9A" w:rsidRDefault="006C4607" w:rsidP="00FB4446">
            <w:pPr>
              <w:pStyle w:val="naiskr"/>
              <w:spacing w:before="0" w:after="0"/>
              <w:ind w:left="57" w:right="57"/>
            </w:pPr>
            <w:r w:rsidRPr="00BB0D9A">
              <w:t>Cita informācija</w:t>
            </w:r>
          </w:p>
          <w:p w:rsidR="002F78C8" w:rsidRPr="00BB0D9A" w:rsidRDefault="002F78C8" w:rsidP="00FB4446">
            <w:pPr>
              <w:pStyle w:val="naiskr"/>
              <w:spacing w:before="0" w:after="0"/>
              <w:ind w:left="57" w:right="57"/>
              <w:rPr>
                <w:highlight w:val="yellow"/>
              </w:rPr>
            </w:pPr>
          </w:p>
        </w:tc>
        <w:tc>
          <w:tcPr>
            <w:tcW w:w="6030" w:type="dxa"/>
          </w:tcPr>
          <w:p w:rsidR="00845811" w:rsidRPr="00BB0D9A" w:rsidRDefault="00E324BC" w:rsidP="00FB4446">
            <w:pPr>
              <w:pStyle w:val="naiskr"/>
              <w:spacing w:before="0" w:after="0"/>
              <w:ind w:left="57" w:right="57" w:firstLine="369"/>
              <w:jc w:val="both"/>
              <w:rPr>
                <w:highlight w:val="yellow"/>
              </w:rPr>
            </w:pPr>
            <w:r w:rsidRPr="00BB0D9A">
              <w:rPr>
                <w:iCs/>
              </w:rPr>
              <w:t>Nav</w:t>
            </w:r>
          </w:p>
        </w:tc>
      </w:tr>
    </w:tbl>
    <w:p w:rsidR="00AB1914" w:rsidRDefault="00AB1914" w:rsidP="00FB4446">
      <w:pPr>
        <w:pStyle w:val="naisf"/>
        <w:spacing w:before="0" w:after="0"/>
      </w:pPr>
    </w:p>
    <w:p w:rsidR="00BB0D9A" w:rsidRPr="00BB0D9A" w:rsidRDefault="00BB0D9A" w:rsidP="00FB4446">
      <w:pPr>
        <w:pStyle w:val="naisf"/>
        <w:spacing w:before="0" w:after="0"/>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3260"/>
        <w:gridCol w:w="6096"/>
      </w:tblGrid>
      <w:tr w:rsidR="0023436E" w:rsidRPr="00BB0D9A" w:rsidTr="00EF666B">
        <w:tc>
          <w:tcPr>
            <w:tcW w:w="9924" w:type="dxa"/>
            <w:gridSpan w:val="3"/>
            <w:tcBorders>
              <w:top w:val="single" w:sz="4" w:space="0" w:color="auto"/>
            </w:tcBorders>
          </w:tcPr>
          <w:p w:rsidR="0023436E" w:rsidRPr="00BB0D9A" w:rsidRDefault="0023436E" w:rsidP="001374E2">
            <w:pPr>
              <w:pStyle w:val="naisnod"/>
              <w:numPr>
                <w:ilvl w:val="0"/>
                <w:numId w:val="25"/>
              </w:numPr>
              <w:spacing w:before="0" w:after="0"/>
              <w:ind w:right="57"/>
            </w:pPr>
            <w:r w:rsidRPr="00BB0D9A">
              <w:t>Tiesību akta projekta izpildes nodrošināšana un tās ietekme uz institūcijām</w:t>
            </w:r>
          </w:p>
          <w:p w:rsidR="00AB1914" w:rsidRPr="00BB0D9A" w:rsidRDefault="00AB1914" w:rsidP="00FB4446">
            <w:pPr>
              <w:pStyle w:val="naisnod"/>
              <w:spacing w:before="0" w:after="0"/>
              <w:ind w:left="1080" w:right="57"/>
              <w:jc w:val="left"/>
            </w:pPr>
          </w:p>
        </w:tc>
      </w:tr>
      <w:tr w:rsidR="0023436E" w:rsidRPr="00BB0D9A" w:rsidTr="00AB1914">
        <w:trPr>
          <w:trHeight w:val="427"/>
        </w:trPr>
        <w:tc>
          <w:tcPr>
            <w:tcW w:w="568" w:type="dxa"/>
          </w:tcPr>
          <w:p w:rsidR="0023436E" w:rsidRPr="00BB0D9A" w:rsidRDefault="0023436E" w:rsidP="00FB4446">
            <w:pPr>
              <w:pStyle w:val="naisnod"/>
              <w:spacing w:before="0" w:after="0"/>
              <w:ind w:left="57" w:right="57"/>
              <w:rPr>
                <w:b w:val="0"/>
              </w:rPr>
            </w:pPr>
            <w:r w:rsidRPr="00BB0D9A">
              <w:rPr>
                <w:b w:val="0"/>
              </w:rPr>
              <w:t>1.</w:t>
            </w:r>
          </w:p>
        </w:tc>
        <w:tc>
          <w:tcPr>
            <w:tcW w:w="3260" w:type="dxa"/>
          </w:tcPr>
          <w:p w:rsidR="0023436E" w:rsidRPr="00BB0D9A" w:rsidRDefault="001A4066" w:rsidP="00FB4446">
            <w:pPr>
              <w:pStyle w:val="naisf"/>
              <w:spacing w:before="0" w:after="0"/>
              <w:ind w:left="57" w:right="57" w:firstLine="0"/>
              <w:jc w:val="left"/>
            </w:pPr>
            <w:r w:rsidRPr="00BB0D9A">
              <w:t>P</w:t>
            </w:r>
            <w:r w:rsidR="0023436E" w:rsidRPr="00BB0D9A">
              <w:t xml:space="preserve">rojekta izpildē iesaistītās institūcijas </w:t>
            </w:r>
          </w:p>
        </w:tc>
        <w:tc>
          <w:tcPr>
            <w:tcW w:w="6096" w:type="dxa"/>
          </w:tcPr>
          <w:p w:rsidR="0023436E" w:rsidRPr="00BB0D9A" w:rsidRDefault="00795473" w:rsidP="000025E0">
            <w:pPr>
              <w:pStyle w:val="naisnod"/>
              <w:spacing w:before="0" w:after="0"/>
              <w:ind w:left="57" w:right="57" w:firstLine="340"/>
              <w:jc w:val="both"/>
              <w:rPr>
                <w:b w:val="0"/>
              </w:rPr>
            </w:pPr>
            <w:r w:rsidRPr="00BB0D9A">
              <w:rPr>
                <w:b w:val="0"/>
                <w:iCs/>
              </w:rPr>
              <w:t>Patērētāju tiesību aizsardzības centrs un citas valsts uzraudzības un kontroles institūcijas atbilstoši kompetencei</w:t>
            </w:r>
            <w:r w:rsidR="006027F4" w:rsidRPr="00BB0D9A">
              <w:rPr>
                <w:b w:val="0"/>
                <w:iCs/>
              </w:rPr>
              <w:t xml:space="preserve">, tai skaitā Valsts policija, pašvaldības policija un Valsts ieņēmumu dienests, ar mērķi izskaust  nelegālo gāzes balonu </w:t>
            </w:r>
            <w:r w:rsidR="000025E0" w:rsidRPr="00BB0D9A">
              <w:rPr>
                <w:b w:val="0"/>
                <w:iCs/>
              </w:rPr>
              <w:t>apriti</w:t>
            </w:r>
            <w:r w:rsidR="006027F4" w:rsidRPr="00BB0D9A">
              <w:rPr>
                <w:b w:val="0"/>
                <w:iCs/>
              </w:rPr>
              <w:t>.</w:t>
            </w:r>
            <w:r w:rsidRPr="00BB0D9A">
              <w:rPr>
                <w:b w:val="0"/>
                <w:iCs/>
              </w:rPr>
              <w:t xml:space="preserve"> </w:t>
            </w:r>
          </w:p>
        </w:tc>
      </w:tr>
    </w:tbl>
    <w:p w:rsidR="00BB0D9A" w:rsidRDefault="00BB0D9A">
      <w:r>
        <w:rPr>
          <w:b/>
          <w:bCs/>
        </w:rPr>
        <w:br w:type="page"/>
      </w: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3260"/>
        <w:gridCol w:w="6096"/>
      </w:tblGrid>
      <w:tr w:rsidR="0023436E" w:rsidRPr="00BB0D9A" w:rsidTr="00AB1914">
        <w:trPr>
          <w:trHeight w:val="463"/>
        </w:trPr>
        <w:tc>
          <w:tcPr>
            <w:tcW w:w="568" w:type="dxa"/>
          </w:tcPr>
          <w:p w:rsidR="0023436E" w:rsidRPr="00BB0D9A" w:rsidRDefault="0023436E" w:rsidP="00FB4446">
            <w:pPr>
              <w:pStyle w:val="naisnod"/>
              <w:spacing w:before="0" w:after="0"/>
              <w:ind w:left="57" w:right="57"/>
              <w:rPr>
                <w:b w:val="0"/>
              </w:rPr>
            </w:pPr>
            <w:r w:rsidRPr="00BB0D9A">
              <w:rPr>
                <w:b w:val="0"/>
              </w:rPr>
              <w:lastRenderedPageBreak/>
              <w:t>2.</w:t>
            </w:r>
          </w:p>
        </w:tc>
        <w:tc>
          <w:tcPr>
            <w:tcW w:w="3260" w:type="dxa"/>
          </w:tcPr>
          <w:p w:rsidR="0023436E" w:rsidRPr="00BB0D9A" w:rsidRDefault="001A4066" w:rsidP="00FB4446">
            <w:pPr>
              <w:pStyle w:val="naisf"/>
              <w:spacing w:before="0" w:after="0"/>
              <w:ind w:left="57" w:right="57" w:firstLine="0"/>
              <w:jc w:val="left"/>
            </w:pPr>
            <w:r w:rsidRPr="00BB0D9A">
              <w:t>Projekta i</w:t>
            </w:r>
            <w:r w:rsidR="0023436E" w:rsidRPr="00BB0D9A">
              <w:t xml:space="preserve">zpildes ietekme uz pārvaldes funkcijām </w:t>
            </w:r>
            <w:r w:rsidR="00F54B82" w:rsidRPr="00BB0D9A">
              <w:t>un institucionālo struktūru.</w:t>
            </w:r>
          </w:p>
          <w:p w:rsidR="00F54B82" w:rsidRPr="00BB0D9A" w:rsidRDefault="00F54B82" w:rsidP="00FB4446">
            <w:pPr>
              <w:pStyle w:val="naisf"/>
              <w:spacing w:before="0" w:after="0"/>
              <w:ind w:left="57" w:right="57" w:firstLine="0"/>
              <w:jc w:val="left"/>
            </w:pPr>
          </w:p>
          <w:p w:rsidR="00F54B82" w:rsidRPr="00BB0D9A" w:rsidRDefault="00F54B82" w:rsidP="00FB4446">
            <w:pPr>
              <w:pStyle w:val="naisf"/>
              <w:spacing w:before="0" w:after="0"/>
              <w:ind w:left="57" w:right="57" w:firstLine="0"/>
              <w:jc w:val="left"/>
            </w:pPr>
            <w:r w:rsidRPr="00BB0D9A">
              <w:t>Jaunu institūciju izveide, esošu institūciju likvidācija vai reorganizācija, to ietekme uz institūcijas cilvēkresursiem</w:t>
            </w:r>
          </w:p>
        </w:tc>
        <w:tc>
          <w:tcPr>
            <w:tcW w:w="6096" w:type="dxa"/>
          </w:tcPr>
          <w:p w:rsidR="0023436E" w:rsidRPr="00BB0D9A" w:rsidRDefault="00DE3733" w:rsidP="00FB4446">
            <w:pPr>
              <w:pStyle w:val="naisnod"/>
              <w:spacing w:before="0" w:after="0"/>
              <w:ind w:left="57" w:right="57" w:firstLine="340"/>
              <w:jc w:val="left"/>
              <w:rPr>
                <w:b w:val="0"/>
              </w:rPr>
            </w:pPr>
            <w:r w:rsidRPr="00BB0D9A">
              <w:rPr>
                <w:b w:val="0"/>
                <w:iCs/>
              </w:rPr>
              <w:t>Projekts šo jomu neskar</w:t>
            </w:r>
          </w:p>
        </w:tc>
      </w:tr>
      <w:tr w:rsidR="0023436E" w:rsidRPr="00BB0D9A" w:rsidTr="00AB1914">
        <w:trPr>
          <w:trHeight w:val="476"/>
        </w:trPr>
        <w:tc>
          <w:tcPr>
            <w:tcW w:w="568" w:type="dxa"/>
          </w:tcPr>
          <w:p w:rsidR="0023436E" w:rsidRPr="00BB0D9A" w:rsidRDefault="00F63DAC" w:rsidP="00FB4446">
            <w:pPr>
              <w:pStyle w:val="naiskr"/>
              <w:spacing w:before="0" w:after="0"/>
              <w:ind w:left="57" w:right="57"/>
              <w:jc w:val="center"/>
            </w:pPr>
            <w:r w:rsidRPr="00BB0D9A">
              <w:t>6</w:t>
            </w:r>
            <w:r w:rsidR="0023436E" w:rsidRPr="00BB0D9A">
              <w:t>.</w:t>
            </w:r>
          </w:p>
        </w:tc>
        <w:tc>
          <w:tcPr>
            <w:tcW w:w="3260" w:type="dxa"/>
          </w:tcPr>
          <w:p w:rsidR="0023436E" w:rsidRPr="00BB0D9A" w:rsidRDefault="006C4607" w:rsidP="00FB4446">
            <w:pPr>
              <w:pStyle w:val="naiskr"/>
              <w:spacing w:before="0" w:after="0"/>
              <w:ind w:left="57" w:right="57"/>
            </w:pPr>
            <w:r w:rsidRPr="00BB0D9A">
              <w:t>Cita informācija</w:t>
            </w:r>
          </w:p>
        </w:tc>
        <w:tc>
          <w:tcPr>
            <w:tcW w:w="6096" w:type="dxa"/>
          </w:tcPr>
          <w:p w:rsidR="0023436E" w:rsidRPr="00BB0D9A" w:rsidRDefault="002B3C6D" w:rsidP="00FB4446">
            <w:pPr>
              <w:pStyle w:val="ListParagraph"/>
              <w:tabs>
                <w:tab w:val="left" w:pos="851"/>
                <w:tab w:val="left" w:pos="1134"/>
              </w:tabs>
              <w:spacing w:after="0" w:line="240" w:lineRule="auto"/>
              <w:ind w:left="0" w:right="114" w:firstLine="397"/>
              <w:contextualSpacing w:val="0"/>
              <w:jc w:val="both"/>
              <w:rPr>
                <w:rFonts w:ascii="Times New Roman" w:hAnsi="Times New Roman"/>
                <w:sz w:val="24"/>
                <w:szCs w:val="24"/>
              </w:rPr>
            </w:pPr>
            <w:r w:rsidRPr="00BB0D9A">
              <w:rPr>
                <w:rFonts w:ascii="Times New Roman" w:hAnsi="Times New Roman"/>
                <w:sz w:val="24"/>
                <w:szCs w:val="24"/>
              </w:rPr>
              <w:t xml:space="preserve">Nav </w:t>
            </w:r>
          </w:p>
          <w:p w:rsidR="00AD3447" w:rsidRPr="00BB0D9A" w:rsidRDefault="00AD3447" w:rsidP="00FB4446">
            <w:pPr>
              <w:pStyle w:val="ListParagraph"/>
              <w:tabs>
                <w:tab w:val="left" w:pos="851"/>
                <w:tab w:val="left" w:pos="1134"/>
              </w:tabs>
              <w:spacing w:after="0" w:line="240" w:lineRule="auto"/>
              <w:ind w:left="0" w:right="114"/>
              <w:contextualSpacing w:val="0"/>
              <w:jc w:val="both"/>
              <w:rPr>
                <w:rFonts w:ascii="Times New Roman" w:hAnsi="Times New Roman"/>
                <w:sz w:val="24"/>
                <w:szCs w:val="24"/>
              </w:rPr>
            </w:pPr>
          </w:p>
        </w:tc>
      </w:tr>
    </w:tbl>
    <w:p w:rsidR="00BF40ED" w:rsidRPr="00BB0D9A" w:rsidRDefault="00BF40ED" w:rsidP="00FB4446">
      <w:pPr>
        <w:pStyle w:val="naisf"/>
        <w:tabs>
          <w:tab w:val="left" w:pos="6804"/>
        </w:tabs>
        <w:spacing w:before="0" w:after="0"/>
        <w:ind w:firstLine="720"/>
      </w:pPr>
    </w:p>
    <w:p w:rsidR="00376BAB" w:rsidRPr="00BB0D9A" w:rsidRDefault="00376BAB" w:rsidP="00FB4446">
      <w:pPr>
        <w:pStyle w:val="naisf"/>
        <w:tabs>
          <w:tab w:val="left" w:pos="6804"/>
        </w:tabs>
        <w:spacing w:before="0" w:after="0"/>
        <w:ind w:firstLine="0"/>
        <w:rPr>
          <w:i/>
        </w:rPr>
      </w:pPr>
      <w:r w:rsidRPr="00BB0D9A">
        <w:rPr>
          <w:i/>
        </w:rPr>
        <w:t>Anotācijas III</w:t>
      </w:r>
      <w:r w:rsidR="001374E2" w:rsidRPr="00BB0D9A">
        <w:rPr>
          <w:i/>
        </w:rPr>
        <w:t>, IV</w:t>
      </w:r>
      <w:r w:rsidR="002B3C6D" w:rsidRPr="00BB0D9A">
        <w:rPr>
          <w:i/>
        </w:rPr>
        <w:t xml:space="preserve"> un</w:t>
      </w:r>
      <w:r w:rsidR="001374E2" w:rsidRPr="00BB0D9A">
        <w:rPr>
          <w:i/>
        </w:rPr>
        <w:t xml:space="preserve"> V</w:t>
      </w:r>
      <w:r w:rsidRPr="00BB0D9A">
        <w:rPr>
          <w:i/>
        </w:rPr>
        <w:t xml:space="preserve"> sadaļa – projekts </w:t>
      </w:r>
      <w:r w:rsidR="002B3C6D" w:rsidRPr="00BB0D9A">
        <w:rPr>
          <w:i/>
        </w:rPr>
        <w:t>šīs jomas</w:t>
      </w:r>
      <w:r w:rsidRPr="00BB0D9A">
        <w:rPr>
          <w:i/>
        </w:rPr>
        <w:t xml:space="preserve"> neskar.</w:t>
      </w:r>
    </w:p>
    <w:p w:rsidR="00376BAB" w:rsidRPr="00BB0D9A" w:rsidRDefault="00376BAB" w:rsidP="00FB4446">
      <w:pPr>
        <w:pStyle w:val="naisf"/>
        <w:tabs>
          <w:tab w:val="left" w:pos="6804"/>
        </w:tabs>
        <w:spacing w:before="0" w:after="0"/>
        <w:ind w:firstLine="0"/>
      </w:pPr>
    </w:p>
    <w:p w:rsidR="00B06598" w:rsidRPr="00BB0D9A" w:rsidRDefault="00B06598" w:rsidP="00FB4446">
      <w:pPr>
        <w:pStyle w:val="naisf"/>
        <w:tabs>
          <w:tab w:val="left" w:pos="6804"/>
        </w:tabs>
        <w:spacing w:before="0" w:after="0"/>
        <w:ind w:firstLine="0"/>
      </w:pPr>
    </w:p>
    <w:p w:rsidR="00BB0D9A" w:rsidRDefault="00BB0D9A" w:rsidP="00FB4446">
      <w:pPr>
        <w:pStyle w:val="naisf"/>
        <w:tabs>
          <w:tab w:val="left" w:pos="6804"/>
        </w:tabs>
        <w:spacing w:before="0" w:after="0"/>
        <w:ind w:firstLine="0"/>
      </w:pPr>
    </w:p>
    <w:p w:rsidR="0015060C" w:rsidRPr="00BB0D9A" w:rsidRDefault="002B3C6D" w:rsidP="00FB4446">
      <w:pPr>
        <w:pStyle w:val="naisf"/>
        <w:tabs>
          <w:tab w:val="left" w:pos="6804"/>
        </w:tabs>
        <w:spacing w:before="0" w:after="0"/>
        <w:ind w:firstLine="0"/>
      </w:pPr>
      <w:r w:rsidRPr="00BB0D9A">
        <w:t>Ekonomikas ministre</w:t>
      </w:r>
      <w:r w:rsidR="00214094" w:rsidRPr="00BB0D9A">
        <w:tab/>
      </w:r>
      <w:r w:rsidRPr="00BB0D9A">
        <w:t>D.Reizniece-Ozola</w:t>
      </w:r>
    </w:p>
    <w:p w:rsidR="002705DE" w:rsidRPr="00BB0D9A" w:rsidRDefault="002705DE" w:rsidP="00FB4446">
      <w:pPr>
        <w:pStyle w:val="naisf"/>
        <w:tabs>
          <w:tab w:val="left" w:pos="6804"/>
        </w:tabs>
        <w:spacing w:before="0" w:after="0"/>
        <w:ind w:firstLine="0"/>
      </w:pPr>
    </w:p>
    <w:p w:rsidR="00B06598" w:rsidRPr="00BB0D9A" w:rsidRDefault="00B06598" w:rsidP="00FB4446">
      <w:pPr>
        <w:pStyle w:val="naisf"/>
        <w:tabs>
          <w:tab w:val="left" w:pos="6804"/>
        </w:tabs>
        <w:spacing w:before="0" w:after="0"/>
        <w:ind w:firstLine="0"/>
      </w:pPr>
    </w:p>
    <w:p w:rsidR="00BB0D9A" w:rsidRDefault="00BB0D9A" w:rsidP="00FB4446">
      <w:pPr>
        <w:pStyle w:val="naisf"/>
        <w:tabs>
          <w:tab w:val="left" w:pos="6804"/>
        </w:tabs>
        <w:spacing w:before="0" w:after="0"/>
        <w:ind w:firstLine="0"/>
      </w:pPr>
    </w:p>
    <w:p w:rsidR="002705DE" w:rsidRPr="00BB0D9A" w:rsidRDefault="002705DE" w:rsidP="00FB4446">
      <w:pPr>
        <w:pStyle w:val="naisf"/>
        <w:tabs>
          <w:tab w:val="left" w:pos="6804"/>
        </w:tabs>
        <w:spacing w:before="0" w:after="0"/>
        <w:ind w:firstLine="0"/>
      </w:pPr>
      <w:r w:rsidRPr="00BB0D9A">
        <w:t>Vīza:</w:t>
      </w:r>
    </w:p>
    <w:p w:rsidR="00762A0C" w:rsidRPr="00BB0D9A" w:rsidRDefault="00762A0C" w:rsidP="00762A0C">
      <w:r w:rsidRPr="00BB0D9A">
        <w:t>valsts sekretāra</w:t>
      </w:r>
    </w:p>
    <w:p w:rsidR="00762A0C" w:rsidRPr="00BB0D9A" w:rsidRDefault="00762A0C" w:rsidP="00762A0C">
      <w:r w:rsidRPr="00BB0D9A">
        <w:t>pienākumu izpildītājs,</w:t>
      </w:r>
    </w:p>
    <w:p w:rsidR="00AB1914" w:rsidRPr="000A2AD3" w:rsidRDefault="00762A0C" w:rsidP="00762A0C">
      <w:r w:rsidRPr="00BB0D9A">
        <w:t xml:space="preserve">valsts sekretāra </w:t>
      </w:r>
      <w:r w:rsidR="00B06598" w:rsidRPr="00BB0D9A">
        <w:t>vietniece</w:t>
      </w:r>
      <w:r w:rsidRPr="00BB0D9A">
        <w:tab/>
      </w:r>
      <w:r w:rsidRPr="00BB0D9A">
        <w:tab/>
      </w:r>
      <w:r w:rsidRPr="00BB0D9A">
        <w:tab/>
      </w:r>
      <w:r w:rsidRPr="00BB0D9A">
        <w:tab/>
      </w:r>
      <w:r w:rsidRPr="00BB0D9A">
        <w:tab/>
      </w:r>
      <w:r w:rsidRPr="00BB0D9A">
        <w:tab/>
      </w:r>
      <w:r w:rsidRPr="00BB0D9A">
        <w:tab/>
      </w:r>
      <w:r w:rsidR="00B06598" w:rsidRPr="00BB0D9A">
        <w:t>Z.Liepiņa</w:t>
      </w:r>
      <w:r w:rsidR="009E6973" w:rsidRPr="000A2AD3">
        <w:tab/>
        <w:t xml:space="preserve"> </w:t>
      </w:r>
      <w:r w:rsidR="009E6973" w:rsidRPr="000A2AD3">
        <w:tab/>
      </w:r>
      <w:r w:rsidR="009E6973" w:rsidRPr="000A2AD3">
        <w:tab/>
      </w:r>
      <w:r w:rsidR="009E6973" w:rsidRPr="000A2AD3">
        <w:tab/>
      </w:r>
      <w:r w:rsidR="009E6973" w:rsidRPr="000A2AD3">
        <w:tab/>
      </w:r>
      <w:r w:rsidR="009E6973" w:rsidRPr="000A2AD3">
        <w:tab/>
      </w:r>
      <w:r w:rsidR="009E6973" w:rsidRPr="000A2AD3">
        <w:tab/>
      </w:r>
      <w:r w:rsidR="009E6973" w:rsidRPr="000A2AD3">
        <w:tab/>
      </w:r>
    </w:p>
    <w:p w:rsidR="00B06598" w:rsidRDefault="00B06598" w:rsidP="00FB4446">
      <w:pPr>
        <w:pStyle w:val="naisf"/>
        <w:tabs>
          <w:tab w:val="left" w:pos="6804"/>
        </w:tabs>
        <w:spacing w:before="0" w:after="0"/>
        <w:ind w:firstLine="0"/>
        <w:rPr>
          <w:sz w:val="20"/>
          <w:szCs w:val="20"/>
        </w:rPr>
      </w:pPr>
    </w:p>
    <w:p w:rsidR="00B06598" w:rsidRDefault="00B06598" w:rsidP="00FB4446">
      <w:pPr>
        <w:pStyle w:val="naisf"/>
        <w:tabs>
          <w:tab w:val="left" w:pos="6804"/>
        </w:tabs>
        <w:spacing w:before="0" w:after="0"/>
        <w:ind w:firstLine="0"/>
        <w:rPr>
          <w:sz w:val="20"/>
          <w:szCs w:val="20"/>
        </w:rPr>
      </w:pPr>
    </w:p>
    <w:p w:rsidR="002705DE" w:rsidRPr="00B06598" w:rsidRDefault="00BB0D9A" w:rsidP="00FB4446">
      <w:pPr>
        <w:pStyle w:val="naisf"/>
        <w:tabs>
          <w:tab w:val="left" w:pos="6804"/>
        </w:tabs>
        <w:spacing w:before="0" w:after="0"/>
        <w:ind w:firstLine="0"/>
        <w:rPr>
          <w:sz w:val="20"/>
          <w:szCs w:val="20"/>
        </w:rPr>
      </w:pPr>
      <w:r>
        <w:rPr>
          <w:sz w:val="20"/>
          <w:szCs w:val="20"/>
        </w:rPr>
        <w:t>19</w:t>
      </w:r>
      <w:r w:rsidR="00C637A0" w:rsidRPr="00B06598">
        <w:rPr>
          <w:sz w:val="20"/>
          <w:szCs w:val="20"/>
        </w:rPr>
        <w:t>.03</w:t>
      </w:r>
      <w:r w:rsidR="002D710B" w:rsidRPr="00B06598">
        <w:rPr>
          <w:sz w:val="20"/>
          <w:szCs w:val="20"/>
        </w:rPr>
        <w:t>.2</w:t>
      </w:r>
      <w:r w:rsidR="00762A0C" w:rsidRPr="00B06598">
        <w:rPr>
          <w:sz w:val="20"/>
          <w:szCs w:val="20"/>
        </w:rPr>
        <w:t>015</w:t>
      </w:r>
      <w:r w:rsidR="002D347D" w:rsidRPr="00B06598">
        <w:rPr>
          <w:sz w:val="20"/>
          <w:szCs w:val="20"/>
        </w:rPr>
        <w:t xml:space="preserve">. </w:t>
      </w:r>
      <w:r>
        <w:rPr>
          <w:sz w:val="20"/>
          <w:szCs w:val="20"/>
        </w:rPr>
        <w:t>15:00</w:t>
      </w:r>
    </w:p>
    <w:p w:rsidR="00456340" w:rsidRPr="00B06598" w:rsidRDefault="00456340" w:rsidP="00FB4446">
      <w:pPr>
        <w:pStyle w:val="naisf"/>
        <w:tabs>
          <w:tab w:val="left" w:pos="6804"/>
        </w:tabs>
        <w:spacing w:before="0" w:after="0"/>
        <w:ind w:firstLine="0"/>
        <w:rPr>
          <w:sz w:val="20"/>
          <w:szCs w:val="20"/>
        </w:rPr>
      </w:pPr>
      <w:r w:rsidRPr="00B06598">
        <w:rPr>
          <w:sz w:val="20"/>
          <w:szCs w:val="20"/>
        </w:rPr>
        <w:fldChar w:fldCharType="begin"/>
      </w:r>
      <w:r w:rsidRPr="00B06598">
        <w:rPr>
          <w:sz w:val="20"/>
          <w:szCs w:val="20"/>
        </w:rPr>
        <w:instrText xml:space="preserve"> NUMWORDS  \* Arabic  \* MERGEFORMAT </w:instrText>
      </w:r>
      <w:r w:rsidRPr="00B06598">
        <w:rPr>
          <w:sz w:val="20"/>
          <w:szCs w:val="20"/>
        </w:rPr>
        <w:fldChar w:fldCharType="separate"/>
      </w:r>
      <w:r w:rsidR="00BB0D9A">
        <w:rPr>
          <w:noProof/>
          <w:sz w:val="20"/>
          <w:szCs w:val="20"/>
        </w:rPr>
        <w:t>1160</w:t>
      </w:r>
      <w:r w:rsidRPr="00B06598">
        <w:rPr>
          <w:sz w:val="20"/>
          <w:szCs w:val="20"/>
        </w:rPr>
        <w:fldChar w:fldCharType="end"/>
      </w:r>
    </w:p>
    <w:p w:rsidR="002705DE" w:rsidRPr="00B06598" w:rsidRDefault="00D50B39" w:rsidP="00FB4446">
      <w:pPr>
        <w:pStyle w:val="naisf"/>
        <w:tabs>
          <w:tab w:val="left" w:pos="6804"/>
        </w:tabs>
        <w:spacing w:before="0" w:after="0"/>
        <w:ind w:firstLine="0"/>
        <w:rPr>
          <w:sz w:val="20"/>
          <w:szCs w:val="20"/>
        </w:rPr>
      </w:pPr>
      <w:r>
        <w:rPr>
          <w:sz w:val="20"/>
          <w:szCs w:val="20"/>
        </w:rPr>
        <w:t>Lipskis</w:t>
      </w:r>
    </w:p>
    <w:p w:rsidR="002705DE" w:rsidRPr="003E5A9C" w:rsidRDefault="002705DE" w:rsidP="00FB4446">
      <w:pPr>
        <w:pStyle w:val="naisf"/>
        <w:tabs>
          <w:tab w:val="left" w:pos="6804"/>
        </w:tabs>
        <w:spacing w:before="0" w:after="0"/>
        <w:ind w:firstLine="0"/>
        <w:rPr>
          <w:sz w:val="16"/>
          <w:szCs w:val="16"/>
        </w:rPr>
      </w:pPr>
      <w:r w:rsidRPr="00B06598">
        <w:rPr>
          <w:sz w:val="20"/>
          <w:szCs w:val="20"/>
        </w:rPr>
        <w:t>67013</w:t>
      </w:r>
      <w:r w:rsidR="00D50B39">
        <w:rPr>
          <w:sz w:val="20"/>
          <w:szCs w:val="20"/>
        </w:rPr>
        <w:t>292</w:t>
      </w:r>
      <w:r w:rsidRPr="00B06598">
        <w:rPr>
          <w:sz w:val="20"/>
          <w:szCs w:val="20"/>
        </w:rPr>
        <w:t xml:space="preserve">, </w:t>
      </w:r>
      <w:hyperlink r:id="rId8" w:history="1">
        <w:r w:rsidR="00D50B39" w:rsidRPr="00D358C8">
          <w:rPr>
            <w:rStyle w:val="Hyperlink"/>
            <w:sz w:val="20"/>
            <w:szCs w:val="20"/>
          </w:rPr>
          <w:t>Valdis.Lipskis@em.gov.lv</w:t>
        </w:r>
      </w:hyperlink>
    </w:p>
    <w:p w:rsidR="002705DE" w:rsidRPr="000A2AD3" w:rsidRDefault="002705DE" w:rsidP="00FB4446">
      <w:pPr>
        <w:pStyle w:val="naisf"/>
        <w:tabs>
          <w:tab w:val="left" w:pos="6804"/>
        </w:tabs>
        <w:spacing w:before="0" w:after="0"/>
        <w:ind w:firstLine="0"/>
        <w:rPr>
          <w:sz w:val="20"/>
          <w:szCs w:val="20"/>
        </w:rPr>
      </w:pPr>
      <w:bookmarkStart w:id="0" w:name="_GoBack"/>
      <w:bookmarkEnd w:id="0"/>
    </w:p>
    <w:sectPr w:rsidR="002705DE" w:rsidRPr="000A2AD3" w:rsidSect="00C637A0">
      <w:headerReference w:type="even" r:id="rId9"/>
      <w:headerReference w:type="default" r:id="rId10"/>
      <w:footerReference w:type="default" r:id="rId11"/>
      <w:footerReference w:type="first" r:id="rId12"/>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772" w:rsidRDefault="000B4772">
      <w:r>
        <w:separator/>
      </w:r>
    </w:p>
  </w:endnote>
  <w:endnote w:type="continuationSeparator" w:id="0">
    <w:p w:rsidR="000B4772" w:rsidRDefault="000B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3C" w:rsidRPr="00C637A0" w:rsidRDefault="00C637A0" w:rsidP="00C637A0">
    <w:pPr>
      <w:pStyle w:val="Footer"/>
    </w:pPr>
    <w:r w:rsidRPr="008C1D27">
      <w:rPr>
        <w:sz w:val="20"/>
        <w:szCs w:val="20"/>
      </w:rPr>
      <w:t>E</w:t>
    </w:r>
    <w:r>
      <w:rPr>
        <w:sz w:val="20"/>
        <w:szCs w:val="20"/>
      </w:rPr>
      <w:t>MAnot_050315</w:t>
    </w:r>
    <w:r w:rsidRPr="000E23ED">
      <w:rPr>
        <w:sz w:val="20"/>
        <w:szCs w:val="20"/>
      </w:rPr>
      <w:t>; Ministru kabineta noteikumu projekta „</w:t>
    </w:r>
    <w:r>
      <w:rPr>
        <w:sz w:val="20"/>
        <w:szCs w:val="20"/>
      </w:rPr>
      <w:t>Grozījumi Ministru kabineta 2014.gada 9.decembra noteikumos Nr.755 “Gāzes balonu aprites, uzraudzības un kontroles kārtība”</w:t>
    </w:r>
    <w:r w:rsidRPr="000E23ED">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3C" w:rsidRPr="000E23ED" w:rsidRDefault="0049633C" w:rsidP="000E23ED">
    <w:pPr>
      <w:pStyle w:val="Footer"/>
      <w:rPr>
        <w:sz w:val="20"/>
        <w:szCs w:val="20"/>
      </w:rPr>
    </w:pPr>
    <w:r w:rsidRPr="008C1D27">
      <w:rPr>
        <w:sz w:val="20"/>
        <w:szCs w:val="20"/>
      </w:rPr>
      <w:t>E</w:t>
    </w:r>
    <w:r w:rsidR="00C637A0">
      <w:rPr>
        <w:sz w:val="20"/>
        <w:szCs w:val="20"/>
      </w:rPr>
      <w:t>MAnot_050315</w:t>
    </w:r>
    <w:r w:rsidRPr="000E23ED">
      <w:rPr>
        <w:sz w:val="20"/>
        <w:szCs w:val="20"/>
      </w:rPr>
      <w:t>; Ministru kabineta noteikumu projekta „</w:t>
    </w:r>
    <w:r w:rsidR="00C637A0">
      <w:rPr>
        <w:sz w:val="20"/>
        <w:szCs w:val="20"/>
      </w:rPr>
      <w:t>Grozījumi Ministru kabineta 2014.gada 9.decembra noteikumos Nr.755 “Gāzes balonu aprites, uzraudzības un kontroles kārtība”</w:t>
    </w:r>
    <w:r w:rsidRPr="000E23ED">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772" w:rsidRDefault="000B4772">
      <w:r>
        <w:separator/>
      </w:r>
    </w:p>
  </w:footnote>
  <w:footnote w:type="continuationSeparator" w:id="0">
    <w:p w:rsidR="000B4772" w:rsidRDefault="000B4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3C" w:rsidRDefault="0049633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633C" w:rsidRDefault="00496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3C" w:rsidRDefault="0049633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0B39">
      <w:rPr>
        <w:rStyle w:val="PageNumber"/>
        <w:noProof/>
      </w:rPr>
      <w:t>3</w:t>
    </w:r>
    <w:r>
      <w:rPr>
        <w:rStyle w:val="PageNumber"/>
      </w:rPr>
      <w:fldChar w:fldCharType="end"/>
    </w:r>
  </w:p>
  <w:p w:rsidR="0049633C" w:rsidRDefault="00496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687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745D6F"/>
    <w:multiLevelType w:val="hybridMultilevel"/>
    <w:tmpl w:val="7C2ADAA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75707D1"/>
    <w:multiLevelType w:val="hybridMultilevel"/>
    <w:tmpl w:val="24764B9E"/>
    <w:lvl w:ilvl="0" w:tplc="0426000F">
      <w:start w:val="1"/>
      <w:numFmt w:val="decimal"/>
      <w:lvlText w:val="%1."/>
      <w:lvlJc w:val="left"/>
      <w:pPr>
        <w:ind w:left="1105" w:hanging="360"/>
      </w:p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E3F346B"/>
    <w:multiLevelType w:val="hybridMultilevel"/>
    <w:tmpl w:val="34342CAA"/>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A920BD5"/>
    <w:multiLevelType w:val="hybridMultilevel"/>
    <w:tmpl w:val="1470555E"/>
    <w:lvl w:ilvl="0" w:tplc="6EAC289E">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03E254D"/>
    <w:multiLevelType w:val="hybridMultilevel"/>
    <w:tmpl w:val="ACF6D01E"/>
    <w:lvl w:ilvl="0" w:tplc="9AB0E0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5F3001DB"/>
    <w:multiLevelType w:val="hybridMultilevel"/>
    <w:tmpl w:val="B2D4DF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D13438A"/>
    <w:multiLevelType w:val="hybridMultilevel"/>
    <w:tmpl w:val="6930AFFE"/>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1">
    <w:nsid w:val="75051097"/>
    <w:multiLevelType w:val="hybridMultilevel"/>
    <w:tmpl w:val="00CC0A1A"/>
    <w:lvl w:ilvl="0" w:tplc="A18ACCBC">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A085E1D"/>
    <w:multiLevelType w:val="multilevel"/>
    <w:tmpl w:val="20EC667A"/>
    <w:lvl w:ilvl="0">
      <w:start w:val="1"/>
      <w:numFmt w:val="decimal"/>
      <w:lvlText w:val="%1."/>
      <w:lvlJc w:val="left"/>
      <w:pPr>
        <w:ind w:left="660" w:hanging="360"/>
      </w:pPr>
      <w:rPr>
        <w:rFonts w:hint="default"/>
      </w:rPr>
    </w:lvl>
    <w:lvl w:ilvl="1">
      <w:start w:val="1"/>
      <w:numFmt w:val="decimal"/>
      <w:isLgl/>
      <w:lvlText w:val="%1.%2."/>
      <w:lvlJc w:val="left"/>
      <w:pPr>
        <w:ind w:left="1110" w:hanging="810"/>
      </w:pPr>
      <w:rPr>
        <w:rFonts w:hint="default"/>
      </w:rPr>
    </w:lvl>
    <w:lvl w:ilvl="2">
      <w:start w:val="1"/>
      <w:numFmt w:val="decimal"/>
      <w:isLgl/>
      <w:lvlText w:val="%1.%2.%3."/>
      <w:lvlJc w:val="left"/>
      <w:pPr>
        <w:ind w:left="1110" w:hanging="810"/>
      </w:pPr>
      <w:rPr>
        <w:rFonts w:hint="default"/>
      </w:rPr>
    </w:lvl>
    <w:lvl w:ilvl="3">
      <w:start w:val="1"/>
      <w:numFmt w:val="decimal"/>
      <w:isLgl/>
      <w:lvlText w:val="%1.%2.%3.%4."/>
      <w:lvlJc w:val="left"/>
      <w:pPr>
        <w:ind w:left="1110" w:hanging="81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3">
    <w:nsid w:val="7F3858FE"/>
    <w:multiLevelType w:val="multilevel"/>
    <w:tmpl w:val="A474A092"/>
    <w:lvl w:ilvl="0">
      <w:numFmt w:val="bullet"/>
      <w:lvlText w:val="-"/>
      <w:lvlJc w:val="left"/>
      <w:pPr>
        <w:ind w:left="360" w:hanging="360"/>
      </w:pPr>
      <w:rPr>
        <w:rFonts w:ascii="Times New Roman" w:eastAsia="Calibri"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nsid w:val="7FAE011D"/>
    <w:multiLevelType w:val="hybridMultilevel"/>
    <w:tmpl w:val="EC10D3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6"/>
  </w:num>
  <w:num w:numId="4">
    <w:abstractNumId w:val="4"/>
  </w:num>
  <w:num w:numId="5">
    <w:abstractNumId w:val="1"/>
  </w:num>
  <w:num w:numId="6">
    <w:abstractNumId w:val="14"/>
  </w:num>
  <w:num w:numId="7">
    <w:abstractNumId w:val="19"/>
  </w:num>
  <w:num w:numId="8">
    <w:abstractNumId w:val="9"/>
  </w:num>
  <w:num w:numId="9">
    <w:abstractNumId w:val="5"/>
  </w:num>
  <w:num w:numId="10">
    <w:abstractNumId w:val="10"/>
  </w:num>
  <w:num w:numId="11">
    <w:abstractNumId w:val="11"/>
  </w:num>
  <w:num w:numId="12">
    <w:abstractNumId w:val="15"/>
  </w:num>
  <w:num w:numId="13">
    <w:abstractNumId w:val="16"/>
  </w:num>
  <w:num w:numId="14">
    <w:abstractNumId w:val="3"/>
  </w:num>
  <w:num w:numId="15">
    <w:abstractNumId w:val="8"/>
  </w:num>
  <w:num w:numId="16">
    <w:abstractNumId w:val="24"/>
  </w:num>
  <w:num w:numId="17">
    <w:abstractNumId w:val="2"/>
  </w:num>
  <w:num w:numId="18">
    <w:abstractNumId w:val="17"/>
  </w:num>
  <w:num w:numId="19">
    <w:abstractNumId w:val="0"/>
  </w:num>
  <w:num w:numId="20">
    <w:abstractNumId w:val="13"/>
  </w:num>
  <w:num w:numId="21">
    <w:abstractNumId w:val="21"/>
  </w:num>
  <w:num w:numId="22">
    <w:abstractNumId w:val="22"/>
  </w:num>
  <w:num w:numId="23">
    <w:abstractNumId w:val="23"/>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25E0"/>
    <w:rsid w:val="0001032C"/>
    <w:rsid w:val="0001079E"/>
    <w:rsid w:val="00011D24"/>
    <w:rsid w:val="00013FF4"/>
    <w:rsid w:val="00020FE1"/>
    <w:rsid w:val="000224D5"/>
    <w:rsid w:val="00022E13"/>
    <w:rsid w:val="00025A7C"/>
    <w:rsid w:val="00025A9F"/>
    <w:rsid w:val="00032388"/>
    <w:rsid w:val="00035CE2"/>
    <w:rsid w:val="00040F4C"/>
    <w:rsid w:val="0004571F"/>
    <w:rsid w:val="00046D58"/>
    <w:rsid w:val="0005553B"/>
    <w:rsid w:val="000604D2"/>
    <w:rsid w:val="00064922"/>
    <w:rsid w:val="00080344"/>
    <w:rsid w:val="00085F54"/>
    <w:rsid w:val="0009005E"/>
    <w:rsid w:val="00091DF3"/>
    <w:rsid w:val="000941C5"/>
    <w:rsid w:val="000A0815"/>
    <w:rsid w:val="000A2AD3"/>
    <w:rsid w:val="000A6451"/>
    <w:rsid w:val="000B064E"/>
    <w:rsid w:val="000B4772"/>
    <w:rsid w:val="000B69CF"/>
    <w:rsid w:val="000C3B78"/>
    <w:rsid w:val="000C790C"/>
    <w:rsid w:val="000E23ED"/>
    <w:rsid w:val="000F061D"/>
    <w:rsid w:val="000F4794"/>
    <w:rsid w:val="00104B9D"/>
    <w:rsid w:val="00107AD5"/>
    <w:rsid w:val="001127A2"/>
    <w:rsid w:val="0012203B"/>
    <w:rsid w:val="00124F12"/>
    <w:rsid w:val="00136BD7"/>
    <w:rsid w:val="001374E2"/>
    <w:rsid w:val="00144E3A"/>
    <w:rsid w:val="00146A7A"/>
    <w:rsid w:val="0015060C"/>
    <w:rsid w:val="0016018A"/>
    <w:rsid w:val="00161F0E"/>
    <w:rsid w:val="00170E2A"/>
    <w:rsid w:val="00177394"/>
    <w:rsid w:val="00182C18"/>
    <w:rsid w:val="00183CC2"/>
    <w:rsid w:val="001900E4"/>
    <w:rsid w:val="00190F88"/>
    <w:rsid w:val="001A3DED"/>
    <w:rsid w:val="001A4066"/>
    <w:rsid w:val="001A6AE4"/>
    <w:rsid w:val="001B01FD"/>
    <w:rsid w:val="001B4A71"/>
    <w:rsid w:val="001B5844"/>
    <w:rsid w:val="001C1BEF"/>
    <w:rsid w:val="001D32AD"/>
    <w:rsid w:val="001D5B54"/>
    <w:rsid w:val="001D71BC"/>
    <w:rsid w:val="001E1DBF"/>
    <w:rsid w:val="001E2F9F"/>
    <w:rsid w:val="001E4639"/>
    <w:rsid w:val="001E4A7D"/>
    <w:rsid w:val="001F4209"/>
    <w:rsid w:val="001F43A8"/>
    <w:rsid w:val="001F5CD6"/>
    <w:rsid w:val="0021263D"/>
    <w:rsid w:val="00213F0C"/>
    <w:rsid w:val="00214094"/>
    <w:rsid w:val="00215105"/>
    <w:rsid w:val="0021592D"/>
    <w:rsid w:val="00222D76"/>
    <w:rsid w:val="00223EB1"/>
    <w:rsid w:val="002256DE"/>
    <w:rsid w:val="00231344"/>
    <w:rsid w:val="0023436E"/>
    <w:rsid w:val="002347C0"/>
    <w:rsid w:val="00240724"/>
    <w:rsid w:val="00241A6C"/>
    <w:rsid w:val="00242D2B"/>
    <w:rsid w:val="00251AFD"/>
    <w:rsid w:val="00256C82"/>
    <w:rsid w:val="00262E2B"/>
    <w:rsid w:val="00264DCF"/>
    <w:rsid w:val="00270429"/>
    <w:rsid w:val="002705DE"/>
    <w:rsid w:val="00270649"/>
    <w:rsid w:val="00271614"/>
    <w:rsid w:val="002723E9"/>
    <w:rsid w:val="00277929"/>
    <w:rsid w:val="002835E8"/>
    <w:rsid w:val="00283B82"/>
    <w:rsid w:val="002846E9"/>
    <w:rsid w:val="00284C34"/>
    <w:rsid w:val="0029066C"/>
    <w:rsid w:val="00292987"/>
    <w:rsid w:val="002A5FA9"/>
    <w:rsid w:val="002A6E5F"/>
    <w:rsid w:val="002B3C6D"/>
    <w:rsid w:val="002B50DB"/>
    <w:rsid w:val="002C12AB"/>
    <w:rsid w:val="002C1A0F"/>
    <w:rsid w:val="002C7CAC"/>
    <w:rsid w:val="002D3306"/>
    <w:rsid w:val="002D347D"/>
    <w:rsid w:val="002D48AA"/>
    <w:rsid w:val="002D5737"/>
    <w:rsid w:val="002D710B"/>
    <w:rsid w:val="002D7BAA"/>
    <w:rsid w:val="002D7F54"/>
    <w:rsid w:val="002E3FF4"/>
    <w:rsid w:val="002F4AA1"/>
    <w:rsid w:val="002F6F4C"/>
    <w:rsid w:val="002F78C8"/>
    <w:rsid w:val="00301CF3"/>
    <w:rsid w:val="0031136F"/>
    <w:rsid w:val="00321969"/>
    <w:rsid w:val="00323DC7"/>
    <w:rsid w:val="00325C63"/>
    <w:rsid w:val="0032715C"/>
    <w:rsid w:val="00337CA5"/>
    <w:rsid w:val="003436E7"/>
    <w:rsid w:val="00362478"/>
    <w:rsid w:val="003728C6"/>
    <w:rsid w:val="00375B25"/>
    <w:rsid w:val="00376BAB"/>
    <w:rsid w:val="0038132C"/>
    <w:rsid w:val="00396542"/>
    <w:rsid w:val="0039685B"/>
    <w:rsid w:val="00397C63"/>
    <w:rsid w:val="003A31A6"/>
    <w:rsid w:val="003A7F0C"/>
    <w:rsid w:val="003A7F79"/>
    <w:rsid w:val="003B2B03"/>
    <w:rsid w:val="003B6404"/>
    <w:rsid w:val="003C4021"/>
    <w:rsid w:val="003C449B"/>
    <w:rsid w:val="003C6194"/>
    <w:rsid w:val="003D21FF"/>
    <w:rsid w:val="003E5A9C"/>
    <w:rsid w:val="003F0112"/>
    <w:rsid w:val="003F071A"/>
    <w:rsid w:val="003F160B"/>
    <w:rsid w:val="00400032"/>
    <w:rsid w:val="00400B5B"/>
    <w:rsid w:val="00403593"/>
    <w:rsid w:val="00405A00"/>
    <w:rsid w:val="00414E1F"/>
    <w:rsid w:val="00420870"/>
    <w:rsid w:val="00432D0C"/>
    <w:rsid w:val="00435FC2"/>
    <w:rsid w:val="0043791B"/>
    <w:rsid w:val="00441483"/>
    <w:rsid w:val="00441BCB"/>
    <w:rsid w:val="0044478C"/>
    <w:rsid w:val="0045176A"/>
    <w:rsid w:val="00456332"/>
    <w:rsid w:val="00456340"/>
    <w:rsid w:val="004572AF"/>
    <w:rsid w:val="00461826"/>
    <w:rsid w:val="004777FB"/>
    <w:rsid w:val="004800F9"/>
    <w:rsid w:val="0049134A"/>
    <w:rsid w:val="004945F7"/>
    <w:rsid w:val="0049633C"/>
    <w:rsid w:val="004A58CB"/>
    <w:rsid w:val="004A6356"/>
    <w:rsid w:val="004B1795"/>
    <w:rsid w:val="004B56DD"/>
    <w:rsid w:val="004B742D"/>
    <w:rsid w:val="004C020F"/>
    <w:rsid w:val="004C1AFD"/>
    <w:rsid w:val="004C558B"/>
    <w:rsid w:val="004C7FEF"/>
    <w:rsid w:val="004F01FF"/>
    <w:rsid w:val="004F1F88"/>
    <w:rsid w:val="004F5F1B"/>
    <w:rsid w:val="00501CDA"/>
    <w:rsid w:val="00502374"/>
    <w:rsid w:val="005060A1"/>
    <w:rsid w:val="0051103A"/>
    <w:rsid w:val="00516072"/>
    <w:rsid w:val="00516625"/>
    <w:rsid w:val="005219F5"/>
    <w:rsid w:val="005332EC"/>
    <w:rsid w:val="00534418"/>
    <w:rsid w:val="005353AB"/>
    <w:rsid w:val="005459C0"/>
    <w:rsid w:val="005560BC"/>
    <w:rsid w:val="005573BE"/>
    <w:rsid w:val="00572700"/>
    <w:rsid w:val="00580468"/>
    <w:rsid w:val="00582231"/>
    <w:rsid w:val="00582BAD"/>
    <w:rsid w:val="0058603B"/>
    <w:rsid w:val="00593DB7"/>
    <w:rsid w:val="0059431B"/>
    <w:rsid w:val="005A39CC"/>
    <w:rsid w:val="005B4730"/>
    <w:rsid w:val="005E05D7"/>
    <w:rsid w:val="005E41E7"/>
    <w:rsid w:val="005E41FC"/>
    <w:rsid w:val="005E450F"/>
    <w:rsid w:val="005E6089"/>
    <w:rsid w:val="005E78DE"/>
    <w:rsid w:val="005F124E"/>
    <w:rsid w:val="006027F4"/>
    <w:rsid w:val="006069E7"/>
    <w:rsid w:val="00613D42"/>
    <w:rsid w:val="0062298A"/>
    <w:rsid w:val="00626203"/>
    <w:rsid w:val="00626514"/>
    <w:rsid w:val="00626589"/>
    <w:rsid w:val="00627A5A"/>
    <w:rsid w:val="00630F28"/>
    <w:rsid w:val="00631CEE"/>
    <w:rsid w:val="00633414"/>
    <w:rsid w:val="006339A0"/>
    <w:rsid w:val="006413A8"/>
    <w:rsid w:val="00642E56"/>
    <w:rsid w:val="00650C9F"/>
    <w:rsid w:val="00651E00"/>
    <w:rsid w:val="00674572"/>
    <w:rsid w:val="00687763"/>
    <w:rsid w:val="00692B0D"/>
    <w:rsid w:val="00693E0E"/>
    <w:rsid w:val="00696DF4"/>
    <w:rsid w:val="006A1AE3"/>
    <w:rsid w:val="006B16DF"/>
    <w:rsid w:val="006C30E1"/>
    <w:rsid w:val="006C4607"/>
    <w:rsid w:val="006D48F1"/>
    <w:rsid w:val="006D4C86"/>
    <w:rsid w:val="006E0BBC"/>
    <w:rsid w:val="006E31AA"/>
    <w:rsid w:val="006F45BE"/>
    <w:rsid w:val="007004FC"/>
    <w:rsid w:val="00706670"/>
    <w:rsid w:val="00710167"/>
    <w:rsid w:val="00711E78"/>
    <w:rsid w:val="00711F59"/>
    <w:rsid w:val="00711FA9"/>
    <w:rsid w:val="0072417C"/>
    <w:rsid w:val="007303AB"/>
    <w:rsid w:val="00734450"/>
    <w:rsid w:val="00742B38"/>
    <w:rsid w:val="00745F67"/>
    <w:rsid w:val="0075039E"/>
    <w:rsid w:val="00750B31"/>
    <w:rsid w:val="00752D9D"/>
    <w:rsid w:val="00754784"/>
    <w:rsid w:val="00757C6E"/>
    <w:rsid w:val="00762A0C"/>
    <w:rsid w:val="00762BDA"/>
    <w:rsid w:val="00762E4E"/>
    <w:rsid w:val="00773367"/>
    <w:rsid w:val="007805FD"/>
    <w:rsid w:val="00784422"/>
    <w:rsid w:val="007950E8"/>
    <w:rsid w:val="00795473"/>
    <w:rsid w:val="007A11D4"/>
    <w:rsid w:val="007A13A6"/>
    <w:rsid w:val="007A3F07"/>
    <w:rsid w:val="007B3B54"/>
    <w:rsid w:val="007B3FA0"/>
    <w:rsid w:val="007C0F2C"/>
    <w:rsid w:val="007C2BCC"/>
    <w:rsid w:val="007C4EF0"/>
    <w:rsid w:val="007D099D"/>
    <w:rsid w:val="007E2664"/>
    <w:rsid w:val="007E3ABF"/>
    <w:rsid w:val="007E4D9D"/>
    <w:rsid w:val="007E5BFA"/>
    <w:rsid w:val="007E6689"/>
    <w:rsid w:val="007E731C"/>
    <w:rsid w:val="007F0A03"/>
    <w:rsid w:val="00810040"/>
    <w:rsid w:val="0082023A"/>
    <w:rsid w:val="00821A7A"/>
    <w:rsid w:val="008253F8"/>
    <w:rsid w:val="008325E4"/>
    <w:rsid w:val="00832A2B"/>
    <w:rsid w:val="0083623F"/>
    <w:rsid w:val="00845811"/>
    <w:rsid w:val="00846994"/>
    <w:rsid w:val="00850451"/>
    <w:rsid w:val="00852042"/>
    <w:rsid w:val="008534C9"/>
    <w:rsid w:val="0085599D"/>
    <w:rsid w:val="00856EDF"/>
    <w:rsid w:val="00861458"/>
    <w:rsid w:val="00867D53"/>
    <w:rsid w:val="0087510C"/>
    <w:rsid w:val="008840BC"/>
    <w:rsid w:val="00884DAC"/>
    <w:rsid w:val="008968D2"/>
    <w:rsid w:val="0089738E"/>
    <w:rsid w:val="008A5808"/>
    <w:rsid w:val="008B5FDB"/>
    <w:rsid w:val="008B7D5E"/>
    <w:rsid w:val="008C1D27"/>
    <w:rsid w:val="008C50F4"/>
    <w:rsid w:val="008C5649"/>
    <w:rsid w:val="008D6293"/>
    <w:rsid w:val="008E44A2"/>
    <w:rsid w:val="008E697D"/>
    <w:rsid w:val="008F31A8"/>
    <w:rsid w:val="00903263"/>
    <w:rsid w:val="00906A21"/>
    <w:rsid w:val="009079C3"/>
    <w:rsid w:val="00910462"/>
    <w:rsid w:val="00915AB1"/>
    <w:rsid w:val="00916D49"/>
    <w:rsid w:val="00917532"/>
    <w:rsid w:val="00921406"/>
    <w:rsid w:val="009235BA"/>
    <w:rsid w:val="00924023"/>
    <w:rsid w:val="00924CE2"/>
    <w:rsid w:val="00925B9F"/>
    <w:rsid w:val="00925D51"/>
    <w:rsid w:val="00930978"/>
    <w:rsid w:val="00931AED"/>
    <w:rsid w:val="009476A3"/>
    <w:rsid w:val="00952796"/>
    <w:rsid w:val="0095334F"/>
    <w:rsid w:val="00960BE6"/>
    <w:rsid w:val="009656E1"/>
    <w:rsid w:val="00965897"/>
    <w:rsid w:val="0096765C"/>
    <w:rsid w:val="009727E4"/>
    <w:rsid w:val="0097313A"/>
    <w:rsid w:val="0098639B"/>
    <w:rsid w:val="0098724F"/>
    <w:rsid w:val="009877CE"/>
    <w:rsid w:val="009923A5"/>
    <w:rsid w:val="009925BE"/>
    <w:rsid w:val="009934C5"/>
    <w:rsid w:val="00994C0F"/>
    <w:rsid w:val="00996B50"/>
    <w:rsid w:val="009B22D7"/>
    <w:rsid w:val="009B72ED"/>
    <w:rsid w:val="009C6DEB"/>
    <w:rsid w:val="009D5149"/>
    <w:rsid w:val="009D6504"/>
    <w:rsid w:val="009D7140"/>
    <w:rsid w:val="009E12D7"/>
    <w:rsid w:val="009E661A"/>
    <w:rsid w:val="009E6973"/>
    <w:rsid w:val="009E7A30"/>
    <w:rsid w:val="009F0C3D"/>
    <w:rsid w:val="009F3A2A"/>
    <w:rsid w:val="00A06781"/>
    <w:rsid w:val="00A074C3"/>
    <w:rsid w:val="00A11610"/>
    <w:rsid w:val="00A1509C"/>
    <w:rsid w:val="00A249B9"/>
    <w:rsid w:val="00A26CA7"/>
    <w:rsid w:val="00A301B0"/>
    <w:rsid w:val="00A3094A"/>
    <w:rsid w:val="00A34260"/>
    <w:rsid w:val="00A5297D"/>
    <w:rsid w:val="00A70CFD"/>
    <w:rsid w:val="00A72A0B"/>
    <w:rsid w:val="00A72AE3"/>
    <w:rsid w:val="00A81E42"/>
    <w:rsid w:val="00A841A2"/>
    <w:rsid w:val="00A864FE"/>
    <w:rsid w:val="00A86F41"/>
    <w:rsid w:val="00A87D04"/>
    <w:rsid w:val="00A950C5"/>
    <w:rsid w:val="00AA1D25"/>
    <w:rsid w:val="00AA30FF"/>
    <w:rsid w:val="00AB1914"/>
    <w:rsid w:val="00AB2B1A"/>
    <w:rsid w:val="00AB397F"/>
    <w:rsid w:val="00AB5832"/>
    <w:rsid w:val="00AC51F2"/>
    <w:rsid w:val="00AC7BD3"/>
    <w:rsid w:val="00AD3269"/>
    <w:rsid w:val="00AD3447"/>
    <w:rsid w:val="00AD3F4C"/>
    <w:rsid w:val="00AE5066"/>
    <w:rsid w:val="00AE5E24"/>
    <w:rsid w:val="00AE61B7"/>
    <w:rsid w:val="00AE6CBA"/>
    <w:rsid w:val="00AE79AD"/>
    <w:rsid w:val="00AF35E4"/>
    <w:rsid w:val="00AF5CDE"/>
    <w:rsid w:val="00B0009B"/>
    <w:rsid w:val="00B06598"/>
    <w:rsid w:val="00B11A57"/>
    <w:rsid w:val="00B1424A"/>
    <w:rsid w:val="00B15D25"/>
    <w:rsid w:val="00B211C3"/>
    <w:rsid w:val="00B25597"/>
    <w:rsid w:val="00B267B9"/>
    <w:rsid w:val="00B33E09"/>
    <w:rsid w:val="00B40BC6"/>
    <w:rsid w:val="00B50708"/>
    <w:rsid w:val="00B50C68"/>
    <w:rsid w:val="00B51293"/>
    <w:rsid w:val="00B52B1E"/>
    <w:rsid w:val="00B55481"/>
    <w:rsid w:val="00B56C32"/>
    <w:rsid w:val="00B57ACF"/>
    <w:rsid w:val="00B64BB1"/>
    <w:rsid w:val="00B73166"/>
    <w:rsid w:val="00B766F6"/>
    <w:rsid w:val="00B8426C"/>
    <w:rsid w:val="00B91B8D"/>
    <w:rsid w:val="00B94E90"/>
    <w:rsid w:val="00BA227C"/>
    <w:rsid w:val="00BB0A82"/>
    <w:rsid w:val="00BB0D9A"/>
    <w:rsid w:val="00BB7C94"/>
    <w:rsid w:val="00BC0A9D"/>
    <w:rsid w:val="00BC20C5"/>
    <w:rsid w:val="00BF40ED"/>
    <w:rsid w:val="00BF5BC2"/>
    <w:rsid w:val="00C1133D"/>
    <w:rsid w:val="00C27A08"/>
    <w:rsid w:val="00C31312"/>
    <w:rsid w:val="00C31E36"/>
    <w:rsid w:val="00C326C6"/>
    <w:rsid w:val="00C35295"/>
    <w:rsid w:val="00C36ADD"/>
    <w:rsid w:val="00C36E74"/>
    <w:rsid w:val="00C40595"/>
    <w:rsid w:val="00C408BB"/>
    <w:rsid w:val="00C41621"/>
    <w:rsid w:val="00C449FA"/>
    <w:rsid w:val="00C5384F"/>
    <w:rsid w:val="00C56964"/>
    <w:rsid w:val="00C637A0"/>
    <w:rsid w:val="00C656D5"/>
    <w:rsid w:val="00C67103"/>
    <w:rsid w:val="00C71BB9"/>
    <w:rsid w:val="00C72830"/>
    <w:rsid w:val="00C90F00"/>
    <w:rsid w:val="00C94C28"/>
    <w:rsid w:val="00CA1FD2"/>
    <w:rsid w:val="00CB0247"/>
    <w:rsid w:val="00CB3440"/>
    <w:rsid w:val="00CC1692"/>
    <w:rsid w:val="00CC4DD8"/>
    <w:rsid w:val="00CC5525"/>
    <w:rsid w:val="00CC72C1"/>
    <w:rsid w:val="00CD138B"/>
    <w:rsid w:val="00CD3E31"/>
    <w:rsid w:val="00CD4A94"/>
    <w:rsid w:val="00CD74A3"/>
    <w:rsid w:val="00CE0527"/>
    <w:rsid w:val="00CE46F9"/>
    <w:rsid w:val="00CE5B23"/>
    <w:rsid w:val="00CE7D9F"/>
    <w:rsid w:val="00CF70AD"/>
    <w:rsid w:val="00CF7729"/>
    <w:rsid w:val="00D00059"/>
    <w:rsid w:val="00D107FA"/>
    <w:rsid w:val="00D11E05"/>
    <w:rsid w:val="00D12275"/>
    <w:rsid w:val="00D12766"/>
    <w:rsid w:val="00D15880"/>
    <w:rsid w:val="00D17616"/>
    <w:rsid w:val="00D20FF4"/>
    <w:rsid w:val="00D22B18"/>
    <w:rsid w:val="00D24D2C"/>
    <w:rsid w:val="00D26AA5"/>
    <w:rsid w:val="00D35881"/>
    <w:rsid w:val="00D360D1"/>
    <w:rsid w:val="00D4006E"/>
    <w:rsid w:val="00D50B39"/>
    <w:rsid w:val="00D53D9B"/>
    <w:rsid w:val="00D7100D"/>
    <w:rsid w:val="00D74835"/>
    <w:rsid w:val="00D90993"/>
    <w:rsid w:val="00D91448"/>
    <w:rsid w:val="00D93039"/>
    <w:rsid w:val="00DA7DA5"/>
    <w:rsid w:val="00DB073B"/>
    <w:rsid w:val="00DB78F0"/>
    <w:rsid w:val="00DC0CEA"/>
    <w:rsid w:val="00DC2E43"/>
    <w:rsid w:val="00DD095C"/>
    <w:rsid w:val="00DD1020"/>
    <w:rsid w:val="00DD1330"/>
    <w:rsid w:val="00DD79AA"/>
    <w:rsid w:val="00DE0B83"/>
    <w:rsid w:val="00DE1A81"/>
    <w:rsid w:val="00DE1C13"/>
    <w:rsid w:val="00DE3733"/>
    <w:rsid w:val="00DE4E10"/>
    <w:rsid w:val="00DF4EF5"/>
    <w:rsid w:val="00E02ABF"/>
    <w:rsid w:val="00E06EE0"/>
    <w:rsid w:val="00E14995"/>
    <w:rsid w:val="00E179CD"/>
    <w:rsid w:val="00E23DFE"/>
    <w:rsid w:val="00E23E8D"/>
    <w:rsid w:val="00E324BC"/>
    <w:rsid w:val="00E337E5"/>
    <w:rsid w:val="00E365CF"/>
    <w:rsid w:val="00E37F98"/>
    <w:rsid w:val="00E46559"/>
    <w:rsid w:val="00E507B0"/>
    <w:rsid w:val="00E6670C"/>
    <w:rsid w:val="00E776E8"/>
    <w:rsid w:val="00E82F73"/>
    <w:rsid w:val="00E86036"/>
    <w:rsid w:val="00E870C6"/>
    <w:rsid w:val="00E92C1F"/>
    <w:rsid w:val="00E95D4B"/>
    <w:rsid w:val="00E961D6"/>
    <w:rsid w:val="00EB199F"/>
    <w:rsid w:val="00EC23F7"/>
    <w:rsid w:val="00EC4BD8"/>
    <w:rsid w:val="00EC63EB"/>
    <w:rsid w:val="00ED412F"/>
    <w:rsid w:val="00EF36B2"/>
    <w:rsid w:val="00EF666B"/>
    <w:rsid w:val="00F1246B"/>
    <w:rsid w:val="00F201EC"/>
    <w:rsid w:val="00F208A9"/>
    <w:rsid w:val="00F2576A"/>
    <w:rsid w:val="00F32A21"/>
    <w:rsid w:val="00F41D75"/>
    <w:rsid w:val="00F5139D"/>
    <w:rsid w:val="00F54B82"/>
    <w:rsid w:val="00F6085F"/>
    <w:rsid w:val="00F63DAC"/>
    <w:rsid w:val="00F7454F"/>
    <w:rsid w:val="00F77988"/>
    <w:rsid w:val="00F77F48"/>
    <w:rsid w:val="00F82C50"/>
    <w:rsid w:val="00F930AD"/>
    <w:rsid w:val="00FB21AD"/>
    <w:rsid w:val="00FB30F1"/>
    <w:rsid w:val="00FB3BC6"/>
    <w:rsid w:val="00FB4446"/>
    <w:rsid w:val="00FB53E7"/>
    <w:rsid w:val="00FD2A8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F8906A-BC91-451A-9CEB-026598E5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435FC2"/>
    <w:pPr>
      <w:spacing w:after="200" w:line="276" w:lineRule="auto"/>
      <w:ind w:left="720"/>
      <w:contextualSpacing/>
    </w:pPr>
    <w:rPr>
      <w:rFonts w:ascii="Calibri" w:hAnsi="Calibri"/>
      <w:sz w:val="22"/>
      <w:szCs w:val="22"/>
      <w:lang w:eastAsia="en-US"/>
    </w:rPr>
  </w:style>
  <w:style w:type="paragraph" w:customStyle="1" w:styleId="Body1">
    <w:name w:val="Body 1"/>
    <w:rsid w:val="0051103A"/>
    <w:pPr>
      <w:spacing w:after="200" w:line="276" w:lineRule="auto"/>
      <w:outlineLvl w:val="0"/>
    </w:pPr>
    <w:rPr>
      <w:rFonts w:ascii="Helvetica" w:eastAsia="Arial Unicode MS" w:hAnsi="Helvetica"/>
      <w:color w:val="000000"/>
      <w:sz w:val="22"/>
      <w:u w:color="000000"/>
      <w:lang w:eastAsia="lv-LV"/>
    </w:rPr>
  </w:style>
  <w:style w:type="paragraph" w:styleId="NormalWeb">
    <w:name w:val="Normal (Web)"/>
    <w:basedOn w:val="Normal"/>
    <w:rsid w:val="002F4AA1"/>
    <w:pPr>
      <w:spacing w:before="100" w:beforeAutospacing="1" w:after="100" w:afterAutospacing="1"/>
    </w:pPr>
    <w:rPr>
      <w:rFonts w:ascii="Verdana" w:hAnsi="Verdana"/>
      <w:sz w:val="18"/>
      <w:szCs w:val="18"/>
      <w:lang w:val="en-US" w:eastAsia="en-US"/>
    </w:rPr>
  </w:style>
  <w:style w:type="character" w:styleId="Emphasis">
    <w:name w:val="Emphasis"/>
    <w:uiPriority w:val="20"/>
    <w:qFormat/>
    <w:rsid w:val="004B742D"/>
    <w:rPr>
      <w:b/>
      <w:bCs/>
      <w:i w:val="0"/>
      <w:iCs w:val="0"/>
    </w:rPr>
  </w:style>
  <w:style w:type="character" w:customStyle="1" w:styleId="st">
    <w:name w:val="st"/>
    <w:rsid w:val="004B7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75259">
      <w:bodyDiv w:val="1"/>
      <w:marLeft w:val="0"/>
      <w:marRight w:val="0"/>
      <w:marTop w:val="0"/>
      <w:marBottom w:val="0"/>
      <w:divBdr>
        <w:top w:val="none" w:sz="0" w:space="0" w:color="auto"/>
        <w:left w:val="none" w:sz="0" w:space="0" w:color="auto"/>
        <w:bottom w:val="none" w:sz="0" w:space="0" w:color="auto"/>
        <w:right w:val="none" w:sz="0" w:space="0" w:color="auto"/>
      </w:divBdr>
      <w:divsChild>
        <w:div w:id="432482467">
          <w:marLeft w:val="0"/>
          <w:marRight w:val="0"/>
          <w:marTop w:val="0"/>
          <w:marBottom w:val="0"/>
          <w:divBdr>
            <w:top w:val="none" w:sz="0" w:space="0" w:color="auto"/>
            <w:left w:val="none" w:sz="0" w:space="0" w:color="auto"/>
            <w:bottom w:val="none" w:sz="0" w:space="0" w:color="auto"/>
            <w:right w:val="none" w:sz="0" w:space="0" w:color="auto"/>
          </w:divBdr>
          <w:divsChild>
            <w:div w:id="1843205969">
              <w:marLeft w:val="0"/>
              <w:marRight w:val="0"/>
              <w:marTop w:val="0"/>
              <w:marBottom w:val="0"/>
              <w:divBdr>
                <w:top w:val="none" w:sz="0" w:space="0" w:color="auto"/>
                <w:left w:val="none" w:sz="0" w:space="0" w:color="auto"/>
                <w:bottom w:val="none" w:sz="0" w:space="0" w:color="auto"/>
                <w:right w:val="none" w:sz="0" w:space="0" w:color="auto"/>
              </w:divBdr>
              <w:divsChild>
                <w:div w:id="1401294989">
                  <w:marLeft w:val="0"/>
                  <w:marRight w:val="0"/>
                  <w:marTop w:val="0"/>
                  <w:marBottom w:val="0"/>
                  <w:divBdr>
                    <w:top w:val="none" w:sz="0" w:space="0" w:color="auto"/>
                    <w:left w:val="none" w:sz="0" w:space="0" w:color="auto"/>
                    <w:bottom w:val="none" w:sz="0" w:space="0" w:color="auto"/>
                    <w:right w:val="none" w:sz="0" w:space="0" w:color="auto"/>
                  </w:divBdr>
                  <w:divsChild>
                    <w:div w:id="1163619064">
                      <w:marLeft w:val="0"/>
                      <w:marRight w:val="0"/>
                      <w:marTop w:val="0"/>
                      <w:marBottom w:val="0"/>
                      <w:divBdr>
                        <w:top w:val="none" w:sz="0" w:space="0" w:color="auto"/>
                        <w:left w:val="none" w:sz="0" w:space="0" w:color="auto"/>
                        <w:bottom w:val="none" w:sz="0" w:space="0" w:color="auto"/>
                        <w:right w:val="none" w:sz="0" w:space="0" w:color="auto"/>
                      </w:divBdr>
                      <w:divsChild>
                        <w:div w:id="1925843293">
                          <w:marLeft w:val="0"/>
                          <w:marRight w:val="0"/>
                          <w:marTop w:val="0"/>
                          <w:marBottom w:val="0"/>
                          <w:divBdr>
                            <w:top w:val="none" w:sz="0" w:space="0" w:color="auto"/>
                            <w:left w:val="none" w:sz="0" w:space="0" w:color="auto"/>
                            <w:bottom w:val="none" w:sz="0" w:space="0" w:color="auto"/>
                            <w:right w:val="none" w:sz="0" w:space="0" w:color="auto"/>
                          </w:divBdr>
                          <w:divsChild>
                            <w:div w:id="19659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007033">
      <w:bodyDiv w:val="1"/>
      <w:marLeft w:val="0"/>
      <w:marRight w:val="0"/>
      <w:marTop w:val="0"/>
      <w:marBottom w:val="0"/>
      <w:divBdr>
        <w:top w:val="none" w:sz="0" w:space="0" w:color="auto"/>
        <w:left w:val="none" w:sz="0" w:space="0" w:color="auto"/>
        <w:bottom w:val="none" w:sz="0" w:space="0" w:color="auto"/>
        <w:right w:val="none" w:sz="0" w:space="0" w:color="auto"/>
      </w:divBdr>
    </w:div>
    <w:div w:id="631637052">
      <w:bodyDiv w:val="1"/>
      <w:marLeft w:val="0"/>
      <w:marRight w:val="0"/>
      <w:marTop w:val="0"/>
      <w:marBottom w:val="0"/>
      <w:divBdr>
        <w:top w:val="none" w:sz="0" w:space="0" w:color="auto"/>
        <w:left w:val="none" w:sz="0" w:space="0" w:color="auto"/>
        <w:bottom w:val="none" w:sz="0" w:space="0" w:color="auto"/>
        <w:right w:val="none" w:sz="0" w:space="0" w:color="auto"/>
      </w:divBdr>
    </w:div>
    <w:div w:id="877619344">
      <w:bodyDiv w:val="1"/>
      <w:marLeft w:val="0"/>
      <w:marRight w:val="0"/>
      <w:marTop w:val="0"/>
      <w:marBottom w:val="0"/>
      <w:divBdr>
        <w:top w:val="none" w:sz="0" w:space="0" w:color="auto"/>
        <w:left w:val="none" w:sz="0" w:space="0" w:color="auto"/>
        <w:bottom w:val="none" w:sz="0" w:space="0" w:color="auto"/>
        <w:right w:val="none" w:sz="0" w:space="0" w:color="auto"/>
      </w:divBdr>
      <w:divsChild>
        <w:div w:id="122659846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11316283">
      <w:bodyDiv w:val="1"/>
      <w:marLeft w:val="0"/>
      <w:marRight w:val="0"/>
      <w:marTop w:val="0"/>
      <w:marBottom w:val="0"/>
      <w:divBdr>
        <w:top w:val="none" w:sz="0" w:space="0" w:color="auto"/>
        <w:left w:val="none" w:sz="0" w:space="0" w:color="auto"/>
        <w:bottom w:val="none" w:sz="0" w:space="0" w:color="auto"/>
        <w:right w:val="none" w:sz="0" w:space="0" w:color="auto"/>
      </w:divBdr>
    </w:div>
    <w:div w:id="1487892574">
      <w:bodyDiv w:val="1"/>
      <w:marLeft w:val="0"/>
      <w:marRight w:val="0"/>
      <w:marTop w:val="0"/>
      <w:marBottom w:val="0"/>
      <w:divBdr>
        <w:top w:val="none" w:sz="0" w:space="0" w:color="auto"/>
        <w:left w:val="none" w:sz="0" w:space="0" w:color="auto"/>
        <w:bottom w:val="none" w:sz="0" w:space="0" w:color="auto"/>
        <w:right w:val="none" w:sz="0" w:space="0" w:color="auto"/>
      </w:divBdr>
    </w:div>
    <w:div w:id="1788305113">
      <w:bodyDiv w:val="1"/>
      <w:marLeft w:val="0"/>
      <w:marRight w:val="0"/>
      <w:marTop w:val="0"/>
      <w:marBottom w:val="0"/>
      <w:divBdr>
        <w:top w:val="none" w:sz="0" w:space="0" w:color="auto"/>
        <w:left w:val="none" w:sz="0" w:space="0" w:color="auto"/>
        <w:bottom w:val="none" w:sz="0" w:space="0" w:color="auto"/>
        <w:right w:val="none" w:sz="0" w:space="0" w:color="auto"/>
      </w:divBdr>
      <w:divsChild>
        <w:div w:id="999163357">
          <w:marLeft w:val="0"/>
          <w:marRight w:val="0"/>
          <w:marTop w:val="0"/>
          <w:marBottom w:val="0"/>
          <w:divBdr>
            <w:top w:val="none" w:sz="0" w:space="0" w:color="auto"/>
            <w:left w:val="none" w:sz="0" w:space="0" w:color="auto"/>
            <w:bottom w:val="none" w:sz="0" w:space="0" w:color="auto"/>
            <w:right w:val="none" w:sz="0" w:space="0" w:color="auto"/>
          </w:divBdr>
          <w:divsChild>
            <w:div w:id="1220287314">
              <w:marLeft w:val="0"/>
              <w:marRight w:val="0"/>
              <w:marTop w:val="0"/>
              <w:marBottom w:val="0"/>
              <w:divBdr>
                <w:top w:val="none" w:sz="0" w:space="0" w:color="auto"/>
                <w:left w:val="none" w:sz="0" w:space="0" w:color="auto"/>
                <w:bottom w:val="none" w:sz="0" w:space="0" w:color="auto"/>
                <w:right w:val="none" w:sz="0" w:space="0" w:color="auto"/>
              </w:divBdr>
              <w:divsChild>
                <w:div w:id="495458117">
                  <w:marLeft w:val="0"/>
                  <w:marRight w:val="0"/>
                  <w:marTop w:val="0"/>
                  <w:marBottom w:val="0"/>
                  <w:divBdr>
                    <w:top w:val="none" w:sz="0" w:space="0" w:color="auto"/>
                    <w:left w:val="none" w:sz="0" w:space="0" w:color="auto"/>
                    <w:bottom w:val="none" w:sz="0" w:space="0" w:color="auto"/>
                    <w:right w:val="none" w:sz="0" w:space="0" w:color="auto"/>
                  </w:divBdr>
                  <w:divsChild>
                    <w:div w:id="208616109">
                      <w:marLeft w:val="0"/>
                      <w:marRight w:val="0"/>
                      <w:marTop w:val="0"/>
                      <w:marBottom w:val="0"/>
                      <w:divBdr>
                        <w:top w:val="none" w:sz="0" w:space="0" w:color="auto"/>
                        <w:left w:val="none" w:sz="0" w:space="0" w:color="auto"/>
                        <w:bottom w:val="none" w:sz="0" w:space="0" w:color="auto"/>
                        <w:right w:val="none" w:sz="0" w:space="0" w:color="auto"/>
                      </w:divBdr>
                      <w:divsChild>
                        <w:div w:id="1716855778">
                          <w:marLeft w:val="0"/>
                          <w:marRight w:val="0"/>
                          <w:marTop w:val="0"/>
                          <w:marBottom w:val="0"/>
                          <w:divBdr>
                            <w:top w:val="none" w:sz="0" w:space="0" w:color="auto"/>
                            <w:left w:val="none" w:sz="0" w:space="0" w:color="auto"/>
                            <w:bottom w:val="none" w:sz="0" w:space="0" w:color="auto"/>
                            <w:right w:val="none" w:sz="0" w:space="0" w:color="auto"/>
                          </w:divBdr>
                          <w:divsChild>
                            <w:div w:id="15443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ldis.Lipski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4DA9-0A8B-4CB3-A54A-72AAD952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1144</Words>
  <Characters>8127</Characters>
  <Application>Microsoft Office Word</Application>
  <DocSecurity>0</DocSecurity>
  <Lines>290</Lines>
  <Paragraphs>162</Paragraphs>
  <ScaleCrop>false</ScaleCrop>
  <HeadingPairs>
    <vt:vector size="2" baseType="variant">
      <vt:variant>
        <vt:lpstr>Title</vt:lpstr>
      </vt:variant>
      <vt:variant>
        <vt:i4>1</vt:i4>
      </vt:variant>
    </vt:vector>
  </HeadingPairs>
  <TitlesOfParts>
    <vt:vector size="1" baseType="lpstr">
      <vt:lpstr>Ministru kabineta instrukcijas projekts “Tiesību akta projekta sākotnējās ietekmes izvērtēšanas kārtība”</vt:lpstr>
    </vt:vector>
  </TitlesOfParts>
  <Company>EM ITD</Company>
  <LinksUpToDate>false</LinksUpToDate>
  <CharactersWithSpaces>9109</CharactersWithSpaces>
  <SharedDoc>false</SharedDoc>
  <HLinks>
    <vt:vector size="6" baseType="variant">
      <vt:variant>
        <vt:i4>6881366</vt:i4>
      </vt:variant>
      <vt:variant>
        <vt:i4>3</vt:i4>
      </vt:variant>
      <vt:variant>
        <vt:i4>0</vt:i4>
      </vt:variant>
      <vt:variant>
        <vt:i4>5</vt:i4>
      </vt:variant>
      <vt:variant>
        <vt:lpwstr>mailto:edijs.saicans@em.gov.lv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“Tiesību akta projekta sākotnējās ietekmes izvērtēšanas kārtība”</dc:title>
  <dc:subject>Instrukcijas pielikums</dc:subject>
  <dc:creator>Edijs Šaicāns</dc:creator>
  <cp:lastModifiedBy>Valdis Lipskis</cp:lastModifiedBy>
  <cp:revision>5</cp:revision>
  <cp:lastPrinted>2015-03-19T15:01:00Z</cp:lastPrinted>
  <dcterms:created xsi:type="dcterms:W3CDTF">2015-03-09T09:54:00Z</dcterms:created>
  <dcterms:modified xsi:type="dcterms:W3CDTF">2015-03-19T15:14:00Z</dcterms:modified>
</cp:coreProperties>
</file>