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EF" w:rsidRPr="001E5601" w:rsidRDefault="00410EEF" w:rsidP="001E5601">
      <w:pPr>
        <w:rPr>
          <w:b/>
          <w:sz w:val="28"/>
          <w:szCs w:val="28"/>
        </w:rPr>
      </w:pPr>
      <w:bookmarkStart w:id="0" w:name="_GoBack"/>
      <w:bookmarkEnd w:id="0"/>
    </w:p>
    <w:p w:rsidR="00BA39F4" w:rsidRPr="001E5601" w:rsidRDefault="00BA39F4" w:rsidP="00A31BCB">
      <w:pPr>
        <w:ind w:firstLine="720"/>
        <w:jc w:val="center"/>
        <w:rPr>
          <w:b/>
          <w:sz w:val="28"/>
          <w:szCs w:val="28"/>
        </w:rPr>
      </w:pPr>
      <w:r w:rsidRPr="001E5601">
        <w:rPr>
          <w:b/>
          <w:sz w:val="28"/>
          <w:szCs w:val="28"/>
        </w:rPr>
        <w:t>Ministru kabineta noteikumu projekta „Grozījum</w:t>
      </w:r>
      <w:r w:rsidR="00046806">
        <w:rPr>
          <w:b/>
          <w:sz w:val="28"/>
          <w:szCs w:val="28"/>
        </w:rPr>
        <w:t>i</w:t>
      </w:r>
      <w:r w:rsidRPr="001E5601">
        <w:rPr>
          <w:b/>
          <w:sz w:val="28"/>
          <w:szCs w:val="28"/>
        </w:rPr>
        <w:t xml:space="preserve"> Ministru kabineta 2005. gada 30. augusta noteikumos Nr. 664 „Sabiedrisko pakalpojumu licencēšanas noteikumi”” sākotnējās ietekmes novērtējuma ziņojums </w:t>
      </w:r>
      <w:r w:rsidR="00941070">
        <w:rPr>
          <w:b/>
          <w:sz w:val="28"/>
          <w:szCs w:val="28"/>
        </w:rPr>
        <w:t>(</w:t>
      </w:r>
      <w:r w:rsidRPr="001E5601">
        <w:rPr>
          <w:b/>
          <w:sz w:val="28"/>
          <w:szCs w:val="28"/>
        </w:rPr>
        <w:t>anotācija)</w:t>
      </w:r>
    </w:p>
    <w:p w:rsidR="00457DDA" w:rsidRPr="001E5601" w:rsidRDefault="00457DDA" w:rsidP="00A31BCB">
      <w:pPr>
        <w:ind w:firstLine="720"/>
        <w:jc w:val="center"/>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677"/>
        <w:gridCol w:w="6266"/>
      </w:tblGrid>
      <w:tr w:rsidR="00FB1F5C" w:rsidRPr="001E5601" w:rsidTr="007567EE">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1E5601" w:rsidRDefault="00A31BCB" w:rsidP="007567EE">
            <w:pPr>
              <w:ind w:firstLine="300"/>
              <w:jc w:val="center"/>
              <w:rPr>
                <w:b/>
                <w:bCs/>
                <w:sz w:val="28"/>
                <w:szCs w:val="28"/>
                <w:lang w:eastAsia="lv-LV"/>
              </w:rPr>
            </w:pPr>
            <w:r w:rsidRPr="001E5601">
              <w:rPr>
                <w:b/>
                <w:bCs/>
                <w:sz w:val="28"/>
                <w:szCs w:val="28"/>
                <w:lang w:eastAsia="lv-LV"/>
              </w:rPr>
              <w:t>I. Tiesību akta projekta izstrādes nepieciešamība</w:t>
            </w:r>
          </w:p>
        </w:tc>
      </w:tr>
      <w:tr w:rsidR="00FB1F5C" w:rsidRPr="001E5601" w:rsidTr="00941070">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jc w:val="both"/>
              <w:rPr>
                <w:iCs/>
                <w:sz w:val="28"/>
                <w:szCs w:val="28"/>
              </w:rPr>
            </w:pPr>
            <w:r w:rsidRPr="001E5601">
              <w:rPr>
                <w:iCs/>
                <w:sz w:val="28"/>
                <w:szCs w:val="28"/>
              </w:rPr>
              <w:t>1.</w:t>
            </w:r>
          </w:p>
        </w:tc>
        <w:tc>
          <w:tcPr>
            <w:tcW w:w="1422"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jc w:val="both"/>
              <w:rPr>
                <w:iCs/>
                <w:sz w:val="28"/>
                <w:szCs w:val="28"/>
              </w:rPr>
            </w:pPr>
            <w:r w:rsidRPr="001E5601">
              <w:rPr>
                <w:iCs/>
                <w:sz w:val="28"/>
                <w:szCs w:val="28"/>
              </w:rPr>
              <w:t>Pamatojums</w:t>
            </w:r>
          </w:p>
        </w:tc>
        <w:tc>
          <w:tcPr>
            <w:tcW w:w="3327" w:type="pct"/>
            <w:tcBorders>
              <w:top w:val="outset" w:sz="6" w:space="0" w:color="414142"/>
              <w:left w:val="outset" w:sz="6" w:space="0" w:color="414142"/>
              <w:bottom w:val="outset" w:sz="6" w:space="0" w:color="414142"/>
              <w:right w:val="outset" w:sz="6" w:space="0" w:color="414142"/>
            </w:tcBorders>
            <w:hideMark/>
          </w:tcPr>
          <w:p w:rsidR="007F33F8" w:rsidRPr="001E5601" w:rsidRDefault="00DA0B8C" w:rsidP="00941070">
            <w:pPr>
              <w:pStyle w:val="naisf"/>
              <w:tabs>
                <w:tab w:val="left" w:pos="995"/>
              </w:tabs>
              <w:spacing w:before="0" w:after="0"/>
              <w:ind w:left="70"/>
              <w:jc w:val="both"/>
              <w:rPr>
                <w:sz w:val="28"/>
                <w:szCs w:val="28"/>
              </w:rPr>
            </w:pPr>
            <w:r w:rsidRPr="001E5601">
              <w:rPr>
                <w:sz w:val="28"/>
                <w:szCs w:val="28"/>
                <w:lang w:eastAsia="lv-LV"/>
              </w:rPr>
              <w:t>1.Likuma „Par sabiedrisko pakalpojumu regulatoriem” 16. panta otrā daļa un 18. panta pirmā daļa</w:t>
            </w:r>
            <w:r w:rsidR="00941070">
              <w:rPr>
                <w:sz w:val="28"/>
                <w:szCs w:val="28"/>
                <w:lang w:eastAsia="lv-LV"/>
              </w:rPr>
              <w:t xml:space="preserve"> un Elektroenerģijas tirgus likuma </w:t>
            </w:r>
            <w:r w:rsidR="00941070" w:rsidRPr="007567EE">
              <w:rPr>
                <w:sz w:val="28"/>
                <w:szCs w:val="28"/>
              </w:rPr>
              <w:t>32.</w:t>
            </w:r>
            <w:r w:rsidR="00941070" w:rsidRPr="007567EE">
              <w:rPr>
                <w:sz w:val="28"/>
                <w:szCs w:val="28"/>
                <w:vertAlign w:val="superscript"/>
              </w:rPr>
              <w:t>1</w:t>
            </w:r>
            <w:r w:rsidR="00941070">
              <w:rPr>
                <w:sz w:val="28"/>
                <w:szCs w:val="28"/>
                <w:vertAlign w:val="superscript"/>
              </w:rPr>
              <w:t xml:space="preserve"> </w:t>
            </w:r>
            <w:r w:rsidR="00941070" w:rsidRPr="007567EE">
              <w:rPr>
                <w:sz w:val="28"/>
                <w:szCs w:val="28"/>
              </w:rPr>
              <w:t>panta pirmā daļa</w:t>
            </w:r>
            <w:r w:rsidRPr="001E5601">
              <w:rPr>
                <w:sz w:val="28"/>
                <w:szCs w:val="28"/>
                <w:lang w:eastAsia="lv-LV"/>
              </w:rPr>
              <w:t>.</w:t>
            </w:r>
          </w:p>
        </w:tc>
      </w:tr>
      <w:tr w:rsidR="00FB1F5C" w:rsidRPr="001E5601" w:rsidTr="0094107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jc w:val="both"/>
              <w:rPr>
                <w:iCs/>
                <w:sz w:val="28"/>
                <w:szCs w:val="28"/>
              </w:rPr>
            </w:pPr>
            <w:r w:rsidRPr="001E5601">
              <w:rPr>
                <w:iCs/>
                <w:sz w:val="28"/>
                <w:szCs w:val="28"/>
              </w:rPr>
              <w:t>2.</w:t>
            </w:r>
          </w:p>
        </w:tc>
        <w:tc>
          <w:tcPr>
            <w:tcW w:w="1422"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E97F6B">
            <w:pPr>
              <w:rPr>
                <w:iCs/>
                <w:sz w:val="28"/>
                <w:szCs w:val="28"/>
              </w:rPr>
            </w:pPr>
            <w:r w:rsidRPr="001E5601">
              <w:rPr>
                <w:iCs/>
                <w:sz w:val="28"/>
                <w:szCs w:val="28"/>
              </w:rPr>
              <w:t>Pašreizējā situācija un problēmas, kuru risināšanai tiesību akta projekts izstrādāts, tiesiskā regulējuma mērķis un būtība</w:t>
            </w:r>
          </w:p>
        </w:tc>
        <w:tc>
          <w:tcPr>
            <w:tcW w:w="3327" w:type="pct"/>
            <w:tcBorders>
              <w:top w:val="outset" w:sz="6" w:space="0" w:color="414142"/>
              <w:left w:val="outset" w:sz="6" w:space="0" w:color="414142"/>
              <w:bottom w:val="outset" w:sz="6" w:space="0" w:color="414142"/>
              <w:right w:val="outset" w:sz="6" w:space="0" w:color="414142"/>
            </w:tcBorders>
            <w:hideMark/>
          </w:tcPr>
          <w:p w:rsidR="007567EE" w:rsidRDefault="007567EE" w:rsidP="00941070">
            <w:pPr>
              <w:ind w:firstLine="396"/>
              <w:jc w:val="both"/>
              <w:rPr>
                <w:sz w:val="28"/>
                <w:szCs w:val="28"/>
              </w:rPr>
            </w:pPr>
            <w:r>
              <w:rPr>
                <w:sz w:val="28"/>
                <w:szCs w:val="28"/>
              </w:rPr>
              <w:t xml:space="preserve">1. </w:t>
            </w:r>
            <w:r w:rsidRPr="007567EE">
              <w:rPr>
                <w:sz w:val="28"/>
                <w:szCs w:val="28"/>
              </w:rPr>
              <w:t>Ar 2014.</w:t>
            </w:r>
            <w:r w:rsidR="00E155B1">
              <w:rPr>
                <w:sz w:val="28"/>
                <w:szCs w:val="28"/>
              </w:rPr>
              <w:t xml:space="preserve"> </w:t>
            </w:r>
            <w:r w:rsidRPr="007567EE">
              <w:rPr>
                <w:sz w:val="28"/>
                <w:szCs w:val="28"/>
              </w:rPr>
              <w:t>gada 17.</w:t>
            </w:r>
            <w:r w:rsidR="00E155B1">
              <w:rPr>
                <w:sz w:val="28"/>
                <w:szCs w:val="28"/>
              </w:rPr>
              <w:t xml:space="preserve"> </w:t>
            </w:r>
            <w:r w:rsidRPr="007567EE">
              <w:rPr>
                <w:sz w:val="28"/>
                <w:szCs w:val="28"/>
              </w:rPr>
              <w:t>decembra likumu “Grozījumi Elektroenerģijas tirgus likumā”, kas stājās spēkā 2015.</w:t>
            </w:r>
            <w:r w:rsidR="00E155B1">
              <w:rPr>
                <w:sz w:val="28"/>
                <w:szCs w:val="28"/>
              </w:rPr>
              <w:t xml:space="preserve"> </w:t>
            </w:r>
            <w:r w:rsidRPr="007567EE">
              <w:rPr>
                <w:sz w:val="28"/>
                <w:szCs w:val="28"/>
              </w:rPr>
              <w:t>gada 1.</w:t>
            </w:r>
            <w:r w:rsidR="00E155B1">
              <w:rPr>
                <w:sz w:val="28"/>
                <w:szCs w:val="28"/>
              </w:rPr>
              <w:t xml:space="preserve"> </w:t>
            </w:r>
            <w:r w:rsidRPr="007567EE">
              <w:rPr>
                <w:sz w:val="28"/>
                <w:szCs w:val="28"/>
              </w:rPr>
              <w:t>janvārī, Elektroenerģijas tirgus likuma 32.</w:t>
            </w:r>
            <w:r w:rsidR="00E155B1">
              <w:rPr>
                <w:sz w:val="28"/>
                <w:szCs w:val="28"/>
              </w:rPr>
              <w:t xml:space="preserve"> </w:t>
            </w:r>
            <w:r w:rsidRPr="007567EE">
              <w:rPr>
                <w:sz w:val="28"/>
                <w:szCs w:val="28"/>
              </w:rPr>
              <w:t>panta otrā daļa, kas paredzēja licences izsniegšanu publiskajam tirgotājam, tika izslēgta. Turklāt Elektroenerģijas tirgus likuma 32.</w:t>
            </w:r>
            <w:r w:rsidRPr="007567EE">
              <w:rPr>
                <w:sz w:val="28"/>
                <w:szCs w:val="28"/>
                <w:vertAlign w:val="superscript"/>
              </w:rPr>
              <w:t>1</w:t>
            </w:r>
            <w:r w:rsidR="00E155B1">
              <w:rPr>
                <w:sz w:val="28"/>
                <w:szCs w:val="28"/>
                <w:vertAlign w:val="superscript"/>
              </w:rPr>
              <w:t xml:space="preserve"> </w:t>
            </w:r>
            <w:r w:rsidRPr="007567EE">
              <w:rPr>
                <w:sz w:val="28"/>
                <w:szCs w:val="28"/>
              </w:rPr>
              <w:t xml:space="preserve">panta pirmā daļa tika izteikta jaunā redakcijā, paredzot, ka elektroenerģijas publiskajam tirgotājam tāpat kā citiem elektroenerģijas tirgotājiem ir tiesības uzsākt elektroenerģijas tirdzniecību, ja tas reģistrēts elektroenerģijas tirgotāju reģistrā. Līdz ar to </w:t>
            </w:r>
            <w:r>
              <w:rPr>
                <w:sz w:val="28"/>
                <w:szCs w:val="28"/>
              </w:rPr>
              <w:t xml:space="preserve">Elektroenerģijas tirgus likums vairs neparedz licences izsniegšanu elektroenerģijas tirdzniecībai, </w:t>
            </w:r>
            <w:r w:rsidRPr="007567EE">
              <w:rPr>
                <w:sz w:val="28"/>
                <w:szCs w:val="28"/>
              </w:rPr>
              <w:t>visi elektroenerģijas tirgotāji, tostarp publiskais tirgotājs, tiek reģistrēti elektroenerģijas tirgotāju reģistrā.</w:t>
            </w:r>
          </w:p>
          <w:p w:rsidR="007567EE" w:rsidRDefault="007567EE" w:rsidP="007567EE">
            <w:pPr>
              <w:jc w:val="both"/>
              <w:rPr>
                <w:color w:val="000000" w:themeColor="text1"/>
                <w:sz w:val="28"/>
                <w:szCs w:val="28"/>
              </w:rPr>
            </w:pPr>
            <w:r w:rsidRPr="001E5601">
              <w:rPr>
                <w:color w:val="000000" w:themeColor="text1"/>
                <w:sz w:val="28"/>
                <w:szCs w:val="28"/>
              </w:rPr>
              <w:t xml:space="preserve">Tiesību akta projekts paredz veikt redakcionālus precizējumus, no </w:t>
            </w:r>
            <w:r w:rsidR="00EE6365">
              <w:rPr>
                <w:color w:val="000000" w:themeColor="text1"/>
                <w:sz w:val="28"/>
                <w:szCs w:val="28"/>
              </w:rPr>
              <w:t xml:space="preserve">spēkā esošajiem noteikumiem svītrojot atsauces uz elektroenerģijas tirdzniecību, </w:t>
            </w:r>
            <w:r w:rsidRPr="001E5601">
              <w:rPr>
                <w:color w:val="000000" w:themeColor="text1"/>
                <w:sz w:val="28"/>
                <w:szCs w:val="28"/>
              </w:rPr>
              <w:t xml:space="preserve">lai nodrošinātu tiesiskā regulējuma atbilstību </w:t>
            </w:r>
            <w:r w:rsidR="00EE6365">
              <w:rPr>
                <w:color w:val="000000" w:themeColor="text1"/>
                <w:sz w:val="28"/>
                <w:szCs w:val="28"/>
              </w:rPr>
              <w:t xml:space="preserve">Elektroenerģijas tirgus </w:t>
            </w:r>
            <w:r w:rsidRPr="001E5601">
              <w:rPr>
                <w:color w:val="000000" w:themeColor="text1"/>
                <w:sz w:val="28"/>
                <w:szCs w:val="28"/>
              </w:rPr>
              <w:t>likumā noteiktajam.</w:t>
            </w:r>
          </w:p>
          <w:p w:rsidR="00DA0B8C" w:rsidRPr="001E5601" w:rsidRDefault="00EE6365" w:rsidP="00941070">
            <w:pPr>
              <w:ind w:firstLine="396"/>
              <w:jc w:val="both"/>
              <w:rPr>
                <w:color w:val="000000"/>
                <w:sz w:val="28"/>
                <w:szCs w:val="28"/>
              </w:rPr>
            </w:pPr>
            <w:r>
              <w:rPr>
                <w:sz w:val="28"/>
                <w:szCs w:val="28"/>
              </w:rPr>
              <w:t xml:space="preserve">2. </w:t>
            </w:r>
            <w:r w:rsidR="00DA0B8C" w:rsidRPr="001E5601">
              <w:rPr>
                <w:sz w:val="28"/>
                <w:szCs w:val="28"/>
              </w:rPr>
              <w:t>Saeima 2014.</w:t>
            </w:r>
            <w:r w:rsidR="00010A5F" w:rsidRPr="001E5601">
              <w:rPr>
                <w:sz w:val="28"/>
                <w:szCs w:val="28"/>
              </w:rPr>
              <w:t> </w:t>
            </w:r>
            <w:r w:rsidR="00DA0B8C" w:rsidRPr="001E5601">
              <w:rPr>
                <w:sz w:val="28"/>
                <w:szCs w:val="28"/>
              </w:rPr>
              <w:t>gada 25.</w:t>
            </w:r>
            <w:r w:rsidR="00010A5F" w:rsidRPr="001E5601">
              <w:rPr>
                <w:sz w:val="28"/>
                <w:szCs w:val="28"/>
              </w:rPr>
              <w:t> </w:t>
            </w:r>
            <w:r w:rsidR="00DA0B8C" w:rsidRPr="001E5601">
              <w:rPr>
                <w:sz w:val="28"/>
                <w:szCs w:val="28"/>
              </w:rPr>
              <w:t xml:space="preserve">septembrī pieņēma likumu „Grozījumi likumā „Par sabiedrisko pakalpojumu regulatoriem””, papildinot likumu, tai skaitā ar </w:t>
            </w:r>
            <w:r w:rsidR="00DA0B8C" w:rsidRPr="001E5601">
              <w:rPr>
                <w:color w:val="000000"/>
                <w:sz w:val="28"/>
                <w:szCs w:val="28"/>
              </w:rPr>
              <w:t>18.</w:t>
            </w:r>
            <w:r w:rsidR="00DA0B8C" w:rsidRPr="001E5601">
              <w:rPr>
                <w:color w:val="000000"/>
                <w:sz w:val="28"/>
                <w:szCs w:val="28"/>
                <w:vertAlign w:val="superscript"/>
              </w:rPr>
              <w:t>1</w:t>
            </w:r>
            <w:r w:rsidR="00DA0B8C" w:rsidRPr="001E5601">
              <w:rPr>
                <w:color w:val="000000"/>
                <w:sz w:val="28"/>
                <w:szCs w:val="28"/>
              </w:rPr>
              <w:t> pantu - Sabiedrisko pakalpojumu sniedzēju reģistrēšana.</w:t>
            </w:r>
          </w:p>
          <w:p w:rsidR="00DA0B8C" w:rsidRPr="001E5601" w:rsidRDefault="00DA0B8C" w:rsidP="00BA47D3">
            <w:pPr>
              <w:jc w:val="both"/>
              <w:rPr>
                <w:sz w:val="28"/>
                <w:szCs w:val="28"/>
              </w:rPr>
            </w:pPr>
            <w:r w:rsidRPr="001E5601">
              <w:rPr>
                <w:color w:val="000000"/>
                <w:sz w:val="28"/>
                <w:szCs w:val="28"/>
              </w:rPr>
              <w:t xml:space="preserve">Regulators, pamatojoties uz likuma </w:t>
            </w:r>
            <w:r w:rsidRPr="001E5601">
              <w:rPr>
                <w:sz w:val="28"/>
                <w:szCs w:val="28"/>
              </w:rPr>
              <w:t>„Par sabiedrisko pakalpojumu regulatoriem”</w:t>
            </w:r>
            <w:r w:rsidRPr="001E5601">
              <w:rPr>
                <w:color w:val="000000"/>
                <w:sz w:val="28"/>
                <w:szCs w:val="28"/>
              </w:rPr>
              <w:t xml:space="preserve"> 18.</w:t>
            </w:r>
            <w:r w:rsidRPr="001E5601">
              <w:rPr>
                <w:color w:val="000000"/>
                <w:sz w:val="28"/>
                <w:szCs w:val="28"/>
                <w:vertAlign w:val="superscript"/>
              </w:rPr>
              <w:t>1</w:t>
            </w:r>
            <w:r w:rsidRPr="001E5601">
              <w:rPr>
                <w:color w:val="000000"/>
                <w:sz w:val="28"/>
                <w:szCs w:val="28"/>
              </w:rPr>
              <w:t> panta otro un ceturto daļu nosaka</w:t>
            </w:r>
            <w:r w:rsidRPr="001E5601">
              <w:rPr>
                <w:sz w:val="28"/>
                <w:szCs w:val="28"/>
              </w:rPr>
              <w:t xml:space="preserve"> sabiedriskā pakalpojuma sniegšanas vispārējās atļaujas noteikumus (turpmāk — vispārējās atļaujas noteikumi), kas ir saistoši visiem reģistrētajiem sabiedrisko pakalpojumu sniedzējiem, </w:t>
            </w:r>
            <w:r w:rsidRPr="001E5601">
              <w:rPr>
                <w:sz w:val="28"/>
                <w:szCs w:val="28"/>
              </w:rPr>
              <w:lastRenderedPageBreak/>
              <w:t>kuru darbību nepieciešams regulēt un kuriem saskaņā ar regulējamo nozaru speciālajiem normatīvajiem aktiem nav vajadzīga licence.</w:t>
            </w:r>
          </w:p>
          <w:p w:rsidR="00DA0B8C" w:rsidRPr="001E5601" w:rsidRDefault="00DA0B8C" w:rsidP="00BA47D3">
            <w:pPr>
              <w:pStyle w:val="Parastais"/>
              <w:jc w:val="both"/>
              <w:rPr>
                <w:color w:val="000000" w:themeColor="text1"/>
                <w:sz w:val="28"/>
                <w:szCs w:val="28"/>
              </w:rPr>
            </w:pPr>
            <w:r w:rsidRPr="001E5601">
              <w:rPr>
                <w:color w:val="000000" w:themeColor="text1"/>
                <w:sz w:val="28"/>
                <w:szCs w:val="28"/>
              </w:rPr>
              <w:t xml:space="preserve">Turpmāk regulējamie ūdenssaimniecības nozares komersanti un regulējamie sadzīves atkritumu apsaimniekošanas nozares komersanti, pamatojoties uz likuma </w:t>
            </w:r>
            <w:r w:rsidRPr="001E5601">
              <w:rPr>
                <w:sz w:val="28"/>
                <w:szCs w:val="28"/>
              </w:rPr>
              <w:t xml:space="preserve">„Par sabiedrisko pakalpojumu regulatoriem” un </w:t>
            </w:r>
            <w:r w:rsidRPr="001E5601">
              <w:rPr>
                <w:color w:val="000000" w:themeColor="text1"/>
                <w:sz w:val="28"/>
                <w:szCs w:val="28"/>
              </w:rPr>
              <w:t xml:space="preserve">saskaņā ar vispārējas atļaujas un reģistrēšanas noteikumiem attiecīgajā nozarē tiks reģistrēti nevis licencēti. </w:t>
            </w:r>
          </w:p>
          <w:p w:rsidR="00A31BCB" w:rsidRPr="001E5601" w:rsidRDefault="00DA0B8C" w:rsidP="00BA47D3">
            <w:pPr>
              <w:pStyle w:val="naisf"/>
              <w:spacing w:before="0" w:after="0"/>
              <w:jc w:val="both"/>
              <w:rPr>
                <w:sz w:val="28"/>
                <w:szCs w:val="28"/>
              </w:rPr>
            </w:pPr>
            <w:r w:rsidRPr="001E5601">
              <w:rPr>
                <w:color w:val="000000" w:themeColor="text1"/>
                <w:sz w:val="28"/>
                <w:szCs w:val="28"/>
              </w:rPr>
              <w:t>Tiesību akta projekts paredz veikt redakcionālus precizējumus, no sabiedrisko pakalpojumu sniegšanas un regulējamo nozaru komersantu licencēšanas kārtības svītrojot norādes uz ūdenssaimniecības pakalpojumu un sadzīves atkritumu apglabāšanu atkritumu poligonos pakalpojumu sniegšanai iesniedzamo informāciju, lai nodrošinātu tiesiskā regulējuma atbilstību likumā „</w:t>
            </w:r>
            <w:hyperlink r:id="rId9" w:history="1">
              <w:r w:rsidRPr="001E5601">
                <w:rPr>
                  <w:rStyle w:val="Hyperlink"/>
                  <w:color w:val="000000" w:themeColor="text1"/>
                  <w:sz w:val="28"/>
                  <w:szCs w:val="28"/>
                  <w:u w:val="none"/>
                </w:rPr>
                <w:t>Par sabiedrisko pakalpojumu</w:t>
              </w:r>
            </w:hyperlink>
            <w:r w:rsidRPr="001E5601">
              <w:rPr>
                <w:color w:val="000000" w:themeColor="text1"/>
                <w:sz w:val="28"/>
                <w:szCs w:val="28"/>
              </w:rPr>
              <w:t xml:space="preserve"> </w:t>
            </w:r>
            <w:hyperlink r:id="rId10" w:history="1">
              <w:r w:rsidRPr="001E5601">
                <w:rPr>
                  <w:rStyle w:val="Hyperlink"/>
                  <w:color w:val="000000" w:themeColor="text1"/>
                  <w:sz w:val="28"/>
                  <w:szCs w:val="28"/>
                  <w:u w:val="none"/>
                </w:rPr>
                <w:t>regulatoriem</w:t>
              </w:r>
            </w:hyperlink>
            <w:r w:rsidRPr="001E5601">
              <w:rPr>
                <w:color w:val="000000" w:themeColor="text1"/>
                <w:sz w:val="28"/>
                <w:szCs w:val="28"/>
              </w:rPr>
              <w:t>” noteiktajam.</w:t>
            </w:r>
          </w:p>
        </w:tc>
      </w:tr>
      <w:tr w:rsidR="00FB1F5C" w:rsidRPr="001E5601" w:rsidTr="0094107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sz w:val="28"/>
                <w:szCs w:val="28"/>
                <w:lang w:eastAsia="lv-LV"/>
              </w:rPr>
            </w:pPr>
            <w:r w:rsidRPr="001E5601">
              <w:rPr>
                <w:sz w:val="28"/>
                <w:szCs w:val="28"/>
                <w:lang w:eastAsia="lv-LV"/>
              </w:rPr>
              <w:lastRenderedPageBreak/>
              <w:t>3.</w:t>
            </w:r>
          </w:p>
        </w:tc>
        <w:tc>
          <w:tcPr>
            <w:tcW w:w="1422"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E97F6B">
            <w:pPr>
              <w:rPr>
                <w:iCs/>
                <w:sz w:val="28"/>
                <w:szCs w:val="28"/>
              </w:rPr>
            </w:pPr>
            <w:r w:rsidRPr="001E5601">
              <w:rPr>
                <w:iCs/>
                <w:sz w:val="28"/>
                <w:szCs w:val="28"/>
              </w:rPr>
              <w:t>Projekta izstrādē iesaistītās institūcijas</w:t>
            </w:r>
          </w:p>
        </w:tc>
        <w:tc>
          <w:tcPr>
            <w:tcW w:w="3327" w:type="pct"/>
            <w:tcBorders>
              <w:top w:val="outset" w:sz="6" w:space="0" w:color="414142"/>
              <w:left w:val="outset" w:sz="6" w:space="0" w:color="414142"/>
              <w:bottom w:val="outset" w:sz="6" w:space="0" w:color="414142"/>
              <w:right w:val="outset" w:sz="6" w:space="0" w:color="414142"/>
            </w:tcBorders>
            <w:hideMark/>
          </w:tcPr>
          <w:p w:rsidR="00DA0B8C" w:rsidRPr="001E5601" w:rsidRDefault="00DA0B8C" w:rsidP="00EF4083">
            <w:pPr>
              <w:rPr>
                <w:iCs/>
                <w:sz w:val="28"/>
                <w:szCs w:val="28"/>
              </w:rPr>
            </w:pPr>
            <w:r w:rsidRPr="001E5601">
              <w:rPr>
                <w:iCs/>
                <w:sz w:val="28"/>
                <w:szCs w:val="28"/>
              </w:rPr>
              <w:t>Ekonomikas ministrija</w:t>
            </w:r>
          </w:p>
          <w:p w:rsidR="00A31BCB" w:rsidRPr="001E5601" w:rsidRDefault="00EF4083" w:rsidP="00EF4083">
            <w:pPr>
              <w:rPr>
                <w:iCs/>
                <w:sz w:val="28"/>
                <w:szCs w:val="28"/>
              </w:rPr>
            </w:pPr>
            <w:r w:rsidRPr="001E5601">
              <w:rPr>
                <w:iCs/>
                <w:sz w:val="28"/>
                <w:szCs w:val="28"/>
              </w:rPr>
              <w:t>Sabiedrisko pakalpojumu regulēšanas komisija</w:t>
            </w:r>
          </w:p>
        </w:tc>
      </w:tr>
      <w:tr w:rsidR="00FB1F5C" w:rsidRPr="001E5601" w:rsidTr="00941070">
        <w:tc>
          <w:tcPr>
            <w:tcW w:w="250"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sz w:val="28"/>
                <w:szCs w:val="28"/>
                <w:lang w:eastAsia="lv-LV"/>
              </w:rPr>
            </w:pPr>
            <w:r w:rsidRPr="001E5601">
              <w:rPr>
                <w:sz w:val="28"/>
                <w:szCs w:val="28"/>
                <w:lang w:eastAsia="lv-LV"/>
              </w:rPr>
              <w:t>4.</w:t>
            </w:r>
          </w:p>
        </w:tc>
        <w:tc>
          <w:tcPr>
            <w:tcW w:w="1422"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iCs/>
                <w:sz w:val="28"/>
                <w:szCs w:val="28"/>
              </w:rPr>
            </w:pPr>
            <w:r w:rsidRPr="001E5601">
              <w:rPr>
                <w:iCs/>
                <w:sz w:val="28"/>
                <w:szCs w:val="28"/>
              </w:rPr>
              <w:t>Cita informācija</w:t>
            </w:r>
          </w:p>
        </w:tc>
        <w:tc>
          <w:tcPr>
            <w:tcW w:w="3327" w:type="pct"/>
            <w:tcBorders>
              <w:top w:val="outset" w:sz="6" w:space="0" w:color="414142"/>
              <w:left w:val="outset" w:sz="6" w:space="0" w:color="414142"/>
              <w:bottom w:val="outset" w:sz="6" w:space="0" w:color="414142"/>
              <w:right w:val="outset" w:sz="6" w:space="0" w:color="414142"/>
            </w:tcBorders>
            <w:hideMark/>
          </w:tcPr>
          <w:p w:rsidR="00A31BCB" w:rsidRPr="001E5601" w:rsidRDefault="00DB48D0" w:rsidP="00A47F41">
            <w:pPr>
              <w:jc w:val="both"/>
              <w:rPr>
                <w:iCs/>
                <w:sz w:val="28"/>
                <w:szCs w:val="28"/>
              </w:rPr>
            </w:pPr>
            <w:r w:rsidRPr="001E5601">
              <w:rPr>
                <w:iCs/>
                <w:sz w:val="28"/>
                <w:szCs w:val="28"/>
              </w:rPr>
              <w:t>Nav</w:t>
            </w:r>
          </w:p>
        </w:tc>
      </w:tr>
      <w:tr w:rsidR="00A31BCB" w:rsidRPr="001E5601" w:rsidTr="00A52F63">
        <w:tblPrEx>
          <w:tblBorders>
            <w:top w:val="none" w:sz="0" w:space="0" w:color="auto"/>
            <w:left w:val="none" w:sz="0" w:space="0" w:color="auto"/>
            <w:bottom w:val="single" w:sz="4" w:space="0" w:color="auto"/>
            <w:right w:val="none" w:sz="0" w:space="0" w:color="auto"/>
          </w:tblBorders>
        </w:tblPrEx>
        <w:trPr>
          <w:trHeight w:val="65"/>
        </w:trPr>
        <w:tc>
          <w:tcPr>
            <w:tcW w:w="5000" w:type="pct"/>
            <w:gridSpan w:val="3"/>
          </w:tcPr>
          <w:p w:rsidR="00FA5626" w:rsidRPr="001E5601" w:rsidRDefault="0067647F" w:rsidP="007567EE">
            <w:pPr>
              <w:tabs>
                <w:tab w:val="left" w:pos="990"/>
              </w:tabs>
              <w:rPr>
                <w:sz w:val="28"/>
                <w:szCs w:val="28"/>
                <w:lang w:eastAsia="lv-LV"/>
              </w:rPr>
            </w:pPr>
            <w:r w:rsidRPr="001E5601">
              <w:rPr>
                <w:sz w:val="28"/>
                <w:szCs w:val="28"/>
              </w:rPr>
              <w:br w:type="page"/>
            </w:r>
          </w:p>
        </w:tc>
      </w:tr>
    </w:tbl>
    <w:p w:rsidR="00A31BCB" w:rsidRPr="001E5601" w:rsidRDefault="00A31BCB" w:rsidP="00A31BCB">
      <w:pPr>
        <w:rPr>
          <w:vanish/>
          <w:sz w:val="28"/>
          <w:szCs w:val="28"/>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9"/>
        <w:gridCol w:w="2921"/>
        <w:gridCol w:w="6026"/>
      </w:tblGrid>
      <w:tr w:rsidR="00FB1F5C" w:rsidRPr="001E5601" w:rsidTr="007032C8">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A31BCB" w:rsidRPr="001E5601" w:rsidRDefault="00A31BCB" w:rsidP="007567EE">
            <w:pPr>
              <w:ind w:firstLine="300"/>
              <w:jc w:val="center"/>
              <w:rPr>
                <w:b/>
                <w:bCs/>
                <w:sz w:val="28"/>
                <w:szCs w:val="28"/>
                <w:lang w:eastAsia="lv-LV"/>
              </w:rPr>
            </w:pPr>
            <w:r w:rsidRPr="001E5601">
              <w:rPr>
                <w:b/>
                <w:bCs/>
                <w:sz w:val="28"/>
                <w:szCs w:val="28"/>
                <w:lang w:eastAsia="lv-LV"/>
              </w:rPr>
              <w:t>II. Tiesību akta projekta ietekme uz sabiedrību, tautsaimniecības attīstību un administratīvo slogu</w:t>
            </w:r>
          </w:p>
        </w:tc>
      </w:tr>
      <w:tr w:rsidR="00FB1F5C" w:rsidRPr="001E5601" w:rsidTr="007032C8">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iCs/>
                <w:sz w:val="28"/>
                <w:szCs w:val="28"/>
              </w:rPr>
            </w:pPr>
            <w:r w:rsidRPr="001E5601">
              <w:rPr>
                <w:iCs/>
                <w:sz w:val="28"/>
                <w:szCs w:val="28"/>
              </w:rPr>
              <w:t>1.</w:t>
            </w:r>
          </w:p>
        </w:tc>
        <w:tc>
          <w:tcPr>
            <w:tcW w:w="1551"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iCs/>
                <w:sz w:val="28"/>
                <w:szCs w:val="28"/>
              </w:rPr>
            </w:pPr>
            <w:r w:rsidRPr="001E5601">
              <w:rPr>
                <w:iCs/>
                <w:sz w:val="28"/>
                <w:szCs w:val="28"/>
              </w:rPr>
              <w:t xml:space="preserve">Sabiedrības </w:t>
            </w:r>
            <w:proofErr w:type="spellStart"/>
            <w:r w:rsidRPr="001E5601">
              <w:rPr>
                <w:iCs/>
                <w:sz w:val="28"/>
                <w:szCs w:val="28"/>
              </w:rPr>
              <w:t>mērķgrupas</w:t>
            </w:r>
            <w:proofErr w:type="spellEnd"/>
            <w:r w:rsidRPr="001E5601">
              <w:rPr>
                <w:iCs/>
                <w:sz w:val="28"/>
                <w:szCs w:val="28"/>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1E5601" w:rsidRDefault="00A36434" w:rsidP="007E35FF">
            <w:pPr>
              <w:jc w:val="both"/>
              <w:rPr>
                <w:sz w:val="28"/>
                <w:szCs w:val="28"/>
              </w:rPr>
            </w:pPr>
            <w:r w:rsidRPr="001E5601">
              <w:rPr>
                <w:sz w:val="28"/>
                <w:szCs w:val="28"/>
              </w:rPr>
              <w:t xml:space="preserve">Regulējamie </w:t>
            </w:r>
            <w:r w:rsidR="00AD5A55">
              <w:rPr>
                <w:sz w:val="28"/>
                <w:szCs w:val="28"/>
              </w:rPr>
              <w:t xml:space="preserve">elektroenerģijas tirgotāji, </w:t>
            </w:r>
            <w:r w:rsidRPr="001E5601">
              <w:rPr>
                <w:sz w:val="28"/>
                <w:szCs w:val="28"/>
              </w:rPr>
              <w:t>ūdenssaimniecības  nozares komersanti</w:t>
            </w:r>
            <w:r w:rsidRPr="001E5601">
              <w:rPr>
                <w:color w:val="000000" w:themeColor="text1"/>
                <w:sz w:val="28"/>
                <w:szCs w:val="28"/>
              </w:rPr>
              <w:t xml:space="preserve"> un regulējamie sadzīves atkritumu apsaimniekošanas nozares komersanti.</w:t>
            </w:r>
          </w:p>
        </w:tc>
      </w:tr>
      <w:tr w:rsidR="00FB1F5C" w:rsidRPr="001E5601" w:rsidTr="007032C8">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iCs/>
                <w:sz w:val="28"/>
                <w:szCs w:val="28"/>
              </w:rPr>
            </w:pPr>
            <w:r w:rsidRPr="001E5601">
              <w:rPr>
                <w:iCs/>
                <w:sz w:val="28"/>
                <w:szCs w:val="28"/>
              </w:rPr>
              <w:t>2.</w:t>
            </w:r>
          </w:p>
        </w:tc>
        <w:tc>
          <w:tcPr>
            <w:tcW w:w="1551"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iCs/>
                <w:sz w:val="28"/>
                <w:szCs w:val="28"/>
              </w:rPr>
            </w:pPr>
            <w:r w:rsidRPr="001E5601">
              <w:rPr>
                <w:iCs/>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1E5601" w:rsidRDefault="00A36434" w:rsidP="00110A61">
            <w:pPr>
              <w:jc w:val="both"/>
              <w:rPr>
                <w:iCs/>
                <w:sz w:val="28"/>
                <w:szCs w:val="28"/>
              </w:rPr>
            </w:pPr>
            <w:r w:rsidRPr="001E5601">
              <w:rPr>
                <w:sz w:val="28"/>
                <w:szCs w:val="28"/>
              </w:rPr>
              <w:t xml:space="preserve">Administratīvais slogs attiecībā uz šīs anotācijas daļas 1.punktā minētajām sabiedrības </w:t>
            </w:r>
            <w:proofErr w:type="spellStart"/>
            <w:r w:rsidRPr="001E5601">
              <w:rPr>
                <w:sz w:val="28"/>
                <w:szCs w:val="28"/>
              </w:rPr>
              <w:t>mērķgrupām</w:t>
            </w:r>
            <w:proofErr w:type="spellEnd"/>
            <w:r w:rsidRPr="001E5601">
              <w:rPr>
                <w:sz w:val="28"/>
                <w:szCs w:val="28"/>
              </w:rPr>
              <w:t xml:space="preserve"> samazinās. </w:t>
            </w:r>
            <w:r w:rsidR="00AD5A55">
              <w:rPr>
                <w:sz w:val="28"/>
                <w:szCs w:val="28"/>
              </w:rPr>
              <w:t>Saskaņā ar Elektroenerģijas tirgus likumu visi elektroenerģij</w:t>
            </w:r>
            <w:r w:rsidR="00110A61">
              <w:rPr>
                <w:sz w:val="28"/>
                <w:szCs w:val="28"/>
              </w:rPr>
              <w:t>a</w:t>
            </w:r>
            <w:r w:rsidR="00AD5A55">
              <w:rPr>
                <w:sz w:val="28"/>
                <w:szCs w:val="28"/>
              </w:rPr>
              <w:t xml:space="preserve">s tirgotāji, tostarp publiskais tirgotājs, tiek reģistrēti elektroenerģijas tirgotāju reģistrā. </w:t>
            </w:r>
            <w:r w:rsidRPr="001E5601">
              <w:rPr>
                <w:sz w:val="28"/>
                <w:szCs w:val="28"/>
              </w:rPr>
              <w:t>Turpmāk regulējamie ūdenssaimniecības nozares komersanti</w:t>
            </w:r>
            <w:r w:rsidRPr="001E5601">
              <w:rPr>
                <w:color w:val="000000" w:themeColor="text1"/>
                <w:sz w:val="28"/>
                <w:szCs w:val="28"/>
              </w:rPr>
              <w:t xml:space="preserve"> un regulējamie sadzīves atkritumu apsaimniekošanas nozares komersanti, pamatojoties uz likuma </w:t>
            </w:r>
            <w:r w:rsidRPr="001E5601">
              <w:rPr>
                <w:sz w:val="28"/>
                <w:szCs w:val="28"/>
              </w:rPr>
              <w:t xml:space="preserve">„Par sabiedrisko pakalpojumu regulatoriem” un saskaņā </w:t>
            </w:r>
            <w:r w:rsidRPr="001E5601">
              <w:rPr>
                <w:sz w:val="28"/>
                <w:szCs w:val="28"/>
              </w:rPr>
              <w:lastRenderedPageBreak/>
              <w:t>ar Vispārējās atļaujas un reģistrēšanas noteikumiem attiecīgajā nozarē tiks reģistrēti komersantu reģistrā, nevis licencēti, kas savukārt vienkāršos procedūru un mazinās administratīvo slogu komersantiem.</w:t>
            </w:r>
          </w:p>
        </w:tc>
      </w:tr>
      <w:tr w:rsidR="00FB1F5C" w:rsidRPr="001E5601" w:rsidTr="007032C8">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sz w:val="28"/>
                <w:szCs w:val="28"/>
                <w:lang w:eastAsia="lv-LV"/>
              </w:rPr>
            </w:pPr>
            <w:r w:rsidRPr="001E5601">
              <w:rPr>
                <w:sz w:val="28"/>
                <w:szCs w:val="28"/>
                <w:lang w:eastAsia="lv-LV"/>
              </w:rPr>
              <w:lastRenderedPageBreak/>
              <w:t>3.</w:t>
            </w:r>
          </w:p>
        </w:tc>
        <w:tc>
          <w:tcPr>
            <w:tcW w:w="1551"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iCs/>
                <w:sz w:val="28"/>
                <w:szCs w:val="28"/>
              </w:rPr>
            </w:pPr>
            <w:r w:rsidRPr="001E5601">
              <w:rPr>
                <w:iCs/>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1E5601" w:rsidRDefault="00DA0B8C" w:rsidP="00A67A70">
            <w:pPr>
              <w:rPr>
                <w:iCs/>
                <w:sz w:val="28"/>
                <w:szCs w:val="28"/>
              </w:rPr>
            </w:pPr>
            <w:r w:rsidRPr="001E5601">
              <w:rPr>
                <w:sz w:val="28"/>
                <w:szCs w:val="28"/>
              </w:rPr>
              <w:t>Noteikumu projekts šo jomu neskar.</w:t>
            </w:r>
          </w:p>
        </w:tc>
      </w:tr>
      <w:tr w:rsidR="00FB1F5C" w:rsidRPr="001E5601" w:rsidTr="007032C8">
        <w:trPr>
          <w:trHeight w:val="266"/>
        </w:trPr>
        <w:tc>
          <w:tcPr>
            <w:tcW w:w="249"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sz w:val="28"/>
                <w:szCs w:val="28"/>
                <w:lang w:eastAsia="lv-LV"/>
              </w:rPr>
            </w:pPr>
            <w:r w:rsidRPr="001E5601">
              <w:rPr>
                <w:sz w:val="28"/>
                <w:szCs w:val="28"/>
                <w:lang w:eastAsia="lv-LV"/>
              </w:rPr>
              <w:t>4.</w:t>
            </w:r>
          </w:p>
        </w:tc>
        <w:tc>
          <w:tcPr>
            <w:tcW w:w="1551"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7567EE">
            <w:pPr>
              <w:rPr>
                <w:iCs/>
                <w:sz w:val="28"/>
                <w:szCs w:val="28"/>
              </w:rPr>
            </w:pPr>
            <w:r w:rsidRPr="001E5601">
              <w:rPr>
                <w:iCs/>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1E5601" w:rsidRDefault="00A31BCB" w:rsidP="001125F0">
            <w:pPr>
              <w:rPr>
                <w:iCs/>
                <w:sz w:val="28"/>
                <w:szCs w:val="28"/>
              </w:rPr>
            </w:pPr>
            <w:r w:rsidRPr="001E5601">
              <w:rPr>
                <w:iCs/>
                <w:sz w:val="28"/>
                <w:szCs w:val="28"/>
              </w:rPr>
              <w:t>Nav</w:t>
            </w:r>
          </w:p>
        </w:tc>
      </w:tr>
      <w:tr w:rsidR="00E65857" w:rsidRPr="001E5601" w:rsidTr="007032C8">
        <w:trPr>
          <w:trHeight w:val="128"/>
        </w:trPr>
        <w:tc>
          <w:tcPr>
            <w:tcW w:w="5000" w:type="pct"/>
            <w:gridSpan w:val="3"/>
            <w:tcBorders>
              <w:top w:val="single" w:sz="4" w:space="0" w:color="auto"/>
              <w:left w:val="nil"/>
              <w:bottom w:val="nil"/>
              <w:right w:val="nil"/>
            </w:tcBorders>
          </w:tcPr>
          <w:p w:rsidR="00DA0B8C" w:rsidRPr="001E5601" w:rsidRDefault="00DA0B8C" w:rsidP="00E97F6B">
            <w:pPr>
              <w:tabs>
                <w:tab w:val="left" w:pos="990"/>
              </w:tabs>
              <w:rPr>
                <w:sz w:val="28"/>
                <w:szCs w:val="28"/>
                <w:lang w:eastAsia="lv-LV"/>
              </w:rPr>
            </w:pPr>
          </w:p>
          <w:tbl>
            <w:tblPr>
              <w:tblW w:w="5000" w:type="pct"/>
              <w:tblCellMar>
                <w:left w:w="0" w:type="dxa"/>
                <w:right w:w="0" w:type="dxa"/>
              </w:tblCellMar>
              <w:tblLook w:val="04A0" w:firstRow="1" w:lastRow="0" w:firstColumn="1" w:lastColumn="0" w:noHBand="0" w:noVBand="1"/>
            </w:tblPr>
            <w:tblGrid>
              <w:gridCol w:w="467"/>
              <w:gridCol w:w="2801"/>
              <w:gridCol w:w="6068"/>
            </w:tblGrid>
            <w:tr w:rsidR="00913441" w:rsidRPr="001E5601" w:rsidTr="007032C8">
              <w:trPr>
                <w:trHeight w:val="420"/>
              </w:trPr>
              <w:tc>
                <w:tcPr>
                  <w:tcW w:w="5000" w:type="pct"/>
                  <w:gridSpan w:val="3"/>
                  <w:tcBorders>
                    <w:top w:val="single" w:sz="4" w:space="0" w:color="auto"/>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913441" w:rsidRPr="001E5601" w:rsidRDefault="00913441" w:rsidP="007567EE">
                  <w:pPr>
                    <w:ind w:firstLine="300"/>
                    <w:jc w:val="center"/>
                    <w:rPr>
                      <w:rFonts w:eastAsiaTheme="minorHAnsi"/>
                      <w:b/>
                      <w:bCs/>
                      <w:sz w:val="28"/>
                      <w:szCs w:val="28"/>
                      <w:lang w:eastAsia="lv-LV"/>
                    </w:rPr>
                  </w:pPr>
                  <w:r w:rsidRPr="001E5601">
                    <w:rPr>
                      <w:b/>
                      <w:bCs/>
                      <w:sz w:val="28"/>
                      <w:szCs w:val="28"/>
                    </w:rPr>
                    <w:t>VII. Tiesību akta projekta izpildes nodrošināšana un tās ietekme uz institūcijām</w:t>
                  </w:r>
                </w:p>
              </w:tc>
            </w:tr>
            <w:tr w:rsidR="00913441" w:rsidRPr="001E5601" w:rsidTr="007032C8">
              <w:trPr>
                <w:trHeight w:val="540"/>
              </w:trPr>
              <w:tc>
                <w:tcPr>
                  <w:tcW w:w="2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rsidR="00913441" w:rsidRPr="001E5601" w:rsidRDefault="00913441" w:rsidP="007567EE">
                  <w:pPr>
                    <w:rPr>
                      <w:rFonts w:eastAsiaTheme="minorHAnsi"/>
                      <w:sz w:val="28"/>
                      <w:szCs w:val="28"/>
                      <w:lang w:eastAsia="lv-LV"/>
                    </w:rPr>
                  </w:pPr>
                  <w:r w:rsidRPr="001E5601">
                    <w:rPr>
                      <w:sz w:val="28"/>
                      <w:szCs w:val="28"/>
                      <w:lang w:eastAsia="lv-LV"/>
                    </w:rPr>
                    <w:t>1.</w:t>
                  </w:r>
                </w:p>
              </w:tc>
              <w:tc>
                <w:tcPr>
                  <w:tcW w:w="1500" w:type="pct"/>
                  <w:tcBorders>
                    <w:top w:val="nil"/>
                    <w:left w:val="nil"/>
                    <w:bottom w:val="single" w:sz="4" w:space="0" w:color="auto"/>
                    <w:right w:val="outset" w:sz="8" w:space="0" w:color="414142"/>
                  </w:tcBorders>
                  <w:tcMar>
                    <w:top w:w="30" w:type="dxa"/>
                    <w:left w:w="30" w:type="dxa"/>
                    <w:bottom w:w="30" w:type="dxa"/>
                    <w:right w:w="30" w:type="dxa"/>
                  </w:tcMar>
                  <w:hideMark/>
                </w:tcPr>
                <w:p w:rsidR="00913441" w:rsidRPr="001E5601" w:rsidRDefault="00913441" w:rsidP="007567EE">
                  <w:pPr>
                    <w:rPr>
                      <w:rFonts w:eastAsiaTheme="minorHAnsi"/>
                      <w:sz w:val="28"/>
                      <w:szCs w:val="28"/>
                    </w:rPr>
                  </w:pPr>
                  <w:r w:rsidRPr="001E5601">
                    <w:rPr>
                      <w:sz w:val="28"/>
                      <w:szCs w:val="28"/>
                    </w:rPr>
                    <w:t>Projekta izpildē iesaistītās institūcijas</w:t>
                  </w:r>
                </w:p>
              </w:tc>
              <w:tc>
                <w:tcPr>
                  <w:tcW w:w="3250" w:type="pct"/>
                  <w:tcBorders>
                    <w:top w:val="nil"/>
                    <w:left w:val="nil"/>
                    <w:bottom w:val="single" w:sz="4" w:space="0" w:color="auto"/>
                    <w:right w:val="outset" w:sz="8" w:space="0" w:color="414142"/>
                  </w:tcBorders>
                  <w:tcMar>
                    <w:top w:w="30" w:type="dxa"/>
                    <w:left w:w="30" w:type="dxa"/>
                    <w:bottom w:w="30" w:type="dxa"/>
                    <w:right w:w="30" w:type="dxa"/>
                  </w:tcMar>
                  <w:hideMark/>
                </w:tcPr>
                <w:p w:rsidR="00913441" w:rsidRPr="001E5601" w:rsidRDefault="00913441" w:rsidP="007567EE">
                  <w:pPr>
                    <w:rPr>
                      <w:rFonts w:eastAsiaTheme="minorHAnsi"/>
                      <w:sz w:val="28"/>
                      <w:szCs w:val="28"/>
                    </w:rPr>
                  </w:pPr>
                  <w:r w:rsidRPr="001E5601">
                    <w:rPr>
                      <w:sz w:val="28"/>
                      <w:szCs w:val="28"/>
                    </w:rPr>
                    <w:t>Sabiedrisko pakalpojumu regulēšanas komisija</w:t>
                  </w:r>
                </w:p>
              </w:tc>
            </w:tr>
            <w:tr w:rsidR="00913441" w:rsidRPr="001E5601" w:rsidTr="007032C8">
              <w:trPr>
                <w:trHeight w:val="330"/>
              </w:trPr>
              <w:tc>
                <w:tcPr>
                  <w:tcW w:w="250" w:type="pct"/>
                  <w:tcBorders>
                    <w:top w:val="nil"/>
                    <w:left w:val="outset" w:sz="8" w:space="0" w:color="414142"/>
                    <w:bottom w:val="outset" w:sz="8" w:space="0" w:color="414142"/>
                    <w:right w:val="single" w:sz="4" w:space="0" w:color="auto"/>
                  </w:tcBorders>
                  <w:tcMar>
                    <w:top w:w="30" w:type="dxa"/>
                    <w:left w:w="30" w:type="dxa"/>
                    <w:bottom w:w="30" w:type="dxa"/>
                    <w:right w:w="30" w:type="dxa"/>
                  </w:tcMar>
                  <w:hideMark/>
                </w:tcPr>
                <w:p w:rsidR="00913441" w:rsidRPr="001E5601" w:rsidRDefault="00913441" w:rsidP="007567EE">
                  <w:pPr>
                    <w:rPr>
                      <w:rFonts w:eastAsiaTheme="minorHAnsi"/>
                      <w:sz w:val="28"/>
                      <w:szCs w:val="28"/>
                      <w:lang w:eastAsia="lv-LV"/>
                    </w:rPr>
                  </w:pPr>
                  <w:r w:rsidRPr="001E5601">
                    <w:rPr>
                      <w:sz w:val="28"/>
                      <w:szCs w:val="28"/>
                      <w:lang w:eastAsia="lv-LV"/>
                    </w:rPr>
                    <w:t>2.</w:t>
                  </w:r>
                </w:p>
              </w:tc>
              <w:tc>
                <w:tcPr>
                  <w:tcW w:w="15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913441" w:rsidRPr="001E5601" w:rsidRDefault="00913441" w:rsidP="00913441">
                  <w:pPr>
                    <w:rPr>
                      <w:sz w:val="28"/>
                      <w:szCs w:val="28"/>
                    </w:rPr>
                  </w:pPr>
                  <w:r w:rsidRPr="001E5601">
                    <w:rPr>
                      <w:sz w:val="28"/>
                      <w:szCs w:val="28"/>
                    </w:rPr>
                    <w:t xml:space="preserve">Projekta izpildes ietekme uz pārvaldes funkcijām un institucionālo struktūru. </w:t>
                  </w:r>
                </w:p>
                <w:p w:rsidR="00913441" w:rsidRPr="001E5601" w:rsidRDefault="00913441" w:rsidP="00913441">
                  <w:pPr>
                    <w:rPr>
                      <w:rFonts w:eastAsiaTheme="minorHAnsi"/>
                      <w:sz w:val="28"/>
                      <w:szCs w:val="28"/>
                    </w:rPr>
                  </w:pPr>
                  <w:r w:rsidRPr="001E5601">
                    <w:rPr>
                      <w:sz w:val="28"/>
                      <w:szCs w:val="28"/>
                    </w:rPr>
                    <w:t>Jaunu institūciju izveide, esošu institūciju likvidācija vai reorganizācija, to ietekme uz institūcijas cilvēkresursiem</w:t>
                  </w:r>
                </w:p>
              </w:tc>
              <w:tc>
                <w:tcPr>
                  <w:tcW w:w="325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913441" w:rsidRPr="001E5601" w:rsidRDefault="00A36434" w:rsidP="001E5601">
                  <w:pPr>
                    <w:jc w:val="both"/>
                    <w:rPr>
                      <w:rFonts w:eastAsiaTheme="minorHAnsi"/>
                      <w:sz w:val="28"/>
                      <w:szCs w:val="28"/>
                    </w:rPr>
                  </w:pPr>
                  <w:r w:rsidRPr="001E5601">
                    <w:rPr>
                      <w:sz w:val="28"/>
                      <w:szCs w:val="28"/>
                    </w:rPr>
                    <w:t>Noteikumu projekts nemainīs Sabiedrisko pakalpojumu regulēšanas komisijas funkcijas, tā izpilde tiks nodrošināta Sabiedrisko pakalpojumu regulēšanas komisijas darbības ietvaros.</w:t>
                  </w:r>
                </w:p>
              </w:tc>
            </w:tr>
            <w:tr w:rsidR="00913441" w:rsidRPr="001E5601" w:rsidTr="007032C8">
              <w:trPr>
                <w:trHeight w:val="263"/>
              </w:trPr>
              <w:tc>
                <w:tcPr>
                  <w:tcW w:w="2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rsidR="00913441" w:rsidRPr="001E5601" w:rsidRDefault="00913441" w:rsidP="007567EE">
                  <w:pPr>
                    <w:rPr>
                      <w:rFonts w:eastAsiaTheme="minorHAnsi"/>
                      <w:sz w:val="28"/>
                      <w:szCs w:val="28"/>
                      <w:lang w:eastAsia="lv-LV"/>
                    </w:rPr>
                  </w:pPr>
                  <w:r w:rsidRPr="001E5601">
                    <w:rPr>
                      <w:sz w:val="28"/>
                      <w:szCs w:val="28"/>
                      <w:lang w:eastAsia="lv-LV"/>
                    </w:rPr>
                    <w:t>3.</w:t>
                  </w:r>
                </w:p>
              </w:tc>
              <w:tc>
                <w:tcPr>
                  <w:tcW w:w="1500" w:type="pct"/>
                  <w:tcBorders>
                    <w:top w:val="single" w:sz="4" w:space="0" w:color="auto"/>
                    <w:left w:val="nil"/>
                    <w:bottom w:val="outset" w:sz="8" w:space="0" w:color="414142"/>
                    <w:right w:val="outset" w:sz="8" w:space="0" w:color="414142"/>
                  </w:tcBorders>
                  <w:tcMar>
                    <w:top w:w="30" w:type="dxa"/>
                    <w:left w:w="30" w:type="dxa"/>
                    <w:bottom w:w="30" w:type="dxa"/>
                    <w:right w:w="30" w:type="dxa"/>
                  </w:tcMar>
                  <w:hideMark/>
                </w:tcPr>
                <w:p w:rsidR="00913441" w:rsidRPr="001E5601" w:rsidRDefault="00913441" w:rsidP="007567EE">
                  <w:pPr>
                    <w:rPr>
                      <w:rFonts w:eastAsiaTheme="minorHAnsi"/>
                      <w:sz w:val="28"/>
                      <w:szCs w:val="28"/>
                    </w:rPr>
                  </w:pPr>
                  <w:r w:rsidRPr="001E5601">
                    <w:rPr>
                      <w:sz w:val="28"/>
                      <w:szCs w:val="28"/>
                    </w:rPr>
                    <w:t>Cita informācija</w:t>
                  </w:r>
                </w:p>
              </w:tc>
              <w:tc>
                <w:tcPr>
                  <w:tcW w:w="3250" w:type="pct"/>
                  <w:tcBorders>
                    <w:top w:val="single" w:sz="4" w:space="0" w:color="auto"/>
                    <w:left w:val="nil"/>
                    <w:bottom w:val="outset" w:sz="8" w:space="0" w:color="414142"/>
                    <w:right w:val="outset" w:sz="8" w:space="0" w:color="414142"/>
                  </w:tcBorders>
                  <w:tcMar>
                    <w:top w:w="30" w:type="dxa"/>
                    <w:left w:w="30" w:type="dxa"/>
                    <w:bottom w:w="30" w:type="dxa"/>
                    <w:right w:w="30" w:type="dxa"/>
                  </w:tcMar>
                  <w:hideMark/>
                </w:tcPr>
                <w:p w:rsidR="00913441" w:rsidRPr="001E5601" w:rsidRDefault="00913441" w:rsidP="007567EE">
                  <w:pPr>
                    <w:rPr>
                      <w:rFonts w:eastAsiaTheme="minorHAnsi"/>
                      <w:sz w:val="28"/>
                      <w:szCs w:val="28"/>
                    </w:rPr>
                  </w:pPr>
                  <w:r w:rsidRPr="001E5601">
                    <w:rPr>
                      <w:sz w:val="28"/>
                      <w:szCs w:val="28"/>
                    </w:rPr>
                    <w:t>Nav</w:t>
                  </w:r>
                </w:p>
              </w:tc>
            </w:tr>
          </w:tbl>
          <w:p w:rsidR="00913441" w:rsidRPr="001E5601" w:rsidRDefault="00913441" w:rsidP="00493DAB">
            <w:pPr>
              <w:tabs>
                <w:tab w:val="left" w:pos="990"/>
              </w:tabs>
              <w:rPr>
                <w:sz w:val="28"/>
                <w:szCs w:val="28"/>
                <w:lang w:eastAsia="lv-LV"/>
              </w:rPr>
            </w:pPr>
            <w:r w:rsidRPr="001E5601">
              <w:rPr>
                <w:sz w:val="28"/>
                <w:szCs w:val="28"/>
                <w:lang w:eastAsia="lv-LV"/>
              </w:rPr>
              <w:t xml:space="preserve"> </w:t>
            </w:r>
          </w:p>
        </w:tc>
      </w:tr>
    </w:tbl>
    <w:p w:rsidR="007032C8" w:rsidRDefault="007032C8" w:rsidP="007032C8">
      <w:pPr>
        <w:tabs>
          <w:tab w:val="left" w:pos="990"/>
        </w:tabs>
        <w:rPr>
          <w:sz w:val="28"/>
          <w:szCs w:val="28"/>
          <w:lang w:eastAsia="lv-LV"/>
        </w:rPr>
      </w:pPr>
      <w:r w:rsidRPr="001E5601">
        <w:rPr>
          <w:sz w:val="28"/>
          <w:szCs w:val="28"/>
          <w:lang w:eastAsia="lv-LV"/>
        </w:rPr>
        <w:t xml:space="preserve">Anotācijas III, IV, V un VI sadaļa – projekts šīs </w:t>
      </w:r>
      <w:r w:rsidRPr="001E5601">
        <w:rPr>
          <w:sz w:val="28"/>
          <w:szCs w:val="28"/>
        </w:rPr>
        <w:t>jomas neskar</w:t>
      </w:r>
      <w:r w:rsidRPr="001E5601">
        <w:rPr>
          <w:sz w:val="28"/>
          <w:szCs w:val="28"/>
          <w:lang w:eastAsia="lv-LV"/>
        </w:rPr>
        <w:t xml:space="preserve">.  </w:t>
      </w:r>
    </w:p>
    <w:p w:rsidR="007032C8" w:rsidRDefault="007032C8" w:rsidP="00C329C3">
      <w:pPr>
        <w:pStyle w:val="Parastais"/>
        <w:keepLines/>
        <w:widowControl w:val="0"/>
        <w:tabs>
          <w:tab w:val="left" w:pos="6635"/>
        </w:tabs>
        <w:spacing w:after="120"/>
        <w:rPr>
          <w:sz w:val="28"/>
          <w:szCs w:val="28"/>
        </w:rPr>
      </w:pPr>
    </w:p>
    <w:p w:rsidR="00EF4083" w:rsidRPr="001E5601" w:rsidRDefault="00EF4083" w:rsidP="00C329C3">
      <w:pPr>
        <w:pStyle w:val="Parastais"/>
        <w:keepLines/>
        <w:widowControl w:val="0"/>
        <w:tabs>
          <w:tab w:val="left" w:pos="6635"/>
        </w:tabs>
        <w:spacing w:after="120"/>
        <w:rPr>
          <w:sz w:val="28"/>
          <w:szCs w:val="28"/>
          <w:lang w:eastAsia="en-US"/>
        </w:rPr>
      </w:pPr>
      <w:r w:rsidRPr="001E5601">
        <w:rPr>
          <w:sz w:val="28"/>
          <w:szCs w:val="28"/>
        </w:rPr>
        <w:t>Ekonomikas ministr</w:t>
      </w:r>
      <w:r w:rsidR="009C4034" w:rsidRPr="001E5601">
        <w:rPr>
          <w:sz w:val="28"/>
          <w:szCs w:val="28"/>
        </w:rPr>
        <w:t>e</w:t>
      </w:r>
      <w:r w:rsidR="001E5601">
        <w:rPr>
          <w:sz w:val="28"/>
          <w:szCs w:val="28"/>
          <w:lang w:eastAsia="en-US"/>
        </w:rPr>
        <w:tab/>
      </w:r>
      <w:r w:rsidR="00C329C3">
        <w:rPr>
          <w:sz w:val="28"/>
          <w:szCs w:val="28"/>
          <w:lang w:eastAsia="en-US"/>
        </w:rPr>
        <w:t xml:space="preserve"> </w:t>
      </w:r>
      <w:r w:rsidR="006B1588">
        <w:rPr>
          <w:sz w:val="28"/>
          <w:szCs w:val="28"/>
          <w:lang w:eastAsia="en-US"/>
        </w:rPr>
        <w:t xml:space="preserve">   </w:t>
      </w:r>
      <w:r w:rsidR="009C4034" w:rsidRPr="001E5601">
        <w:rPr>
          <w:sz w:val="28"/>
          <w:szCs w:val="28"/>
          <w:lang w:eastAsia="en-US"/>
        </w:rPr>
        <w:t xml:space="preserve"> </w:t>
      </w:r>
      <w:r w:rsidR="001E5601">
        <w:rPr>
          <w:sz w:val="28"/>
          <w:szCs w:val="28"/>
          <w:lang w:eastAsia="en-US"/>
        </w:rPr>
        <w:t xml:space="preserve">  </w:t>
      </w:r>
      <w:r w:rsidR="00485A8B" w:rsidRPr="001E5601">
        <w:rPr>
          <w:sz w:val="28"/>
          <w:szCs w:val="28"/>
          <w:lang w:eastAsia="en-US"/>
        </w:rPr>
        <w:t xml:space="preserve"> </w:t>
      </w:r>
      <w:proofErr w:type="spellStart"/>
      <w:r w:rsidR="009C4034" w:rsidRPr="001E5601">
        <w:rPr>
          <w:sz w:val="28"/>
          <w:szCs w:val="28"/>
          <w:lang w:eastAsia="en-US"/>
        </w:rPr>
        <w:t>D.Reizniece-Ozola</w:t>
      </w:r>
      <w:proofErr w:type="spellEnd"/>
    </w:p>
    <w:p w:rsidR="004D2F3E" w:rsidRDefault="004D2F3E" w:rsidP="006B1588">
      <w:pPr>
        <w:jc w:val="both"/>
        <w:rPr>
          <w:sz w:val="28"/>
          <w:szCs w:val="28"/>
          <w:lang w:eastAsia="en-US"/>
        </w:rPr>
      </w:pPr>
    </w:p>
    <w:p w:rsidR="006D4D9A" w:rsidRDefault="00CD6F39" w:rsidP="00C329C3">
      <w:pPr>
        <w:rPr>
          <w:sz w:val="28"/>
          <w:szCs w:val="28"/>
        </w:rPr>
      </w:pPr>
      <w:r w:rsidRPr="001E5601">
        <w:rPr>
          <w:sz w:val="28"/>
          <w:szCs w:val="28"/>
          <w:lang w:eastAsia="en-US"/>
        </w:rPr>
        <w:t>Vīza:</w:t>
      </w:r>
      <w:r w:rsidRPr="001E5601">
        <w:rPr>
          <w:sz w:val="28"/>
          <w:szCs w:val="28"/>
          <w:lang w:eastAsia="en-US"/>
        </w:rPr>
        <w:br/>
      </w:r>
      <w:r w:rsidR="006D4D9A">
        <w:rPr>
          <w:sz w:val="28"/>
          <w:szCs w:val="28"/>
        </w:rPr>
        <w:t>Valsts sekretāra pienākumu izpildītājs</w:t>
      </w:r>
      <w:r w:rsidR="006B1588">
        <w:rPr>
          <w:sz w:val="28"/>
          <w:szCs w:val="28"/>
        </w:rPr>
        <w:t>,</w:t>
      </w:r>
    </w:p>
    <w:p w:rsidR="004D2F3E" w:rsidRDefault="006B1588" w:rsidP="00C329C3">
      <w:pPr>
        <w:rPr>
          <w:rFonts w:eastAsia="Calibri"/>
          <w:sz w:val="28"/>
          <w:szCs w:val="28"/>
        </w:rPr>
      </w:pPr>
      <w:r>
        <w:rPr>
          <w:rFonts w:eastAsia="Calibri"/>
          <w:sz w:val="28"/>
          <w:szCs w:val="28"/>
        </w:rPr>
        <w:t>v</w:t>
      </w:r>
      <w:r w:rsidR="006D4D9A">
        <w:rPr>
          <w:rFonts w:eastAsia="Calibri"/>
          <w:sz w:val="28"/>
          <w:szCs w:val="28"/>
        </w:rPr>
        <w:t xml:space="preserve">alsts sekretāra vietnieks </w:t>
      </w:r>
      <w:r w:rsidR="009710ED">
        <w:rPr>
          <w:rFonts w:eastAsia="Calibri"/>
          <w:sz w:val="28"/>
          <w:szCs w:val="28"/>
        </w:rPr>
        <w:t xml:space="preserve">                                           </w:t>
      </w:r>
      <w:r w:rsidR="00C329C3">
        <w:rPr>
          <w:rFonts w:eastAsia="Calibri"/>
          <w:sz w:val="28"/>
          <w:szCs w:val="28"/>
        </w:rPr>
        <w:t xml:space="preserve">     </w:t>
      </w:r>
      <w:r w:rsidR="009710ED">
        <w:rPr>
          <w:rFonts w:eastAsia="Calibri"/>
          <w:sz w:val="28"/>
          <w:szCs w:val="28"/>
        </w:rPr>
        <w:t xml:space="preserve">                     </w:t>
      </w:r>
      <w:r w:rsidR="006D4D9A">
        <w:rPr>
          <w:rFonts w:eastAsia="Calibri"/>
          <w:sz w:val="28"/>
          <w:szCs w:val="28"/>
        </w:rPr>
        <w:t xml:space="preserve"> </w:t>
      </w:r>
      <w:proofErr w:type="spellStart"/>
      <w:r w:rsidR="006D4D9A">
        <w:rPr>
          <w:rFonts w:eastAsia="Calibri"/>
          <w:sz w:val="28"/>
          <w:szCs w:val="28"/>
        </w:rPr>
        <w:t>J.Spiridonovs</w:t>
      </w:r>
      <w:proofErr w:type="spellEnd"/>
    </w:p>
    <w:p w:rsidR="004D2F3E" w:rsidRDefault="004D2F3E" w:rsidP="00C329C3">
      <w:pPr>
        <w:rPr>
          <w:rFonts w:eastAsia="Calibri"/>
          <w:sz w:val="28"/>
          <w:szCs w:val="28"/>
        </w:rPr>
      </w:pPr>
    </w:p>
    <w:p w:rsidR="00EF4083" w:rsidRPr="001E5601" w:rsidRDefault="00CD6F39" w:rsidP="004D2F3E">
      <w:pPr>
        <w:jc w:val="both"/>
        <w:rPr>
          <w:sz w:val="28"/>
          <w:szCs w:val="28"/>
          <w:lang w:eastAsia="en-US"/>
        </w:rPr>
      </w:pPr>
      <w:r w:rsidRPr="001E5601">
        <w:rPr>
          <w:sz w:val="28"/>
          <w:szCs w:val="28"/>
          <w:lang w:eastAsia="en-US"/>
        </w:rPr>
        <w:t xml:space="preserve">                            </w:t>
      </w:r>
    </w:p>
    <w:p w:rsidR="00222ED9" w:rsidRPr="001E5601" w:rsidRDefault="00222ED9" w:rsidP="00D61F39">
      <w:pPr>
        <w:jc w:val="both"/>
        <w:rPr>
          <w:sz w:val="28"/>
          <w:szCs w:val="28"/>
        </w:rPr>
      </w:pPr>
    </w:p>
    <w:p w:rsidR="00D61F39" w:rsidRDefault="00D61F39" w:rsidP="00D61F39">
      <w:pPr>
        <w:pStyle w:val="naisf"/>
        <w:spacing w:before="0" w:after="0"/>
        <w:rPr>
          <w:sz w:val="20"/>
          <w:szCs w:val="20"/>
        </w:rPr>
      </w:pPr>
      <w:r w:rsidRPr="008F6773">
        <w:rPr>
          <w:sz w:val="20"/>
          <w:szCs w:val="20"/>
        </w:rPr>
        <w:fldChar w:fldCharType="begin"/>
      </w:r>
      <w:r w:rsidRPr="008F6773">
        <w:rPr>
          <w:sz w:val="20"/>
          <w:szCs w:val="20"/>
        </w:rPr>
        <w:instrText xml:space="preserve"> TIME \@ "dd.MM.yyyy H:mm" </w:instrText>
      </w:r>
      <w:r w:rsidRPr="008F6773">
        <w:rPr>
          <w:sz w:val="20"/>
          <w:szCs w:val="20"/>
        </w:rPr>
        <w:fldChar w:fldCharType="separate"/>
      </w:r>
      <w:r w:rsidR="009C0F95">
        <w:rPr>
          <w:noProof/>
          <w:sz w:val="20"/>
          <w:szCs w:val="20"/>
        </w:rPr>
        <w:t>06.03.2015 9:21</w:t>
      </w:r>
      <w:r w:rsidRPr="008F6773">
        <w:rPr>
          <w:sz w:val="20"/>
          <w:szCs w:val="20"/>
        </w:rPr>
        <w:fldChar w:fldCharType="end"/>
      </w:r>
      <w:r w:rsidR="0009018A">
        <w:rPr>
          <w:sz w:val="20"/>
          <w:szCs w:val="20"/>
        </w:rPr>
        <w:t xml:space="preserve"> </w:t>
      </w:r>
    </w:p>
    <w:p w:rsidR="0009018A" w:rsidRPr="008F6773" w:rsidRDefault="00F16630" w:rsidP="00D61F39">
      <w:pPr>
        <w:pStyle w:val="naisf"/>
        <w:spacing w:before="0" w:after="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6D4D9A">
        <w:rPr>
          <w:noProof/>
          <w:sz w:val="20"/>
          <w:szCs w:val="20"/>
        </w:rPr>
        <w:t>573</w:t>
      </w:r>
      <w:r>
        <w:rPr>
          <w:sz w:val="20"/>
          <w:szCs w:val="20"/>
        </w:rPr>
        <w:fldChar w:fldCharType="end"/>
      </w:r>
    </w:p>
    <w:p w:rsidR="00A31BCB" w:rsidRPr="007C52FA" w:rsidRDefault="004409B4" w:rsidP="00E87B16">
      <w:pPr>
        <w:rPr>
          <w:b/>
          <w:bCs/>
          <w:sz w:val="20"/>
        </w:rPr>
      </w:pPr>
      <w:r>
        <w:rPr>
          <w:sz w:val="20"/>
        </w:rPr>
        <w:t>I.</w:t>
      </w:r>
      <w:r w:rsidR="001016DF">
        <w:rPr>
          <w:sz w:val="20"/>
        </w:rPr>
        <w:t>Stikāne</w:t>
      </w:r>
      <w:r w:rsidR="00E87B16" w:rsidRPr="00AB2B46">
        <w:rPr>
          <w:sz w:val="20"/>
        </w:rPr>
        <w:t>, 67013</w:t>
      </w:r>
      <w:r w:rsidR="001016DF">
        <w:rPr>
          <w:sz w:val="20"/>
        </w:rPr>
        <w:t>261</w:t>
      </w:r>
      <w:r w:rsidR="00E87B16" w:rsidRPr="00AB2B46">
        <w:rPr>
          <w:sz w:val="20"/>
        </w:rPr>
        <w:br/>
      </w:r>
      <w:hyperlink r:id="rId11" w:history="1">
        <w:r w:rsidR="001016DF" w:rsidRPr="00C46D6E">
          <w:rPr>
            <w:rStyle w:val="Hyperlink"/>
            <w:sz w:val="20"/>
          </w:rPr>
          <w:t>Inara.Stikane@em.gov.lv</w:t>
        </w:r>
      </w:hyperlink>
      <w:r w:rsidR="00485A8B">
        <w:rPr>
          <w:sz w:val="20"/>
        </w:rPr>
        <w:t xml:space="preserve"> </w:t>
      </w:r>
    </w:p>
    <w:sectPr w:rsidR="00A31BCB" w:rsidRPr="007C52FA" w:rsidSect="00941070">
      <w:headerReference w:type="default" r:id="rId12"/>
      <w:footerReference w:type="default" r:id="rId13"/>
      <w:footerReference w:type="first" r:id="rId14"/>
      <w:pgSz w:w="11906" w:h="16838"/>
      <w:pgMar w:top="1021" w:right="964" w:bottom="1021" w:left="1588"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61" w:rsidRDefault="00110A61">
      <w:r>
        <w:separator/>
      </w:r>
    </w:p>
  </w:endnote>
  <w:endnote w:type="continuationSeparator" w:id="0">
    <w:p w:rsidR="00110A61" w:rsidRDefault="0011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8" w:rsidRDefault="007032C8" w:rsidP="001016DF">
    <w:pPr>
      <w:pStyle w:val="Footer"/>
      <w:jc w:val="both"/>
      <w:rPr>
        <w:sz w:val="20"/>
        <w:szCs w:val="20"/>
      </w:rPr>
    </w:pPr>
  </w:p>
  <w:p w:rsidR="00110A61" w:rsidRPr="002E31A8" w:rsidRDefault="00110A61" w:rsidP="001016DF">
    <w:pPr>
      <w:pStyle w:val="Footer"/>
      <w:jc w:val="both"/>
      <w:rPr>
        <w:sz w:val="20"/>
        <w:szCs w:val="20"/>
      </w:rPr>
    </w:pPr>
    <w:r>
      <w:rPr>
        <w:sz w:val="20"/>
        <w:szCs w:val="20"/>
      </w:rPr>
      <w:t>EMA</w:t>
    </w:r>
    <w:r w:rsidRPr="00DE0B7D">
      <w:rPr>
        <w:sz w:val="20"/>
        <w:szCs w:val="20"/>
      </w:rPr>
      <w:t>not_</w:t>
    </w:r>
    <w:r w:rsidR="007F4B36">
      <w:rPr>
        <w:sz w:val="20"/>
        <w:szCs w:val="20"/>
      </w:rPr>
      <w:t>0</w:t>
    </w:r>
    <w:r w:rsidR="009C0F95">
      <w:rPr>
        <w:sz w:val="20"/>
        <w:szCs w:val="20"/>
      </w:rPr>
      <w:t>6</w:t>
    </w:r>
    <w:r w:rsidR="007F4B36">
      <w:rPr>
        <w:sz w:val="20"/>
        <w:szCs w:val="20"/>
      </w:rPr>
      <w:t>0</w:t>
    </w:r>
    <w:r w:rsidR="00E80E78">
      <w:rPr>
        <w:sz w:val="20"/>
        <w:szCs w:val="20"/>
      </w:rPr>
      <w:t>3</w:t>
    </w:r>
    <w:r w:rsidR="007F4B36">
      <w:rPr>
        <w:sz w:val="20"/>
        <w:szCs w:val="20"/>
      </w:rPr>
      <w:t>20</w:t>
    </w:r>
    <w:r w:rsidR="00B37633">
      <w:rPr>
        <w:sz w:val="20"/>
        <w:szCs w:val="20"/>
      </w:rPr>
      <w:t>15</w:t>
    </w:r>
    <w:r>
      <w:rPr>
        <w:sz w:val="20"/>
        <w:szCs w:val="20"/>
      </w:rPr>
      <w:t>_groz664</w:t>
    </w:r>
    <w:r w:rsidRPr="00DE0B7D">
      <w:rPr>
        <w:sz w:val="20"/>
        <w:szCs w:val="20"/>
      </w:rPr>
      <w:t xml:space="preserve">; </w:t>
    </w:r>
    <w:r w:rsidRPr="007C41D0">
      <w:rPr>
        <w:sz w:val="20"/>
        <w:szCs w:val="20"/>
      </w:rPr>
      <w:t>Ministru kabineta noteikumu projekta „Grozījum</w:t>
    </w:r>
    <w:r w:rsidR="00D06172">
      <w:rPr>
        <w:sz w:val="20"/>
        <w:szCs w:val="20"/>
      </w:rPr>
      <w:t>i</w:t>
    </w:r>
    <w:r>
      <w:rPr>
        <w:sz w:val="20"/>
        <w:szCs w:val="20"/>
      </w:rPr>
      <w:t xml:space="preserve"> Ministru kabineta 2005. gada 30. augusta</w:t>
    </w:r>
    <w:r w:rsidRPr="007C41D0">
      <w:rPr>
        <w:sz w:val="20"/>
        <w:szCs w:val="20"/>
      </w:rPr>
      <w:t xml:space="preserve"> noteikumos Nr.</w:t>
    </w:r>
    <w:r>
      <w:rPr>
        <w:sz w:val="20"/>
        <w:szCs w:val="20"/>
      </w:rPr>
      <w:t> 664</w:t>
    </w:r>
    <w:r w:rsidRPr="007C41D0">
      <w:rPr>
        <w:sz w:val="20"/>
        <w:szCs w:val="20"/>
      </w:rPr>
      <w:t xml:space="preserve"> „</w:t>
    </w:r>
    <w:r>
      <w:rPr>
        <w:sz w:val="20"/>
        <w:szCs w:val="20"/>
      </w:rPr>
      <w:t xml:space="preserve">Sabiedrisko pakalpojumu licencēšanas noteikumi” </w:t>
    </w:r>
    <w:r w:rsidRPr="00945E0A">
      <w:rPr>
        <w:sz w:val="20"/>
        <w:szCs w:val="20"/>
      </w:rPr>
      <w:t xml:space="preserve">sākotnējās ietekmes novērtējuma ziņojums </w:t>
    </w:r>
    <w:r>
      <w:rPr>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8" w:rsidRDefault="007032C8" w:rsidP="00A52F63">
    <w:pPr>
      <w:pStyle w:val="Footer"/>
      <w:jc w:val="both"/>
      <w:rPr>
        <w:sz w:val="20"/>
        <w:szCs w:val="20"/>
      </w:rPr>
    </w:pPr>
  </w:p>
  <w:p w:rsidR="00110A61" w:rsidRPr="002E31A8" w:rsidRDefault="00110A61" w:rsidP="00A52F63">
    <w:pPr>
      <w:pStyle w:val="Footer"/>
      <w:jc w:val="both"/>
      <w:rPr>
        <w:sz w:val="20"/>
        <w:szCs w:val="20"/>
      </w:rPr>
    </w:pPr>
    <w:r>
      <w:rPr>
        <w:sz w:val="20"/>
        <w:szCs w:val="20"/>
      </w:rPr>
      <w:t>EMA</w:t>
    </w:r>
    <w:r w:rsidRPr="00DE0B7D">
      <w:rPr>
        <w:sz w:val="20"/>
        <w:szCs w:val="20"/>
      </w:rPr>
      <w:t>not_</w:t>
    </w:r>
    <w:r w:rsidR="007F4B36">
      <w:rPr>
        <w:sz w:val="20"/>
        <w:szCs w:val="20"/>
      </w:rPr>
      <w:t>0</w:t>
    </w:r>
    <w:r w:rsidR="009C0F95">
      <w:rPr>
        <w:sz w:val="20"/>
        <w:szCs w:val="20"/>
      </w:rPr>
      <w:t>6</w:t>
    </w:r>
    <w:r w:rsidR="007F4B36">
      <w:rPr>
        <w:sz w:val="20"/>
        <w:szCs w:val="20"/>
      </w:rPr>
      <w:t>0320</w:t>
    </w:r>
    <w:r w:rsidR="00B37633">
      <w:rPr>
        <w:sz w:val="20"/>
        <w:szCs w:val="20"/>
      </w:rPr>
      <w:t>15</w:t>
    </w:r>
    <w:r>
      <w:rPr>
        <w:sz w:val="20"/>
        <w:szCs w:val="20"/>
      </w:rPr>
      <w:t>_groz664</w:t>
    </w:r>
    <w:r w:rsidRPr="00DE0B7D">
      <w:rPr>
        <w:sz w:val="20"/>
        <w:szCs w:val="20"/>
      </w:rPr>
      <w:t xml:space="preserve">; </w:t>
    </w:r>
    <w:r w:rsidRPr="007C41D0">
      <w:rPr>
        <w:sz w:val="20"/>
        <w:szCs w:val="20"/>
      </w:rPr>
      <w:t>Ministru kabineta noteikumu projekta „Grozījum</w:t>
    </w:r>
    <w:r w:rsidR="00D06172">
      <w:rPr>
        <w:sz w:val="20"/>
        <w:szCs w:val="20"/>
      </w:rPr>
      <w:t>i</w:t>
    </w:r>
    <w:r>
      <w:rPr>
        <w:sz w:val="20"/>
        <w:szCs w:val="20"/>
      </w:rPr>
      <w:t xml:space="preserve"> Ministru kabineta 2005. gada 30. augusta</w:t>
    </w:r>
    <w:r w:rsidRPr="007C41D0">
      <w:rPr>
        <w:sz w:val="20"/>
        <w:szCs w:val="20"/>
      </w:rPr>
      <w:t xml:space="preserve"> noteikumos Nr.</w:t>
    </w:r>
    <w:r>
      <w:rPr>
        <w:sz w:val="20"/>
        <w:szCs w:val="20"/>
      </w:rPr>
      <w:t> 664</w:t>
    </w:r>
    <w:r w:rsidRPr="007C41D0">
      <w:rPr>
        <w:sz w:val="20"/>
        <w:szCs w:val="20"/>
      </w:rPr>
      <w:t xml:space="preserve"> „</w:t>
    </w:r>
    <w:r>
      <w:rPr>
        <w:sz w:val="20"/>
        <w:szCs w:val="20"/>
      </w:rPr>
      <w:t xml:space="preserve">Sabiedrisko pakalpojumu licencēšanas noteikumi” </w:t>
    </w:r>
    <w:r w:rsidRPr="00945E0A">
      <w:rPr>
        <w:sz w:val="20"/>
        <w:szCs w:val="20"/>
      </w:rPr>
      <w:t xml:space="preserve">sākotnējās ietekmes novērtējuma ziņojums </w:t>
    </w:r>
    <w:r>
      <w:rPr>
        <w:sz w:val="20"/>
        <w:szCs w:val="20"/>
      </w:rPr>
      <w:t>(anotācija)</w:t>
    </w:r>
  </w:p>
  <w:p w:rsidR="00110A61" w:rsidRDefault="00110A61" w:rsidP="001C0956">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61" w:rsidRDefault="00110A61">
      <w:r>
        <w:separator/>
      </w:r>
    </w:p>
  </w:footnote>
  <w:footnote w:type="continuationSeparator" w:id="0">
    <w:p w:rsidR="00110A61" w:rsidRDefault="00110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39627"/>
      <w:docPartObj>
        <w:docPartGallery w:val="Page Numbers (Top of Page)"/>
        <w:docPartUnique/>
      </w:docPartObj>
    </w:sdtPr>
    <w:sdtEndPr>
      <w:rPr>
        <w:noProof/>
        <w:u w:val="single"/>
      </w:rPr>
    </w:sdtEndPr>
    <w:sdtContent>
      <w:p w:rsidR="00110A61" w:rsidRDefault="00110A61">
        <w:pPr>
          <w:pStyle w:val="Header"/>
          <w:jc w:val="center"/>
        </w:pPr>
        <w:r>
          <w:fldChar w:fldCharType="begin"/>
        </w:r>
        <w:r>
          <w:instrText xml:space="preserve"> PAGE   \* MERGEFORMAT </w:instrText>
        </w:r>
        <w:r>
          <w:fldChar w:fldCharType="separate"/>
        </w:r>
        <w:r w:rsidR="00E80E78">
          <w:rPr>
            <w:noProof/>
          </w:rPr>
          <w:t>3</w:t>
        </w:r>
        <w:r>
          <w:rPr>
            <w:noProof/>
          </w:rPr>
          <w:fldChar w:fldCharType="end"/>
        </w:r>
      </w:p>
    </w:sdtContent>
  </w:sdt>
  <w:p w:rsidR="00110A61" w:rsidRDefault="00110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5C"/>
    <w:rsid w:val="00002537"/>
    <w:rsid w:val="0000304A"/>
    <w:rsid w:val="00010238"/>
    <w:rsid w:val="00010A5F"/>
    <w:rsid w:val="000246C1"/>
    <w:rsid w:val="00036237"/>
    <w:rsid w:val="000362DE"/>
    <w:rsid w:val="00046806"/>
    <w:rsid w:val="00055703"/>
    <w:rsid w:val="00071E51"/>
    <w:rsid w:val="00084A4B"/>
    <w:rsid w:val="000875AB"/>
    <w:rsid w:val="0009018A"/>
    <w:rsid w:val="000B175B"/>
    <w:rsid w:val="000B7040"/>
    <w:rsid w:val="000C2DAB"/>
    <w:rsid w:val="000D29DC"/>
    <w:rsid w:val="000E51AD"/>
    <w:rsid w:val="000F08C4"/>
    <w:rsid w:val="000F3235"/>
    <w:rsid w:val="001016DF"/>
    <w:rsid w:val="001060B7"/>
    <w:rsid w:val="00110A61"/>
    <w:rsid w:val="001125F0"/>
    <w:rsid w:val="00114CC2"/>
    <w:rsid w:val="00116DB7"/>
    <w:rsid w:val="0012328C"/>
    <w:rsid w:val="001247E2"/>
    <w:rsid w:val="00127ACB"/>
    <w:rsid w:val="00130042"/>
    <w:rsid w:val="00157575"/>
    <w:rsid w:val="001628D9"/>
    <w:rsid w:val="001678A3"/>
    <w:rsid w:val="0018770F"/>
    <w:rsid w:val="001A02A7"/>
    <w:rsid w:val="001A58C0"/>
    <w:rsid w:val="001B3E52"/>
    <w:rsid w:val="001C0956"/>
    <w:rsid w:val="001C1FA1"/>
    <w:rsid w:val="001C572C"/>
    <w:rsid w:val="001E5601"/>
    <w:rsid w:val="001E5EF2"/>
    <w:rsid w:val="001F2A1A"/>
    <w:rsid w:val="001F7A0F"/>
    <w:rsid w:val="002044AC"/>
    <w:rsid w:val="002047AC"/>
    <w:rsid w:val="002161DE"/>
    <w:rsid w:val="0022143A"/>
    <w:rsid w:val="00222ED9"/>
    <w:rsid w:val="00233A9F"/>
    <w:rsid w:val="00236837"/>
    <w:rsid w:val="00246F73"/>
    <w:rsid w:val="002470B4"/>
    <w:rsid w:val="00251080"/>
    <w:rsid w:val="002733FA"/>
    <w:rsid w:val="00276727"/>
    <w:rsid w:val="00276FDC"/>
    <w:rsid w:val="00284A75"/>
    <w:rsid w:val="002A52F0"/>
    <w:rsid w:val="002B3C34"/>
    <w:rsid w:val="002B3D49"/>
    <w:rsid w:val="002C4E61"/>
    <w:rsid w:val="002C7D32"/>
    <w:rsid w:val="002D4D14"/>
    <w:rsid w:val="002E1C30"/>
    <w:rsid w:val="002F2EAD"/>
    <w:rsid w:val="002F6E72"/>
    <w:rsid w:val="00306AFF"/>
    <w:rsid w:val="003136B4"/>
    <w:rsid w:val="003220DE"/>
    <w:rsid w:val="00323CE7"/>
    <w:rsid w:val="0032781B"/>
    <w:rsid w:val="00335C4A"/>
    <w:rsid w:val="00335FEE"/>
    <w:rsid w:val="00336183"/>
    <w:rsid w:val="00337596"/>
    <w:rsid w:val="00342F08"/>
    <w:rsid w:val="003469F0"/>
    <w:rsid w:val="003553FC"/>
    <w:rsid w:val="00366906"/>
    <w:rsid w:val="0037076F"/>
    <w:rsid w:val="003715B1"/>
    <w:rsid w:val="003853DF"/>
    <w:rsid w:val="00393068"/>
    <w:rsid w:val="003A1535"/>
    <w:rsid w:val="003A4A54"/>
    <w:rsid w:val="003A638C"/>
    <w:rsid w:val="003A65FC"/>
    <w:rsid w:val="003B107C"/>
    <w:rsid w:val="003C73D7"/>
    <w:rsid w:val="003D054D"/>
    <w:rsid w:val="003D0842"/>
    <w:rsid w:val="003F4007"/>
    <w:rsid w:val="00402282"/>
    <w:rsid w:val="004026AF"/>
    <w:rsid w:val="00410EEF"/>
    <w:rsid w:val="0041176D"/>
    <w:rsid w:val="0043306D"/>
    <w:rsid w:val="004409B4"/>
    <w:rsid w:val="00454423"/>
    <w:rsid w:val="00457DDA"/>
    <w:rsid w:val="00472E1D"/>
    <w:rsid w:val="00473A61"/>
    <w:rsid w:val="00482F1A"/>
    <w:rsid w:val="00485A8B"/>
    <w:rsid w:val="00493DAB"/>
    <w:rsid w:val="00495F6B"/>
    <w:rsid w:val="004A4B38"/>
    <w:rsid w:val="004A57B9"/>
    <w:rsid w:val="004A7C74"/>
    <w:rsid w:val="004B36EC"/>
    <w:rsid w:val="004B4797"/>
    <w:rsid w:val="004B5615"/>
    <w:rsid w:val="004D04CC"/>
    <w:rsid w:val="004D2F3E"/>
    <w:rsid w:val="004E11E2"/>
    <w:rsid w:val="004E55FC"/>
    <w:rsid w:val="004E7CAC"/>
    <w:rsid w:val="004F4B99"/>
    <w:rsid w:val="00511F65"/>
    <w:rsid w:val="005230E7"/>
    <w:rsid w:val="005277EF"/>
    <w:rsid w:val="00551073"/>
    <w:rsid w:val="005623E3"/>
    <w:rsid w:val="005709BA"/>
    <w:rsid w:val="005B635F"/>
    <w:rsid w:val="005C0861"/>
    <w:rsid w:val="005C4219"/>
    <w:rsid w:val="005D08D9"/>
    <w:rsid w:val="005D5FF8"/>
    <w:rsid w:val="005E1F24"/>
    <w:rsid w:val="005F2F7A"/>
    <w:rsid w:val="005F34B4"/>
    <w:rsid w:val="005F6248"/>
    <w:rsid w:val="00624A73"/>
    <w:rsid w:val="006400C3"/>
    <w:rsid w:val="00640F3C"/>
    <w:rsid w:val="00652241"/>
    <w:rsid w:val="00670F9A"/>
    <w:rsid w:val="0067647F"/>
    <w:rsid w:val="00682959"/>
    <w:rsid w:val="006866FD"/>
    <w:rsid w:val="006A1181"/>
    <w:rsid w:val="006A56C7"/>
    <w:rsid w:val="006A5DA4"/>
    <w:rsid w:val="006B063E"/>
    <w:rsid w:val="006B1588"/>
    <w:rsid w:val="006B6806"/>
    <w:rsid w:val="006D4D9A"/>
    <w:rsid w:val="006D50EF"/>
    <w:rsid w:val="006D6831"/>
    <w:rsid w:val="006F22A8"/>
    <w:rsid w:val="007032C8"/>
    <w:rsid w:val="00705216"/>
    <w:rsid w:val="007204DD"/>
    <w:rsid w:val="00732B6D"/>
    <w:rsid w:val="00734015"/>
    <w:rsid w:val="00737735"/>
    <w:rsid w:val="00740743"/>
    <w:rsid w:val="007476AE"/>
    <w:rsid w:val="007567EE"/>
    <w:rsid w:val="007617CE"/>
    <w:rsid w:val="00765D33"/>
    <w:rsid w:val="007900DE"/>
    <w:rsid w:val="007902B6"/>
    <w:rsid w:val="00791504"/>
    <w:rsid w:val="007A0BB7"/>
    <w:rsid w:val="007A7A54"/>
    <w:rsid w:val="007B17CA"/>
    <w:rsid w:val="007C4F12"/>
    <w:rsid w:val="007C52FA"/>
    <w:rsid w:val="007C54AA"/>
    <w:rsid w:val="007C7128"/>
    <w:rsid w:val="007D5F67"/>
    <w:rsid w:val="007E0177"/>
    <w:rsid w:val="007E03B9"/>
    <w:rsid w:val="007E35FF"/>
    <w:rsid w:val="007F33F8"/>
    <w:rsid w:val="007F4B36"/>
    <w:rsid w:val="0081797F"/>
    <w:rsid w:val="00822BC6"/>
    <w:rsid w:val="0083042E"/>
    <w:rsid w:val="0084765E"/>
    <w:rsid w:val="008553AF"/>
    <w:rsid w:val="00864F66"/>
    <w:rsid w:val="008903B7"/>
    <w:rsid w:val="008A4934"/>
    <w:rsid w:val="008D70E8"/>
    <w:rsid w:val="008F0404"/>
    <w:rsid w:val="008F17F3"/>
    <w:rsid w:val="008F6773"/>
    <w:rsid w:val="009023EB"/>
    <w:rsid w:val="00903C3A"/>
    <w:rsid w:val="0090585F"/>
    <w:rsid w:val="00912A42"/>
    <w:rsid w:val="00913441"/>
    <w:rsid w:val="00917187"/>
    <w:rsid w:val="00941070"/>
    <w:rsid w:val="0094737A"/>
    <w:rsid w:val="0095123C"/>
    <w:rsid w:val="00955E81"/>
    <w:rsid w:val="009710ED"/>
    <w:rsid w:val="009727B2"/>
    <w:rsid w:val="00985C5C"/>
    <w:rsid w:val="00995CB1"/>
    <w:rsid w:val="009A0ABF"/>
    <w:rsid w:val="009A433D"/>
    <w:rsid w:val="009C01F7"/>
    <w:rsid w:val="009C0F60"/>
    <w:rsid w:val="009C0F95"/>
    <w:rsid w:val="009C4034"/>
    <w:rsid w:val="009C4956"/>
    <w:rsid w:val="009D0F53"/>
    <w:rsid w:val="009E2384"/>
    <w:rsid w:val="009E3726"/>
    <w:rsid w:val="009E48A7"/>
    <w:rsid w:val="009F19F9"/>
    <w:rsid w:val="009F1E67"/>
    <w:rsid w:val="00A14327"/>
    <w:rsid w:val="00A217F2"/>
    <w:rsid w:val="00A2448C"/>
    <w:rsid w:val="00A24B4E"/>
    <w:rsid w:val="00A30834"/>
    <w:rsid w:val="00A31BCB"/>
    <w:rsid w:val="00A351DE"/>
    <w:rsid w:val="00A36434"/>
    <w:rsid w:val="00A42A96"/>
    <w:rsid w:val="00A47F41"/>
    <w:rsid w:val="00A52F63"/>
    <w:rsid w:val="00A5358A"/>
    <w:rsid w:val="00A62B24"/>
    <w:rsid w:val="00A67A70"/>
    <w:rsid w:val="00A73230"/>
    <w:rsid w:val="00A842B7"/>
    <w:rsid w:val="00A84DE3"/>
    <w:rsid w:val="00AB0CC0"/>
    <w:rsid w:val="00AB4B47"/>
    <w:rsid w:val="00AD5A55"/>
    <w:rsid w:val="00AF0970"/>
    <w:rsid w:val="00AF3849"/>
    <w:rsid w:val="00B23D52"/>
    <w:rsid w:val="00B31043"/>
    <w:rsid w:val="00B37633"/>
    <w:rsid w:val="00B4729F"/>
    <w:rsid w:val="00B608F6"/>
    <w:rsid w:val="00B63AF5"/>
    <w:rsid w:val="00B63F41"/>
    <w:rsid w:val="00B750BF"/>
    <w:rsid w:val="00B7689E"/>
    <w:rsid w:val="00B77220"/>
    <w:rsid w:val="00B90FBF"/>
    <w:rsid w:val="00B94C9C"/>
    <w:rsid w:val="00BA31E1"/>
    <w:rsid w:val="00BA39F4"/>
    <w:rsid w:val="00BA47D3"/>
    <w:rsid w:val="00BB0F61"/>
    <w:rsid w:val="00BB2BDC"/>
    <w:rsid w:val="00BC1296"/>
    <w:rsid w:val="00BC5A0C"/>
    <w:rsid w:val="00BD2DDB"/>
    <w:rsid w:val="00BD2F56"/>
    <w:rsid w:val="00BD55C6"/>
    <w:rsid w:val="00BE10A7"/>
    <w:rsid w:val="00BF141D"/>
    <w:rsid w:val="00BF4C9B"/>
    <w:rsid w:val="00C03E3D"/>
    <w:rsid w:val="00C0568F"/>
    <w:rsid w:val="00C10FFB"/>
    <w:rsid w:val="00C329C3"/>
    <w:rsid w:val="00C33C80"/>
    <w:rsid w:val="00C52383"/>
    <w:rsid w:val="00C532B2"/>
    <w:rsid w:val="00C551EC"/>
    <w:rsid w:val="00C73177"/>
    <w:rsid w:val="00C77917"/>
    <w:rsid w:val="00C807FE"/>
    <w:rsid w:val="00C83858"/>
    <w:rsid w:val="00C86D31"/>
    <w:rsid w:val="00C92076"/>
    <w:rsid w:val="00CA3EF0"/>
    <w:rsid w:val="00CA4C13"/>
    <w:rsid w:val="00CC4F6A"/>
    <w:rsid w:val="00CC69F9"/>
    <w:rsid w:val="00CD3C60"/>
    <w:rsid w:val="00CD6F39"/>
    <w:rsid w:val="00CE660A"/>
    <w:rsid w:val="00CF2E74"/>
    <w:rsid w:val="00D01688"/>
    <w:rsid w:val="00D0347E"/>
    <w:rsid w:val="00D0491A"/>
    <w:rsid w:val="00D06172"/>
    <w:rsid w:val="00D10DA2"/>
    <w:rsid w:val="00D4151E"/>
    <w:rsid w:val="00D55250"/>
    <w:rsid w:val="00D5650C"/>
    <w:rsid w:val="00D61F39"/>
    <w:rsid w:val="00D70C57"/>
    <w:rsid w:val="00D8289C"/>
    <w:rsid w:val="00D87173"/>
    <w:rsid w:val="00D922DF"/>
    <w:rsid w:val="00D97C98"/>
    <w:rsid w:val="00DA0B8C"/>
    <w:rsid w:val="00DB1A85"/>
    <w:rsid w:val="00DB48D0"/>
    <w:rsid w:val="00DB713F"/>
    <w:rsid w:val="00DC7590"/>
    <w:rsid w:val="00DD046E"/>
    <w:rsid w:val="00DD2666"/>
    <w:rsid w:val="00DD312A"/>
    <w:rsid w:val="00DD53A8"/>
    <w:rsid w:val="00E0518D"/>
    <w:rsid w:val="00E14A0C"/>
    <w:rsid w:val="00E155B1"/>
    <w:rsid w:val="00E166F4"/>
    <w:rsid w:val="00E4583F"/>
    <w:rsid w:val="00E55236"/>
    <w:rsid w:val="00E613CB"/>
    <w:rsid w:val="00E65857"/>
    <w:rsid w:val="00E80E78"/>
    <w:rsid w:val="00E87B16"/>
    <w:rsid w:val="00E97F6B"/>
    <w:rsid w:val="00EA7A11"/>
    <w:rsid w:val="00ED3C10"/>
    <w:rsid w:val="00ED3FF0"/>
    <w:rsid w:val="00ED60DE"/>
    <w:rsid w:val="00EE6365"/>
    <w:rsid w:val="00EF3A00"/>
    <w:rsid w:val="00EF4083"/>
    <w:rsid w:val="00EF5895"/>
    <w:rsid w:val="00F022DD"/>
    <w:rsid w:val="00F108DD"/>
    <w:rsid w:val="00F140D3"/>
    <w:rsid w:val="00F16630"/>
    <w:rsid w:val="00F17937"/>
    <w:rsid w:val="00F24C87"/>
    <w:rsid w:val="00F26855"/>
    <w:rsid w:val="00F3099C"/>
    <w:rsid w:val="00F40A98"/>
    <w:rsid w:val="00F42E66"/>
    <w:rsid w:val="00F74629"/>
    <w:rsid w:val="00F756EC"/>
    <w:rsid w:val="00F80BB6"/>
    <w:rsid w:val="00F8459C"/>
    <w:rsid w:val="00F93B0B"/>
    <w:rsid w:val="00F96576"/>
    <w:rsid w:val="00FA5626"/>
    <w:rsid w:val="00FB1F5C"/>
    <w:rsid w:val="00FC7BC0"/>
    <w:rsid w:val="00FD0FBC"/>
    <w:rsid w:val="00FD1A80"/>
    <w:rsid w:val="00FD4F72"/>
    <w:rsid w:val="00FD68E4"/>
    <w:rsid w:val="00FF37B5"/>
    <w:rsid w:val="00FF7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 w:type="paragraph" w:styleId="NoSpacing">
    <w:name w:val="No Spacing"/>
    <w:uiPriority w:val="1"/>
    <w:qFormat/>
    <w:rsid w:val="00705216"/>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705216"/>
  </w:style>
  <w:style w:type="paragraph" w:customStyle="1" w:styleId="Parastais">
    <w:name w:val="Parastais"/>
    <w:qFormat/>
    <w:rsid w:val="00EF4083"/>
    <w:rPr>
      <w:sz w:val="24"/>
      <w:szCs w:val="24"/>
    </w:rPr>
  </w:style>
  <w:style w:type="paragraph" w:styleId="ListParagraph">
    <w:name w:val="List Paragraph"/>
    <w:basedOn w:val="Normal"/>
    <w:uiPriority w:val="34"/>
    <w:qFormat/>
    <w:rsid w:val="00EF4083"/>
    <w:pPr>
      <w:suppressAutoHyphens w:val="0"/>
      <w:spacing w:after="200" w:line="276" w:lineRule="auto"/>
      <w:ind w:left="720"/>
      <w:contextualSpacing/>
    </w:pPr>
    <w:rPr>
      <w:rFonts w:eastAsiaTheme="minorHAnsi" w:cstheme="minorBidi"/>
      <w:szCs w:val="22"/>
      <w:lang w:eastAsia="en-US"/>
    </w:rPr>
  </w:style>
  <w:style w:type="paragraph" w:customStyle="1" w:styleId="labojumupamats1">
    <w:name w:val="labojumu_pamats1"/>
    <w:basedOn w:val="Normal"/>
    <w:rsid w:val="00DA0B8C"/>
    <w:pPr>
      <w:suppressAutoHyphens w:val="0"/>
      <w:spacing w:before="45" w:line="312" w:lineRule="auto"/>
      <w:ind w:firstLine="300"/>
    </w:pPr>
    <w:rPr>
      <w:i/>
      <w:iCs/>
      <w:color w:val="414142"/>
      <w:sz w:val="20"/>
      <w:szCs w:val="20"/>
      <w:lang w:eastAsia="lv-LV"/>
    </w:rPr>
  </w:style>
  <w:style w:type="character" w:customStyle="1" w:styleId="FooterChar">
    <w:name w:val="Footer Char"/>
    <w:basedOn w:val="DefaultParagraphFont"/>
    <w:link w:val="Footer"/>
    <w:rsid w:val="001016D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 w:type="paragraph" w:styleId="NoSpacing">
    <w:name w:val="No Spacing"/>
    <w:uiPriority w:val="1"/>
    <w:qFormat/>
    <w:rsid w:val="00705216"/>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705216"/>
  </w:style>
  <w:style w:type="paragraph" w:customStyle="1" w:styleId="Parastais">
    <w:name w:val="Parastais"/>
    <w:qFormat/>
    <w:rsid w:val="00EF4083"/>
    <w:rPr>
      <w:sz w:val="24"/>
      <w:szCs w:val="24"/>
    </w:rPr>
  </w:style>
  <w:style w:type="paragraph" w:styleId="ListParagraph">
    <w:name w:val="List Paragraph"/>
    <w:basedOn w:val="Normal"/>
    <w:uiPriority w:val="34"/>
    <w:qFormat/>
    <w:rsid w:val="00EF4083"/>
    <w:pPr>
      <w:suppressAutoHyphens w:val="0"/>
      <w:spacing w:after="200" w:line="276" w:lineRule="auto"/>
      <w:ind w:left="720"/>
      <w:contextualSpacing/>
    </w:pPr>
    <w:rPr>
      <w:rFonts w:eastAsiaTheme="minorHAnsi" w:cstheme="minorBidi"/>
      <w:szCs w:val="22"/>
      <w:lang w:eastAsia="en-US"/>
    </w:rPr>
  </w:style>
  <w:style w:type="paragraph" w:customStyle="1" w:styleId="labojumupamats1">
    <w:name w:val="labojumu_pamats1"/>
    <w:basedOn w:val="Normal"/>
    <w:rsid w:val="00DA0B8C"/>
    <w:pPr>
      <w:suppressAutoHyphens w:val="0"/>
      <w:spacing w:before="45" w:line="312" w:lineRule="auto"/>
      <w:ind w:firstLine="300"/>
    </w:pPr>
    <w:rPr>
      <w:i/>
      <w:iCs/>
      <w:color w:val="414142"/>
      <w:sz w:val="20"/>
      <w:szCs w:val="20"/>
      <w:lang w:eastAsia="lv-LV"/>
    </w:rPr>
  </w:style>
  <w:style w:type="character" w:customStyle="1" w:styleId="FooterChar">
    <w:name w:val="Footer Char"/>
    <w:basedOn w:val="DefaultParagraphFont"/>
    <w:link w:val="Footer"/>
    <w:rsid w:val="001016D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0503">
      <w:bodyDiv w:val="1"/>
      <w:marLeft w:val="0"/>
      <w:marRight w:val="0"/>
      <w:marTop w:val="0"/>
      <w:marBottom w:val="0"/>
      <w:divBdr>
        <w:top w:val="none" w:sz="0" w:space="0" w:color="auto"/>
        <w:left w:val="none" w:sz="0" w:space="0" w:color="auto"/>
        <w:bottom w:val="none" w:sz="0" w:space="0" w:color="auto"/>
        <w:right w:val="none" w:sz="0" w:space="0" w:color="auto"/>
      </w:divBdr>
    </w:div>
    <w:div w:id="251665059">
      <w:bodyDiv w:val="1"/>
      <w:marLeft w:val="0"/>
      <w:marRight w:val="0"/>
      <w:marTop w:val="0"/>
      <w:marBottom w:val="0"/>
      <w:divBdr>
        <w:top w:val="none" w:sz="0" w:space="0" w:color="auto"/>
        <w:left w:val="none" w:sz="0" w:space="0" w:color="auto"/>
        <w:bottom w:val="none" w:sz="0" w:space="0" w:color="auto"/>
        <w:right w:val="none" w:sz="0" w:space="0" w:color="auto"/>
      </w:divBdr>
    </w:div>
    <w:div w:id="337074521">
      <w:bodyDiv w:val="1"/>
      <w:marLeft w:val="0"/>
      <w:marRight w:val="0"/>
      <w:marTop w:val="0"/>
      <w:marBottom w:val="0"/>
      <w:divBdr>
        <w:top w:val="none" w:sz="0" w:space="0" w:color="auto"/>
        <w:left w:val="none" w:sz="0" w:space="0" w:color="auto"/>
        <w:bottom w:val="none" w:sz="0" w:space="0" w:color="auto"/>
        <w:right w:val="none" w:sz="0" w:space="0" w:color="auto"/>
      </w:divBdr>
    </w:div>
    <w:div w:id="482355934">
      <w:bodyDiv w:val="1"/>
      <w:marLeft w:val="0"/>
      <w:marRight w:val="0"/>
      <w:marTop w:val="0"/>
      <w:marBottom w:val="0"/>
      <w:divBdr>
        <w:top w:val="none" w:sz="0" w:space="0" w:color="auto"/>
        <w:left w:val="none" w:sz="0" w:space="0" w:color="auto"/>
        <w:bottom w:val="none" w:sz="0" w:space="0" w:color="auto"/>
        <w:right w:val="none" w:sz="0" w:space="0" w:color="auto"/>
      </w:divBdr>
    </w:div>
    <w:div w:id="537205321">
      <w:bodyDiv w:val="1"/>
      <w:marLeft w:val="0"/>
      <w:marRight w:val="0"/>
      <w:marTop w:val="0"/>
      <w:marBottom w:val="0"/>
      <w:divBdr>
        <w:top w:val="none" w:sz="0" w:space="0" w:color="auto"/>
        <w:left w:val="none" w:sz="0" w:space="0" w:color="auto"/>
        <w:bottom w:val="none" w:sz="0" w:space="0" w:color="auto"/>
        <w:right w:val="none" w:sz="0" w:space="0" w:color="auto"/>
      </w:divBdr>
    </w:div>
    <w:div w:id="563757060">
      <w:bodyDiv w:val="1"/>
      <w:marLeft w:val="0"/>
      <w:marRight w:val="0"/>
      <w:marTop w:val="0"/>
      <w:marBottom w:val="0"/>
      <w:divBdr>
        <w:top w:val="none" w:sz="0" w:space="0" w:color="auto"/>
        <w:left w:val="none" w:sz="0" w:space="0" w:color="auto"/>
        <w:bottom w:val="none" w:sz="0" w:space="0" w:color="auto"/>
        <w:right w:val="none" w:sz="0" w:space="0" w:color="auto"/>
      </w:divBdr>
    </w:div>
    <w:div w:id="639000905">
      <w:bodyDiv w:val="1"/>
      <w:marLeft w:val="0"/>
      <w:marRight w:val="0"/>
      <w:marTop w:val="0"/>
      <w:marBottom w:val="0"/>
      <w:divBdr>
        <w:top w:val="none" w:sz="0" w:space="0" w:color="auto"/>
        <w:left w:val="none" w:sz="0" w:space="0" w:color="auto"/>
        <w:bottom w:val="none" w:sz="0" w:space="0" w:color="auto"/>
        <w:right w:val="none" w:sz="0" w:space="0" w:color="auto"/>
      </w:divBdr>
    </w:div>
    <w:div w:id="935211100">
      <w:bodyDiv w:val="1"/>
      <w:marLeft w:val="0"/>
      <w:marRight w:val="0"/>
      <w:marTop w:val="0"/>
      <w:marBottom w:val="0"/>
      <w:divBdr>
        <w:top w:val="none" w:sz="0" w:space="0" w:color="auto"/>
        <w:left w:val="none" w:sz="0" w:space="0" w:color="auto"/>
        <w:bottom w:val="none" w:sz="0" w:space="0" w:color="auto"/>
        <w:right w:val="none" w:sz="0" w:space="0" w:color="auto"/>
      </w:divBdr>
    </w:div>
    <w:div w:id="1051344272">
      <w:bodyDiv w:val="1"/>
      <w:marLeft w:val="0"/>
      <w:marRight w:val="0"/>
      <w:marTop w:val="0"/>
      <w:marBottom w:val="0"/>
      <w:divBdr>
        <w:top w:val="none" w:sz="0" w:space="0" w:color="auto"/>
        <w:left w:val="none" w:sz="0" w:space="0" w:color="auto"/>
        <w:bottom w:val="none" w:sz="0" w:space="0" w:color="auto"/>
        <w:right w:val="none" w:sz="0" w:space="0" w:color="auto"/>
      </w:divBdr>
    </w:div>
    <w:div w:id="1110390554">
      <w:bodyDiv w:val="1"/>
      <w:marLeft w:val="0"/>
      <w:marRight w:val="0"/>
      <w:marTop w:val="0"/>
      <w:marBottom w:val="0"/>
      <w:divBdr>
        <w:top w:val="none" w:sz="0" w:space="0" w:color="auto"/>
        <w:left w:val="none" w:sz="0" w:space="0" w:color="auto"/>
        <w:bottom w:val="none" w:sz="0" w:space="0" w:color="auto"/>
        <w:right w:val="none" w:sz="0" w:space="0" w:color="auto"/>
      </w:divBdr>
      <w:divsChild>
        <w:div w:id="891430513">
          <w:marLeft w:val="0"/>
          <w:marRight w:val="0"/>
          <w:marTop w:val="0"/>
          <w:marBottom w:val="0"/>
          <w:divBdr>
            <w:top w:val="none" w:sz="0" w:space="0" w:color="auto"/>
            <w:left w:val="none" w:sz="0" w:space="0" w:color="auto"/>
            <w:bottom w:val="none" w:sz="0" w:space="0" w:color="auto"/>
            <w:right w:val="none" w:sz="0" w:space="0" w:color="auto"/>
          </w:divBdr>
          <w:divsChild>
            <w:div w:id="647562765">
              <w:marLeft w:val="0"/>
              <w:marRight w:val="0"/>
              <w:marTop w:val="0"/>
              <w:marBottom w:val="0"/>
              <w:divBdr>
                <w:top w:val="none" w:sz="0" w:space="0" w:color="auto"/>
                <w:left w:val="none" w:sz="0" w:space="0" w:color="auto"/>
                <w:bottom w:val="none" w:sz="0" w:space="0" w:color="auto"/>
                <w:right w:val="none" w:sz="0" w:space="0" w:color="auto"/>
              </w:divBdr>
              <w:divsChild>
                <w:div w:id="140537117">
                  <w:marLeft w:val="0"/>
                  <w:marRight w:val="0"/>
                  <w:marTop w:val="0"/>
                  <w:marBottom w:val="0"/>
                  <w:divBdr>
                    <w:top w:val="none" w:sz="0" w:space="0" w:color="auto"/>
                    <w:left w:val="none" w:sz="0" w:space="0" w:color="auto"/>
                    <w:bottom w:val="none" w:sz="0" w:space="0" w:color="auto"/>
                    <w:right w:val="none" w:sz="0" w:space="0" w:color="auto"/>
                  </w:divBdr>
                  <w:divsChild>
                    <w:div w:id="1791241072">
                      <w:marLeft w:val="0"/>
                      <w:marRight w:val="0"/>
                      <w:marTop w:val="0"/>
                      <w:marBottom w:val="0"/>
                      <w:divBdr>
                        <w:top w:val="none" w:sz="0" w:space="0" w:color="auto"/>
                        <w:left w:val="none" w:sz="0" w:space="0" w:color="auto"/>
                        <w:bottom w:val="none" w:sz="0" w:space="0" w:color="auto"/>
                        <w:right w:val="none" w:sz="0" w:space="0" w:color="auto"/>
                      </w:divBdr>
                      <w:divsChild>
                        <w:div w:id="1147819992">
                          <w:marLeft w:val="0"/>
                          <w:marRight w:val="0"/>
                          <w:marTop w:val="0"/>
                          <w:marBottom w:val="0"/>
                          <w:divBdr>
                            <w:top w:val="none" w:sz="0" w:space="0" w:color="auto"/>
                            <w:left w:val="none" w:sz="0" w:space="0" w:color="auto"/>
                            <w:bottom w:val="none" w:sz="0" w:space="0" w:color="auto"/>
                            <w:right w:val="none" w:sz="0" w:space="0" w:color="auto"/>
                          </w:divBdr>
                          <w:divsChild>
                            <w:div w:id="2106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4186">
      <w:bodyDiv w:val="1"/>
      <w:marLeft w:val="0"/>
      <w:marRight w:val="0"/>
      <w:marTop w:val="0"/>
      <w:marBottom w:val="0"/>
      <w:divBdr>
        <w:top w:val="none" w:sz="0" w:space="0" w:color="auto"/>
        <w:left w:val="none" w:sz="0" w:space="0" w:color="auto"/>
        <w:bottom w:val="none" w:sz="0" w:space="0" w:color="auto"/>
        <w:right w:val="none" w:sz="0" w:space="0" w:color="auto"/>
      </w:divBdr>
      <w:divsChild>
        <w:div w:id="1625772386">
          <w:marLeft w:val="0"/>
          <w:marRight w:val="0"/>
          <w:marTop w:val="0"/>
          <w:marBottom w:val="0"/>
          <w:divBdr>
            <w:top w:val="none" w:sz="0" w:space="0" w:color="auto"/>
            <w:left w:val="none" w:sz="0" w:space="0" w:color="auto"/>
            <w:bottom w:val="none" w:sz="0" w:space="0" w:color="auto"/>
            <w:right w:val="none" w:sz="0" w:space="0" w:color="auto"/>
          </w:divBdr>
          <w:divsChild>
            <w:div w:id="1677271919">
              <w:marLeft w:val="0"/>
              <w:marRight w:val="0"/>
              <w:marTop w:val="0"/>
              <w:marBottom w:val="0"/>
              <w:divBdr>
                <w:top w:val="none" w:sz="0" w:space="0" w:color="auto"/>
                <w:left w:val="none" w:sz="0" w:space="0" w:color="auto"/>
                <w:bottom w:val="none" w:sz="0" w:space="0" w:color="auto"/>
                <w:right w:val="none" w:sz="0" w:space="0" w:color="auto"/>
              </w:divBdr>
              <w:divsChild>
                <w:div w:id="326903760">
                  <w:marLeft w:val="0"/>
                  <w:marRight w:val="0"/>
                  <w:marTop w:val="0"/>
                  <w:marBottom w:val="0"/>
                  <w:divBdr>
                    <w:top w:val="none" w:sz="0" w:space="0" w:color="auto"/>
                    <w:left w:val="none" w:sz="0" w:space="0" w:color="auto"/>
                    <w:bottom w:val="none" w:sz="0" w:space="0" w:color="auto"/>
                    <w:right w:val="none" w:sz="0" w:space="0" w:color="auto"/>
                  </w:divBdr>
                  <w:divsChild>
                    <w:div w:id="269778666">
                      <w:marLeft w:val="0"/>
                      <w:marRight w:val="0"/>
                      <w:marTop w:val="0"/>
                      <w:marBottom w:val="0"/>
                      <w:divBdr>
                        <w:top w:val="none" w:sz="0" w:space="0" w:color="auto"/>
                        <w:left w:val="none" w:sz="0" w:space="0" w:color="auto"/>
                        <w:bottom w:val="none" w:sz="0" w:space="0" w:color="auto"/>
                        <w:right w:val="none" w:sz="0" w:space="0" w:color="auto"/>
                      </w:divBdr>
                      <w:divsChild>
                        <w:div w:id="1928879367">
                          <w:marLeft w:val="0"/>
                          <w:marRight w:val="0"/>
                          <w:marTop w:val="0"/>
                          <w:marBottom w:val="0"/>
                          <w:divBdr>
                            <w:top w:val="none" w:sz="0" w:space="0" w:color="auto"/>
                            <w:left w:val="none" w:sz="0" w:space="0" w:color="auto"/>
                            <w:bottom w:val="none" w:sz="0" w:space="0" w:color="auto"/>
                            <w:right w:val="none" w:sz="0" w:space="0" w:color="auto"/>
                          </w:divBdr>
                          <w:divsChild>
                            <w:div w:id="11464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5037">
      <w:bodyDiv w:val="1"/>
      <w:marLeft w:val="0"/>
      <w:marRight w:val="0"/>
      <w:marTop w:val="0"/>
      <w:marBottom w:val="0"/>
      <w:divBdr>
        <w:top w:val="none" w:sz="0" w:space="0" w:color="auto"/>
        <w:left w:val="none" w:sz="0" w:space="0" w:color="auto"/>
        <w:bottom w:val="none" w:sz="0" w:space="0" w:color="auto"/>
        <w:right w:val="none" w:sz="0" w:space="0" w:color="auto"/>
      </w:divBdr>
      <w:divsChild>
        <w:div w:id="1171726027">
          <w:marLeft w:val="0"/>
          <w:marRight w:val="0"/>
          <w:marTop w:val="0"/>
          <w:marBottom w:val="0"/>
          <w:divBdr>
            <w:top w:val="none" w:sz="0" w:space="0" w:color="auto"/>
            <w:left w:val="none" w:sz="0" w:space="0" w:color="auto"/>
            <w:bottom w:val="none" w:sz="0" w:space="0" w:color="auto"/>
            <w:right w:val="none" w:sz="0" w:space="0" w:color="auto"/>
          </w:divBdr>
          <w:divsChild>
            <w:div w:id="1655601663">
              <w:marLeft w:val="0"/>
              <w:marRight w:val="0"/>
              <w:marTop w:val="0"/>
              <w:marBottom w:val="0"/>
              <w:divBdr>
                <w:top w:val="none" w:sz="0" w:space="0" w:color="auto"/>
                <w:left w:val="none" w:sz="0" w:space="0" w:color="auto"/>
                <w:bottom w:val="none" w:sz="0" w:space="0" w:color="auto"/>
                <w:right w:val="none" w:sz="0" w:space="0" w:color="auto"/>
              </w:divBdr>
              <w:divsChild>
                <w:div w:id="1440178682">
                  <w:marLeft w:val="0"/>
                  <w:marRight w:val="0"/>
                  <w:marTop w:val="0"/>
                  <w:marBottom w:val="0"/>
                  <w:divBdr>
                    <w:top w:val="none" w:sz="0" w:space="0" w:color="auto"/>
                    <w:left w:val="none" w:sz="0" w:space="0" w:color="auto"/>
                    <w:bottom w:val="none" w:sz="0" w:space="0" w:color="auto"/>
                    <w:right w:val="none" w:sz="0" w:space="0" w:color="auto"/>
                  </w:divBdr>
                  <w:divsChild>
                    <w:div w:id="201864848">
                      <w:marLeft w:val="0"/>
                      <w:marRight w:val="0"/>
                      <w:marTop w:val="0"/>
                      <w:marBottom w:val="0"/>
                      <w:divBdr>
                        <w:top w:val="none" w:sz="0" w:space="0" w:color="auto"/>
                        <w:left w:val="none" w:sz="0" w:space="0" w:color="auto"/>
                        <w:bottom w:val="none" w:sz="0" w:space="0" w:color="auto"/>
                        <w:right w:val="none" w:sz="0" w:space="0" w:color="auto"/>
                      </w:divBdr>
                      <w:divsChild>
                        <w:div w:id="436558204">
                          <w:marLeft w:val="0"/>
                          <w:marRight w:val="0"/>
                          <w:marTop w:val="0"/>
                          <w:marBottom w:val="0"/>
                          <w:divBdr>
                            <w:top w:val="none" w:sz="0" w:space="0" w:color="auto"/>
                            <w:left w:val="none" w:sz="0" w:space="0" w:color="auto"/>
                            <w:bottom w:val="none" w:sz="0" w:space="0" w:color="auto"/>
                            <w:right w:val="none" w:sz="0" w:space="0" w:color="auto"/>
                          </w:divBdr>
                          <w:divsChild>
                            <w:div w:id="680081702">
                              <w:marLeft w:val="0"/>
                              <w:marRight w:val="0"/>
                              <w:marTop w:val="0"/>
                              <w:marBottom w:val="0"/>
                              <w:divBdr>
                                <w:top w:val="none" w:sz="0" w:space="0" w:color="auto"/>
                                <w:left w:val="none" w:sz="0" w:space="0" w:color="auto"/>
                                <w:bottom w:val="none" w:sz="0" w:space="0" w:color="auto"/>
                                <w:right w:val="none" w:sz="0" w:space="0" w:color="auto"/>
                              </w:divBdr>
                              <w:divsChild>
                                <w:div w:id="429619450">
                                  <w:marLeft w:val="0"/>
                                  <w:marRight w:val="0"/>
                                  <w:marTop w:val="0"/>
                                  <w:marBottom w:val="0"/>
                                  <w:divBdr>
                                    <w:top w:val="none" w:sz="0" w:space="0" w:color="auto"/>
                                    <w:left w:val="none" w:sz="0" w:space="0" w:color="auto"/>
                                    <w:bottom w:val="none" w:sz="0" w:space="0" w:color="auto"/>
                                    <w:right w:val="none" w:sz="0" w:space="0" w:color="auto"/>
                                  </w:divBdr>
                                </w:div>
                              </w:divsChild>
                            </w:div>
                            <w:div w:id="2023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51710">
      <w:bodyDiv w:val="1"/>
      <w:marLeft w:val="0"/>
      <w:marRight w:val="0"/>
      <w:marTop w:val="0"/>
      <w:marBottom w:val="0"/>
      <w:divBdr>
        <w:top w:val="none" w:sz="0" w:space="0" w:color="auto"/>
        <w:left w:val="none" w:sz="0" w:space="0" w:color="auto"/>
        <w:bottom w:val="none" w:sz="0" w:space="0" w:color="auto"/>
        <w:right w:val="none" w:sz="0" w:space="0" w:color="auto"/>
      </w:divBdr>
      <w:divsChild>
        <w:div w:id="262808207">
          <w:marLeft w:val="0"/>
          <w:marRight w:val="0"/>
          <w:marTop w:val="0"/>
          <w:marBottom w:val="0"/>
          <w:divBdr>
            <w:top w:val="none" w:sz="0" w:space="0" w:color="auto"/>
            <w:left w:val="none" w:sz="0" w:space="0" w:color="auto"/>
            <w:bottom w:val="none" w:sz="0" w:space="0" w:color="auto"/>
            <w:right w:val="none" w:sz="0" w:space="0" w:color="auto"/>
          </w:divBdr>
          <w:divsChild>
            <w:div w:id="413554501">
              <w:marLeft w:val="0"/>
              <w:marRight w:val="0"/>
              <w:marTop w:val="0"/>
              <w:marBottom w:val="0"/>
              <w:divBdr>
                <w:top w:val="none" w:sz="0" w:space="0" w:color="auto"/>
                <w:left w:val="none" w:sz="0" w:space="0" w:color="auto"/>
                <w:bottom w:val="none" w:sz="0" w:space="0" w:color="auto"/>
                <w:right w:val="none" w:sz="0" w:space="0" w:color="auto"/>
              </w:divBdr>
              <w:divsChild>
                <w:div w:id="981890073">
                  <w:marLeft w:val="0"/>
                  <w:marRight w:val="0"/>
                  <w:marTop w:val="0"/>
                  <w:marBottom w:val="0"/>
                  <w:divBdr>
                    <w:top w:val="none" w:sz="0" w:space="0" w:color="auto"/>
                    <w:left w:val="none" w:sz="0" w:space="0" w:color="auto"/>
                    <w:bottom w:val="none" w:sz="0" w:space="0" w:color="auto"/>
                    <w:right w:val="none" w:sz="0" w:space="0" w:color="auto"/>
                  </w:divBdr>
                  <w:divsChild>
                    <w:div w:id="1428647468">
                      <w:marLeft w:val="0"/>
                      <w:marRight w:val="0"/>
                      <w:marTop w:val="0"/>
                      <w:marBottom w:val="0"/>
                      <w:divBdr>
                        <w:top w:val="none" w:sz="0" w:space="0" w:color="auto"/>
                        <w:left w:val="none" w:sz="0" w:space="0" w:color="auto"/>
                        <w:bottom w:val="none" w:sz="0" w:space="0" w:color="auto"/>
                        <w:right w:val="none" w:sz="0" w:space="0" w:color="auto"/>
                      </w:divBdr>
                      <w:divsChild>
                        <w:div w:id="283195964">
                          <w:marLeft w:val="0"/>
                          <w:marRight w:val="0"/>
                          <w:marTop w:val="0"/>
                          <w:marBottom w:val="0"/>
                          <w:divBdr>
                            <w:top w:val="none" w:sz="0" w:space="0" w:color="auto"/>
                            <w:left w:val="none" w:sz="0" w:space="0" w:color="auto"/>
                            <w:bottom w:val="none" w:sz="0" w:space="0" w:color="auto"/>
                            <w:right w:val="none" w:sz="0" w:space="0" w:color="auto"/>
                          </w:divBdr>
                          <w:divsChild>
                            <w:div w:id="1252664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1632">
      <w:bodyDiv w:val="1"/>
      <w:marLeft w:val="0"/>
      <w:marRight w:val="0"/>
      <w:marTop w:val="0"/>
      <w:marBottom w:val="0"/>
      <w:divBdr>
        <w:top w:val="none" w:sz="0" w:space="0" w:color="auto"/>
        <w:left w:val="none" w:sz="0" w:space="0" w:color="auto"/>
        <w:bottom w:val="none" w:sz="0" w:space="0" w:color="auto"/>
        <w:right w:val="none" w:sz="0" w:space="0" w:color="auto"/>
      </w:divBdr>
    </w:div>
    <w:div w:id="1698963973">
      <w:bodyDiv w:val="1"/>
      <w:marLeft w:val="0"/>
      <w:marRight w:val="0"/>
      <w:marTop w:val="0"/>
      <w:marBottom w:val="0"/>
      <w:divBdr>
        <w:top w:val="none" w:sz="0" w:space="0" w:color="auto"/>
        <w:left w:val="none" w:sz="0" w:space="0" w:color="auto"/>
        <w:bottom w:val="none" w:sz="0" w:space="0" w:color="auto"/>
        <w:right w:val="none" w:sz="0" w:space="0" w:color="auto"/>
      </w:divBdr>
    </w:div>
    <w:div w:id="1818456242">
      <w:bodyDiv w:val="1"/>
      <w:marLeft w:val="0"/>
      <w:marRight w:val="0"/>
      <w:marTop w:val="0"/>
      <w:marBottom w:val="0"/>
      <w:divBdr>
        <w:top w:val="none" w:sz="0" w:space="0" w:color="auto"/>
        <w:left w:val="none" w:sz="0" w:space="0" w:color="auto"/>
        <w:bottom w:val="none" w:sz="0" w:space="0" w:color="auto"/>
        <w:right w:val="none" w:sz="0" w:space="0" w:color="auto"/>
      </w:divBdr>
    </w:div>
    <w:div w:id="1900362670">
      <w:bodyDiv w:val="1"/>
      <w:marLeft w:val="0"/>
      <w:marRight w:val="0"/>
      <w:marTop w:val="0"/>
      <w:marBottom w:val="0"/>
      <w:divBdr>
        <w:top w:val="none" w:sz="0" w:space="0" w:color="auto"/>
        <w:left w:val="none" w:sz="0" w:space="0" w:color="auto"/>
        <w:bottom w:val="none" w:sz="0" w:space="0" w:color="auto"/>
        <w:right w:val="none" w:sz="0" w:space="0" w:color="auto"/>
      </w:divBdr>
    </w:div>
    <w:div w:id="1960523832">
      <w:bodyDiv w:val="1"/>
      <w:marLeft w:val="0"/>
      <w:marRight w:val="0"/>
      <w:marTop w:val="0"/>
      <w:marBottom w:val="0"/>
      <w:divBdr>
        <w:top w:val="none" w:sz="0" w:space="0" w:color="auto"/>
        <w:left w:val="none" w:sz="0" w:space="0" w:color="auto"/>
        <w:bottom w:val="none" w:sz="0" w:space="0" w:color="auto"/>
        <w:right w:val="none" w:sz="0" w:space="0" w:color="auto"/>
      </w:divBdr>
    </w:div>
    <w:div w:id="2069258125">
      <w:bodyDiv w:val="1"/>
      <w:marLeft w:val="0"/>
      <w:marRight w:val="0"/>
      <w:marTop w:val="0"/>
      <w:marBottom w:val="0"/>
      <w:divBdr>
        <w:top w:val="none" w:sz="0" w:space="0" w:color="auto"/>
        <w:left w:val="none" w:sz="0" w:space="0" w:color="auto"/>
        <w:bottom w:val="none" w:sz="0" w:space="0" w:color="auto"/>
        <w:right w:val="none" w:sz="0" w:space="0" w:color="auto"/>
      </w:divBdr>
    </w:div>
    <w:div w:id="20851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ara.Stikane@e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12483" TargetMode="External"/><Relationship Id="rId4" Type="http://schemas.microsoft.com/office/2007/relationships/stylesWithEffects" Target="stylesWithEffects.xml"/><Relationship Id="rId9" Type="http://schemas.openxmlformats.org/officeDocument/2006/relationships/hyperlink" Target="http://likumi.lv/doc.php?id=1248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9669-352C-46F8-92FB-D2DA7710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3456</Words>
  <Characters>1971</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2005.gada 30.augusta noteikumos Nr.664 „Sabiedrisko pakalpojumu licencēšanas noteikumi”” sākotnējās ietekmes novērtējuma ziņojums (anotācija)</vt:lpstr>
      <vt:lpstr>Ministru kabineta noteikumu projekta „Grozījums Ministru kabineta 2005.gada 30.augusta noteikumos Nr.664 „Sabiedrisko pakalpojumu licencēšanas noteikumi”” sākotnējās ietekmes novērtējuma ziņojums (anotācija)</vt:lpstr>
    </vt:vector>
  </TitlesOfParts>
  <Company>Ekonomikas ministrija</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2005.gada 30.augusta noteikumos Nr.664 „Sabiedrisko pakalpojumu licencēšanas noteikumi”” sākotnējās ietekmes novērtējuma ziņojums (anotācija)</dc:title>
  <dc:creator>Ināra Stikāne</dc:creator>
  <dc:description>67013261
Inara.Stikane@em.gov.lv</dc:description>
  <cp:lastModifiedBy>Ināra Stikāne</cp:lastModifiedBy>
  <cp:revision>15</cp:revision>
  <cp:lastPrinted>2015-03-05T13:30:00Z</cp:lastPrinted>
  <dcterms:created xsi:type="dcterms:W3CDTF">2015-02-11T14:07:00Z</dcterms:created>
  <dcterms:modified xsi:type="dcterms:W3CDTF">2015-03-06T07:22:00Z</dcterms:modified>
</cp:coreProperties>
</file>