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2D" w:rsidRPr="00A77A73" w:rsidRDefault="006D422D" w:rsidP="000F52ED">
      <w:pPr>
        <w:jc w:val="center"/>
        <w:rPr>
          <w:b/>
          <w:bCs/>
          <w:sz w:val="24"/>
          <w:szCs w:val="24"/>
          <w:lang w:val="lv-LV" w:eastAsia="lv-LV"/>
        </w:rPr>
      </w:pPr>
      <w:bookmarkStart w:id="0" w:name="OLE_LINK2"/>
      <w:bookmarkStart w:id="1" w:name="OLE_LINK1"/>
      <w:r w:rsidRPr="00A77A73">
        <w:rPr>
          <w:b/>
          <w:bCs/>
          <w:sz w:val="24"/>
          <w:szCs w:val="24"/>
          <w:lang w:val="lv-LV" w:eastAsia="lv-LV"/>
        </w:rPr>
        <w:t>Likumprojekt</w:t>
      </w:r>
      <w:r w:rsidR="00322AD4" w:rsidRPr="00A77A73">
        <w:rPr>
          <w:b/>
          <w:bCs/>
          <w:sz w:val="24"/>
          <w:szCs w:val="24"/>
          <w:lang w:val="lv-LV" w:eastAsia="lv-LV"/>
        </w:rPr>
        <w:t>a</w:t>
      </w:r>
      <w:r w:rsidRPr="00A77A73">
        <w:rPr>
          <w:b/>
          <w:bCs/>
          <w:sz w:val="24"/>
          <w:szCs w:val="24"/>
          <w:lang w:val="lv-LV" w:eastAsia="lv-LV"/>
        </w:rPr>
        <w:t xml:space="preserve"> </w:t>
      </w:r>
      <w:r w:rsidRPr="00A77A73">
        <w:rPr>
          <w:bCs/>
          <w:sz w:val="24"/>
          <w:szCs w:val="24"/>
          <w:lang w:val="lv-LV" w:eastAsia="lv-LV"/>
        </w:rPr>
        <w:t>„</w:t>
      </w:r>
      <w:r w:rsidR="000F52ED" w:rsidRPr="00A77A73">
        <w:rPr>
          <w:rStyle w:val="Strong"/>
          <w:rFonts w:cs="Times New Roman"/>
          <w:bCs w:val="0"/>
          <w:sz w:val="24"/>
          <w:szCs w:val="24"/>
          <w:lang w:val="lv-LV"/>
        </w:rPr>
        <w:t>Grozījumi Latvijas Administratīvo pārkāpumu kodeksā</w:t>
      </w:r>
      <w:r w:rsidRPr="00A77A73">
        <w:rPr>
          <w:bCs/>
          <w:sz w:val="24"/>
          <w:szCs w:val="24"/>
          <w:lang w:val="lv-LV" w:eastAsia="lv-LV"/>
        </w:rPr>
        <w:t>”</w:t>
      </w:r>
      <w:r w:rsidRPr="00A77A73">
        <w:rPr>
          <w:b/>
          <w:bCs/>
          <w:sz w:val="24"/>
          <w:szCs w:val="24"/>
          <w:lang w:val="lv-LV" w:eastAsia="lv-LV"/>
        </w:rPr>
        <w:t xml:space="preserve"> sākotnējās ietekmes novērtējuma ziņojums (anotācija</w:t>
      </w:r>
      <w:bookmarkEnd w:id="0"/>
      <w:bookmarkEnd w:id="1"/>
      <w:r w:rsidRPr="00A77A73">
        <w:rPr>
          <w:b/>
          <w:bCs/>
          <w:sz w:val="24"/>
          <w:szCs w:val="24"/>
          <w:lang w:val="lv-LV" w:eastAsia="lv-LV"/>
        </w:rPr>
        <w:t>)</w:t>
      </w:r>
    </w:p>
    <w:p w:rsidR="00DA55F2" w:rsidRPr="00A77A73" w:rsidRDefault="00DA55F2" w:rsidP="00DA55F2">
      <w:pPr>
        <w:shd w:val="clear" w:color="auto" w:fill="FFFFFF"/>
        <w:spacing w:before="45" w:line="240" w:lineRule="atLeast"/>
        <w:ind w:firstLine="300"/>
        <w:jc w:val="center"/>
        <w:rPr>
          <w:rFonts w:cs="Times New Roman"/>
          <w:i/>
          <w:iCs/>
          <w:sz w:val="24"/>
          <w:szCs w:val="24"/>
          <w:lang w:val="lv-LV" w:eastAsia="lv-LV" w:bidi="ar-SA"/>
        </w:rPr>
      </w:pPr>
    </w:p>
    <w:tbl>
      <w:tblPr>
        <w:tblW w:w="504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90"/>
        <w:gridCol w:w="2796"/>
        <w:gridCol w:w="5911"/>
      </w:tblGrid>
      <w:tr w:rsidR="005E202E" w:rsidRPr="00A77A73" w:rsidTr="00693DBF">
        <w:trPr>
          <w:trHeight w:val="324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A55F2" w:rsidRPr="00A77A73" w:rsidRDefault="00DA55F2" w:rsidP="00DA55F2">
            <w:pPr>
              <w:spacing w:before="100" w:beforeAutospacing="1" w:after="100" w:afterAutospacing="1" w:line="315" w:lineRule="atLeast"/>
              <w:jc w:val="center"/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</w:pPr>
            <w:r w:rsidRPr="00A77A73"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  <w:t>I. Tiesību akta projekta izstrādes nepieciešamība</w:t>
            </w:r>
          </w:p>
        </w:tc>
      </w:tr>
      <w:tr w:rsidR="005E202E" w:rsidRPr="00313F95" w:rsidTr="00693DBF">
        <w:trPr>
          <w:trHeight w:val="324"/>
        </w:trPr>
        <w:tc>
          <w:tcPr>
            <w:tcW w:w="2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A77A73" w:rsidRDefault="00DA55F2" w:rsidP="00DA55F2">
            <w:pPr>
              <w:spacing w:before="100" w:beforeAutospacing="1" w:after="100" w:afterAutospacing="1" w:line="315" w:lineRule="atLeast"/>
              <w:jc w:val="center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A77A73">
              <w:rPr>
                <w:rFonts w:cs="Times New Roman"/>
                <w:sz w:val="24"/>
                <w:szCs w:val="24"/>
                <w:lang w:val="lv-LV" w:eastAsia="lv-LV" w:bidi="ar-SA"/>
              </w:rPr>
              <w:t>1.</w:t>
            </w:r>
          </w:p>
        </w:tc>
        <w:tc>
          <w:tcPr>
            <w:tcW w:w="1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A77A73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A77A73">
              <w:rPr>
                <w:rFonts w:cs="Times New Roman"/>
                <w:sz w:val="24"/>
                <w:szCs w:val="24"/>
                <w:lang w:val="lv-LV" w:eastAsia="lv-LV" w:bidi="ar-SA"/>
              </w:rPr>
              <w:t>Pamatojums</w:t>
            </w:r>
          </w:p>
        </w:tc>
        <w:tc>
          <w:tcPr>
            <w:tcW w:w="3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A77A73" w:rsidRDefault="003669BE" w:rsidP="00411AA5">
            <w:pPr>
              <w:pStyle w:val="ListParagraph"/>
              <w:ind w:left="0"/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A77A73">
              <w:rPr>
                <w:bCs/>
                <w:iCs/>
                <w:sz w:val="24"/>
                <w:szCs w:val="24"/>
                <w:lang w:val="lv-LV"/>
              </w:rPr>
              <w:t xml:space="preserve">Ministru kabineta </w:t>
            </w:r>
            <w:r w:rsidR="00411AA5" w:rsidRPr="00A77A73">
              <w:rPr>
                <w:bCs/>
                <w:iCs/>
                <w:sz w:val="24"/>
                <w:szCs w:val="24"/>
                <w:lang w:val="lv-LV"/>
              </w:rPr>
              <w:t>2014.</w:t>
            </w:r>
            <w:r w:rsidRPr="00A77A73">
              <w:rPr>
                <w:bCs/>
                <w:iCs/>
                <w:sz w:val="24"/>
                <w:szCs w:val="24"/>
                <w:lang w:val="lv-LV"/>
              </w:rPr>
              <w:t> </w:t>
            </w:r>
            <w:r w:rsidR="00411AA5" w:rsidRPr="00A77A73">
              <w:rPr>
                <w:bCs/>
                <w:iCs/>
                <w:sz w:val="24"/>
                <w:szCs w:val="24"/>
                <w:lang w:val="lv-LV"/>
              </w:rPr>
              <w:t>gada 26.</w:t>
            </w:r>
            <w:r w:rsidRPr="00A77A73">
              <w:rPr>
                <w:bCs/>
                <w:iCs/>
                <w:sz w:val="24"/>
                <w:szCs w:val="24"/>
                <w:lang w:val="lv-LV"/>
              </w:rPr>
              <w:t> </w:t>
            </w:r>
            <w:r w:rsidR="00411AA5" w:rsidRPr="00A77A73">
              <w:rPr>
                <w:bCs/>
                <w:iCs/>
                <w:sz w:val="24"/>
                <w:szCs w:val="24"/>
                <w:lang w:val="lv-LV"/>
              </w:rPr>
              <w:t xml:space="preserve">maija </w:t>
            </w:r>
            <w:proofErr w:type="spellStart"/>
            <w:r w:rsidR="00411AA5" w:rsidRPr="00A77A73">
              <w:rPr>
                <w:bCs/>
                <w:iCs/>
                <w:sz w:val="24"/>
                <w:szCs w:val="24"/>
                <w:lang w:val="lv-LV"/>
              </w:rPr>
              <w:t>protokollēmuma</w:t>
            </w:r>
            <w:proofErr w:type="spellEnd"/>
            <w:r w:rsidR="00411AA5" w:rsidRPr="00A77A73">
              <w:rPr>
                <w:bCs/>
                <w:iCs/>
                <w:sz w:val="24"/>
                <w:szCs w:val="24"/>
                <w:lang w:val="lv-LV"/>
              </w:rPr>
              <w:t xml:space="preserve"> Nr.</w:t>
            </w:r>
            <w:r w:rsidRPr="00A77A73">
              <w:rPr>
                <w:bCs/>
                <w:iCs/>
                <w:sz w:val="24"/>
                <w:szCs w:val="24"/>
                <w:lang w:val="lv-LV"/>
              </w:rPr>
              <w:t> </w:t>
            </w:r>
            <w:r w:rsidR="00411AA5" w:rsidRPr="00A77A73">
              <w:rPr>
                <w:bCs/>
                <w:iCs/>
                <w:sz w:val="24"/>
                <w:szCs w:val="24"/>
                <w:lang w:val="lv-LV"/>
              </w:rPr>
              <w:t>30 47</w:t>
            </w:r>
            <w:r w:rsidRPr="00A77A73">
              <w:rPr>
                <w:bCs/>
                <w:iCs/>
                <w:sz w:val="24"/>
                <w:szCs w:val="24"/>
                <w:lang w:val="lv-LV"/>
              </w:rPr>
              <w:t>. §</w:t>
            </w:r>
            <w:r w:rsidR="00411AA5" w:rsidRPr="00A77A73">
              <w:rPr>
                <w:bCs/>
                <w:iCs/>
                <w:sz w:val="24"/>
                <w:szCs w:val="24"/>
                <w:lang w:val="lv-LV"/>
              </w:rPr>
              <w:t xml:space="preserve"> „</w:t>
            </w:r>
            <w:r w:rsidR="00411AA5" w:rsidRPr="00A77A73">
              <w:rPr>
                <w:sz w:val="24"/>
                <w:szCs w:val="24"/>
                <w:lang w:val="lv-LV"/>
              </w:rPr>
              <w:t xml:space="preserve">Par informatīvā ziņojuma "Par kuģu vraku un nogrimušu priekšmetu, kas atrodas Latvijas valsts jurisdikcijā esošajos jūras ūdeņos, apskates kontroles sistēmas izveidošanu" izpildi” 4. </w:t>
            </w:r>
            <w:r w:rsidR="00411AA5" w:rsidRPr="00A77A73">
              <w:rPr>
                <w:bCs/>
                <w:iCs/>
                <w:sz w:val="24"/>
                <w:szCs w:val="24"/>
                <w:lang w:val="lv-LV"/>
              </w:rPr>
              <w:t>punkts.</w:t>
            </w:r>
          </w:p>
        </w:tc>
      </w:tr>
      <w:tr w:rsidR="005E202E" w:rsidRPr="00313F95" w:rsidTr="00693DBF">
        <w:trPr>
          <w:trHeight w:val="372"/>
        </w:trPr>
        <w:tc>
          <w:tcPr>
            <w:tcW w:w="2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A77A73" w:rsidRDefault="00DA55F2" w:rsidP="00DA55F2">
            <w:pPr>
              <w:spacing w:before="100" w:beforeAutospacing="1" w:after="100" w:afterAutospacing="1" w:line="315" w:lineRule="atLeast"/>
              <w:jc w:val="center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A77A73">
              <w:rPr>
                <w:rFonts w:cs="Times New Roman"/>
                <w:sz w:val="24"/>
                <w:szCs w:val="24"/>
                <w:lang w:val="lv-LV" w:eastAsia="lv-LV" w:bidi="ar-SA"/>
              </w:rPr>
              <w:t>2.</w:t>
            </w:r>
          </w:p>
        </w:tc>
        <w:tc>
          <w:tcPr>
            <w:tcW w:w="1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A77A73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A77A73">
              <w:rPr>
                <w:rFonts w:cs="Times New Roman"/>
                <w:sz w:val="24"/>
                <w:szCs w:val="24"/>
                <w:lang w:val="lv-LV" w:eastAsia="lv-LV" w:bidi="ar-SA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6DE2" w:rsidRDefault="000F52ED" w:rsidP="005C69CA">
            <w:pPr>
              <w:jc w:val="both"/>
              <w:rPr>
                <w:sz w:val="24"/>
                <w:szCs w:val="24"/>
                <w:lang w:val="lv-LV"/>
              </w:rPr>
            </w:pPr>
            <w:r w:rsidRPr="00B36DE2">
              <w:rPr>
                <w:bCs/>
                <w:sz w:val="24"/>
                <w:szCs w:val="24"/>
                <w:lang w:val="lv-LV" w:eastAsia="lv-LV"/>
              </w:rPr>
              <w:t>Saskaņā ar likumprojektu „</w:t>
            </w:r>
            <w:r w:rsidRPr="00B36DE2">
              <w:rPr>
                <w:sz w:val="24"/>
                <w:szCs w:val="24"/>
                <w:lang w:val="lv-LV"/>
              </w:rPr>
              <w:t>Grozījumi Jūras vides aizsardzības un pārvaldības likumā</w:t>
            </w:r>
            <w:r w:rsidRPr="00B36DE2">
              <w:rPr>
                <w:bCs/>
                <w:sz w:val="24"/>
                <w:szCs w:val="24"/>
                <w:lang w:val="lv-LV" w:eastAsia="lv-LV"/>
              </w:rPr>
              <w:t xml:space="preserve">” </w:t>
            </w:r>
            <w:r w:rsidR="003669BE" w:rsidRPr="00B36DE2">
              <w:rPr>
                <w:bCs/>
                <w:sz w:val="24"/>
                <w:szCs w:val="24"/>
                <w:lang w:val="lv-LV" w:eastAsia="lv-LV"/>
              </w:rPr>
              <w:t xml:space="preserve">jūrā </w:t>
            </w:r>
            <w:r w:rsidRPr="00B36DE2">
              <w:rPr>
                <w:bCs/>
                <w:sz w:val="24"/>
                <w:szCs w:val="24"/>
                <w:lang w:val="lv-LV" w:eastAsia="lv-LV"/>
              </w:rPr>
              <w:t xml:space="preserve">tiks izveidotas niršanai </w:t>
            </w:r>
            <w:r w:rsidR="004B3D9C" w:rsidRPr="00B36DE2">
              <w:rPr>
                <w:sz w:val="24"/>
                <w:szCs w:val="24"/>
                <w:lang w:val="lv-LV"/>
              </w:rPr>
              <w:t xml:space="preserve">aizliegtās teritorijas, kurās atrodas kuģu vraki vai nogrimuši priekšmeti, kas rada vai var radīt apdraudējumu valsts drošībai vai cilvēka veselībai un dzīvībai (turpmāk – aizliegtās teritorijas), kā arī niršanai ierobežotās teritorijas, kurās atrodas kuģu vraki vai nogrimuši priekšmeti, kas rada vai var radīt apdraudējumu jūras videi vai kultūrvēsturiskām vērtībām (turpmāk – ierobežotās teritorijas), </w:t>
            </w:r>
            <w:r w:rsidRPr="00B36DE2">
              <w:rPr>
                <w:bCs/>
                <w:sz w:val="24"/>
                <w:szCs w:val="24"/>
                <w:lang w:val="lv-LV" w:eastAsia="lv-LV"/>
              </w:rPr>
              <w:t xml:space="preserve">kurās niršanu varēs veikt tikai ar </w:t>
            </w:r>
            <w:r w:rsidR="00B36DE2" w:rsidRPr="00B36DE2">
              <w:rPr>
                <w:sz w:val="24"/>
                <w:szCs w:val="24"/>
                <w:lang w:val="lv-LV"/>
              </w:rPr>
              <w:t>Nacionālo bruņoto spēku Jūras spēku flotiles Krasta apsardzes dienesta (turpmāk — Krasta apsardze) atļauju.</w:t>
            </w:r>
          </w:p>
          <w:p w:rsidR="00B36DE2" w:rsidRDefault="00B36DE2" w:rsidP="005C69CA">
            <w:pPr>
              <w:jc w:val="both"/>
              <w:rPr>
                <w:sz w:val="24"/>
                <w:szCs w:val="24"/>
                <w:lang w:val="lv-LV"/>
              </w:rPr>
            </w:pPr>
          </w:p>
          <w:p w:rsidR="00B36DE2" w:rsidRDefault="000F52ED" w:rsidP="005C69CA">
            <w:pPr>
              <w:jc w:val="both"/>
              <w:rPr>
                <w:sz w:val="24"/>
                <w:szCs w:val="24"/>
                <w:lang w:val="lv-LV"/>
              </w:rPr>
            </w:pPr>
            <w:r w:rsidRPr="00A77A73">
              <w:rPr>
                <w:sz w:val="24"/>
                <w:szCs w:val="24"/>
                <w:lang w:val="lv-LV"/>
              </w:rPr>
              <w:t>Līdz ar to nepieciešams noteikt tiesības Krasta apsardzei un Valsts robežsardzei administratīvi sodīt fiziskās personas, kas pārkāpj minēto kārtību.</w:t>
            </w:r>
          </w:p>
          <w:p w:rsidR="00B36DE2" w:rsidRDefault="00B36DE2" w:rsidP="005C69CA">
            <w:pPr>
              <w:jc w:val="both"/>
              <w:rPr>
                <w:sz w:val="24"/>
                <w:szCs w:val="24"/>
                <w:lang w:val="lv-LV"/>
              </w:rPr>
            </w:pPr>
          </w:p>
          <w:p w:rsidR="006838A8" w:rsidRPr="00A77A73" w:rsidRDefault="00977504" w:rsidP="00B36DE2">
            <w:pPr>
              <w:jc w:val="both"/>
              <w:rPr>
                <w:sz w:val="24"/>
                <w:szCs w:val="24"/>
                <w:lang w:val="lv-LV"/>
              </w:rPr>
            </w:pPr>
            <w:r w:rsidRPr="00A77A73">
              <w:rPr>
                <w:sz w:val="24"/>
                <w:szCs w:val="24"/>
                <w:lang w:val="lv-LV"/>
              </w:rPr>
              <w:t xml:space="preserve">Administratīvā soda apmēri niršanas pārkāpumiem </w:t>
            </w:r>
            <w:r w:rsidR="00B53D50" w:rsidRPr="00A77A73">
              <w:rPr>
                <w:bCs/>
                <w:sz w:val="24"/>
                <w:szCs w:val="24"/>
                <w:lang w:val="lv-LV" w:eastAsia="lv-LV"/>
              </w:rPr>
              <w:t>aizliegtās teritorijā</w:t>
            </w:r>
            <w:r w:rsidRPr="00A77A73">
              <w:rPr>
                <w:bCs/>
                <w:sz w:val="24"/>
                <w:szCs w:val="24"/>
                <w:lang w:val="lv-LV" w:eastAsia="lv-LV"/>
              </w:rPr>
              <w:t>s un ierobežot</w:t>
            </w:r>
            <w:r w:rsidR="000069AB" w:rsidRPr="00A77A73">
              <w:rPr>
                <w:bCs/>
                <w:sz w:val="24"/>
                <w:szCs w:val="24"/>
                <w:lang w:val="lv-LV" w:eastAsia="lv-LV"/>
              </w:rPr>
              <w:t>ā</w:t>
            </w:r>
            <w:r w:rsidRPr="00A77A73">
              <w:rPr>
                <w:bCs/>
                <w:sz w:val="24"/>
                <w:szCs w:val="24"/>
                <w:lang w:val="lv-LV" w:eastAsia="lv-LV"/>
              </w:rPr>
              <w:t>s teritorij</w:t>
            </w:r>
            <w:r w:rsidR="00B53D50" w:rsidRPr="00A77A73">
              <w:rPr>
                <w:bCs/>
                <w:sz w:val="24"/>
                <w:szCs w:val="24"/>
                <w:lang w:val="lv-LV" w:eastAsia="lv-LV"/>
              </w:rPr>
              <w:t>ā</w:t>
            </w:r>
            <w:r w:rsidRPr="00A77A73">
              <w:rPr>
                <w:bCs/>
                <w:sz w:val="24"/>
                <w:szCs w:val="24"/>
                <w:lang w:val="lv-LV" w:eastAsia="lv-LV"/>
              </w:rPr>
              <w:t xml:space="preserve">s tiek noteikti pamatojoties uz šādu darbību radīto </w:t>
            </w:r>
            <w:r w:rsidRPr="00A77A73">
              <w:rPr>
                <w:sz w:val="24"/>
                <w:szCs w:val="24"/>
                <w:lang w:val="lv-LV"/>
              </w:rPr>
              <w:t>apdraudējumu jūras videi, kultūrvēsturiskām vērtībām, valsts drošībai vai cilvēka veselībai un dzīvībai.</w:t>
            </w:r>
            <w:r w:rsidRPr="00A77A73">
              <w:rPr>
                <w:bCs/>
                <w:sz w:val="24"/>
                <w:szCs w:val="24"/>
                <w:lang w:val="lv-LV" w:eastAsia="lv-LV"/>
              </w:rPr>
              <w:t xml:space="preserve"> </w:t>
            </w:r>
          </w:p>
        </w:tc>
      </w:tr>
      <w:tr w:rsidR="005E202E" w:rsidRPr="00313F95" w:rsidTr="00693DBF">
        <w:trPr>
          <w:trHeight w:val="372"/>
        </w:trPr>
        <w:tc>
          <w:tcPr>
            <w:tcW w:w="2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A77A73" w:rsidRDefault="00DA55F2" w:rsidP="00DA55F2">
            <w:pPr>
              <w:spacing w:before="100" w:beforeAutospacing="1" w:after="100" w:afterAutospacing="1" w:line="315" w:lineRule="atLeast"/>
              <w:jc w:val="center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A77A73">
              <w:rPr>
                <w:rFonts w:cs="Times New Roman"/>
                <w:sz w:val="24"/>
                <w:szCs w:val="24"/>
                <w:lang w:val="lv-LV" w:eastAsia="lv-LV" w:bidi="ar-SA"/>
              </w:rPr>
              <w:t>3.</w:t>
            </w:r>
          </w:p>
        </w:tc>
        <w:tc>
          <w:tcPr>
            <w:tcW w:w="1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A77A73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A77A73">
              <w:rPr>
                <w:rFonts w:cs="Times New Roman"/>
                <w:sz w:val="24"/>
                <w:szCs w:val="24"/>
                <w:lang w:val="lv-LV" w:eastAsia="lv-LV" w:bidi="ar-SA"/>
              </w:rPr>
              <w:t>Projekta izstrādē iesaistītās institūcijas</w:t>
            </w:r>
          </w:p>
        </w:tc>
        <w:tc>
          <w:tcPr>
            <w:tcW w:w="3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Default="00411AA5" w:rsidP="0090779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  <w:lang w:val="lv-LV"/>
              </w:rPr>
            </w:pPr>
            <w:r w:rsidRPr="00A77A73">
              <w:rPr>
                <w:bCs/>
                <w:iCs/>
                <w:sz w:val="24"/>
                <w:szCs w:val="24"/>
                <w:lang w:val="lv-LV"/>
              </w:rPr>
              <w:t xml:space="preserve">Saskaņā ar </w:t>
            </w:r>
            <w:r w:rsidR="00907795" w:rsidRPr="00A77A73">
              <w:rPr>
                <w:bCs/>
                <w:iCs/>
                <w:sz w:val="24"/>
                <w:szCs w:val="24"/>
                <w:lang w:val="lv-LV"/>
              </w:rPr>
              <w:t xml:space="preserve">Ministru kabineta </w:t>
            </w:r>
            <w:r w:rsidRPr="00A77A73">
              <w:rPr>
                <w:bCs/>
                <w:iCs/>
                <w:sz w:val="24"/>
                <w:szCs w:val="24"/>
                <w:lang w:val="lv-LV"/>
              </w:rPr>
              <w:t>2014.</w:t>
            </w:r>
            <w:r w:rsidR="00907795" w:rsidRPr="00A77A73">
              <w:rPr>
                <w:bCs/>
                <w:iCs/>
                <w:sz w:val="24"/>
                <w:szCs w:val="24"/>
                <w:lang w:val="lv-LV"/>
              </w:rPr>
              <w:t> </w:t>
            </w:r>
            <w:r w:rsidRPr="00A77A73">
              <w:rPr>
                <w:bCs/>
                <w:iCs/>
                <w:sz w:val="24"/>
                <w:szCs w:val="24"/>
                <w:lang w:val="lv-LV"/>
              </w:rPr>
              <w:t>gada 26.</w:t>
            </w:r>
            <w:r w:rsidR="00907795" w:rsidRPr="00A77A73">
              <w:rPr>
                <w:bCs/>
                <w:iCs/>
                <w:sz w:val="24"/>
                <w:szCs w:val="24"/>
                <w:lang w:val="lv-LV"/>
              </w:rPr>
              <w:t> </w:t>
            </w:r>
            <w:r w:rsidRPr="00A77A73">
              <w:rPr>
                <w:bCs/>
                <w:iCs/>
                <w:sz w:val="24"/>
                <w:szCs w:val="24"/>
                <w:lang w:val="lv-LV"/>
              </w:rPr>
              <w:t xml:space="preserve">maija </w:t>
            </w:r>
            <w:proofErr w:type="spellStart"/>
            <w:r w:rsidRPr="00A77A73">
              <w:rPr>
                <w:bCs/>
                <w:iCs/>
                <w:sz w:val="24"/>
                <w:szCs w:val="24"/>
                <w:lang w:val="lv-LV"/>
              </w:rPr>
              <w:t>protokollēmuma</w:t>
            </w:r>
            <w:proofErr w:type="spellEnd"/>
            <w:r w:rsidRPr="00A77A73">
              <w:rPr>
                <w:bCs/>
                <w:iCs/>
                <w:sz w:val="24"/>
                <w:szCs w:val="24"/>
                <w:lang w:val="lv-LV"/>
              </w:rPr>
              <w:t xml:space="preserve"> Nr.</w:t>
            </w:r>
            <w:r w:rsidR="00907795" w:rsidRPr="00A77A73">
              <w:rPr>
                <w:bCs/>
                <w:iCs/>
                <w:sz w:val="24"/>
                <w:szCs w:val="24"/>
                <w:lang w:val="lv-LV"/>
              </w:rPr>
              <w:t> </w:t>
            </w:r>
            <w:r w:rsidRPr="00A77A73">
              <w:rPr>
                <w:bCs/>
                <w:iCs/>
                <w:sz w:val="24"/>
                <w:szCs w:val="24"/>
                <w:lang w:val="lv-LV"/>
              </w:rPr>
              <w:t>30 47</w:t>
            </w:r>
            <w:r w:rsidR="00907795" w:rsidRPr="00A77A73">
              <w:rPr>
                <w:bCs/>
                <w:iCs/>
                <w:sz w:val="24"/>
                <w:szCs w:val="24"/>
                <w:lang w:val="lv-LV"/>
              </w:rPr>
              <w:t>. §</w:t>
            </w:r>
            <w:r w:rsidRPr="00A77A73">
              <w:rPr>
                <w:bCs/>
                <w:iCs/>
                <w:sz w:val="24"/>
                <w:szCs w:val="24"/>
                <w:lang w:val="lv-LV"/>
              </w:rPr>
              <w:t xml:space="preserve"> „</w:t>
            </w:r>
            <w:r w:rsidRPr="00A77A73">
              <w:rPr>
                <w:sz w:val="24"/>
                <w:szCs w:val="24"/>
                <w:lang w:val="lv-LV"/>
              </w:rPr>
              <w:t xml:space="preserve">Par informatīvā ziņojuma "Par kuģu vraku un nogrimušu priekšmetu, kas atrodas Latvijas valsts jurisdikcijā esošajos jūras ūdeņos, apskates kontroles sistēmas izveidošanu" izpildi” 3. </w:t>
            </w:r>
            <w:r w:rsidRPr="00A77A73">
              <w:rPr>
                <w:bCs/>
                <w:iCs/>
                <w:sz w:val="24"/>
                <w:szCs w:val="24"/>
                <w:lang w:val="lv-LV"/>
              </w:rPr>
              <w:t>punktu tika izveidota darba grupa (iekļaujot pārstāvjus no Aizsardzības, Iekšlietu, Kultūras, Satiksmes, Vides aizsardzības un reģionālās attīstības un Zemkopības ministrijas), kas izstrādāja šo grozījum</w:t>
            </w:r>
            <w:r w:rsidR="00907795" w:rsidRPr="00A77A73">
              <w:rPr>
                <w:bCs/>
                <w:iCs/>
                <w:sz w:val="24"/>
                <w:szCs w:val="24"/>
                <w:lang w:val="lv-LV"/>
              </w:rPr>
              <w:t>u</w:t>
            </w:r>
            <w:r w:rsidRPr="00A77A73">
              <w:rPr>
                <w:bCs/>
                <w:iCs/>
                <w:sz w:val="24"/>
                <w:szCs w:val="24"/>
                <w:lang w:val="lv-LV"/>
              </w:rPr>
              <w:t xml:space="preserve"> projektu.</w:t>
            </w:r>
          </w:p>
          <w:p w:rsidR="00313F95" w:rsidRDefault="00313F95" w:rsidP="0090779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  <w:lang w:val="lv-LV"/>
              </w:rPr>
            </w:pPr>
          </w:p>
          <w:p w:rsidR="00313F95" w:rsidRPr="00313F95" w:rsidRDefault="00313F95" w:rsidP="00313F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lv-LV"/>
              </w:rPr>
            </w:pPr>
            <w:r w:rsidRPr="00313F95">
              <w:rPr>
                <w:sz w:val="24"/>
                <w:szCs w:val="24"/>
                <w:lang w:val="lv-LV"/>
              </w:rPr>
              <w:t>Projekts izskatīts un atbalstīts Tieslietu ministrijas izveidotajā Latvijas Administratīvo pārkāpumu kodeksa pastāvīgajā darba grupā.</w:t>
            </w:r>
          </w:p>
        </w:tc>
      </w:tr>
      <w:tr w:rsidR="005E202E" w:rsidRPr="00A77A73" w:rsidTr="00693DBF">
        <w:tc>
          <w:tcPr>
            <w:tcW w:w="2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A77A73" w:rsidRDefault="00DA55F2" w:rsidP="00DA55F2">
            <w:pPr>
              <w:spacing w:before="100" w:beforeAutospacing="1" w:after="100" w:afterAutospacing="1" w:line="315" w:lineRule="atLeast"/>
              <w:jc w:val="center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A77A73">
              <w:rPr>
                <w:rFonts w:cs="Times New Roman"/>
                <w:sz w:val="24"/>
                <w:szCs w:val="24"/>
                <w:lang w:val="lv-LV" w:eastAsia="lv-LV" w:bidi="ar-SA"/>
              </w:rPr>
              <w:t>4.</w:t>
            </w:r>
          </w:p>
        </w:tc>
        <w:tc>
          <w:tcPr>
            <w:tcW w:w="1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A77A73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A77A73">
              <w:rPr>
                <w:rFonts w:cs="Times New Roman"/>
                <w:sz w:val="24"/>
                <w:szCs w:val="24"/>
                <w:lang w:val="lv-LV" w:eastAsia="lv-LV" w:bidi="ar-SA"/>
              </w:rPr>
              <w:t>Cita informācija</w:t>
            </w:r>
          </w:p>
        </w:tc>
        <w:tc>
          <w:tcPr>
            <w:tcW w:w="3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A77A73" w:rsidRDefault="00C97D1C" w:rsidP="00FD0C2D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A77A73">
              <w:rPr>
                <w:rFonts w:cs="Times New Roman"/>
                <w:bCs/>
                <w:sz w:val="24"/>
                <w:szCs w:val="24"/>
                <w:lang w:val="lv-LV"/>
              </w:rPr>
              <w:t xml:space="preserve">Nav. </w:t>
            </w:r>
          </w:p>
        </w:tc>
      </w:tr>
    </w:tbl>
    <w:p w:rsidR="00DA55F2" w:rsidRPr="00A77A73" w:rsidRDefault="00DA55F2" w:rsidP="00DA55F2">
      <w:pPr>
        <w:shd w:val="clear" w:color="auto" w:fill="FFFFFF"/>
        <w:spacing w:before="100" w:beforeAutospacing="1" w:after="100" w:afterAutospacing="1" w:line="315" w:lineRule="atLeast"/>
        <w:ind w:firstLine="300"/>
        <w:rPr>
          <w:rFonts w:cs="Times New Roman"/>
          <w:sz w:val="24"/>
          <w:szCs w:val="24"/>
          <w:lang w:val="lv-LV" w:eastAsia="lv-LV" w:bidi="ar-SA"/>
        </w:rPr>
      </w:pPr>
    </w:p>
    <w:p w:rsidR="005F56A5" w:rsidRPr="00A77A73" w:rsidRDefault="005F56A5" w:rsidP="00920416">
      <w:pPr>
        <w:shd w:val="clear" w:color="auto" w:fill="FFFFFF"/>
        <w:ind w:firstLine="301"/>
        <w:rPr>
          <w:rFonts w:cs="Times New Roman"/>
          <w:sz w:val="24"/>
          <w:szCs w:val="24"/>
          <w:lang w:val="lv-LV" w:eastAsia="lv-LV" w:bidi="ar-SA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"/>
        <w:gridCol w:w="2800"/>
        <w:gridCol w:w="5781"/>
      </w:tblGrid>
      <w:tr w:rsidR="00C039CD" w:rsidRPr="00313F95" w:rsidTr="00127D79">
        <w:trPr>
          <w:trHeight w:val="55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039CD" w:rsidRPr="00A77A73" w:rsidRDefault="00C039CD" w:rsidP="00127D79">
            <w:pPr>
              <w:rPr>
                <w:rFonts w:cs="Times New Roman"/>
                <w:b/>
                <w:bCs/>
                <w:sz w:val="24"/>
                <w:szCs w:val="24"/>
                <w:lang w:val="lv-LV"/>
              </w:rPr>
            </w:pPr>
            <w:r w:rsidRPr="00A77A73">
              <w:rPr>
                <w:rFonts w:cs="Times New Roman"/>
                <w:b/>
                <w:bCs/>
                <w:sz w:val="24"/>
                <w:szCs w:val="24"/>
                <w:lang w:val="lv-LV"/>
              </w:rPr>
              <w:t>II. Tiesību akta projekta ietekme uz sabiedrību, tautsaimniecības attīstību un administratīvo slogu</w:t>
            </w:r>
          </w:p>
        </w:tc>
      </w:tr>
      <w:tr w:rsidR="00C039CD" w:rsidRPr="00313F95" w:rsidTr="00127D7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039CD" w:rsidRPr="00A77A73" w:rsidRDefault="00C039CD" w:rsidP="00127D79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A77A73">
              <w:rPr>
                <w:rFonts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039CD" w:rsidRPr="00A77A73" w:rsidRDefault="00C039CD" w:rsidP="00127D79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A77A73">
              <w:rPr>
                <w:rFonts w:cs="Times New Roman"/>
                <w:sz w:val="24"/>
                <w:szCs w:val="24"/>
                <w:lang w:val="lv-LV"/>
              </w:rPr>
              <w:t xml:space="preserve">Sabiedrības </w:t>
            </w:r>
            <w:proofErr w:type="spellStart"/>
            <w:r w:rsidRPr="00A77A73">
              <w:rPr>
                <w:rFonts w:cs="Times New Roman"/>
                <w:sz w:val="24"/>
                <w:szCs w:val="24"/>
                <w:lang w:val="lv-LV"/>
              </w:rPr>
              <w:t>mērķgrupas</w:t>
            </w:r>
            <w:proofErr w:type="spellEnd"/>
            <w:r w:rsidRPr="00A77A73">
              <w:rPr>
                <w:rFonts w:cs="Times New Roman"/>
                <w:sz w:val="24"/>
                <w:szCs w:val="24"/>
                <w:lang w:val="lv-LV"/>
              </w:rPr>
              <w:t>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039CD" w:rsidRPr="00C000CD" w:rsidRDefault="00C039CD" w:rsidP="00127D79">
            <w:pPr>
              <w:jc w:val="both"/>
              <w:rPr>
                <w:rFonts w:cs="Times New Roman"/>
                <w:iCs/>
                <w:sz w:val="24"/>
                <w:szCs w:val="24"/>
                <w:lang w:val="lv-LV"/>
              </w:rPr>
            </w:pPr>
            <w:r w:rsidRPr="00C000CD">
              <w:rPr>
                <w:rFonts w:cs="Times New Roman"/>
                <w:iCs/>
                <w:sz w:val="24"/>
                <w:szCs w:val="24"/>
                <w:lang w:val="lv-LV"/>
              </w:rPr>
              <w:t xml:space="preserve">Informācija par projekta skarto personu skaitu atsevišķi netiek apkopota un uzkrāta. Paredzētais normatīvais regulējums attieksies uz personām, kas vēlēsies nirt aizliegtajās un ierobežotajās teritorijās jūrā – </w:t>
            </w:r>
            <w:r w:rsidRPr="00C000CD">
              <w:rPr>
                <w:sz w:val="24"/>
                <w:szCs w:val="24"/>
                <w:lang w:val="lv-LV"/>
              </w:rPr>
              <w:t>teritorijas kurās atrodas kuģu vraki vai nogrimuši priekšmeti, kas rada vai var radīt apdraudējumu valsts drošībai vai cilvēka veselībai un dzīvībai</w:t>
            </w:r>
            <w:r w:rsidRPr="00C000CD">
              <w:rPr>
                <w:rFonts w:cs="Times New Roman"/>
                <w:iCs/>
                <w:sz w:val="24"/>
                <w:szCs w:val="24"/>
                <w:lang w:val="lv-LV"/>
              </w:rPr>
              <w:t xml:space="preserve"> vai </w:t>
            </w:r>
            <w:r w:rsidRPr="00C000CD">
              <w:rPr>
                <w:sz w:val="24"/>
                <w:szCs w:val="24"/>
                <w:lang w:val="lv-LV"/>
              </w:rPr>
              <w:t>teritorijās kurās atrodas kuģu vraki vai nogrimuši priekšmeti, kas rada vai var radīt apdraudējumu jūras videi vai kultūrvēsturiskām vērtībām</w:t>
            </w:r>
            <w:r w:rsidRPr="00C000CD">
              <w:rPr>
                <w:rFonts w:cs="Times New Roman"/>
                <w:iCs/>
                <w:sz w:val="24"/>
                <w:szCs w:val="24"/>
                <w:lang w:val="lv-LV"/>
              </w:rPr>
              <w:t>.</w:t>
            </w:r>
          </w:p>
          <w:p w:rsidR="00C039CD" w:rsidRPr="00C000CD" w:rsidRDefault="00C039CD" w:rsidP="00127D79">
            <w:pPr>
              <w:jc w:val="both"/>
              <w:rPr>
                <w:rFonts w:cs="Times New Roman"/>
                <w:sz w:val="24"/>
                <w:szCs w:val="24"/>
                <w:lang w:val="lv-LV"/>
              </w:rPr>
            </w:pPr>
          </w:p>
          <w:p w:rsidR="00C039CD" w:rsidRPr="00C000CD" w:rsidRDefault="00C039CD" w:rsidP="00127D79">
            <w:pPr>
              <w:jc w:val="both"/>
              <w:rPr>
                <w:rFonts w:cs="Times New Roman"/>
                <w:iCs/>
                <w:sz w:val="24"/>
                <w:szCs w:val="24"/>
                <w:lang w:val="lv-LV"/>
              </w:rPr>
            </w:pPr>
          </w:p>
        </w:tc>
      </w:tr>
      <w:tr w:rsidR="00C039CD" w:rsidRPr="00313F95" w:rsidTr="00127D79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039CD" w:rsidRPr="00A77A73" w:rsidRDefault="00C039CD" w:rsidP="00127D79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A77A73">
              <w:rPr>
                <w:rFonts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039CD" w:rsidRPr="00A77A73" w:rsidRDefault="00C039CD" w:rsidP="00127D79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A77A73">
              <w:rPr>
                <w:rFonts w:cs="Times New Roman"/>
                <w:sz w:val="24"/>
                <w:szCs w:val="24"/>
                <w:lang w:val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039CD" w:rsidRPr="00C000CD" w:rsidRDefault="00C039CD" w:rsidP="00C039CD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C000CD">
              <w:rPr>
                <w:rFonts w:cs="Times New Roman"/>
                <w:sz w:val="24"/>
                <w:szCs w:val="24"/>
                <w:lang w:val="lv-LV"/>
              </w:rPr>
              <w:t xml:space="preserve">Tiks noteikts administratīvs sods par niršanu </w:t>
            </w:r>
            <w:r w:rsidRPr="00C000CD">
              <w:rPr>
                <w:rFonts w:cs="Times New Roman"/>
                <w:bCs/>
                <w:sz w:val="24"/>
                <w:szCs w:val="24"/>
                <w:lang w:val="lv-LV"/>
              </w:rPr>
              <w:t xml:space="preserve">aizliegtās teritorijās un niršanas </w:t>
            </w:r>
            <w:r w:rsidRPr="00C000CD">
              <w:rPr>
                <w:rFonts w:cs="Times New Roman"/>
                <w:sz w:val="24"/>
                <w:szCs w:val="24"/>
                <w:lang w:val="lv-LV"/>
              </w:rPr>
              <w:t>pārkāpumiem</w:t>
            </w:r>
            <w:r w:rsidRPr="00C000CD">
              <w:rPr>
                <w:rFonts w:cs="Times New Roman"/>
                <w:bCs/>
                <w:sz w:val="24"/>
                <w:szCs w:val="24"/>
                <w:lang w:val="lv-LV"/>
              </w:rPr>
              <w:t xml:space="preserve"> ierobežotās teritorijās.</w:t>
            </w:r>
          </w:p>
        </w:tc>
      </w:tr>
      <w:tr w:rsidR="00C039CD" w:rsidRPr="00A77A73" w:rsidTr="00127D79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039CD" w:rsidRPr="00A77A73" w:rsidRDefault="00C039CD" w:rsidP="00127D79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A77A73">
              <w:rPr>
                <w:rFonts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039CD" w:rsidRPr="00A77A73" w:rsidRDefault="00C039CD" w:rsidP="00127D79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A77A73">
              <w:rPr>
                <w:rFonts w:cs="Times New Roman"/>
                <w:sz w:val="24"/>
                <w:szCs w:val="24"/>
                <w:lang w:val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039CD" w:rsidRPr="00C000CD" w:rsidRDefault="00C039CD" w:rsidP="00127D79">
            <w:pPr>
              <w:jc w:val="both"/>
              <w:rPr>
                <w:rFonts w:cs="Times New Roman"/>
                <w:sz w:val="24"/>
                <w:szCs w:val="24"/>
                <w:lang w:val="lv-LV"/>
              </w:rPr>
            </w:pPr>
            <w:proofErr w:type="spellStart"/>
            <w:r w:rsidRPr="00C000CD">
              <w:rPr>
                <w:iCs/>
                <w:sz w:val="24"/>
                <w:szCs w:val="24"/>
              </w:rPr>
              <w:t>Ieņēmumus</w:t>
            </w:r>
            <w:proofErr w:type="spellEnd"/>
            <w:r w:rsidRPr="00C000CD">
              <w:rPr>
                <w:iCs/>
                <w:sz w:val="24"/>
                <w:szCs w:val="24"/>
              </w:rPr>
              <w:t xml:space="preserve"> no soda </w:t>
            </w:r>
            <w:proofErr w:type="spellStart"/>
            <w:r w:rsidRPr="00C000CD">
              <w:rPr>
                <w:iCs/>
                <w:sz w:val="24"/>
                <w:szCs w:val="24"/>
              </w:rPr>
              <w:t>naudu</w:t>
            </w:r>
            <w:proofErr w:type="spellEnd"/>
            <w:r w:rsidRPr="00C000C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C000CD">
              <w:rPr>
                <w:iCs/>
                <w:sz w:val="24"/>
                <w:szCs w:val="24"/>
              </w:rPr>
              <w:t>iemaksām</w:t>
            </w:r>
            <w:proofErr w:type="spellEnd"/>
            <w:r w:rsidRPr="00C000C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C000CD">
              <w:rPr>
                <w:iCs/>
                <w:sz w:val="24"/>
                <w:szCs w:val="24"/>
              </w:rPr>
              <w:t>nav</w:t>
            </w:r>
            <w:proofErr w:type="spellEnd"/>
            <w:r w:rsidRPr="00C000C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C000CD">
              <w:rPr>
                <w:iCs/>
                <w:sz w:val="24"/>
                <w:szCs w:val="24"/>
              </w:rPr>
              <w:t>iespējams</w:t>
            </w:r>
            <w:proofErr w:type="spellEnd"/>
            <w:r w:rsidRPr="00C000C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C000CD">
              <w:rPr>
                <w:iCs/>
                <w:sz w:val="24"/>
                <w:szCs w:val="24"/>
              </w:rPr>
              <w:t>noteikt</w:t>
            </w:r>
            <w:proofErr w:type="spellEnd"/>
          </w:p>
        </w:tc>
      </w:tr>
      <w:tr w:rsidR="00C039CD" w:rsidRPr="00A77A73" w:rsidTr="00127D79"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039CD" w:rsidRPr="00A77A73" w:rsidRDefault="00C039CD" w:rsidP="00127D79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A77A73">
              <w:rPr>
                <w:rFonts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039CD" w:rsidRPr="00A77A73" w:rsidRDefault="00C039CD" w:rsidP="00127D79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A77A73">
              <w:rPr>
                <w:rFonts w:cs="Times New Roman"/>
                <w:sz w:val="24"/>
                <w:szCs w:val="24"/>
                <w:lang w:val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039CD" w:rsidRPr="00C000CD" w:rsidRDefault="00191B68" w:rsidP="00191B68">
            <w:pPr>
              <w:jc w:val="both"/>
              <w:rPr>
                <w:rFonts w:cs="Times New Roman"/>
                <w:sz w:val="24"/>
                <w:szCs w:val="24"/>
                <w:lang w:val="lv-LV"/>
              </w:rPr>
            </w:pPr>
            <w:r w:rsidRPr="00C000CD">
              <w:rPr>
                <w:rFonts w:cs="Times New Roman"/>
                <w:sz w:val="24"/>
                <w:szCs w:val="24"/>
                <w:lang w:val="lv-LV"/>
              </w:rPr>
              <w:t>Nav</w:t>
            </w:r>
          </w:p>
        </w:tc>
      </w:tr>
    </w:tbl>
    <w:p w:rsidR="00C039CD" w:rsidRPr="00A77A73" w:rsidRDefault="00C039CD" w:rsidP="00920416">
      <w:pPr>
        <w:shd w:val="clear" w:color="auto" w:fill="FFFFFF"/>
        <w:ind w:firstLine="301"/>
        <w:rPr>
          <w:rFonts w:cs="Times New Roman"/>
          <w:sz w:val="24"/>
          <w:szCs w:val="24"/>
          <w:lang w:val="lv-LV" w:eastAsia="lv-LV" w:bidi="ar-SA"/>
        </w:rPr>
      </w:pPr>
    </w:p>
    <w:p w:rsidR="00C039CD" w:rsidRPr="00A77A73" w:rsidRDefault="00C039CD" w:rsidP="00920416">
      <w:pPr>
        <w:shd w:val="clear" w:color="auto" w:fill="FFFFFF"/>
        <w:ind w:firstLine="301"/>
        <w:rPr>
          <w:rFonts w:cs="Times New Roman"/>
          <w:sz w:val="24"/>
          <w:szCs w:val="24"/>
          <w:lang w:val="lv-LV" w:eastAsia="lv-LV" w:bidi="ar-SA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98"/>
        <w:gridCol w:w="1098"/>
        <w:gridCol w:w="1268"/>
        <w:gridCol w:w="1217"/>
        <w:gridCol w:w="1217"/>
        <w:gridCol w:w="2315"/>
      </w:tblGrid>
      <w:tr w:rsidR="00191B68" w:rsidRPr="00313F95" w:rsidTr="001759FE">
        <w:trPr>
          <w:trHeight w:val="360"/>
          <w:tblCellSpacing w:w="15" w:type="dxa"/>
          <w:jc w:val="center"/>
        </w:trPr>
        <w:tc>
          <w:tcPr>
            <w:tcW w:w="4968" w:type="pct"/>
            <w:gridSpan w:val="6"/>
            <w:vAlign w:val="center"/>
            <w:hideMark/>
          </w:tcPr>
          <w:p w:rsidR="00191B68" w:rsidRPr="00191B68" w:rsidRDefault="00191B68" w:rsidP="00191B68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</w:pPr>
            <w:r w:rsidRPr="00191B68"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  <w:t>III. Tiesību akta projekta ietekme uz valsts budžetu un pašvaldību budžetiem</w:t>
            </w:r>
          </w:p>
        </w:tc>
      </w:tr>
      <w:tr w:rsidR="00191B68" w:rsidRPr="00191B68" w:rsidTr="001759FE">
        <w:trPr>
          <w:tblCellSpacing w:w="15" w:type="dxa"/>
          <w:jc w:val="center"/>
        </w:trPr>
        <w:tc>
          <w:tcPr>
            <w:tcW w:w="1117" w:type="pct"/>
            <w:vMerge w:val="restart"/>
            <w:vAlign w:val="center"/>
            <w:hideMark/>
          </w:tcPr>
          <w:p w:rsidR="00191B68" w:rsidRPr="00191B68" w:rsidRDefault="00191B68" w:rsidP="00191B68">
            <w:pPr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</w:pPr>
            <w:r w:rsidRPr="00191B68"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  <w:t>Rādītāji</w:t>
            </w:r>
          </w:p>
        </w:tc>
        <w:tc>
          <w:tcPr>
            <w:tcW w:w="1340" w:type="pct"/>
            <w:gridSpan w:val="2"/>
            <w:vMerge w:val="restart"/>
            <w:vAlign w:val="center"/>
            <w:hideMark/>
          </w:tcPr>
          <w:p w:rsidR="00191B68" w:rsidRPr="00191B68" w:rsidRDefault="00191B68" w:rsidP="00191B68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</w:pPr>
            <w:r w:rsidRPr="00191B68"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  <w:t>2015</w:t>
            </w:r>
          </w:p>
        </w:tc>
        <w:tc>
          <w:tcPr>
            <w:tcW w:w="2480" w:type="pct"/>
            <w:gridSpan w:val="3"/>
            <w:vAlign w:val="center"/>
            <w:hideMark/>
          </w:tcPr>
          <w:p w:rsidR="00191B68" w:rsidRPr="00191B68" w:rsidRDefault="00191B68" w:rsidP="00191B68">
            <w:pPr>
              <w:jc w:val="center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191B68">
              <w:rPr>
                <w:rFonts w:cs="Times New Roman"/>
                <w:sz w:val="24"/>
                <w:szCs w:val="24"/>
                <w:lang w:val="lv-LV" w:eastAsia="lv-LV" w:bidi="ar-SA"/>
              </w:rPr>
              <w:t>Turpmākie trīs gadi (</w:t>
            </w:r>
            <w:proofErr w:type="spellStart"/>
            <w:r w:rsidRPr="00191B68">
              <w:rPr>
                <w:rFonts w:cs="Times New Roman"/>
                <w:i/>
                <w:sz w:val="24"/>
                <w:szCs w:val="24"/>
                <w:lang w:val="lv-LV" w:eastAsia="lv-LV" w:bidi="ar-SA"/>
              </w:rPr>
              <w:t>euro</w:t>
            </w:r>
            <w:proofErr w:type="spellEnd"/>
            <w:r w:rsidRPr="00191B68">
              <w:rPr>
                <w:rFonts w:cs="Times New Roman"/>
                <w:sz w:val="24"/>
                <w:szCs w:val="24"/>
                <w:lang w:val="lv-LV" w:eastAsia="lv-LV" w:bidi="ar-SA"/>
              </w:rPr>
              <w:t>)</w:t>
            </w:r>
          </w:p>
        </w:tc>
      </w:tr>
      <w:tr w:rsidR="00191B68" w:rsidRPr="00191B68" w:rsidTr="001759FE">
        <w:trPr>
          <w:tblCellSpacing w:w="15" w:type="dxa"/>
          <w:jc w:val="center"/>
        </w:trPr>
        <w:tc>
          <w:tcPr>
            <w:tcW w:w="1117" w:type="pct"/>
            <w:vMerge/>
            <w:vAlign w:val="center"/>
            <w:hideMark/>
          </w:tcPr>
          <w:p w:rsidR="00191B68" w:rsidRPr="00191B68" w:rsidRDefault="00191B68" w:rsidP="00191B68">
            <w:pPr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</w:pPr>
          </w:p>
        </w:tc>
        <w:tc>
          <w:tcPr>
            <w:tcW w:w="1340" w:type="pct"/>
            <w:gridSpan w:val="2"/>
            <w:vMerge/>
            <w:vAlign w:val="center"/>
            <w:hideMark/>
          </w:tcPr>
          <w:p w:rsidR="00191B68" w:rsidRPr="00191B68" w:rsidRDefault="00191B68" w:rsidP="00191B68">
            <w:pPr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</w:pPr>
          </w:p>
        </w:tc>
        <w:tc>
          <w:tcPr>
            <w:tcW w:w="640" w:type="pct"/>
            <w:vAlign w:val="center"/>
            <w:hideMark/>
          </w:tcPr>
          <w:p w:rsidR="00191B68" w:rsidRPr="00191B68" w:rsidRDefault="00191B68" w:rsidP="00191B68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</w:pPr>
            <w:r w:rsidRPr="00191B68"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  <w:t>2016</w:t>
            </w:r>
          </w:p>
        </w:tc>
        <w:tc>
          <w:tcPr>
            <w:tcW w:w="578" w:type="pct"/>
            <w:vAlign w:val="center"/>
            <w:hideMark/>
          </w:tcPr>
          <w:p w:rsidR="00191B68" w:rsidRPr="00191B68" w:rsidRDefault="00191B68" w:rsidP="00191B68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</w:pPr>
            <w:r w:rsidRPr="00191B68"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  <w:t>2017</w:t>
            </w:r>
          </w:p>
        </w:tc>
        <w:tc>
          <w:tcPr>
            <w:tcW w:w="1231" w:type="pct"/>
            <w:vAlign w:val="center"/>
            <w:hideMark/>
          </w:tcPr>
          <w:p w:rsidR="00191B68" w:rsidRPr="00191B68" w:rsidRDefault="00191B68" w:rsidP="00191B68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</w:pPr>
            <w:r w:rsidRPr="00191B68"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  <w:t>2018</w:t>
            </w:r>
          </w:p>
        </w:tc>
      </w:tr>
      <w:tr w:rsidR="00191B68" w:rsidRPr="00191B68" w:rsidTr="001759FE">
        <w:trPr>
          <w:tblCellSpacing w:w="15" w:type="dxa"/>
          <w:jc w:val="center"/>
        </w:trPr>
        <w:tc>
          <w:tcPr>
            <w:tcW w:w="1117" w:type="pct"/>
            <w:vMerge/>
            <w:vAlign w:val="center"/>
            <w:hideMark/>
          </w:tcPr>
          <w:p w:rsidR="00191B68" w:rsidRPr="00191B68" w:rsidRDefault="00191B68" w:rsidP="00191B68">
            <w:pPr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</w:pPr>
          </w:p>
        </w:tc>
        <w:tc>
          <w:tcPr>
            <w:tcW w:w="623" w:type="pct"/>
            <w:vAlign w:val="center"/>
            <w:hideMark/>
          </w:tcPr>
          <w:p w:rsidR="00191B68" w:rsidRPr="00191B68" w:rsidRDefault="00191B68" w:rsidP="00191B68">
            <w:pPr>
              <w:jc w:val="center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191B68">
              <w:rPr>
                <w:rFonts w:cs="Times New Roman"/>
                <w:sz w:val="24"/>
                <w:szCs w:val="24"/>
                <w:lang w:val="lv-LV" w:eastAsia="lv-LV" w:bidi="ar-SA"/>
              </w:rPr>
              <w:t>saskaņā ar valsts budžetu kārtējam gadam</w:t>
            </w:r>
          </w:p>
        </w:tc>
        <w:tc>
          <w:tcPr>
            <w:tcW w:w="701" w:type="pct"/>
            <w:vAlign w:val="center"/>
            <w:hideMark/>
          </w:tcPr>
          <w:p w:rsidR="00191B68" w:rsidRPr="00191B68" w:rsidRDefault="00191B68" w:rsidP="00191B68">
            <w:pPr>
              <w:jc w:val="center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191B68">
              <w:rPr>
                <w:rFonts w:cs="Times New Roman"/>
                <w:sz w:val="24"/>
                <w:szCs w:val="24"/>
                <w:lang w:val="lv-LV" w:eastAsia="lv-LV" w:bidi="ar-SA"/>
              </w:rPr>
              <w:t>izmaiņas kārtējā gadā, salīdzinot ar valsts budžetu kārtējam gadam</w:t>
            </w:r>
          </w:p>
        </w:tc>
        <w:tc>
          <w:tcPr>
            <w:tcW w:w="640" w:type="pct"/>
            <w:vAlign w:val="center"/>
            <w:hideMark/>
          </w:tcPr>
          <w:p w:rsidR="00191B68" w:rsidRPr="00191B68" w:rsidRDefault="00191B68" w:rsidP="00191B68">
            <w:pPr>
              <w:jc w:val="center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191B68">
              <w:rPr>
                <w:rFonts w:cs="Times New Roman"/>
                <w:sz w:val="24"/>
                <w:szCs w:val="24"/>
                <w:lang w:val="lv-LV" w:eastAsia="lv-LV" w:bidi="ar-SA"/>
              </w:rPr>
              <w:t>izmaiņas, salīdzinot ar 2015. gadu</w:t>
            </w:r>
          </w:p>
        </w:tc>
        <w:tc>
          <w:tcPr>
            <w:tcW w:w="578" w:type="pct"/>
            <w:vAlign w:val="center"/>
            <w:hideMark/>
          </w:tcPr>
          <w:p w:rsidR="00191B68" w:rsidRPr="00191B68" w:rsidRDefault="00191B68" w:rsidP="00191B68">
            <w:pPr>
              <w:jc w:val="center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191B68">
              <w:rPr>
                <w:rFonts w:cs="Times New Roman"/>
                <w:sz w:val="24"/>
                <w:szCs w:val="24"/>
                <w:lang w:val="lv-LV" w:eastAsia="lv-LV" w:bidi="ar-SA"/>
              </w:rPr>
              <w:t>izmaiņas, salīdzinot ar 2015. gadu</w:t>
            </w:r>
          </w:p>
        </w:tc>
        <w:tc>
          <w:tcPr>
            <w:tcW w:w="1231" w:type="pct"/>
            <w:vAlign w:val="center"/>
            <w:hideMark/>
          </w:tcPr>
          <w:p w:rsidR="00191B68" w:rsidRPr="00191B68" w:rsidRDefault="00191B68" w:rsidP="00191B68">
            <w:pPr>
              <w:jc w:val="center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191B68">
              <w:rPr>
                <w:rFonts w:cs="Times New Roman"/>
                <w:sz w:val="24"/>
                <w:szCs w:val="24"/>
                <w:lang w:val="lv-LV" w:eastAsia="lv-LV" w:bidi="ar-SA"/>
              </w:rPr>
              <w:t>izmaiņas, salīdzinot ar 2015. gadu</w:t>
            </w:r>
          </w:p>
        </w:tc>
      </w:tr>
      <w:tr w:rsidR="00191B68" w:rsidRPr="00191B68" w:rsidTr="001759FE">
        <w:trPr>
          <w:tblCellSpacing w:w="15" w:type="dxa"/>
          <w:jc w:val="center"/>
        </w:trPr>
        <w:tc>
          <w:tcPr>
            <w:tcW w:w="1117" w:type="pct"/>
            <w:vAlign w:val="center"/>
            <w:hideMark/>
          </w:tcPr>
          <w:p w:rsidR="00191B68" w:rsidRPr="00191B68" w:rsidRDefault="00191B68" w:rsidP="00191B68">
            <w:pPr>
              <w:jc w:val="center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191B68">
              <w:rPr>
                <w:rFonts w:cs="Times New Roman"/>
                <w:sz w:val="24"/>
                <w:szCs w:val="24"/>
                <w:lang w:val="lv-LV" w:eastAsia="lv-LV" w:bidi="ar-SA"/>
              </w:rPr>
              <w:t>1</w:t>
            </w:r>
          </w:p>
        </w:tc>
        <w:tc>
          <w:tcPr>
            <w:tcW w:w="623" w:type="pct"/>
            <w:vAlign w:val="center"/>
            <w:hideMark/>
          </w:tcPr>
          <w:p w:rsidR="00191B68" w:rsidRPr="00191B68" w:rsidRDefault="00191B68" w:rsidP="00191B68">
            <w:pPr>
              <w:jc w:val="center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191B68">
              <w:rPr>
                <w:rFonts w:cs="Times New Roman"/>
                <w:sz w:val="24"/>
                <w:szCs w:val="24"/>
                <w:lang w:val="lv-LV" w:eastAsia="lv-LV" w:bidi="ar-SA"/>
              </w:rPr>
              <w:t>2</w:t>
            </w:r>
          </w:p>
        </w:tc>
        <w:tc>
          <w:tcPr>
            <w:tcW w:w="701" w:type="pct"/>
            <w:vAlign w:val="center"/>
            <w:hideMark/>
          </w:tcPr>
          <w:p w:rsidR="00191B68" w:rsidRPr="00191B68" w:rsidRDefault="00191B68" w:rsidP="00191B68">
            <w:pPr>
              <w:jc w:val="center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191B68">
              <w:rPr>
                <w:rFonts w:cs="Times New Roman"/>
                <w:sz w:val="24"/>
                <w:szCs w:val="24"/>
                <w:lang w:val="lv-LV" w:eastAsia="lv-LV" w:bidi="ar-SA"/>
              </w:rPr>
              <w:t>3</w:t>
            </w:r>
          </w:p>
        </w:tc>
        <w:tc>
          <w:tcPr>
            <w:tcW w:w="640" w:type="pct"/>
            <w:vAlign w:val="center"/>
            <w:hideMark/>
          </w:tcPr>
          <w:p w:rsidR="00191B68" w:rsidRPr="00191B68" w:rsidRDefault="00191B68" w:rsidP="00191B68">
            <w:pPr>
              <w:jc w:val="center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191B68">
              <w:rPr>
                <w:rFonts w:cs="Times New Roman"/>
                <w:sz w:val="24"/>
                <w:szCs w:val="24"/>
                <w:lang w:val="lv-LV" w:eastAsia="lv-LV" w:bidi="ar-SA"/>
              </w:rPr>
              <w:t>4</w:t>
            </w:r>
          </w:p>
        </w:tc>
        <w:tc>
          <w:tcPr>
            <w:tcW w:w="578" w:type="pct"/>
            <w:vAlign w:val="center"/>
            <w:hideMark/>
          </w:tcPr>
          <w:p w:rsidR="00191B68" w:rsidRPr="00191B68" w:rsidRDefault="00191B68" w:rsidP="00191B68">
            <w:pPr>
              <w:jc w:val="center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191B68">
              <w:rPr>
                <w:rFonts w:cs="Times New Roman"/>
                <w:sz w:val="24"/>
                <w:szCs w:val="24"/>
                <w:lang w:val="lv-LV" w:eastAsia="lv-LV" w:bidi="ar-SA"/>
              </w:rPr>
              <w:t>5</w:t>
            </w:r>
          </w:p>
        </w:tc>
        <w:tc>
          <w:tcPr>
            <w:tcW w:w="1231" w:type="pct"/>
            <w:vAlign w:val="center"/>
            <w:hideMark/>
          </w:tcPr>
          <w:p w:rsidR="00191B68" w:rsidRPr="00191B68" w:rsidRDefault="00191B68" w:rsidP="00191B68">
            <w:pPr>
              <w:jc w:val="center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191B68">
              <w:rPr>
                <w:rFonts w:cs="Times New Roman"/>
                <w:sz w:val="24"/>
                <w:szCs w:val="24"/>
                <w:lang w:val="lv-LV" w:eastAsia="lv-LV" w:bidi="ar-SA"/>
              </w:rPr>
              <w:t>6</w:t>
            </w:r>
          </w:p>
        </w:tc>
      </w:tr>
      <w:tr w:rsidR="00191B68" w:rsidRPr="00191B68" w:rsidTr="001759FE">
        <w:trPr>
          <w:tblCellSpacing w:w="15" w:type="dxa"/>
          <w:jc w:val="center"/>
        </w:trPr>
        <w:tc>
          <w:tcPr>
            <w:tcW w:w="1117" w:type="pct"/>
            <w:hideMark/>
          </w:tcPr>
          <w:p w:rsidR="00191B68" w:rsidRPr="00191B68" w:rsidRDefault="00191B68" w:rsidP="00191B68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191B68">
              <w:rPr>
                <w:rFonts w:cs="Times New Roman"/>
                <w:sz w:val="24"/>
                <w:szCs w:val="24"/>
                <w:lang w:val="lv-LV" w:eastAsia="lv-LV" w:bidi="ar-SA"/>
              </w:rPr>
              <w:t>1. Budžeta ieņēmumi:</w:t>
            </w:r>
          </w:p>
        </w:tc>
        <w:tc>
          <w:tcPr>
            <w:tcW w:w="623" w:type="pct"/>
          </w:tcPr>
          <w:p w:rsidR="00191B68" w:rsidRPr="00191B68" w:rsidRDefault="00191B68" w:rsidP="00191B68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191B68">
              <w:rPr>
                <w:rFonts w:cs="Times New Roman"/>
                <w:sz w:val="24"/>
                <w:szCs w:val="24"/>
                <w:lang w:val="lv-LV" w:eastAsia="lv-LV" w:bidi="ar-SA"/>
              </w:rPr>
              <w:t>0</w:t>
            </w:r>
          </w:p>
        </w:tc>
        <w:tc>
          <w:tcPr>
            <w:tcW w:w="701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nav precīzi aprēķināms</w:t>
            </w:r>
          </w:p>
        </w:tc>
        <w:tc>
          <w:tcPr>
            <w:tcW w:w="640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nav precīzi aprēķināms</w:t>
            </w:r>
          </w:p>
        </w:tc>
        <w:tc>
          <w:tcPr>
            <w:tcW w:w="578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nav precīzi aprēķināms</w:t>
            </w:r>
          </w:p>
        </w:tc>
        <w:tc>
          <w:tcPr>
            <w:tcW w:w="1231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nav precīzi aprēķināms</w:t>
            </w:r>
          </w:p>
        </w:tc>
      </w:tr>
      <w:tr w:rsidR="00191B68" w:rsidRPr="00191B68" w:rsidTr="001759FE">
        <w:trPr>
          <w:tblCellSpacing w:w="15" w:type="dxa"/>
          <w:jc w:val="center"/>
        </w:trPr>
        <w:tc>
          <w:tcPr>
            <w:tcW w:w="1117" w:type="pct"/>
            <w:hideMark/>
          </w:tcPr>
          <w:p w:rsidR="00191B68" w:rsidRPr="00191B68" w:rsidRDefault="00191B68" w:rsidP="00191B68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191B68">
              <w:rPr>
                <w:rFonts w:cs="Times New Roman"/>
                <w:sz w:val="24"/>
                <w:szCs w:val="24"/>
                <w:lang w:val="lv-LV" w:eastAsia="lv-LV" w:bidi="ar-SA"/>
              </w:rPr>
              <w:t>1.1. valsts pamatbudžets, tai skaitā ieņēmumi no maksas pakalpojumiem un citi pašu ieņēmumi</w:t>
            </w:r>
          </w:p>
        </w:tc>
        <w:tc>
          <w:tcPr>
            <w:tcW w:w="623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0</w:t>
            </w:r>
          </w:p>
        </w:tc>
        <w:tc>
          <w:tcPr>
            <w:tcW w:w="701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nav precīzi aprēķināms</w:t>
            </w:r>
          </w:p>
        </w:tc>
        <w:tc>
          <w:tcPr>
            <w:tcW w:w="640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nav precīzi aprēķināms</w:t>
            </w:r>
          </w:p>
        </w:tc>
        <w:tc>
          <w:tcPr>
            <w:tcW w:w="578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nav precīzi aprēķināms</w:t>
            </w:r>
          </w:p>
        </w:tc>
        <w:tc>
          <w:tcPr>
            <w:tcW w:w="1231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nav precīzi aprēķināms</w:t>
            </w:r>
          </w:p>
        </w:tc>
      </w:tr>
      <w:tr w:rsidR="00191B68" w:rsidRPr="00191B68" w:rsidTr="001759FE">
        <w:trPr>
          <w:tblCellSpacing w:w="15" w:type="dxa"/>
          <w:jc w:val="center"/>
        </w:trPr>
        <w:tc>
          <w:tcPr>
            <w:tcW w:w="1117" w:type="pct"/>
            <w:hideMark/>
          </w:tcPr>
          <w:p w:rsidR="00191B68" w:rsidRPr="00191B68" w:rsidRDefault="00191B68" w:rsidP="00191B68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191B68">
              <w:rPr>
                <w:rFonts w:cs="Times New Roman"/>
                <w:sz w:val="24"/>
                <w:szCs w:val="24"/>
                <w:lang w:val="lv-LV" w:eastAsia="lv-LV" w:bidi="ar-SA"/>
              </w:rPr>
              <w:t>1.2. valsts speciālais budžets</w:t>
            </w:r>
          </w:p>
        </w:tc>
        <w:tc>
          <w:tcPr>
            <w:tcW w:w="623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0</w:t>
            </w:r>
          </w:p>
        </w:tc>
        <w:tc>
          <w:tcPr>
            <w:tcW w:w="701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0</w:t>
            </w:r>
          </w:p>
        </w:tc>
        <w:tc>
          <w:tcPr>
            <w:tcW w:w="640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0</w:t>
            </w:r>
          </w:p>
        </w:tc>
        <w:tc>
          <w:tcPr>
            <w:tcW w:w="578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0</w:t>
            </w:r>
          </w:p>
        </w:tc>
        <w:tc>
          <w:tcPr>
            <w:tcW w:w="1231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0</w:t>
            </w:r>
          </w:p>
        </w:tc>
      </w:tr>
      <w:tr w:rsidR="00191B68" w:rsidRPr="00191B68" w:rsidTr="001759FE">
        <w:trPr>
          <w:tblCellSpacing w:w="15" w:type="dxa"/>
          <w:jc w:val="center"/>
        </w:trPr>
        <w:tc>
          <w:tcPr>
            <w:tcW w:w="1117" w:type="pct"/>
            <w:hideMark/>
          </w:tcPr>
          <w:p w:rsidR="00191B68" w:rsidRPr="00191B68" w:rsidRDefault="00191B68" w:rsidP="00191B68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191B68">
              <w:rPr>
                <w:rFonts w:cs="Times New Roman"/>
                <w:sz w:val="24"/>
                <w:szCs w:val="24"/>
                <w:lang w:val="lv-LV" w:eastAsia="lv-LV" w:bidi="ar-SA"/>
              </w:rPr>
              <w:lastRenderedPageBreak/>
              <w:t>1.3. pašvaldību budžets</w:t>
            </w:r>
          </w:p>
        </w:tc>
        <w:tc>
          <w:tcPr>
            <w:tcW w:w="623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0</w:t>
            </w:r>
          </w:p>
        </w:tc>
        <w:tc>
          <w:tcPr>
            <w:tcW w:w="701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0</w:t>
            </w:r>
          </w:p>
        </w:tc>
        <w:tc>
          <w:tcPr>
            <w:tcW w:w="640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0</w:t>
            </w:r>
          </w:p>
        </w:tc>
        <w:tc>
          <w:tcPr>
            <w:tcW w:w="578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0</w:t>
            </w:r>
          </w:p>
        </w:tc>
        <w:tc>
          <w:tcPr>
            <w:tcW w:w="1231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0</w:t>
            </w:r>
          </w:p>
        </w:tc>
      </w:tr>
      <w:tr w:rsidR="00191B68" w:rsidRPr="00191B68" w:rsidTr="001759FE">
        <w:trPr>
          <w:tblCellSpacing w:w="15" w:type="dxa"/>
          <w:jc w:val="center"/>
        </w:trPr>
        <w:tc>
          <w:tcPr>
            <w:tcW w:w="1117" w:type="pct"/>
            <w:hideMark/>
          </w:tcPr>
          <w:p w:rsidR="00191B68" w:rsidRPr="00191B68" w:rsidRDefault="00191B68" w:rsidP="00191B68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191B68">
              <w:rPr>
                <w:rFonts w:cs="Times New Roman"/>
                <w:sz w:val="24"/>
                <w:szCs w:val="24"/>
                <w:lang w:val="lv-LV" w:eastAsia="lv-LV" w:bidi="ar-SA"/>
              </w:rPr>
              <w:t>2. Budžeta izdevumi:</w:t>
            </w:r>
          </w:p>
        </w:tc>
        <w:tc>
          <w:tcPr>
            <w:tcW w:w="623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0</w:t>
            </w:r>
          </w:p>
        </w:tc>
        <w:tc>
          <w:tcPr>
            <w:tcW w:w="701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cs="Times New Roman"/>
                <w:sz w:val="24"/>
                <w:szCs w:val="24"/>
                <w:lang w:val="lv-LV" w:eastAsia="lv-LV" w:bidi="ar-SA"/>
              </w:rPr>
              <w:t>0</w:t>
            </w:r>
          </w:p>
        </w:tc>
        <w:tc>
          <w:tcPr>
            <w:tcW w:w="640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cs="Times New Roman"/>
                <w:sz w:val="24"/>
                <w:szCs w:val="24"/>
                <w:lang w:val="lv-LV" w:eastAsia="lv-LV" w:bidi="ar-SA"/>
              </w:rPr>
              <w:t>0</w:t>
            </w:r>
          </w:p>
        </w:tc>
        <w:tc>
          <w:tcPr>
            <w:tcW w:w="578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cs="Times New Roman"/>
                <w:sz w:val="24"/>
                <w:szCs w:val="24"/>
                <w:lang w:val="lv-LV" w:eastAsia="lv-LV" w:bidi="ar-SA"/>
              </w:rPr>
              <w:t>0</w:t>
            </w:r>
          </w:p>
        </w:tc>
        <w:tc>
          <w:tcPr>
            <w:tcW w:w="1231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cs="Times New Roman"/>
                <w:sz w:val="24"/>
                <w:szCs w:val="24"/>
                <w:lang w:val="lv-LV" w:eastAsia="lv-LV" w:bidi="ar-SA"/>
              </w:rPr>
              <w:t>0</w:t>
            </w:r>
          </w:p>
        </w:tc>
      </w:tr>
      <w:tr w:rsidR="00191B68" w:rsidRPr="00191B68" w:rsidTr="001759FE">
        <w:trPr>
          <w:tblCellSpacing w:w="15" w:type="dxa"/>
          <w:jc w:val="center"/>
        </w:trPr>
        <w:tc>
          <w:tcPr>
            <w:tcW w:w="1117" w:type="pct"/>
            <w:hideMark/>
          </w:tcPr>
          <w:p w:rsidR="00191B68" w:rsidRPr="00191B68" w:rsidRDefault="00191B68" w:rsidP="00191B68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191B68">
              <w:rPr>
                <w:rFonts w:cs="Times New Roman"/>
                <w:sz w:val="24"/>
                <w:szCs w:val="24"/>
                <w:lang w:val="lv-LV" w:eastAsia="lv-LV" w:bidi="ar-SA"/>
              </w:rPr>
              <w:t>2.1. valsts pamatbudžets</w:t>
            </w:r>
          </w:p>
        </w:tc>
        <w:tc>
          <w:tcPr>
            <w:tcW w:w="623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0</w:t>
            </w:r>
          </w:p>
        </w:tc>
        <w:tc>
          <w:tcPr>
            <w:tcW w:w="701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cs="Times New Roman"/>
                <w:sz w:val="24"/>
                <w:szCs w:val="24"/>
                <w:lang w:val="lv-LV" w:eastAsia="lv-LV" w:bidi="ar-SA"/>
              </w:rPr>
              <w:t>0</w:t>
            </w:r>
          </w:p>
        </w:tc>
        <w:tc>
          <w:tcPr>
            <w:tcW w:w="640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cs="Times New Roman"/>
                <w:sz w:val="24"/>
                <w:szCs w:val="24"/>
                <w:lang w:val="lv-LV" w:eastAsia="lv-LV" w:bidi="ar-SA"/>
              </w:rPr>
              <w:t>0</w:t>
            </w:r>
          </w:p>
        </w:tc>
        <w:tc>
          <w:tcPr>
            <w:tcW w:w="578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cs="Times New Roman"/>
                <w:sz w:val="24"/>
                <w:szCs w:val="24"/>
                <w:lang w:val="lv-LV" w:eastAsia="lv-LV" w:bidi="ar-SA"/>
              </w:rPr>
              <w:t>0</w:t>
            </w:r>
          </w:p>
        </w:tc>
        <w:tc>
          <w:tcPr>
            <w:tcW w:w="1231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cs="Times New Roman"/>
                <w:sz w:val="24"/>
                <w:szCs w:val="24"/>
                <w:lang w:val="lv-LV" w:eastAsia="lv-LV" w:bidi="ar-SA"/>
              </w:rPr>
              <w:t>0</w:t>
            </w:r>
          </w:p>
        </w:tc>
      </w:tr>
      <w:tr w:rsidR="00191B68" w:rsidRPr="00191B68" w:rsidTr="001759FE">
        <w:trPr>
          <w:tblCellSpacing w:w="15" w:type="dxa"/>
          <w:jc w:val="center"/>
        </w:trPr>
        <w:tc>
          <w:tcPr>
            <w:tcW w:w="1117" w:type="pct"/>
            <w:hideMark/>
          </w:tcPr>
          <w:p w:rsidR="00191B68" w:rsidRPr="00191B68" w:rsidRDefault="00191B68" w:rsidP="00191B68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191B68">
              <w:rPr>
                <w:rFonts w:cs="Times New Roman"/>
                <w:sz w:val="24"/>
                <w:szCs w:val="24"/>
                <w:lang w:val="lv-LV" w:eastAsia="lv-LV" w:bidi="ar-SA"/>
              </w:rPr>
              <w:t>2.2. valsts speciālais budžets</w:t>
            </w:r>
          </w:p>
        </w:tc>
        <w:tc>
          <w:tcPr>
            <w:tcW w:w="623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0</w:t>
            </w:r>
          </w:p>
        </w:tc>
        <w:tc>
          <w:tcPr>
            <w:tcW w:w="701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0</w:t>
            </w:r>
          </w:p>
        </w:tc>
        <w:tc>
          <w:tcPr>
            <w:tcW w:w="640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0</w:t>
            </w:r>
          </w:p>
        </w:tc>
        <w:tc>
          <w:tcPr>
            <w:tcW w:w="578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0</w:t>
            </w:r>
          </w:p>
        </w:tc>
        <w:tc>
          <w:tcPr>
            <w:tcW w:w="1231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0</w:t>
            </w:r>
          </w:p>
        </w:tc>
      </w:tr>
      <w:tr w:rsidR="00191B68" w:rsidRPr="00191B68" w:rsidTr="001759FE">
        <w:trPr>
          <w:tblCellSpacing w:w="15" w:type="dxa"/>
          <w:jc w:val="center"/>
        </w:trPr>
        <w:tc>
          <w:tcPr>
            <w:tcW w:w="1117" w:type="pct"/>
            <w:hideMark/>
          </w:tcPr>
          <w:p w:rsidR="00191B68" w:rsidRPr="00191B68" w:rsidRDefault="00191B68" w:rsidP="00191B68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191B68">
              <w:rPr>
                <w:rFonts w:cs="Times New Roman"/>
                <w:sz w:val="24"/>
                <w:szCs w:val="24"/>
                <w:lang w:val="lv-LV" w:eastAsia="lv-LV" w:bidi="ar-SA"/>
              </w:rPr>
              <w:t>2.3. pašvaldību budžets</w:t>
            </w:r>
          </w:p>
        </w:tc>
        <w:tc>
          <w:tcPr>
            <w:tcW w:w="623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0</w:t>
            </w:r>
          </w:p>
        </w:tc>
        <w:tc>
          <w:tcPr>
            <w:tcW w:w="701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0</w:t>
            </w:r>
          </w:p>
        </w:tc>
        <w:tc>
          <w:tcPr>
            <w:tcW w:w="640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0</w:t>
            </w:r>
          </w:p>
        </w:tc>
        <w:tc>
          <w:tcPr>
            <w:tcW w:w="578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0</w:t>
            </w:r>
          </w:p>
        </w:tc>
        <w:tc>
          <w:tcPr>
            <w:tcW w:w="1231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0</w:t>
            </w:r>
          </w:p>
        </w:tc>
      </w:tr>
      <w:tr w:rsidR="00191B68" w:rsidRPr="00191B68" w:rsidTr="001759FE">
        <w:trPr>
          <w:tblCellSpacing w:w="15" w:type="dxa"/>
          <w:jc w:val="center"/>
        </w:trPr>
        <w:tc>
          <w:tcPr>
            <w:tcW w:w="1117" w:type="pct"/>
            <w:hideMark/>
          </w:tcPr>
          <w:p w:rsidR="00191B68" w:rsidRPr="00191B68" w:rsidRDefault="00191B68" w:rsidP="00191B68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191B68">
              <w:rPr>
                <w:rFonts w:cs="Times New Roman"/>
                <w:sz w:val="24"/>
                <w:szCs w:val="24"/>
                <w:lang w:val="lv-LV" w:eastAsia="lv-LV" w:bidi="ar-SA"/>
              </w:rPr>
              <w:t>3. Finansiālā ietekme:</w:t>
            </w:r>
          </w:p>
        </w:tc>
        <w:tc>
          <w:tcPr>
            <w:tcW w:w="623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0</w:t>
            </w:r>
          </w:p>
        </w:tc>
        <w:tc>
          <w:tcPr>
            <w:tcW w:w="701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nav precīzi aprēķināms</w:t>
            </w:r>
          </w:p>
        </w:tc>
        <w:tc>
          <w:tcPr>
            <w:tcW w:w="640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nav precīzi aprēķināms</w:t>
            </w:r>
          </w:p>
        </w:tc>
        <w:tc>
          <w:tcPr>
            <w:tcW w:w="578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nav precīzi aprēķināms</w:t>
            </w:r>
          </w:p>
        </w:tc>
        <w:tc>
          <w:tcPr>
            <w:tcW w:w="1231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nav precīzi aprēķināms</w:t>
            </w:r>
          </w:p>
        </w:tc>
      </w:tr>
      <w:tr w:rsidR="00191B68" w:rsidRPr="00191B68" w:rsidTr="001759FE">
        <w:trPr>
          <w:tblCellSpacing w:w="15" w:type="dxa"/>
          <w:jc w:val="center"/>
        </w:trPr>
        <w:tc>
          <w:tcPr>
            <w:tcW w:w="1117" w:type="pct"/>
            <w:hideMark/>
          </w:tcPr>
          <w:p w:rsidR="00191B68" w:rsidRPr="00191B68" w:rsidRDefault="00191B68" w:rsidP="00191B68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191B68">
              <w:rPr>
                <w:rFonts w:cs="Times New Roman"/>
                <w:sz w:val="24"/>
                <w:szCs w:val="24"/>
                <w:lang w:val="lv-LV" w:eastAsia="lv-LV" w:bidi="ar-SA"/>
              </w:rPr>
              <w:t>3.1. valsts pamatbudžets</w:t>
            </w:r>
          </w:p>
        </w:tc>
        <w:tc>
          <w:tcPr>
            <w:tcW w:w="623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0</w:t>
            </w:r>
          </w:p>
        </w:tc>
        <w:tc>
          <w:tcPr>
            <w:tcW w:w="701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nav precīzi aprēķināms</w:t>
            </w:r>
          </w:p>
        </w:tc>
        <w:tc>
          <w:tcPr>
            <w:tcW w:w="640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nav precīzi aprēķināms</w:t>
            </w:r>
          </w:p>
        </w:tc>
        <w:tc>
          <w:tcPr>
            <w:tcW w:w="578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nav precīzi aprēķināms</w:t>
            </w:r>
          </w:p>
        </w:tc>
        <w:tc>
          <w:tcPr>
            <w:tcW w:w="1231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nav precīzi aprēķināms</w:t>
            </w:r>
          </w:p>
        </w:tc>
      </w:tr>
      <w:tr w:rsidR="00191B68" w:rsidRPr="00191B68" w:rsidTr="001759FE">
        <w:trPr>
          <w:tblCellSpacing w:w="15" w:type="dxa"/>
          <w:jc w:val="center"/>
        </w:trPr>
        <w:tc>
          <w:tcPr>
            <w:tcW w:w="1117" w:type="pct"/>
            <w:hideMark/>
          </w:tcPr>
          <w:p w:rsidR="00191B68" w:rsidRPr="00191B68" w:rsidRDefault="00191B68" w:rsidP="00191B68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191B68">
              <w:rPr>
                <w:rFonts w:cs="Times New Roman"/>
                <w:sz w:val="24"/>
                <w:szCs w:val="24"/>
                <w:lang w:val="lv-LV" w:eastAsia="lv-LV" w:bidi="ar-SA"/>
              </w:rPr>
              <w:t>3.2. speciālais budžets</w:t>
            </w:r>
          </w:p>
        </w:tc>
        <w:tc>
          <w:tcPr>
            <w:tcW w:w="623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0</w:t>
            </w:r>
          </w:p>
        </w:tc>
        <w:tc>
          <w:tcPr>
            <w:tcW w:w="701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0</w:t>
            </w:r>
          </w:p>
        </w:tc>
        <w:tc>
          <w:tcPr>
            <w:tcW w:w="640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0</w:t>
            </w:r>
          </w:p>
        </w:tc>
        <w:tc>
          <w:tcPr>
            <w:tcW w:w="578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0</w:t>
            </w:r>
          </w:p>
        </w:tc>
        <w:tc>
          <w:tcPr>
            <w:tcW w:w="1231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</w:p>
        </w:tc>
      </w:tr>
      <w:tr w:rsidR="00191B68" w:rsidRPr="00191B68" w:rsidTr="001759FE">
        <w:trPr>
          <w:tblCellSpacing w:w="15" w:type="dxa"/>
          <w:jc w:val="center"/>
        </w:trPr>
        <w:tc>
          <w:tcPr>
            <w:tcW w:w="1117" w:type="pct"/>
            <w:hideMark/>
          </w:tcPr>
          <w:p w:rsidR="00191B68" w:rsidRPr="00191B68" w:rsidRDefault="00191B68" w:rsidP="00191B68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191B68">
              <w:rPr>
                <w:rFonts w:cs="Times New Roman"/>
                <w:sz w:val="24"/>
                <w:szCs w:val="24"/>
                <w:lang w:val="lv-LV" w:eastAsia="lv-LV" w:bidi="ar-SA"/>
              </w:rPr>
              <w:t>3.3. pašvaldību budžets</w:t>
            </w:r>
          </w:p>
        </w:tc>
        <w:tc>
          <w:tcPr>
            <w:tcW w:w="623" w:type="pct"/>
          </w:tcPr>
          <w:p w:rsidR="00191B68" w:rsidRPr="00191B68" w:rsidRDefault="00191B68" w:rsidP="00191B68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191B68">
              <w:rPr>
                <w:rFonts w:cs="Times New Roman"/>
                <w:sz w:val="24"/>
                <w:szCs w:val="24"/>
                <w:lang w:val="lv-LV" w:eastAsia="lv-LV" w:bidi="ar-SA"/>
              </w:rPr>
              <w:t>0</w:t>
            </w:r>
          </w:p>
        </w:tc>
        <w:tc>
          <w:tcPr>
            <w:tcW w:w="701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0</w:t>
            </w:r>
          </w:p>
        </w:tc>
        <w:tc>
          <w:tcPr>
            <w:tcW w:w="640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0</w:t>
            </w:r>
          </w:p>
        </w:tc>
        <w:tc>
          <w:tcPr>
            <w:tcW w:w="578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0</w:t>
            </w:r>
          </w:p>
        </w:tc>
        <w:tc>
          <w:tcPr>
            <w:tcW w:w="1231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0</w:t>
            </w:r>
          </w:p>
        </w:tc>
      </w:tr>
      <w:tr w:rsidR="00191B68" w:rsidRPr="00191B68" w:rsidTr="001759FE">
        <w:trPr>
          <w:tblCellSpacing w:w="15" w:type="dxa"/>
          <w:jc w:val="center"/>
        </w:trPr>
        <w:tc>
          <w:tcPr>
            <w:tcW w:w="1117" w:type="pct"/>
            <w:vAlign w:val="center"/>
            <w:hideMark/>
          </w:tcPr>
          <w:p w:rsidR="00191B68" w:rsidRPr="00191B68" w:rsidRDefault="00191B68" w:rsidP="00191B68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191B68">
              <w:rPr>
                <w:rFonts w:cs="Times New Roman"/>
                <w:sz w:val="24"/>
                <w:szCs w:val="24"/>
                <w:lang w:val="lv-LV" w:eastAsia="lv-LV" w:bidi="ar-SA"/>
              </w:rPr>
              <w:t>4. Finanšu līdzekļi papildu izdevumu finansēšanai (kompensējošu izdevumu samazinājumu norāda ar "+" zīmi)</w:t>
            </w:r>
          </w:p>
        </w:tc>
        <w:tc>
          <w:tcPr>
            <w:tcW w:w="623" w:type="pct"/>
          </w:tcPr>
          <w:p w:rsidR="00191B68" w:rsidRPr="00191B68" w:rsidRDefault="00191B68" w:rsidP="00191B68">
            <w:pPr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</w:p>
        </w:tc>
        <w:tc>
          <w:tcPr>
            <w:tcW w:w="701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cs="Times New Roman"/>
                <w:sz w:val="24"/>
                <w:szCs w:val="24"/>
                <w:lang w:val="lv-LV" w:eastAsia="lv-LV" w:bidi="ar-SA"/>
              </w:rPr>
              <w:t>0</w:t>
            </w:r>
          </w:p>
        </w:tc>
        <w:tc>
          <w:tcPr>
            <w:tcW w:w="640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cs="Times New Roman"/>
                <w:sz w:val="24"/>
                <w:szCs w:val="24"/>
                <w:lang w:val="lv-LV" w:eastAsia="lv-LV" w:bidi="ar-SA"/>
              </w:rPr>
              <w:t>0</w:t>
            </w:r>
          </w:p>
        </w:tc>
        <w:tc>
          <w:tcPr>
            <w:tcW w:w="578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cs="Times New Roman"/>
                <w:sz w:val="24"/>
                <w:szCs w:val="24"/>
                <w:lang w:val="lv-LV" w:eastAsia="lv-LV" w:bidi="ar-SA"/>
              </w:rPr>
              <w:t>0</w:t>
            </w:r>
          </w:p>
        </w:tc>
        <w:tc>
          <w:tcPr>
            <w:tcW w:w="1231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cs="Times New Roman"/>
                <w:sz w:val="24"/>
                <w:szCs w:val="24"/>
                <w:lang w:val="lv-LV" w:eastAsia="lv-LV" w:bidi="ar-SA"/>
              </w:rPr>
              <w:t>0</w:t>
            </w:r>
          </w:p>
        </w:tc>
      </w:tr>
      <w:tr w:rsidR="00191B68" w:rsidRPr="00191B68" w:rsidTr="001759FE">
        <w:trPr>
          <w:tblCellSpacing w:w="15" w:type="dxa"/>
          <w:jc w:val="center"/>
        </w:trPr>
        <w:tc>
          <w:tcPr>
            <w:tcW w:w="1117" w:type="pct"/>
            <w:hideMark/>
          </w:tcPr>
          <w:p w:rsidR="00191B68" w:rsidRPr="00191B68" w:rsidRDefault="00191B68" w:rsidP="00191B68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191B68">
              <w:rPr>
                <w:rFonts w:cs="Times New Roman"/>
                <w:sz w:val="24"/>
                <w:szCs w:val="24"/>
                <w:lang w:val="lv-LV" w:eastAsia="lv-LV" w:bidi="ar-SA"/>
              </w:rPr>
              <w:t>5. Precizēta finansiālā ietekme:</w:t>
            </w:r>
          </w:p>
        </w:tc>
        <w:tc>
          <w:tcPr>
            <w:tcW w:w="623" w:type="pct"/>
            <w:vMerge w:val="restart"/>
          </w:tcPr>
          <w:p w:rsidR="00191B68" w:rsidRPr="00191B68" w:rsidRDefault="00191B68" w:rsidP="00191B68">
            <w:pPr>
              <w:jc w:val="center"/>
              <w:rPr>
                <w:rFonts w:cs="Times New Roman"/>
                <w:sz w:val="24"/>
                <w:szCs w:val="24"/>
                <w:lang w:val="lv-LV" w:eastAsia="lv-LV" w:bidi="ar-SA"/>
              </w:rPr>
            </w:pPr>
          </w:p>
        </w:tc>
        <w:tc>
          <w:tcPr>
            <w:tcW w:w="701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nav precīzi aprēķināms</w:t>
            </w:r>
          </w:p>
        </w:tc>
        <w:tc>
          <w:tcPr>
            <w:tcW w:w="640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nav precīzi aprēķināms</w:t>
            </w:r>
          </w:p>
        </w:tc>
        <w:tc>
          <w:tcPr>
            <w:tcW w:w="578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nav precīzi aprēķināms</w:t>
            </w:r>
          </w:p>
        </w:tc>
        <w:tc>
          <w:tcPr>
            <w:tcW w:w="1231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nav precīzi aprēķināms</w:t>
            </w:r>
          </w:p>
        </w:tc>
      </w:tr>
      <w:tr w:rsidR="00191B68" w:rsidRPr="00191B68" w:rsidTr="001759FE">
        <w:trPr>
          <w:tblCellSpacing w:w="15" w:type="dxa"/>
          <w:jc w:val="center"/>
        </w:trPr>
        <w:tc>
          <w:tcPr>
            <w:tcW w:w="1117" w:type="pct"/>
            <w:hideMark/>
          </w:tcPr>
          <w:p w:rsidR="00191B68" w:rsidRPr="00191B68" w:rsidRDefault="00191B68" w:rsidP="00191B68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191B68">
              <w:rPr>
                <w:rFonts w:cs="Times New Roman"/>
                <w:sz w:val="24"/>
                <w:szCs w:val="24"/>
                <w:lang w:val="lv-LV" w:eastAsia="lv-LV" w:bidi="ar-SA"/>
              </w:rPr>
              <w:t>5.1. valsts pamatbudžets</w:t>
            </w:r>
          </w:p>
        </w:tc>
        <w:tc>
          <w:tcPr>
            <w:tcW w:w="623" w:type="pct"/>
            <w:vMerge/>
            <w:vAlign w:val="center"/>
            <w:hideMark/>
          </w:tcPr>
          <w:p w:rsidR="00191B68" w:rsidRPr="00191B68" w:rsidRDefault="00191B68" w:rsidP="00191B68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</w:p>
        </w:tc>
        <w:tc>
          <w:tcPr>
            <w:tcW w:w="701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nav precīzi aprēķināms</w:t>
            </w:r>
          </w:p>
        </w:tc>
        <w:tc>
          <w:tcPr>
            <w:tcW w:w="640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nav precīzi aprēķināms</w:t>
            </w:r>
          </w:p>
        </w:tc>
        <w:tc>
          <w:tcPr>
            <w:tcW w:w="578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nav precīzi aprēķināms</w:t>
            </w:r>
          </w:p>
        </w:tc>
        <w:tc>
          <w:tcPr>
            <w:tcW w:w="1231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nav precīzi aprēķināms</w:t>
            </w:r>
          </w:p>
        </w:tc>
      </w:tr>
      <w:tr w:rsidR="00191B68" w:rsidRPr="00191B68" w:rsidTr="001759FE">
        <w:trPr>
          <w:tblCellSpacing w:w="15" w:type="dxa"/>
          <w:jc w:val="center"/>
        </w:trPr>
        <w:tc>
          <w:tcPr>
            <w:tcW w:w="1117" w:type="pct"/>
            <w:hideMark/>
          </w:tcPr>
          <w:p w:rsidR="00191B68" w:rsidRPr="00191B68" w:rsidRDefault="00191B68" w:rsidP="00191B68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191B68">
              <w:rPr>
                <w:rFonts w:cs="Times New Roman"/>
                <w:sz w:val="24"/>
                <w:szCs w:val="24"/>
                <w:lang w:val="lv-LV" w:eastAsia="lv-LV" w:bidi="ar-SA"/>
              </w:rPr>
              <w:t>5.2. speciālais budžets</w:t>
            </w:r>
          </w:p>
        </w:tc>
        <w:tc>
          <w:tcPr>
            <w:tcW w:w="623" w:type="pct"/>
            <w:vMerge/>
            <w:vAlign w:val="center"/>
            <w:hideMark/>
          </w:tcPr>
          <w:p w:rsidR="00191B68" w:rsidRPr="00191B68" w:rsidRDefault="00191B68" w:rsidP="00191B68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</w:p>
        </w:tc>
        <w:tc>
          <w:tcPr>
            <w:tcW w:w="701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0</w:t>
            </w:r>
          </w:p>
        </w:tc>
        <w:tc>
          <w:tcPr>
            <w:tcW w:w="640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0</w:t>
            </w:r>
          </w:p>
        </w:tc>
        <w:tc>
          <w:tcPr>
            <w:tcW w:w="578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0</w:t>
            </w:r>
          </w:p>
        </w:tc>
        <w:tc>
          <w:tcPr>
            <w:tcW w:w="1231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0</w:t>
            </w:r>
          </w:p>
        </w:tc>
      </w:tr>
      <w:tr w:rsidR="00191B68" w:rsidRPr="00191B68" w:rsidTr="001759FE">
        <w:trPr>
          <w:tblCellSpacing w:w="15" w:type="dxa"/>
          <w:jc w:val="center"/>
        </w:trPr>
        <w:tc>
          <w:tcPr>
            <w:tcW w:w="1117" w:type="pct"/>
            <w:hideMark/>
          </w:tcPr>
          <w:p w:rsidR="00191B68" w:rsidRPr="00191B68" w:rsidRDefault="00191B68" w:rsidP="00191B68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191B68">
              <w:rPr>
                <w:rFonts w:cs="Times New Roman"/>
                <w:sz w:val="24"/>
                <w:szCs w:val="24"/>
                <w:lang w:val="lv-LV" w:eastAsia="lv-LV" w:bidi="ar-SA"/>
              </w:rPr>
              <w:t>5.3. pašvaldību budžets</w:t>
            </w:r>
          </w:p>
        </w:tc>
        <w:tc>
          <w:tcPr>
            <w:tcW w:w="623" w:type="pct"/>
            <w:vMerge/>
            <w:vAlign w:val="center"/>
            <w:hideMark/>
          </w:tcPr>
          <w:p w:rsidR="00191B68" w:rsidRPr="00191B68" w:rsidRDefault="00191B68" w:rsidP="00191B68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</w:p>
        </w:tc>
        <w:tc>
          <w:tcPr>
            <w:tcW w:w="701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0</w:t>
            </w:r>
          </w:p>
        </w:tc>
        <w:tc>
          <w:tcPr>
            <w:tcW w:w="640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0</w:t>
            </w:r>
          </w:p>
        </w:tc>
        <w:tc>
          <w:tcPr>
            <w:tcW w:w="578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0</w:t>
            </w:r>
          </w:p>
        </w:tc>
        <w:tc>
          <w:tcPr>
            <w:tcW w:w="1231" w:type="pct"/>
          </w:tcPr>
          <w:p w:rsidR="00191B68" w:rsidRPr="00191B68" w:rsidRDefault="00191B68" w:rsidP="00191B68">
            <w:pPr>
              <w:spacing w:after="200" w:line="276" w:lineRule="auto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191B68">
              <w:rPr>
                <w:rFonts w:eastAsiaTheme="minorHAnsi" w:cs="Times New Roman"/>
                <w:sz w:val="24"/>
                <w:szCs w:val="24"/>
                <w:lang w:val="lv-LV" w:bidi="ar-SA"/>
              </w:rPr>
              <w:t>0</w:t>
            </w:r>
          </w:p>
        </w:tc>
      </w:tr>
      <w:tr w:rsidR="00191B68" w:rsidRPr="00191B68" w:rsidTr="001759FE">
        <w:trPr>
          <w:tblCellSpacing w:w="15" w:type="dxa"/>
          <w:jc w:val="center"/>
        </w:trPr>
        <w:tc>
          <w:tcPr>
            <w:tcW w:w="1117" w:type="pct"/>
            <w:hideMark/>
          </w:tcPr>
          <w:p w:rsidR="00191B68" w:rsidRPr="00191B68" w:rsidRDefault="00191B68" w:rsidP="00191B68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191B68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6. Detalizēts ieņēmumu un izdevumu aprēķins (ja nepieciešams, detalizētu ieņēmumu un izdevumu aprēķinu </w:t>
            </w:r>
            <w:r w:rsidRPr="00191B68">
              <w:rPr>
                <w:rFonts w:cs="Times New Roman"/>
                <w:sz w:val="24"/>
                <w:szCs w:val="24"/>
                <w:lang w:val="lv-LV" w:eastAsia="lv-LV" w:bidi="ar-SA"/>
              </w:rPr>
              <w:lastRenderedPageBreak/>
              <w:t>var pievienot anotācijas pielikumā):</w:t>
            </w:r>
          </w:p>
        </w:tc>
        <w:tc>
          <w:tcPr>
            <w:tcW w:w="3836" w:type="pct"/>
            <w:gridSpan w:val="5"/>
            <w:vMerge w:val="restart"/>
          </w:tcPr>
          <w:p w:rsidR="00191B68" w:rsidRPr="00191B68" w:rsidRDefault="00191B68" w:rsidP="00191B68">
            <w:pPr>
              <w:spacing w:after="200" w:line="276" w:lineRule="auto"/>
              <w:jc w:val="both"/>
              <w:rPr>
                <w:rFonts w:eastAsiaTheme="minorHAnsi" w:cs="Times New Roman"/>
                <w:sz w:val="24"/>
                <w:szCs w:val="24"/>
                <w:highlight w:val="yellow"/>
                <w:lang w:val="lv-LV" w:bidi="ar-SA"/>
              </w:rPr>
            </w:pPr>
            <w:r w:rsidRPr="00191B68">
              <w:rPr>
                <w:rFonts w:eastAsiaTheme="minorHAnsi" w:cs="Times New Roman"/>
                <w:iCs/>
                <w:sz w:val="24"/>
                <w:szCs w:val="24"/>
                <w:lang w:val="lv-LV" w:bidi="ar-SA"/>
              </w:rPr>
              <w:lastRenderedPageBreak/>
              <w:t>Nav precīzi aprēķināms</w:t>
            </w:r>
          </w:p>
        </w:tc>
      </w:tr>
      <w:tr w:rsidR="00191B68" w:rsidRPr="00191B68" w:rsidTr="001759FE">
        <w:trPr>
          <w:tblCellSpacing w:w="15" w:type="dxa"/>
          <w:jc w:val="center"/>
        </w:trPr>
        <w:tc>
          <w:tcPr>
            <w:tcW w:w="1117" w:type="pct"/>
            <w:hideMark/>
          </w:tcPr>
          <w:p w:rsidR="00191B68" w:rsidRPr="00191B68" w:rsidRDefault="00191B68" w:rsidP="00191B68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191B68">
              <w:rPr>
                <w:rFonts w:cs="Times New Roman"/>
                <w:sz w:val="24"/>
                <w:szCs w:val="24"/>
                <w:lang w:val="lv-LV" w:eastAsia="lv-LV" w:bidi="ar-SA"/>
              </w:rPr>
              <w:lastRenderedPageBreak/>
              <w:t>6.1. detalizēts ieņēmumu aprēķins</w:t>
            </w:r>
          </w:p>
          <w:p w:rsidR="00191B68" w:rsidRPr="00191B68" w:rsidRDefault="00191B68" w:rsidP="00191B68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</w:p>
        </w:tc>
        <w:tc>
          <w:tcPr>
            <w:tcW w:w="3836" w:type="pct"/>
            <w:gridSpan w:val="5"/>
            <w:vMerge/>
            <w:vAlign w:val="center"/>
            <w:hideMark/>
          </w:tcPr>
          <w:p w:rsidR="00191B68" w:rsidRPr="00191B68" w:rsidRDefault="00191B68" w:rsidP="00191B68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</w:p>
        </w:tc>
      </w:tr>
      <w:tr w:rsidR="00191B68" w:rsidRPr="00191B68" w:rsidTr="001759FE">
        <w:trPr>
          <w:tblCellSpacing w:w="15" w:type="dxa"/>
          <w:jc w:val="center"/>
        </w:trPr>
        <w:tc>
          <w:tcPr>
            <w:tcW w:w="1117" w:type="pct"/>
            <w:hideMark/>
          </w:tcPr>
          <w:p w:rsidR="00191B68" w:rsidRPr="00191B68" w:rsidRDefault="00191B68" w:rsidP="00191B68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191B68">
              <w:rPr>
                <w:rFonts w:cs="Times New Roman"/>
                <w:sz w:val="24"/>
                <w:szCs w:val="24"/>
                <w:lang w:val="lv-LV" w:eastAsia="lv-LV" w:bidi="ar-SA"/>
              </w:rPr>
              <w:t>6.2. detalizēts izdevumu aprēķins</w:t>
            </w:r>
          </w:p>
          <w:p w:rsidR="00191B68" w:rsidRPr="00191B68" w:rsidRDefault="00191B68" w:rsidP="00191B68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</w:p>
        </w:tc>
        <w:tc>
          <w:tcPr>
            <w:tcW w:w="3836" w:type="pct"/>
            <w:gridSpan w:val="5"/>
            <w:vMerge/>
            <w:vAlign w:val="center"/>
            <w:hideMark/>
          </w:tcPr>
          <w:p w:rsidR="00191B68" w:rsidRPr="00191B68" w:rsidRDefault="00191B68" w:rsidP="00191B68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</w:p>
        </w:tc>
      </w:tr>
      <w:tr w:rsidR="00191B68" w:rsidRPr="00C15163" w:rsidTr="001759FE">
        <w:trPr>
          <w:trHeight w:val="555"/>
          <w:tblCellSpacing w:w="15" w:type="dxa"/>
          <w:jc w:val="center"/>
        </w:trPr>
        <w:tc>
          <w:tcPr>
            <w:tcW w:w="1117" w:type="pct"/>
            <w:hideMark/>
          </w:tcPr>
          <w:p w:rsidR="00191B68" w:rsidRPr="00191B68" w:rsidRDefault="00191B68" w:rsidP="00191B68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191B68">
              <w:rPr>
                <w:rFonts w:cs="Times New Roman"/>
                <w:sz w:val="24"/>
                <w:szCs w:val="24"/>
                <w:lang w:val="lv-LV" w:eastAsia="lv-LV" w:bidi="ar-SA"/>
              </w:rPr>
              <w:t>7. Cita informācija</w:t>
            </w:r>
          </w:p>
          <w:p w:rsidR="00191B68" w:rsidRPr="00191B68" w:rsidRDefault="00191B68" w:rsidP="00191B68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</w:p>
        </w:tc>
        <w:tc>
          <w:tcPr>
            <w:tcW w:w="3836" w:type="pct"/>
            <w:gridSpan w:val="5"/>
          </w:tcPr>
          <w:p w:rsidR="00191B68" w:rsidRPr="00C000CD" w:rsidRDefault="00191B68" w:rsidP="00191B68">
            <w:pPr>
              <w:jc w:val="both"/>
              <w:rPr>
                <w:rFonts w:eastAsiaTheme="minorHAnsi" w:cs="Times New Roman"/>
                <w:bCs/>
                <w:sz w:val="24"/>
                <w:szCs w:val="24"/>
                <w:lang w:val="lv-LV" w:bidi="ar-SA"/>
              </w:rPr>
            </w:pPr>
            <w:r w:rsidRPr="00C000CD">
              <w:rPr>
                <w:rFonts w:eastAsiaTheme="minorHAnsi" w:cs="Times New Roman"/>
                <w:sz w:val="24"/>
                <w:szCs w:val="24"/>
                <w:lang w:val="lv-LV" w:bidi="ar-SA"/>
              </w:rPr>
              <w:t xml:space="preserve">Administratīvā soda apmēri par niršanu </w:t>
            </w:r>
            <w:r w:rsidRPr="00C000CD">
              <w:rPr>
                <w:rFonts w:eastAsiaTheme="minorHAnsi" w:cs="Times New Roman"/>
                <w:bCs/>
                <w:sz w:val="24"/>
                <w:szCs w:val="24"/>
                <w:lang w:val="lv-LV" w:bidi="ar-SA"/>
              </w:rPr>
              <w:t xml:space="preserve">aizliegtās teritorijās un niršanas </w:t>
            </w:r>
            <w:r w:rsidRPr="00C000CD">
              <w:rPr>
                <w:rFonts w:eastAsiaTheme="minorHAnsi" w:cs="Times New Roman"/>
                <w:sz w:val="24"/>
                <w:szCs w:val="24"/>
                <w:lang w:val="lv-LV" w:bidi="ar-SA"/>
              </w:rPr>
              <w:t>pārkāpumiem</w:t>
            </w:r>
            <w:r w:rsidRPr="00C000CD">
              <w:rPr>
                <w:rFonts w:eastAsiaTheme="minorHAnsi" w:cs="Times New Roman"/>
                <w:bCs/>
                <w:sz w:val="24"/>
                <w:szCs w:val="24"/>
                <w:lang w:val="lv-LV" w:bidi="ar-SA"/>
              </w:rPr>
              <w:t xml:space="preserve"> ierobežotās teritorijās tiek noteikti, pamatojoties uz šādu darbību radīto </w:t>
            </w:r>
            <w:r w:rsidRPr="00C000CD">
              <w:rPr>
                <w:rFonts w:eastAsiaTheme="minorHAnsi" w:cs="Times New Roman"/>
                <w:sz w:val="24"/>
                <w:szCs w:val="24"/>
                <w:lang w:val="lv-LV" w:bidi="ar-SA"/>
              </w:rPr>
              <w:t>apdraudējumu jūras videi, kultūrvēsturiskām vērtībām, valsts drošībai vai cilvēka veselībai un dzīvībai.</w:t>
            </w:r>
            <w:r w:rsidRPr="00C000CD">
              <w:rPr>
                <w:rFonts w:eastAsiaTheme="minorHAnsi" w:cs="Times New Roman"/>
                <w:bCs/>
                <w:sz w:val="24"/>
                <w:szCs w:val="24"/>
                <w:lang w:val="lv-LV" w:bidi="ar-SA"/>
              </w:rPr>
              <w:t xml:space="preserve"> </w:t>
            </w:r>
          </w:p>
          <w:p w:rsidR="00191B68" w:rsidRPr="00C000CD" w:rsidRDefault="00EA73D8" w:rsidP="00191B68">
            <w:pPr>
              <w:jc w:val="both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C000CD">
              <w:rPr>
                <w:rFonts w:eastAsiaTheme="minorHAnsi" w:cs="Times New Roman"/>
                <w:bCs/>
                <w:sz w:val="24"/>
                <w:szCs w:val="24"/>
                <w:lang w:val="lv-LV" w:bidi="ar-SA"/>
              </w:rPr>
              <w:t>P</w:t>
            </w:r>
            <w:r w:rsidR="00191B68" w:rsidRPr="00C000CD">
              <w:rPr>
                <w:rFonts w:eastAsiaTheme="minorHAnsi" w:cs="Times New Roman"/>
                <w:sz w:val="24"/>
                <w:szCs w:val="24"/>
                <w:lang w:val="lv-LV" w:bidi="ar-SA"/>
              </w:rPr>
              <w:t xml:space="preserve">rojekts paredz, ka: </w:t>
            </w:r>
          </w:p>
          <w:p w:rsidR="00191B68" w:rsidRPr="00C000CD" w:rsidRDefault="00191B68" w:rsidP="00191B68">
            <w:pPr>
              <w:pStyle w:val="ListParagraph"/>
              <w:numPr>
                <w:ilvl w:val="0"/>
                <w:numId w:val="6"/>
              </w:numPr>
              <w:jc w:val="both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C000CD">
              <w:rPr>
                <w:rFonts w:eastAsiaTheme="minorHAnsi" w:cs="Times New Roman"/>
                <w:sz w:val="24"/>
                <w:szCs w:val="24"/>
                <w:lang w:val="lv-LV" w:bidi="ar-SA"/>
              </w:rPr>
              <w:t>par niršanu ierobežotās jūras teritorijās bez noteiktā kārtībā izsniegtas atļaujas izsaka brīdinājumu vai uzliek naudas sodu līdz 350</w:t>
            </w:r>
            <w:r w:rsidR="00C000CD">
              <w:rPr>
                <w:rFonts w:eastAsiaTheme="minorHAnsi" w:cs="Times New Roman"/>
                <w:sz w:val="24"/>
                <w:szCs w:val="24"/>
                <w:lang w:val="lv-LV" w:bidi="ar-SA"/>
              </w:rPr>
              <w:t>,00</w:t>
            </w:r>
            <w:r w:rsidRPr="00C000CD">
              <w:rPr>
                <w:rFonts w:eastAsiaTheme="minorHAnsi" w:cs="Times New Roman"/>
                <w:sz w:val="24"/>
                <w:szCs w:val="24"/>
                <w:lang w:val="lv-LV" w:bidi="ar-SA"/>
              </w:rPr>
              <w:t xml:space="preserve"> </w:t>
            </w:r>
            <w:proofErr w:type="spellStart"/>
            <w:r w:rsidRPr="00C000CD">
              <w:rPr>
                <w:rFonts w:eastAsiaTheme="minorHAnsi" w:cs="Times New Roman"/>
                <w:i/>
                <w:iCs/>
                <w:sz w:val="24"/>
                <w:szCs w:val="24"/>
                <w:lang w:val="lv-LV" w:bidi="ar-SA"/>
              </w:rPr>
              <w:t>euro</w:t>
            </w:r>
            <w:proofErr w:type="spellEnd"/>
            <w:r w:rsidRPr="00C000CD">
              <w:rPr>
                <w:rFonts w:eastAsiaTheme="minorHAnsi" w:cs="Times New Roman"/>
                <w:sz w:val="24"/>
                <w:szCs w:val="24"/>
                <w:lang w:val="lv-LV" w:bidi="ar-SA"/>
              </w:rPr>
              <w:t xml:space="preserve">. </w:t>
            </w:r>
          </w:p>
          <w:p w:rsidR="00191B68" w:rsidRPr="00C000CD" w:rsidRDefault="00191B68" w:rsidP="00191B68">
            <w:pPr>
              <w:pStyle w:val="ListParagraph"/>
              <w:numPr>
                <w:ilvl w:val="0"/>
                <w:numId w:val="6"/>
              </w:numPr>
              <w:jc w:val="both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C000CD">
              <w:rPr>
                <w:rFonts w:eastAsiaTheme="minorHAnsi" w:cs="Times New Roman"/>
                <w:sz w:val="24"/>
                <w:szCs w:val="24"/>
                <w:lang w:val="lv-LV" w:bidi="ar-SA"/>
              </w:rPr>
              <w:t xml:space="preserve"> par niršanu aizliegtās jūras teritorijās uzliek naudas sodu no 45 </w:t>
            </w:r>
            <w:proofErr w:type="spellStart"/>
            <w:r w:rsidRPr="00C000CD">
              <w:rPr>
                <w:rFonts w:eastAsiaTheme="minorHAnsi" w:cs="Times New Roman"/>
                <w:i/>
                <w:sz w:val="24"/>
                <w:szCs w:val="24"/>
                <w:lang w:val="lv-LV" w:bidi="ar-SA"/>
              </w:rPr>
              <w:t>euro</w:t>
            </w:r>
            <w:proofErr w:type="spellEnd"/>
            <w:r w:rsidRPr="00C000CD">
              <w:rPr>
                <w:rFonts w:eastAsiaTheme="minorHAnsi" w:cs="Times New Roman"/>
                <w:sz w:val="24"/>
                <w:szCs w:val="24"/>
                <w:lang w:val="lv-LV" w:bidi="ar-SA"/>
              </w:rPr>
              <w:t xml:space="preserve"> līdz 750</w:t>
            </w:r>
            <w:r w:rsidR="00C000CD">
              <w:rPr>
                <w:rFonts w:eastAsiaTheme="minorHAnsi" w:cs="Times New Roman"/>
                <w:sz w:val="24"/>
                <w:szCs w:val="24"/>
                <w:lang w:val="lv-LV" w:bidi="ar-SA"/>
              </w:rPr>
              <w:t>,00</w:t>
            </w:r>
            <w:r w:rsidRPr="00C000CD">
              <w:rPr>
                <w:rFonts w:eastAsiaTheme="minorHAnsi" w:cs="Times New Roman"/>
                <w:sz w:val="24"/>
                <w:szCs w:val="24"/>
                <w:lang w:val="lv-LV" w:bidi="ar-SA"/>
              </w:rPr>
              <w:t xml:space="preserve"> </w:t>
            </w:r>
            <w:proofErr w:type="spellStart"/>
            <w:r w:rsidRPr="00C000CD">
              <w:rPr>
                <w:rFonts w:eastAsiaTheme="minorHAnsi" w:cs="Times New Roman"/>
                <w:i/>
                <w:iCs/>
                <w:sz w:val="24"/>
                <w:szCs w:val="24"/>
                <w:lang w:val="lv-LV" w:bidi="ar-SA"/>
              </w:rPr>
              <w:t>euro</w:t>
            </w:r>
            <w:proofErr w:type="spellEnd"/>
            <w:r w:rsidRPr="00C000CD">
              <w:rPr>
                <w:rFonts w:eastAsiaTheme="minorHAnsi" w:cs="Times New Roman"/>
                <w:iCs/>
                <w:sz w:val="24"/>
                <w:szCs w:val="24"/>
                <w:lang w:val="lv-LV" w:bidi="ar-SA"/>
              </w:rPr>
              <w:t>.</w:t>
            </w:r>
          </w:p>
          <w:p w:rsidR="00191B68" w:rsidRPr="00C000CD" w:rsidRDefault="00191B68" w:rsidP="00191B68">
            <w:pPr>
              <w:jc w:val="both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C000CD">
              <w:rPr>
                <w:rFonts w:eastAsiaTheme="minorHAnsi" w:cs="Times New Roman"/>
                <w:sz w:val="24"/>
                <w:szCs w:val="24"/>
                <w:lang w:val="lv-LV" w:bidi="ar-SA"/>
              </w:rPr>
              <w:t>Naudas sodu piemēro, ievērojot konkrētās lietas apstākļus un pārkāpuma raksturu, kā rezultātā aptuvenos iespējamos naudas soda apmērus nav iespējams prognozēt.</w:t>
            </w:r>
          </w:p>
          <w:p w:rsidR="00C15163" w:rsidRDefault="00EA73D8" w:rsidP="00191B68">
            <w:pPr>
              <w:jc w:val="both"/>
              <w:rPr>
                <w:rFonts w:eastAsiaTheme="minorHAnsi" w:cs="Times New Roman"/>
                <w:sz w:val="24"/>
                <w:szCs w:val="24"/>
                <w:lang w:val="lv-LV" w:bidi="ar-SA"/>
              </w:rPr>
            </w:pPr>
            <w:r w:rsidRPr="00C000CD">
              <w:rPr>
                <w:rFonts w:eastAsiaTheme="minorHAnsi" w:cs="Times New Roman"/>
                <w:sz w:val="24"/>
                <w:szCs w:val="24"/>
                <w:lang w:val="lv-LV" w:bidi="ar-SA"/>
              </w:rPr>
              <w:t xml:space="preserve">2014.gadā </w:t>
            </w:r>
            <w:r w:rsidR="00DE1586">
              <w:rPr>
                <w:rFonts w:eastAsiaTheme="minorHAnsi" w:cs="Times New Roman"/>
                <w:sz w:val="24"/>
                <w:szCs w:val="24"/>
                <w:lang w:val="lv-LV" w:bidi="ar-SA"/>
              </w:rPr>
              <w:t>Krasta apsardze</w:t>
            </w:r>
            <w:r w:rsidRPr="00C000CD">
              <w:rPr>
                <w:rFonts w:eastAsiaTheme="minorHAnsi" w:cs="Times New Roman"/>
                <w:sz w:val="24"/>
                <w:szCs w:val="24"/>
                <w:lang w:val="lv-LV" w:bidi="ar-SA"/>
              </w:rPr>
              <w:t xml:space="preserve"> par administratīvajiem pārkāpumiem uzlika sodus 19000,00 </w:t>
            </w:r>
            <w:proofErr w:type="spellStart"/>
            <w:r w:rsidRPr="00C000CD">
              <w:rPr>
                <w:rFonts w:eastAsiaTheme="minorHAnsi" w:cs="Times New Roman"/>
                <w:i/>
                <w:sz w:val="24"/>
                <w:szCs w:val="24"/>
                <w:lang w:val="lv-LV" w:bidi="ar-SA"/>
              </w:rPr>
              <w:t>euro</w:t>
            </w:r>
            <w:proofErr w:type="spellEnd"/>
            <w:r w:rsidRPr="00C000CD">
              <w:rPr>
                <w:rFonts w:eastAsiaTheme="minorHAnsi" w:cs="Times New Roman"/>
                <w:sz w:val="24"/>
                <w:szCs w:val="24"/>
                <w:lang w:val="lv-LV" w:bidi="ar-SA"/>
              </w:rPr>
              <w:t xml:space="preserve"> apmērā.</w:t>
            </w:r>
          </w:p>
          <w:p w:rsidR="00EA73D8" w:rsidRPr="00191B68" w:rsidRDefault="00C15163" w:rsidP="00191B68">
            <w:pPr>
              <w:jc w:val="both"/>
              <w:rPr>
                <w:rFonts w:eastAsiaTheme="minorHAnsi" w:cs="Times New Roman"/>
                <w:color w:val="0070C0"/>
                <w:sz w:val="24"/>
                <w:szCs w:val="24"/>
                <w:lang w:val="lv-LV" w:bidi="ar-SA"/>
              </w:rPr>
            </w:pPr>
            <w:r w:rsidRPr="00C15163">
              <w:rPr>
                <w:rFonts w:eastAsiaTheme="minorHAnsi" w:cs="Times New Roman"/>
                <w:sz w:val="24"/>
                <w:szCs w:val="24"/>
                <w:lang w:val="lv-LV" w:bidi="ar-SA"/>
              </w:rPr>
              <w:t>Ieņēmumi no naudas sodiem tiek ieskaitīti valsts pamatbudžetā</w:t>
            </w:r>
            <w:r>
              <w:rPr>
                <w:rFonts w:eastAsiaTheme="minorHAnsi" w:cs="Times New Roman"/>
                <w:sz w:val="24"/>
                <w:szCs w:val="24"/>
                <w:lang w:val="lv-LV" w:bidi="ar-SA"/>
              </w:rPr>
              <w:t>.</w:t>
            </w:r>
          </w:p>
        </w:tc>
      </w:tr>
    </w:tbl>
    <w:p w:rsidR="005F56A5" w:rsidRPr="00191B68" w:rsidRDefault="005F56A5" w:rsidP="00920416">
      <w:pPr>
        <w:shd w:val="clear" w:color="auto" w:fill="FFFFFF"/>
        <w:ind w:firstLine="301"/>
        <w:rPr>
          <w:rFonts w:cs="Times New Roman"/>
          <w:sz w:val="24"/>
          <w:szCs w:val="24"/>
          <w:lang w:val="lv-LV" w:eastAsia="lv-LV" w:bidi="ar-SA"/>
        </w:rPr>
      </w:pPr>
    </w:p>
    <w:p w:rsidR="003D14D5" w:rsidRPr="00A77A73" w:rsidRDefault="003D14D5" w:rsidP="00920416">
      <w:pPr>
        <w:shd w:val="clear" w:color="auto" w:fill="FFFFFF"/>
        <w:ind w:firstLine="301"/>
        <w:rPr>
          <w:rFonts w:cs="Times New Roman"/>
          <w:sz w:val="24"/>
          <w:szCs w:val="24"/>
          <w:lang w:val="lv-LV" w:eastAsia="lv-LV" w:bidi="ar-SA"/>
        </w:rPr>
      </w:pPr>
    </w:p>
    <w:p w:rsidR="005F56A5" w:rsidRPr="00A77A73" w:rsidRDefault="005F56A5" w:rsidP="00920416">
      <w:pPr>
        <w:shd w:val="clear" w:color="auto" w:fill="FFFFFF"/>
        <w:ind w:firstLine="301"/>
        <w:rPr>
          <w:rFonts w:cs="Times New Roman"/>
          <w:sz w:val="24"/>
          <w:szCs w:val="24"/>
          <w:lang w:val="lv-LV" w:eastAsia="lv-LV" w:bidi="ar-SA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944"/>
        <w:gridCol w:w="6077"/>
      </w:tblGrid>
      <w:tr w:rsidR="005E202E" w:rsidRPr="00313F95" w:rsidTr="00920416">
        <w:trPr>
          <w:trHeight w:val="444"/>
        </w:trPr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20416" w:rsidRPr="00A77A73" w:rsidRDefault="00920416" w:rsidP="00362F0D">
            <w:pPr>
              <w:spacing w:before="100" w:beforeAutospacing="1" w:after="100" w:afterAutospacing="1" w:line="315" w:lineRule="atLeast"/>
              <w:jc w:val="center"/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</w:pPr>
            <w:r w:rsidRPr="00A77A73"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  <w:t>IV. Tiesību akta projekta ietekme uz spēkā esošo tiesību normu sistēmu</w:t>
            </w:r>
          </w:p>
        </w:tc>
      </w:tr>
      <w:tr w:rsidR="005E202E" w:rsidRPr="00A77A73" w:rsidTr="00920416">
        <w:trPr>
          <w:trHeight w:val="372"/>
        </w:trPr>
        <w:tc>
          <w:tcPr>
            <w:tcW w:w="16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20416" w:rsidRPr="00A77A73" w:rsidRDefault="00920416" w:rsidP="00362F0D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A77A73">
              <w:rPr>
                <w:rFonts w:cs="Times New Roman"/>
                <w:sz w:val="24"/>
                <w:szCs w:val="24"/>
                <w:lang w:val="lv-LV" w:eastAsia="lv-LV" w:bidi="ar-SA"/>
              </w:rPr>
              <w:t>1. Nepieciešamie saistītie tiesību aktu projekti</w:t>
            </w:r>
          </w:p>
        </w:tc>
        <w:tc>
          <w:tcPr>
            <w:tcW w:w="33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97D1C" w:rsidRPr="00A77A73" w:rsidRDefault="00C97D1C" w:rsidP="00C97D1C">
            <w:pPr>
              <w:jc w:val="both"/>
              <w:rPr>
                <w:rFonts w:cs="Times New Roman"/>
                <w:bCs/>
                <w:sz w:val="24"/>
                <w:szCs w:val="24"/>
                <w:lang w:val="lv-LV"/>
              </w:rPr>
            </w:pPr>
            <w:r w:rsidRPr="00A77A73">
              <w:rPr>
                <w:rFonts w:cs="Times New Roman"/>
                <w:bCs/>
                <w:sz w:val="24"/>
                <w:szCs w:val="24"/>
                <w:lang w:val="lv-LV"/>
              </w:rPr>
              <w:t>Šādi likumprojekti tiek virzīti un jāskata vienotā paketē:</w:t>
            </w:r>
          </w:p>
          <w:p w:rsidR="00C97D1C" w:rsidRPr="00A77A73" w:rsidRDefault="00C97D1C" w:rsidP="00C97D1C">
            <w:pPr>
              <w:ind w:left="-142" w:firstLine="142"/>
              <w:rPr>
                <w:sz w:val="24"/>
                <w:szCs w:val="24"/>
              </w:rPr>
            </w:pPr>
            <w:r w:rsidRPr="00A77A73">
              <w:rPr>
                <w:sz w:val="24"/>
                <w:szCs w:val="24"/>
              </w:rPr>
              <w:t xml:space="preserve">VSS-1145  </w:t>
            </w:r>
            <w:proofErr w:type="spellStart"/>
            <w:r w:rsidRPr="00A77A73">
              <w:rPr>
                <w:sz w:val="24"/>
                <w:szCs w:val="24"/>
              </w:rPr>
              <w:t>Grozījumi</w:t>
            </w:r>
            <w:proofErr w:type="spellEnd"/>
            <w:r w:rsidRPr="00A77A73">
              <w:rPr>
                <w:sz w:val="24"/>
                <w:szCs w:val="24"/>
              </w:rPr>
              <w:t xml:space="preserve"> </w:t>
            </w:r>
            <w:proofErr w:type="spellStart"/>
            <w:r w:rsidRPr="00A77A73">
              <w:rPr>
                <w:sz w:val="24"/>
                <w:szCs w:val="24"/>
              </w:rPr>
              <w:t>Jūras</w:t>
            </w:r>
            <w:proofErr w:type="spellEnd"/>
            <w:r w:rsidRPr="00A77A73">
              <w:rPr>
                <w:sz w:val="24"/>
                <w:szCs w:val="24"/>
              </w:rPr>
              <w:t xml:space="preserve"> </w:t>
            </w:r>
            <w:proofErr w:type="spellStart"/>
            <w:r w:rsidRPr="00A77A73">
              <w:rPr>
                <w:sz w:val="24"/>
                <w:szCs w:val="24"/>
              </w:rPr>
              <w:t>vides</w:t>
            </w:r>
            <w:proofErr w:type="spellEnd"/>
            <w:r w:rsidRPr="00A77A73">
              <w:rPr>
                <w:sz w:val="24"/>
                <w:szCs w:val="24"/>
              </w:rPr>
              <w:t xml:space="preserve"> </w:t>
            </w:r>
            <w:proofErr w:type="spellStart"/>
            <w:r w:rsidRPr="00A77A73">
              <w:rPr>
                <w:sz w:val="24"/>
                <w:szCs w:val="24"/>
              </w:rPr>
              <w:t>aizsardzības</w:t>
            </w:r>
            <w:proofErr w:type="spellEnd"/>
            <w:r w:rsidRPr="00A77A73">
              <w:rPr>
                <w:sz w:val="24"/>
                <w:szCs w:val="24"/>
              </w:rPr>
              <w:t xml:space="preserve"> un </w:t>
            </w:r>
            <w:proofErr w:type="spellStart"/>
            <w:r w:rsidRPr="00A77A73">
              <w:rPr>
                <w:sz w:val="24"/>
                <w:szCs w:val="24"/>
              </w:rPr>
              <w:t>pārvaldības</w:t>
            </w:r>
            <w:proofErr w:type="spellEnd"/>
            <w:r w:rsidRPr="00A77A73">
              <w:rPr>
                <w:sz w:val="24"/>
                <w:szCs w:val="24"/>
              </w:rPr>
              <w:t xml:space="preserve"> </w:t>
            </w:r>
            <w:proofErr w:type="spellStart"/>
            <w:r w:rsidRPr="00A77A73">
              <w:rPr>
                <w:sz w:val="24"/>
                <w:szCs w:val="24"/>
              </w:rPr>
              <w:t>likumā</w:t>
            </w:r>
            <w:proofErr w:type="spellEnd"/>
            <w:r w:rsidRPr="00A77A73">
              <w:rPr>
                <w:sz w:val="24"/>
                <w:szCs w:val="24"/>
              </w:rPr>
              <w:t>;</w:t>
            </w:r>
          </w:p>
          <w:p w:rsidR="00C97D1C" w:rsidRPr="00A77A73" w:rsidRDefault="00C97D1C" w:rsidP="00C97D1C">
            <w:pPr>
              <w:rPr>
                <w:sz w:val="24"/>
                <w:szCs w:val="24"/>
              </w:rPr>
            </w:pPr>
            <w:r w:rsidRPr="00A77A73">
              <w:rPr>
                <w:sz w:val="24"/>
                <w:szCs w:val="24"/>
              </w:rPr>
              <w:t xml:space="preserve">VSS-1147 </w:t>
            </w:r>
            <w:proofErr w:type="spellStart"/>
            <w:r w:rsidRPr="00A77A73">
              <w:rPr>
                <w:sz w:val="24"/>
                <w:szCs w:val="24"/>
              </w:rPr>
              <w:t>Grozījums</w:t>
            </w:r>
            <w:proofErr w:type="spellEnd"/>
            <w:r w:rsidRPr="00A77A73">
              <w:rPr>
                <w:sz w:val="24"/>
                <w:szCs w:val="24"/>
              </w:rPr>
              <w:t xml:space="preserve"> </w:t>
            </w:r>
            <w:proofErr w:type="spellStart"/>
            <w:r w:rsidRPr="00A77A73">
              <w:rPr>
                <w:sz w:val="24"/>
                <w:szCs w:val="24"/>
              </w:rPr>
              <w:t>likumā</w:t>
            </w:r>
            <w:proofErr w:type="spellEnd"/>
            <w:r w:rsidRPr="00A77A73">
              <w:rPr>
                <w:sz w:val="24"/>
                <w:szCs w:val="24"/>
              </w:rPr>
              <w:t xml:space="preserve"> „Par </w:t>
            </w:r>
            <w:proofErr w:type="spellStart"/>
            <w:r w:rsidRPr="00A77A73">
              <w:rPr>
                <w:sz w:val="24"/>
                <w:szCs w:val="24"/>
              </w:rPr>
              <w:t>nodokļiem</w:t>
            </w:r>
            <w:proofErr w:type="spellEnd"/>
            <w:r w:rsidRPr="00A77A73">
              <w:rPr>
                <w:sz w:val="24"/>
                <w:szCs w:val="24"/>
              </w:rPr>
              <w:t xml:space="preserve"> un </w:t>
            </w:r>
            <w:proofErr w:type="spellStart"/>
            <w:r w:rsidRPr="00A77A73">
              <w:rPr>
                <w:sz w:val="24"/>
                <w:szCs w:val="24"/>
              </w:rPr>
              <w:t>nodevām</w:t>
            </w:r>
            <w:proofErr w:type="spellEnd"/>
            <w:r w:rsidRPr="00A77A73">
              <w:rPr>
                <w:sz w:val="24"/>
                <w:szCs w:val="24"/>
              </w:rPr>
              <w:t>”;</w:t>
            </w:r>
          </w:p>
          <w:p w:rsidR="008C3C00" w:rsidRPr="00A77A73" w:rsidRDefault="00C97D1C" w:rsidP="00C97D1C">
            <w:pPr>
              <w:rPr>
                <w:rFonts w:cs="Times New Roman"/>
                <w:bCs/>
                <w:sz w:val="24"/>
                <w:szCs w:val="24"/>
                <w:lang w:val="lv-LV" w:eastAsia="lv-LV" w:bidi="ar-SA"/>
              </w:rPr>
            </w:pPr>
            <w:r w:rsidRPr="00A77A73">
              <w:rPr>
                <w:sz w:val="24"/>
                <w:szCs w:val="24"/>
              </w:rPr>
              <w:t xml:space="preserve">VSS-1148 </w:t>
            </w:r>
            <w:proofErr w:type="spellStart"/>
            <w:r w:rsidRPr="00A77A73">
              <w:rPr>
                <w:sz w:val="24"/>
                <w:szCs w:val="24"/>
              </w:rPr>
              <w:t>Grozījumi</w:t>
            </w:r>
            <w:proofErr w:type="spellEnd"/>
            <w:r w:rsidRPr="00A77A73">
              <w:rPr>
                <w:sz w:val="24"/>
                <w:szCs w:val="24"/>
              </w:rPr>
              <w:t xml:space="preserve"> </w:t>
            </w:r>
            <w:proofErr w:type="spellStart"/>
            <w:r w:rsidRPr="00A77A73">
              <w:rPr>
                <w:sz w:val="24"/>
                <w:szCs w:val="24"/>
              </w:rPr>
              <w:t>Latvijas</w:t>
            </w:r>
            <w:proofErr w:type="spellEnd"/>
            <w:r w:rsidRPr="00A77A73">
              <w:rPr>
                <w:sz w:val="24"/>
                <w:szCs w:val="24"/>
              </w:rPr>
              <w:t xml:space="preserve"> </w:t>
            </w:r>
            <w:proofErr w:type="spellStart"/>
            <w:r w:rsidRPr="00A77A73">
              <w:rPr>
                <w:sz w:val="24"/>
                <w:szCs w:val="24"/>
              </w:rPr>
              <w:t>Administratīvo</w:t>
            </w:r>
            <w:proofErr w:type="spellEnd"/>
            <w:r w:rsidRPr="00A77A73">
              <w:rPr>
                <w:sz w:val="24"/>
                <w:szCs w:val="24"/>
              </w:rPr>
              <w:t xml:space="preserve"> </w:t>
            </w:r>
            <w:proofErr w:type="spellStart"/>
            <w:r w:rsidRPr="00A77A73">
              <w:rPr>
                <w:sz w:val="24"/>
                <w:szCs w:val="24"/>
              </w:rPr>
              <w:t>pārkāpumu</w:t>
            </w:r>
            <w:proofErr w:type="spellEnd"/>
            <w:r w:rsidRPr="00A77A73">
              <w:rPr>
                <w:sz w:val="24"/>
                <w:szCs w:val="24"/>
              </w:rPr>
              <w:t xml:space="preserve"> </w:t>
            </w:r>
            <w:proofErr w:type="spellStart"/>
            <w:r w:rsidRPr="00A77A73">
              <w:rPr>
                <w:sz w:val="24"/>
                <w:szCs w:val="24"/>
              </w:rPr>
              <w:t>kodeksā</w:t>
            </w:r>
            <w:proofErr w:type="spellEnd"/>
            <w:r w:rsidRPr="00A77A73">
              <w:rPr>
                <w:sz w:val="24"/>
                <w:szCs w:val="24"/>
              </w:rPr>
              <w:t>.</w:t>
            </w:r>
            <w:r w:rsidR="008C3C00" w:rsidRPr="00A77A73">
              <w:rPr>
                <w:rFonts w:cs="Times New Roman"/>
                <w:bCs/>
                <w:sz w:val="24"/>
                <w:szCs w:val="24"/>
                <w:lang w:val="lv-LV" w:eastAsia="lv-LV" w:bidi="ar-SA"/>
              </w:rPr>
              <w:t xml:space="preserve"> </w:t>
            </w:r>
          </w:p>
          <w:p w:rsidR="008C3C00" w:rsidRPr="00A77A73" w:rsidRDefault="008C3C00" w:rsidP="00C47190">
            <w:pPr>
              <w:jc w:val="both"/>
              <w:rPr>
                <w:sz w:val="24"/>
                <w:szCs w:val="24"/>
                <w:lang w:val="lv-LV"/>
              </w:rPr>
            </w:pPr>
          </w:p>
          <w:p w:rsidR="00C47190" w:rsidRPr="00A77A73" w:rsidRDefault="00C47190" w:rsidP="00374248">
            <w:pPr>
              <w:pStyle w:val="ListParagraph"/>
              <w:ind w:left="569"/>
              <w:jc w:val="both"/>
              <w:rPr>
                <w:rFonts w:cs="Times New Roman"/>
                <w:sz w:val="24"/>
                <w:szCs w:val="24"/>
                <w:lang w:val="lv-LV" w:eastAsia="lv-LV"/>
              </w:rPr>
            </w:pPr>
          </w:p>
        </w:tc>
      </w:tr>
      <w:tr w:rsidR="005E202E" w:rsidRPr="00A77A73" w:rsidTr="00920416">
        <w:trPr>
          <w:trHeight w:val="408"/>
        </w:trPr>
        <w:tc>
          <w:tcPr>
            <w:tcW w:w="16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20416" w:rsidRPr="00A77A73" w:rsidRDefault="008C3C00" w:rsidP="00362F0D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A77A73">
              <w:rPr>
                <w:sz w:val="24"/>
                <w:szCs w:val="24"/>
              </w:rPr>
              <w:t xml:space="preserve">2. </w:t>
            </w:r>
            <w:proofErr w:type="spellStart"/>
            <w:r w:rsidRPr="00A77A73">
              <w:rPr>
                <w:sz w:val="24"/>
                <w:szCs w:val="24"/>
              </w:rPr>
              <w:t>Atbildīgā</w:t>
            </w:r>
            <w:proofErr w:type="spellEnd"/>
            <w:r w:rsidRPr="00A77A73">
              <w:rPr>
                <w:sz w:val="24"/>
                <w:szCs w:val="24"/>
              </w:rPr>
              <w:t xml:space="preserve"> </w:t>
            </w:r>
            <w:proofErr w:type="spellStart"/>
            <w:r w:rsidRPr="00A77A73">
              <w:rPr>
                <w:sz w:val="24"/>
                <w:szCs w:val="24"/>
              </w:rPr>
              <w:t>institūcija</w:t>
            </w:r>
            <w:proofErr w:type="spellEnd"/>
          </w:p>
        </w:tc>
        <w:tc>
          <w:tcPr>
            <w:tcW w:w="33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A7D49" w:rsidRPr="00A77A73" w:rsidRDefault="003A7D49" w:rsidP="003A7D49">
            <w:pPr>
              <w:jc w:val="both"/>
              <w:rPr>
                <w:sz w:val="24"/>
                <w:szCs w:val="24"/>
                <w:lang w:val="lv-LV"/>
              </w:rPr>
            </w:pPr>
            <w:r w:rsidRPr="00A77A73">
              <w:rPr>
                <w:sz w:val="24"/>
                <w:szCs w:val="24"/>
                <w:lang w:val="lv-LV"/>
              </w:rPr>
              <w:t>Nav.</w:t>
            </w:r>
          </w:p>
          <w:p w:rsidR="00920416" w:rsidRPr="00A77A73" w:rsidRDefault="00920416" w:rsidP="00362F0D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</w:p>
        </w:tc>
      </w:tr>
      <w:tr w:rsidR="00920416" w:rsidRPr="00A77A73" w:rsidTr="00920416">
        <w:trPr>
          <w:trHeight w:val="408"/>
        </w:trPr>
        <w:tc>
          <w:tcPr>
            <w:tcW w:w="16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20416" w:rsidRPr="00A77A73" w:rsidRDefault="00920416" w:rsidP="00362F0D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A77A73">
              <w:rPr>
                <w:rFonts w:cs="Times New Roman"/>
                <w:sz w:val="24"/>
                <w:szCs w:val="24"/>
                <w:lang w:val="lv-LV" w:eastAsia="lv-LV" w:bidi="ar-SA"/>
              </w:rPr>
              <w:t>3. Cita informācija</w:t>
            </w:r>
          </w:p>
        </w:tc>
        <w:tc>
          <w:tcPr>
            <w:tcW w:w="33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20416" w:rsidRPr="00A77A73" w:rsidRDefault="00920416" w:rsidP="00362F0D">
            <w:pPr>
              <w:spacing w:before="100" w:beforeAutospacing="1" w:after="100" w:afterAutospacing="1" w:line="360" w:lineRule="auto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A77A73">
              <w:rPr>
                <w:rFonts w:cs="Times New Roman"/>
                <w:sz w:val="24"/>
                <w:szCs w:val="24"/>
                <w:lang w:val="lv-LV" w:eastAsia="lv-LV" w:bidi="ar-SA"/>
              </w:rPr>
              <w:t>Nav</w:t>
            </w:r>
            <w:r w:rsidR="0009554B" w:rsidRPr="00A77A73">
              <w:rPr>
                <w:rFonts w:cs="Times New Roman"/>
                <w:sz w:val="24"/>
                <w:szCs w:val="24"/>
                <w:lang w:val="lv-LV" w:eastAsia="lv-LV" w:bidi="ar-SA"/>
              </w:rPr>
              <w:t>.</w:t>
            </w:r>
          </w:p>
        </w:tc>
      </w:tr>
    </w:tbl>
    <w:p w:rsidR="00920416" w:rsidRPr="00A77A73" w:rsidRDefault="00920416" w:rsidP="00920416">
      <w:pPr>
        <w:shd w:val="clear" w:color="auto" w:fill="FFFFFF"/>
        <w:rPr>
          <w:rFonts w:cs="Times New Roman"/>
          <w:sz w:val="24"/>
          <w:szCs w:val="24"/>
          <w:lang w:val="lv-LV" w:eastAsia="lv-LV" w:bidi="ar-SA"/>
        </w:rPr>
      </w:pPr>
    </w:p>
    <w:tbl>
      <w:tblPr>
        <w:tblW w:w="9141" w:type="dxa"/>
        <w:jc w:val="center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1"/>
        <w:gridCol w:w="6080"/>
      </w:tblGrid>
      <w:tr w:rsidR="005F56A5" w:rsidRPr="00A77A73" w:rsidTr="005F56A5">
        <w:trPr>
          <w:jc w:val="center"/>
        </w:trPr>
        <w:tc>
          <w:tcPr>
            <w:tcW w:w="3061" w:type="dxa"/>
            <w:shd w:val="clear" w:color="auto" w:fill="auto"/>
          </w:tcPr>
          <w:p w:rsidR="005F56A5" w:rsidRPr="00A77A73" w:rsidRDefault="005F56A5" w:rsidP="00AC105C">
            <w:pPr>
              <w:pStyle w:val="naisnod"/>
              <w:spacing w:before="0" w:after="0"/>
              <w:jc w:val="both"/>
            </w:pPr>
            <w:r w:rsidRPr="00A77A73">
              <w:t>V. Tiesību akta projekta atbilstība Latvijas Republikas starptautiskajām saistībām</w:t>
            </w:r>
          </w:p>
        </w:tc>
        <w:tc>
          <w:tcPr>
            <w:tcW w:w="6080" w:type="dxa"/>
            <w:shd w:val="clear" w:color="auto" w:fill="auto"/>
          </w:tcPr>
          <w:p w:rsidR="005F56A5" w:rsidRPr="00A77A73" w:rsidRDefault="005F56A5" w:rsidP="00AC105C">
            <w:pPr>
              <w:pStyle w:val="naisnod"/>
              <w:spacing w:before="0" w:after="0"/>
              <w:jc w:val="both"/>
              <w:rPr>
                <w:b w:val="0"/>
              </w:rPr>
            </w:pPr>
            <w:r w:rsidRPr="00A77A73">
              <w:rPr>
                <w:b w:val="0"/>
              </w:rPr>
              <w:t>Nav attiecināms</w:t>
            </w:r>
            <w:r w:rsidR="0009554B" w:rsidRPr="00A77A73">
              <w:rPr>
                <w:b w:val="0"/>
              </w:rPr>
              <w:t>.</w:t>
            </w:r>
          </w:p>
        </w:tc>
      </w:tr>
    </w:tbl>
    <w:p w:rsidR="005F56A5" w:rsidRPr="00A77A73" w:rsidRDefault="005F56A5" w:rsidP="00920416">
      <w:pPr>
        <w:shd w:val="clear" w:color="auto" w:fill="FFFFFF"/>
        <w:rPr>
          <w:rFonts w:cs="Times New Roman"/>
          <w:sz w:val="24"/>
          <w:szCs w:val="24"/>
          <w:lang w:val="lv-LV" w:eastAsia="lv-LV" w:bidi="ar-SA"/>
        </w:rPr>
      </w:pPr>
    </w:p>
    <w:tbl>
      <w:tblPr>
        <w:tblW w:w="9458" w:type="dxa"/>
        <w:jc w:val="center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2733"/>
        <w:gridCol w:w="6198"/>
      </w:tblGrid>
      <w:tr w:rsidR="005E202E" w:rsidRPr="00313F95" w:rsidTr="005F56A5">
        <w:trPr>
          <w:jc w:val="center"/>
        </w:trPr>
        <w:tc>
          <w:tcPr>
            <w:tcW w:w="9458" w:type="dxa"/>
            <w:gridSpan w:val="3"/>
          </w:tcPr>
          <w:p w:rsidR="005F56A5" w:rsidRPr="00A77A73" w:rsidRDefault="005F56A5" w:rsidP="00AC105C">
            <w:pPr>
              <w:pStyle w:val="naisnod"/>
              <w:spacing w:before="0" w:after="0"/>
              <w:ind w:left="57" w:right="57"/>
            </w:pPr>
            <w:r w:rsidRPr="00A77A73">
              <w:t>VI. Sabiedrības līdzdalība un šīs līdzdalības rezultāti</w:t>
            </w:r>
          </w:p>
        </w:tc>
      </w:tr>
      <w:tr w:rsidR="005E202E" w:rsidRPr="00313F95" w:rsidTr="005F56A5">
        <w:trPr>
          <w:trHeight w:val="553"/>
          <w:jc w:val="center"/>
        </w:trPr>
        <w:tc>
          <w:tcPr>
            <w:tcW w:w="527" w:type="dxa"/>
          </w:tcPr>
          <w:p w:rsidR="005F56A5" w:rsidRPr="00A77A73" w:rsidRDefault="005F56A5" w:rsidP="00AC105C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A77A73">
              <w:rPr>
                <w:bCs/>
              </w:rPr>
              <w:t>1.</w:t>
            </w:r>
          </w:p>
        </w:tc>
        <w:tc>
          <w:tcPr>
            <w:tcW w:w="2733" w:type="dxa"/>
          </w:tcPr>
          <w:p w:rsidR="005F56A5" w:rsidRPr="00A77A73" w:rsidRDefault="005F56A5" w:rsidP="00AC105C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 w:rsidRPr="00A77A73">
              <w:t>Sabiedrības informēšana par projekta izstrādes uzsākšanu</w:t>
            </w:r>
          </w:p>
        </w:tc>
        <w:tc>
          <w:tcPr>
            <w:tcW w:w="6198" w:type="dxa"/>
          </w:tcPr>
          <w:p w:rsidR="005F56A5" w:rsidRPr="00A77A73" w:rsidRDefault="008C3C00" w:rsidP="005922FD">
            <w:pPr>
              <w:pStyle w:val="naiskr"/>
              <w:spacing w:before="0" w:after="0"/>
              <w:ind w:left="57" w:right="57"/>
              <w:jc w:val="both"/>
            </w:pPr>
            <w:r w:rsidRPr="00A77A73">
              <w:t xml:space="preserve">Likumprojekts pieejams sabiedrībai </w:t>
            </w:r>
            <w:r w:rsidR="005922FD" w:rsidRPr="00A77A73">
              <w:t>Aizsardzības ministrijas</w:t>
            </w:r>
            <w:r w:rsidRPr="00A77A73">
              <w:t xml:space="preserve"> </w:t>
            </w:r>
            <w:proofErr w:type="spellStart"/>
            <w:r w:rsidRPr="00A77A73">
              <w:t>mājaslapā</w:t>
            </w:r>
            <w:proofErr w:type="spellEnd"/>
            <w:r w:rsidR="005922FD" w:rsidRPr="00A77A73">
              <w:t xml:space="preserve"> sadaļā „Sabiedrības līdzdalība”</w:t>
            </w:r>
            <w:r w:rsidRPr="00A77A73">
              <w:t>.</w:t>
            </w:r>
          </w:p>
        </w:tc>
      </w:tr>
      <w:tr w:rsidR="005E202E" w:rsidRPr="00A77A73" w:rsidTr="005F56A5">
        <w:trPr>
          <w:trHeight w:val="339"/>
          <w:jc w:val="center"/>
        </w:trPr>
        <w:tc>
          <w:tcPr>
            <w:tcW w:w="527" w:type="dxa"/>
          </w:tcPr>
          <w:p w:rsidR="005F56A5" w:rsidRPr="00A77A73" w:rsidRDefault="005F56A5" w:rsidP="00AC105C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A77A73">
              <w:rPr>
                <w:bCs/>
              </w:rPr>
              <w:t>2.</w:t>
            </w:r>
          </w:p>
        </w:tc>
        <w:tc>
          <w:tcPr>
            <w:tcW w:w="2733" w:type="dxa"/>
          </w:tcPr>
          <w:p w:rsidR="005F56A5" w:rsidRPr="00A77A73" w:rsidRDefault="005F56A5" w:rsidP="00AC105C">
            <w:pPr>
              <w:pStyle w:val="naiskr"/>
              <w:spacing w:before="0" w:after="0"/>
              <w:ind w:left="57" w:right="57"/>
            </w:pPr>
            <w:r w:rsidRPr="00A77A73">
              <w:t xml:space="preserve">Sabiedrības līdzdalība projekta izstrādē </w:t>
            </w:r>
          </w:p>
        </w:tc>
        <w:tc>
          <w:tcPr>
            <w:tcW w:w="6198" w:type="dxa"/>
          </w:tcPr>
          <w:p w:rsidR="005F56A5" w:rsidRPr="00A77A73" w:rsidRDefault="00374248" w:rsidP="006046C9">
            <w:pPr>
              <w:pStyle w:val="naiskr"/>
              <w:spacing w:before="0" w:after="0"/>
              <w:ind w:left="57" w:right="57"/>
              <w:jc w:val="both"/>
            </w:pPr>
            <w:r w:rsidRPr="00A77A73">
              <w:rPr>
                <w:iCs/>
              </w:rPr>
              <w:t>Nav attiecināms</w:t>
            </w:r>
            <w:r w:rsidR="0009554B" w:rsidRPr="00A77A73">
              <w:rPr>
                <w:iCs/>
              </w:rPr>
              <w:t>.</w:t>
            </w:r>
          </w:p>
        </w:tc>
      </w:tr>
      <w:tr w:rsidR="005E202E" w:rsidRPr="00A77A73" w:rsidTr="005F56A5">
        <w:trPr>
          <w:trHeight w:val="375"/>
          <w:jc w:val="center"/>
        </w:trPr>
        <w:tc>
          <w:tcPr>
            <w:tcW w:w="527" w:type="dxa"/>
          </w:tcPr>
          <w:p w:rsidR="005F56A5" w:rsidRPr="00A77A73" w:rsidRDefault="005F56A5" w:rsidP="00AC105C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A77A73">
              <w:rPr>
                <w:bCs/>
              </w:rPr>
              <w:t>3.</w:t>
            </w:r>
          </w:p>
        </w:tc>
        <w:tc>
          <w:tcPr>
            <w:tcW w:w="2733" w:type="dxa"/>
          </w:tcPr>
          <w:p w:rsidR="005F56A5" w:rsidRPr="00A77A73" w:rsidRDefault="005F56A5" w:rsidP="00AC105C">
            <w:pPr>
              <w:pStyle w:val="naiskr"/>
              <w:spacing w:before="0" w:after="0"/>
              <w:ind w:left="57" w:right="57"/>
            </w:pPr>
            <w:r w:rsidRPr="00A77A73">
              <w:t xml:space="preserve">Sabiedrības līdzdalības rezultāti </w:t>
            </w:r>
          </w:p>
        </w:tc>
        <w:tc>
          <w:tcPr>
            <w:tcW w:w="6198" w:type="dxa"/>
          </w:tcPr>
          <w:p w:rsidR="005F56A5" w:rsidRPr="00A77A73" w:rsidRDefault="005F56A5" w:rsidP="00AC105C">
            <w:pPr>
              <w:pStyle w:val="naiskr"/>
              <w:spacing w:before="0" w:after="0"/>
              <w:ind w:left="57" w:right="57"/>
              <w:jc w:val="both"/>
            </w:pPr>
            <w:r w:rsidRPr="00A77A73">
              <w:rPr>
                <w:iCs/>
              </w:rPr>
              <w:t>Nav attiecināms</w:t>
            </w:r>
            <w:r w:rsidR="0009554B" w:rsidRPr="00A77A73">
              <w:rPr>
                <w:iCs/>
              </w:rPr>
              <w:t>.</w:t>
            </w:r>
          </w:p>
        </w:tc>
      </w:tr>
      <w:tr w:rsidR="005E202E" w:rsidRPr="00A77A73" w:rsidTr="005F56A5">
        <w:trPr>
          <w:trHeight w:val="397"/>
          <w:jc w:val="center"/>
        </w:trPr>
        <w:tc>
          <w:tcPr>
            <w:tcW w:w="527" w:type="dxa"/>
          </w:tcPr>
          <w:p w:rsidR="005F56A5" w:rsidRPr="00A77A73" w:rsidRDefault="005F56A5" w:rsidP="00AC105C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A77A73">
              <w:rPr>
                <w:bCs/>
              </w:rPr>
              <w:t>4.</w:t>
            </w:r>
          </w:p>
        </w:tc>
        <w:tc>
          <w:tcPr>
            <w:tcW w:w="2733" w:type="dxa"/>
          </w:tcPr>
          <w:p w:rsidR="005F56A5" w:rsidRPr="00A77A73" w:rsidRDefault="005F56A5" w:rsidP="00AC105C">
            <w:pPr>
              <w:pStyle w:val="naiskr"/>
              <w:spacing w:before="0" w:after="0"/>
              <w:ind w:left="57" w:right="57"/>
            </w:pPr>
            <w:r w:rsidRPr="00A77A73">
              <w:t>Saeimas un ekspertu līdzdalība</w:t>
            </w:r>
          </w:p>
        </w:tc>
        <w:tc>
          <w:tcPr>
            <w:tcW w:w="6198" w:type="dxa"/>
          </w:tcPr>
          <w:p w:rsidR="005F56A5" w:rsidRPr="00A77A73" w:rsidRDefault="005F56A5" w:rsidP="00AC105C">
            <w:pPr>
              <w:pStyle w:val="naiskr"/>
              <w:spacing w:before="0" w:after="0"/>
              <w:ind w:left="57" w:right="57"/>
              <w:jc w:val="both"/>
            </w:pPr>
            <w:r w:rsidRPr="00A77A73">
              <w:rPr>
                <w:iCs/>
              </w:rPr>
              <w:t>Nav attiecināms</w:t>
            </w:r>
            <w:r w:rsidR="0009554B" w:rsidRPr="00A77A73">
              <w:rPr>
                <w:iCs/>
              </w:rPr>
              <w:t>.</w:t>
            </w:r>
          </w:p>
        </w:tc>
      </w:tr>
      <w:tr w:rsidR="005E202E" w:rsidRPr="00313F95" w:rsidTr="005F56A5">
        <w:trPr>
          <w:trHeight w:val="476"/>
          <w:jc w:val="center"/>
        </w:trPr>
        <w:tc>
          <w:tcPr>
            <w:tcW w:w="527" w:type="dxa"/>
          </w:tcPr>
          <w:p w:rsidR="005F56A5" w:rsidRPr="00A77A73" w:rsidRDefault="005F56A5" w:rsidP="00AC105C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A77A73">
              <w:rPr>
                <w:bCs/>
              </w:rPr>
              <w:t>5.</w:t>
            </w:r>
          </w:p>
        </w:tc>
        <w:tc>
          <w:tcPr>
            <w:tcW w:w="2733" w:type="dxa"/>
          </w:tcPr>
          <w:p w:rsidR="005F56A5" w:rsidRPr="00A77A73" w:rsidRDefault="005F56A5" w:rsidP="00AC105C">
            <w:pPr>
              <w:pStyle w:val="naiskr"/>
              <w:spacing w:before="0" w:after="0"/>
              <w:ind w:left="57" w:right="57"/>
            </w:pPr>
            <w:r w:rsidRPr="00A77A73">
              <w:t>Cita informācija</w:t>
            </w:r>
          </w:p>
          <w:p w:rsidR="005F56A5" w:rsidRPr="00A77A73" w:rsidRDefault="005F56A5" w:rsidP="00AC105C">
            <w:pPr>
              <w:pStyle w:val="naiskr"/>
              <w:spacing w:before="0" w:after="0"/>
              <w:ind w:left="57" w:right="57"/>
            </w:pPr>
          </w:p>
        </w:tc>
        <w:tc>
          <w:tcPr>
            <w:tcW w:w="6198" w:type="dxa"/>
          </w:tcPr>
          <w:p w:rsidR="005F56A5" w:rsidRPr="00A77A73" w:rsidRDefault="005922FD" w:rsidP="00C039CD">
            <w:pPr>
              <w:pStyle w:val="naiskr"/>
              <w:spacing w:before="0" w:after="0"/>
              <w:ind w:left="57" w:right="57"/>
              <w:jc w:val="both"/>
            </w:pPr>
            <w:r w:rsidRPr="00A77A73">
              <w:t xml:space="preserve">Sabiedrība pēc normatīvā akta pieņemšanas tiks informēta ar publikāciju laikrakstā "Latvijas Vēstnesis", </w:t>
            </w:r>
            <w:r w:rsidR="00907795" w:rsidRPr="00A77A73">
              <w:t>publikācija</w:t>
            </w:r>
            <w:r w:rsidRPr="00A77A73">
              <w:t xml:space="preserve"> tiks ievietota bezmaksas normatīvo aktu datubāzē </w:t>
            </w:r>
            <w:proofErr w:type="spellStart"/>
            <w:r w:rsidRPr="00A77A73">
              <w:rPr>
                <w:rFonts w:eastAsia="Calibri"/>
                <w:i/>
              </w:rPr>
              <w:t>www.likumi.lv</w:t>
            </w:r>
            <w:proofErr w:type="spellEnd"/>
            <w:r w:rsidRPr="00A77A73">
              <w:t>.</w:t>
            </w:r>
          </w:p>
        </w:tc>
      </w:tr>
    </w:tbl>
    <w:p w:rsidR="005F56A5" w:rsidRPr="00A77A73" w:rsidRDefault="005F56A5" w:rsidP="00920416">
      <w:pPr>
        <w:shd w:val="clear" w:color="auto" w:fill="FFFFFF"/>
        <w:rPr>
          <w:rFonts w:cs="Times New Roman"/>
          <w:sz w:val="24"/>
          <w:szCs w:val="24"/>
          <w:lang w:val="lv-LV" w:eastAsia="lv-LV" w:bidi="ar-SA"/>
        </w:rPr>
      </w:pPr>
    </w:p>
    <w:p w:rsidR="005F56A5" w:rsidRPr="00A77A73" w:rsidRDefault="005F56A5" w:rsidP="00920416">
      <w:pPr>
        <w:shd w:val="clear" w:color="auto" w:fill="FFFFFF"/>
        <w:rPr>
          <w:rFonts w:cs="Times New Roman"/>
          <w:sz w:val="24"/>
          <w:szCs w:val="24"/>
          <w:lang w:val="lv-LV" w:eastAsia="lv-LV" w:bidi="ar-SA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1"/>
        <w:gridCol w:w="3428"/>
        <w:gridCol w:w="5142"/>
      </w:tblGrid>
      <w:tr w:rsidR="005E202E" w:rsidRPr="00313F95" w:rsidTr="00DA55F2">
        <w:trPr>
          <w:trHeight w:val="30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A55F2" w:rsidRPr="00A77A73" w:rsidRDefault="00DA55F2" w:rsidP="00DA55F2">
            <w:pPr>
              <w:spacing w:before="100" w:beforeAutospacing="1" w:after="100" w:afterAutospacing="1" w:line="315" w:lineRule="atLeast"/>
              <w:jc w:val="center"/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</w:pPr>
            <w:r w:rsidRPr="00A77A73"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  <w:t>VII. Tiesību akta projekta izpildes nodrošināšana un tās ietekme uz institūcijām</w:t>
            </w:r>
          </w:p>
        </w:tc>
      </w:tr>
      <w:tr w:rsidR="005E202E" w:rsidRPr="00A77A73" w:rsidTr="00DA55F2">
        <w:trPr>
          <w:trHeight w:val="336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A77A73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A77A73">
              <w:rPr>
                <w:rFonts w:cs="Times New Roman"/>
                <w:sz w:val="24"/>
                <w:szCs w:val="24"/>
                <w:lang w:val="lv-LV" w:eastAsia="lv-LV" w:bidi="ar-SA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A77A73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A77A73">
              <w:rPr>
                <w:rFonts w:cs="Times New Roman"/>
                <w:sz w:val="24"/>
                <w:szCs w:val="24"/>
                <w:lang w:val="lv-LV" w:eastAsia="lv-LV" w:bidi="ar-SA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A77A73" w:rsidRDefault="002245D3" w:rsidP="00374248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A77A73">
              <w:rPr>
                <w:rFonts w:cs="Times New Roman"/>
                <w:sz w:val="24"/>
                <w:szCs w:val="24"/>
                <w:lang w:val="lv-LV" w:eastAsia="lv-LV" w:bidi="ar-SA"/>
              </w:rPr>
              <w:t>Nacionālie bruņotie spēki</w:t>
            </w:r>
            <w:r w:rsidR="000069AB" w:rsidRPr="00A77A73">
              <w:rPr>
                <w:rFonts w:cs="Times New Roman"/>
                <w:sz w:val="24"/>
                <w:szCs w:val="24"/>
                <w:lang w:val="lv-LV" w:eastAsia="lv-LV" w:bidi="ar-SA"/>
              </w:rPr>
              <w:t>, Valsts robežsardze.</w:t>
            </w:r>
          </w:p>
        </w:tc>
      </w:tr>
      <w:tr w:rsidR="005E202E" w:rsidRPr="00A77A73" w:rsidTr="00DA55F2">
        <w:trPr>
          <w:trHeight w:val="36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A77A73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A77A73">
              <w:rPr>
                <w:rFonts w:cs="Times New Roman"/>
                <w:sz w:val="24"/>
                <w:szCs w:val="24"/>
                <w:lang w:val="lv-LV" w:eastAsia="lv-LV" w:bidi="ar-SA"/>
              </w:rPr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A77A73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A77A73">
              <w:rPr>
                <w:rFonts w:cs="Times New Roman"/>
                <w:sz w:val="24"/>
                <w:szCs w:val="24"/>
                <w:lang w:val="lv-LV" w:eastAsia="lv-LV" w:bidi="ar-SA"/>
              </w:rPr>
              <w:t>Projekta izpildes ietekme uz pārvaldes funkcijām un institucionālo struktūru.</w:t>
            </w:r>
          </w:p>
          <w:p w:rsidR="00DA55F2" w:rsidRPr="00A77A73" w:rsidRDefault="00DA55F2" w:rsidP="00DA55F2">
            <w:pPr>
              <w:spacing w:before="100" w:beforeAutospacing="1" w:after="100" w:afterAutospacing="1" w:line="315" w:lineRule="atLeast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A77A73">
              <w:rPr>
                <w:rFonts w:cs="Times New Roman"/>
                <w:sz w:val="24"/>
                <w:szCs w:val="24"/>
                <w:lang w:val="lv-LV" w:eastAsia="lv-LV" w:bidi="ar-SA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0703" w:rsidRPr="00A77A73" w:rsidRDefault="00B42912" w:rsidP="009213E1">
            <w:pPr>
              <w:jc w:val="both"/>
              <w:rPr>
                <w:sz w:val="24"/>
                <w:szCs w:val="24"/>
                <w:lang w:val="lv-LV"/>
              </w:rPr>
            </w:pPr>
            <w:r w:rsidRPr="00A77A73">
              <w:rPr>
                <w:sz w:val="24"/>
                <w:szCs w:val="24"/>
                <w:lang w:val="lv-LV"/>
              </w:rPr>
              <w:t>Projekta izpilde notiks esošo pārvaldes funkciju ietvaros.</w:t>
            </w:r>
          </w:p>
          <w:p w:rsidR="008C3C00" w:rsidRPr="00A77A73" w:rsidRDefault="008C3C00" w:rsidP="000F52ED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</w:p>
        </w:tc>
      </w:tr>
      <w:tr w:rsidR="00DA55F2" w:rsidRPr="00A77A73" w:rsidTr="00DA55F2">
        <w:trPr>
          <w:trHeight w:val="31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A77A73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A77A73">
              <w:rPr>
                <w:rFonts w:cs="Times New Roman"/>
                <w:sz w:val="24"/>
                <w:szCs w:val="24"/>
                <w:lang w:val="lv-LV" w:eastAsia="lv-LV" w:bidi="ar-SA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A77A73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A77A73">
              <w:rPr>
                <w:rFonts w:cs="Times New Roman"/>
                <w:sz w:val="24"/>
                <w:szCs w:val="24"/>
                <w:lang w:val="lv-LV" w:eastAsia="lv-LV" w:bidi="ar-SA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A77A73" w:rsidRDefault="00DA55F2" w:rsidP="00DA55F2">
            <w:pPr>
              <w:spacing w:before="100" w:beforeAutospacing="1" w:after="100" w:afterAutospacing="1" w:line="315" w:lineRule="atLeast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A77A73">
              <w:rPr>
                <w:rFonts w:cs="Times New Roman"/>
                <w:sz w:val="24"/>
                <w:szCs w:val="24"/>
                <w:lang w:val="lv-LV" w:eastAsia="lv-LV" w:bidi="ar-SA"/>
              </w:rPr>
              <w:t>Nav.</w:t>
            </w:r>
          </w:p>
        </w:tc>
      </w:tr>
    </w:tbl>
    <w:p w:rsidR="0026236D" w:rsidRPr="00A77A73" w:rsidRDefault="0026236D">
      <w:pPr>
        <w:rPr>
          <w:rFonts w:cs="Times New Roman"/>
          <w:sz w:val="24"/>
          <w:szCs w:val="24"/>
          <w:lang w:val="lv-LV"/>
        </w:rPr>
      </w:pPr>
    </w:p>
    <w:p w:rsidR="004600D1" w:rsidRPr="00A77A73" w:rsidRDefault="004600D1" w:rsidP="00DD0703">
      <w:pPr>
        <w:tabs>
          <w:tab w:val="right" w:pos="9074"/>
        </w:tabs>
        <w:rPr>
          <w:iCs/>
          <w:sz w:val="24"/>
          <w:szCs w:val="24"/>
        </w:rPr>
      </w:pPr>
    </w:p>
    <w:p w:rsidR="005F56A5" w:rsidRPr="00A77A73" w:rsidRDefault="005F56A5" w:rsidP="00DD0703">
      <w:pPr>
        <w:tabs>
          <w:tab w:val="right" w:pos="9074"/>
        </w:tabs>
        <w:rPr>
          <w:rFonts w:cs="Times New Roman"/>
          <w:sz w:val="24"/>
          <w:szCs w:val="24"/>
          <w:lang w:val="lv-LV"/>
        </w:rPr>
      </w:pPr>
    </w:p>
    <w:p w:rsidR="00DD0703" w:rsidRPr="00A77A73" w:rsidRDefault="00DD0703" w:rsidP="00DD0703">
      <w:pPr>
        <w:tabs>
          <w:tab w:val="right" w:pos="9074"/>
        </w:tabs>
        <w:rPr>
          <w:rFonts w:cs="Times New Roman"/>
          <w:sz w:val="24"/>
          <w:szCs w:val="24"/>
          <w:lang w:val="lv-LV"/>
        </w:rPr>
      </w:pPr>
      <w:r w:rsidRPr="00A77A73">
        <w:rPr>
          <w:rFonts w:cs="Times New Roman"/>
          <w:sz w:val="24"/>
          <w:szCs w:val="24"/>
          <w:lang w:val="lv-LV"/>
        </w:rPr>
        <w:t>Aizsardzības ministrs</w:t>
      </w:r>
      <w:r w:rsidRPr="00A77A73">
        <w:rPr>
          <w:rFonts w:cs="Times New Roman"/>
          <w:sz w:val="24"/>
          <w:szCs w:val="24"/>
          <w:lang w:val="lv-LV"/>
        </w:rPr>
        <w:tab/>
      </w:r>
      <w:r w:rsidR="004600D1" w:rsidRPr="00A77A73">
        <w:rPr>
          <w:rFonts w:cs="Times New Roman"/>
          <w:sz w:val="24"/>
          <w:szCs w:val="24"/>
          <w:lang w:val="lv-LV"/>
        </w:rPr>
        <w:t>R.</w:t>
      </w:r>
      <w:r w:rsidR="000804EA" w:rsidRPr="00A77A73">
        <w:rPr>
          <w:rFonts w:cs="Times New Roman"/>
          <w:sz w:val="24"/>
          <w:szCs w:val="24"/>
          <w:lang w:val="lv-LV"/>
        </w:rPr>
        <w:t> </w:t>
      </w:r>
      <w:proofErr w:type="spellStart"/>
      <w:r w:rsidR="004600D1" w:rsidRPr="00A77A73">
        <w:rPr>
          <w:rFonts w:cs="Times New Roman"/>
          <w:sz w:val="24"/>
          <w:szCs w:val="24"/>
          <w:lang w:val="lv-LV"/>
        </w:rPr>
        <w:t>Vējonis</w:t>
      </w:r>
      <w:proofErr w:type="spellEnd"/>
    </w:p>
    <w:p w:rsidR="004600D1" w:rsidRPr="00A77A73" w:rsidRDefault="004600D1" w:rsidP="00DD0703">
      <w:pPr>
        <w:tabs>
          <w:tab w:val="right" w:pos="9000"/>
        </w:tabs>
        <w:jc w:val="both"/>
        <w:rPr>
          <w:rFonts w:cs="Times New Roman"/>
          <w:sz w:val="24"/>
          <w:szCs w:val="24"/>
          <w:lang w:val="lv-LV"/>
        </w:rPr>
      </w:pPr>
    </w:p>
    <w:p w:rsidR="004600D1" w:rsidRPr="00A77A73" w:rsidRDefault="004600D1" w:rsidP="00DD0703">
      <w:pPr>
        <w:tabs>
          <w:tab w:val="right" w:pos="9000"/>
        </w:tabs>
        <w:jc w:val="both"/>
        <w:rPr>
          <w:rFonts w:cs="Times New Roman"/>
          <w:sz w:val="24"/>
          <w:szCs w:val="24"/>
          <w:lang w:val="lv-LV"/>
        </w:rPr>
      </w:pPr>
    </w:p>
    <w:p w:rsidR="00DD0703" w:rsidRPr="00A77A73" w:rsidRDefault="00DD0703" w:rsidP="00DD0703">
      <w:pPr>
        <w:tabs>
          <w:tab w:val="right" w:pos="9000"/>
        </w:tabs>
        <w:jc w:val="both"/>
        <w:rPr>
          <w:rFonts w:cs="Times New Roman"/>
          <w:sz w:val="24"/>
          <w:szCs w:val="24"/>
          <w:lang w:val="lv-LV"/>
        </w:rPr>
      </w:pPr>
      <w:r w:rsidRPr="00A77A73">
        <w:rPr>
          <w:rFonts w:cs="Times New Roman"/>
          <w:sz w:val="24"/>
          <w:szCs w:val="24"/>
          <w:lang w:val="lv-LV"/>
        </w:rPr>
        <w:t>Vīza: valsts sekretārs</w:t>
      </w:r>
      <w:r w:rsidRPr="00A77A73">
        <w:rPr>
          <w:rFonts w:cs="Times New Roman"/>
          <w:sz w:val="24"/>
          <w:szCs w:val="24"/>
          <w:lang w:val="lv-LV"/>
        </w:rPr>
        <w:tab/>
        <w:t>J.</w:t>
      </w:r>
      <w:r w:rsidR="000804EA" w:rsidRPr="00A77A73">
        <w:rPr>
          <w:rFonts w:cs="Times New Roman"/>
          <w:sz w:val="24"/>
          <w:szCs w:val="24"/>
          <w:lang w:val="lv-LV"/>
        </w:rPr>
        <w:t> </w:t>
      </w:r>
      <w:r w:rsidRPr="00A77A73">
        <w:rPr>
          <w:rFonts w:cs="Times New Roman"/>
          <w:sz w:val="24"/>
          <w:szCs w:val="24"/>
          <w:lang w:val="lv-LV"/>
        </w:rPr>
        <w:t>Sārts</w:t>
      </w:r>
    </w:p>
    <w:p w:rsidR="00085A58" w:rsidRPr="00A77A73" w:rsidRDefault="00085A58" w:rsidP="00085A58">
      <w:pPr>
        <w:rPr>
          <w:rFonts w:cs="Times New Roman"/>
          <w:sz w:val="24"/>
          <w:szCs w:val="24"/>
          <w:lang w:val="lv-LV" w:eastAsia="lv-LV" w:bidi="ar-SA"/>
        </w:rPr>
      </w:pPr>
    </w:p>
    <w:p w:rsidR="002245D3" w:rsidRPr="00A77A73" w:rsidRDefault="002245D3" w:rsidP="002245D3">
      <w:pPr>
        <w:pStyle w:val="naisf"/>
        <w:tabs>
          <w:tab w:val="right" w:pos="8280"/>
        </w:tabs>
        <w:spacing w:before="0" w:after="0"/>
        <w:ind w:firstLine="0"/>
      </w:pPr>
    </w:p>
    <w:p w:rsidR="007C6754" w:rsidRPr="00A77A73" w:rsidRDefault="00901788" w:rsidP="007C6754">
      <w:pPr>
        <w:rPr>
          <w:rFonts w:cs="Times New Roman"/>
          <w:bCs/>
          <w:sz w:val="24"/>
          <w:szCs w:val="24"/>
          <w:lang w:val="lv-LV" w:eastAsia="lv-LV"/>
        </w:rPr>
      </w:pPr>
      <w:r>
        <w:rPr>
          <w:rFonts w:cs="Times New Roman"/>
          <w:bCs/>
          <w:sz w:val="24"/>
          <w:szCs w:val="24"/>
          <w:lang w:val="lv-LV" w:eastAsia="lv-LV"/>
        </w:rPr>
        <w:t>06</w:t>
      </w:r>
      <w:r w:rsidR="007C6754" w:rsidRPr="00A77A73">
        <w:rPr>
          <w:rFonts w:cs="Times New Roman"/>
          <w:bCs/>
          <w:sz w:val="24"/>
          <w:szCs w:val="24"/>
          <w:lang w:val="lv-LV" w:eastAsia="lv-LV"/>
        </w:rPr>
        <w:t>.</w:t>
      </w:r>
      <w:r>
        <w:rPr>
          <w:rFonts w:cs="Times New Roman"/>
          <w:bCs/>
          <w:sz w:val="24"/>
          <w:szCs w:val="24"/>
          <w:lang w:val="lv-LV" w:eastAsia="lv-LV"/>
        </w:rPr>
        <w:t>03.2015</w:t>
      </w:r>
      <w:r w:rsidR="007C6754" w:rsidRPr="00A77A73">
        <w:rPr>
          <w:rFonts w:cs="Times New Roman"/>
          <w:bCs/>
          <w:sz w:val="24"/>
          <w:szCs w:val="24"/>
          <w:lang w:val="lv-LV" w:eastAsia="lv-LV"/>
        </w:rPr>
        <w:t xml:space="preserve">. </w:t>
      </w:r>
      <w:r>
        <w:rPr>
          <w:rFonts w:cs="Times New Roman"/>
          <w:bCs/>
          <w:sz w:val="24"/>
          <w:szCs w:val="24"/>
          <w:lang w:val="lv-LV" w:eastAsia="lv-LV"/>
        </w:rPr>
        <w:t>13:08</w:t>
      </w:r>
      <w:bookmarkStart w:id="2" w:name="_GoBack"/>
      <w:bookmarkEnd w:id="2"/>
    </w:p>
    <w:p w:rsidR="00F5585A" w:rsidRPr="00A77A73" w:rsidRDefault="00901788" w:rsidP="00374248">
      <w:pPr>
        <w:rPr>
          <w:sz w:val="24"/>
          <w:szCs w:val="24"/>
          <w:lang w:val="lv-LV"/>
        </w:rPr>
      </w:pPr>
      <w:r>
        <w:rPr>
          <w:rFonts w:cs="Times New Roman"/>
          <w:bCs/>
          <w:sz w:val="24"/>
          <w:szCs w:val="24"/>
          <w:lang w:val="lv-LV" w:eastAsia="lv-LV"/>
        </w:rPr>
        <w:t>1008</w:t>
      </w:r>
    </w:p>
    <w:p w:rsidR="007C6754" w:rsidRPr="00A77A73" w:rsidRDefault="007C6754" w:rsidP="007C6754">
      <w:pPr>
        <w:jc w:val="both"/>
        <w:rPr>
          <w:sz w:val="24"/>
          <w:szCs w:val="24"/>
          <w:lang w:val="lv-LV"/>
        </w:rPr>
      </w:pPr>
      <w:r w:rsidRPr="00A77A73">
        <w:rPr>
          <w:sz w:val="24"/>
          <w:szCs w:val="24"/>
          <w:lang w:val="lv-LV"/>
        </w:rPr>
        <w:t>E.Svarenieks 6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7335029"/>
          </w:smartTagPr>
          <w:r w:rsidRPr="00A77A73">
            <w:rPr>
              <w:sz w:val="24"/>
              <w:szCs w:val="24"/>
              <w:lang w:val="lv-LV"/>
            </w:rPr>
            <w:t>7335029</w:t>
          </w:r>
        </w:smartTag>
      </w:smartTag>
    </w:p>
    <w:p w:rsidR="007C6754" w:rsidRPr="00A77A73" w:rsidRDefault="00C05D0D" w:rsidP="007C6754">
      <w:pPr>
        <w:jc w:val="both"/>
        <w:rPr>
          <w:sz w:val="24"/>
          <w:szCs w:val="24"/>
          <w:lang w:val="lv-LV"/>
        </w:rPr>
      </w:pPr>
      <w:hyperlink r:id="rId9" w:history="1">
        <w:r w:rsidR="00F5585A" w:rsidRPr="00A77A73">
          <w:rPr>
            <w:rStyle w:val="Hyperlink"/>
            <w:color w:val="auto"/>
            <w:sz w:val="24"/>
            <w:szCs w:val="24"/>
            <w:lang w:val="lv-LV"/>
          </w:rPr>
          <w:t>edgars.svarenieks@mod.gov.lv</w:t>
        </w:r>
      </w:hyperlink>
    </w:p>
    <w:p w:rsidR="00DD0703" w:rsidRPr="00A77A73" w:rsidRDefault="00DD0703" w:rsidP="007C6754">
      <w:pPr>
        <w:rPr>
          <w:rFonts w:cs="Times New Roman"/>
          <w:sz w:val="24"/>
          <w:szCs w:val="24"/>
          <w:lang w:val="lv-LV"/>
        </w:rPr>
      </w:pPr>
    </w:p>
    <w:sectPr w:rsidR="00DD0703" w:rsidRPr="00A77A73" w:rsidSect="00693DBF">
      <w:headerReference w:type="default" r:id="rId10"/>
      <w:footerReference w:type="default" r:id="rId11"/>
      <w:pgSz w:w="11906" w:h="16838"/>
      <w:pgMar w:top="1440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D0D" w:rsidRDefault="00C05D0D" w:rsidP="00793251">
      <w:r>
        <w:separator/>
      </w:r>
    </w:p>
  </w:endnote>
  <w:endnote w:type="continuationSeparator" w:id="0">
    <w:p w:rsidR="00C05D0D" w:rsidRDefault="00C05D0D" w:rsidP="0079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377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585A" w:rsidRPr="00374248" w:rsidRDefault="00F5585A" w:rsidP="009D771A">
        <w:pPr>
          <w:pStyle w:val="Footer"/>
          <w:jc w:val="right"/>
        </w:pPr>
        <w:r w:rsidRPr="00374248">
          <w:fldChar w:fldCharType="begin"/>
        </w:r>
        <w:r w:rsidRPr="00374248">
          <w:instrText xml:space="preserve"> PAGE   \* MERGEFORMAT </w:instrText>
        </w:r>
        <w:r w:rsidRPr="00374248">
          <w:fldChar w:fldCharType="separate"/>
        </w:r>
        <w:r w:rsidR="00901788">
          <w:rPr>
            <w:noProof/>
          </w:rPr>
          <w:t>2</w:t>
        </w:r>
        <w:r w:rsidRPr="00374248">
          <w:rPr>
            <w:noProof/>
          </w:rPr>
          <w:fldChar w:fldCharType="end"/>
        </w:r>
      </w:p>
    </w:sdtContent>
  </w:sdt>
  <w:p w:rsidR="00793251" w:rsidRPr="00977504" w:rsidRDefault="009D771A" w:rsidP="00977504">
    <w:pPr>
      <w:jc w:val="both"/>
      <w:rPr>
        <w:bCs/>
        <w:sz w:val="16"/>
        <w:szCs w:val="16"/>
        <w:lang w:val="lv-LV" w:eastAsia="lv-LV"/>
      </w:rPr>
    </w:pPr>
    <w:r w:rsidRPr="00977504">
      <w:rPr>
        <w:bCs/>
        <w:sz w:val="16"/>
        <w:szCs w:val="16"/>
        <w:lang w:val="lv-LV" w:eastAsia="lv-LV"/>
      </w:rPr>
      <w:t>AIManot_</w:t>
    </w:r>
    <w:r w:rsidR="00374248" w:rsidRPr="00977504">
      <w:rPr>
        <w:bCs/>
        <w:sz w:val="16"/>
        <w:szCs w:val="16"/>
        <w:lang w:val="lv-LV" w:eastAsia="lv-LV"/>
      </w:rPr>
      <w:t>1</w:t>
    </w:r>
    <w:r w:rsidR="00977504" w:rsidRPr="00977504">
      <w:rPr>
        <w:bCs/>
        <w:sz w:val="16"/>
        <w:szCs w:val="16"/>
        <w:lang w:val="lv-LV" w:eastAsia="lv-LV"/>
      </w:rPr>
      <w:t>1</w:t>
    </w:r>
    <w:r w:rsidRPr="00977504">
      <w:rPr>
        <w:bCs/>
        <w:sz w:val="16"/>
        <w:szCs w:val="16"/>
        <w:lang w:val="lv-LV" w:eastAsia="lv-LV"/>
      </w:rPr>
      <w:t xml:space="preserve">1014 </w:t>
    </w:r>
    <w:r w:rsidR="00977504" w:rsidRPr="00977504">
      <w:rPr>
        <w:bCs/>
        <w:sz w:val="16"/>
        <w:szCs w:val="16"/>
        <w:lang w:val="lv-LV" w:eastAsia="lv-LV"/>
      </w:rPr>
      <w:t>Likumprojekta „</w:t>
    </w:r>
    <w:r w:rsidR="00977504" w:rsidRPr="00977504">
      <w:rPr>
        <w:rStyle w:val="Strong"/>
        <w:rFonts w:cs="Times New Roman"/>
        <w:b w:val="0"/>
        <w:bCs w:val="0"/>
        <w:sz w:val="16"/>
        <w:szCs w:val="16"/>
        <w:lang w:val="lv-LV"/>
      </w:rPr>
      <w:t>Grozījumi Latvijas Administratīvo pārkāpumu kodeksā</w:t>
    </w:r>
    <w:r w:rsidR="00977504" w:rsidRPr="00977504">
      <w:rPr>
        <w:bCs/>
        <w:sz w:val="16"/>
        <w:szCs w:val="16"/>
        <w:lang w:val="lv-LV" w:eastAsia="lv-LV"/>
      </w:rPr>
      <w:t>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D0D" w:rsidRDefault="00C05D0D" w:rsidP="00793251">
      <w:r>
        <w:separator/>
      </w:r>
    </w:p>
  </w:footnote>
  <w:footnote w:type="continuationSeparator" w:id="0">
    <w:p w:rsidR="00C05D0D" w:rsidRDefault="00C05D0D" w:rsidP="00793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251" w:rsidRDefault="00793251">
    <w:pPr>
      <w:pStyle w:val="Header"/>
      <w:jc w:val="center"/>
    </w:pPr>
  </w:p>
  <w:p w:rsidR="00793251" w:rsidRDefault="007932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DAF"/>
    <w:multiLevelType w:val="hybridMultilevel"/>
    <w:tmpl w:val="8A464384"/>
    <w:lvl w:ilvl="0" w:tplc="1F5C8E8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614E9"/>
    <w:multiLevelType w:val="hybridMultilevel"/>
    <w:tmpl w:val="D8B4FC8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CA4AB2"/>
    <w:multiLevelType w:val="hybridMultilevel"/>
    <w:tmpl w:val="C3FE5B3A"/>
    <w:lvl w:ilvl="0" w:tplc="BE2C1ABA">
      <w:start w:val="1"/>
      <w:numFmt w:val="decimal"/>
      <w:lvlText w:val="%1)"/>
      <w:lvlJc w:val="left"/>
      <w:pPr>
        <w:ind w:left="3705" w:hanging="8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915" w:hanging="360"/>
      </w:pPr>
    </w:lvl>
    <w:lvl w:ilvl="2" w:tplc="0426001B" w:tentative="1">
      <w:start w:val="1"/>
      <w:numFmt w:val="lowerRoman"/>
      <w:lvlText w:val="%3."/>
      <w:lvlJc w:val="right"/>
      <w:pPr>
        <w:ind w:left="4635" w:hanging="180"/>
      </w:pPr>
    </w:lvl>
    <w:lvl w:ilvl="3" w:tplc="0426000F" w:tentative="1">
      <w:start w:val="1"/>
      <w:numFmt w:val="decimal"/>
      <w:lvlText w:val="%4."/>
      <w:lvlJc w:val="left"/>
      <w:pPr>
        <w:ind w:left="5355" w:hanging="360"/>
      </w:pPr>
    </w:lvl>
    <w:lvl w:ilvl="4" w:tplc="04260019" w:tentative="1">
      <w:start w:val="1"/>
      <w:numFmt w:val="lowerLetter"/>
      <w:lvlText w:val="%5."/>
      <w:lvlJc w:val="left"/>
      <w:pPr>
        <w:ind w:left="6075" w:hanging="360"/>
      </w:pPr>
    </w:lvl>
    <w:lvl w:ilvl="5" w:tplc="0426001B" w:tentative="1">
      <w:start w:val="1"/>
      <w:numFmt w:val="lowerRoman"/>
      <w:lvlText w:val="%6."/>
      <w:lvlJc w:val="right"/>
      <w:pPr>
        <w:ind w:left="6795" w:hanging="180"/>
      </w:pPr>
    </w:lvl>
    <w:lvl w:ilvl="6" w:tplc="0426000F" w:tentative="1">
      <w:start w:val="1"/>
      <w:numFmt w:val="decimal"/>
      <w:lvlText w:val="%7."/>
      <w:lvlJc w:val="left"/>
      <w:pPr>
        <w:ind w:left="7515" w:hanging="360"/>
      </w:pPr>
    </w:lvl>
    <w:lvl w:ilvl="7" w:tplc="04260019" w:tentative="1">
      <w:start w:val="1"/>
      <w:numFmt w:val="lowerLetter"/>
      <w:lvlText w:val="%8."/>
      <w:lvlJc w:val="left"/>
      <w:pPr>
        <w:ind w:left="8235" w:hanging="360"/>
      </w:pPr>
    </w:lvl>
    <w:lvl w:ilvl="8" w:tplc="042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543F3E4A"/>
    <w:multiLevelType w:val="hybridMultilevel"/>
    <w:tmpl w:val="B8700EF2"/>
    <w:lvl w:ilvl="0" w:tplc="1F5C8E8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01F6B"/>
    <w:multiLevelType w:val="hybridMultilevel"/>
    <w:tmpl w:val="807C82F8"/>
    <w:lvl w:ilvl="0" w:tplc="248A0D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03298"/>
    <w:multiLevelType w:val="hybridMultilevel"/>
    <w:tmpl w:val="39ACC4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F2"/>
    <w:rsid w:val="00005FC7"/>
    <w:rsid w:val="000069AB"/>
    <w:rsid w:val="00030C42"/>
    <w:rsid w:val="00040BA5"/>
    <w:rsid w:val="00042947"/>
    <w:rsid w:val="000637B5"/>
    <w:rsid w:val="000643CF"/>
    <w:rsid w:val="00065F37"/>
    <w:rsid w:val="0007620A"/>
    <w:rsid w:val="000804EA"/>
    <w:rsid w:val="00085A58"/>
    <w:rsid w:val="000918AD"/>
    <w:rsid w:val="0009554B"/>
    <w:rsid w:val="000A71ED"/>
    <w:rsid w:val="000E4F01"/>
    <w:rsid w:val="000E69BF"/>
    <w:rsid w:val="000F24DA"/>
    <w:rsid w:val="000F3251"/>
    <w:rsid w:val="000F52ED"/>
    <w:rsid w:val="0013247F"/>
    <w:rsid w:val="0014533C"/>
    <w:rsid w:val="001606B9"/>
    <w:rsid w:val="00184686"/>
    <w:rsid w:val="001919C8"/>
    <w:rsid w:val="00191B68"/>
    <w:rsid w:val="0019390A"/>
    <w:rsid w:val="001C25DB"/>
    <w:rsid w:val="001E329D"/>
    <w:rsid w:val="001E4F19"/>
    <w:rsid w:val="001F2472"/>
    <w:rsid w:val="002245D3"/>
    <w:rsid w:val="00224D82"/>
    <w:rsid w:val="002447A7"/>
    <w:rsid w:val="0024772B"/>
    <w:rsid w:val="0026236D"/>
    <w:rsid w:val="002637F1"/>
    <w:rsid w:val="002768AB"/>
    <w:rsid w:val="002B0802"/>
    <w:rsid w:val="002E1D8F"/>
    <w:rsid w:val="00304507"/>
    <w:rsid w:val="00310EAF"/>
    <w:rsid w:val="00313F95"/>
    <w:rsid w:val="00322AD4"/>
    <w:rsid w:val="003669BE"/>
    <w:rsid w:val="00374248"/>
    <w:rsid w:val="003A7D49"/>
    <w:rsid w:val="003B1EE2"/>
    <w:rsid w:val="003D14D5"/>
    <w:rsid w:val="003F7185"/>
    <w:rsid w:val="00411AA5"/>
    <w:rsid w:val="0043361D"/>
    <w:rsid w:val="004600D1"/>
    <w:rsid w:val="004630A0"/>
    <w:rsid w:val="004917C2"/>
    <w:rsid w:val="004B3D9C"/>
    <w:rsid w:val="00504AE1"/>
    <w:rsid w:val="0058356D"/>
    <w:rsid w:val="005922FD"/>
    <w:rsid w:val="005B602F"/>
    <w:rsid w:val="005C69CA"/>
    <w:rsid w:val="005E202E"/>
    <w:rsid w:val="005E2B7A"/>
    <w:rsid w:val="005E5934"/>
    <w:rsid w:val="005F1F40"/>
    <w:rsid w:val="005F56A5"/>
    <w:rsid w:val="006046C9"/>
    <w:rsid w:val="00641A63"/>
    <w:rsid w:val="00650AAC"/>
    <w:rsid w:val="0065610B"/>
    <w:rsid w:val="00661F15"/>
    <w:rsid w:val="006673C3"/>
    <w:rsid w:val="006838A8"/>
    <w:rsid w:val="00693DBF"/>
    <w:rsid w:val="006B5DED"/>
    <w:rsid w:val="006D022C"/>
    <w:rsid w:val="006D422D"/>
    <w:rsid w:val="00724128"/>
    <w:rsid w:val="007635F3"/>
    <w:rsid w:val="00770A52"/>
    <w:rsid w:val="00793251"/>
    <w:rsid w:val="00797A20"/>
    <w:rsid w:val="007A2EBE"/>
    <w:rsid w:val="007C6210"/>
    <w:rsid w:val="007C6754"/>
    <w:rsid w:val="007F1D73"/>
    <w:rsid w:val="008118E4"/>
    <w:rsid w:val="00831F55"/>
    <w:rsid w:val="008579BC"/>
    <w:rsid w:val="00861163"/>
    <w:rsid w:val="008804EF"/>
    <w:rsid w:val="00887648"/>
    <w:rsid w:val="008B48A1"/>
    <w:rsid w:val="008C3C00"/>
    <w:rsid w:val="008E0711"/>
    <w:rsid w:val="00901788"/>
    <w:rsid w:val="00907795"/>
    <w:rsid w:val="00920416"/>
    <w:rsid w:val="009213E1"/>
    <w:rsid w:val="0093126B"/>
    <w:rsid w:val="009504AB"/>
    <w:rsid w:val="00961EAA"/>
    <w:rsid w:val="00963455"/>
    <w:rsid w:val="00972D20"/>
    <w:rsid w:val="00976F2C"/>
    <w:rsid w:val="00977504"/>
    <w:rsid w:val="009833C3"/>
    <w:rsid w:val="009A4531"/>
    <w:rsid w:val="009A48D6"/>
    <w:rsid w:val="009B0629"/>
    <w:rsid w:val="009B32A9"/>
    <w:rsid w:val="009B4033"/>
    <w:rsid w:val="009D771A"/>
    <w:rsid w:val="009D7E83"/>
    <w:rsid w:val="009F1792"/>
    <w:rsid w:val="00A26527"/>
    <w:rsid w:val="00A669D6"/>
    <w:rsid w:val="00A76C35"/>
    <w:rsid w:val="00A77A73"/>
    <w:rsid w:val="00A864E8"/>
    <w:rsid w:val="00AE08B7"/>
    <w:rsid w:val="00AE1603"/>
    <w:rsid w:val="00AE5374"/>
    <w:rsid w:val="00AF3AC3"/>
    <w:rsid w:val="00B3041C"/>
    <w:rsid w:val="00B36DE2"/>
    <w:rsid w:val="00B42912"/>
    <w:rsid w:val="00B47AF6"/>
    <w:rsid w:val="00B53D50"/>
    <w:rsid w:val="00B56DB1"/>
    <w:rsid w:val="00B80259"/>
    <w:rsid w:val="00B91C5E"/>
    <w:rsid w:val="00BA6DC0"/>
    <w:rsid w:val="00BC325E"/>
    <w:rsid w:val="00C000CD"/>
    <w:rsid w:val="00C039CD"/>
    <w:rsid w:val="00C05D0D"/>
    <w:rsid w:val="00C15163"/>
    <w:rsid w:val="00C15175"/>
    <w:rsid w:val="00C47190"/>
    <w:rsid w:val="00C53718"/>
    <w:rsid w:val="00C729FB"/>
    <w:rsid w:val="00C97D1C"/>
    <w:rsid w:val="00CB7EEF"/>
    <w:rsid w:val="00CD7BD7"/>
    <w:rsid w:val="00D50FA7"/>
    <w:rsid w:val="00D7483A"/>
    <w:rsid w:val="00DA55F2"/>
    <w:rsid w:val="00DA6B3A"/>
    <w:rsid w:val="00DA7C07"/>
    <w:rsid w:val="00DD0703"/>
    <w:rsid w:val="00DE1586"/>
    <w:rsid w:val="00E0382E"/>
    <w:rsid w:val="00E20B65"/>
    <w:rsid w:val="00E23C93"/>
    <w:rsid w:val="00E64ADC"/>
    <w:rsid w:val="00E65F9E"/>
    <w:rsid w:val="00EA73D8"/>
    <w:rsid w:val="00EB5489"/>
    <w:rsid w:val="00EC21EC"/>
    <w:rsid w:val="00ED7D42"/>
    <w:rsid w:val="00F22346"/>
    <w:rsid w:val="00F44D94"/>
    <w:rsid w:val="00F519B8"/>
    <w:rsid w:val="00F5585A"/>
    <w:rsid w:val="00F64DAF"/>
    <w:rsid w:val="00F74DE5"/>
    <w:rsid w:val="00F8250E"/>
    <w:rsid w:val="00F92F1F"/>
    <w:rsid w:val="00FA60B7"/>
    <w:rsid w:val="00FC5EE7"/>
    <w:rsid w:val="00FD0C2D"/>
    <w:rsid w:val="00FD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 Unicode MS"/>
      <w:lang w:val="en-AU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0A0"/>
    <w:pPr>
      <w:ind w:left="720"/>
      <w:contextualSpacing/>
    </w:pPr>
  </w:style>
  <w:style w:type="paragraph" w:customStyle="1" w:styleId="naisnod">
    <w:name w:val="naisnod"/>
    <w:basedOn w:val="Normal"/>
    <w:rsid w:val="00E20B65"/>
    <w:pPr>
      <w:spacing w:before="150" w:after="150"/>
      <w:jc w:val="center"/>
    </w:pPr>
    <w:rPr>
      <w:rFonts w:cs="Times New Roman"/>
      <w:b/>
      <w:bCs/>
      <w:sz w:val="24"/>
      <w:szCs w:val="24"/>
      <w:lang w:val="lv-LV" w:eastAsia="lv-LV" w:bidi="ar-SA"/>
    </w:rPr>
  </w:style>
  <w:style w:type="paragraph" w:styleId="Header">
    <w:name w:val="header"/>
    <w:basedOn w:val="Normal"/>
    <w:link w:val="HeaderChar"/>
    <w:rsid w:val="00DD0703"/>
    <w:pPr>
      <w:tabs>
        <w:tab w:val="center" w:pos="4153"/>
        <w:tab w:val="right" w:pos="8306"/>
      </w:tabs>
    </w:pPr>
    <w:rPr>
      <w:rFonts w:cs="Times New Roman"/>
      <w:sz w:val="24"/>
      <w:szCs w:val="24"/>
      <w:lang w:val="lv-LV" w:eastAsia="lv-LV" w:bidi="ar-SA"/>
    </w:rPr>
  </w:style>
  <w:style w:type="character" w:customStyle="1" w:styleId="HeaderChar">
    <w:name w:val="Header Char"/>
    <w:basedOn w:val="DefaultParagraphFont"/>
    <w:link w:val="Header"/>
    <w:rsid w:val="00DD0703"/>
    <w:rPr>
      <w:sz w:val="24"/>
      <w:szCs w:val="24"/>
    </w:rPr>
  </w:style>
  <w:style w:type="character" w:styleId="Hyperlink">
    <w:name w:val="Hyperlink"/>
    <w:rsid w:val="00DD070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932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251"/>
    <w:rPr>
      <w:rFonts w:cs="Arial Unicode MS"/>
      <w:lang w:val="en-AU" w:eastAsia="en-US" w:bidi="lo-LA"/>
    </w:rPr>
  </w:style>
  <w:style w:type="paragraph" w:customStyle="1" w:styleId="naiskr">
    <w:name w:val="naiskr"/>
    <w:basedOn w:val="Normal"/>
    <w:rsid w:val="00030C42"/>
    <w:pPr>
      <w:spacing w:before="75" w:after="75"/>
    </w:pPr>
    <w:rPr>
      <w:rFonts w:cs="Times New Roman"/>
      <w:sz w:val="24"/>
      <w:szCs w:val="24"/>
      <w:lang w:val="lv-LV" w:eastAsia="lv-LV" w:bidi="ar-SA"/>
    </w:rPr>
  </w:style>
  <w:style w:type="paragraph" w:styleId="BalloonText">
    <w:name w:val="Balloon Text"/>
    <w:basedOn w:val="Normal"/>
    <w:link w:val="BalloonTextChar"/>
    <w:rsid w:val="00504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AE1"/>
    <w:rPr>
      <w:rFonts w:ascii="Tahoma" w:hAnsi="Tahoma" w:cs="Tahoma"/>
      <w:sz w:val="16"/>
      <w:szCs w:val="16"/>
      <w:lang w:val="en-AU" w:eastAsia="en-US" w:bidi="lo-LA"/>
    </w:rPr>
  </w:style>
  <w:style w:type="paragraph" w:customStyle="1" w:styleId="naisf">
    <w:name w:val="naisf"/>
    <w:basedOn w:val="Normal"/>
    <w:rsid w:val="002245D3"/>
    <w:pPr>
      <w:spacing w:before="75" w:after="75"/>
      <w:ind w:firstLine="375"/>
      <w:jc w:val="both"/>
    </w:pPr>
    <w:rPr>
      <w:rFonts w:cs="Times New Roman"/>
      <w:sz w:val="24"/>
      <w:szCs w:val="24"/>
      <w:lang w:val="lv-LV" w:eastAsia="lv-LV" w:bidi="ar-SA"/>
    </w:rPr>
  </w:style>
  <w:style w:type="paragraph" w:styleId="NormalWeb">
    <w:name w:val="Normal (Web)"/>
    <w:basedOn w:val="Normal"/>
    <w:unhideWhenUsed/>
    <w:rsid w:val="006D422D"/>
    <w:pPr>
      <w:spacing w:before="100" w:beforeAutospacing="1" w:after="100" w:afterAutospacing="1"/>
    </w:pPr>
    <w:rPr>
      <w:rFonts w:cs="Times New Roman"/>
      <w:sz w:val="24"/>
      <w:szCs w:val="24"/>
      <w:lang w:val="lv-LV" w:eastAsia="lv-LV" w:bidi="ar-SA"/>
    </w:rPr>
  </w:style>
  <w:style w:type="paragraph" w:customStyle="1" w:styleId="tv2131">
    <w:name w:val="tv2131"/>
    <w:basedOn w:val="Normal"/>
    <w:rsid w:val="006D422D"/>
    <w:pPr>
      <w:spacing w:before="240" w:line="360" w:lineRule="auto"/>
      <w:ind w:firstLine="300"/>
      <w:jc w:val="both"/>
    </w:pPr>
    <w:rPr>
      <w:rFonts w:ascii="Verdana" w:hAnsi="Verdana" w:cs="Times New Roman"/>
      <w:sz w:val="18"/>
      <w:szCs w:val="18"/>
      <w:lang w:val="lv-LV" w:eastAsia="lv-LV" w:bidi="ar-SA"/>
    </w:rPr>
  </w:style>
  <w:style w:type="paragraph" w:customStyle="1" w:styleId="CharCharCharCharCharCharCharCharChar1CharChar">
    <w:name w:val="Char Char Char Char Char Char Char Char Char1 Char Char"/>
    <w:basedOn w:val="Normal"/>
    <w:rsid w:val="005F56A5"/>
    <w:pPr>
      <w:spacing w:after="160" w:line="240" w:lineRule="exact"/>
    </w:pPr>
    <w:rPr>
      <w:rFonts w:ascii="Dutch TL" w:hAnsi="Dutch TL" w:cs="Times New Roman"/>
      <w:sz w:val="28"/>
      <w:lang w:val="lv-LV" w:eastAsia="zh-TW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E23C93"/>
    <w:pPr>
      <w:spacing w:after="200" w:line="276" w:lineRule="auto"/>
    </w:pPr>
    <w:rPr>
      <w:rFonts w:ascii="Calibri" w:eastAsia="Calibri" w:hAnsi="Calibri" w:cs="Times New Roman"/>
      <w:lang w:val="lv-LV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3C93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E23C93"/>
    <w:rPr>
      <w:vertAlign w:val="superscript"/>
    </w:rPr>
  </w:style>
  <w:style w:type="character" w:styleId="Strong">
    <w:name w:val="Strong"/>
    <w:qFormat/>
    <w:rsid w:val="000F52ED"/>
    <w:rPr>
      <w:b/>
      <w:bCs/>
    </w:rPr>
  </w:style>
  <w:style w:type="character" w:styleId="CommentReference">
    <w:name w:val="annotation reference"/>
    <w:basedOn w:val="DefaultParagraphFont"/>
    <w:rsid w:val="00B53D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D50"/>
  </w:style>
  <w:style w:type="character" w:customStyle="1" w:styleId="CommentTextChar">
    <w:name w:val="Comment Text Char"/>
    <w:basedOn w:val="DefaultParagraphFont"/>
    <w:link w:val="CommentText"/>
    <w:rsid w:val="00B53D50"/>
    <w:rPr>
      <w:rFonts w:cs="Arial Unicode MS"/>
      <w:lang w:val="en-AU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rsid w:val="00B53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3D50"/>
    <w:rPr>
      <w:rFonts w:cs="Arial Unicode MS"/>
      <w:b/>
      <w:bCs/>
      <w:lang w:val="en-AU" w:eastAsia="en-US" w:bidi="lo-LA"/>
    </w:rPr>
  </w:style>
  <w:style w:type="paragraph" w:styleId="PlainText">
    <w:name w:val="Plain Text"/>
    <w:basedOn w:val="Normal"/>
    <w:link w:val="PlainTextChar"/>
    <w:uiPriority w:val="99"/>
    <w:unhideWhenUsed/>
    <w:rsid w:val="00C039CD"/>
    <w:rPr>
      <w:rFonts w:ascii="Calibri" w:eastAsiaTheme="minorHAnsi" w:hAnsi="Calibri" w:cstheme="minorBidi"/>
      <w:sz w:val="22"/>
      <w:szCs w:val="21"/>
      <w:lang w:val="lv-LV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C039CD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 Unicode MS"/>
      <w:lang w:val="en-AU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0A0"/>
    <w:pPr>
      <w:ind w:left="720"/>
      <w:contextualSpacing/>
    </w:pPr>
  </w:style>
  <w:style w:type="paragraph" w:customStyle="1" w:styleId="naisnod">
    <w:name w:val="naisnod"/>
    <w:basedOn w:val="Normal"/>
    <w:rsid w:val="00E20B65"/>
    <w:pPr>
      <w:spacing w:before="150" w:after="150"/>
      <w:jc w:val="center"/>
    </w:pPr>
    <w:rPr>
      <w:rFonts w:cs="Times New Roman"/>
      <w:b/>
      <w:bCs/>
      <w:sz w:val="24"/>
      <w:szCs w:val="24"/>
      <w:lang w:val="lv-LV" w:eastAsia="lv-LV" w:bidi="ar-SA"/>
    </w:rPr>
  </w:style>
  <w:style w:type="paragraph" w:styleId="Header">
    <w:name w:val="header"/>
    <w:basedOn w:val="Normal"/>
    <w:link w:val="HeaderChar"/>
    <w:rsid w:val="00DD0703"/>
    <w:pPr>
      <w:tabs>
        <w:tab w:val="center" w:pos="4153"/>
        <w:tab w:val="right" w:pos="8306"/>
      </w:tabs>
    </w:pPr>
    <w:rPr>
      <w:rFonts w:cs="Times New Roman"/>
      <w:sz w:val="24"/>
      <w:szCs w:val="24"/>
      <w:lang w:val="lv-LV" w:eastAsia="lv-LV" w:bidi="ar-SA"/>
    </w:rPr>
  </w:style>
  <w:style w:type="character" w:customStyle="1" w:styleId="HeaderChar">
    <w:name w:val="Header Char"/>
    <w:basedOn w:val="DefaultParagraphFont"/>
    <w:link w:val="Header"/>
    <w:rsid w:val="00DD0703"/>
    <w:rPr>
      <w:sz w:val="24"/>
      <w:szCs w:val="24"/>
    </w:rPr>
  </w:style>
  <w:style w:type="character" w:styleId="Hyperlink">
    <w:name w:val="Hyperlink"/>
    <w:rsid w:val="00DD070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932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251"/>
    <w:rPr>
      <w:rFonts w:cs="Arial Unicode MS"/>
      <w:lang w:val="en-AU" w:eastAsia="en-US" w:bidi="lo-LA"/>
    </w:rPr>
  </w:style>
  <w:style w:type="paragraph" w:customStyle="1" w:styleId="naiskr">
    <w:name w:val="naiskr"/>
    <w:basedOn w:val="Normal"/>
    <w:rsid w:val="00030C42"/>
    <w:pPr>
      <w:spacing w:before="75" w:after="75"/>
    </w:pPr>
    <w:rPr>
      <w:rFonts w:cs="Times New Roman"/>
      <w:sz w:val="24"/>
      <w:szCs w:val="24"/>
      <w:lang w:val="lv-LV" w:eastAsia="lv-LV" w:bidi="ar-SA"/>
    </w:rPr>
  </w:style>
  <w:style w:type="paragraph" w:styleId="BalloonText">
    <w:name w:val="Balloon Text"/>
    <w:basedOn w:val="Normal"/>
    <w:link w:val="BalloonTextChar"/>
    <w:rsid w:val="00504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AE1"/>
    <w:rPr>
      <w:rFonts w:ascii="Tahoma" w:hAnsi="Tahoma" w:cs="Tahoma"/>
      <w:sz w:val="16"/>
      <w:szCs w:val="16"/>
      <w:lang w:val="en-AU" w:eastAsia="en-US" w:bidi="lo-LA"/>
    </w:rPr>
  </w:style>
  <w:style w:type="paragraph" w:customStyle="1" w:styleId="naisf">
    <w:name w:val="naisf"/>
    <w:basedOn w:val="Normal"/>
    <w:rsid w:val="002245D3"/>
    <w:pPr>
      <w:spacing w:before="75" w:after="75"/>
      <w:ind w:firstLine="375"/>
      <w:jc w:val="both"/>
    </w:pPr>
    <w:rPr>
      <w:rFonts w:cs="Times New Roman"/>
      <w:sz w:val="24"/>
      <w:szCs w:val="24"/>
      <w:lang w:val="lv-LV" w:eastAsia="lv-LV" w:bidi="ar-SA"/>
    </w:rPr>
  </w:style>
  <w:style w:type="paragraph" w:styleId="NormalWeb">
    <w:name w:val="Normal (Web)"/>
    <w:basedOn w:val="Normal"/>
    <w:unhideWhenUsed/>
    <w:rsid w:val="006D422D"/>
    <w:pPr>
      <w:spacing w:before="100" w:beforeAutospacing="1" w:after="100" w:afterAutospacing="1"/>
    </w:pPr>
    <w:rPr>
      <w:rFonts w:cs="Times New Roman"/>
      <w:sz w:val="24"/>
      <w:szCs w:val="24"/>
      <w:lang w:val="lv-LV" w:eastAsia="lv-LV" w:bidi="ar-SA"/>
    </w:rPr>
  </w:style>
  <w:style w:type="paragraph" w:customStyle="1" w:styleId="tv2131">
    <w:name w:val="tv2131"/>
    <w:basedOn w:val="Normal"/>
    <w:rsid w:val="006D422D"/>
    <w:pPr>
      <w:spacing w:before="240" w:line="360" w:lineRule="auto"/>
      <w:ind w:firstLine="300"/>
      <w:jc w:val="both"/>
    </w:pPr>
    <w:rPr>
      <w:rFonts w:ascii="Verdana" w:hAnsi="Verdana" w:cs="Times New Roman"/>
      <w:sz w:val="18"/>
      <w:szCs w:val="18"/>
      <w:lang w:val="lv-LV" w:eastAsia="lv-LV" w:bidi="ar-SA"/>
    </w:rPr>
  </w:style>
  <w:style w:type="paragraph" w:customStyle="1" w:styleId="CharCharCharCharCharCharCharCharChar1CharChar">
    <w:name w:val="Char Char Char Char Char Char Char Char Char1 Char Char"/>
    <w:basedOn w:val="Normal"/>
    <w:rsid w:val="005F56A5"/>
    <w:pPr>
      <w:spacing w:after="160" w:line="240" w:lineRule="exact"/>
    </w:pPr>
    <w:rPr>
      <w:rFonts w:ascii="Dutch TL" w:hAnsi="Dutch TL" w:cs="Times New Roman"/>
      <w:sz w:val="28"/>
      <w:lang w:val="lv-LV" w:eastAsia="zh-TW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E23C93"/>
    <w:pPr>
      <w:spacing w:after="200" w:line="276" w:lineRule="auto"/>
    </w:pPr>
    <w:rPr>
      <w:rFonts w:ascii="Calibri" w:eastAsia="Calibri" w:hAnsi="Calibri" w:cs="Times New Roman"/>
      <w:lang w:val="lv-LV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3C93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E23C93"/>
    <w:rPr>
      <w:vertAlign w:val="superscript"/>
    </w:rPr>
  </w:style>
  <w:style w:type="character" w:styleId="Strong">
    <w:name w:val="Strong"/>
    <w:qFormat/>
    <w:rsid w:val="000F52ED"/>
    <w:rPr>
      <w:b/>
      <w:bCs/>
    </w:rPr>
  </w:style>
  <w:style w:type="character" w:styleId="CommentReference">
    <w:name w:val="annotation reference"/>
    <w:basedOn w:val="DefaultParagraphFont"/>
    <w:rsid w:val="00B53D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D50"/>
  </w:style>
  <w:style w:type="character" w:customStyle="1" w:styleId="CommentTextChar">
    <w:name w:val="Comment Text Char"/>
    <w:basedOn w:val="DefaultParagraphFont"/>
    <w:link w:val="CommentText"/>
    <w:rsid w:val="00B53D50"/>
    <w:rPr>
      <w:rFonts w:cs="Arial Unicode MS"/>
      <w:lang w:val="en-AU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rsid w:val="00B53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3D50"/>
    <w:rPr>
      <w:rFonts w:cs="Arial Unicode MS"/>
      <w:b/>
      <w:bCs/>
      <w:lang w:val="en-AU" w:eastAsia="en-US" w:bidi="lo-LA"/>
    </w:rPr>
  </w:style>
  <w:style w:type="paragraph" w:styleId="PlainText">
    <w:name w:val="Plain Text"/>
    <w:basedOn w:val="Normal"/>
    <w:link w:val="PlainTextChar"/>
    <w:uiPriority w:val="99"/>
    <w:unhideWhenUsed/>
    <w:rsid w:val="00C039CD"/>
    <w:rPr>
      <w:rFonts w:ascii="Calibri" w:eastAsiaTheme="minorHAnsi" w:hAnsi="Calibri" w:cstheme="minorBidi"/>
      <w:sz w:val="22"/>
      <w:szCs w:val="21"/>
      <w:lang w:val="lv-LV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C039C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073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1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dgars.svarenieks@mo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5E0DD-1FE4-46DF-ACF0-EA8293AD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1029</Words>
  <Characters>6838</Characters>
  <Application>Microsoft Office Word</Application>
  <DocSecurity>0</DocSecurity>
  <Lines>427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AIMAnot_120514_MK936; Grozījumu Ministru kabineta 2010.gada 5.oktobra noteikumos Nr.936 „Kārtība, kādā Latvijas Republikas Zemessardze sniedz atbalstu valsts un pašvaldību institūcijām likumpārkāpumu novēršanā, sabiedriskās kārtības un drošības garantēšan</vt:lpstr>
    </vt:vector>
  </TitlesOfParts>
  <Manager>Aizsardzības ministrija</Manager>
  <Company>Aizsardzības ministrija</Company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AIMAnot_120514_MK936; Grozījumu Ministru kabineta 2010.gada 5.oktobra noteikumos Nr.936 „Kārtība, kādā Latvijas Republikas Zemessardze sniedz atbalstu valsts un pašvaldību institūcijām likumpārkāpumu novēršanā, sabiedriskās kārtības un drošības garantēšanā” sākotnējās ietekmes novērtējuma ziņojums (anotācija)</dc:title>
  <dc:subject>anotācija</dc:subject>
  <dc:creator>M.Baltā</dc:creator>
  <dc:description>Marina.Balta@mod.gov.lv; 67335270</dc:description>
  <cp:lastModifiedBy>Kristiāns Andžāns</cp:lastModifiedBy>
  <cp:revision>4</cp:revision>
  <cp:lastPrinted>2014-10-22T06:37:00Z</cp:lastPrinted>
  <dcterms:created xsi:type="dcterms:W3CDTF">2015-02-18T11:14:00Z</dcterms:created>
  <dcterms:modified xsi:type="dcterms:W3CDTF">2015-03-06T11:08:00Z</dcterms:modified>
</cp:coreProperties>
</file>