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9B" w:rsidRDefault="00693450" w:rsidP="001557F7">
      <w:pPr>
        <w:pStyle w:val="BodyText3"/>
        <w:spacing w:after="120"/>
      </w:pPr>
      <w:r>
        <w:t>Likum</w:t>
      </w:r>
      <w:r w:rsidR="009A1FC4">
        <w:t>projekta</w:t>
      </w:r>
      <w:r w:rsidR="0007166B">
        <w:t xml:space="preserve"> </w:t>
      </w:r>
      <w:r w:rsidR="009A1FC4">
        <w:t>„</w:t>
      </w:r>
      <w:r>
        <w:rPr>
          <w:bCs/>
        </w:rPr>
        <w:t>Grozījumi Publiskas personas kapitāla daļu un kapitālsabiedrību pārvald</w:t>
      </w:r>
      <w:r w:rsidR="00F4469B">
        <w:rPr>
          <w:bCs/>
        </w:rPr>
        <w:t>ības likumā</w:t>
      </w:r>
      <w:r w:rsidR="009F606F">
        <w:t>”</w:t>
      </w:r>
      <w:r w:rsidR="0007166B">
        <w:t xml:space="preserve"> </w:t>
      </w:r>
      <w:r w:rsidR="00D77230">
        <w:t>sākotnējā</w:t>
      </w:r>
      <w:r w:rsidR="00F4469B">
        <w:t>s ietekmes novērtējuma ziņojums</w:t>
      </w:r>
    </w:p>
    <w:tbl>
      <w:tblPr>
        <w:tblW w:w="9924" w:type="dxa"/>
        <w:tblInd w:w="-369"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568"/>
        <w:gridCol w:w="2693"/>
        <w:gridCol w:w="6663"/>
      </w:tblGrid>
      <w:tr w:rsidR="00D77230" w:rsidTr="00693450">
        <w:trPr>
          <w:trHeight w:val="215"/>
        </w:trPr>
        <w:tc>
          <w:tcPr>
            <w:tcW w:w="992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F4469B" w:rsidRPr="001557F7" w:rsidRDefault="00D77230" w:rsidP="000D7361">
            <w:pPr>
              <w:numPr>
                <w:ilvl w:val="0"/>
                <w:numId w:val="14"/>
              </w:numPr>
              <w:ind w:left="1077"/>
              <w:rPr>
                <w:rFonts w:ascii="Times New Roman" w:hAnsi="Times New Roman"/>
                <w:b/>
                <w:lang w:eastAsia="lv-LV"/>
              </w:rPr>
            </w:pPr>
            <w:r>
              <w:rPr>
                <w:rFonts w:ascii="Times New Roman" w:hAnsi="Times New Roman"/>
                <w:b/>
                <w:lang w:eastAsia="lv-LV"/>
              </w:rPr>
              <w:t>Tiesību akta projekta izstrādes nepieciešamība</w:t>
            </w:r>
          </w:p>
        </w:tc>
      </w:tr>
      <w:tr w:rsidR="00D77230" w:rsidTr="00693450">
        <w:trPr>
          <w:trHeight w:val="308"/>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rPr>
                <w:rFonts w:ascii="Times New Roman" w:hAnsi="Times New Roman"/>
                <w:lang w:eastAsia="lv-LV"/>
              </w:rPr>
            </w:pPr>
            <w:r>
              <w:rPr>
                <w:rFonts w:ascii="Times New Roman" w:hAnsi="Times New Roman"/>
                <w:lang w:eastAsia="lv-LV"/>
              </w:rPr>
              <w:t>1.</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5A1967">
            <w:pPr>
              <w:spacing w:after="120"/>
              <w:jc w:val="both"/>
              <w:rPr>
                <w:rFonts w:ascii="Times New Roman" w:hAnsi="Times New Roman"/>
              </w:rPr>
            </w:pPr>
            <w:r>
              <w:rPr>
                <w:rFonts w:ascii="Times New Roman" w:hAnsi="Times New Roman"/>
                <w:lang w:eastAsia="lv-LV"/>
              </w:rPr>
              <w:t>Pamatojums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E60A3E" w:rsidRDefault="008A7A35" w:rsidP="008A7A35">
            <w:pPr>
              <w:jc w:val="both"/>
              <w:rPr>
                <w:rFonts w:ascii="Times New Roman" w:hAnsi="Times New Roman" w:cs="Tahoma"/>
                <w:bCs/>
                <w:kern w:val="36"/>
                <w:szCs w:val="38"/>
                <w:lang w:eastAsia="lv-LV"/>
              </w:rPr>
            </w:pPr>
            <w:r w:rsidRPr="008A7A35">
              <w:rPr>
                <w:rFonts w:ascii="Times New Roman" w:hAnsi="Times New Roman" w:cs="Tahoma"/>
                <w:bCs/>
                <w:kern w:val="36"/>
                <w:szCs w:val="38"/>
                <w:lang w:eastAsia="lv-LV"/>
              </w:rPr>
              <w:t xml:space="preserve">Latvijas Republikas Saeima 2014.gada 16.oktobrī pieņēma </w:t>
            </w:r>
            <w:r>
              <w:rPr>
                <w:rFonts w:ascii="Times New Roman" w:hAnsi="Times New Roman" w:cs="Tahoma"/>
                <w:bCs/>
                <w:kern w:val="36"/>
                <w:szCs w:val="38"/>
                <w:lang w:eastAsia="lv-LV"/>
              </w:rPr>
              <w:t xml:space="preserve">Publiskas personas kapitāla daļu un kapitālsabiedrību pārvaldības likumu (turpmāk – </w:t>
            </w:r>
            <w:r w:rsidR="00F4469B">
              <w:rPr>
                <w:rFonts w:ascii="Times New Roman" w:hAnsi="Times New Roman" w:cs="Tahoma"/>
                <w:bCs/>
                <w:kern w:val="36"/>
                <w:szCs w:val="38"/>
                <w:lang w:eastAsia="lv-LV"/>
              </w:rPr>
              <w:t>L</w:t>
            </w:r>
            <w:r>
              <w:rPr>
                <w:rFonts w:ascii="Times New Roman" w:hAnsi="Times New Roman" w:cs="Tahoma"/>
                <w:bCs/>
                <w:kern w:val="36"/>
                <w:szCs w:val="38"/>
                <w:lang w:eastAsia="lv-LV"/>
              </w:rPr>
              <w:t>ikums)</w:t>
            </w:r>
            <w:r w:rsidRPr="008A7A35">
              <w:rPr>
                <w:rFonts w:ascii="Times New Roman" w:hAnsi="Times New Roman" w:cs="Tahoma"/>
                <w:bCs/>
                <w:kern w:val="36"/>
                <w:szCs w:val="38"/>
                <w:lang w:eastAsia="lv-LV"/>
              </w:rPr>
              <w:t xml:space="preserve">, </w:t>
            </w:r>
            <w:r>
              <w:rPr>
                <w:rFonts w:ascii="Times New Roman" w:hAnsi="Times New Roman" w:cs="Tahoma"/>
                <w:bCs/>
                <w:kern w:val="36"/>
                <w:szCs w:val="38"/>
                <w:lang w:eastAsia="lv-LV"/>
              </w:rPr>
              <w:t>kas stājās spēkā 2015.gada 1.janvārī</w:t>
            </w:r>
            <w:r w:rsidRPr="008A7A35">
              <w:rPr>
                <w:rFonts w:ascii="Times New Roman" w:hAnsi="Times New Roman" w:cs="Tahoma"/>
                <w:bCs/>
                <w:kern w:val="36"/>
                <w:szCs w:val="38"/>
                <w:lang w:eastAsia="lv-LV"/>
              </w:rPr>
              <w:t xml:space="preserve">. Ar </w:t>
            </w:r>
            <w:r w:rsidR="00F1461B">
              <w:rPr>
                <w:rFonts w:ascii="Times New Roman" w:hAnsi="Times New Roman" w:cs="Tahoma"/>
                <w:bCs/>
                <w:kern w:val="36"/>
                <w:szCs w:val="38"/>
                <w:lang w:eastAsia="lv-LV"/>
              </w:rPr>
              <w:t>L</w:t>
            </w:r>
            <w:r w:rsidRPr="008A7A35">
              <w:rPr>
                <w:rFonts w:ascii="Times New Roman" w:hAnsi="Times New Roman" w:cs="Tahoma"/>
                <w:bCs/>
                <w:kern w:val="36"/>
                <w:szCs w:val="38"/>
                <w:lang w:eastAsia="lv-LV"/>
              </w:rPr>
              <w:t>ikuma spēkā stāšanos spēku zaudē</w:t>
            </w:r>
            <w:r>
              <w:rPr>
                <w:rFonts w:ascii="Times New Roman" w:hAnsi="Times New Roman" w:cs="Tahoma"/>
                <w:bCs/>
                <w:kern w:val="36"/>
                <w:szCs w:val="38"/>
                <w:lang w:eastAsia="lv-LV"/>
              </w:rPr>
              <w:t>ja</w:t>
            </w:r>
            <w:r w:rsidRPr="008A7A35">
              <w:rPr>
                <w:rFonts w:ascii="Times New Roman" w:hAnsi="Times New Roman" w:cs="Tahoma"/>
                <w:bCs/>
                <w:kern w:val="36"/>
                <w:szCs w:val="38"/>
                <w:lang w:eastAsia="lv-LV"/>
              </w:rPr>
              <w:t xml:space="preserve"> līdz šim valsts un pašvaldību kapitālsabiedrību un kapitāla daļu pārvaldības jomu regulējošais likums „Par valsts un pašvaldību kapitāla daļām un kapitālsabiedrībām”.</w:t>
            </w:r>
          </w:p>
          <w:p w:rsidR="008A7A35" w:rsidRPr="005A1967" w:rsidRDefault="002B0936" w:rsidP="00F1461B">
            <w:pPr>
              <w:jc w:val="both"/>
              <w:rPr>
                <w:rFonts w:ascii="Times New Roman" w:hAnsi="Times New Roman" w:cs="Tahoma"/>
                <w:bCs/>
                <w:kern w:val="36"/>
                <w:szCs w:val="38"/>
                <w:lang w:eastAsia="lv-LV"/>
              </w:rPr>
            </w:pPr>
            <w:r>
              <w:rPr>
                <w:rFonts w:ascii="Times New Roman" w:hAnsi="Times New Roman" w:cs="Tahoma"/>
                <w:bCs/>
                <w:kern w:val="36"/>
                <w:szCs w:val="38"/>
                <w:lang w:eastAsia="lv-LV"/>
              </w:rPr>
              <w:t xml:space="preserve">Lai uzlabotu </w:t>
            </w:r>
            <w:r w:rsidR="00F1461B">
              <w:rPr>
                <w:rFonts w:ascii="Times New Roman" w:hAnsi="Times New Roman" w:cs="Tahoma"/>
                <w:bCs/>
                <w:kern w:val="36"/>
                <w:szCs w:val="38"/>
                <w:lang w:eastAsia="lv-LV"/>
              </w:rPr>
              <w:t>L</w:t>
            </w:r>
            <w:r>
              <w:rPr>
                <w:rFonts w:ascii="Times New Roman" w:hAnsi="Times New Roman" w:cs="Tahoma"/>
                <w:bCs/>
                <w:kern w:val="36"/>
                <w:szCs w:val="38"/>
                <w:lang w:eastAsia="lv-LV"/>
              </w:rPr>
              <w:t>ikumā regulēto jautājumu efektīvāku ieviešanu praksē un precizētu likumā konstatētās nepilnības, izstrādāts likumprojekts „Grozījumi Publiskas personas kapitāla daļu un kapi</w:t>
            </w:r>
            <w:r w:rsidR="00F4469B">
              <w:rPr>
                <w:rFonts w:ascii="Times New Roman" w:hAnsi="Times New Roman" w:cs="Tahoma"/>
                <w:bCs/>
                <w:kern w:val="36"/>
                <w:szCs w:val="38"/>
                <w:lang w:eastAsia="lv-LV"/>
              </w:rPr>
              <w:t>tālsabiedrību pārvaldības likumā</w:t>
            </w:r>
            <w:r>
              <w:rPr>
                <w:rFonts w:ascii="Times New Roman" w:hAnsi="Times New Roman" w:cs="Tahoma"/>
                <w:bCs/>
                <w:kern w:val="36"/>
                <w:szCs w:val="38"/>
                <w:lang w:eastAsia="lv-LV"/>
              </w:rPr>
              <w:t>”.</w:t>
            </w:r>
          </w:p>
        </w:tc>
      </w:tr>
      <w:tr w:rsidR="00D77230" w:rsidTr="00693450">
        <w:trPr>
          <w:trHeight w:val="480"/>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pPr>
              <w:spacing w:before="120"/>
              <w:jc w:val="both"/>
              <w:rPr>
                <w:rFonts w:ascii="Times New Roman" w:hAnsi="Times New Roman"/>
                <w:lang w:eastAsia="lv-LV"/>
              </w:rPr>
            </w:pPr>
            <w:r>
              <w:rPr>
                <w:rFonts w:ascii="Times New Roman" w:hAnsi="Times New Roman"/>
                <w:lang w:eastAsia="lv-LV"/>
              </w:rPr>
              <w:t>2.</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5B56CE" w:rsidP="00FD60EA">
            <w:pPr>
              <w:spacing w:after="120"/>
              <w:jc w:val="both"/>
              <w:rPr>
                <w:rFonts w:ascii="Times New Roman" w:hAnsi="Times New Roman"/>
                <w:lang w:eastAsia="lv-LV"/>
              </w:rPr>
            </w:pPr>
            <w:r w:rsidRPr="005B56CE">
              <w:rPr>
                <w:rFonts w:ascii="Times New Roman" w:hAnsi="Times New Roman"/>
                <w:lang w:eastAsia="lv-LV"/>
              </w:rPr>
              <w:t>Pašreizējā situācija un problēmas, kuru risināšanai tiesību akta projekts izstrādāts, tiesiskā regulējuma mērķis un būtība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863EDA" w:rsidRPr="00A72853" w:rsidRDefault="00A72853" w:rsidP="00A72853">
            <w:pPr>
              <w:pStyle w:val="BodyText3"/>
              <w:spacing w:after="120"/>
              <w:jc w:val="both"/>
              <w:rPr>
                <w:i/>
              </w:rPr>
            </w:pPr>
            <w:r w:rsidRPr="00A72853">
              <w:rPr>
                <w:i/>
              </w:rPr>
              <w:t>I Koordinācijas institūcija un tās uzdevumi</w:t>
            </w:r>
          </w:p>
          <w:p w:rsidR="00A72853" w:rsidRDefault="00F4469B" w:rsidP="00A72853">
            <w:pPr>
              <w:pStyle w:val="BodyText3"/>
              <w:spacing w:after="120"/>
              <w:jc w:val="both"/>
              <w:rPr>
                <w:b w:val="0"/>
              </w:rPr>
            </w:pPr>
            <w:r>
              <w:rPr>
                <w:b w:val="0"/>
              </w:rPr>
              <w:t>Saskaņā ar Likuma 22.panta pirmo daļu</w:t>
            </w:r>
            <w:r w:rsidR="004B4BA0">
              <w:rPr>
                <w:b w:val="0"/>
              </w:rPr>
              <w:t xml:space="preserve"> </w:t>
            </w:r>
            <w:r w:rsidR="00B418F4" w:rsidRPr="00B418F4">
              <w:rPr>
                <w:b w:val="0"/>
              </w:rPr>
              <w:t xml:space="preserve">Ministru kabinets nosaka </w:t>
            </w:r>
            <w:r w:rsidR="00B418F4" w:rsidRPr="00012B84">
              <w:rPr>
                <w:b w:val="0"/>
              </w:rPr>
              <w:t>valsts pārvaldes iestādi</w:t>
            </w:r>
            <w:r w:rsidR="00B418F4" w:rsidRPr="00B418F4">
              <w:rPr>
                <w:b w:val="0"/>
              </w:rPr>
              <w:t>, kas pilda šajā likumā un citos normatīvajos aktos noteiktos uzdevumus saistībā ar valsts kapitālsabiedrību un valsts kapitāla daļu pārvaldi (turpmāk — koordinācijas institūcija).</w:t>
            </w:r>
            <w:r w:rsidR="00A35A19">
              <w:rPr>
                <w:b w:val="0"/>
              </w:rPr>
              <w:t xml:space="preserve"> Turklāt pārejas noteikumu 2.punkta 1.apakšpunktā ir noteikts, ka Ministru kabinetam koordinācijas institūcija ir jānosaka </w:t>
            </w:r>
            <w:r w:rsidR="00A35A19" w:rsidRPr="00A35A19">
              <w:rPr>
                <w:b w:val="0"/>
              </w:rPr>
              <w:t>līdz 2015.gada 1.martam</w:t>
            </w:r>
            <w:r w:rsidR="00A35A19">
              <w:rPr>
                <w:b w:val="0"/>
              </w:rPr>
              <w:t>. Izvērtējot valsts pārvaldes iestāžu pieejamos resursus, konstatēts, ka n</w:t>
            </w:r>
            <w:r w:rsidR="00B418F4">
              <w:rPr>
                <w:b w:val="0"/>
              </w:rPr>
              <w:t>epieciešams paplašināt institūciju loku, ko Ministru kabinets var noteikt par koordinācijas institūciju</w:t>
            </w:r>
            <w:r w:rsidR="00A35A19">
              <w:rPr>
                <w:b w:val="0"/>
              </w:rPr>
              <w:t>, tajā skaitā atļaujot par koordinācijas institūciju noteikt valsts kapitālsabiedrību vai jebkuru citu institūciju, ko Ministru kabinets uzskata par šim darbam atbilstošu un kas varētu efektīvi pildīt likumā noteiktos  koordinācijas institūcijas uzdevumus</w:t>
            </w:r>
            <w:r w:rsidR="00B418F4">
              <w:rPr>
                <w:b w:val="0"/>
              </w:rPr>
              <w:t>.</w:t>
            </w:r>
            <w:r w:rsidR="00A35A19">
              <w:rPr>
                <w:b w:val="0"/>
              </w:rPr>
              <w:t xml:space="preserve"> Vienlaikus paredzot, ka koordinācijas institūcijai noteikto uzdevumu izpilde tiek finansēta no valsts budžeta, ņemot vērā to, ka tie ir uzskatāmi par valsts pārvaldes uzdevumiem un valsts kopumā ir atbildīga par šo uzdevumu veikšanu.</w:t>
            </w:r>
          </w:p>
          <w:p w:rsidR="00967DB6" w:rsidRDefault="00933AE9" w:rsidP="008227E5">
            <w:pPr>
              <w:pStyle w:val="BodyText3"/>
              <w:jc w:val="both"/>
              <w:rPr>
                <w:b w:val="0"/>
              </w:rPr>
            </w:pPr>
            <w:r>
              <w:rPr>
                <w:b w:val="0"/>
              </w:rPr>
              <w:t xml:space="preserve">Tāpat arī ir piedāvāts </w:t>
            </w:r>
            <w:r w:rsidR="00984E25">
              <w:rPr>
                <w:b w:val="0"/>
              </w:rPr>
              <w:t>grozīt</w:t>
            </w:r>
            <w:r w:rsidR="004B4BA0">
              <w:rPr>
                <w:b w:val="0"/>
              </w:rPr>
              <w:t xml:space="preserve"> </w:t>
            </w:r>
            <w:r w:rsidR="00770579">
              <w:rPr>
                <w:b w:val="0"/>
              </w:rPr>
              <w:t xml:space="preserve">koordinācijas institūcijai noteikto uzdevumu </w:t>
            </w:r>
            <w:r w:rsidR="0089436C">
              <w:rPr>
                <w:b w:val="0"/>
              </w:rPr>
              <w:t xml:space="preserve">uzskaitījumu </w:t>
            </w:r>
            <w:r w:rsidR="00984E25">
              <w:rPr>
                <w:b w:val="0"/>
              </w:rPr>
              <w:t xml:space="preserve">izslēdzot no koordinācijas institūcijas uzdevumu loka normatīvo aktu projektu un politikas plānošanas dokumentu projektu </w:t>
            </w:r>
            <w:r w:rsidR="00984E25">
              <w:rPr>
                <w:b w:val="0"/>
              </w:rPr>
              <w:lastRenderedPageBreak/>
              <w:t>izstrādāšanu un iesniegšanu noteiktajā kārtībā apstiprināšanai Ministru kabinetam, tādā veidā novēršot bažas par to, ka koordinācijas institūcija varētu nodarboties ar politikas veidošanas funkciju, ko saskaņā ar Valsts pārvaldes iekārtas likuma 41.pantu nedrīkst deleģēt privātpersonai</w:t>
            </w:r>
            <w:r>
              <w:rPr>
                <w:b w:val="0"/>
              </w:rPr>
              <w:t>.</w:t>
            </w:r>
          </w:p>
          <w:p w:rsidR="00FF1E42" w:rsidRDefault="00FF1E42" w:rsidP="008227E5">
            <w:pPr>
              <w:pStyle w:val="BodyText3"/>
              <w:jc w:val="both"/>
              <w:rPr>
                <w:b w:val="0"/>
              </w:rPr>
            </w:pPr>
            <w:r>
              <w:rPr>
                <w:b w:val="0"/>
              </w:rPr>
              <w:t xml:space="preserve">Koordinācijas institūcijas uzdevumiem pievienota </w:t>
            </w:r>
            <w:r>
              <w:t xml:space="preserve"> </w:t>
            </w:r>
            <w:r w:rsidRPr="00FF1E42">
              <w:rPr>
                <w:b w:val="0"/>
              </w:rPr>
              <w:t xml:space="preserve">starptautiskās sadarbības īstenošana saistībā ar kapitālsabiedrību un kapitāla daļu pārvaldību. Ar to saprotot </w:t>
            </w:r>
            <w:r>
              <w:rPr>
                <w:b w:val="0"/>
              </w:rPr>
              <w:t xml:space="preserve">informācijas apmaiņu ar Eiropas Savienības dalībvalstīm un citām valstīm, Ekonomiskās sadarbības un attīstības organizāciju (OECD) un citām starptautiskām organizācijām par korporatīvās pārvaldības jautājumiem, lai veicinātu starptautiskās labās prakses ieviešanu Latvijā.  </w:t>
            </w:r>
          </w:p>
          <w:p w:rsidR="008D6742" w:rsidRPr="00FF1E42" w:rsidRDefault="008D6742" w:rsidP="008227E5">
            <w:pPr>
              <w:pStyle w:val="BodyText3"/>
              <w:jc w:val="both"/>
              <w:rPr>
                <w:b w:val="0"/>
              </w:rPr>
            </w:pPr>
            <w:r>
              <w:rPr>
                <w:b w:val="0"/>
              </w:rPr>
              <w:t>Ņemot vērā to, ka k</w:t>
            </w:r>
            <w:r w:rsidRPr="008D6742">
              <w:rPr>
                <w:b w:val="0"/>
              </w:rPr>
              <w:t>oordinācijas institūcijai 2015.gada valsts budžetā nav paredzēts finansējums</w:t>
            </w:r>
            <w:r>
              <w:rPr>
                <w:b w:val="0"/>
              </w:rPr>
              <w:t>, tad attiecībā uz koordinācijas institūcijas darbības finansēšanu paredzēts grozījums L</w:t>
            </w:r>
            <w:r w:rsidRPr="008D6742">
              <w:rPr>
                <w:b w:val="0"/>
              </w:rPr>
              <w:t>ikuma pārejas noteikumos, papildinot tos ar 2</w:t>
            </w:r>
            <w:r w:rsidRPr="00CE11CF">
              <w:rPr>
                <w:b w:val="0"/>
                <w:vertAlign w:val="superscript"/>
              </w:rPr>
              <w:t>1</w:t>
            </w:r>
            <w:r w:rsidRPr="008D6742">
              <w:rPr>
                <w:b w:val="0"/>
              </w:rPr>
              <w:t>.punktu, kas paredz, ja Ministru kabinets par koordinācijas institūciju atbilstoši šā likuma 22.panta pirmajai daļai nosaka valsts kapitālsabiedrību, tad koordinācijas institūcijas izdevumi 2015.gadā un 2016.gadā, pildot valsts pārvaldes uzdevumu</w:t>
            </w:r>
            <w:r>
              <w:rPr>
                <w:b w:val="0"/>
              </w:rPr>
              <w:t>s</w:t>
            </w:r>
            <w:r w:rsidRPr="008D6742">
              <w:rPr>
                <w:b w:val="0"/>
              </w:rPr>
              <w:t>, tiek segti Ministru kabineta noteiktajā kārtībā no rezerves fonda līdzekļiem, kas izveidots, pamatojoties uz likumu „Par valsts un pašvaldību īpašuma objektu privatizāciju”.</w:t>
            </w:r>
          </w:p>
          <w:p w:rsidR="00D45AC0" w:rsidRPr="00D45AC0" w:rsidRDefault="00D45AC0" w:rsidP="008227E5">
            <w:pPr>
              <w:pStyle w:val="BodyText3"/>
              <w:jc w:val="both"/>
              <w:rPr>
                <w:i/>
              </w:rPr>
            </w:pPr>
            <w:r w:rsidRPr="00D45AC0">
              <w:rPr>
                <w:i/>
              </w:rPr>
              <w:t>II Koordinācijas institūcijas konsultatīvā padome</w:t>
            </w:r>
          </w:p>
          <w:p w:rsidR="001172E8" w:rsidRPr="001172E8" w:rsidRDefault="00B45900" w:rsidP="001172E8">
            <w:pPr>
              <w:jc w:val="both"/>
            </w:pPr>
            <w:r>
              <w:t>Šobrīd L</w:t>
            </w:r>
            <w:r w:rsidR="001172E8" w:rsidRPr="001172E8">
              <w:t>ikuma 24.panta pirmās daļas otrais teikums nosaka, ka konsultatīvā padome ir koleģiāla padomdevēja institūcija, kura:</w:t>
            </w:r>
          </w:p>
          <w:p w:rsidR="001172E8" w:rsidRPr="001172E8" w:rsidRDefault="001172E8" w:rsidP="001172E8">
            <w:pPr>
              <w:jc w:val="both"/>
            </w:pPr>
            <w:r w:rsidRPr="001172E8">
              <w:t>1) izskata izstrādātos un Ministru kabinetam iesniedzamos ar publiskas personas kapitāla daļu pārvaldi un koordinācijas institūcijas darbību saistīto tiesību aktu un politikas plānošanas dokumentu projektus un sniedz viedokli par tiem;</w:t>
            </w:r>
          </w:p>
          <w:p w:rsidR="001172E8" w:rsidRPr="001172E8" w:rsidRDefault="001172E8" w:rsidP="001172E8">
            <w:pPr>
              <w:jc w:val="both"/>
            </w:pPr>
            <w:r w:rsidRPr="001172E8">
              <w:t>2) izskata koordinācijas institūcijas izstrādātos normatīvo aktu projektus un uz šā likuma pamata izstrādātos vadlīniju projektus un sniedz viedokli par tiem.</w:t>
            </w:r>
          </w:p>
          <w:p w:rsidR="001172E8" w:rsidRPr="00E00E2D" w:rsidRDefault="001172E8" w:rsidP="001172E8">
            <w:pPr>
              <w:jc w:val="both"/>
            </w:pPr>
            <w:r>
              <w:t xml:space="preserve">Ņemot vērā piedāvājumu, izslēgt no koordinācijas institūcijas uzdevumu uzskaitījuma, </w:t>
            </w:r>
            <w:r w:rsidR="00B45900">
              <w:t>kas noteikti L</w:t>
            </w:r>
            <w:r>
              <w:t xml:space="preserve">ikuma </w:t>
            </w:r>
            <w:r>
              <w:lastRenderedPageBreak/>
              <w:t xml:space="preserve">22.panta otrajā daļā, uzdevumu, ka koordinācijas institūcija izstrādā normatīvo aktu projektus un politikas plānošanas dokumentu projektus un iesniedz tos noteiktajā kārtībā apstiprināšanā Ministru kabinetā, ir nepieciešams </w:t>
            </w:r>
            <w:r w:rsidR="00B45900">
              <w:t>precizēt arī L</w:t>
            </w:r>
            <w:r>
              <w:t xml:space="preserve">ikuma 24.panta pirmajā daļā minēto koordinācijas institūcijas konsultatīvās padomes kompetenci, nosakot, ka </w:t>
            </w:r>
            <w:r w:rsidRPr="00E00E2D">
              <w:t>konsultatīvā padome ir koleģiāla padomdevēja institūcija, taču neveidojot tās kom</w:t>
            </w:r>
            <w:r>
              <w:t>pe</w:t>
            </w:r>
            <w:r w:rsidRPr="00E00E2D">
              <w:t xml:space="preserve">tencē esošo uzdevumu uzskaitījumu, tādā veidā neierobežojot jautājumu loku, kas var tikt izskatīti konsultatīvajā padomē. </w:t>
            </w:r>
          </w:p>
          <w:p w:rsidR="00A72853" w:rsidRPr="00A72853" w:rsidRDefault="00A72853" w:rsidP="00A72853">
            <w:pPr>
              <w:pStyle w:val="BodyText3"/>
              <w:spacing w:after="120"/>
              <w:jc w:val="both"/>
              <w:rPr>
                <w:i/>
              </w:rPr>
            </w:pPr>
            <w:r w:rsidRPr="00A72853">
              <w:rPr>
                <w:i/>
              </w:rPr>
              <w:t>I</w:t>
            </w:r>
            <w:r w:rsidR="00BD45C2">
              <w:rPr>
                <w:i/>
              </w:rPr>
              <w:t>I</w:t>
            </w:r>
            <w:r w:rsidR="001557F7">
              <w:rPr>
                <w:i/>
              </w:rPr>
              <w:t>I</w:t>
            </w:r>
            <w:r w:rsidRPr="00A72853">
              <w:rPr>
                <w:i/>
              </w:rPr>
              <w:t xml:space="preserve"> Informācijas publiskošana par kapitālsabiedrību</w:t>
            </w:r>
          </w:p>
          <w:p w:rsidR="00BA2E39" w:rsidRDefault="00BA2E39" w:rsidP="008227E5">
            <w:pPr>
              <w:pStyle w:val="BodyText3"/>
              <w:jc w:val="both"/>
              <w:rPr>
                <w:b w:val="0"/>
              </w:rPr>
            </w:pPr>
            <w:r>
              <w:rPr>
                <w:b w:val="0"/>
              </w:rPr>
              <w:t>Skaidrības labad precizēts Likuma 58.panta pirmās daļas 2.punkts, nosakot, ka z</w:t>
            </w:r>
            <w:r w:rsidRPr="00BA2E39">
              <w:rPr>
                <w:b w:val="0"/>
              </w:rPr>
              <w:t>vērināta revidenta nepārbaudīti starpperiodu pārskati ir jāgatavo par 3 mēnešiem, par 6 mēnešiem, par 9 mēnešiem un par 12 mēnešiem.</w:t>
            </w:r>
          </w:p>
          <w:p w:rsidR="004B4BA0" w:rsidRDefault="00BA2E39" w:rsidP="008227E5">
            <w:pPr>
              <w:pStyle w:val="BodyText3"/>
              <w:jc w:val="both"/>
              <w:rPr>
                <w:b w:val="0"/>
              </w:rPr>
            </w:pPr>
            <w:r>
              <w:rPr>
                <w:b w:val="0"/>
              </w:rPr>
              <w:t>Tāpat arī p</w:t>
            </w:r>
            <w:r w:rsidR="00B63FEE">
              <w:rPr>
                <w:b w:val="0"/>
              </w:rPr>
              <w:t xml:space="preserve">recizēta </w:t>
            </w:r>
            <w:r w:rsidR="00F4469B">
              <w:rPr>
                <w:b w:val="0"/>
              </w:rPr>
              <w:t>L</w:t>
            </w:r>
            <w:r w:rsidR="00B63FEE">
              <w:rPr>
                <w:b w:val="0"/>
              </w:rPr>
              <w:t xml:space="preserve">ikuma 58.panta ceturtā daļa, nosakot, ka </w:t>
            </w:r>
            <w:r w:rsidR="00FD4B4C">
              <w:rPr>
                <w:b w:val="0"/>
              </w:rPr>
              <w:t>z</w:t>
            </w:r>
            <w:r w:rsidR="00FD4B4C" w:rsidRPr="00FD4B4C">
              <w:rPr>
                <w:b w:val="0"/>
              </w:rPr>
              <w:t>vērināta revidenta nepārbaud</w:t>
            </w:r>
            <w:r w:rsidR="00210DBF">
              <w:rPr>
                <w:b w:val="0"/>
              </w:rPr>
              <w:t>ītos</w:t>
            </w:r>
            <w:r w:rsidR="00FD4B4C" w:rsidRPr="00FD4B4C">
              <w:rPr>
                <w:b w:val="0"/>
              </w:rPr>
              <w:t xml:space="preserve"> </w:t>
            </w:r>
            <w:r w:rsidRPr="00BA2E39">
              <w:rPr>
                <w:b w:val="0"/>
              </w:rPr>
              <w:t xml:space="preserve">starpperiodu </w:t>
            </w:r>
            <w:r>
              <w:rPr>
                <w:b w:val="0"/>
              </w:rPr>
              <w:t>pārskat</w:t>
            </w:r>
            <w:r w:rsidR="00210DBF">
              <w:rPr>
                <w:b w:val="0"/>
              </w:rPr>
              <w:t>us</w:t>
            </w:r>
            <w:r w:rsidRPr="00BA2E39">
              <w:rPr>
                <w:b w:val="0"/>
              </w:rPr>
              <w:t xml:space="preserve"> par 3 mēnešiem, par 6 mēnešiem, par 9 mēnešiem un par 12 mēnešiem</w:t>
            </w:r>
            <w:r w:rsidR="00EA51E9">
              <w:rPr>
                <w:b w:val="0"/>
              </w:rPr>
              <w:t xml:space="preserve"> sagatavo atbilstoši Gada pārskatu likumam, nevis atbilstoši starptautiskajiem finanšu pārskatu standartiem, ņemot vērā, ka Gada pārskatu likumā noteiktās prasības atšķiras no starptautisko finanšu pārskatu standartu prasībām.</w:t>
            </w:r>
          </w:p>
          <w:p w:rsidR="00FD4B4C" w:rsidRDefault="00FD4B4C" w:rsidP="00A72853">
            <w:pPr>
              <w:pStyle w:val="BodyText3"/>
              <w:spacing w:after="120"/>
              <w:jc w:val="both"/>
              <w:rPr>
                <w:i/>
              </w:rPr>
            </w:pPr>
          </w:p>
          <w:p w:rsidR="00A72853" w:rsidRPr="00A72853" w:rsidRDefault="00A72853" w:rsidP="00A72853">
            <w:pPr>
              <w:pStyle w:val="BodyText3"/>
              <w:spacing w:after="120"/>
              <w:jc w:val="both"/>
              <w:rPr>
                <w:i/>
              </w:rPr>
            </w:pPr>
            <w:r w:rsidRPr="00A72853">
              <w:rPr>
                <w:i/>
              </w:rPr>
              <w:t>I</w:t>
            </w:r>
            <w:r w:rsidR="001557F7">
              <w:rPr>
                <w:i/>
              </w:rPr>
              <w:t>V</w:t>
            </w:r>
            <w:r w:rsidRPr="00A72853">
              <w:rPr>
                <w:i/>
              </w:rPr>
              <w:t xml:space="preserve"> Valdes locekļu atalgojuma jautājumi</w:t>
            </w:r>
            <w:r w:rsidR="00371265">
              <w:rPr>
                <w:i/>
              </w:rPr>
              <w:t xml:space="preserve"> un pilnvarojuma līguma slēgšana</w:t>
            </w:r>
          </w:p>
          <w:p w:rsidR="00984E25" w:rsidRDefault="00012B84" w:rsidP="00A72853">
            <w:pPr>
              <w:pStyle w:val="BodyText3"/>
              <w:spacing w:after="120"/>
              <w:jc w:val="both"/>
              <w:rPr>
                <w:b w:val="0"/>
              </w:rPr>
            </w:pPr>
            <w:r>
              <w:rPr>
                <w:b w:val="0"/>
              </w:rPr>
              <w:t>Šobr</w:t>
            </w:r>
            <w:r w:rsidR="00F4469B">
              <w:rPr>
                <w:b w:val="0"/>
              </w:rPr>
              <w:t>īd L</w:t>
            </w:r>
            <w:r>
              <w:rPr>
                <w:b w:val="0"/>
              </w:rPr>
              <w:t xml:space="preserve">ikuma 79.panta </w:t>
            </w:r>
            <w:r w:rsidR="00984E25">
              <w:rPr>
                <w:b w:val="0"/>
              </w:rPr>
              <w:t>piektā daļa un 115.panta otrā daļa nosaka, ka a</w:t>
            </w:r>
            <w:r w:rsidR="00984E25" w:rsidRPr="00984E25">
              <w:rPr>
                <w:b w:val="0"/>
              </w:rPr>
              <w:t>r sabiedrības valdes locekli slēdz pilnvarojuma līgumu par valdes locekļa pienākumu izpildi.</w:t>
            </w:r>
          </w:p>
          <w:p w:rsidR="008B43A5" w:rsidRDefault="00B95517" w:rsidP="008227E5">
            <w:pPr>
              <w:pStyle w:val="BodyText3"/>
              <w:jc w:val="both"/>
              <w:rPr>
                <w:b w:val="0"/>
              </w:rPr>
            </w:pPr>
            <w:r>
              <w:rPr>
                <w:b w:val="0"/>
              </w:rPr>
              <w:t xml:space="preserve">Ņemot vērā, ka atbilstoši Likumam valdes locekļa atlīdzību nosaka kapitālsabiedrības padome (ja tāda ir izveidota) vai akcionāru (dalībnieku) sapulce un to, ka valdes locekļu pilnvarojuma līgumos tiek pielīgti atlīdzības nosacījumi, būtu jānostiprina nosacījums, ka </w:t>
            </w:r>
            <w:r w:rsidR="006E2B8D">
              <w:rPr>
                <w:b w:val="0"/>
              </w:rPr>
              <w:t xml:space="preserve">ar </w:t>
            </w:r>
            <w:r w:rsidR="008B43A5">
              <w:rPr>
                <w:b w:val="0"/>
              </w:rPr>
              <w:t>valdes locekli slēdzamo pilnvarojuma līgumu pirms tā noslēgšanas apstiprina dalībnieku (akcionāru) sapulce vai padome (ja tāda izveidota)</w:t>
            </w:r>
            <w:r>
              <w:rPr>
                <w:b w:val="0"/>
              </w:rPr>
              <w:t>.</w:t>
            </w:r>
          </w:p>
          <w:p w:rsidR="00A362FA" w:rsidRDefault="00A362FA" w:rsidP="008227E5">
            <w:pPr>
              <w:pStyle w:val="BodyText3"/>
              <w:jc w:val="both"/>
              <w:rPr>
                <w:b w:val="0"/>
              </w:rPr>
            </w:pPr>
            <w:r w:rsidRPr="00A362FA">
              <w:rPr>
                <w:b w:val="0"/>
              </w:rPr>
              <w:t xml:space="preserve">Visas likumā noteiktās valdes locekļa tiesības un </w:t>
            </w:r>
            <w:r w:rsidRPr="00A362FA">
              <w:rPr>
                <w:b w:val="0"/>
              </w:rPr>
              <w:lastRenderedPageBreak/>
              <w:t xml:space="preserve">pienākumi rodas brīdī, kad valdes loceklis tiek ievēlēts amatā. Tādēļ ar valdes locekli </w:t>
            </w:r>
            <w:r w:rsidR="00B45900">
              <w:rPr>
                <w:b w:val="0"/>
              </w:rPr>
              <w:t xml:space="preserve">noslēdzamais pilnvarojuma līgums </w:t>
            </w:r>
            <w:r w:rsidRPr="00A362FA">
              <w:rPr>
                <w:b w:val="0"/>
              </w:rPr>
              <w:t>dalībnieku (akcionāru) sapulcē vai padomē (ja tāda izveidota) būtu apstiprināms vienlaikus ar valdes locekļa ievēlēšanu.</w:t>
            </w:r>
          </w:p>
          <w:p w:rsidR="001C0EAC" w:rsidRPr="00C629D0" w:rsidRDefault="001C0EAC" w:rsidP="008227E5">
            <w:pPr>
              <w:pStyle w:val="BodyText3"/>
              <w:jc w:val="both"/>
              <w:rPr>
                <w:b w:val="0"/>
              </w:rPr>
            </w:pPr>
            <w:r w:rsidRPr="00C629D0">
              <w:rPr>
                <w:b w:val="0"/>
              </w:rPr>
              <w:t>Dalībnieku (akcionāru) sapulcē vai padomes sēdē apstiprinātā</w:t>
            </w:r>
            <w:r w:rsidR="009F2B6C" w:rsidRPr="00C629D0">
              <w:rPr>
                <w:b w:val="0"/>
              </w:rPr>
              <w:t xml:space="preserve"> pilnvarojuma</w:t>
            </w:r>
            <w:r w:rsidRPr="00C629D0">
              <w:rPr>
                <w:b w:val="0"/>
              </w:rPr>
              <w:t xml:space="preserve"> līguma saturs izteic pilnvarotāja gribu. Savukārt pilnvarojuma līgumā kā līdzēji būtu jānorāda kapitālsabiedrība, kuras vārdā rīkojas un līgumu paraksta kapitālsabiedrības valde, jo saskaņā ar Komerclikumu valde ir institūcija, kas vada un pārstāv kapitālsabiedrību, un attiecīgais valdes loceklis. </w:t>
            </w:r>
          </w:p>
          <w:p w:rsidR="000018A6" w:rsidRDefault="000018A6" w:rsidP="008227E5">
            <w:pPr>
              <w:pStyle w:val="BodyText3"/>
              <w:jc w:val="both"/>
              <w:rPr>
                <w:b w:val="0"/>
              </w:rPr>
            </w:pPr>
            <w:r w:rsidRPr="00C629D0">
              <w:rPr>
                <w:b w:val="0"/>
              </w:rPr>
              <w:t>Ņemot vērā, ka pilnvarojuma līgums pirms tā slēgšanas iepriekš būtu apstiprināts dalībnieku (akcionāru) sapulcē vai padomes sēdē, tajā skaitā arī lemjot par valdes locekļa atalgojumu, tad tas novērš interešu konflikta iespējamo situāciju gadījumā kad kapitālsabiedrības valdē ir viens valdes loceklis un tam jāslēdz pilnvarojuma līgums pašam ar sevi, jo pirms tā slēgšanas būtu saņemts saskaņojums pilnvarojuma līguma saturam no valdes uzraugošās institūcijas - dalībnieku (akcionāru) sapulces vai  padomes (ja tāda izveidota).</w:t>
            </w:r>
          </w:p>
          <w:p w:rsidR="00984E25" w:rsidRDefault="00984E25" w:rsidP="008227E5">
            <w:pPr>
              <w:pStyle w:val="BodyText3"/>
              <w:jc w:val="both"/>
              <w:rPr>
                <w:b w:val="0"/>
              </w:rPr>
            </w:pPr>
            <w:r>
              <w:rPr>
                <w:b w:val="0"/>
              </w:rPr>
              <w:t>Likuma 80. un 113.pants nosaka, ka v</w:t>
            </w:r>
            <w:r w:rsidRPr="00984E25">
              <w:rPr>
                <w:b w:val="0"/>
              </w:rPr>
              <w:t>alde ir sabiedrības izpildinstitūcija, kura vada un pārstāv sabiedrību kopīgi</w:t>
            </w:r>
            <w:r>
              <w:rPr>
                <w:b w:val="0"/>
              </w:rPr>
              <w:t>, tādēļ situācijā, ja valdē ir vairāki locekļi, lai izvairītos</w:t>
            </w:r>
            <w:r w:rsidR="00895C02">
              <w:rPr>
                <w:b w:val="0"/>
              </w:rPr>
              <w:t xml:space="preserve"> no līguma slēgšanas pašam ar sevi, tad dalībnieku (akcionāru) sapulce vai padome (ja tāda izveidota) kā pilnvaras devējs var pilnvarot vienu valdes locekli parakstīt pilnvarojuma l</w:t>
            </w:r>
            <w:r w:rsidR="006767BC">
              <w:rPr>
                <w:b w:val="0"/>
              </w:rPr>
              <w:t>īgumu ar citu valdes loc</w:t>
            </w:r>
            <w:r w:rsidR="00895C02">
              <w:rPr>
                <w:b w:val="0"/>
              </w:rPr>
              <w:t>ekli</w:t>
            </w:r>
            <w:r w:rsidRPr="00984E25">
              <w:rPr>
                <w:b w:val="0"/>
              </w:rPr>
              <w:t>.</w:t>
            </w:r>
          </w:p>
          <w:p w:rsidR="00984E25" w:rsidRDefault="005755D3" w:rsidP="008227E5">
            <w:pPr>
              <w:pStyle w:val="BodyText3"/>
              <w:jc w:val="both"/>
              <w:rPr>
                <w:b w:val="0"/>
              </w:rPr>
            </w:pPr>
            <w:r>
              <w:rPr>
                <w:b w:val="0"/>
              </w:rPr>
              <w:t xml:space="preserve">Saskaņā ar Likuma 79.panta </w:t>
            </w:r>
            <w:r w:rsidR="00984E25" w:rsidRPr="00984E25">
              <w:rPr>
                <w:b w:val="0"/>
              </w:rPr>
              <w:t>sest</w:t>
            </w:r>
            <w:r>
              <w:rPr>
                <w:b w:val="0"/>
              </w:rPr>
              <w:t>o daļu</w:t>
            </w:r>
            <w:r w:rsidR="00984E25" w:rsidRPr="00984E25">
              <w:rPr>
                <w:b w:val="0"/>
              </w:rPr>
              <w:t xml:space="preserve"> un 117.panta treš</w:t>
            </w:r>
            <w:r>
              <w:rPr>
                <w:b w:val="0"/>
              </w:rPr>
              <w:t>o</w:t>
            </w:r>
            <w:r w:rsidR="00984E25" w:rsidRPr="00984E25">
              <w:rPr>
                <w:b w:val="0"/>
              </w:rPr>
              <w:t xml:space="preserve"> daļ</w:t>
            </w:r>
            <w:r>
              <w:rPr>
                <w:b w:val="0"/>
              </w:rPr>
              <w:t>u</w:t>
            </w:r>
            <w:r w:rsidR="00984E25" w:rsidRPr="00984E25">
              <w:rPr>
                <w:b w:val="0"/>
              </w:rPr>
              <w:t xml:space="preserve"> pilnvarojuma līgumā valdes loceklim var pielīgt apdrošināšanu un atsaukšanas pabalstu. </w:t>
            </w:r>
            <w:r w:rsidR="00F51D25">
              <w:rPr>
                <w:b w:val="0"/>
              </w:rPr>
              <w:t>Skaidrības labad tiek ierosināts</w:t>
            </w:r>
            <w:r>
              <w:rPr>
                <w:b w:val="0"/>
              </w:rPr>
              <w:t xml:space="preserve"> papildināt minētās normas ar teikumu, j</w:t>
            </w:r>
            <w:r w:rsidRPr="004B4BA0">
              <w:rPr>
                <w:b w:val="0"/>
              </w:rPr>
              <w:t xml:space="preserve">a </w:t>
            </w:r>
            <w:r w:rsidRPr="003B371C">
              <w:rPr>
                <w:b w:val="0"/>
              </w:rPr>
              <w:t xml:space="preserve">pilnvarojuma līgumā nav pielīgta apdrošināšana </w:t>
            </w:r>
            <w:r>
              <w:rPr>
                <w:b w:val="0"/>
              </w:rPr>
              <w:t xml:space="preserve">un </w:t>
            </w:r>
            <w:r w:rsidRPr="003B371C">
              <w:rPr>
                <w:b w:val="0"/>
              </w:rPr>
              <w:t>atsaukšanas pabalsts, tos nepiešķir.</w:t>
            </w:r>
          </w:p>
          <w:p w:rsidR="00375E84" w:rsidRDefault="003B371C" w:rsidP="008227E5">
            <w:pPr>
              <w:pStyle w:val="BodyText3"/>
              <w:jc w:val="both"/>
              <w:rPr>
                <w:b w:val="0"/>
                <w:i/>
              </w:rPr>
            </w:pPr>
            <w:r w:rsidRPr="003B371C">
              <w:rPr>
                <w:b w:val="0"/>
                <w:i/>
              </w:rPr>
              <w:t>Par valdes locekļa mēneša atlīdzības noteikšanas kritērijiem un atlīdzības ikgadēju pārskatīšanu</w:t>
            </w:r>
          </w:p>
          <w:p w:rsidR="003B371C" w:rsidRPr="000D7361" w:rsidRDefault="003B371C" w:rsidP="003B371C">
            <w:pPr>
              <w:pStyle w:val="BodyText3"/>
              <w:jc w:val="both"/>
              <w:rPr>
                <w:b w:val="0"/>
              </w:rPr>
            </w:pPr>
            <w:r>
              <w:rPr>
                <w:b w:val="0"/>
              </w:rPr>
              <w:t>Likuma 79.panta ceturtā daļa un 117.panta pirmā daļa nosaka, ka m</w:t>
            </w:r>
            <w:r w:rsidRPr="003B371C">
              <w:rPr>
                <w:b w:val="0"/>
              </w:rPr>
              <w:t xml:space="preserve">ēneša atlīdzību valdes locekļiem nosaka, </w:t>
            </w:r>
            <w:r w:rsidRPr="003B371C">
              <w:rPr>
                <w:b w:val="0"/>
              </w:rPr>
              <w:lastRenderedPageBreak/>
              <w:t xml:space="preserve">ievērojot Ministru kabineta noteikumos paredzēto mēneša atlīdzības maksimālo apmēru. Ministru kabinets nosaka valdes locekļa mēneša atlīdzības maksimālo apmēru, ņemot vērā vidējo atlīdzību vadībai līdzīga lieluma (neto apgrozījums, bilances kopsumma, darbinieku skaits) sabiedrībās privātajā sektorā vai — atsevišķos gadījumos — nozarē, kurā attiecīgā sabiedrība darbojas. Valdes locekļa mēneša atlīdzības maksimālais apmērs nekādā gadījumā nedrīkst pārsniegt Centrālās statistikas pārvaldes oficiālajā statistikas paziņojumā publicēto valstī strādājošo iepriekšējā gada mēneša vidējās darba samaksas apmēru, kas noapaļots pilnos </w:t>
            </w:r>
            <w:proofErr w:type="spellStart"/>
            <w:r w:rsidRPr="003B371C">
              <w:rPr>
                <w:b w:val="0"/>
              </w:rPr>
              <w:t>euro</w:t>
            </w:r>
            <w:proofErr w:type="spellEnd"/>
            <w:r w:rsidRPr="003B371C">
              <w:rPr>
                <w:b w:val="0"/>
              </w:rPr>
              <w:t xml:space="preserve"> un kam piemērots koeficients 10. Valdes locekļa mēneša atlīdzību nosaka uz visu valdes locekļa pilnvaru termiņu ar tiesībām to pārskatīt reizi gadā pēc gada pārskata apstiprināšanas. Mēneša atlīdzības noteik</w:t>
            </w:r>
            <w:r>
              <w:rPr>
                <w:b w:val="0"/>
              </w:rPr>
              <w:t xml:space="preserve">šanā ņem vērā šādus kritērijus: </w:t>
            </w:r>
            <w:r w:rsidRPr="003B371C">
              <w:rPr>
                <w:b w:val="0"/>
              </w:rPr>
              <w:t>1) kapitālsabiedrības darbības rezul</w:t>
            </w:r>
            <w:r>
              <w:rPr>
                <w:b w:val="0"/>
              </w:rPr>
              <w:t xml:space="preserve">tāti iepriekšējā pārskata gadā; </w:t>
            </w:r>
            <w:r w:rsidRPr="003B371C">
              <w:rPr>
                <w:b w:val="0"/>
              </w:rPr>
              <w:t xml:space="preserve">2) vidēja termiņa darbības stratēģijas izpilde un kapitālsabiedrības darbības rezultāti saskaņā ar definētajiem finanšu un </w:t>
            </w:r>
            <w:proofErr w:type="spellStart"/>
            <w:r w:rsidRPr="003B371C">
              <w:rPr>
                <w:b w:val="0"/>
              </w:rPr>
              <w:t>nefinanšu</w:t>
            </w:r>
            <w:proofErr w:type="spellEnd"/>
            <w:r w:rsidRPr="003B371C">
              <w:rPr>
                <w:b w:val="0"/>
              </w:rPr>
              <w:t xml:space="preserve"> mērķiem.</w:t>
            </w:r>
          </w:p>
          <w:p w:rsidR="00375E84" w:rsidRPr="003B371C" w:rsidRDefault="003B371C" w:rsidP="00375E84">
            <w:pPr>
              <w:jc w:val="both"/>
              <w:rPr>
                <w:rFonts w:ascii="Times New Roman" w:hAnsi="Times New Roman"/>
                <w:szCs w:val="28"/>
                <w:lang w:eastAsia="lv-LV"/>
              </w:rPr>
            </w:pPr>
            <w:r>
              <w:rPr>
                <w:rFonts w:ascii="Times New Roman" w:hAnsi="Times New Roman"/>
                <w:szCs w:val="28"/>
                <w:lang w:eastAsia="lv-LV"/>
              </w:rPr>
              <w:t>Iepriekš minētie kritēriji nebūtu jāņem vērā</w:t>
            </w:r>
            <w:r w:rsidR="00375E84" w:rsidRPr="003B371C">
              <w:rPr>
                <w:rFonts w:ascii="Times New Roman" w:hAnsi="Times New Roman"/>
                <w:szCs w:val="28"/>
                <w:lang w:eastAsia="lv-LV"/>
              </w:rPr>
              <w:t xml:space="preserve"> pirmreizēji nosakot mēneša atlīdzības apmēru valdes loceklim</w:t>
            </w:r>
            <w:r w:rsidR="008D4686">
              <w:rPr>
                <w:rFonts w:ascii="Times New Roman" w:hAnsi="Times New Roman"/>
                <w:szCs w:val="28"/>
                <w:lang w:eastAsia="lv-LV"/>
              </w:rPr>
              <w:t>.</w:t>
            </w:r>
            <w:r>
              <w:rPr>
                <w:rFonts w:ascii="Times New Roman" w:hAnsi="Times New Roman"/>
                <w:szCs w:val="28"/>
                <w:lang w:eastAsia="lv-LV"/>
              </w:rPr>
              <w:t xml:space="preserve"> </w:t>
            </w:r>
            <w:r w:rsidR="008D4686">
              <w:rPr>
                <w:rFonts w:ascii="Times New Roman" w:hAnsi="Times New Roman"/>
                <w:szCs w:val="28"/>
                <w:lang w:eastAsia="lv-LV"/>
              </w:rPr>
              <w:t xml:space="preserve">Valdes locekļa atalgojums tiks noteikts, pamatojoties uz tirgus praksi, </w:t>
            </w:r>
            <w:r w:rsidR="008D4686" w:rsidRPr="003B371C">
              <w:t xml:space="preserve">ņemot vērā vidējo atlīdzību vadībai līdzīga lieluma (neto apgrozījums, bilances kopsumma, darbinieku skaits) </w:t>
            </w:r>
            <w:r w:rsidR="00D02F89">
              <w:t>kapitāl</w:t>
            </w:r>
            <w:r w:rsidR="008D4686" w:rsidRPr="003B371C">
              <w:t>sabiedrībās privātajā sektorā</w:t>
            </w:r>
            <w:r w:rsidR="00D02F89">
              <w:t>. Izpētītā tirgus prakse būs ietverta noteikumos, ko izdos Ministru kabinets un kuros būs noteikts valdes locekļu atlīdzības maksimālais apmērs, ko nedrīkstēs pārsniegt.</w:t>
            </w:r>
            <w:r w:rsidR="008D4686" w:rsidRPr="003B371C">
              <w:t xml:space="preserve"> </w:t>
            </w:r>
            <w:r w:rsidR="00D02F89">
              <w:t>Atlīdzības apmēru valdes loceklim var ietekmēt viņa kvalifikācija, pieredze</w:t>
            </w:r>
            <w:r w:rsidR="009D1B10">
              <w:t xml:space="preserve"> un citi faktori, ko ņem</w:t>
            </w:r>
            <w:r w:rsidR="00D02F89">
              <w:t xml:space="preserve"> vērā dalībnieku (akcionāru) sapulce vai padome (ja tāda izveidota) nosakot atalgojumu. Šobrīd likumā minētos atlīdzības noteikšanas kritērijus</w:t>
            </w:r>
            <w:r w:rsidR="00AC76E8">
              <w:rPr>
                <w:rFonts w:ascii="Times New Roman" w:hAnsi="Times New Roman"/>
                <w:szCs w:val="28"/>
                <w:lang w:eastAsia="lv-LV"/>
              </w:rPr>
              <w:t xml:space="preserve"> varētu ņemt </w:t>
            </w:r>
            <w:r w:rsidR="00375E84" w:rsidRPr="003B371C">
              <w:rPr>
                <w:rFonts w:ascii="Times New Roman" w:hAnsi="Times New Roman"/>
                <w:szCs w:val="28"/>
                <w:lang w:eastAsia="lv-LV"/>
              </w:rPr>
              <w:t>vērā, nosakot prēmiju valdes locekļiem par gada rezultātiem</w:t>
            </w:r>
            <w:r w:rsidR="00D02F89">
              <w:rPr>
                <w:rFonts w:ascii="Times New Roman" w:hAnsi="Times New Roman"/>
                <w:szCs w:val="28"/>
                <w:lang w:eastAsia="lv-LV"/>
              </w:rPr>
              <w:t>, nevis mēneša atlīdzību</w:t>
            </w:r>
            <w:r w:rsidR="00375E84" w:rsidRPr="003B371C">
              <w:rPr>
                <w:rFonts w:ascii="Times New Roman" w:hAnsi="Times New Roman"/>
                <w:szCs w:val="28"/>
                <w:lang w:eastAsia="lv-LV"/>
              </w:rPr>
              <w:t>.</w:t>
            </w:r>
            <w:r w:rsidR="00AC76E8">
              <w:rPr>
                <w:rFonts w:ascii="Times New Roman" w:hAnsi="Times New Roman"/>
                <w:szCs w:val="28"/>
                <w:lang w:eastAsia="lv-LV"/>
              </w:rPr>
              <w:t xml:space="preserve"> Ierosinām izslēgt </w:t>
            </w:r>
            <w:r w:rsidR="00AC76E8" w:rsidRPr="00AC76E8">
              <w:rPr>
                <w:rFonts w:ascii="Times New Roman" w:hAnsi="Times New Roman"/>
                <w:szCs w:val="28"/>
                <w:lang w:eastAsia="lv-LV"/>
              </w:rPr>
              <w:t xml:space="preserve">Likuma 79.panta ceturtās daļas </w:t>
            </w:r>
            <w:r w:rsidR="00AC76E8">
              <w:rPr>
                <w:rFonts w:ascii="Times New Roman" w:hAnsi="Times New Roman"/>
                <w:szCs w:val="28"/>
                <w:lang w:eastAsia="lv-LV"/>
              </w:rPr>
              <w:t>piekto</w:t>
            </w:r>
            <w:r w:rsidR="00AC76E8" w:rsidRPr="00AC76E8">
              <w:rPr>
                <w:rFonts w:ascii="Times New Roman" w:hAnsi="Times New Roman"/>
                <w:szCs w:val="28"/>
                <w:lang w:eastAsia="lv-LV"/>
              </w:rPr>
              <w:t xml:space="preserve"> teikumu un 117.panta pirmās daļas </w:t>
            </w:r>
            <w:r w:rsidR="00AC76E8">
              <w:rPr>
                <w:rFonts w:ascii="Times New Roman" w:hAnsi="Times New Roman"/>
                <w:szCs w:val="28"/>
                <w:lang w:eastAsia="lv-LV"/>
              </w:rPr>
              <w:t>piekto teikumu, kas nosaka, kādus kritērijus ņem vērā nosakot mēneša atlīdzību.</w:t>
            </w:r>
          </w:p>
          <w:p w:rsidR="0035707A" w:rsidRDefault="00375E84" w:rsidP="0035707A">
            <w:pPr>
              <w:jc w:val="both"/>
            </w:pPr>
            <w:r w:rsidRPr="003B371C">
              <w:rPr>
                <w:rFonts w:ascii="Times New Roman" w:hAnsi="Times New Roman"/>
                <w:szCs w:val="28"/>
                <w:lang w:eastAsia="lv-LV"/>
              </w:rPr>
              <w:t>Tāpat arī tiesības pārskatīt valdes locekļa atlīdzības apmēru nebūtu sasaistāmas ar kapitālsabiedrības gada pārskata apstiprināšanu,</w:t>
            </w:r>
            <w:r w:rsidR="009D1B10">
              <w:rPr>
                <w:rFonts w:ascii="Times New Roman" w:hAnsi="Times New Roman"/>
                <w:szCs w:val="28"/>
                <w:lang w:eastAsia="lv-LV"/>
              </w:rPr>
              <w:t xml:space="preserve"> </w:t>
            </w:r>
            <w:r w:rsidRPr="003B371C">
              <w:rPr>
                <w:rFonts w:ascii="Times New Roman" w:hAnsi="Times New Roman"/>
                <w:szCs w:val="28"/>
                <w:lang w:eastAsia="lv-LV"/>
              </w:rPr>
              <w:t xml:space="preserve">kapitālsabiedrības gada pārskata apstiprināšana </w:t>
            </w:r>
            <w:r w:rsidR="009D1B10">
              <w:rPr>
                <w:rFonts w:ascii="Times New Roman" w:hAnsi="Times New Roman"/>
                <w:szCs w:val="28"/>
                <w:lang w:eastAsia="lv-LV"/>
              </w:rPr>
              <w:t>ir</w:t>
            </w:r>
            <w:r w:rsidRPr="003B371C">
              <w:rPr>
                <w:rFonts w:ascii="Times New Roman" w:hAnsi="Times New Roman"/>
                <w:szCs w:val="28"/>
                <w:lang w:eastAsia="lv-LV"/>
              </w:rPr>
              <w:t xml:space="preserve"> sasaistāma ar tiesībām valdes loceklim </w:t>
            </w:r>
            <w:r w:rsidRPr="003B371C">
              <w:rPr>
                <w:rFonts w:ascii="Times New Roman" w:hAnsi="Times New Roman"/>
                <w:szCs w:val="28"/>
                <w:lang w:eastAsia="lv-LV"/>
              </w:rPr>
              <w:lastRenderedPageBreak/>
              <w:t xml:space="preserve">noteikt un izmaksāt prēmiju par labiem darba rezultātiem. </w:t>
            </w:r>
            <w:r w:rsidR="00D02F89">
              <w:t>Dalībnieku (akcionāru) sapulcei vai padomei (ja tāda izve</w:t>
            </w:r>
            <w:r w:rsidR="009D1B10">
              <w:t>idota)</w:t>
            </w:r>
            <w:r w:rsidR="00D02F89">
              <w:t xml:space="preserve"> jāļauj pārskatīt valdes atalgojumu jebkurā laikā, kad tā to uzskata par nepieciešamu.</w:t>
            </w:r>
            <w:r w:rsidR="003F1DBE">
              <w:rPr>
                <w:rFonts w:ascii="Times New Roman" w:hAnsi="Times New Roman"/>
                <w:szCs w:val="28"/>
                <w:lang w:eastAsia="lv-LV"/>
              </w:rPr>
              <w:t xml:space="preserve"> </w:t>
            </w:r>
            <w:r w:rsidRPr="003B371C">
              <w:rPr>
                <w:rFonts w:ascii="Times New Roman" w:hAnsi="Times New Roman"/>
                <w:szCs w:val="28"/>
                <w:lang w:eastAsia="lv-LV"/>
              </w:rPr>
              <w:t>L</w:t>
            </w:r>
            <w:r w:rsidR="003B371C">
              <w:rPr>
                <w:rFonts w:ascii="Times New Roman" w:hAnsi="Times New Roman"/>
                <w:szCs w:val="28"/>
                <w:lang w:eastAsia="lv-LV"/>
              </w:rPr>
              <w:t>īdz ar to ierosinām izslēgt L</w:t>
            </w:r>
            <w:r w:rsidRPr="003B371C">
              <w:rPr>
                <w:rFonts w:ascii="Times New Roman" w:hAnsi="Times New Roman"/>
                <w:szCs w:val="28"/>
                <w:lang w:eastAsia="lv-LV"/>
              </w:rPr>
              <w:t xml:space="preserve">ikuma </w:t>
            </w:r>
            <w:r w:rsidR="003B371C">
              <w:rPr>
                <w:rFonts w:ascii="Times New Roman" w:hAnsi="Times New Roman"/>
                <w:szCs w:val="28"/>
                <w:lang w:eastAsia="lv-LV"/>
              </w:rPr>
              <w:t xml:space="preserve">79.panta ceturtās daļas ceturto teikumu un </w:t>
            </w:r>
            <w:r w:rsidRPr="003B371C">
              <w:rPr>
                <w:rFonts w:ascii="Times New Roman" w:hAnsi="Times New Roman"/>
                <w:szCs w:val="28"/>
                <w:lang w:eastAsia="lv-LV"/>
              </w:rPr>
              <w:t>117.panta pirmās daļas ceturto teikumu, kas noteic, ka valdes locekļa mēneša atlīdzību nosaka uz visu valdes locekļa pilnvaru termiņu ar tiesībām to pārskatīt reizi gadā pēc gada pārskata apstiprināšanas.</w:t>
            </w:r>
            <w:r w:rsidR="0035707A">
              <w:t xml:space="preserve"> </w:t>
            </w:r>
          </w:p>
          <w:p w:rsidR="00A72853" w:rsidRPr="00A72853" w:rsidRDefault="00A72853" w:rsidP="00A72853">
            <w:pPr>
              <w:pStyle w:val="BodyText3"/>
              <w:spacing w:after="120"/>
              <w:jc w:val="both"/>
              <w:rPr>
                <w:i/>
              </w:rPr>
            </w:pPr>
            <w:r w:rsidRPr="00A72853">
              <w:rPr>
                <w:i/>
              </w:rPr>
              <w:t>V Kapitāla daļu pārdošanas jautājumi</w:t>
            </w:r>
          </w:p>
          <w:p w:rsidR="00774432" w:rsidRDefault="00BC6E21" w:rsidP="00A72853">
            <w:pPr>
              <w:pStyle w:val="BodyText3"/>
              <w:spacing w:after="120"/>
              <w:jc w:val="both"/>
              <w:rPr>
                <w:b w:val="0"/>
              </w:rPr>
            </w:pPr>
            <w:r>
              <w:rPr>
                <w:b w:val="0"/>
              </w:rPr>
              <w:t xml:space="preserve">Saskaņā ar </w:t>
            </w:r>
            <w:r w:rsidR="00774432">
              <w:rPr>
                <w:b w:val="0"/>
              </w:rPr>
              <w:t>Likuma pārejas noteikumu 12.punktā š</w:t>
            </w:r>
            <w:r w:rsidR="00774432" w:rsidRPr="00774432">
              <w:rPr>
                <w:b w:val="0"/>
              </w:rPr>
              <w:t xml:space="preserve">ajā likumā paredzētās valsts kapitāla daļu atsavināšanu veicošās institūcijas uzdevumu pilda valsts akciju sabiedrība "Privatizācijas aģentūra" (turpmāk — </w:t>
            </w:r>
            <w:r w:rsidR="00774432">
              <w:rPr>
                <w:b w:val="0"/>
              </w:rPr>
              <w:t>Privatizācijas a</w:t>
            </w:r>
            <w:r w:rsidR="00774432" w:rsidRPr="00774432">
              <w:rPr>
                <w:b w:val="0"/>
              </w:rPr>
              <w:t xml:space="preserve">ģentūra) līdz brīdim, kad Ministru kabinets pieņems lēmumu par valsts kapitāla daļu atsavināšanu veicošo institūciju un </w:t>
            </w:r>
            <w:r w:rsidR="00774432">
              <w:rPr>
                <w:b w:val="0"/>
              </w:rPr>
              <w:t>Privatizācijas a</w:t>
            </w:r>
            <w:r w:rsidR="00774432" w:rsidRPr="00774432">
              <w:rPr>
                <w:b w:val="0"/>
              </w:rPr>
              <w:t>ģentūra būs nodevusi tās turējumā esošās kapitāla daļas.</w:t>
            </w:r>
            <w:r w:rsidR="00774432">
              <w:rPr>
                <w:b w:val="0"/>
              </w:rPr>
              <w:t xml:space="preserve"> Ņemot vērā, ka Likums paredz, ka Privatizācijas aģentūra, kas ir valsts kapitālsabiedrība, joprojām pilda atsavināšanu veicošās institūcijas </w:t>
            </w:r>
            <w:r w:rsidR="007D76DF">
              <w:rPr>
                <w:b w:val="0"/>
              </w:rPr>
              <w:t>uzdevumus</w:t>
            </w:r>
            <w:r w:rsidR="00774432">
              <w:rPr>
                <w:b w:val="0"/>
              </w:rPr>
              <w:t>, tādēļ Likumā ir nepieciešams</w:t>
            </w:r>
            <w:r w:rsidR="00774432" w:rsidRPr="00774432">
              <w:rPr>
                <w:b w:val="0"/>
              </w:rPr>
              <w:t xml:space="preserve"> iestrādāt </w:t>
            </w:r>
            <w:r w:rsidR="00774432">
              <w:rPr>
                <w:b w:val="0"/>
              </w:rPr>
              <w:t>valsts kapitāla daļu atsavināšanas veicošās institūcijas finansēšanas noteikumus.</w:t>
            </w:r>
          </w:p>
          <w:p w:rsidR="008B3138" w:rsidRDefault="007D76DF" w:rsidP="00A72853">
            <w:pPr>
              <w:pStyle w:val="BodyText3"/>
              <w:spacing w:after="120"/>
              <w:jc w:val="both"/>
              <w:rPr>
                <w:b w:val="0"/>
              </w:rPr>
            </w:pPr>
            <w:r>
              <w:rPr>
                <w:b w:val="0"/>
              </w:rPr>
              <w:t>Attiecīgi Likumprojekts paredz papildināt ar nosacījumu (</w:t>
            </w:r>
            <w:r w:rsidR="00F4469B">
              <w:rPr>
                <w:b w:val="0"/>
              </w:rPr>
              <w:t>L</w:t>
            </w:r>
            <w:r w:rsidR="008B3138">
              <w:rPr>
                <w:b w:val="0"/>
              </w:rPr>
              <w:t>ikuma 139.pants</w:t>
            </w:r>
            <w:r>
              <w:rPr>
                <w:b w:val="0"/>
              </w:rPr>
              <w:t>)</w:t>
            </w:r>
            <w:r w:rsidR="008B3138">
              <w:rPr>
                <w:b w:val="0"/>
              </w:rPr>
              <w:t>, ja atsavināšanu veicošā institūcija ir valsts kapitālsabiedrība, tad tās ieņēmumus no valsts kapitāla daļu pārdošanas veido atskaitījumi no kapitāla daļu atsavināšanas iegūtajiem līdzekļiem</w:t>
            </w:r>
            <w:r w:rsidR="00436F65">
              <w:rPr>
                <w:b w:val="0"/>
              </w:rPr>
              <w:t>, nosakot, ka atskaitījumu apmēru un to noteikšanas kārtību nosaka Ministru kabinets. Šāds papildinājums nepieciešams, jo gadījumā, ja valsts kapitāla daļu pārdošanu organizē valsts iestāde, tad visas ar pārdošanu saistītās darbības tiek finansētas no valsts budžet</w:t>
            </w:r>
            <w:r w:rsidR="008D58CD">
              <w:rPr>
                <w:b w:val="0"/>
              </w:rPr>
              <w:t>a</w:t>
            </w:r>
            <w:r w:rsidR="00436F65">
              <w:rPr>
                <w:b w:val="0"/>
              </w:rPr>
              <w:t>, taču gadījumā, ja atsavināšanu veicošā institūcija ir valsts kapitālsabiedrība, tad ir jāparedz finansēšanas mehānisms.</w:t>
            </w:r>
          </w:p>
          <w:p w:rsidR="00CB2730" w:rsidRPr="00CB2730" w:rsidRDefault="00E9279A" w:rsidP="00CB2730">
            <w:pPr>
              <w:pStyle w:val="NoSpacing"/>
              <w:jc w:val="both"/>
              <w:rPr>
                <w:rFonts w:ascii="Times New Roman" w:hAnsi="Times New Roman"/>
              </w:rPr>
            </w:pPr>
            <w:r w:rsidRPr="00CB2730">
              <w:rPr>
                <w:rFonts w:ascii="Times New Roman" w:hAnsi="Times New Roman"/>
              </w:rPr>
              <w:t>Tāpat ir nepieciešams precizēt</w:t>
            </w:r>
            <w:r w:rsidR="008A1A0F" w:rsidRPr="00CB2730">
              <w:rPr>
                <w:rFonts w:ascii="Times New Roman" w:hAnsi="Times New Roman"/>
              </w:rPr>
              <w:t xml:space="preserve"> mehānism</w:t>
            </w:r>
            <w:r w:rsidR="00774432" w:rsidRPr="00CB2730">
              <w:rPr>
                <w:rFonts w:ascii="Times New Roman" w:hAnsi="Times New Roman"/>
              </w:rPr>
              <w:t>u</w:t>
            </w:r>
            <w:r w:rsidR="008A1A0F" w:rsidRPr="00CB2730">
              <w:rPr>
                <w:rFonts w:ascii="Times New Roman" w:hAnsi="Times New Roman"/>
              </w:rPr>
              <w:t>, pēc kāda nosaka publiskas personas</w:t>
            </w:r>
            <w:r w:rsidR="008B3138" w:rsidRPr="00CB2730">
              <w:rPr>
                <w:rFonts w:ascii="Times New Roman" w:hAnsi="Times New Roman"/>
              </w:rPr>
              <w:t xml:space="preserve"> kapitāla daļu pārdošanas sākotnējo vērtību</w:t>
            </w:r>
            <w:r w:rsidR="000F6208" w:rsidRPr="00CB2730">
              <w:rPr>
                <w:rFonts w:ascii="Times New Roman" w:hAnsi="Times New Roman"/>
              </w:rPr>
              <w:t xml:space="preserve"> (Likuma 140.pants)</w:t>
            </w:r>
            <w:r w:rsidR="00163586" w:rsidRPr="00CB2730">
              <w:rPr>
                <w:rFonts w:ascii="Times New Roman" w:hAnsi="Times New Roman"/>
              </w:rPr>
              <w:t xml:space="preserve">. Šobrīd Likuma 140.panta pirmā daļa nosaka, ka publiskas personas kapitāla daļu pārdošanas sākotnējā vērtība ir vērtība, ko noteicis neatkarīgs sertificēts vērtētājs saskaņā ar Latvijā atzītiem vērtēšanas standartiem. Taču ņemot vērā, ka valsts kapitāla daļas var būt arī publiskajā apgrozībā un </w:t>
            </w:r>
            <w:r w:rsidR="00163586" w:rsidRPr="00CB2730">
              <w:rPr>
                <w:rFonts w:ascii="Times New Roman" w:hAnsi="Times New Roman"/>
              </w:rPr>
              <w:lastRenderedPageBreak/>
              <w:t>ņemot vērā to vērtības noteikšanas specifiku</w:t>
            </w:r>
            <w:r w:rsidRPr="00CB2730">
              <w:rPr>
                <w:rFonts w:ascii="Times New Roman" w:hAnsi="Times New Roman"/>
              </w:rPr>
              <w:t xml:space="preserve">, </w:t>
            </w:r>
            <w:r w:rsidR="00163586" w:rsidRPr="00CB2730">
              <w:rPr>
                <w:rFonts w:ascii="Times New Roman" w:hAnsi="Times New Roman"/>
              </w:rPr>
              <w:t>būtu nepieciešams noš</w:t>
            </w:r>
            <w:r w:rsidR="00CB2730" w:rsidRPr="00CB2730">
              <w:rPr>
                <w:rFonts w:ascii="Times New Roman" w:hAnsi="Times New Roman"/>
              </w:rPr>
              <w:t>ķir</w:t>
            </w:r>
            <w:r w:rsidR="00163586" w:rsidRPr="00CB2730">
              <w:rPr>
                <w:rFonts w:ascii="Times New Roman" w:hAnsi="Times New Roman"/>
              </w:rPr>
              <w:t xml:space="preserve">t gadījumus, ja tiek pārdotas kapitāla daļas, kuras atrodas publiskajā apgrozībā, un citus gadījumus. </w:t>
            </w:r>
            <w:r w:rsidR="00CB2730" w:rsidRPr="00CB2730">
              <w:rPr>
                <w:rFonts w:ascii="Times New Roman" w:hAnsi="Times New Roman"/>
              </w:rPr>
              <w:t>Ja tiek pārdotas kapitāla daļas, kuras atrodas publiskajā apgrozībā</w:t>
            </w:r>
            <w:r w:rsidR="00CB2730" w:rsidRPr="00CB2730">
              <w:rPr>
                <w:rFonts w:ascii="Times New Roman" w:hAnsi="Times New Roman"/>
                <w:i/>
              </w:rPr>
              <w:t>,</w:t>
            </w:r>
            <w:r w:rsidR="00CB2730" w:rsidRPr="00F51D25">
              <w:rPr>
                <w:rFonts w:ascii="Times New Roman" w:hAnsi="Times New Roman"/>
              </w:rPr>
              <w:t xml:space="preserve"> publiskas</w:t>
            </w:r>
            <w:r w:rsidR="00CB2730" w:rsidRPr="00CB2730">
              <w:rPr>
                <w:rFonts w:ascii="Times New Roman" w:hAnsi="Times New Roman"/>
              </w:rPr>
              <w:t xml:space="preserve"> personas augstākā lēmējinstitūcija, pieņemot lēmumu par kapitāla daļu pārdošanu, nosaka sākotnējās vērtības noteikšanas kārtību</w:t>
            </w:r>
          </w:p>
          <w:p w:rsidR="00CB2730" w:rsidRPr="00CB2730" w:rsidRDefault="00CB2730" w:rsidP="00CB2730">
            <w:pPr>
              <w:pStyle w:val="NoSpacing"/>
              <w:jc w:val="both"/>
              <w:rPr>
                <w:rFonts w:ascii="Times New Roman" w:hAnsi="Times New Roman"/>
              </w:rPr>
            </w:pPr>
            <w:r w:rsidRPr="00CB2730">
              <w:rPr>
                <w:rFonts w:ascii="Times New Roman" w:hAnsi="Times New Roman"/>
              </w:rPr>
              <w:t>Taču attiecībā uz pārējiem gadījumiem tiek saglabāta kārtība, ka to valsts kapitāla daļu sākotnējo vērtību, kuras nav publiskajā apgrozībā, nosaka sertificēts vērtētājs saskaņā ar Latvijā atzītiem vērtēšanas standartiem.</w:t>
            </w:r>
          </w:p>
          <w:p w:rsidR="00A72853" w:rsidRDefault="00163586" w:rsidP="00DB7643">
            <w:pPr>
              <w:pStyle w:val="BodyText3"/>
              <w:jc w:val="both"/>
              <w:rPr>
                <w:b w:val="0"/>
              </w:rPr>
            </w:pPr>
            <w:r>
              <w:rPr>
                <w:b w:val="0"/>
              </w:rPr>
              <w:t>T</w:t>
            </w:r>
            <w:r w:rsidR="006028FE">
              <w:rPr>
                <w:b w:val="0"/>
              </w:rPr>
              <w:t>ādā veidā Likums dod iespēju, pieņemot lēmumus par kapitāla daļu pārdošanu</w:t>
            </w:r>
            <w:r>
              <w:rPr>
                <w:b w:val="0"/>
              </w:rPr>
              <w:t>,</w:t>
            </w:r>
            <w:r w:rsidR="006028FE">
              <w:rPr>
                <w:b w:val="0"/>
              </w:rPr>
              <w:t xml:space="preserve"> izvēlēties kapitāla daļu sākotnējās vērtības noteikšanas veidu, ņemot vērā konkrēto kapitāla daļu pārdošanas īpatnības</w:t>
            </w:r>
            <w:r w:rsidR="00AD4B2D">
              <w:rPr>
                <w:b w:val="0"/>
              </w:rPr>
              <w:t>.</w:t>
            </w:r>
          </w:p>
          <w:p w:rsidR="00A72853" w:rsidRPr="00A72853" w:rsidRDefault="00A72853" w:rsidP="00A72853">
            <w:pPr>
              <w:pStyle w:val="BodyText3"/>
              <w:spacing w:after="120"/>
              <w:jc w:val="both"/>
              <w:rPr>
                <w:i/>
              </w:rPr>
            </w:pPr>
            <w:r w:rsidRPr="00A72853">
              <w:rPr>
                <w:i/>
              </w:rPr>
              <w:t>V</w:t>
            </w:r>
            <w:r w:rsidR="00BD45C2">
              <w:rPr>
                <w:i/>
              </w:rPr>
              <w:t>I</w:t>
            </w:r>
            <w:r w:rsidR="008D4686">
              <w:rPr>
                <w:i/>
              </w:rPr>
              <w:t xml:space="preserve"> </w:t>
            </w:r>
            <w:r w:rsidR="00E87ABD">
              <w:rPr>
                <w:i/>
              </w:rPr>
              <w:t>Nepieciešamie grozījumi, lai ieviestu pāreju Likum</w:t>
            </w:r>
            <w:r w:rsidR="00240802">
              <w:rPr>
                <w:i/>
              </w:rPr>
              <w:t>ā</w:t>
            </w:r>
            <w:r w:rsidR="00E87ABD">
              <w:rPr>
                <w:i/>
              </w:rPr>
              <w:t xml:space="preserve"> noteiktu uzdevum</w:t>
            </w:r>
            <w:r w:rsidR="00AE4AC1">
              <w:rPr>
                <w:i/>
              </w:rPr>
              <w:t>u</w:t>
            </w:r>
            <w:r w:rsidR="00E87ABD">
              <w:rPr>
                <w:i/>
              </w:rPr>
              <w:t xml:space="preserve"> izpildē</w:t>
            </w:r>
          </w:p>
          <w:p w:rsidR="00747729" w:rsidRDefault="005725FE" w:rsidP="00A72853">
            <w:pPr>
              <w:pStyle w:val="BodyText3"/>
              <w:spacing w:after="120"/>
              <w:jc w:val="both"/>
              <w:rPr>
                <w:b w:val="0"/>
              </w:rPr>
            </w:pPr>
            <w:r>
              <w:rPr>
                <w:b w:val="0"/>
              </w:rPr>
              <w:t xml:space="preserve">Lai varētu nodrošināt Likuma efektīvu ieviešanu, tas ir jāievieš pakāpeniski, t.i., </w:t>
            </w:r>
            <w:r w:rsidR="00AE4AC1">
              <w:rPr>
                <w:b w:val="0"/>
              </w:rPr>
              <w:t xml:space="preserve">Likumā ir </w:t>
            </w:r>
            <w:r w:rsidR="00AE4AC1" w:rsidRPr="00AE4AC1">
              <w:rPr>
                <w:b w:val="0"/>
              </w:rPr>
              <w:t>uzdevumi, kur</w:t>
            </w:r>
            <w:r w:rsidR="00EC05F1">
              <w:rPr>
                <w:b w:val="0"/>
              </w:rPr>
              <w:t>u</w:t>
            </w:r>
            <w:r w:rsidR="00AE4AC1" w:rsidRPr="00AE4AC1">
              <w:rPr>
                <w:b w:val="0"/>
              </w:rPr>
              <w:t xml:space="preserve"> ieviešana</w:t>
            </w:r>
            <w:r w:rsidR="00AE4AC1">
              <w:rPr>
                <w:b w:val="0"/>
              </w:rPr>
              <w:t>i</w:t>
            </w:r>
            <w:r w:rsidR="00AE4AC1" w:rsidRPr="00AE4AC1">
              <w:rPr>
                <w:b w:val="0"/>
              </w:rPr>
              <w:t xml:space="preserve"> ir jābūt pakāpeniska</w:t>
            </w:r>
            <w:r w:rsidR="00AE4AC1">
              <w:rPr>
                <w:b w:val="0"/>
              </w:rPr>
              <w:t>i, piemēram</w:t>
            </w:r>
            <w:r w:rsidR="00700528">
              <w:rPr>
                <w:b w:val="0"/>
              </w:rPr>
              <w:t>,</w:t>
            </w:r>
            <w:r w:rsidR="00AE4AC1">
              <w:rPr>
                <w:b w:val="0"/>
              </w:rPr>
              <w:t xml:space="preserve"> vidēja termiņa darbības </w:t>
            </w:r>
            <w:r w:rsidR="00AE4AC1" w:rsidRPr="00AE4AC1">
              <w:rPr>
                <w:b w:val="0"/>
              </w:rPr>
              <w:t xml:space="preserve">stratēģijas </w:t>
            </w:r>
            <w:r w:rsidR="00AE4AC1">
              <w:rPr>
                <w:b w:val="0"/>
              </w:rPr>
              <w:t>izstrāde un ieviešana</w:t>
            </w:r>
            <w:r w:rsidR="00AE4AC1" w:rsidRPr="00AE4AC1">
              <w:rPr>
                <w:b w:val="0"/>
              </w:rPr>
              <w:t xml:space="preserve">, </w:t>
            </w:r>
            <w:r w:rsidR="00AE4AC1">
              <w:rPr>
                <w:b w:val="0"/>
              </w:rPr>
              <w:t>informācijas publiskošanas prasības, centralizēta publiskā pārskata sagatavošana par valst</w:t>
            </w:r>
            <w:r w:rsidR="00EC05F1">
              <w:rPr>
                <w:b w:val="0"/>
              </w:rPr>
              <w:t xml:space="preserve">s </w:t>
            </w:r>
            <w:r w:rsidR="00AE4AC1">
              <w:rPr>
                <w:b w:val="0"/>
              </w:rPr>
              <w:t xml:space="preserve">kapitālsabiedrībām un </w:t>
            </w:r>
            <w:r w:rsidR="00EC05F1">
              <w:rPr>
                <w:b w:val="0"/>
              </w:rPr>
              <w:t xml:space="preserve">valsts </w:t>
            </w:r>
            <w:r w:rsidR="00AE4AC1">
              <w:rPr>
                <w:b w:val="0"/>
              </w:rPr>
              <w:t>kapitāla daļām par iepriekšējo gadu, koordinācijas institūcijas līdzdalība</w:t>
            </w:r>
            <w:r w:rsidR="008D4686">
              <w:rPr>
                <w:b w:val="0"/>
              </w:rPr>
              <w:t xml:space="preserve"> </w:t>
            </w:r>
            <w:r w:rsidR="00AE4AC1">
              <w:rPr>
                <w:b w:val="0"/>
              </w:rPr>
              <w:t>dažādu jautājumu risināšanā</w:t>
            </w:r>
            <w:r w:rsidR="00AE4AC1" w:rsidRPr="00AE4AC1">
              <w:rPr>
                <w:b w:val="0"/>
              </w:rPr>
              <w:t xml:space="preserve">. </w:t>
            </w:r>
            <w:r w:rsidR="000A06F8">
              <w:rPr>
                <w:b w:val="0"/>
              </w:rPr>
              <w:t>Taču ar likuma spēkā stāšanās brīdi šos uzdevumus uzreiz nav iespējams izpildīt. Daļai Likumā minēto uzdevumu ieviešanai vai pārejai uz jauno regulējumu ir noteikts pārejas periods, savukārt atsevišķ</w:t>
            </w:r>
            <w:r w:rsidR="00B62008">
              <w:rPr>
                <w:b w:val="0"/>
              </w:rPr>
              <w:t>u</w:t>
            </w:r>
            <w:r w:rsidR="000A06F8">
              <w:rPr>
                <w:b w:val="0"/>
              </w:rPr>
              <w:t xml:space="preserve"> uzlabojumu ieviešanai pārejas periods nav noteikts, piemēram, </w:t>
            </w:r>
            <w:r w:rsidR="00747729">
              <w:rPr>
                <w:b w:val="0"/>
              </w:rPr>
              <w:t>nepieciešams noteikt termiņu līdz kuram p</w:t>
            </w:r>
            <w:r w:rsidR="00747729" w:rsidRPr="00747729">
              <w:rPr>
                <w:b w:val="0"/>
              </w:rPr>
              <w:t>ubl</w:t>
            </w:r>
            <w:r w:rsidR="00747729">
              <w:rPr>
                <w:b w:val="0"/>
              </w:rPr>
              <w:t>iskas personas kapitālsabiedrībām</w:t>
            </w:r>
            <w:r w:rsidR="00747729" w:rsidRPr="00747729">
              <w:rPr>
                <w:b w:val="0"/>
              </w:rPr>
              <w:t xml:space="preserve"> un publiski privāt</w:t>
            </w:r>
            <w:r w:rsidR="00747729">
              <w:rPr>
                <w:b w:val="0"/>
              </w:rPr>
              <w:t>aj</w:t>
            </w:r>
            <w:r w:rsidR="00747729" w:rsidRPr="00747729">
              <w:rPr>
                <w:b w:val="0"/>
              </w:rPr>
              <w:t>ā</w:t>
            </w:r>
            <w:r w:rsidR="00747729">
              <w:rPr>
                <w:b w:val="0"/>
              </w:rPr>
              <w:t>m kapitālsabiedrībām jā</w:t>
            </w:r>
            <w:r w:rsidR="00747729" w:rsidRPr="00747729">
              <w:rPr>
                <w:b w:val="0"/>
              </w:rPr>
              <w:t>izstrādā vidēja termiņa darbības stratēģiju</w:t>
            </w:r>
            <w:r w:rsidR="00747729">
              <w:rPr>
                <w:b w:val="0"/>
              </w:rPr>
              <w:t xml:space="preserve">, </w:t>
            </w:r>
            <w:r w:rsidR="00286A5E">
              <w:rPr>
                <w:b w:val="0"/>
              </w:rPr>
              <w:t xml:space="preserve">kā arī gadījumā ja vidēja termiņa darbības stratēģija jau ir izstrādāta, jānosaka tās izvērtēšanas kārtība. Tāpat nav </w:t>
            </w:r>
            <w:r w:rsidR="00747729">
              <w:rPr>
                <w:b w:val="0"/>
              </w:rPr>
              <w:t xml:space="preserve">noteikts termiņš līdz kuram koordinācijas institūcijai ir jāizveido interaktīva </w:t>
            </w:r>
            <w:proofErr w:type="spellStart"/>
            <w:r w:rsidR="00747729">
              <w:rPr>
                <w:b w:val="0"/>
              </w:rPr>
              <w:t>mājaslapa</w:t>
            </w:r>
            <w:proofErr w:type="spellEnd"/>
            <w:r w:rsidR="00747729">
              <w:rPr>
                <w:b w:val="0"/>
              </w:rPr>
              <w:t xml:space="preserve"> internetā — datubāze</w:t>
            </w:r>
            <w:r w:rsidR="00747729" w:rsidRPr="00747729">
              <w:rPr>
                <w:b w:val="0"/>
              </w:rPr>
              <w:t>, kurā pieejama aktuālā informācija par valsts kapitāla daļām un to pārvaldību, korporatīvās pārvaldības principu ieviešanu un atsevišķiem pārvaldības aspektiem</w:t>
            </w:r>
            <w:r w:rsidR="00747729">
              <w:rPr>
                <w:b w:val="0"/>
              </w:rPr>
              <w:t>.</w:t>
            </w:r>
          </w:p>
          <w:p w:rsidR="00747729" w:rsidRDefault="00747729" w:rsidP="00A72853">
            <w:pPr>
              <w:pStyle w:val="BodyText3"/>
              <w:spacing w:after="120"/>
              <w:jc w:val="both"/>
              <w:rPr>
                <w:b w:val="0"/>
              </w:rPr>
            </w:pPr>
            <w:r>
              <w:rPr>
                <w:b w:val="0"/>
              </w:rPr>
              <w:t>Tāpat arī</w:t>
            </w:r>
            <w:r w:rsidR="00AE4AC1" w:rsidRPr="00AE4AC1">
              <w:rPr>
                <w:b w:val="0"/>
              </w:rPr>
              <w:t xml:space="preserve"> sākotnēji nebija ņemts vērā, ka koordinācijas </w:t>
            </w:r>
            <w:r w:rsidR="00AE4AC1" w:rsidRPr="00AE4AC1">
              <w:rPr>
                <w:b w:val="0"/>
              </w:rPr>
              <w:lastRenderedPageBreak/>
              <w:t xml:space="preserve">institūcijai būs jāpiesaista </w:t>
            </w:r>
            <w:r w:rsidR="001011FF">
              <w:rPr>
                <w:b w:val="0"/>
              </w:rPr>
              <w:t xml:space="preserve">papildus </w:t>
            </w:r>
            <w:r w:rsidR="00AE4AC1" w:rsidRPr="00AE4AC1">
              <w:rPr>
                <w:b w:val="0"/>
              </w:rPr>
              <w:t>personāls</w:t>
            </w:r>
            <w:r>
              <w:rPr>
                <w:b w:val="0"/>
              </w:rPr>
              <w:t>, tādēļ nepieciešams grozīt pārejas noteikumus, lai noteiktu, ka koordinācijas institūcijai nav jānodrošina uzreiz visu  Likumā noteikto uzdevumu izpilde, bet gan atsevišķiem uzdevumiem nosakot, ka tie ir jāsāk pildīt no kāda konkrēta datuma, piemēram, k</w:t>
            </w:r>
            <w:r w:rsidRPr="00747729">
              <w:rPr>
                <w:b w:val="0"/>
              </w:rPr>
              <w:t>oordinācijas institūcija</w:t>
            </w:r>
            <w:r>
              <w:rPr>
                <w:b w:val="0"/>
              </w:rPr>
              <w:t>i</w:t>
            </w:r>
            <w:r w:rsidRPr="00747729">
              <w:rPr>
                <w:b w:val="0"/>
              </w:rPr>
              <w:t xml:space="preserve"> pārstāvjus darbam nominācijas komisijās </w:t>
            </w:r>
            <w:r>
              <w:rPr>
                <w:b w:val="0"/>
              </w:rPr>
              <w:t xml:space="preserve">izvirzīt </w:t>
            </w:r>
            <w:r w:rsidRPr="00747729">
              <w:rPr>
                <w:b w:val="0"/>
              </w:rPr>
              <w:t>no 2015.gada 1.septembra</w:t>
            </w:r>
            <w:r>
              <w:rPr>
                <w:b w:val="0"/>
              </w:rPr>
              <w:t>; publiskas personas augstākajai</w:t>
            </w:r>
            <w:r w:rsidRPr="00747729">
              <w:rPr>
                <w:b w:val="0"/>
              </w:rPr>
              <w:t xml:space="preserve"> lēmējinstitūcija</w:t>
            </w:r>
            <w:r>
              <w:rPr>
                <w:b w:val="0"/>
              </w:rPr>
              <w:t>i</w:t>
            </w:r>
            <w:r w:rsidRPr="00747729">
              <w:rPr>
                <w:b w:val="0"/>
              </w:rPr>
              <w:t xml:space="preserve"> līdz 2016.gada 1.janvārim</w:t>
            </w:r>
            <w:r w:rsidR="005725FE">
              <w:rPr>
                <w:b w:val="0"/>
              </w:rPr>
              <w:t>,</w:t>
            </w:r>
            <w:r w:rsidRPr="00747729">
              <w:rPr>
                <w:b w:val="0"/>
              </w:rPr>
              <w:t xml:space="preserve"> pieņem</w:t>
            </w:r>
            <w:r>
              <w:rPr>
                <w:b w:val="0"/>
              </w:rPr>
              <w:t>ot</w:t>
            </w:r>
            <w:r w:rsidRPr="00747729">
              <w:rPr>
                <w:b w:val="0"/>
              </w:rPr>
              <w:t xml:space="preserve"> lēmumu par tās tiešo līdzdalību kapitālsabiedrībās</w:t>
            </w:r>
            <w:r w:rsidR="005725FE">
              <w:rPr>
                <w:b w:val="0"/>
              </w:rPr>
              <w:t>,</w:t>
            </w:r>
            <w:r w:rsidRPr="00747729">
              <w:rPr>
                <w:b w:val="0"/>
              </w:rPr>
              <w:t xml:space="preserve"> Ministru kabinetā iesniegtajam priekšlikumam nav jāpievieno Koor</w:t>
            </w:r>
            <w:r w:rsidR="005725FE">
              <w:rPr>
                <w:b w:val="0"/>
              </w:rPr>
              <w:t xml:space="preserve">dinācijas institūcijas atzinums, tāpat arī pārejas noteikumos paredzēts grozījums, nosakot, ka Likuma 32.pants par koordinācijas institūcijas atzinuma saņemšanu par atvasinātas publiskas personas līdzdalību kapitālsabiedrībās, ir spēkā no 2016.gada 1.janvāra. </w:t>
            </w:r>
          </w:p>
          <w:p w:rsidR="00A72853" w:rsidRPr="00436F65" w:rsidRDefault="005725FE" w:rsidP="00A72853">
            <w:pPr>
              <w:pStyle w:val="BodyText3"/>
              <w:spacing w:after="120"/>
              <w:jc w:val="both"/>
              <w:rPr>
                <w:b w:val="0"/>
              </w:rPr>
            </w:pPr>
            <w:r>
              <w:rPr>
                <w:b w:val="0"/>
              </w:rPr>
              <w:t>Ņemot vērā iepriekš minēto,</w:t>
            </w:r>
            <w:r w:rsidR="002C67C8">
              <w:rPr>
                <w:b w:val="0"/>
              </w:rPr>
              <w:t xml:space="preserve"> nepieciešams </w:t>
            </w:r>
            <w:r w:rsidR="001011FF">
              <w:rPr>
                <w:b w:val="0"/>
              </w:rPr>
              <w:t>L</w:t>
            </w:r>
            <w:r w:rsidR="001E59EC">
              <w:rPr>
                <w:b w:val="0"/>
              </w:rPr>
              <w:t>ikum</w:t>
            </w:r>
            <w:r w:rsidR="002C67C8">
              <w:rPr>
                <w:b w:val="0"/>
              </w:rPr>
              <w:t xml:space="preserve">ā </w:t>
            </w:r>
            <w:r w:rsidR="001E59EC">
              <w:rPr>
                <w:b w:val="0"/>
              </w:rPr>
              <w:t xml:space="preserve"> pārejas noteikumos</w:t>
            </w:r>
            <w:r w:rsidR="008D4686">
              <w:rPr>
                <w:b w:val="0"/>
              </w:rPr>
              <w:t xml:space="preserve"> </w:t>
            </w:r>
            <w:r>
              <w:rPr>
                <w:b w:val="0"/>
              </w:rPr>
              <w:t xml:space="preserve">precizēt </w:t>
            </w:r>
            <w:r w:rsidR="002C67C8">
              <w:rPr>
                <w:b w:val="0"/>
              </w:rPr>
              <w:t>kā tiek ieviestas un izpildītas jaunās</w:t>
            </w:r>
            <w:r w:rsidR="001E59EC">
              <w:rPr>
                <w:b w:val="0"/>
              </w:rPr>
              <w:t xml:space="preserve"> prasīb</w:t>
            </w:r>
            <w:r w:rsidR="002C67C8">
              <w:rPr>
                <w:b w:val="0"/>
              </w:rPr>
              <w:t>as</w:t>
            </w:r>
            <w:r w:rsidR="001E59EC">
              <w:rPr>
                <w:b w:val="0"/>
              </w:rPr>
              <w:t xml:space="preserve"> gan </w:t>
            </w:r>
            <w:r w:rsidR="002C67C8">
              <w:rPr>
                <w:b w:val="0"/>
              </w:rPr>
              <w:t>publisko personu</w:t>
            </w:r>
            <w:r w:rsidR="001E59EC">
              <w:rPr>
                <w:b w:val="0"/>
              </w:rPr>
              <w:t xml:space="preserve"> kapitālsabiedrībā</w:t>
            </w:r>
            <w:r w:rsidR="002C67C8">
              <w:rPr>
                <w:b w:val="0"/>
              </w:rPr>
              <w:t>s</w:t>
            </w:r>
            <w:r w:rsidR="001E59EC">
              <w:rPr>
                <w:b w:val="0"/>
              </w:rPr>
              <w:t>, gan attiecībā uz koordinācijas institūcijas iesaisti.</w:t>
            </w:r>
          </w:p>
          <w:p w:rsidR="00A72853" w:rsidRDefault="00A72853" w:rsidP="00A72853">
            <w:pPr>
              <w:pStyle w:val="BodyText3"/>
              <w:spacing w:after="120"/>
              <w:jc w:val="both"/>
              <w:rPr>
                <w:i/>
              </w:rPr>
            </w:pPr>
            <w:r w:rsidRPr="00A72853">
              <w:rPr>
                <w:i/>
              </w:rPr>
              <w:t>VI</w:t>
            </w:r>
            <w:r w:rsidR="00AB3F2C">
              <w:rPr>
                <w:i/>
              </w:rPr>
              <w:t>I</w:t>
            </w:r>
            <w:r w:rsidRPr="00A72853">
              <w:rPr>
                <w:i/>
              </w:rPr>
              <w:t xml:space="preserve"> Tehniski precizējumi</w:t>
            </w:r>
          </w:p>
          <w:p w:rsidR="000D134D" w:rsidRPr="000D134D" w:rsidRDefault="008C1013" w:rsidP="00EC05F1">
            <w:pPr>
              <w:pStyle w:val="BodyText3"/>
              <w:spacing w:after="120"/>
              <w:jc w:val="both"/>
              <w:rPr>
                <w:b w:val="0"/>
              </w:rPr>
            </w:pPr>
            <w:r>
              <w:rPr>
                <w:b w:val="0"/>
              </w:rPr>
              <w:t>Tāpat nepieciešams veikt atsevišķus tehniskus precizējumus Likumā (attiecīgi</w:t>
            </w:r>
            <w:r w:rsidR="008D4686">
              <w:rPr>
                <w:b w:val="0"/>
              </w:rPr>
              <w:t xml:space="preserve"> </w:t>
            </w:r>
            <w:r w:rsidR="00F4469B">
              <w:rPr>
                <w:b w:val="0"/>
              </w:rPr>
              <w:t>L</w:t>
            </w:r>
            <w:r w:rsidR="000D134D" w:rsidRPr="000D134D">
              <w:rPr>
                <w:b w:val="0"/>
              </w:rPr>
              <w:t xml:space="preserve">ikuma </w:t>
            </w:r>
            <w:r w:rsidR="000D134D">
              <w:rPr>
                <w:b w:val="0"/>
              </w:rPr>
              <w:t xml:space="preserve">15.panta trešajā daļā; </w:t>
            </w:r>
            <w:r w:rsidR="000D134D" w:rsidRPr="000D134D">
              <w:rPr>
                <w:b w:val="0"/>
              </w:rPr>
              <w:t xml:space="preserve">22.panta otrās daļas </w:t>
            </w:r>
            <w:r w:rsidR="00EC05F1">
              <w:rPr>
                <w:b w:val="0"/>
              </w:rPr>
              <w:t xml:space="preserve">2., </w:t>
            </w:r>
            <w:r w:rsidR="000D134D" w:rsidRPr="000D134D">
              <w:rPr>
                <w:b w:val="0"/>
              </w:rPr>
              <w:t>4., 5. un 8.punktā</w:t>
            </w:r>
            <w:r w:rsidR="000D134D">
              <w:rPr>
                <w:b w:val="0"/>
              </w:rPr>
              <w:t xml:space="preserve">; 23.panta pirmās daļas 3.punktā; </w:t>
            </w:r>
            <w:r w:rsidR="00EC05F1">
              <w:rPr>
                <w:b w:val="0"/>
              </w:rPr>
              <w:t xml:space="preserve">26., 27.pantā, 28.panta nosaukumā, </w:t>
            </w:r>
            <w:r w:rsidR="000D134D">
              <w:rPr>
                <w:b w:val="0"/>
              </w:rPr>
              <w:t>30.panta pirmajā daļā;141.panta pirmās daļas 2. un 4.punktā</w:t>
            </w:r>
            <w:r w:rsidR="00AB3F2C">
              <w:rPr>
                <w:b w:val="0"/>
              </w:rPr>
              <w:t>, pārejas noteikum</w:t>
            </w:r>
            <w:r w:rsidR="00EC05F1">
              <w:rPr>
                <w:b w:val="0"/>
              </w:rPr>
              <w:t>os</w:t>
            </w:r>
            <w:r w:rsidR="000D134D">
              <w:rPr>
                <w:b w:val="0"/>
              </w:rPr>
              <w:t>.</w:t>
            </w:r>
          </w:p>
        </w:tc>
      </w:tr>
      <w:tr w:rsidR="00D77230" w:rsidTr="00693450">
        <w:trPr>
          <w:trHeight w:val="743"/>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5B56CE">
            <w:pPr>
              <w:spacing w:before="120"/>
              <w:jc w:val="both"/>
              <w:rPr>
                <w:rFonts w:ascii="Times New Roman" w:hAnsi="Times New Roman"/>
                <w:lang w:eastAsia="lv-LV"/>
              </w:rPr>
            </w:pPr>
            <w:r>
              <w:rPr>
                <w:rFonts w:ascii="Times New Roman" w:hAnsi="Times New Roman"/>
                <w:lang w:eastAsia="lv-LV"/>
              </w:rPr>
              <w:lastRenderedPageBreak/>
              <w:t>3</w:t>
            </w:r>
            <w:r w:rsidR="00D77230">
              <w:rPr>
                <w:rFonts w:ascii="Times New Roman" w:hAnsi="Times New Roman"/>
                <w:lang w:eastAsia="lv-LV"/>
              </w:rPr>
              <w:t>.</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9F606F" w:rsidP="00240802">
            <w:pPr>
              <w:autoSpaceDE w:val="0"/>
              <w:autoSpaceDN w:val="0"/>
              <w:adjustRightInd w:val="0"/>
              <w:spacing w:after="120"/>
              <w:jc w:val="both"/>
              <w:rPr>
                <w:rFonts w:ascii="Times New Roman" w:hAnsi="Times New Roman"/>
              </w:rPr>
            </w:pPr>
            <w:r>
              <w:rPr>
                <w:rFonts w:ascii="Times New Roman" w:hAnsi="Times New Roman"/>
              </w:rPr>
              <w:t>Ekonomikas ministrija</w:t>
            </w:r>
            <w:r w:rsidR="005A7E62">
              <w:rPr>
                <w:rFonts w:ascii="Times New Roman" w:hAnsi="Times New Roman"/>
              </w:rPr>
              <w:t xml:space="preserve"> un Privatizācijas aģentūra</w:t>
            </w:r>
            <w:r>
              <w:rPr>
                <w:rFonts w:ascii="Times New Roman" w:hAnsi="Times New Roman"/>
              </w:rPr>
              <w:t>.</w:t>
            </w:r>
          </w:p>
        </w:tc>
      </w:tr>
      <w:tr w:rsidR="00D77230" w:rsidTr="00693450">
        <w:trPr>
          <w:trHeight w:val="224"/>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5B56CE">
            <w:pPr>
              <w:spacing w:before="120"/>
              <w:jc w:val="both"/>
              <w:rPr>
                <w:rFonts w:ascii="Times New Roman" w:hAnsi="Times New Roman"/>
                <w:lang w:eastAsia="lv-LV"/>
              </w:rPr>
            </w:pPr>
            <w:r>
              <w:rPr>
                <w:rFonts w:ascii="Times New Roman" w:hAnsi="Times New Roman"/>
                <w:lang w:eastAsia="lv-LV"/>
              </w:rPr>
              <w:t>4</w:t>
            </w:r>
            <w:r w:rsidR="00D77230">
              <w:rPr>
                <w:rFonts w:ascii="Times New Roman" w:hAnsi="Times New Roman"/>
                <w:lang w:eastAsia="lv-LV"/>
              </w:rPr>
              <w:t>.</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Default="00D77230" w:rsidP="00FD60EA">
            <w:pPr>
              <w:spacing w:after="120"/>
              <w:jc w:val="both"/>
              <w:rPr>
                <w:rFonts w:ascii="Times New Roman" w:hAnsi="Times New Roman"/>
                <w:lang w:eastAsia="lv-LV"/>
              </w:rPr>
            </w:pPr>
            <w:r>
              <w:rPr>
                <w:rFonts w:ascii="Times New Roman" w:hAnsi="Times New Roman"/>
                <w:lang w:eastAsia="lv-LV"/>
              </w:rPr>
              <w:t>Cita informācija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F4469B" w:rsidRDefault="00F90706" w:rsidP="006B54C6">
            <w:pPr>
              <w:autoSpaceDE w:val="0"/>
              <w:autoSpaceDN w:val="0"/>
              <w:adjustRightInd w:val="0"/>
              <w:spacing w:after="120"/>
              <w:jc w:val="both"/>
              <w:rPr>
                <w:rFonts w:ascii="Times New Roman" w:hAnsi="Times New Roman"/>
              </w:rPr>
            </w:pPr>
            <w:r>
              <w:rPr>
                <w:rFonts w:ascii="Times New Roman" w:hAnsi="Times New Roman"/>
              </w:rPr>
              <w:t>Nav.</w:t>
            </w:r>
          </w:p>
        </w:tc>
      </w:tr>
    </w:tbl>
    <w:p w:rsidR="00B62391" w:rsidRDefault="00B62391" w:rsidP="00AD1FE8">
      <w:pPr>
        <w:spacing w:before="120" w:after="120"/>
        <w:rPr>
          <w:rFonts w:ascii="Times New Roman" w:hAnsi="Times New Roman"/>
          <w:b/>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850"/>
        <w:gridCol w:w="5505"/>
      </w:tblGrid>
      <w:tr w:rsidR="005B56CE" w:rsidRPr="005B56CE" w:rsidTr="00500664">
        <w:tc>
          <w:tcPr>
            <w:tcW w:w="9905" w:type="dxa"/>
            <w:gridSpan w:val="3"/>
            <w:vAlign w:val="center"/>
          </w:tcPr>
          <w:p w:rsidR="00C56044" w:rsidRPr="005B56CE" w:rsidRDefault="005B56CE" w:rsidP="00C56044">
            <w:pPr>
              <w:jc w:val="center"/>
              <w:rPr>
                <w:rFonts w:ascii="Times New Roman" w:hAnsi="Times New Roman"/>
                <w:b/>
                <w:bCs/>
                <w:szCs w:val="28"/>
                <w:lang w:eastAsia="lv-LV"/>
              </w:rPr>
            </w:pPr>
            <w:r w:rsidRPr="005B56CE">
              <w:rPr>
                <w:rFonts w:ascii="Times New Roman" w:hAnsi="Times New Roman"/>
                <w:b/>
                <w:bCs/>
                <w:szCs w:val="28"/>
                <w:lang w:eastAsia="lv-LV"/>
              </w:rPr>
              <w:t>II. Tiesību akta projekta ietekme uz sabiedrību, tautsaimniecības attīstību un administratīvo slogu</w:t>
            </w:r>
          </w:p>
        </w:tc>
      </w:tr>
      <w:tr w:rsidR="005B56CE" w:rsidRPr="005B56CE" w:rsidTr="00F4469B">
        <w:trPr>
          <w:trHeight w:val="467"/>
        </w:trPr>
        <w:tc>
          <w:tcPr>
            <w:tcW w:w="5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1.</w:t>
            </w:r>
          </w:p>
        </w:tc>
        <w:tc>
          <w:tcPr>
            <w:tcW w:w="38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 xml:space="preserve">Sabiedrības </w:t>
            </w:r>
            <w:proofErr w:type="spellStart"/>
            <w:r w:rsidRPr="005B56CE">
              <w:rPr>
                <w:rFonts w:ascii="Times New Roman" w:hAnsi="Times New Roman"/>
                <w:szCs w:val="28"/>
                <w:lang w:eastAsia="lv-LV"/>
              </w:rPr>
              <w:t>mērķgrupas</w:t>
            </w:r>
            <w:proofErr w:type="spellEnd"/>
            <w:r w:rsidRPr="005B56CE">
              <w:rPr>
                <w:rFonts w:ascii="Times New Roman" w:hAnsi="Times New Roman"/>
                <w:szCs w:val="28"/>
                <w:lang w:eastAsia="lv-LV"/>
              </w:rPr>
              <w:t>, kuras tiesiskais regulējums ietekmē vai varētu ietekmēt</w:t>
            </w:r>
          </w:p>
        </w:tc>
        <w:tc>
          <w:tcPr>
            <w:tcW w:w="5505" w:type="dxa"/>
          </w:tcPr>
          <w:p w:rsidR="005B56CE" w:rsidRPr="005B56CE" w:rsidRDefault="00E60A3E" w:rsidP="00A72853">
            <w:pPr>
              <w:spacing w:before="120" w:after="120"/>
              <w:jc w:val="both"/>
              <w:rPr>
                <w:rFonts w:ascii="Times New Roman" w:hAnsi="Times New Roman"/>
                <w:iCs/>
                <w:szCs w:val="28"/>
                <w:lang w:eastAsia="lv-LV"/>
              </w:rPr>
            </w:pPr>
            <w:r>
              <w:rPr>
                <w:rFonts w:ascii="Times New Roman" w:hAnsi="Times New Roman"/>
                <w:szCs w:val="28"/>
                <w:lang w:eastAsia="lv-LV"/>
              </w:rPr>
              <w:t xml:space="preserve">Publiskas personas </w:t>
            </w:r>
            <w:r w:rsidR="00A72853">
              <w:rPr>
                <w:rFonts w:ascii="Times New Roman" w:hAnsi="Times New Roman"/>
                <w:szCs w:val="28"/>
                <w:lang w:eastAsia="lv-LV"/>
              </w:rPr>
              <w:t>kapitālsabied</w:t>
            </w:r>
            <w:r>
              <w:rPr>
                <w:rFonts w:ascii="Times New Roman" w:hAnsi="Times New Roman"/>
                <w:szCs w:val="28"/>
                <w:lang w:eastAsia="lv-LV"/>
              </w:rPr>
              <w:t>rības</w:t>
            </w:r>
            <w:r w:rsidR="00A72853">
              <w:rPr>
                <w:rFonts w:ascii="Times New Roman" w:hAnsi="Times New Roman"/>
                <w:szCs w:val="28"/>
                <w:lang w:eastAsia="lv-LV"/>
              </w:rPr>
              <w:t>, publiskas personas kapitāla daļu turētāji.</w:t>
            </w:r>
          </w:p>
        </w:tc>
      </w:tr>
      <w:tr w:rsidR="005B56CE" w:rsidRPr="005B56CE" w:rsidTr="00F4469B">
        <w:trPr>
          <w:trHeight w:val="523"/>
        </w:trPr>
        <w:tc>
          <w:tcPr>
            <w:tcW w:w="5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2.</w:t>
            </w:r>
          </w:p>
        </w:tc>
        <w:tc>
          <w:tcPr>
            <w:tcW w:w="38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Tiesiskā regulējuma ietekme uz tautsaimniecību un administratīvo slogu</w:t>
            </w:r>
          </w:p>
        </w:tc>
        <w:tc>
          <w:tcPr>
            <w:tcW w:w="5505" w:type="dxa"/>
          </w:tcPr>
          <w:p w:rsidR="005B56CE" w:rsidRPr="005B56CE" w:rsidRDefault="00FC3122" w:rsidP="000A06F8">
            <w:pPr>
              <w:jc w:val="both"/>
              <w:rPr>
                <w:rFonts w:ascii="Times New Roman" w:hAnsi="Times New Roman"/>
                <w:szCs w:val="28"/>
                <w:lang w:eastAsia="lv-LV"/>
              </w:rPr>
            </w:pPr>
            <w:r>
              <w:rPr>
                <w:rFonts w:ascii="Times New Roman" w:hAnsi="Times New Roman"/>
                <w:szCs w:val="28"/>
                <w:lang w:eastAsia="lv-LV"/>
              </w:rPr>
              <w:t xml:space="preserve">Grozījumi Likumā </w:t>
            </w:r>
            <w:r w:rsidRPr="00FC3122">
              <w:rPr>
                <w:rFonts w:ascii="Times New Roman" w:hAnsi="Times New Roman"/>
                <w:szCs w:val="28"/>
                <w:lang w:eastAsia="lv-LV"/>
              </w:rPr>
              <w:t xml:space="preserve">samazinās </w:t>
            </w:r>
            <w:r w:rsidR="000A06F8">
              <w:rPr>
                <w:rFonts w:ascii="Times New Roman" w:hAnsi="Times New Roman"/>
                <w:szCs w:val="28"/>
                <w:lang w:eastAsia="lv-LV"/>
              </w:rPr>
              <w:t>likuma</w:t>
            </w:r>
            <w:r w:rsidR="008D4686">
              <w:rPr>
                <w:rFonts w:ascii="Times New Roman" w:hAnsi="Times New Roman"/>
                <w:szCs w:val="28"/>
                <w:lang w:eastAsia="lv-LV"/>
              </w:rPr>
              <w:t xml:space="preserve"> </w:t>
            </w:r>
            <w:r w:rsidR="000A06F8">
              <w:rPr>
                <w:rFonts w:ascii="Times New Roman" w:hAnsi="Times New Roman"/>
                <w:szCs w:val="28"/>
                <w:lang w:eastAsia="lv-LV"/>
              </w:rPr>
              <w:t xml:space="preserve">normu </w:t>
            </w:r>
            <w:r w:rsidR="006C782B">
              <w:rPr>
                <w:rFonts w:ascii="Times New Roman" w:hAnsi="Times New Roman"/>
                <w:szCs w:val="28"/>
                <w:lang w:eastAsia="lv-LV"/>
              </w:rPr>
              <w:t xml:space="preserve"> plašas interpretācijas iespējas</w:t>
            </w:r>
            <w:r w:rsidRPr="00FC3122">
              <w:rPr>
                <w:rFonts w:ascii="Times New Roman" w:hAnsi="Times New Roman"/>
                <w:szCs w:val="28"/>
                <w:lang w:eastAsia="lv-LV"/>
              </w:rPr>
              <w:t xml:space="preserve">, noteiks saprātīgu </w:t>
            </w:r>
            <w:r w:rsidR="006C782B">
              <w:rPr>
                <w:rFonts w:ascii="Times New Roman" w:hAnsi="Times New Roman"/>
                <w:szCs w:val="28"/>
                <w:lang w:eastAsia="lv-LV"/>
              </w:rPr>
              <w:t>un pakāpenisku Likumā noteikto prasību ieviešanas laiku</w:t>
            </w:r>
            <w:r w:rsidR="0043256B">
              <w:rPr>
                <w:rFonts w:ascii="Times New Roman" w:hAnsi="Times New Roman"/>
                <w:szCs w:val="28"/>
                <w:lang w:eastAsia="lv-LV"/>
              </w:rPr>
              <w:t xml:space="preserve">, kā arī </w:t>
            </w:r>
            <w:r w:rsidRPr="00FC3122">
              <w:rPr>
                <w:rFonts w:ascii="Times New Roman" w:hAnsi="Times New Roman"/>
                <w:szCs w:val="28"/>
                <w:lang w:eastAsia="lv-LV"/>
              </w:rPr>
              <w:t xml:space="preserve">valstij būs plašākas </w:t>
            </w:r>
            <w:r w:rsidRPr="00FC3122">
              <w:rPr>
                <w:rFonts w:ascii="Times New Roman" w:hAnsi="Times New Roman"/>
                <w:szCs w:val="28"/>
                <w:lang w:eastAsia="lv-LV"/>
              </w:rPr>
              <w:lastRenderedPageBreak/>
              <w:t xml:space="preserve">iespējas izmatot tās rīcībā esošus resursus </w:t>
            </w:r>
            <w:r w:rsidR="006C782B">
              <w:rPr>
                <w:rFonts w:ascii="Times New Roman" w:hAnsi="Times New Roman"/>
                <w:szCs w:val="28"/>
                <w:lang w:eastAsia="lv-LV"/>
              </w:rPr>
              <w:t>Likuma</w:t>
            </w:r>
            <w:r w:rsidRPr="00FC3122">
              <w:rPr>
                <w:rFonts w:ascii="Times New Roman" w:hAnsi="Times New Roman"/>
                <w:szCs w:val="28"/>
                <w:lang w:eastAsia="lv-LV"/>
              </w:rPr>
              <w:t xml:space="preserve"> izpildē, t.i.</w:t>
            </w:r>
            <w:r>
              <w:rPr>
                <w:rFonts w:ascii="Times New Roman" w:hAnsi="Times New Roman"/>
                <w:szCs w:val="28"/>
                <w:lang w:eastAsia="lv-LV"/>
              </w:rPr>
              <w:t>,</w:t>
            </w:r>
            <w:r w:rsidRPr="00FC3122">
              <w:rPr>
                <w:rFonts w:ascii="Times New Roman" w:hAnsi="Times New Roman"/>
                <w:szCs w:val="28"/>
                <w:lang w:eastAsia="lv-LV"/>
              </w:rPr>
              <w:t xml:space="preserve"> nosakot par koordinācijas institūciju valsts institūciju, kas nav tiešās pārvaldes iestāde</w:t>
            </w:r>
            <w:r>
              <w:rPr>
                <w:rFonts w:ascii="Times New Roman" w:hAnsi="Times New Roman"/>
                <w:szCs w:val="28"/>
                <w:lang w:eastAsia="lv-LV"/>
              </w:rPr>
              <w:t>.</w:t>
            </w:r>
          </w:p>
        </w:tc>
      </w:tr>
      <w:tr w:rsidR="005B56CE" w:rsidRPr="005B56CE" w:rsidTr="00F4469B">
        <w:trPr>
          <w:trHeight w:val="981"/>
        </w:trPr>
        <w:tc>
          <w:tcPr>
            <w:tcW w:w="5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lastRenderedPageBreak/>
              <w:t>3.</w:t>
            </w:r>
          </w:p>
        </w:tc>
        <w:tc>
          <w:tcPr>
            <w:tcW w:w="38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Administratīvo izmaksu monetārs novērtējums</w:t>
            </w:r>
          </w:p>
        </w:tc>
        <w:tc>
          <w:tcPr>
            <w:tcW w:w="5505" w:type="dxa"/>
          </w:tcPr>
          <w:p w:rsidR="005B56CE" w:rsidRPr="005B56CE" w:rsidRDefault="005B56CE" w:rsidP="005B56CE">
            <w:pPr>
              <w:spacing w:before="120" w:after="120"/>
              <w:rPr>
                <w:rFonts w:ascii="Times New Roman" w:hAnsi="Times New Roman"/>
                <w:szCs w:val="28"/>
                <w:lang w:eastAsia="lv-LV"/>
              </w:rPr>
            </w:pPr>
            <w:r w:rsidRPr="005B56CE">
              <w:rPr>
                <w:rFonts w:ascii="Times New Roman" w:hAnsi="Times New Roman"/>
                <w:szCs w:val="28"/>
                <w:lang w:eastAsia="lv-LV"/>
              </w:rPr>
              <w:t>Nav.</w:t>
            </w:r>
          </w:p>
        </w:tc>
      </w:tr>
      <w:tr w:rsidR="005B56CE" w:rsidRPr="005B56CE" w:rsidTr="00F4469B">
        <w:tc>
          <w:tcPr>
            <w:tcW w:w="5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4.</w:t>
            </w:r>
          </w:p>
        </w:tc>
        <w:tc>
          <w:tcPr>
            <w:tcW w:w="3850"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Cita informācija</w:t>
            </w:r>
          </w:p>
        </w:tc>
        <w:tc>
          <w:tcPr>
            <w:tcW w:w="5505" w:type="dxa"/>
          </w:tcPr>
          <w:p w:rsidR="005B56CE" w:rsidRPr="005B56CE" w:rsidRDefault="005B56CE" w:rsidP="005B56CE">
            <w:pPr>
              <w:rPr>
                <w:rFonts w:ascii="Times New Roman" w:hAnsi="Times New Roman"/>
                <w:szCs w:val="28"/>
                <w:lang w:eastAsia="lv-LV"/>
              </w:rPr>
            </w:pPr>
            <w:r w:rsidRPr="005B56CE">
              <w:rPr>
                <w:rFonts w:ascii="Times New Roman" w:hAnsi="Times New Roman"/>
                <w:szCs w:val="28"/>
                <w:lang w:eastAsia="lv-LV"/>
              </w:rPr>
              <w:t>Nav.</w:t>
            </w:r>
          </w:p>
        </w:tc>
      </w:tr>
    </w:tbl>
    <w:p w:rsidR="005B56CE" w:rsidRDefault="005B56CE" w:rsidP="005B56CE">
      <w:pPr>
        <w:spacing w:before="360" w:after="360"/>
        <w:ind w:firstLine="720"/>
        <w:rPr>
          <w:rFonts w:ascii="Times New Roman" w:hAnsi="Times New Roman"/>
          <w:b/>
          <w:szCs w:val="28"/>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A72853"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72853" w:rsidRDefault="00A72853" w:rsidP="00A72853">
            <w:pPr>
              <w:spacing w:before="100" w:beforeAutospacing="1" w:after="100" w:afterAutospacing="1" w:line="293" w:lineRule="atLeast"/>
              <w:jc w:val="center"/>
              <w:rPr>
                <w:rFonts w:ascii="Times New Roman" w:hAnsi="Times New Roman"/>
                <w:b/>
                <w:bCs/>
                <w:i/>
                <w:iCs/>
                <w:szCs w:val="28"/>
                <w:lang w:eastAsia="lv-LV"/>
              </w:rPr>
            </w:pPr>
            <w:r w:rsidRPr="008A4035">
              <w:rPr>
                <w:rFonts w:ascii="Times New Roman" w:hAnsi="Times New Roman"/>
                <w:b/>
                <w:bCs/>
                <w:szCs w:val="28"/>
                <w:shd w:val="clear" w:color="auto" w:fill="FFFFFF"/>
              </w:rPr>
              <w:t>III. Tiesību akta projekta ietekme uz valsts budžetu un pašvaldību budžetiem</w:t>
            </w:r>
          </w:p>
        </w:tc>
      </w:tr>
      <w:tr w:rsidR="008A4035" w:rsidRPr="00A72853"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72853" w:rsidRDefault="00A72853" w:rsidP="00A72853">
            <w:pPr>
              <w:spacing w:before="100" w:beforeAutospacing="1" w:after="100" w:afterAutospacing="1" w:line="293" w:lineRule="atLeast"/>
              <w:jc w:val="center"/>
              <w:rPr>
                <w:rFonts w:ascii="Times New Roman" w:hAnsi="Times New Roman"/>
                <w:i/>
                <w:iCs/>
                <w:szCs w:val="28"/>
                <w:lang w:eastAsia="lv-LV"/>
              </w:rPr>
            </w:pPr>
            <w:r w:rsidRPr="00A72853">
              <w:rPr>
                <w:rFonts w:ascii="Times New Roman" w:hAnsi="Times New Roman"/>
                <w:i/>
                <w:iCs/>
                <w:szCs w:val="28"/>
                <w:lang w:eastAsia="lv-LV"/>
              </w:rPr>
              <w:t>Projekts šo jomu neskar</w:t>
            </w:r>
          </w:p>
        </w:tc>
      </w:tr>
    </w:tbl>
    <w:p w:rsidR="00A72853" w:rsidRPr="008A4035" w:rsidRDefault="00A72853" w:rsidP="005B56CE">
      <w:pPr>
        <w:spacing w:before="360" w:after="360"/>
        <w:ind w:firstLine="720"/>
        <w:rPr>
          <w:rFonts w:ascii="Times New Roman" w:hAnsi="Times New Roman"/>
          <w:b/>
          <w:szCs w:val="28"/>
          <w:lang w:eastAsia="lv-LV"/>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01"/>
        <w:gridCol w:w="5197"/>
      </w:tblGrid>
      <w:tr w:rsidR="005B56CE" w:rsidRPr="005B56CE" w:rsidTr="008A4035">
        <w:tc>
          <w:tcPr>
            <w:tcW w:w="9924" w:type="dxa"/>
            <w:gridSpan w:val="3"/>
            <w:tcBorders>
              <w:top w:val="single" w:sz="4" w:space="0" w:color="auto"/>
            </w:tcBorders>
          </w:tcPr>
          <w:p w:rsidR="00C56044" w:rsidRPr="005B56CE" w:rsidRDefault="005B56CE" w:rsidP="001557F7">
            <w:pPr>
              <w:ind w:left="57" w:right="57"/>
              <w:jc w:val="center"/>
              <w:rPr>
                <w:rFonts w:ascii="Times New Roman" w:hAnsi="Times New Roman"/>
                <w:b/>
                <w:bCs/>
                <w:szCs w:val="28"/>
                <w:lang w:eastAsia="lv-LV"/>
              </w:rPr>
            </w:pPr>
            <w:r w:rsidRPr="005B56CE">
              <w:rPr>
                <w:rFonts w:ascii="Times New Roman" w:hAnsi="Times New Roman"/>
                <w:b/>
                <w:bCs/>
                <w:szCs w:val="28"/>
                <w:lang w:eastAsia="lv-LV"/>
              </w:rPr>
              <w:t>IV. Tiesību akta projekta ietekme uz spēkā esošo tiesību normu sistēmu</w:t>
            </w:r>
          </w:p>
        </w:tc>
      </w:tr>
      <w:tr w:rsidR="005B56CE" w:rsidRPr="005B56CE" w:rsidTr="008A4035">
        <w:trPr>
          <w:trHeight w:val="427"/>
        </w:trPr>
        <w:tc>
          <w:tcPr>
            <w:tcW w:w="426"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1.</w:t>
            </w:r>
          </w:p>
        </w:tc>
        <w:tc>
          <w:tcPr>
            <w:tcW w:w="4301" w:type="dxa"/>
          </w:tcPr>
          <w:p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Nepieciešamie saistītie tiesību aktu projekti</w:t>
            </w:r>
          </w:p>
        </w:tc>
        <w:tc>
          <w:tcPr>
            <w:tcW w:w="5197" w:type="dxa"/>
          </w:tcPr>
          <w:p w:rsidR="005B56CE" w:rsidRPr="005B56CE" w:rsidRDefault="00A72853" w:rsidP="00210DBF">
            <w:pPr>
              <w:tabs>
                <w:tab w:val="left" w:pos="427"/>
                <w:tab w:val="left" w:pos="2628"/>
              </w:tabs>
              <w:jc w:val="both"/>
              <w:rPr>
                <w:rFonts w:ascii="Times New Roman" w:hAnsi="Times New Roman"/>
                <w:iCs/>
                <w:szCs w:val="28"/>
                <w:lang w:eastAsia="lv-LV"/>
              </w:rPr>
            </w:pPr>
            <w:r w:rsidRPr="00EF78E3">
              <w:rPr>
                <w:rFonts w:ascii="Times New Roman" w:hAnsi="Times New Roman"/>
                <w:iCs/>
                <w:szCs w:val="28"/>
                <w:lang w:eastAsia="lv-LV"/>
              </w:rPr>
              <w:t>Likum</w:t>
            </w:r>
            <w:r w:rsidR="00DB7643">
              <w:rPr>
                <w:rFonts w:ascii="Times New Roman" w:hAnsi="Times New Roman"/>
                <w:iCs/>
                <w:szCs w:val="28"/>
                <w:lang w:eastAsia="lv-LV"/>
              </w:rPr>
              <w:t>ā</w:t>
            </w:r>
            <w:r w:rsidRPr="00EF78E3">
              <w:rPr>
                <w:rFonts w:ascii="Times New Roman" w:hAnsi="Times New Roman"/>
                <w:iCs/>
                <w:szCs w:val="28"/>
                <w:lang w:eastAsia="lv-LV"/>
              </w:rPr>
              <w:t xml:space="preserve"> „Par vals</w:t>
            </w:r>
            <w:r w:rsidR="00431E76">
              <w:rPr>
                <w:rFonts w:ascii="Times New Roman" w:hAnsi="Times New Roman"/>
                <w:iCs/>
                <w:szCs w:val="28"/>
                <w:lang w:eastAsia="lv-LV"/>
              </w:rPr>
              <w:t>ts un pašvaldību īpašuma objektu</w:t>
            </w:r>
            <w:r w:rsidRPr="00EF78E3">
              <w:rPr>
                <w:rFonts w:ascii="Times New Roman" w:hAnsi="Times New Roman"/>
                <w:iCs/>
                <w:szCs w:val="28"/>
                <w:lang w:eastAsia="lv-LV"/>
              </w:rPr>
              <w:t xml:space="preserve"> privatizāciju”</w:t>
            </w:r>
            <w:r w:rsidR="00DB7643">
              <w:rPr>
                <w:rFonts w:ascii="Times New Roman" w:hAnsi="Times New Roman"/>
                <w:iCs/>
                <w:szCs w:val="28"/>
                <w:lang w:eastAsia="lv-LV"/>
              </w:rPr>
              <w:t xml:space="preserve"> nepieciešami</w:t>
            </w:r>
            <w:r w:rsidR="008227E5">
              <w:rPr>
                <w:rFonts w:ascii="Times New Roman" w:hAnsi="Times New Roman"/>
                <w:iCs/>
                <w:szCs w:val="28"/>
                <w:lang w:eastAsia="lv-LV"/>
              </w:rPr>
              <w:t xml:space="preserve"> grozījumi saistībā ar valsts akciju sabiedrības „Privatizācijas aģentūra” nosaukuma maiņu uz valsts akciju sab</w:t>
            </w:r>
            <w:r w:rsidR="00B3419B">
              <w:rPr>
                <w:rFonts w:ascii="Times New Roman" w:hAnsi="Times New Roman"/>
                <w:iCs/>
                <w:szCs w:val="28"/>
                <w:lang w:eastAsia="lv-LV"/>
              </w:rPr>
              <w:t>iedrību „Valsts aktīvu pārvaldības</w:t>
            </w:r>
            <w:r w:rsidR="008227E5">
              <w:rPr>
                <w:rFonts w:ascii="Times New Roman" w:hAnsi="Times New Roman"/>
                <w:iCs/>
                <w:szCs w:val="28"/>
                <w:lang w:eastAsia="lv-LV"/>
              </w:rPr>
              <w:t xml:space="preserve"> aģentūra”, kā arī </w:t>
            </w:r>
            <w:r w:rsidR="00D10BA0">
              <w:rPr>
                <w:rFonts w:ascii="Times New Roman" w:hAnsi="Times New Roman"/>
                <w:iCs/>
                <w:szCs w:val="28"/>
                <w:lang w:eastAsia="lv-LV"/>
              </w:rPr>
              <w:t>l</w:t>
            </w:r>
            <w:r w:rsidR="00F1461B">
              <w:rPr>
                <w:rFonts w:ascii="Times New Roman" w:hAnsi="Times New Roman"/>
                <w:iCs/>
                <w:szCs w:val="28"/>
                <w:lang w:eastAsia="lv-LV"/>
              </w:rPr>
              <w:t>ikumā</w:t>
            </w:r>
            <w:r w:rsidR="00F1461B" w:rsidRPr="00F1461B">
              <w:rPr>
                <w:rFonts w:ascii="Times New Roman" w:hAnsi="Times New Roman"/>
                <w:iCs/>
                <w:szCs w:val="28"/>
                <w:lang w:eastAsia="lv-LV"/>
              </w:rPr>
              <w:t xml:space="preserve"> „Par vals</w:t>
            </w:r>
            <w:r w:rsidR="00431E76">
              <w:rPr>
                <w:rFonts w:ascii="Times New Roman" w:hAnsi="Times New Roman"/>
                <w:iCs/>
                <w:szCs w:val="28"/>
                <w:lang w:eastAsia="lv-LV"/>
              </w:rPr>
              <w:t>ts un pašvaldību īpašuma objektu</w:t>
            </w:r>
            <w:r w:rsidR="00F1461B" w:rsidRPr="00F1461B">
              <w:rPr>
                <w:rFonts w:ascii="Times New Roman" w:hAnsi="Times New Roman"/>
                <w:iCs/>
                <w:szCs w:val="28"/>
                <w:lang w:eastAsia="lv-LV"/>
              </w:rPr>
              <w:t xml:space="preserve"> privatizāciju”</w:t>
            </w:r>
            <w:r w:rsidR="00F1461B">
              <w:rPr>
                <w:rFonts w:ascii="Times New Roman" w:hAnsi="Times New Roman"/>
                <w:iCs/>
                <w:szCs w:val="28"/>
                <w:lang w:eastAsia="lv-LV"/>
              </w:rPr>
              <w:t xml:space="preserve"> minētā </w:t>
            </w:r>
            <w:r w:rsidR="00F1461B" w:rsidRPr="00F1461B">
              <w:rPr>
                <w:rFonts w:ascii="Times New Roman" w:hAnsi="Times New Roman"/>
                <w:iCs/>
                <w:szCs w:val="28"/>
                <w:lang w:eastAsia="lv-LV"/>
              </w:rPr>
              <w:t>rezerves fonda līdzekļ</w:t>
            </w:r>
            <w:r w:rsidR="00210DBF">
              <w:rPr>
                <w:rFonts w:ascii="Times New Roman" w:hAnsi="Times New Roman"/>
                <w:iCs/>
                <w:szCs w:val="28"/>
                <w:lang w:eastAsia="lv-LV"/>
              </w:rPr>
              <w:t>u</w:t>
            </w:r>
            <w:r w:rsidR="00F1461B" w:rsidRPr="00F1461B">
              <w:rPr>
                <w:rFonts w:ascii="Times New Roman" w:hAnsi="Times New Roman"/>
                <w:iCs/>
                <w:szCs w:val="28"/>
                <w:lang w:eastAsia="lv-LV"/>
              </w:rPr>
              <w:t xml:space="preserve"> </w:t>
            </w:r>
            <w:r w:rsidR="00210DBF">
              <w:rPr>
                <w:rFonts w:ascii="Times New Roman" w:hAnsi="Times New Roman"/>
                <w:iCs/>
                <w:szCs w:val="28"/>
                <w:lang w:eastAsia="lv-LV"/>
              </w:rPr>
              <w:t>uzkrāšanas un izmantošanas kārtību.</w:t>
            </w:r>
            <w:r w:rsidR="00F1461B" w:rsidRPr="00F1461B">
              <w:rPr>
                <w:rFonts w:ascii="Times New Roman" w:hAnsi="Times New Roman"/>
                <w:iCs/>
                <w:szCs w:val="28"/>
                <w:lang w:eastAsia="lv-LV"/>
              </w:rPr>
              <w:t xml:space="preserve"> </w:t>
            </w:r>
          </w:p>
        </w:tc>
      </w:tr>
      <w:tr w:rsidR="005B56CE" w:rsidRPr="005B56CE" w:rsidTr="008A4035">
        <w:trPr>
          <w:trHeight w:val="463"/>
        </w:trPr>
        <w:tc>
          <w:tcPr>
            <w:tcW w:w="426"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2.</w:t>
            </w:r>
          </w:p>
        </w:tc>
        <w:tc>
          <w:tcPr>
            <w:tcW w:w="4301" w:type="dxa"/>
          </w:tcPr>
          <w:p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Atbildīgā institūcija</w:t>
            </w:r>
          </w:p>
        </w:tc>
        <w:tc>
          <w:tcPr>
            <w:tcW w:w="5197" w:type="dxa"/>
          </w:tcPr>
          <w:p w:rsidR="005B56CE" w:rsidRPr="003B53F4" w:rsidRDefault="005B56CE" w:rsidP="003B53F4">
            <w:pPr>
              <w:ind w:left="57" w:right="57"/>
              <w:jc w:val="both"/>
              <w:rPr>
                <w:rFonts w:ascii="Times New Roman" w:hAnsi="Times New Roman"/>
                <w:bCs/>
                <w:szCs w:val="28"/>
                <w:lang w:eastAsia="lv-LV"/>
              </w:rPr>
            </w:pPr>
            <w:r w:rsidRPr="005B56CE">
              <w:rPr>
                <w:rFonts w:ascii="Times New Roman" w:hAnsi="Times New Roman"/>
                <w:bCs/>
                <w:szCs w:val="28"/>
                <w:lang w:eastAsia="lv-LV"/>
              </w:rPr>
              <w:t>Ekonomikas ministrija</w:t>
            </w:r>
          </w:p>
        </w:tc>
      </w:tr>
      <w:tr w:rsidR="005B56CE" w:rsidRPr="005B56CE" w:rsidTr="008A4035">
        <w:trPr>
          <w:trHeight w:val="591"/>
        </w:trPr>
        <w:tc>
          <w:tcPr>
            <w:tcW w:w="426"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3.</w:t>
            </w:r>
          </w:p>
        </w:tc>
        <w:tc>
          <w:tcPr>
            <w:tcW w:w="4301" w:type="dxa"/>
          </w:tcPr>
          <w:p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Cita informācija</w:t>
            </w:r>
          </w:p>
        </w:tc>
        <w:tc>
          <w:tcPr>
            <w:tcW w:w="5197" w:type="dxa"/>
          </w:tcPr>
          <w:p w:rsidR="005B56CE" w:rsidRPr="005B56CE" w:rsidRDefault="00A72853" w:rsidP="00F4469B">
            <w:pPr>
              <w:ind w:left="57" w:right="57"/>
              <w:jc w:val="both"/>
              <w:rPr>
                <w:rFonts w:ascii="Times New Roman" w:hAnsi="Times New Roman"/>
                <w:bCs/>
                <w:szCs w:val="28"/>
                <w:lang w:eastAsia="lv-LV"/>
              </w:rPr>
            </w:pPr>
            <w:r>
              <w:rPr>
                <w:rFonts w:ascii="Times New Roman" w:hAnsi="Times New Roman"/>
                <w:bCs/>
                <w:szCs w:val="28"/>
                <w:lang w:eastAsia="lv-LV"/>
              </w:rPr>
              <w:t xml:space="preserve">Ar </w:t>
            </w:r>
            <w:r w:rsidR="00F4469B">
              <w:rPr>
                <w:rFonts w:ascii="Times New Roman" w:hAnsi="Times New Roman"/>
                <w:bCs/>
                <w:szCs w:val="28"/>
                <w:lang w:eastAsia="lv-LV"/>
              </w:rPr>
              <w:t>šo l</w:t>
            </w:r>
            <w:r>
              <w:rPr>
                <w:rFonts w:ascii="Times New Roman" w:hAnsi="Times New Roman"/>
                <w:bCs/>
                <w:szCs w:val="28"/>
                <w:lang w:eastAsia="lv-LV"/>
              </w:rPr>
              <w:t xml:space="preserve">ikumprojektu paredzēts grozīt šobrīd spēkā esošo </w:t>
            </w:r>
            <w:r w:rsidR="00F4469B">
              <w:rPr>
                <w:rFonts w:ascii="Times New Roman" w:hAnsi="Times New Roman"/>
                <w:bCs/>
                <w:szCs w:val="28"/>
                <w:lang w:eastAsia="lv-LV"/>
              </w:rPr>
              <w:t>L</w:t>
            </w:r>
            <w:r>
              <w:rPr>
                <w:rFonts w:ascii="Times New Roman" w:hAnsi="Times New Roman"/>
                <w:bCs/>
                <w:szCs w:val="28"/>
                <w:lang w:eastAsia="lv-LV"/>
              </w:rPr>
              <w:t>ikumu.</w:t>
            </w:r>
          </w:p>
        </w:tc>
      </w:tr>
    </w:tbl>
    <w:p w:rsidR="005B56CE" w:rsidRDefault="005B56CE" w:rsidP="005B56CE">
      <w:pPr>
        <w:spacing w:before="360" w:after="360"/>
        <w:ind w:firstLine="720"/>
        <w:rPr>
          <w:rFonts w:ascii="Times New Roman" w:hAnsi="Times New Roman"/>
          <w:b/>
          <w:szCs w:val="28"/>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8A4035"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72853" w:rsidRDefault="008A4035" w:rsidP="00367D63">
            <w:pPr>
              <w:spacing w:before="100" w:beforeAutospacing="1" w:after="100" w:afterAutospacing="1" w:line="293" w:lineRule="atLeast"/>
              <w:jc w:val="center"/>
              <w:rPr>
                <w:rFonts w:ascii="Times New Roman" w:hAnsi="Times New Roman"/>
                <w:b/>
                <w:bCs/>
                <w:i/>
                <w:iCs/>
                <w:szCs w:val="28"/>
                <w:lang w:eastAsia="lv-LV"/>
              </w:rPr>
            </w:pPr>
            <w:r w:rsidRPr="008A4035">
              <w:rPr>
                <w:rFonts w:ascii="Times New Roman" w:hAnsi="Times New Roman"/>
                <w:b/>
                <w:bCs/>
                <w:szCs w:val="28"/>
                <w:shd w:val="clear" w:color="auto" w:fill="FFFFFF"/>
              </w:rPr>
              <w:t>V. Tiesību akta projekta atbilstība Latvijas Republikas starptautiskajām saistībām</w:t>
            </w:r>
          </w:p>
        </w:tc>
      </w:tr>
      <w:tr w:rsidR="008A4035" w:rsidRPr="008A4035"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72853" w:rsidRDefault="008A4035" w:rsidP="00367D63">
            <w:pPr>
              <w:spacing w:before="100" w:beforeAutospacing="1" w:after="100" w:afterAutospacing="1" w:line="293" w:lineRule="atLeast"/>
              <w:jc w:val="center"/>
              <w:rPr>
                <w:rFonts w:ascii="Times New Roman" w:hAnsi="Times New Roman"/>
                <w:i/>
                <w:iCs/>
                <w:szCs w:val="28"/>
                <w:lang w:eastAsia="lv-LV"/>
              </w:rPr>
            </w:pPr>
            <w:r w:rsidRPr="00A72853">
              <w:rPr>
                <w:rFonts w:ascii="Times New Roman" w:hAnsi="Times New Roman"/>
                <w:i/>
                <w:iCs/>
                <w:szCs w:val="28"/>
                <w:lang w:eastAsia="lv-LV"/>
              </w:rPr>
              <w:t>Projekts šo jomu neskar</w:t>
            </w:r>
          </w:p>
        </w:tc>
      </w:tr>
    </w:tbl>
    <w:p w:rsidR="008A4035" w:rsidRPr="003A4035" w:rsidRDefault="008A4035" w:rsidP="005B56CE">
      <w:pPr>
        <w:spacing w:before="360" w:after="360"/>
        <w:ind w:firstLine="720"/>
        <w:rPr>
          <w:rFonts w:ascii="Times New Roman" w:hAnsi="Times New Roman"/>
          <w:b/>
          <w:sz w:val="12"/>
          <w:szCs w:val="12"/>
          <w:lang w:eastAsia="lv-LV"/>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8A4035" w:rsidRPr="008A4035" w:rsidTr="008A4035">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72853" w:rsidRDefault="008A4035" w:rsidP="00367D63">
            <w:pPr>
              <w:spacing w:before="100" w:beforeAutospacing="1" w:after="100" w:afterAutospacing="1" w:line="293" w:lineRule="atLeast"/>
              <w:jc w:val="center"/>
              <w:rPr>
                <w:rFonts w:ascii="Times New Roman" w:hAnsi="Times New Roman"/>
                <w:b/>
                <w:bCs/>
                <w:i/>
                <w:iCs/>
                <w:szCs w:val="28"/>
                <w:lang w:eastAsia="lv-LV"/>
              </w:rPr>
            </w:pPr>
            <w:r w:rsidRPr="008A4035">
              <w:rPr>
                <w:rFonts w:ascii="Times New Roman" w:hAnsi="Times New Roman"/>
                <w:b/>
                <w:bCs/>
                <w:szCs w:val="28"/>
                <w:shd w:val="clear" w:color="auto" w:fill="FFFFFF"/>
              </w:rPr>
              <w:t>VI. Sabiedrības līdzdalība un komunikācijas aktivitātes</w:t>
            </w:r>
          </w:p>
        </w:tc>
      </w:tr>
      <w:tr w:rsidR="008A4035" w:rsidRPr="008A4035" w:rsidTr="008A4035">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72853" w:rsidRPr="00A72853" w:rsidRDefault="008A4035" w:rsidP="00367D63">
            <w:pPr>
              <w:spacing w:before="100" w:beforeAutospacing="1" w:after="100" w:afterAutospacing="1" w:line="293" w:lineRule="atLeast"/>
              <w:jc w:val="center"/>
              <w:rPr>
                <w:rFonts w:ascii="Times New Roman" w:hAnsi="Times New Roman"/>
                <w:i/>
                <w:iCs/>
                <w:szCs w:val="28"/>
                <w:lang w:eastAsia="lv-LV"/>
              </w:rPr>
            </w:pPr>
            <w:r w:rsidRPr="00A72853">
              <w:rPr>
                <w:rFonts w:ascii="Times New Roman" w:hAnsi="Times New Roman"/>
                <w:i/>
                <w:iCs/>
                <w:szCs w:val="28"/>
                <w:lang w:eastAsia="lv-LV"/>
              </w:rPr>
              <w:t>Projekts šo jomu neskar</w:t>
            </w:r>
          </w:p>
        </w:tc>
      </w:tr>
    </w:tbl>
    <w:p w:rsidR="008A4035" w:rsidRPr="003A4035" w:rsidRDefault="008A4035" w:rsidP="005B56CE">
      <w:pPr>
        <w:spacing w:before="360" w:after="360"/>
        <w:ind w:firstLine="720"/>
        <w:rPr>
          <w:rFonts w:ascii="Times New Roman" w:hAnsi="Times New Roman"/>
          <w:b/>
          <w:sz w:val="12"/>
          <w:szCs w:val="12"/>
          <w:lang w:eastAsia="lv-LV"/>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01"/>
        <w:gridCol w:w="5197"/>
      </w:tblGrid>
      <w:tr w:rsidR="005B56CE" w:rsidRPr="005B56CE" w:rsidTr="008A4035">
        <w:tc>
          <w:tcPr>
            <w:tcW w:w="9924" w:type="dxa"/>
            <w:gridSpan w:val="3"/>
            <w:tcBorders>
              <w:top w:val="single" w:sz="4" w:space="0" w:color="auto"/>
            </w:tcBorders>
          </w:tcPr>
          <w:p w:rsidR="005B56CE" w:rsidRPr="005B56CE" w:rsidRDefault="005B56CE" w:rsidP="001557F7">
            <w:pPr>
              <w:ind w:left="57" w:right="57"/>
              <w:jc w:val="center"/>
              <w:rPr>
                <w:rFonts w:ascii="Times New Roman" w:hAnsi="Times New Roman"/>
                <w:b/>
                <w:bCs/>
                <w:szCs w:val="28"/>
                <w:lang w:eastAsia="lv-LV"/>
              </w:rPr>
            </w:pPr>
            <w:r w:rsidRPr="005B56CE">
              <w:rPr>
                <w:rFonts w:ascii="Times New Roman" w:hAnsi="Times New Roman"/>
                <w:b/>
                <w:bCs/>
                <w:szCs w:val="28"/>
                <w:lang w:eastAsia="lv-LV"/>
              </w:rPr>
              <w:t>VII. Tiesību akta projekta izpildes nodrošināšana un tās ietekme uz institūcijām</w:t>
            </w:r>
          </w:p>
        </w:tc>
      </w:tr>
      <w:tr w:rsidR="005B56CE" w:rsidRPr="005B56CE" w:rsidTr="008A4035">
        <w:trPr>
          <w:trHeight w:val="427"/>
        </w:trPr>
        <w:tc>
          <w:tcPr>
            <w:tcW w:w="426"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1.</w:t>
            </w:r>
          </w:p>
        </w:tc>
        <w:tc>
          <w:tcPr>
            <w:tcW w:w="4301" w:type="dxa"/>
          </w:tcPr>
          <w:p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 xml:space="preserve">Projekta izpildē iesaistītās institūcijas </w:t>
            </w:r>
          </w:p>
        </w:tc>
        <w:tc>
          <w:tcPr>
            <w:tcW w:w="5197" w:type="dxa"/>
          </w:tcPr>
          <w:p w:rsidR="005B56CE" w:rsidRPr="000E3FB7" w:rsidRDefault="00A904C0" w:rsidP="000E3FB7">
            <w:pPr>
              <w:tabs>
                <w:tab w:val="left" w:pos="427"/>
                <w:tab w:val="left" w:pos="2628"/>
              </w:tabs>
              <w:ind w:left="70"/>
              <w:jc w:val="both"/>
              <w:rPr>
                <w:rFonts w:ascii="Times New Roman" w:hAnsi="Times New Roman"/>
                <w:szCs w:val="28"/>
                <w:lang w:eastAsia="lv-LV"/>
              </w:rPr>
            </w:pPr>
            <w:r w:rsidRPr="00A904C0">
              <w:rPr>
                <w:rFonts w:ascii="Times New Roman" w:hAnsi="Times New Roman"/>
                <w:szCs w:val="28"/>
                <w:lang w:eastAsia="lv-LV"/>
              </w:rPr>
              <w:t>Publiskas personas kapitālsabiedrības,</w:t>
            </w:r>
            <w:r w:rsidR="00FC3122">
              <w:rPr>
                <w:rFonts w:ascii="Times New Roman" w:hAnsi="Times New Roman"/>
                <w:szCs w:val="28"/>
                <w:lang w:eastAsia="lv-LV"/>
              </w:rPr>
              <w:t xml:space="preserve"> publiski privātas kapitālsabiedrības,</w:t>
            </w:r>
            <w:r w:rsidRPr="00A904C0">
              <w:rPr>
                <w:rFonts w:ascii="Times New Roman" w:hAnsi="Times New Roman"/>
                <w:szCs w:val="28"/>
                <w:lang w:eastAsia="lv-LV"/>
              </w:rPr>
              <w:t xml:space="preserve"> publiskas </w:t>
            </w:r>
            <w:r>
              <w:rPr>
                <w:rFonts w:ascii="Times New Roman" w:hAnsi="Times New Roman"/>
                <w:szCs w:val="28"/>
                <w:lang w:eastAsia="lv-LV"/>
              </w:rPr>
              <w:t>personas kapitāla daļu turētāji.</w:t>
            </w:r>
          </w:p>
        </w:tc>
      </w:tr>
      <w:tr w:rsidR="005B56CE" w:rsidRPr="005B56CE" w:rsidTr="008A4035">
        <w:trPr>
          <w:trHeight w:val="463"/>
        </w:trPr>
        <w:tc>
          <w:tcPr>
            <w:tcW w:w="426"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2.</w:t>
            </w:r>
          </w:p>
        </w:tc>
        <w:tc>
          <w:tcPr>
            <w:tcW w:w="4301" w:type="dxa"/>
          </w:tcPr>
          <w:p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 xml:space="preserve">Projekta izpildes ietekme uz pārvaldes funkcijām </w:t>
            </w:r>
          </w:p>
        </w:tc>
        <w:tc>
          <w:tcPr>
            <w:tcW w:w="5197" w:type="dxa"/>
          </w:tcPr>
          <w:p w:rsidR="005B56CE" w:rsidRPr="005B56CE" w:rsidRDefault="005B56CE" w:rsidP="005B56CE">
            <w:pPr>
              <w:ind w:left="57" w:right="57"/>
              <w:jc w:val="both"/>
              <w:rPr>
                <w:rFonts w:ascii="Times New Roman" w:hAnsi="Times New Roman"/>
                <w:bCs/>
                <w:szCs w:val="28"/>
                <w:lang w:eastAsia="lv-LV"/>
              </w:rPr>
            </w:pPr>
            <w:r w:rsidRPr="005B56CE">
              <w:rPr>
                <w:rFonts w:ascii="Times New Roman" w:hAnsi="Times New Roman"/>
                <w:bCs/>
                <w:szCs w:val="28"/>
                <w:lang w:eastAsia="lv-LV"/>
              </w:rPr>
              <w:t>Projekts šo jomu neskar.</w:t>
            </w:r>
          </w:p>
          <w:p w:rsidR="005B56CE" w:rsidRPr="005B56CE" w:rsidRDefault="005B56CE" w:rsidP="0093489F">
            <w:pPr>
              <w:ind w:right="57"/>
              <w:jc w:val="both"/>
              <w:rPr>
                <w:rFonts w:ascii="Times New Roman" w:hAnsi="Times New Roman"/>
                <w:bCs/>
                <w:iCs/>
                <w:szCs w:val="28"/>
                <w:lang w:eastAsia="lv-LV"/>
              </w:rPr>
            </w:pPr>
          </w:p>
        </w:tc>
      </w:tr>
      <w:tr w:rsidR="005B56CE" w:rsidRPr="005B56CE" w:rsidTr="008A4035">
        <w:trPr>
          <w:trHeight w:val="725"/>
        </w:trPr>
        <w:tc>
          <w:tcPr>
            <w:tcW w:w="426"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3.</w:t>
            </w:r>
          </w:p>
        </w:tc>
        <w:tc>
          <w:tcPr>
            <w:tcW w:w="4301" w:type="dxa"/>
          </w:tcPr>
          <w:p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Projekta izpildes ietekme uz pārvaldes institucionālo struktūru.</w:t>
            </w:r>
          </w:p>
          <w:p w:rsidR="005B56CE" w:rsidRPr="005B56CE" w:rsidRDefault="005B56CE" w:rsidP="005B56CE">
            <w:pPr>
              <w:ind w:left="57" w:right="57"/>
              <w:jc w:val="both"/>
              <w:rPr>
                <w:rFonts w:ascii="Times New Roman" w:hAnsi="Times New Roman"/>
                <w:szCs w:val="28"/>
                <w:lang w:eastAsia="lv-LV"/>
              </w:rPr>
            </w:pPr>
            <w:r w:rsidRPr="005B56CE">
              <w:rPr>
                <w:rFonts w:ascii="Times New Roman" w:hAnsi="Times New Roman"/>
                <w:szCs w:val="28"/>
                <w:lang w:eastAsia="lv-LV"/>
              </w:rPr>
              <w:t>Jaunu institūciju izveide, esošu institūciju likvidācija vai reorganizācija, to ietekme uz institūcijas cilvēkresursiem</w:t>
            </w:r>
          </w:p>
        </w:tc>
        <w:tc>
          <w:tcPr>
            <w:tcW w:w="5197" w:type="dxa"/>
          </w:tcPr>
          <w:p w:rsidR="005B56CE" w:rsidRPr="005B56CE" w:rsidRDefault="005B56CE" w:rsidP="005B56CE">
            <w:pPr>
              <w:ind w:left="57" w:right="57"/>
              <w:jc w:val="both"/>
              <w:rPr>
                <w:rFonts w:ascii="Times New Roman" w:hAnsi="Times New Roman"/>
                <w:bCs/>
                <w:szCs w:val="28"/>
                <w:lang w:eastAsia="lv-LV"/>
              </w:rPr>
            </w:pPr>
            <w:r w:rsidRPr="005B56CE">
              <w:rPr>
                <w:rFonts w:ascii="Times New Roman" w:hAnsi="Times New Roman"/>
                <w:bCs/>
                <w:szCs w:val="28"/>
                <w:lang w:eastAsia="lv-LV"/>
              </w:rPr>
              <w:t>Projekts šo jomu neskar.</w:t>
            </w:r>
          </w:p>
        </w:tc>
      </w:tr>
      <w:tr w:rsidR="005B56CE" w:rsidRPr="005B56CE" w:rsidTr="008A4035">
        <w:trPr>
          <w:trHeight w:val="477"/>
        </w:trPr>
        <w:tc>
          <w:tcPr>
            <w:tcW w:w="426" w:type="dxa"/>
          </w:tcPr>
          <w:p w:rsidR="005B56CE" w:rsidRPr="005B56CE" w:rsidRDefault="005B56CE" w:rsidP="005B56CE">
            <w:pPr>
              <w:ind w:left="57" w:right="57"/>
              <w:rPr>
                <w:rFonts w:ascii="Times New Roman" w:hAnsi="Times New Roman"/>
                <w:bCs/>
                <w:szCs w:val="28"/>
                <w:lang w:eastAsia="lv-LV"/>
              </w:rPr>
            </w:pPr>
            <w:r w:rsidRPr="005B56CE">
              <w:rPr>
                <w:rFonts w:ascii="Times New Roman" w:hAnsi="Times New Roman"/>
                <w:bCs/>
                <w:szCs w:val="28"/>
                <w:lang w:eastAsia="lv-LV"/>
              </w:rPr>
              <w:t>3.</w:t>
            </w:r>
          </w:p>
        </w:tc>
        <w:tc>
          <w:tcPr>
            <w:tcW w:w="4301" w:type="dxa"/>
          </w:tcPr>
          <w:p w:rsidR="005B56CE" w:rsidRPr="005B56CE" w:rsidRDefault="005B56CE" w:rsidP="005B56CE">
            <w:pPr>
              <w:ind w:left="57" w:right="57"/>
              <w:rPr>
                <w:rFonts w:ascii="Times New Roman" w:hAnsi="Times New Roman"/>
                <w:szCs w:val="28"/>
                <w:lang w:eastAsia="lv-LV"/>
              </w:rPr>
            </w:pPr>
            <w:r w:rsidRPr="005B56CE">
              <w:rPr>
                <w:rFonts w:ascii="Times New Roman" w:hAnsi="Times New Roman"/>
                <w:szCs w:val="28"/>
                <w:lang w:eastAsia="lv-LV"/>
              </w:rPr>
              <w:t>Cita informācija</w:t>
            </w:r>
          </w:p>
        </w:tc>
        <w:tc>
          <w:tcPr>
            <w:tcW w:w="5197" w:type="dxa"/>
          </w:tcPr>
          <w:p w:rsidR="005B56CE" w:rsidRPr="0093489F" w:rsidRDefault="005B56CE" w:rsidP="0093489F">
            <w:pPr>
              <w:ind w:left="57" w:right="57"/>
              <w:rPr>
                <w:rFonts w:ascii="Times New Roman" w:hAnsi="Times New Roman"/>
                <w:bCs/>
                <w:szCs w:val="28"/>
                <w:lang w:eastAsia="lv-LV"/>
              </w:rPr>
            </w:pPr>
            <w:r w:rsidRPr="005B56CE">
              <w:rPr>
                <w:rFonts w:ascii="Times New Roman" w:hAnsi="Times New Roman"/>
                <w:bCs/>
                <w:szCs w:val="28"/>
                <w:lang w:eastAsia="lv-LV"/>
              </w:rPr>
              <w:t>Nav.</w:t>
            </w:r>
          </w:p>
        </w:tc>
      </w:tr>
    </w:tbl>
    <w:p w:rsidR="00A32CD6" w:rsidRDefault="00A32CD6" w:rsidP="00E972DB">
      <w:pPr>
        <w:tabs>
          <w:tab w:val="right" w:pos="9000"/>
        </w:tabs>
        <w:spacing w:before="120"/>
        <w:jc w:val="both"/>
        <w:rPr>
          <w:rFonts w:ascii="Times New Roman" w:hAnsi="Times New Roman"/>
          <w:spacing w:val="-1"/>
        </w:rPr>
      </w:pPr>
    </w:p>
    <w:tbl>
      <w:tblPr>
        <w:tblW w:w="10206" w:type="dxa"/>
        <w:tblInd w:w="-539" w:type="dxa"/>
        <w:tblLook w:val="04A0" w:firstRow="1" w:lastRow="0" w:firstColumn="1" w:lastColumn="0" w:noHBand="0" w:noVBand="1"/>
      </w:tblPr>
      <w:tblGrid>
        <w:gridCol w:w="5102"/>
        <w:gridCol w:w="5104"/>
      </w:tblGrid>
      <w:tr w:rsidR="005B56CE" w:rsidRPr="00EF78E3" w:rsidTr="000E3FB7">
        <w:trPr>
          <w:trHeight w:val="866"/>
        </w:trPr>
        <w:tc>
          <w:tcPr>
            <w:tcW w:w="5102" w:type="dxa"/>
            <w:shd w:val="clear" w:color="auto" w:fill="auto"/>
          </w:tcPr>
          <w:p w:rsidR="004F05A0" w:rsidRDefault="004F05A0" w:rsidP="00BD45C2">
            <w:pPr>
              <w:tabs>
                <w:tab w:val="left" w:pos="7938"/>
              </w:tabs>
              <w:spacing w:before="120"/>
              <w:rPr>
                <w:rFonts w:ascii="Times New Roman" w:hAnsi="Times New Roman"/>
                <w:b/>
                <w:szCs w:val="24"/>
                <w:lang w:eastAsia="lv-LV"/>
              </w:rPr>
            </w:pPr>
          </w:p>
          <w:p w:rsidR="005B56CE" w:rsidRPr="00EF78E3" w:rsidRDefault="005B56CE" w:rsidP="00BD45C2">
            <w:pPr>
              <w:tabs>
                <w:tab w:val="left" w:pos="7938"/>
              </w:tabs>
              <w:spacing w:before="120"/>
              <w:rPr>
                <w:rFonts w:ascii="Times New Roman" w:hAnsi="Times New Roman"/>
                <w:b/>
                <w:szCs w:val="24"/>
                <w:lang w:eastAsia="lv-LV"/>
              </w:rPr>
            </w:pPr>
            <w:r w:rsidRPr="00EF78E3">
              <w:rPr>
                <w:rFonts w:ascii="Times New Roman" w:hAnsi="Times New Roman"/>
                <w:b/>
                <w:szCs w:val="24"/>
                <w:lang w:eastAsia="lv-LV"/>
              </w:rPr>
              <w:t>Ekonomikas ministre</w:t>
            </w:r>
          </w:p>
        </w:tc>
        <w:tc>
          <w:tcPr>
            <w:tcW w:w="5104" w:type="dxa"/>
            <w:shd w:val="clear" w:color="auto" w:fill="auto"/>
          </w:tcPr>
          <w:p w:rsidR="004F05A0" w:rsidRDefault="004F05A0" w:rsidP="001B2774">
            <w:pPr>
              <w:tabs>
                <w:tab w:val="left" w:pos="7938"/>
              </w:tabs>
              <w:spacing w:before="120"/>
              <w:jc w:val="center"/>
              <w:rPr>
                <w:rFonts w:ascii="Times New Roman" w:hAnsi="Times New Roman"/>
                <w:b/>
                <w:szCs w:val="24"/>
                <w:lang w:eastAsia="lv-LV"/>
              </w:rPr>
            </w:pPr>
          </w:p>
          <w:p w:rsidR="005B56CE" w:rsidRPr="00EF78E3" w:rsidRDefault="005B56CE" w:rsidP="001B2774">
            <w:pPr>
              <w:tabs>
                <w:tab w:val="left" w:pos="7938"/>
              </w:tabs>
              <w:spacing w:before="120"/>
              <w:jc w:val="center"/>
              <w:rPr>
                <w:rFonts w:ascii="Times New Roman" w:hAnsi="Times New Roman"/>
                <w:b/>
                <w:szCs w:val="24"/>
                <w:lang w:eastAsia="lv-LV"/>
              </w:rPr>
            </w:pPr>
            <w:proofErr w:type="spellStart"/>
            <w:r w:rsidRPr="00EF78E3">
              <w:rPr>
                <w:rFonts w:ascii="Times New Roman" w:hAnsi="Times New Roman"/>
                <w:b/>
                <w:szCs w:val="24"/>
                <w:lang w:eastAsia="lv-LV"/>
              </w:rPr>
              <w:t>D.Reizniece-Ozola</w:t>
            </w:r>
            <w:proofErr w:type="spellEnd"/>
          </w:p>
        </w:tc>
      </w:tr>
      <w:tr w:rsidR="005B56CE" w:rsidRPr="00EF78E3" w:rsidTr="000E3FB7">
        <w:trPr>
          <w:trHeight w:val="950"/>
        </w:trPr>
        <w:tc>
          <w:tcPr>
            <w:tcW w:w="5102" w:type="dxa"/>
            <w:shd w:val="clear" w:color="auto" w:fill="auto"/>
          </w:tcPr>
          <w:p w:rsidR="004F05A0" w:rsidRDefault="004F05A0" w:rsidP="00BD45C2">
            <w:pPr>
              <w:jc w:val="both"/>
              <w:rPr>
                <w:rFonts w:ascii="Times New Roman" w:hAnsi="Times New Roman"/>
                <w:b/>
                <w:szCs w:val="28"/>
                <w:lang w:eastAsia="lv-LV"/>
              </w:rPr>
            </w:pPr>
          </w:p>
          <w:p w:rsidR="004F05A0" w:rsidRDefault="004F05A0" w:rsidP="00BD45C2">
            <w:pPr>
              <w:jc w:val="both"/>
              <w:rPr>
                <w:rFonts w:ascii="Times New Roman" w:hAnsi="Times New Roman"/>
                <w:b/>
                <w:szCs w:val="28"/>
                <w:lang w:eastAsia="lv-LV"/>
              </w:rPr>
            </w:pPr>
          </w:p>
          <w:p w:rsidR="004F05A0" w:rsidRDefault="004F05A0" w:rsidP="00BD45C2">
            <w:pPr>
              <w:jc w:val="both"/>
              <w:rPr>
                <w:rFonts w:ascii="Times New Roman" w:hAnsi="Times New Roman"/>
                <w:b/>
                <w:szCs w:val="28"/>
                <w:lang w:eastAsia="lv-LV"/>
              </w:rPr>
            </w:pPr>
          </w:p>
          <w:p w:rsidR="005B56CE" w:rsidRPr="00EF78E3" w:rsidRDefault="005B56CE" w:rsidP="00BD45C2">
            <w:pPr>
              <w:jc w:val="both"/>
              <w:rPr>
                <w:rFonts w:ascii="Times New Roman" w:hAnsi="Times New Roman"/>
                <w:b/>
                <w:szCs w:val="28"/>
                <w:lang w:eastAsia="lv-LV"/>
              </w:rPr>
            </w:pPr>
            <w:r w:rsidRPr="00EF78E3">
              <w:rPr>
                <w:rFonts w:ascii="Times New Roman" w:hAnsi="Times New Roman"/>
                <w:b/>
                <w:szCs w:val="28"/>
                <w:lang w:eastAsia="lv-LV"/>
              </w:rPr>
              <w:t xml:space="preserve">Vīza: </w:t>
            </w:r>
          </w:p>
          <w:p w:rsidR="00BD45C2" w:rsidRDefault="005B56CE" w:rsidP="00BD45C2">
            <w:pPr>
              <w:jc w:val="both"/>
              <w:rPr>
                <w:rFonts w:ascii="Times New Roman" w:eastAsia="Calibri" w:hAnsi="Times New Roman"/>
                <w:b/>
                <w:szCs w:val="28"/>
                <w:lang w:eastAsia="en-US"/>
              </w:rPr>
            </w:pPr>
            <w:r w:rsidRPr="00EF78E3">
              <w:rPr>
                <w:rFonts w:ascii="Times New Roman" w:eastAsia="Calibri" w:hAnsi="Times New Roman"/>
                <w:b/>
                <w:szCs w:val="28"/>
                <w:lang w:eastAsia="en-US"/>
              </w:rPr>
              <w:t xml:space="preserve">Valsts </w:t>
            </w:r>
            <w:r w:rsidR="000E3FB7" w:rsidRPr="00EF78E3">
              <w:rPr>
                <w:rFonts w:ascii="Times New Roman" w:eastAsia="Calibri" w:hAnsi="Times New Roman"/>
                <w:b/>
                <w:szCs w:val="28"/>
                <w:lang w:eastAsia="en-US"/>
              </w:rPr>
              <w:t>sekretār</w:t>
            </w:r>
            <w:r w:rsidR="00BD45C2">
              <w:rPr>
                <w:rFonts w:ascii="Times New Roman" w:eastAsia="Calibri" w:hAnsi="Times New Roman"/>
                <w:b/>
                <w:szCs w:val="28"/>
                <w:lang w:eastAsia="en-US"/>
              </w:rPr>
              <w:t>a pienākumu izpildītājs,</w:t>
            </w:r>
          </w:p>
          <w:p w:rsidR="00BD45C2" w:rsidRDefault="00BD45C2" w:rsidP="00BD45C2">
            <w:pPr>
              <w:jc w:val="both"/>
              <w:rPr>
                <w:rFonts w:ascii="Times New Roman" w:eastAsia="Calibri" w:hAnsi="Times New Roman"/>
                <w:b/>
                <w:szCs w:val="28"/>
                <w:lang w:eastAsia="en-US"/>
              </w:rPr>
            </w:pPr>
            <w:r>
              <w:rPr>
                <w:rFonts w:ascii="Times New Roman" w:eastAsia="Calibri" w:hAnsi="Times New Roman"/>
                <w:b/>
                <w:szCs w:val="28"/>
                <w:lang w:eastAsia="en-US"/>
              </w:rPr>
              <w:t>valsts sekretāra vietnieks</w:t>
            </w:r>
          </w:p>
          <w:p w:rsidR="005B56CE" w:rsidRPr="00EF78E3" w:rsidRDefault="005B56CE" w:rsidP="000E3FB7">
            <w:pPr>
              <w:ind w:firstLine="539"/>
              <w:jc w:val="both"/>
              <w:rPr>
                <w:rFonts w:ascii="Times New Roman" w:eastAsia="Calibri" w:hAnsi="Times New Roman"/>
                <w:b/>
                <w:szCs w:val="28"/>
                <w:lang w:eastAsia="en-US"/>
              </w:rPr>
            </w:pPr>
          </w:p>
        </w:tc>
        <w:tc>
          <w:tcPr>
            <w:tcW w:w="5104" w:type="dxa"/>
            <w:shd w:val="clear" w:color="auto" w:fill="auto"/>
          </w:tcPr>
          <w:p w:rsidR="005B56CE" w:rsidRPr="00EF78E3" w:rsidRDefault="005B56CE" w:rsidP="005B56CE">
            <w:pPr>
              <w:tabs>
                <w:tab w:val="left" w:pos="7938"/>
              </w:tabs>
              <w:spacing w:before="120"/>
              <w:jc w:val="right"/>
              <w:rPr>
                <w:rFonts w:ascii="Times New Roman" w:hAnsi="Times New Roman"/>
                <w:b/>
                <w:szCs w:val="28"/>
                <w:lang w:eastAsia="lv-LV"/>
              </w:rPr>
            </w:pPr>
          </w:p>
          <w:p w:rsidR="00BD45C2" w:rsidRDefault="00BD45C2" w:rsidP="00BD45C2">
            <w:pPr>
              <w:tabs>
                <w:tab w:val="left" w:pos="7938"/>
              </w:tabs>
              <w:spacing w:before="120"/>
              <w:jc w:val="center"/>
              <w:rPr>
                <w:rFonts w:ascii="Times New Roman" w:hAnsi="Times New Roman"/>
                <w:b/>
                <w:szCs w:val="28"/>
                <w:lang w:eastAsia="lv-LV"/>
              </w:rPr>
            </w:pPr>
          </w:p>
          <w:p w:rsidR="004F05A0" w:rsidRDefault="00BD45C2" w:rsidP="000C37F2">
            <w:pPr>
              <w:tabs>
                <w:tab w:val="left" w:pos="2955"/>
              </w:tabs>
              <w:rPr>
                <w:rFonts w:ascii="Times New Roman" w:hAnsi="Times New Roman"/>
                <w:szCs w:val="28"/>
                <w:lang w:eastAsia="lv-LV"/>
              </w:rPr>
            </w:pPr>
            <w:r>
              <w:rPr>
                <w:rFonts w:ascii="Times New Roman" w:hAnsi="Times New Roman"/>
                <w:szCs w:val="28"/>
                <w:lang w:eastAsia="lv-LV"/>
              </w:rPr>
              <w:tab/>
            </w:r>
          </w:p>
          <w:p w:rsidR="004F05A0" w:rsidRDefault="004F05A0" w:rsidP="000C37F2">
            <w:pPr>
              <w:tabs>
                <w:tab w:val="left" w:pos="2955"/>
              </w:tabs>
              <w:rPr>
                <w:rFonts w:ascii="Times New Roman" w:hAnsi="Times New Roman"/>
                <w:szCs w:val="28"/>
                <w:lang w:eastAsia="lv-LV"/>
              </w:rPr>
            </w:pPr>
          </w:p>
          <w:p w:rsidR="005B56CE" w:rsidRPr="00BD45C2" w:rsidRDefault="00700528" w:rsidP="00210DBF">
            <w:pPr>
              <w:tabs>
                <w:tab w:val="left" w:pos="2955"/>
              </w:tabs>
              <w:rPr>
                <w:rFonts w:ascii="Times New Roman" w:hAnsi="Times New Roman"/>
                <w:b/>
                <w:szCs w:val="28"/>
                <w:lang w:eastAsia="lv-LV"/>
              </w:rPr>
            </w:pPr>
            <w:r>
              <w:rPr>
                <w:rFonts w:ascii="Times New Roman" w:hAnsi="Times New Roman"/>
                <w:b/>
                <w:szCs w:val="28"/>
                <w:lang w:eastAsia="lv-LV"/>
              </w:rPr>
              <w:t xml:space="preserve">                                </w:t>
            </w:r>
            <w:r w:rsidR="00210DBF">
              <w:rPr>
                <w:rFonts w:ascii="Times New Roman" w:hAnsi="Times New Roman"/>
                <w:b/>
                <w:szCs w:val="28"/>
                <w:lang w:eastAsia="lv-LV"/>
              </w:rPr>
              <w:t>J.Spiridonovs</w:t>
            </w:r>
          </w:p>
        </w:tc>
      </w:tr>
      <w:tr w:rsidR="005B56CE" w:rsidRPr="005B56CE" w:rsidTr="000E3FB7">
        <w:trPr>
          <w:trHeight w:val="950"/>
        </w:trPr>
        <w:tc>
          <w:tcPr>
            <w:tcW w:w="5102" w:type="dxa"/>
            <w:shd w:val="clear" w:color="auto" w:fill="auto"/>
          </w:tcPr>
          <w:p w:rsidR="005B56CE" w:rsidRPr="005B56CE" w:rsidRDefault="005B56CE" w:rsidP="005B56CE">
            <w:pPr>
              <w:jc w:val="both"/>
              <w:rPr>
                <w:rFonts w:ascii="Times New Roman" w:hAnsi="Times New Roman"/>
                <w:b/>
                <w:szCs w:val="28"/>
                <w:lang w:eastAsia="lv-LV"/>
              </w:rPr>
            </w:pPr>
          </w:p>
        </w:tc>
        <w:tc>
          <w:tcPr>
            <w:tcW w:w="5104" w:type="dxa"/>
            <w:shd w:val="clear" w:color="auto" w:fill="auto"/>
          </w:tcPr>
          <w:p w:rsidR="005B56CE" w:rsidRPr="005B56CE" w:rsidRDefault="005B56CE" w:rsidP="005B56CE">
            <w:pPr>
              <w:tabs>
                <w:tab w:val="left" w:pos="7938"/>
              </w:tabs>
              <w:spacing w:before="120"/>
              <w:jc w:val="right"/>
              <w:rPr>
                <w:rFonts w:ascii="Times New Roman" w:hAnsi="Times New Roman"/>
                <w:b/>
                <w:szCs w:val="28"/>
                <w:lang w:eastAsia="lv-LV"/>
              </w:rPr>
            </w:pPr>
          </w:p>
        </w:tc>
      </w:tr>
    </w:tbl>
    <w:p w:rsidR="005B56CE" w:rsidRPr="005B56CE" w:rsidRDefault="004F05A0" w:rsidP="006C74C1">
      <w:pPr>
        <w:tabs>
          <w:tab w:val="left" w:pos="2552"/>
        </w:tabs>
        <w:ind w:hanging="567"/>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890C3D">
        <w:rPr>
          <w:rFonts w:ascii="Times New Roman" w:eastAsia="Calibri" w:hAnsi="Times New Roman"/>
          <w:sz w:val="24"/>
          <w:szCs w:val="24"/>
          <w:lang w:eastAsia="en-US"/>
        </w:rPr>
        <w:t>3</w:t>
      </w:r>
      <w:r w:rsidR="005B56CE" w:rsidRPr="005B56CE">
        <w:rPr>
          <w:rFonts w:ascii="Times New Roman" w:eastAsia="Calibri" w:hAnsi="Times New Roman"/>
          <w:sz w:val="24"/>
          <w:szCs w:val="24"/>
          <w:lang w:eastAsia="en-US"/>
        </w:rPr>
        <w:t>.</w:t>
      </w:r>
      <w:r w:rsidR="001557F7">
        <w:rPr>
          <w:rFonts w:ascii="Times New Roman" w:eastAsia="Calibri" w:hAnsi="Times New Roman"/>
          <w:sz w:val="24"/>
          <w:szCs w:val="24"/>
          <w:lang w:eastAsia="en-US"/>
        </w:rPr>
        <w:t>03</w:t>
      </w:r>
      <w:r w:rsidR="00292837">
        <w:rPr>
          <w:rFonts w:ascii="Times New Roman" w:eastAsia="Calibri" w:hAnsi="Times New Roman"/>
          <w:sz w:val="24"/>
          <w:szCs w:val="24"/>
          <w:lang w:eastAsia="en-US"/>
        </w:rPr>
        <w:t>.201</w:t>
      </w:r>
      <w:r w:rsidR="00693450">
        <w:rPr>
          <w:rFonts w:ascii="Times New Roman" w:eastAsia="Calibri" w:hAnsi="Times New Roman"/>
          <w:sz w:val="24"/>
          <w:szCs w:val="24"/>
          <w:lang w:eastAsia="en-US"/>
        </w:rPr>
        <w:t>5</w:t>
      </w:r>
      <w:r w:rsidR="00292837">
        <w:rPr>
          <w:rFonts w:ascii="Times New Roman" w:eastAsia="Calibri" w:hAnsi="Times New Roman"/>
          <w:sz w:val="24"/>
          <w:szCs w:val="24"/>
          <w:lang w:eastAsia="en-US"/>
        </w:rPr>
        <w:t xml:space="preserve">. </w:t>
      </w:r>
      <w:r w:rsidR="00890C3D">
        <w:rPr>
          <w:rFonts w:ascii="Times New Roman" w:eastAsia="Calibri" w:hAnsi="Times New Roman"/>
          <w:sz w:val="24"/>
          <w:szCs w:val="24"/>
          <w:lang w:eastAsia="en-US"/>
        </w:rPr>
        <w:t>18:20</w:t>
      </w:r>
      <w:bookmarkStart w:id="0" w:name="_GoBack"/>
      <w:bookmarkEnd w:id="0"/>
    </w:p>
    <w:p w:rsidR="005B56CE" w:rsidRPr="005B56CE" w:rsidRDefault="00890C3D" w:rsidP="006C74C1">
      <w:pPr>
        <w:tabs>
          <w:tab w:val="left" w:pos="2552"/>
        </w:tabs>
        <w:ind w:hanging="567"/>
        <w:jc w:val="both"/>
        <w:rPr>
          <w:rFonts w:ascii="Times New Roman" w:eastAsia="Calibri" w:hAnsi="Times New Roman"/>
          <w:sz w:val="24"/>
          <w:szCs w:val="24"/>
          <w:lang w:eastAsia="en-US"/>
        </w:rPr>
      </w:pPr>
      <w:r>
        <w:rPr>
          <w:rFonts w:ascii="Times New Roman" w:eastAsia="Calibri" w:hAnsi="Times New Roman"/>
          <w:sz w:val="24"/>
          <w:szCs w:val="24"/>
          <w:lang w:eastAsia="en-US"/>
        </w:rPr>
        <w:t>2339</w:t>
      </w:r>
    </w:p>
    <w:p w:rsidR="005B56CE" w:rsidRPr="005B56CE" w:rsidRDefault="005B56CE" w:rsidP="006C74C1">
      <w:pPr>
        <w:ind w:hanging="567"/>
        <w:jc w:val="both"/>
        <w:rPr>
          <w:rFonts w:ascii="Times New Roman" w:eastAsia="Calibri" w:hAnsi="Times New Roman"/>
          <w:sz w:val="24"/>
          <w:szCs w:val="24"/>
          <w:lang w:eastAsia="en-US"/>
        </w:rPr>
      </w:pPr>
      <w:r w:rsidRPr="005B56CE">
        <w:rPr>
          <w:rFonts w:ascii="Times New Roman" w:eastAsia="Calibri" w:hAnsi="Times New Roman"/>
          <w:sz w:val="24"/>
          <w:szCs w:val="24"/>
          <w:lang w:eastAsia="en-US"/>
        </w:rPr>
        <w:t>Spaliņa</w:t>
      </w:r>
    </w:p>
    <w:p w:rsidR="006861FF" w:rsidRPr="00484ADA" w:rsidRDefault="005B56CE" w:rsidP="006C74C1">
      <w:pPr>
        <w:ind w:hanging="567"/>
        <w:jc w:val="both"/>
        <w:rPr>
          <w:rFonts w:ascii="Times New Roman" w:hAnsi="Times New Roman"/>
          <w:sz w:val="24"/>
          <w:szCs w:val="24"/>
        </w:rPr>
      </w:pPr>
      <w:r w:rsidRPr="005B56CE">
        <w:rPr>
          <w:rFonts w:ascii="Times New Roman" w:eastAsia="Calibri" w:hAnsi="Times New Roman"/>
          <w:sz w:val="24"/>
          <w:szCs w:val="24"/>
          <w:lang w:eastAsia="en-US"/>
        </w:rPr>
        <w:t xml:space="preserve">67013110, </w:t>
      </w:r>
      <w:r w:rsidRPr="005B56CE">
        <w:rPr>
          <w:rFonts w:ascii="Times New Roman" w:eastAsia="Calibri" w:hAnsi="Times New Roman"/>
          <w:color w:val="0000FF"/>
          <w:sz w:val="24"/>
          <w:szCs w:val="24"/>
          <w:u w:val="single"/>
          <w:lang w:eastAsia="en-US"/>
        </w:rPr>
        <w:t>Dace.Spalina@em.gov.lv</w:t>
      </w:r>
    </w:p>
    <w:sectPr w:rsidR="006861FF" w:rsidRPr="00484ADA" w:rsidSect="00CB1666">
      <w:headerReference w:type="even" r:id="rId8"/>
      <w:headerReference w:type="default" r:id="rId9"/>
      <w:footerReference w:type="even" r:id="rId10"/>
      <w:footerReference w:type="default" r:id="rId11"/>
      <w:footerReference w:type="first" r:id="rId12"/>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CE" w:rsidRDefault="003D63CE">
      <w:r>
        <w:separator/>
      </w:r>
    </w:p>
  </w:endnote>
  <w:endnote w:type="continuationSeparator" w:id="0">
    <w:p w:rsidR="003D63CE" w:rsidRDefault="003D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CA410E">
    <w:pPr>
      <w:pStyle w:val="Footer"/>
      <w:framePr w:wrap="around" w:vAnchor="text" w:hAnchor="margin" w:xAlign="right" w:y="1"/>
      <w:rPr>
        <w:rStyle w:val="PageNumber"/>
      </w:rPr>
    </w:pPr>
    <w:r>
      <w:rPr>
        <w:rStyle w:val="PageNumber"/>
      </w:rPr>
      <w:fldChar w:fldCharType="begin"/>
    </w:r>
    <w:r w:rsidR="00863EDA">
      <w:rPr>
        <w:rStyle w:val="PageNumber"/>
      </w:rPr>
      <w:instrText xml:space="preserve">PAGE  </w:instrText>
    </w:r>
    <w:r>
      <w:rPr>
        <w:rStyle w:val="PageNumber"/>
      </w:rPr>
      <w:fldChar w:fldCharType="separate"/>
    </w:r>
    <w:r w:rsidR="00863EDA">
      <w:rPr>
        <w:rStyle w:val="PageNumber"/>
        <w:noProof/>
      </w:rPr>
      <w:t>10</w:t>
    </w:r>
    <w:r>
      <w:rPr>
        <w:rStyle w:val="PageNumber"/>
      </w:rPr>
      <w:fldChar w:fldCharType="end"/>
    </w:r>
  </w:p>
  <w:p w:rsidR="00863EDA" w:rsidRDefault="00863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4C39C4" w:rsidRDefault="00863EDA" w:rsidP="004C39C4">
    <w:pPr>
      <w:pStyle w:val="Footer"/>
      <w:jc w:val="both"/>
    </w:pPr>
    <w:r w:rsidRPr="0056325F">
      <w:rPr>
        <w:rFonts w:ascii="Times New Roman" w:hAnsi="Times New Roman"/>
        <w:snapToGrid w:val="0"/>
        <w:sz w:val="24"/>
        <w:szCs w:val="24"/>
        <w:lang w:eastAsia="en-US"/>
      </w:rPr>
      <w:t>EMAnot_</w:t>
    </w:r>
    <w:r w:rsidR="00890C3D">
      <w:rPr>
        <w:rFonts w:ascii="Times New Roman" w:hAnsi="Times New Roman"/>
        <w:snapToGrid w:val="0"/>
        <w:sz w:val="24"/>
        <w:szCs w:val="24"/>
        <w:lang w:eastAsia="en-US"/>
      </w:rPr>
      <w:t>23</w:t>
    </w:r>
    <w:r w:rsidR="001557F7">
      <w:rPr>
        <w:rFonts w:ascii="Times New Roman" w:hAnsi="Times New Roman"/>
        <w:snapToGrid w:val="0"/>
        <w:sz w:val="24"/>
        <w:szCs w:val="24"/>
        <w:lang w:eastAsia="en-US"/>
      </w:rPr>
      <w:t>0315</w:t>
    </w:r>
    <w:r w:rsidR="00890C3D">
      <w:rPr>
        <w:rFonts w:ascii="Times New Roman" w:hAnsi="Times New Roman"/>
        <w:snapToGrid w:val="0"/>
        <w:sz w:val="24"/>
        <w:szCs w:val="24"/>
        <w:lang w:eastAsia="en-US"/>
      </w:rPr>
      <w:t>_preciz</w:t>
    </w:r>
    <w:r w:rsidRPr="0056325F">
      <w:rPr>
        <w:rFonts w:ascii="Times New Roman" w:hAnsi="Times New Roman"/>
        <w:snapToGrid w:val="0"/>
        <w:sz w:val="24"/>
        <w:szCs w:val="24"/>
        <w:lang w:eastAsia="en-US"/>
      </w:rPr>
      <w:t xml:space="preserve">; </w:t>
    </w:r>
    <w:r w:rsidR="00693450">
      <w:rPr>
        <w:rFonts w:ascii="Times New Roman" w:hAnsi="Times New Roman"/>
        <w:snapToGrid w:val="0"/>
        <w:sz w:val="24"/>
        <w:szCs w:val="24"/>
        <w:lang w:eastAsia="en-US"/>
      </w:rPr>
      <w:t>Likum</w:t>
    </w:r>
    <w:r w:rsidRPr="004C39C4">
      <w:rPr>
        <w:rFonts w:ascii="Times New Roman" w:hAnsi="Times New Roman"/>
        <w:snapToGrid w:val="0"/>
        <w:sz w:val="24"/>
        <w:szCs w:val="24"/>
        <w:lang w:eastAsia="en-US"/>
      </w:rPr>
      <w:t>projekta „</w:t>
    </w:r>
    <w:r w:rsidR="00693450">
      <w:rPr>
        <w:rFonts w:ascii="Times New Roman" w:hAnsi="Times New Roman"/>
        <w:snapToGrid w:val="0"/>
        <w:sz w:val="24"/>
        <w:szCs w:val="24"/>
        <w:lang w:eastAsia="en-US"/>
      </w:rPr>
      <w:t>Publiskas personas kapitāla daļu un kapitālsabiedrību pārvaldības likums</w:t>
    </w:r>
    <w:r w:rsidRPr="004C39C4">
      <w:rPr>
        <w:rFonts w:ascii="Times New Roman" w:hAnsi="Times New Roman"/>
        <w:snapToGrid w:val="0"/>
        <w:sz w:val="24"/>
        <w:szCs w:val="24"/>
        <w:lang w:eastAsia="en-US"/>
      </w:rPr>
      <w:t>” sākotnējās ietekmes novērtējuma ziņojums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5B56CE" w:rsidRDefault="005B56CE" w:rsidP="005B56CE">
    <w:pPr>
      <w:pStyle w:val="Footer"/>
      <w:jc w:val="both"/>
    </w:pPr>
    <w:r w:rsidRPr="0056325F">
      <w:rPr>
        <w:rFonts w:ascii="Times New Roman" w:hAnsi="Times New Roman"/>
        <w:snapToGrid w:val="0"/>
        <w:sz w:val="24"/>
        <w:szCs w:val="24"/>
        <w:lang w:eastAsia="en-US"/>
      </w:rPr>
      <w:t>EMAnot_</w:t>
    </w:r>
    <w:r w:rsidR="004F05A0">
      <w:rPr>
        <w:rFonts w:ascii="Times New Roman" w:hAnsi="Times New Roman"/>
        <w:snapToGrid w:val="0"/>
        <w:sz w:val="24"/>
        <w:szCs w:val="24"/>
        <w:lang w:eastAsia="en-US"/>
      </w:rPr>
      <w:t>2</w:t>
    </w:r>
    <w:r w:rsidR="00890C3D">
      <w:rPr>
        <w:rFonts w:ascii="Times New Roman" w:hAnsi="Times New Roman"/>
        <w:snapToGrid w:val="0"/>
        <w:sz w:val="24"/>
        <w:szCs w:val="24"/>
        <w:lang w:eastAsia="en-US"/>
      </w:rPr>
      <w:t>3</w:t>
    </w:r>
    <w:r w:rsidR="001557F7">
      <w:rPr>
        <w:rFonts w:ascii="Times New Roman" w:hAnsi="Times New Roman"/>
        <w:snapToGrid w:val="0"/>
        <w:sz w:val="24"/>
        <w:szCs w:val="24"/>
        <w:lang w:eastAsia="en-US"/>
      </w:rPr>
      <w:t>0315</w:t>
    </w:r>
    <w:r w:rsidR="00890C3D">
      <w:rPr>
        <w:rFonts w:ascii="Times New Roman" w:hAnsi="Times New Roman"/>
        <w:snapToGrid w:val="0"/>
        <w:sz w:val="24"/>
        <w:szCs w:val="24"/>
        <w:lang w:eastAsia="en-US"/>
      </w:rPr>
      <w:t>_preciz</w:t>
    </w:r>
    <w:r w:rsidRPr="0056325F">
      <w:rPr>
        <w:rFonts w:ascii="Times New Roman" w:hAnsi="Times New Roman"/>
        <w:snapToGrid w:val="0"/>
        <w:sz w:val="24"/>
        <w:szCs w:val="24"/>
        <w:lang w:eastAsia="en-US"/>
      </w:rPr>
      <w:t xml:space="preserve">; </w:t>
    </w:r>
    <w:r w:rsidR="00693450">
      <w:rPr>
        <w:rFonts w:ascii="Times New Roman" w:hAnsi="Times New Roman"/>
        <w:snapToGrid w:val="0"/>
        <w:sz w:val="24"/>
        <w:szCs w:val="24"/>
        <w:lang w:eastAsia="en-US"/>
      </w:rPr>
      <w:t>Likum</w:t>
    </w:r>
    <w:r w:rsidRPr="004C39C4">
      <w:rPr>
        <w:rFonts w:ascii="Times New Roman" w:hAnsi="Times New Roman"/>
        <w:snapToGrid w:val="0"/>
        <w:sz w:val="24"/>
        <w:szCs w:val="24"/>
        <w:lang w:eastAsia="en-US"/>
      </w:rPr>
      <w:t>projekta „</w:t>
    </w:r>
    <w:r w:rsidR="00693450">
      <w:rPr>
        <w:rFonts w:ascii="Times New Roman" w:hAnsi="Times New Roman"/>
        <w:snapToGrid w:val="0"/>
        <w:sz w:val="24"/>
        <w:szCs w:val="24"/>
        <w:lang w:eastAsia="en-US"/>
      </w:rPr>
      <w:t>Publiskas personas kapitāla daļu un kapitālsabiedrību pārvaldības likums</w:t>
    </w:r>
    <w:r w:rsidRPr="004C39C4">
      <w:rPr>
        <w:rFonts w:ascii="Times New Roman" w:hAnsi="Times New Roman"/>
        <w:snapToGrid w:val="0"/>
        <w:sz w:val="24"/>
        <w:szCs w:val="24"/>
        <w:lang w:eastAsia="en-US"/>
      </w:rPr>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CE" w:rsidRDefault="003D63CE">
      <w:r>
        <w:separator/>
      </w:r>
    </w:p>
  </w:footnote>
  <w:footnote w:type="continuationSeparator" w:id="0">
    <w:p w:rsidR="003D63CE" w:rsidRDefault="003D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CA410E">
    <w:pPr>
      <w:pStyle w:val="Header"/>
      <w:framePr w:wrap="around" w:vAnchor="text" w:hAnchor="margin" w:xAlign="center" w:y="1"/>
      <w:rPr>
        <w:rStyle w:val="PageNumber"/>
      </w:rPr>
    </w:pPr>
    <w:r>
      <w:rPr>
        <w:rStyle w:val="PageNumber"/>
      </w:rPr>
      <w:fldChar w:fldCharType="begin"/>
    </w:r>
    <w:r w:rsidR="00863EDA">
      <w:rPr>
        <w:rStyle w:val="PageNumber"/>
      </w:rPr>
      <w:instrText xml:space="preserve">PAGE  </w:instrText>
    </w:r>
    <w:r>
      <w:rPr>
        <w:rStyle w:val="PageNumber"/>
      </w:rPr>
      <w:fldChar w:fldCharType="end"/>
    </w:r>
  </w:p>
  <w:p w:rsidR="00863EDA" w:rsidRDefault="0086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9F606F" w:rsidRDefault="00CA410E"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00863EDA"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890C3D">
      <w:rPr>
        <w:rStyle w:val="PageNumber"/>
        <w:rFonts w:ascii="Times New Roman" w:hAnsi="Times New Roman"/>
        <w:noProof/>
        <w:sz w:val="24"/>
        <w:szCs w:val="24"/>
      </w:rPr>
      <w:t>10</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8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6E92E67"/>
    <w:multiLevelType w:val="singleLevel"/>
    <w:tmpl w:val="CFAA3BDA"/>
    <w:lvl w:ilvl="0">
      <w:start w:val="1"/>
      <w:numFmt w:val="decimal"/>
      <w:lvlText w:val="%1)"/>
      <w:lvlJc w:val="left"/>
      <w:pPr>
        <w:tabs>
          <w:tab w:val="num" w:pos="1069"/>
        </w:tabs>
        <w:ind w:left="1069" w:hanging="360"/>
      </w:pPr>
      <w:rPr>
        <w:rFonts w:hint="default"/>
      </w:rPr>
    </w:lvl>
  </w:abstractNum>
  <w:abstractNum w:abstractNumId="2">
    <w:nsid w:val="17E9717E"/>
    <w:multiLevelType w:val="singleLevel"/>
    <w:tmpl w:val="6C2087F4"/>
    <w:lvl w:ilvl="0">
      <w:start w:val="1"/>
      <w:numFmt w:val="decimal"/>
      <w:lvlText w:val="%1)"/>
      <w:lvlJc w:val="left"/>
      <w:pPr>
        <w:tabs>
          <w:tab w:val="num" w:pos="877"/>
        </w:tabs>
        <w:ind w:left="877" w:hanging="360"/>
      </w:pPr>
      <w:rPr>
        <w:rFonts w:hint="default"/>
      </w:rPr>
    </w:lvl>
  </w:abstractNum>
  <w:abstractNum w:abstractNumId="3">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29D80FD2"/>
    <w:multiLevelType w:val="singleLevel"/>
    <w:tmpl w:val="1B3E7F72"/>
    <w:lvl w:ilvl="0">
      <w:start w:val="5"/>
      <w:numFmt w:val="decimal"/>
      <w:lvlText w:val=""/>
      <w:lvlJc w:val="left"/>
      <w:pPr>
        <w:tabs>
          <w:tab w:val="num" w:pos="360"/>
        </w:tabs>
        <w:ind w:left="360" w:hanging="360"/>
      </w:pPr>
      <w:rPr>
        <w:rFonts w:hint="default"/>
      </w:rPr>
    </w:lvl>
  </w:abstractNum>
  <w:abstractNum w:abstractNumId="5">
    <w:nsid w:val="3C2A5E95"/>
    <w:multiLevelType w:val="multilevel"/>
    <w:tmpl w:val="7A42D6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3DCC088D"/>
    <w:multiLevelType w:val="hybridMultilevel"/>
    <w:tmpl w:val="CF6A98FE"/>
    <w:lvl w:ilvl="0" w:tplc="9A1EE0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B03027D"/>
    <w:multiLevelType w:val="hybridMultilevel"/>
    <w:tmpl w:val="C2F00E0A"/>
    <w:lvl w:ilvl="0" w:tplc="2C62264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8C3BE7"/>
    <w:multiLevelType w:val="singleLevel"/>
    <w:tmpl w:val="AAF401E2"/>
    <w:lvl w:ilvl="0">
      <w:start w:val="3"/>
      <w:numFmt w:val="bullet"/>
      <w:lvlText w:val="-"/>
      <w:lvlJc w:val="left"/>
      <w:pPr>
        <w:tabs>
          <w:tab w:val="num" w:pos="1057"/>
        </w:tabs>
        <w:ind w:left="1057" w:hanging="360"/>
      </w:pPr>
      <w:rPr>
        <w:rFonts w:hint="default"/>
      </w:rPr>
    </w:lvl>
  </w:abstractNum>
  <w:abstractNum w:abstractNumId="10">
    <w:nsid w:val="56FD7641"/>
    <w:multiLevelType w:val="singleLevel"/>
    <w:tmpl w:val="D018D324"/>
    <w:lvl w:ilvl="0">
      <w:start w:val="3"/>
      <w:numFmt w:val="bullet"/>
      <w:lvlText w:val="-"/>
      <w:lvlJc w:val="left"/>
      <w:pPr>
        <w:tabs>
          <w:tab w:val="num" w:pos="697"/>
        </w:tabs>
        <w:ind w:left="697" w:hanging="360"/>
      </w:pPr>
      <w:rPr>
        <w:rFonts w:hint="default"/>
      </w:rPr>
    </w:lvl>
  </w:abstractNum>
  <w:abstractNum w:abstractNumId="11">
    <w:nsid w:val="57801E45"/>
    <w:multiLevelType w:val="singleLevel"/>
    <w:tmpl w:val="0C09000F"/>
    <w:lvl w:ilvl="0">
      <w:start w:val="1"/>
      <w:numFmt w:val="decimal"/>
      <w:lvlText w:val="%1."/>
      <w:lvlJc w:val="left"/>
      <w:pPr>
        <w:tabs>
          <w:tab w:val="num" w:pos="360"/>
        </w:tabs>
        <w:ind w:left="360" w:hanging="360"/>
      </w:pPr>
    </w:lvl>
  </w:abstractNum>
  <w:abstractNum w:abstractNumId="12">
    <w:nsid w:val="5D252A08"/>
    <w:multiLevelType w:val="singleLevel"/>
    <w:tmpl w:val="6EBA5E12"/>
    <w:lvl w:ilvl="0">
      <w:start w:val="1"/>
      <w:numFmt w:val="decimal"/>
      <w:lvlText w:val="%1."/>
      <w:lvlJc w:val="left"/>
      <w:pPr>
        <w:tabs>
          <w:tab w:val="num" w:pos="1230"/>
        </w:tabs>
        <w:ind w:left="1230" w:hanging="510"/>
      </w:pPr>
      <w:rPr>
        <w:rFonts w:hint="default"/>
      </w:rPr>
    </w:lvl>
  </w:abstractNum>
  <w:abstractNum w:abstractNumId="13">
    <w:nsid w:val="5D9A2465"/>
    <w:multiLevelType w:val="multilevel"/>
    <w:tmpl w:val="C80AAA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924C9D"/>
    <w:multiLevelType w:val="multilevel"/>
    <w:tmpl w:val="AB962D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172CE7"/>
    <w:multiLevelType w:val="singleLevel"/>
    <w:tmpl w:val="0C090011"/>
    <w:lvl w:ilvl="0">
      <w:start w:val="1"/>
      <w:numFmt w:val="decimal"/>
      <w:lvlText w:val="%1)"/>
      <w:lvlJc w:val="left"/>
      <w:pPr>
        <w:tabs>
          <w:tab w:val="num" w:pos="360"/>
        </w:tabs>
        <w:ind w:left="360" w:hanging="360"/>
      </w:pPr>
    </w:lvl>
  </w:abstractNum>
  <w:num w:numId="1">
    <w:abstractNumId w:val="14"/>
  </w:num>
  <w:num w:numId="2">
    <w:abstractNumId w:val="13"/>
  </w:num>
  <w:num w:numId="3">
    <w:abstractNumId w:val="1"/>
  </w:num>
  <w:num w:numId="4">
    <w:abstractNumId w:val="4"/>
  </w:num>
  <w:num w:numId="5">
    <w:abstractNumId w:val="9"/>
  </w:num>
  <w:num w:numId="6">
    <w:abstractNumId w:val="10"/>
  </w:num>
  <w:num w:numId="7">
    <w:abstractNumId w:val="5"/>
  </w:num>
  <w:num w:numId="8">
    <w:abstractNumId w:val="2"/>
  </w:num>
  <w:num w:numId="9">
    <w:abstractNumId w:val="0"/>
  </w:num>
  <w:num w:numId="10">
    <w:abstractNumId w:val="11"/>
  </w:num>
  <w:num w:numId="11">
    <w:abstractNumId w:val="15"/>
  </w:num>
  <w:num w:numId="12">
    <w:abstractNumId w:val="12"/>
  </w:num>
  <w:num w:numId="13">
    <w:abstractNumId w:val="6"/>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EA"/>
    <w:rsid w:val="000018A6"/>
    <w:rsid w:val="0000657B"/>
    <w:rsid w:val="00006BAE"/>
    <w:rsid w:val="00012B84"/>
    <w:rsid w:val="000137C1"/>
    <w:rsid w:val="000218B6"/>
    <w:rsid w:val="00022A8E"/>
    <w:rsid w:val="00026C7E"/>
    <w:rsid w:val="00035409"/>
    <w:rsid w:val="0004223E"/>
    <w:rsid w:val="000436AF"/>
    <w:rsid w:val="00046197"/>
    <w:rsid w:val="00064DA1"/>
    <w:rsid w:val="0007166B"/>
    <w:rsid w:val="0007286E"/>
    <w:rsid w:val="000941D1"/>
    <w:rsid w:val="00095F2F"/>
    <w:rsid w:val="000A06F8"/>
    <w:rsid w:val="000A7105"/>
    <w:rsid w:val="000B3BAC"/>
    <w:rsid w:val="000C1F4F"/>
    <w:rsid w:val="000C37F2"/>
    <w:rsid w:val="000C7564"/>
    <w:rsid w:val="000D00FA"/>
    <w:rsid w:val="000D134D"/>
    <w:rsid w:val="000D2CDF"/>
    <w:rsid w:val="000D7361"/>
    <w:rsid w:val="000E3FB7"/>
    <w:rsid w:val="000E40F5"/>
    <w:rsid w:val="000E4EF9"/>
    <w:rsid w:val="000F0458"/>
    <w:rsid w:val="000F6208"/>
    <w:rsid w:val="00100ABF"/>
    <w:rsid w:val="001011FF"/>
    <w:rsid w:val="00105997"/>
    <w:rsid w:val="00114516"/>
    <w:rsid w:val="001162C3"/>
    <w:rsid w:val="001172E8"/>
    <w:rsid w:val="00131E60"/>
    <w:rsid w:val="00134635"/>
    <w:rsid w:val="001465FA"/>
    <w:rsid w:val="00154A62"/>
    <w:rsid w:val="001557F7"/>
    <w:rsid w:val="0015759A"/>
    <w:rsid w:val="00163586"/>
    <w:rsid w:val="001717DE"/>
    <w:rsid w:val="00176595"/>
    <w:rsid w:val="001914E5"/>
    <w:rsid w:val="001A4C50"/>
    <w:rsid w:val="001B2774"/>
    <w:rsid w:val="001C0EAC"/>
    <w:rsid w:val="001D7539"/>
    <w:rsid w:val="001E15D6"/>
    <w:rsid w:val="001E36B3"/>
    <w:rsid w:val="001E4FC4"/>
    <w:rsid w:val="001E59EC"/>
    <w:rsid w:val="001F720F"/>
    <w:rsid w:val="00205205"/>
    <w:rsid w:val="00210DBF"/>
    <w:rsid w:val="00220979"/>
    <w:rsid w:val="00220BDA"/>
    <w:rsid w:val="002342FF"/>
    <w:rsid w:val="00234F81"/>
    <w:rsid w:val="00240802"/>
    <w:rsid w:val="00244519"/>
    <w:rsid w:val="00262DB4"/>
    <w:rsid w:val="00264904"/>
    <w:rsid w:val="002804ED"/>
    <w:rsid w:val="00281533"/>
    <w:rsid w:val="00285215"/>
    <w:rsid w:val="00286A5E"/>
    <w:rsid w:val="00292837"/>
    <w:rsid w:val="002A780A"/>
    <w:rsid w:val="002B0936"/>
    <w:rsid w:val="002C50FF"/>
    <w:rsid w:val="002C67C8"/>
    <w:rsid w:val="002E5881"/>
    <w:rsid w:val="002F5869"/>
    <w:rsid w:val="00302642"/>
    <w:rsid w:val="003037C2"/>
    <w:rsid w:val="003178A4"/>
    <w:rsid w:val="00317AF1"/>
    <w:rsid w:val="003250C1"/>
    <w:rsid w:val="00333511"/>
    <w:rsid w:val="00333E75"/>
    <w:rsid w:val="003419AB"/>
    <w:rsid w:val="00347ECC"/>
    <w:rsid w:val="00351751"/>
    <w:rsid w:val="00351A46"/>
    <w:rsid w:val="0035707A"/>
    <w:rsid w:val="00371265"/>
    <w:rsid w:val="00372D5C"/>
    <w:rsid w:val="00375E84"/>
    <w:rsid w:val="00394E32"/>
    <w:rsid w:val="00395856"/>
    <w:rsid w:val="003A2E1D"/>
    <w:rsid w:val="003A4035"/>
    <w:rsid w:val="003A77E8"/>
    <w:rsid w:val="003B371C"/>
    <w:rsid w:val="003B460C"/>
    <w:rsid w:val="003B53F4"/>
    <w:rsid w:val="003B6391"/>
    <w:rsid w:val="003C36B9"/>
    <w:rsid w:val="003D303A"/>
    <w:rsid w:val="003D63CE"/>
    <w:rsid w:val="003F0970"/>
    <w:rsid w:val="003F1DBE"/>
    <w:rsid w:val="003F5A08"/>
    <w:rsid w:val="00402B12"/>
    <w:rsid w:val="004159CA"/>
    <w:rsid w:val="004245F6"/>
    <w:rsid w:val="0043148B"/>
    <w:rsid w:val="00431E76"/>
    <w:rsid w:val="0043256B"/>
    <w:rsid w:val="00434F28"/>
    <w:rsid w:val="00436F65"/>
    <w:rsid w:val="00451B3C"/>
    <w:rsid w:val="00455D0E"/>
    <w:rsid w:val="0046258D"/>
    <w:rsid w:val="00484ADA"/>
    <w:rsid w:val="00486AE2"/>
    <w:rsid w:val="00492399"/>
    <w:rsid w:val="004955C8"/>
    <w:rsid w:val="004A0B51"/>
    <w:rsid w:val="004B05BC"/>
    <w:rsid w:val="004B0CCB"/>
    <w:rsid w:val="004B4BA0"/>
    <w:rsid w:val="004C1CF2"/>
    <w:rsid w:val="004C39C4"/>
    <w:rsid w:val="004C5175"/>
    <w:rsid w:val="004E240B"/>
    <w:rsid w:val="004E2B9E"/>
    <w:rsid w:val="004E6FEC"/>
    <w:rsid w:val="004E7A1A"/>
    <w:rsid w:val="004F05A0"/>
    <w:rsid w:val="004F25F9"/>
    <w:rsid w:val="004F299D"/>
    <w:rsid w:val="004F7228"/>
    <w:rsid w:val="00503E92"/>
    <w:rsid w:val="00506222"/>
    <w:rsid w:val="00515DC3"/>
    <w:rsid w:val="00516297"/>
    <w:rsid w:val="00521DFD"/>
    <w:rsid w:val="0053130C"/>
    <w:rsid w:val="0053154C"/>
    <w:rsid w:val="00532265"/>
    <w:rsid w:val="00562922"/>
    <w:rsid w:val="0056325F"/>
    <w:rsid w:val="00567479"/>
    <w:rsid w:val="00567488"/>
    <w:rsid w:val="005725FE"/>
    <w:rsid w:val="005755D3"/>
    <w:rsid w:val="00576194"/>
    <w:rsid w:val="00577166"/>
    <w:rsid w:val="00580B57"/>
    <w:rsid w:val="00584128"/>
    <w:rsid w:val="00590D42"/>
    <w:rsid w:val="005A1967"/>
    <w:rsid w:val="005A254A"/>
    <w:rsid w:val="005A2A28"/>
    <w:rsid w:val="005A3552"/>
    <w:rsid w:val="005A504D"/>
    <w:rsid w:val="005A7E62"/>
    <w:rsid w:val="005B56CE"/>
    <w:rsid w:val="005B6B4A"/>
    <w:rsid w:val="005D74CA"/>
    <w:rsid w:val="005E2E7D"/>
    <w:rsid w:val="005E35A6"/>
    <w:rsid w:val="005E37B6"/>
    <w:rsid w:val="005F6518"/>
    <w:rsid w:val="00601C6E"/>
    <w:rsid w:val="006028FE"/>
    <w:rsid w:val="00606BD2"/>
    <w:rsid w:val="00625A0D"/>
    <w:rsid w:val="0063148B"/>
    <w:rsid w:val="00632A45"/>
    <w:rsid w:val="006524DA"/>
    <w:rsid w:val="00656C0D"/>
    <w:rsid w:val="006605D4"/>
    <w:rsid w:val="00671801"/>
    <w:rsid w:val="006721DB"/>
    <w:rsid w:val="006767BC"/>
    <w:rsid w:val="006831FB"/>
    <w:rsid w:val="006860CA"/>
    <w:rsid w:val="006861FF"/>
    <w:rsid w:val="006930BB"/>
    <w:rsid w:val="00693450"/>
    <w:rsid w:val="00696DD5"/>
    <w:rsid w:val="006B05BB"/>
    <w:rsid w:val="006B2561"/>
    <w:rsid w:val="006B54C6"/>
    <w:rsid w:val="006B7655"/>
    <w:rsid w:val="006C74C1"/>
    <w:rsid w:val="006C782B"/>
    <w:rsid w:val="006D3C0F"/>
    <w:rsid w:val="006E2B8D"/>
    <w:rsid w:val="00700528"/>
    <w:rsid w:val="00744E0C"/>
    <w:rsid w:val="00747729"/>
    <w:rsid w:val="00754E84"/>
    <w:rsid w:val="007574AA"/>
    <w:rsid w:val="00770579"/>
    <w:rsid w:val="00774432"/>
    <w:rsid w:val="0077520A"/>
    <w:rsid w:val="00781726"/>
    <w:rsid w:val="007A15AF"/>
    <w:rsid w:val="007B255F"/>
    <w:rsid w:val="007B7CF6"/>
    <w:rsid w:val="007C35AA"/>
    <w:rsid w:val="007C7045"/>
    <w:rsid w:val="007C7430"/>
    <w:rsid w:val="007D76DF"/>
    <w:rsid w:val="007E63CC"/>
    <w:rsid w:val="007F33C5"/>
    <w:rsid w:val="007F4505"/>
    <w:rsid w:val="00804ADB"/>
    <w:rsid w:val="008101BE"/>
    <w:rsid w:val="0081242B"/>
    <w:rsid w:val="008227E5"/>
    <w:rsid w:val="00823222"/>
    <w:rsid w:val="008268BC"/>
    <w:rsid w:val="00841AC4"/>
    <w:rsid w:val="00842DC7"/>
    <w:rsid w:val="0085764A"/>
    <w:rsid w:val="00861F50"/>
    <w:rsid w:val="008620C5"/>
    <w:rsid w:val="00863EDA"/>
    <w:rsid w:val="0087755B"/>
    <w:rsid w:val="0088318F"/>
    <w:rsid w:val="008839FE"/>
    <w:rsid w:val="0088772A"/>
    <w:rsid w:val="00890C3D"/>
    <w:rsid w:val="00891626"/>
    <w:rsid w:val="0089436C"/>
    <w:rsid w:val="00895514"/>
    <w:rsid w:val="00895C02"/>
    <w:rsid w:val="00896FCB"/>
    <w:rsid w:val="008A1A0F"/>
    <w:rsid w:val="008A2812"/>
    <w:rsid w:val="008A4035"/>
    <w:rsid w:val="008A7A35"/>
    <w:rsid w:val="008B3138"/>
    <w:rsid w:val="008B43A5"/>
    <w:rsid w:val="008B7E67"/>
    <w:rsid w:val="008C1013"/>
    <w:rsid w:val="008C3DAF"/>
    <w:rsid w:val="008C71E5"/>
    <w:rsid w:val="008D1937"/>
    <w:rsid w:val="008D4686"/>
    <w:rsid w:val="008D58CD"/>
    <w:rsid w:val="008D6742"/>
    <w:rsid w:val="008E4227"/>
    <w:rsid w:val="008F011B"/>
    <w:rsid w:val="008F6BF1"/>
    <w:rsid w:val="00907CEF"/>
    <w:rsid w:val="009178C4"/>
    <w:rsid w:val="00923AA2"/>
    <w:rsid w:val="00925888"/>
    <w:rsid w:val="00933AE9"/>
    <w:rsid w:val="0093489F"/>
    <w:rsid w:val="00934F45"/>
    <w:rsid w:val="00936864"/>
    <w:rsid w:val="00957278"/>
    <w:rsid w:val="00967DB6"/>
    <w:rsid w:val="0098101F"/>
    <w:rsid w:val="00984E25"/>
    <w:rsid w:val="00995217"/>
    <w:rsid w:val="009A1FC4"/>
    <w:rsid w:val="009A397E"/>
    <w:rsid w:val="009B042F"/>
    <w:rsid w:val="009B5D83"/>
    <w:rsid w:val="009C210F"/>
    <w:rsid w:val="009C796C"/>
    <w:rsid w:val="009D1B10"/>
    <w:rsid w:val="009D6337"/>
    <w:rsid w:val="009F2B6C"/>
    <w:rsid w:val="009F606F"/>
    <w:rsid w:val="00A04E48"/>
    <w:rsid w:val="00A1650F"/>
    <w:rsid w:val="00A24F4D"/>
    <w:rsid w:val="00A25512"/>
    <w:rsid w:val="00A32CD6"/>
    <w:rsid w:val="00A33C60"/>
    <w:rsid w:val="00A35A19"/>
    <w:rsid w:val="00A362FA"/>
    <w:rsid w:val="00A44542"/>
    <w:rsid w:val="00A540D6"/>
    <w:rsid w:val="00A60D2B"/>
    <w:rsid w:val="00A70535"/>
    <w:rsid w:val="00A72853"/>
    <w:rsid w:val="00A904C0"/>
    <w:rsid w:val="00A97796"/>
    <w:rsid w:val="00AB3F2C"/>
    <w:rsid w:val="00AC76E8"/>
    <w:rsid w:val="00AD1FE8"/>
    <w:rsid w:val="00AD4B2D"/>
    <w:rsid w:val="00AE14DD"/>
    <w:rsid w:val="00AE18EB"/>
    <w:rsid w:val="00AE4AC1"/>
    <w:rsid w:val="00B0030C"/>
    <w:rsid w:val="00B15EB1"/>
    <w:rsid w:val="00B16753"/>
    <w:rsid w:val="00B175C0"/>
    <w:rsid w:val="00B3103D"/>
    <w:rsid w:val="00B335A5"/>
    <w:rsid w:val="00B3419B"/>
    <w:rsid w:val="00B418F4"/>
    <w:rsid w:val="00B45900"/>
    <w:rsid w:val="00B5368F"/>
    <w:rsid w:val="00B62008"/>
    <w:rsid w:val="00B62391"/>
    <w:rsid w:val="00B63FEE"/>
    <w:rsid w:val="00B657E2"/>
    <w:rsid w:val="00B676E2"/>
    <w:rsid w:val="00B772C2"/>
    <w:rsid w:val="00B83660"/>
    <w:rsid w:val="00B95517"/>
    <w:rsid w:val="00B959C5"/>
    <w:rsid w:val="00BA0170"/>
    <w:rsid w:val="00BA2E39"/>
    <w:rsid w:val="00BC6E21"/>
    <w:rsid w:val="00BD45C2"/>
    <w:rsid w:val="00BE05B5"/>
    <w:rsid w:val="00BE2BC4"/>
    <w:rsid w:val="00BE52A6"/>
    <w:rsid w:val="00BE66E6"/>
    <w:rsid w:val="00BF7859"/>
    <w:rsid w:val="00C01094"/>
    <w:rsid w:val="00C126B7"/>
    <w:rsid w:val="00C15EA3"/>
    <w:rsid w:val="00C170C5"/>
    <w:rsid w:val="00C17D86"/>
    <w:rsid w:val="00C40EBA"/>
    <w:rsid w:val="00C41436"/>
    <w:rsid w:val="00C42B1D"/>
    <w:rsid w:val="00C450D5"/>
    <w:rsid w:val="00C5447C"/>
    <w:rsid w:val="00C557CD"/>
    <w:rsid w:val="00C56044"/>
    <w:rsid w:val="00C629D0"/>
    <w:rsid w:val="00C82DDC"/>
    <w:rsid w:val="00C96A30"/>
    <w:rsid w:val="00CA410E"/>
    <w:rsid w:val="00CB1666"/>
    <w:rsid w:val="00CB2730"/>
    <w:rsid w:val="00CB32CD"/>
    <w:rsid w:val="00CE11CF"/>
    <w:rsid w:val="00CF07DA"/>
    <w:rsid w:val="00D01C18"/>
    <w:rsid w:val="00D02F89"/>
    <w:rsid w:val="00D043B7"/>
    <w:rsid w:val="00D053F7"/>
    <w:rsid w:val="00D05799"/>
    <w:rsid w:val="00D076C4"/>
    <w:rsid w:val="00D10BA0"/>
    <w:rsid w:val="00D210C3"/>
    <w:rsid w:val="00D27EEA"/>
    <w:rsid w:val="00D36465"/>
    <w:rsid w:val="00D45AC0"/>
    <w:rsid w:val="00D5211C"/>
    <w:rsid w:val="00D56412"/>
    <w:rsid w:val="00D641B4"/>
    <w:rsid w:val="00D73B17"/>
    <w:rsid w:val="00D77230"/>
    <w:rsid w:val="00D806DB"/>
    <w:rsid w:val="00D86450"/>
    <w:rsid w:val="00D915B3"/>
    <w:rsid w:val="00D92981"/>
    <w:rsid w:val="00D93BA0"/>
    <w:rsid w:val="00D97547"/>
    <w:rsid w:val="00DA4AE6"/>
    <w:rsid w:val="00DB0C6F"/>
    <w:rsid w:val="00DB7643"/>
    <w:rsid w:val="00DD4949"/>
    <w:rsid w:val="00DE2F6D"/>
    <w:rsid w:val="00E05ABF"/>
    <w:rsid w:val="00E10669"/>
    <w:rsid w:val="00E11235"/>
    <w:rsid w:val="00E353CA"/>
    <w:rsid w:val="00E43C27"/>
    <w:rsid w:val="00E564E4"/>
    <w:rsid w:val="00E60A3E"/>
    <w:rsid w:val="00E62EBD"/>
    <w:rsid w:val="00E72C6B"/>
    <w:rsid w:val="00E732C1"/>
    <w:rsid w:val="00E864B6"/>
    <w:rsid w:val="00E87ABD"/>
    <w:rsid w:val="00E9279A"/>
    <w:rsid w:val="00E96A89"/>
    <w:rsid w:val="00E972DB"/>
    <w:rsid w:val="00EA51E9"/>
    <w:rsid w:val="00EA6F3C"/>
    <w:rsid w:val="00EB13CB"/>
    <w:rsid w:val="00EB2D7D"/>
    <w:rsid w:val="00EC05F1"/>
    <w:rsid w:val="00EC18C4"/>
    <w:rsid w:val="00EC5192"/>
    <w:rsid w:val="00EE5FBA"/>
    <w:rsid w:val="00EE7F2B"/>
    <w:rsid w:val="00EF6F04"/>
    <w:rsid w:val="00EF7759"/>
    <w:rsid w:val="00EF78E3"/>
    <w:rsid w:val="00F03A94"/>
    <w:rsid w:val="00F0668C"/>
    <w:rsid w:val="00F1461B"/>
    <w:rsid w:val="00F31B48"/>
    <w:rsid w:val="00F34126"/>
    <w:rsid w:val="00F40D2E"/>
    <w:rsid w:val="00F4469B"/>
    <w:rsid w:val="00F47DD8"/>
    <w:rsid w:val="00F51D25"/>
    <w:rsid w:val="00F70182"/>
    <w:rsid w:val="00F7116A"/>
    <w:rsid w:val="00F73C5E"/>
    <w:rsid w:val="00F828FE"/>
    <w:rsid w:val="00F8297E"/>
    <w:rsid w:val="00F90111"/>
    <w:rsid w:val="00F90706"/>
    <w:rsid w:val="00FA0864"/>
    <w:rsid w:val="00FA3389"/>
    <w:rsid w:val="00FA3482"/>
    <w:rsid w:val="00FA6FDB"/>
    <w:rsid w:val="00FB5D19"/>
    <w:rsid w:val="00FC3122"/>
    <w:rsid w:val="00FC3EE0"/>
    <w:rsid w:val="00FC79A4"/>
    <w:rsid w:val="00FD4B4C"/>
    <w:rsid w:val="00FD60EA"/>
    <w:rsid w:val="00FE38E7"/>
    <w:rsid w:val="00FE73DB"/>
    <w:rsid w:val="00FF1E42"/>
    <w:rsid w:val="00FF65F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35"/>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35"/>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semiHidden/>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72020">
      <w:bodyDiv w:val="1"/>
      <w:marLeft w:val="0"/>
      <w:marRight w:val="0"/>
      <w:marTop w:val="0"/>
      <w:marBottom w:val="0"/>
      <w:divBdr>
        <w:top w:val="none" w:sz="0" w:space="0" w:color="auto"/>
        <w:left w:val="none" w:sz="0" w:space="0" w:color="auto"/>
        <w:bottom w:val="none" w:sz="0" w:space="0" w:color="auto"/>
        <w:right w:val="none" w:sz="0" w:space="0" w:color="auto"/>
      </w:divBdr>
    </w:div>
    <w:div w:id="726143500">
      <w:bodyDiv w:val="1"/>
      <w:marLeft w:val="0"/>
      <w:marRight w:val="0"/>
      <w:marTop w:val="0"/>
      <w:marBottom w:val="0"/>
      <w:divBdr>
        <w:top w:val="none" w:sz="0" w:space="0" w:color="auto"/>
        <w:left w:val="none" w:sz="0" w:space="0" w:color="auto"/>
        <w:bottom w:val="none" w:sz="0" w:space="0" w:color="auto"/>
        <w:right w:val="none" w:sz="0" w:space="0" w:color="auto"/>
      </w:divBdr>
    </w:div>
    <w:div w:id="1263026050">
      <w:bodyDiv w:val="1"/>
      <w:marLeft w:val="0"/>
      <w:marRight w:val="0"/>
      <w:marTop w:val="0"/>
      <w:marBottom w:val="0"/>
      <w:divBdr>
        <w:top w:val="none" w:sz="0" w:space="0" w:color="auto"/>
        <w:left w:val="none" w:sz="0" w:space="0" w:color="auto"/>
        <w:bottom w:val="none" w:sz="0" w:space="0" w:color="auto"/>
        <w:right w:val="none" w:sz="0" w:space="0" w:color="auto"/>
      </w:divBdr>
    </w:div>
    <w:div w:id="1263418161">
      <w:bodyDiv w:val="1"/>
      <w:marLeft w:val="0"/>
      <w:marRight w:val="0"/>
      <w:marTop w:val="0"/>
      <w:marBottom w:val="0"/>
      <w:divBdr>
        <w:top w:val="none" w:sz="0" w:space="0" w:color="auto"/>
        <w:left w:val="none" w:sz="0" w:space="0" w:color="auto"/>
        <w:bottom w:val="none" w:sz="0" w:space="0" w:color="auto"/>
        <w:right w:val="none" w:sz="0" w:space="0" w:color="auto"/>
      </w:divBdr>
    </w:div>
    <w:div w:id="17239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TN\Normat&#299;v&#257;%20akta%20projekta%20ANOT&#256;CIJA-%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Normatīvā akta projekta ANOTĀCIJA- NEW</Template>
  <TotalTime>1</TotalTime>
  <Pages>10</Pages>
  <Words>12178</Words>
  <Characters>6943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Likumprojekta „Grozījumi Publiskas personas kapitāla daļu un kapitālsabiedrību pārvaldības likums” sākotnējās ietekmes novērtējuma ziņojums</vt:lpstr>
    </vt:vector>
  </TitlesOfParts>
  <Company>Ekonomikas ministrija</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Publiskas personas kapitāla daļu un kapitālsabiedrību pārvaldības likums” sākotnējās ietekmes novērtējuma ziņojums</dc:title>
  <dc:subject>Likumprojekta anotācija</dc:subject>
  <dc:creator>Dace Spaliņa</dc:creator>
  <dc:description>67013110, Dace.Spalina@em.gov.lv</dc:description>
  <cp:lastModifiedBy>Dace Spaliņa</cp:lastModifiedBy>
  <cp:revision>4</cp:revision>
  <cp:lastPrinted>2014-12-30T13:04:00Z</cp:lastPrinted>
  <dcterms:created xsi:type="dcterms:W3CDTF">2015-03-23T18:54:00Z</dcterms:created>
  <dcterms:modified xsi:type="dcterms:W3CDTF">2015-03-23T18:55:00Z</dcterms:modified>
</cp:coreProperties>
</file>