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62" w:rsidRPr="00D71261" w:rsidRDefault="00F42E62" w:rsidP="00F42E62">
      <w:pPr>
        <w:pStyle w:val="naislab"/>
        <w:spacing w:before="0" w:after="0"/>
        <w:jc w:val="center"/>
        <w:rPr>
          <w:b/>
          <w:sz w:val="26"/>
          <w:szCs w:val="26"/>
        </w:rPr>
      </w:pPr>
      <w:r w:rsidRPr="00D71261">
        <w:rPr>
          <w:b/>
          <w:sz w:val="26"/>
          <w:szCs w:val="26"/>
        </w:rPr>
        <w:t xml:space="preserve">Ministru kabineta noteikumu projekta </w:t>
      </w:r>
    </w:p>
    <w:p w:rsidR="00F42E62" w:rsidRPr="00D71261" w:rsidRDefault="00F42E62" w:rsidP="00F42E62">
      <w:pPr>
        <w:pStyle w:val="naislab"/>
        <w:spacing w:before="0" w:after="0"/>
        <w:jc w:val="center"/>
        <w:rPr>
          <w:b/>
          <w:bCs/>
          <w:sz w:val="26"/>
          <w:szCs w:val="26"/>
        </w:rPr>
      </w:pPr>
      <w:r w:rsidRPr="00D71261">
        <w:rPr>
          <w:b/>
          <w:sz w:val="26"/>
          <w:szCs w:val="26"/>
          <w:lang w:eastAsia="en-US"/>
        </w:rPr>
        <w:t>„</w:t>
      </w:r>
      <w:r w:rsidR="006C524D" w:rsidRPr="00D71261">
        <w:rPr>
          <w:b/>
          <w:sz w:val="26"/>
          <w:szCs w:val="26"/>
          <w:lang w:eastAsia="en-US"/>
        </w:rPr>
        <w:t xml:space="preserve">Grozījumi Ministru kabineta 2000.gada 2.maija noteikumos Nr.165 „Noteikumi par spiedieniekārtām un to kompleksiem” </w:t>
      </w:r>
      <w:r w:rsidRPr="00D71261">
        <w:rPr>
          <w:b/>
          <w:bCs/>
          <w:sz w:val="26"/>
          <w:szCs w:val="26"/>
        </w:rPr>
        <w:t>sākotnējās ietekmes novērtējuma ziņojums (anotācija)</w:t>
      </w:r>
    </w:p>
    <w:p w:rsidR="00F42E62" w:rsidRPr="00D71261" w:rsidRDefault="00F42E62" w:rsidP="00F42E62">
      <w:pPr>
        <w:pStyle w:val="naislab"/>
        <w:spacing w:before="0" w:after="0"/>
        <w:jc w:val="center"/>
        <w:rPr>
          <w:b/>
          <w:bCs/>
          <w:sz w:val="26"/>
          <w:szCs w:val="26"/>
        </w:rPr>
      </w:pPr>
    </w:p>
    <w:tbl>
      <w:tblPr>
        <w:tblW w:w="506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3300"/>
        <w:gridCol w:w="5245"/>
      </w:tblGrid>
      <w:tr w:rsidR="009E0E56" w:rsidRPr="00D71261" w:rsidTr="000C1E9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6645AE" w:rsidRPr="00D71261" w:rsidRDefault="009E0E56" w:rsidP="000C1E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9E0E56" w:rsidRPr="00D71261" w:rsidTr="00A06272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9E0E56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9E0E56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272" w:rsidRPr="00A01F52" w:rsidRDefault="000724CC" w:rsidP="00F77F7E">
            <w:pPr>
              <w:spacing w:after="0" w:line="240" w:lineRule="auto"/>
              <w:ind w:left="112" w:right="126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01F52">
              <w:rPr>
                <w:rFonts w:ascii="Times New Roman" w:hAnsi="Times New Roman"/>
                <w:bCs/>
                <w:sz w:val="26"/>
                <w:szCs w:val="26"/>
              </w:rPr>
              <w:t xml:space="preserve">Eiropas Parlamenta un Padomes </w:t>
            </w:r>
            <w:r w:rsidR="004D5ABB" w:rsidRPr="00A01F52">
              <w:rPr>
                <w:rFonts w:ascii="Times New Roman" w:hAnsi="Times New Roman"/>
                <w:bCs/>
                <w:sz w:val="26"/>
                <w:szCs w:val="26"/>
              </w:rPr>
              <w:t xml:space="preserve">2014.gada 15.maija </w:t>
            </w:r>
            <w:r w:rsidRPr="00A01F52">
              <w:rPr>
                <w:rFonts w:ascii="Times New Roman" w:hAnsi="Times New Roman"/>
                <w:bCs/>
                <w:sz w:val="26"/>
                <w:szCs w:val="26"/>
              </w:rPr>
              <w:t>direktīvas 2014/68/ES par dalībvalstu tiesību aktu saskaņošanu attiecībā uz spiedieniekārtu</w:t>
            </w:r>
            <w:r w:rsidR="0037365E" w:rsidRPr="00A01F52">
              <w:rPr>
                <w:rFonts w:ascii="Times New Roman" w:hAnsi="Times New Roman"/>
                <w:bCs/>
                <w:sz w:val="26"/>
                <w:szCs w:val="26"/>
              </w:rPr>
              <w:t xml:space="preserve"> pieejamību tirgū</w:t>
            </w:r>
            <w:r w:rsidRPr="00A01F52">
              <w:rPr>
                <w:rFonts w:ascii="Times New Roman" w:hAnsi="Times New Roman"/>
                <w:bCs/>
                <w:sz w:val="26"/>
                <w:szCs w:val="26"/>
              </w:rPr>
              <w:t xml:space="preserve"> 49.panta 1.punkts, kas nosaka dalībvalstu pienākumus pārņemt minētās direktīvas 13.pantu nacionālajā ties</w:t>
            </w:r>
            <w:r w:rsidR="0008251C" w:rsidRPr="00A01F52">
              <w:rPr>
                <w:rFonts w:ascii="Times New Roman" w:hAnsi="Times New Roman"/>
                <w:bCs/>
                <w:sz w:val="26"/>
                <w:szCs w:val="26"/>
              </w:rPr>
              <w:t>ību sistēmā</w:t>
            </w:r>
          </w:p>
        </w:tc>
      </w:tr>
      <w:tr w:rsidR="009E0E56" w:rsidRPr="00D71261" w:rsidTr="00A06272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E34E36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0E56" w:rsidRPr="00D71261" w:rsidRDefault="00B6596E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27AB" w:rsidRPr="00A01F52" w:rsidRDefault="000724CC" w:rsidP="006C524D">
            <w:pPr>
              <w:pStyle w:val="naiskr"/>
              <w:spacing w:before="0" w:beforeAutospacing="0" w:after="0" w:afterAutospacing="0"/>
              <w:ind w:left="136" w:right="131"/>
              <w:jc w:val="both"/>
              <w:rPr>
                <w:bCs/>
                <w:sz w:val="26"/>
                <w:szCs w:val="26"/>
              </w:rPr>
            </w:pPr>
            <w:r w:rsidRPr="00A01F52">
              <w:rPr>
                <w:sz w:val="26"/>
                <w:szCs w:val="26"/>
              </w:rPr>
              <w:t xml:space="preserve">Ministru kabineta 2000.gada 2.maija noteikumus Nr.165 „Noteikumi par spiedieniekārtām un to kompleksiem” (turpmāk – Noteikumi Nr.165) </w:t>
            </w:r>
            <w:r w:rsidR="00E34E36" w:rsidRPr="00A01F52">
              <w:rPr>
                <w:sz w:val="26"/>
                <w:szCs w:val="26"/>
              </w:rPr>
              <w:t>nosaka spiedieniekārtu un to kompleksu izgatavošanas būtiskās prasības</w:t>
            </w:r>
            <w:r w:rsidR="00D331D7" w:rsidRPr="00A01F52">
              <w:rPr>
                <w:sz w:val="26"/>
                <w:szCs w:val="26"/>
              </w:rPr>
              <w:t xml:space="preserve"> un kārtību</w:t>
            </w:r>
            <w:r w:rsidR="00E34E36" w:rsidRPr="00A01F52">
              <w:rPr>
                <w:bCs/>
                <w:sz w:val="26"/>
                <w:szCs w:val="26"/>
              </w:rPr>
              <w:t>,</w:t>
            </w:r>
            <w:r w:rsidR="00D331D7" w:rsidRPr="00A01F52">
              <w:rPr>
                <w:bCs/>
                <w:sz w:val="26"/>
                <w:szCs w:val="26"/>
              </w:rPr>
              <w:t xml:space="preserve"> kādā</w:t>
            </w:r>
            <w:r w:rsidR="00E34E36" w:rsidRPr="00A01F52">
              <w:rPr>
                <w:bCs/>
                <w:sz w:val="26"/>
                <w:szCs w:val="26"/>
              </w:rPr>
              <w:t xml:space="preserve"> </w:t>
            </w:r>
            <w:r w:rsidR="00D331D7" w:rsidRPr="00A01F52">
              <w:rPr>
                <w:bCs/>
                <w:sz w:val="26"/>
                <w:szCs w:val="26"/>
              </w:rPr>
              <w:t>uzraugāma šo prasību ievērošana, kā arī spiedieniekārtu un to kompleksu atbilstības novērtēšanas un tirgus uzraudzības kārtību</w:t>
            </w:r>
            <w:r w:rsidR="000727AB" w:rsidRPr="00A01F52">
              <w:rPr>
                <w:bCs/>
                <w:sz w:val="26"/>
                <w:szCs w:val="26"/>
              </w:rPr>
              <w:t>. S</w:t>
            </w:r>
            <w:r w:rsidR="0036191C" w:rsidRPr="00A01F52">
              <w:rPr>
                <w:bCs/>
                <w:sz w:val="26"/>
                <w:szCs w:val="26"/>
              </w:rPr>
              <w:t>piedieniekārtu klasifik</w:t>
            </w:r>
            <w:r w:rsidRPr="00A01F52">
              <w:rPr>
                <w:bCs/>
                <w:sz w:val="26"/>
                <w:szCs w:val="26"/>
              </w:rPr>
              <w:t>ācija atbilstoši plūstošo vielu klasifikācijai ir noteikta N</w:t>
            </w:r>
            <w:r w:rsidR="0036191C" w:rsidRPr="00A01F52">
              <w:rPr>
                <w:bCs/>
                <w:sz w:val="26"/>
                <w:szCs w:val="26"/>
              </w:rPr>
              <w:t>oteikumu Nr.165 14.punktā</w:t>
            </w:r>
            <w:r w:rsidRPr="00A01F52">
              <w:rPr>
                <w:bCs/>
                <w:sz w:val="26"/>
                <w:szCs w:val="26"/>
              </w:rPr>
              <w:t xml:space="preserve">. </w:t>
            </w:r>
          </w:p>
          <w:p w:rsidR="00983E49" w:rsidRPr="00A01F52" w:rsidRDefault="00983E49" w:rsidP="006C524D">
            <w:pPr>
              <w:pStyle w:val="naiskr"/>
              <w:spacing w:before="0" w:beforeAutospacing="0" w:after="0" w:afterAutospacing="0"/>
              <w:ind w:left="136" w:right="131"/>
              <w:jc w:val="both"/>
              <w:rPr>
                <w:sz w:val="26"/>
                <w:szCs w:val="26"/>
              </w:rPr>
            </w:pPr>
            <w:r w:rsidRPr="00A01F52">
              <w:rPr>
                <w:sz w:val="26"/>
                <w:szCs w:val="26"/>
              </w:rPr>
              <w:t xml:space="preserve">Sākot ar </w:t>
            </w:r>
            <w:r w:rsidR="00B56393" w:rsidRPr="00A01F52">
              <w:rPr>
                <w:sz w:val="26"/>
                <w:szCs w:val="26"/>
              </w:rPr>
              <w:t>2015.gada 1.</w:t>
            </w:r>
            <w:r w:rsidRPr="00A01F52">
              <w:rPr>
                <w:sz w:val="26"/>
                <w:szCs w:val="26"/>
              </w:rPr>
              <w:t xml:space="preserve">jūniju ķīmisko vielu un ķīmisko produktu klasificēšana notiks tikai saskaņā ar Eiropas Parlamenta un Padomes </w:t>
            </w:r>
            <w:r w:rsidR="004D5ABB" w:rsidRPr="00A01F52">
              <w:rPr>
                <w:sz w:val="26"/>
                <w:szCs w:val="26"/>
              </w:rPr>
              <w:t xml:space="preserve">2008.gada 16.decembra </w:t>
            </w:r>
            <w:r w:rsidRPr="00A01F52">
              <w:rPr>
                <w:sz w:val="26"/>
                <w:szCs w:val="26"/>
              </w:rPr>
              <w:t>Regulu (EK) Nr.1272/2008 par vielu un maisījumu klasificēšanu, marķēšanu un iepakošanu (CLP regula), kas atcels līdzšinējo klasifikācijas kārtību.</w:t>
            </w:r>
          </w:p>
          <w:p w:rsidR="00983E49" w:rsidRPr="00A01F52" w:rsidRDefault="00983E49" w:rsidP="006C524D">
            <w:pPr>
              <w:pStyle w:val="naiskr"/>
              <w:spacing w:before="0" w:beforeAutospacing="0" w:after="0" w:afterAutospacing="0"/>
              <w:ind w:left="136" w:right="131"/>
              <w:jc w:val="both"/>
              <w:rPr>
                <w:sz w:val="26"/>
                <w:szCs w:val="26"/>
              </w:rPr>
            </w:pPr>
            <w:r w:rsidRPr="00A01F52">
              <w:rPr>
                <w:bCs/>
                <w:sz w:val="26"/>
                <w:szCs w:val="26"/>
              </w:rPr>
              <w:t xml:space="preserve">Eiropas Parlamenta un Padomes </w:t>
            </w:r>
            <w:r w:rsidR="004D5ABB" w:rsidRPr="00A01F52">
              <w:rPr>
                <w:bCs/>
                <w:sz w:val="26"/>
                <w:szCs w:val="26"/>
              </w:rPr>
              <w:t xml:space="preserve">2014.gada 15.maija </w:t>
            </w:r>
            <w:r w:rsidRPr="00A01F52">
              <w:rPr>
                <w:bCs/>
                <w:sz w:val="26"/>
                <w:szCs w:val="26"/>
              </w:rPr>
              <w:t>direktīvas 2014/68/ES par dalībvalstu tiesību aktu saskaņošanu attiecībā uz spiedieniekārtu</w:t>
            </w:r>
            <w:r w:rsidR="007A754B" w:rsidRPr="00A01F52">
              <w:rPr>
                <w:bCs/>
                <w:sz w:val="26"/>
                <w:szCs w:val="26"/>
              </w:rPr>
              <w:t xml:space="preserve"> pieejamību tirgū</w:t>
            </w:r>
            <w:r w:rsidRPr="00A01F52">
              <w:rPr>
                <w:bCs/>
                <w:sz w:val="26"/>
                <w:szCs w:val="26"/>
              </w:rPr>
              <w:t xml:space="preserve"> 13.pants ir saskaņots ar CLP regulas prasībām, tāpēc ir nepieciešams pārņemt šo pantu nacionālajā tiesību sistēmā, lai tas stātos spēkā vienlaikus ar CLP regulas spēkā stāšanās brīdi, proti, 2015.gada 1.jūniju. </w:t>
            </w:r>
          </w:p>
          <w:p w:rsidR="00457C2A" w:rsidRPr="00A01F52" w:rsidRDefault="00B56393" w:rsidP="00983E49">
            <w:pPr>
              <w:pStyle w:val="naiskr"/>
              <w:spacing w:before="0" w:beforeAutospacing="0" w:after="0" w:afterAutospacing="0"/>
              <w:ind w:left="136" w:right="131"/>
              <w:jc w:val="both"/>
              <w:rPr>
                <w:bCs/>
                <w:sz w:val="26"/>
                <w:szCs w:val="26"/>
              </w:rPr>
            </w:pPr>
            <w:r w:rsidRPr="00A01F52">
              <w:rPr>
                <w:bCs/>
                <w:sz w:val="26"/>
                <w:szCs w:val="26"/>
              </w:rPr>
              <w:t>Ievērojot minētās izmaiņas</w:t>
            </w:r>
            <w:r w:rsidR="0036191C" w:rsidRPr="00A01F52">
              <w:rPr>
                <w:bCs/>
                <w:sz w:val="26"/>
                <w:szCs w:val="26"/>
              </w:rPr>
              <w:t xml:space="preserve">, ir izstrādāts </w:t>
            </w:r>
            <w:r w:rsidR="00E34E36" w:rsidRPr="00A01F52">
              <w:rPr>
                <w:bCs/>
                <w:sz w:val="26"/>
                <w:szCs w:val="26"/>
              </w:rPr>
              <w:t>Ministru kabineta noteikumu projekts „</w:t>
            </w:r>
            <w:r w:rsidR="00E34E36" w:rsidRPr="00A01F52">
              <w:rPr>
                <w:sz w:val="26"/>
                <w:szCs w:val="26"/>
              </w:rPr>
              <w:t xml:space="preserve">Grozījumi Ministru kabineta 2000.gada </w:t>
            </w:r>
            <w:r w:rsidR="00E34E36" w:rsidRPr="00A01F52">
              <w:rPr>
                <w:sz w:val="26"/>
                <w:szCs w:val="26"/>
              </w:rPr>
              <w:lastRenderedPageBreak/>
              <w:t>2.maija noteikumos Nr.165 „Noteikumi par spiedieniekārtām un to kompleksiem””</w:t>
            </w:r>
            <w:r w:rsidR="0036191C" w:rsidRPr="00A01F52">
              <w:rPr>
                <w:sz w:val="26"/>
                <w:szCs w:val="26"/>
              </w:rPr>
              <w:t xml:space="preserve">, kas </w:t>
            </w:r>
            <w:r w:rsidR="00E34E36" w:rsidRPr="00A01F52">
              <w:rPr>
                <w:sz w:val="26"/>
                <w:szCs w:val="26"/>
              </w:rPr>
              <w:t>paredz</w:t>
            </w:r>
            <w:r w:rsidR="0036191C" w:rsidRPr="00A01F52">
              <w:rPr>
                <w:sz w:val="26"/>
                <w:szCs w:val="26"/>
              </w:rPr>
              <w:t xml:space="preserve"> precizēt </w:t>
            </w:r>
            <w:r w:rsidR="00983E49" w:rsidRPr="00A01F52">
              <w:rPr>
                <w:sz w:val="26"/>
                <w:szCs w:val="26"/>
              </w:rPr>
              <w:t>spiedieniekārtu klasifikācijas kritērijus</w:t>
            </w:r>
            <w:r w:rsidR="0036191C" w:rsidRPr="00A01F52">
              <w:rPr>
                <w:sz w:val="26"/>
                <w:szCs w:val="26"/>
              </w:rPr>
              <w:t>.</w:t>
            </w:r>
          </w:p>
        </w:tc>
      </w:tr>
      <w:tr w:rsidR="00B6596E" w:rsidRPr="00D71261" w:rsidTr="00A06272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96E" w:rsidRPr="00D71261" w:rsidRDefault="00B6596E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96E" w:rsidRPr="00D71261" w:rsidRDefault="00B6596E" w:rsidP="00D7126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96E" w:rsidRPr="00D71261" w:rsidRDefault="0008251C" w:rsidP="00E35F10">
            <w:pPr>
              <w:pStyle w:val="tv2131"/>
              <w:spacing w:before="0" w:line="240" w:lineRule="auto"/>
              <w:ind w:left="112" w:right="126" w:firstLine="0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Projekts šo jomu neskar</w:t>
            </w:r>
          </w:p>
        </w:tc>
      </w:tr>
      <w:tr w:rsidR="009E0E56" w:rsidRPr="00D71261" w:rsidTr="00A06272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9E0E56" w:rsidP="000C1E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B6596E" w:rsidP="00D71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2042" w:rsidRPr="00D71261" w:rsidRDefault="00F321EE" w:rsidP="00CE3CD0">
            <w:pPr>
              <w:spacing w:after="120" w:line="240" w:lineRule="auto"/>
              <w:ind w:left="11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color w:val="000000"/>
                <w:sz w:val="26"/>
                <w:szCs w:val="26"/>
              </w:rPr>
              <w:t>Nav</w:t>
            </w:r>
          </w:p>
        </w:tc>
      </w:tr>
    </w:tbl>
    <w:p w:rsidR="009E0E56" w:rsidRPr="00D71261" w:rsidRDefault="009E0E56" w:rsidP="000C1E94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6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448"/>
        <w:gridCol w:w="6095"/>
      </w:tblGrid>
      <w:tr w:rsidR="00CE3F10" w:rsidRPr="00D71261" w:rsidTr="000C1E9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CE3F10" w:rsidRPr="00D71261" w:rsidRDefault="00CE3F10" w:rsidP="000C1E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II. Tiesību akta projekta ietekme uz sabiedrību</w:t>
            </w:r>
            <w:r w:rsidR="00351D1A" w:rsidRPr="00D71261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, tautsaimniecības attīstību un administratīvo slogu</w:t>
            </w:r>
          </w:p>
        </w:tc>
      </w:tr>
      <w:tr w:rsidR="00CE3F10" w:rsidRPr="00D71261" w:rsidTr="00A06272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CE3F10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351D1A" w:rsidP="000C1E94">
            <w:pPr>
              <w:spacing w:after="0" w:line="240" w:lineRule="auto"/>
              <w:ind w:right="238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Sabiedrības </w:t>
            </w:r>
            <w:proofErr w:type="spellStart"/>
            <w:r w:rsidRPr="00D712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mērķgrupas</w:t>
            </w:r>
            <w:proofErr w:type="spellEnd"/>
            <w:r w:rsidRPr="00D712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kuras tiesiskais regulējums ietekmē vai varētu ietekmēt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2209" w:rsidRPr="00D71261" w:rsidRDefault="00DA120A" w:rsidP="00983E49">
            <w:pPr>
              <w:spacing w:after="0" w:line="240" w:lineRule="auto"/>
              <w:ind w:left="9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color w:val="000000"/>
                <w:sz w:val="26"/>
                <w:szCs w:val="26"/>
              </w:rPr>
              <w:t>Spiedieniekārtu un to kompleksu</w:t>
            </w:r>
            <w:r w:rsidR="005135D0" w:rsidRPr="00D712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ražotāji</w:t>
            </w:r>
            <w:r w:rsidR="00983E49" w:rsidRPr="00D71261">
              <w:rPr>
                <w:rFonts w:ascii="Times New Roman" w:hAnsi="Times New Roman"/>
                <w:color w:val="000000"/>
                <w:sz w:val="26"/>
                <w:szCs w:val="26"/>
              </w:rPr>
              <w:t>, a</w:t>
            </w:r>
            <w:r w:rsidR="00376D9C" w:rsidRPr="00D712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tbilstības novērtēšanas institūcijas, kā arī tirgus uzraudzības institūcija - </w:t>
            </w:r>
            <w:r w:rsidR="005B501A"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Patērēt</w:t>
            </w:r>
            <w:r w:rsidR="0008251C"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āju tiesību aizsardzības centrs</w:t>
            </w:r>
          </w:p>
        </w:tc>
      </w:tr>
      <w:tr w:rsidR="00CE3F10" w:rsidRPr="00D71261" w:rsidTr="00A06272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CE3F10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351D1A" w:rsidP="000C1E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Tiesiskā regulējuma ietekme uz tautsaimniecību un administratīvo slogu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636" w:rsidRPr="00D71261" w:rsidRDefault="002E3C04" w:rsidP="00CE3CD0">
            <w:pPr>
              <w:spacing w:after="120" w:line="240" w:lineRule="auto"/>
              <w:ind w:left="112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Noteikumu projekts administratīvo slogu nemaina</w:t>
            </w:r>
            <w:r w:rsidR="00962A11"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, kā arī tam nebūs ietekmes uz tautsaimniecību</w:t>
            </w:r>
          </w:p>
        </w:tc>
      </w:tr>
      <w:tr w:rsidR="00CE3F10" w:rsidRPr="00D71261" w:rsidTr="00A06272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CE3F10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351D1A" w:rsidP="000C1E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Administratīvo izmaksu monetārs novērtējums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6B65D4" w:rsidP="00CE3CD0">
            <w:pPr>
              <w:spacing w:after="120" w:line="240" w:lineRule="auto"/>
              <w:ind w:left="112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CE3F10" w:rsidRPr="00D71261" w:rsidTr="00A06272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351D1A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</w:t>
            </w:r>
            <w:r w:rsidR="00CE3F10"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CE3F10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F10" w:rsidRPr="00D71261" w:rsidRDefault="00CE3F10" w:rsidP="00CE3CD0">
            <w:pPr>
              <w:spacing w:after="120" w:line="240" w:lineRule="auto"/>
              <w:ind w:left="112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12EBB" w:rsidRPr="00D71261" w:rsidRDefault="00512EBB" w:rsidP="000C1E94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385"/>
        <w:gridCol w:w="6211"/>
      </w:tblGrid>
      <w:tr w:rsidR="00272D71" w:rsidRPr="00D71261" w:rsidTr="002D7ECB">
        <w:tc>
          <w:tcPr>
            <w:tcW w:w="9072" w:type="dxa"/>
            <w:gridSpan w:val="3"/>
            <w:shd w:val="clear" w:color="auto" w:fill="auto"/>
            <w:hideMark/>
          </w:tcPr>
          <w:p w:rsidR="002D4F1B" w:rsidRPr="00D71261" w:rsidRDefault="00272D71" w:rsidP="002D4F1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b/>
                <w:bCs/>
                <w:sz w:val="26"/>
                <w:szCs w:val="26"/>
              </w:rPr>
              <w:t>V. Tiesību akta projekta atbilstība Latvijas Republikas starptautiskajām saistībām</w:t>
            </w:r>
          </w:p>
        </w:tc>
      </w:tr>
      <w:tr w:rsidR="00272D71" w:rsidRPr="00D71261" w:rsidTr="002D7ECB">
        <w:tc>
          <w:tcPr>
            <w:tcW w:w="474" w:type="dxa"/>
            <w:shd w:val="clear" w:color="auto" w:fill="auto"/>
            <w:hideMark/>
          </w:tcPr>
          <w:p w:rsidR="002D4F1B" w:rsidRPr="00D71261" w:rsidRDefault="00272D71" w:rsidP="002D4F1B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 1.</w:t>
            </w:r>
          </w:p>
        </w:tc>
        <w:tc>
          <w:tcPr>
            <w:tcW w:w="2385" w:type="dxa"/>
            <w:shd w:val="clear" w:color="auto" w:fill="auto"/>
            <w:hideMark/>
          </w:tcPr>
          <w:p w:rsidR="002D4F1B" w:rsidRPr="00D71261" w:rsidRDefault="00272D71" w:rsidP="002D4F1B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Saistības pret Eiropas Savienību</w:t>
            </w:r>
          </w:p>
        </w:tc>
        <w:tc>
          <w:tcPr>
            <w:tcW w:w="6213" w:type="dxa"/>
            <w:shd w:val="clear" w:color="auto" w:fill="auto"/>
            <w:hideMark/>
          </w:tcPr>
          <w:p w:rsidR="007125D5" w:rsidRPr="00D71261" w:rsidRDefault="0008251C" w:rsidP="0008251C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Ar n</w:t>
            </w:r>
            <w:r w:rsidR="00FB6DD0" w:rsidRPr="00D71261">
              <w:rPr>
                <w:rFonts w:ascii="Times New Roman" w:hAnsi="Times New Roman"/>
                <w:sz w:val="26"/>
                <w:szCs w:val="26"/>
              </w:rPr>
              <w:t>oteikumu projektu</w:t>
            </w:r>
            <w:r w:rsidR="007125D5" w:rsidRPr="00D71261">
              <w:rPr>
                <w:rFonts w:ascii="Times New Roman" w:hAnsi="Times New Roman"/>
                <w:sz w:val="26"/>
                <w:szCs w:val="26"/>
              </w:rPr>
              <w:t xml:space="preserve"> ti</w:t>
            </w:r>
            <w:r w:rsidRPr="00D71261">
              <w:rPr>
                <w:rFonts w:ascii="Times New Roman" w:hAnsi="Times New Roman"/>
                <w:sz w:val="26"/>
                <w:szCs w:val="26"/>
              </w:rPr>
              <w:t>e</w:t>
            </w:r>
            <w:r w:rsidR="007125D5" w:rsidRPr="00D71261">
              <w:rPr>
                <w:rFonts w:ascii="Times New Roman" w:hAnsi="Times New Roman"/>
                <w:sz w:val="26"/>
                <w:szCs w:val="26"/>
              </w:rPr>
              <w:t xml:space="preserve">k </w:t>
            </w:r>
            <w:r w:rsidRPr="00D71261">
              <w:rPr>
                <w:rFonts w:ascii="Times New Roman" w:hAnsi="Times New Roman"/>
                <w:sz w:val="26"/>
                <w:szCs w:val="26"/>
              </w:rPr>
              <w:t xml:space="preserve">pārņemtas </w:t>
            </w:r>
            <w:r w:rsidRPr="00D71261">
              <w:rPr>
                <w:rFonts w:ascii="Times New Roman" w:hAnsi="Times New Roman"/>
                <w:bCs/>
                <w:sz w:val="26"/>
                <w:szCs w:val="26"/>
              </w:rPr>
              <w:t>Eiropas Parlamenta un Padomes</w:t>
            </w:r>
            <w:r w:rsidR="000717A4" w:rsidRPr="00D7126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717A4" w:rsidRPr="00A01F52">
              <w:rPr>
                <w:rFonts w:ascii="Times New Roman" w:hAnsi="Times New Roman"/>
                <w:bCs/>
                <w:sz w:val="26"/>
                <w:szCs w:val="26"/>
              </w:rPr>
              <w:t>2014.gada 15.maija</w:t>
            </w:r>
            <w:r w:rsidRPr="00D71261">
              <w:rPr>
                <w:rFonts w:ascii="Times New Roman" w:hAnsi="Times New Roman"/>
                <w:bCs/>
                <w:sz w:val="26"/>
                <w:szCs w:val="26"/>
              </w:rPr>
              <w:t xml:space="preserve"> direktīvas 2014/68/ES par dalībvalstu tiesību aktu saskaņošanu attiecībā uz spiedieniekārtu </w:t>
            </w:r>
            <w:r w:rsidR="0037365E" w:rsidRPr="00D71261">
              <w:rPr>
                <w:rFonts w:ascii="Times New Roman" w:hAnsi="Times New Roman"/>
                <w:bCs/>
                <w:sz w:val="26"/>
                <w:szCs w:val="26"/>
              </w:rPr>
              <w:t xml:space="preserve">pieejamību tirgū </w:t>
            </w:r>
            <w:r w:rsidRPr="00D71261">
              <w:rPr>
                <w:rFonts w:ascii="Times New Roman" w:hAnsi="Times New Roman"/>
                <w:bCs/>
                <w:sz w:val="26"/>
                <w:szCs w:val="26"/>
              </w:rPr>
              <w:t>13.panta prasības.</w:t>
            </w:r>
            <w:r w:rsidRPr="00D71261">
              <w:rPr>
                <w:rFonts w:ascii="Times New Roman" w:hAnsi="Times New Roman"/>
                <w:sz w:val="26"/>
                <w:szCs w:val="26"/>
              </w:rPr>
              <w:t xml:space="preserve"> Minētās prasības jāpārņem līdz 2015.gada 28.februārim.</w:t>
            </w:r>
            <w:r w:rsidR="007125D5" w:rsidRPr="00D712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4D20" w:rsidRPr="00A01F52" w:rsidRDefault="00074D20" w:rsidP="00CF21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1F52">
              <w:rPr>
                <w:rFonts w:ascii="Times New Roman" w:hAnsi="Times New Roman"/>
                <w:sz w:val="26"/>
                <w:szCs w:val="26"/>
              </w:rPr>
              <w:t>Noteikumu projekta 1.1.apakšpunktā dota atsauce uz Eiropas Parlamenta un Padomes 2008.gada 16.decembra Regulā (EK) Nr.1272/2008 par vielu un maisījumu klasificēšanu, marķēšanu un iepakošanu un ar ko groza un atceļ Direktīvas 67/548/EEK un 1999/45/EK un groza Regulu (EK) Nr. 19</w:t>
            </w:r>
            <w:r w:rsidR="00D71261" w:rsidRPr="00A01F52">
              <w:rPr>
                <w:rFonts w:ascii="Times New Roman" w:hAnsi="Times New Roman"/>
                <w:sz w:val="26"/>
                <w:szCs w:val="26"/>
              </w:rPr>
              <w:t>07/2006 noteiktajām definīcijām, kā arī uz fizikālās bīstamības un bīstamības veselībai klasēm saskaņā ar I pielikuma 2. un 3.daļu.</w:t>
            </w:r>
          </w:p>
        </w:tc>
      </w:tr>
      <w:tr w:rsidR="00272D71" w:rsidRPr="00D71261" w:rsidTr="002D7ECB">
        <w:tc>
          <w:tcPr>
            <w:tcW w:w="474" w:type="dxa"/>
            <w:shd w:val="clear" w:color="auto" w:fill="auto"/>
            <w:hideMark/>
          </w:tcPr>
          <w:p w:rsidR="002D4F1B" w:rsidRPr="00D71261" w:rsidRDefault="00272D71" w:rsidP="002D4F1B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lastRenderedPageBreak/>
              <w:t> 2.</w:t>
            </w:r>
          </w:p>
        </w:tc>
        <w:tc>
          <w:tcPr>
            <w:tcW w:w="2385" w:type="dxa"/>
            <w:shd w:val="clear" w:color="auto" w:fill="auto"/>
            <w:hideMark/>
          </w:tcPr>
          <w:p w:rsidR="002D4F1B" w:rsidRPr="00D71261" w:rsidRDefault="00272D71" w:rsidP="002D4F1B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 Citas starptautiskās saistības</w:t>
            </w:r>
          </w:p>
        </w:tc>
        <w:tc>
          <w:tcPr>
            <w:tcW w:w="6213" w:type="dxa"/>
            <w:shd w:val="clear" w:color="auto" w:fill="auto"/>
            <w:hideMark/>
          </w:tcPr>
          <w:p w:rsidR="002D4F1B" w:rsidRPr="00D71261" w:rsidRDefault="00941766" w:rsidP="002D4F1B">
            <w:pPr>
              <w:spacing w:after="12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iCs/>
                <w:sz w:val="26"/>
                <w:szCs w:val="26"/>
              </w:rPr>
              <w:t>Projekts šo jomu neskar</w:t>
            </w:r>
          </w:p>
        </w:tc>
      </w:tr>
      <w:tr w:rsidR="00272D71" w:rsidRPr="00D71261" w:rsidTr="002D7ECB">
        <w:tc>
          <w:tcPr>
            <w:tcW w:w="474" w:type="dxa"/>
            <w:shd w:val="clear" w:color="auto" w:fill="auto"/>
            <w:hideMark/>
          </w:tcPr>
          <w:p w:rsidR="002D4F1B" w:rsidRPr="00D71261" w:rsidRDefault="00272D71" w:rsidP="002D4F1B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 3.</w:t>
            </w:r>
          </w:p>
        </w:tc>
        <w:tc>
          <w:tcPr>
            <w:tcW w:w="2385" w:type="dxa"/>
            <w:shd w:val="clear" w:color="auto" w:fill="auto"/>
            <w:hideMark/>
          </w:tcPr>
          <w:p w:rsidR="002D4F1B" w:rsidRPr="00D71261" w:rsidRDefault="00272D71" w:rsidP="002D4F1B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 Cita informācija</w:t>
            </w:r>
          </w:p>
        </w:tc>
        <w:tc>
          <w:tcPr>
            <w:tcW w:w="6213" w:type="dxa"/>
            <w:shd w:val="clear" w:color="auto" w:fill="auto"/>
          </w:tcPr>
          <w:p w:rsidR="002D4F1B" w:rsidRPr="00D71261" w:rsidRDefault="00272D71" w:rsidP="002D4F1B">
            <w:pPr>
              <w:spacing w:after="12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iCs/>
                <w:sz w:val="26"/>
                <w:szCs w:val="26"/>
              </w:rPr>
              <w:t>Nav</w:t>
            </w:r>
          </w:p>
        </w:tc>
      </w:tr>
    </w:tbl>
    <w:p w:rsidR="00A34A07" w:rsidRPr="00D71261" w:rsidRDefault="00A34A07" w:rsidP="000C1E94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81"/>
        <w:gridCol w:w="2994"/>
        <w:gridCol w:w="1685"/>
        <w:gridCol w:w="1567"/>
      </w:tblGrid>
      <w:tr w:rsidR="0037365E" w:rsidRPr="00D71261" w:rsidTr="0037365E">
        <w:trPr>
          <w:trHeight w:val="523"/>
        </w:trPr>
        <w:tc>
          <w:tcPr>
            <w:tcW w:w="9072" w:type="dxa"/>
            <w:gridSpan w:val="5"/>
            <w:shd w:val="clear" w:color="auto" w:fill="auto"/>
            <w:hideMark/>
          </w:tcPr>
          <w:p w:rsidR="0037365E" w:rsidRPr="00D71261" w:rsidRDefault="0037365E" w:rsidP="00373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b/>
                <w:bCs/>
                <w:sz w:val="26"/>
                <w:szCs w:val="26"/>
              </w:rPr>
              <w:t>1.tabula</w:t>
            </w:r>
          </w:p>
          <w:p w:rsidR="0037365E" w:rsidRPr="00D71261" w:rsidRDefault="0037365E" w:rsidP="0037365E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b/>
                <w:bCs/>
                <w:sz w:val="26"/>
                <w:szCs w:val="26"/>
              </w:rPr>
              <w:t>Tiesību akta projekta atbilstība ES tiesību aktiem</w:t>
            </w:r>
          </w:p>
        </w:tc>
      </w:tr>
      <w:tr w:rsidR="0037365E" w:rsidRPr="00D71261" w:rsidTr="0037365E">
        <w:trPr>
          <w:trHeight w:val="936"/>
        </w:trPr>
        <w:tc>
          <w:tcPr>
            <w:tcW w:w="2753" w:type="dxa"/>
            <w:shd w:val="clear" w:color="auto" w:fill="auto"/>
            <w:hideMark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Attiecīgā ES tiesību akta datums, numurs un nosaukums</w:t>
            </w:r>
          </w:p>
        </w:tc>
        <w:tc>
          <w:tcPr>
            <w:tcW w:w="6319" w:type="dxa"/>
            <w:gridSpan w:val="4"/>
            <w:shd w:val="clear" w:color="auto" w:fill="auto"/>
            <w:hideMark/>
          </w:tcPr>
          <w:p w:rsidR="0037365E" w:rsidRPr="00A01F52" w:rsidRDefault="0037365E" w:rsidP="004113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01F52">
              <w:rPr>
                <w:rFonts w:ascii="Times New Roman" w:hAnsi="Times New Roman"/>
                <w:bCs/>
                <w:sz w:val="26"/>
                <w:szCs w:val="26"/>
              </w:rPr>
              <w:t>Eiropas Parlamenta un Padomes</w:t>
            </w:r>
            <w:r w:rsidR="004D5ABB" w:rsidRPr="00A01F52">
              <w:rPr>
                <w:rFonts w:ascii="Times New Roman" w:hAnsi="Times New Roman"/>
                <w:bCs/>
                <w:sz w:val="26"/>
                <w:szCs w:val="26"/>
              </w:rPr>
              <w:t xml:space="preserve"> 2014.gada 15.maija</w:t>
            </w:r>
            <w:r w:rsidRPr="00A01F52">
              <w:rPr>
                <w:rFonts w:ascii="Times New Roman" w:hAnsi="Times New Roman"/>
                <w:bCs/>
                <w:sz w:val="26"/>
                <w:szCs w:val="26"/>
              </w:rPr>
              <w:t xml:space="preserve"> direktīvas 2014/68/ES par dalībvalstu tiesību aktu saskaņošanu attiecībā uz spiedieniekārtu pieejamību tirgū</w:t>
            </w:r>
            <w:r w:rsidR="001661AF" w:rsidRPr="00A01F52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411329" w:rsidRPr="00D71261" w:rsidRDefault="00411329" w:rsidP="004113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1F52">
              <w:rPr>
                <w:rFonts w:ascii="Times New Roman" w:hAnsi="Times New Roman"/>
                <w:sz w:val="26"/>
                <w:szCs w:val="26"/>
              </w:rPr>
              <w:t>Eiropas Parlamenta un Padomes 2008.gada 16.decembra Regula (EK) Nr.1272/2008 par vielu un maisījumu klasificēšanu, marķēšanu un iepakošanu un ar ko groza un atceļ Direktīvas 67/548/EEK un 1999/45/EK un groza Regulu (EK) Nr. 1907/2006</w:t>
            </w:r>
            <w:r w:rsidR="001661AF" w:rsidRPr="00A01F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7365E" w:rsidRPr="00D71261" w:rsidTr="0037365E">
        <w:trPr>
          <w:trHeight w:val="163"/>
        </w:trPr>
        <w:tc>
          <w:tcPr>
            <w:tcW w:w="9072" w:type="dxa"/>
            <w:gridSpan w:val="5"/>
            <w:shd w:val="clear" w:color="auto" w:fill="auto"/>
          </w:tcPr>
          <w:p w:rsidR="0037365E" w:rsidRPr="00D71261" w:rsidRDefault="0037365E" w:rsidP="003736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365E" w:rsidRPr="00D71261" w:rsidTr="007B4B8A">
        <w:trPr>
          <w:trHeight w:val="165"/>
        </w:trPr>
        <w:tc>
          <w:tcPr>
            <w:tcW w:w="2835" w:type="dxa"/>
            <w:gridSpan w:val="2"/>
            <w:shd w:val="clear" w:color="auto" w:fill="auto"/>
            <w:hideMark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3004" w:type="dxa"/>
            <w:shd w:val="clear" w:color="auto" w:fill="auto"/>
            <w:hideMark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686" w:type="dxa"/>
            <w:shd w:val="clear" w:color="auto" w:fill="auto"/>
            <w:hideMark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547" w:type="dxa"/>
            <w:shd w:val="clear" w:color="auto" w:fill="auto"/>
            <w:hideMark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</w:tr>
      <w:tr w:rsidR="0037365E" w:rsidRPr="00D71261" w:rsidTr="007B4B8A">
        <w:trPr>
          <w:trHeight w:val="191"/>
        </w:trPr>
        <w:tc>
          <w:tcPr>
            <w:tcW w:w="2835" w:type="dxa"/>
            <w:gridSpan w:val="2"/>
            <w:shd w:val="clear" w:color="auto" w:fill="auto"/>
            <w:hideMark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Attiecīgā ES tiesību akta panta numurs (uzskaitot katru tiesību akta</w:t>
            </w:r>
            <w:r w:rsidRPr="00D71261">
              <w:rPr>
                <w:rFonts w:ascii="Times New Roman" w:hAnsi="Times New Roman"/>
                <w:sz w:val="26"/>
                <w:szCs w:val="26"/>
              </w:rPr>
              <w:br/>
              <w:t>vienību - pantu, daļu, punktu, apakšpunktu).</w:t>
            </w:r>
          </w:p>
        </w:tc>
        <w:tc>
          <w:tcPr>
            <w:tcW w:w="3004" w:type="dxa"/>
            <w:shd w:val="clear" w:color="auto" w:fill="auto"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6" w:type="dxa"/>
            <w:shd w:val="clear" w:color="auto" w:fill="auto"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Informācija par to, vai šīs tabulas A ailē minētās ES tiesību akta vienības tiek pārņemtas vai ieviestas pilnībā vai daļēji.</w:t>
            </w: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Ja attiecīgā ES tiesību akta vienība tiek pārņemta vai ieviesta daļēji,- sniedz attiecīgu skaidrojumu, kā arī precīzi norāda, kad un kādā veidā ES tiesību akta vienība tiks pārņemta vai ieviesta pilnībā.</w:t>
            </w: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lastRenderedPageBreak/>
              <w:t>Norāda institūciju, kas ir atbildīga par šo saistību izpildi pilnībā.</w:t>
            </w: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Ja projekts satur stingrākas prasības nekā attiecīgais ES tiesību akts,- norāda pamatojumu un samērīgumu.</w:t>
            </w:r>
          </w:p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lastRenderedPageBreak/>
              <w:t>Norāda iespējamās alternatīvas (t.sk. alternatīvas, kas neparedz tiesiskā regulējuma izstrādi) - kādos gadījumos būtu iespējams izvairīties no stingrāku prasību noteikšanas, nekā paredzēts attiecīgajos ES tiesību aktos.</w:t>
            </w:r>
          </w:p>
        </w:tc>
      </w:tr>
      <w:tr w:rsidR="0037365E" w:rsidRPr="00D71261" w:rsidTr="007B4B8A">
        <w:trPr>
          <w:trHeight w:val="1023"/>
        </w:trPr>
        <w:tc>
          <w:tcPr>
            <w:tcW w:w="2835" w:type="dxa"/>
            <w:gridSpan w:val="2"/>
            <w:shd w:val="clear" w:color="auto" w:fill="auto"/>
          </w:tcPr>
          <w:p w:rsidR="0037365E" w:rsidRPr="00A01F52" w:rsidRDefault="00411329" w:rsidP="0037365E">
            <w:pPr>
              <w:spacing w:after="12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01F52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D</w:t>
            </w:r>
            <w:r w:rsidR="004D5ABB" w:rsidRPr="00A01F52">
              <w:rPr>
                <w:rFonts w:ascii="Times New Roman" w:hAnsi="Times New Roman"/>
                <w:bCs/>
                <w:sz w:val="26"/>
                <w:szCs w:val="26"/>
              </w:rPr>
              <w:t xml:space="preserve">irektīvas 2014/68/ES </w:t>
            </w:r>
            <w:r w:rsidR="00D32153" w:rsidRPr="00A01F52">
              <w:rPr>
                <w:rFonts w:ascii="Times New Roman" w:hAnsi="Times New Roman"/>
                <w:bCs/>
                <w:sz w:val="26"/>
                <w:szCs w:val="26"/>
              </w:rPr>
              <w:t>13.pants</w:t>
            </w:r>
          </w:p>
        </w:tc>
        <w:tc>
          <w:tcPr>
            <w:tcW w:w="3004" w:type="dxa"/>
            <w:shd w:val="clear" w:color="auto" w:fill="auto"/>
          </w:tcPr>
          <w:p w:rsidR="0037365E" w:rsidRPr="00A01F52" w:rsidRDefault="00D32153" w:rsidP="00FB6DD0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2">
              <w:rPr>
                <w:rFonts w:ascii="Times New Roman" w:hAnsi="Times New Roman"/>
                <w:sz w:val="26"/>
                <w:szCs w:val="26"/>
              </w:rPr>
              <w:t>1.</w:t>
            </w:r>
            <w:r w:rsidR="00FB6DD0" w:rsidRPr="00A01F52">
              <w:rPr>
                <w:rFonts w:ascii="Times New Roman" w:hAnsi="Times New Roman"/>
                <w:sz w:val="26"/>
                <w:szCs w:val="26"/>
              </w:rPr>
              <w:t>1., 1.2. apakšpunkti</w:t>
            </w:r>
          </w:p>
        </w:tc>
        <w:tc>
          <w:tcPr>
            <w:tcW w:w="1686" w:type="dxa"/>
            <w:shd w:val="clear" w:color="auto" w:fill="auto"/>
            <w:hideMark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iCs/>
                <w:sz w:val="26"/>
                <w:szCs w:val="26"/>
              </w:rPr>
              <w:t>Tiesību norma pārņemta pilnībā</w:t>
            </w:r>
          </w:p>
        </w:tc>
        <w:tc>
          <w:tcPr>
            <w:tcW w:w="1547" w:type="dxa"/>
            <w:shd w:val="clear" w:color="auto" w:fill="auto"/>
            <w:hideMark/>
          </w:tcPr>
          <w:p w:rsidR="0037365E" w:rsidRPr="00D71261" w:rsidRDefault="0037365E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Projekts stingrākas prasības neparedz</w:t>
            </w:r>
          </w:p>
        </w:tc>
      </w:tr>
      <w:tr w:rsidR="004D5ABB" w:rsidRPr="00D71261" w:rsidTr="007B4B8A">
        <w:trPr>
          <w:trHeight w:val="1023"/>
        </w:trPr>
        <w:tc>
          <w:tcPr>
            <w:tcW w:w="2835" w:type="dxa"/>
            <w:gridSpan w:val="2"/>
            <w:shd w:val="clear" w:color="auto" w:fill="auto"/>
          </w:tcPr>
          <w:p w:rsidR="004D5ABB" w:rsidRPr="00A01F52" w:rsidRDefault="004D5ABB" w:rsidP="007B4B8A">
            <w:pPr>
              <w:spacing w:after="12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01F52">
              <w:rPr>
                <w:rFonts w:ascii="Times New Roman" w:hAnsi="Times New Roman"/>
                <w:bCs/>
                <w:sz w:val="26"/>
                <w:szCs w:val="26"/>
              </w:rPr>
              <w:t>Regulas (EK) Nr.1272/2008 2.panta 7. un 8.punkts</w:t>
            </w:r>
            <w:r w:rsidR="00E70C87" w:rsidRPr="00A01F52">
              <w:rPr>
                <w:rFonts w:ascii="Times New Roman" w:hAnsi="Times New Roman"/>
                <w:bCs/>
                <w:sz w:val="26"/>
                <w:szCs w:val="26"/>
              </w:rPr>
              <w:t xml:space="preserve"> un </w:t>
            </w:r>
            <w:r w:rsidR="007B4B8A" w:rsidRPr="00A01F52">
              <w:rPr>
                <w:rFonts w:ascii="Times New Roman" w:hAnsi="Times New Roman"/>
                <w:bCs/>
                <w:sz w:val="26"/>
                <w:szCs w:val="26"/>
              </w:rPr>
              <w:t xml:space="preserve">I </w:t>
            </w:r>
            <w:r w:rsidR="00E70C87" w:rsidRPr="00A01F52">
              <w:rPr>
                <w:rFonts w:ascii="Times New Roman" w:hAnsi="Times New Roman"/>
                <w:bCs/>
                <w:sz w:val="26"/>
                <w:szCs w:val="26"/>
              </w:rPr>
              <w:t>pielikuma 2. un 3.daļa</w:t>
            </w:r>
          </w:p>
        </w:tc>
        <w:tc>
          <w:tcPr>
            <w:tcW w:w="3004" w:type="dxa"/>
            <w:shd w:val="clear" w:color="auto" w:fill="auto"/>
          </w:tcPr>
          <w:p w:rsidR="004D5ABB" w:rsidRPr="00A01F52" w:rsidRDefault="004D5ABB" w:rsidP="00FB6DD0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1F52">
              <w:rPr>
                <w:rFonts w:ascii="Times New Roman" w:hAnsi="Times New Roman"/>
                <w:sz w:val="26"/>
                <w:szCs w:val="26"/>
              </w:rPr>
              <w:t>1.1.apak</w:t>
            </w:r>
            <w:r w:rsidR="008C105D" w:rsidRPr="00A01F52">
              <w:rPr>
                <w:rFonts w:ascii="Times New Roman" w:hAnsi="Times New Roman"/>
                <w:sz w:val="26"/>
                <w:szCs w:val="26"/>
              </w:rPr>
              <w:t>špunkts</w:t>
            </w:r>
          </w:p>
        </w:tc>
        <w:tc>
          <w:tcPr>
            <w:tcW w:w="1686" w:type="dxa"/>
            <w:shd w:val="clear" w:color="auto" w:fill="auto"/>
          </w:tcPr>
          <w:p w:rsidR="004D5ABB" w:rsidRPr="00D71261" w:rsidRDefault="00C01CF2" w:rsidP="0037365E">
            <w:pPr>
              <w:spacing w:after="12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iCs/>
                <w:sz w:val="26"/>
                <w:szCs w:val="26"/>
              </w:rPr>
              <w:t>Tiesību norma iev</w:t>
            </w:r>
            <w:r w:rsidR="00047BF6" w:rsidRPr="00D71261">
              <w:rPr>
                <w:rFonts w:ascii="Times New Roman" w:hAnsi="Times New Roman"/>
                <w:iCs/>
                <w:sz w:val="26"/>
                <w:szCs w:val="26"/>
              </w:rPr>
              <w:t>i</w:t>
            </w:r>
            <w:r w:rsidRPr="00D71261">
              <w:rPr>
                <w:rFonts w:ascii="Times New Roman" w:hAnsi="Times New Roman"/>
                <w:iCs/>
                <w:sz w:val="26"/>
                <w:szCs w:val="26"/>
              </w:rPr>
              <w:t>esta pilnībā</w:t>
            </w:r>
          </w:p>
        </w:tc>
        <w:tc>
          <w:tcPr>
            <w:tcW w:w="1547" w:type="dxa"/>
            <w:shd w:val="clear" w:color="auto" w:fill="auto"/>
          </w:tcPr>
          <w:p w:rsidR="004D5ABB" w:rsidRPr="00D71261" w:rsidRDefault="009F7E2B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Projekts stingrākas prasības neparedz</w:t>
            </w:r>
          </w:p>
        </w:tc>
      </w:tr>
      <w:tr w:rsidR="00D32153" w:rsidRPr="00D71261" w:rsidTr="007B4B8A">
        <w:trPr>
          <w:trHeight w:val="191"/>
        </w:trPr>
        <w:tc>
          <w:tcPr>
            <w:tcW w:w="2835" w:type="dxa"/>
            <w:gridSpan w:val="2"/>
            <w:shd w:val="clear" w:color="auto" w:fill="auto"/>
          </w:tcPr>
          <w:p w:rsidR="00D32153" w:rsidRPr="00D71261" w:rsidRDefault="00D32153" w:rsidP="00D32153">
            <w:pPr>
              <w:spacing w:after="12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bCs/>
                <w:sz w:val="26"/>
                <w:szCs w:val="26"/>
              </w:rPr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32153" w:rsidRPr="00D71261" w:rsidRDefault="00D32153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Projekts šo jomu neskar</w:t>
            </w:r>
          </w:p>
        </w:tc>
      </w:tr>
      <w:tr w:rsidR="00D32153" w:rsidRPr="00D71261" w:rsidTr="007B4B8A">
        <w:trPr>
          <w:trHeight w:val="191"/>
        </w:trPr>
        <w:tc>
          <w:tcPr>
            <w:tcW w:w="2835" w:type="dxa"/>
            <w:gridSpan w:val="2"/>
            <w:shd w:val="clear" w:color="auto" w:fill="auto"/>
          </w:tcPr>
          <w:p w:rsidR="00D32153" w:rsidRPr="00D71261" w:rsidRDefault="00D32153" w:rsidP="0037365E">
            <w:pPr>
              <w:spacing w:after="12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bCs/>
                <w:sz w:val="26"/>
                <w:szCs w:val="26"/>
              </w:rPr>
              <w:t xml:space="preserve">Saistības sniegt paziņojumu ES institūcijām un ES dalībvalstīm atbilstoši normatīvajiem aktiem, kas regulē informācijas sniegšanu par tehnisko </w:t>
            </w:r>
            <w:r w:rsidRPr="00D7126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noteikumu, valsts atbalsta piešķiršanas un finanšu noteikumu (attiecībā uz monetāro politiku) projektiem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32153" w:rsidRPr="00D71261" w:rsidRDefault="00D32153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lastRenderedPageBreak/>
              <w:t>Projekts šo jomu neskar</w:t>
            </w:r>
          </w:p>
        </w:tc>
      </w:tr>
      <w:tr w:rsidR="00D32153" w:rsidRPr="00D71261" w:rsidTr="007B4B8A">
        <w:trPr>
          <w:trHeight w:val="191"/>
        </w:trPr>
        <w:tc>
          <w:tcPr>
            <w:tcW w:w="2835" w:type="dxa"/>
            <w:gridSpan w:val="2"/>
            <w:shd w:val="clear" w:color="auto" w:fill="auto"/>
          </w:tcPr>
          <w:p w:rsidR="00D32153" w:rsidRPr="00D71261" w:rsidRDefault="00D32153" w:rsidP="0037365E">
            <w:pPr>
              <w:spacing w:after="12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32153" w:rsidRPr="00D71261" w:rsidRDefault="00D32153" w:rsidP="0037365E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261">
              <w:rPr>
                <w:rFonts w:ascii="Times New Roman" w:hAnsi="Times New Roman"/>
                <w:sz w:val="26"/>
                <w:szCs w:val="26"/>
              </w:rPr>
              <w:t>Nav</w:t>
            </w:r>
          </w:p>
        </w:tc>
      </w:tr>
    </w:tbl>
    <w:p w:rsidR="0037365E" w:rsidRPr="00D71261" w:rsidRDefault="0037365E" w:rsidP="000C1E94">
      <w:pPr>
        <w:spacing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45" w:type="pct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"/>
        <w:gridCol w:w="2870"/>
        <w:gridCol w:w="5812"/>
      </w:tblGrid>
      <w:tr w:rsidR="009E0E56" w:rsidRPr="00D71261" w:rsidTr="002D7ECB">
        <w:trPr>
          <w:trHeight w:val="656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8A0" w:rsidRPr="00D71261" w:rsidRDefault="00A078A0" w:rsidP="00A34A07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</w:p>
          <w:p w:rsidR="006645AE" w:rsidRPr="00D71261" w:rsidRDefault="009E0E56" w:rsidP="000C1E9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6645AE" w:rsidRPr="00D71261" w:rsidTr="002D7ECB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9E0E56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9E0E56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512EBB" w:rsidP="00060BB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lv-LV"/>
              </w:rPr>
            </w:pPr>
            <w:r w:rsidRPr="00D71261">
              <w:rPr>
                <w:rFonts w:ascii="Times New Roman" w:hAnsi="Times New Roman"/>
                <w:color w:val="000000"/>
                <w:sz w:val="26"/>
                <w:szCs w:val="26"/>
              </w:rPr>
              <w:t>N</w:t>
            </w:r>
            <w:r w:rsidR="00060BB6" w:rsidRPr="00D71261">
              <w:rPr>
                <w:rFonts w:ascii="Times New Roman" w:hAnsi="Times New Roman"/>
                <w:color w:val="000000"/>
                <w:sz w:val="26"/>
                <w:szCs w:val="26"/>
              </w:rPr>
              <w:t>acionālā akreditācijas institūcija</w:t>
            </w:r>
            <w:r w:rsidR="00A50AF3" w:rsidRPr="00D712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42649F"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atbilstības novērtēšanas institūcijas, </w:t>
            </w:r>
            <w:r w:rsidR="00A50AF3"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Patērēt</w:t>
            </w:r>
            <w:r w:rsidR="00CE3CD0"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āju tiesību aizsardzības centrs</w:t>
            </w:r>
          </w:p>
        </w:tc>
      </w:tr>
      <w:tr w:rsidR="006645AE" w:rsidRPr="00D71261" w:rsidTr="002D7ECB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9E0E56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163" w:rsidRPr="00D71261" w:rsidRDefault="00286163" w:rsidP="000C1E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lv-LV"/>
              </w:rPr>
              <w:t>Projekta izpildes ietekme uz pārvaldes funkcijām un institucionālo struktūru.</w:t>
            </w:r>
          </w:p>
          <w:p w:rsidR="00286163" w:rsidRPr="00D71261" w:rsidRDefault="00286163" w:rsidP="000C1E94">
            <w:pPr>
              <w:shd w:val="clear" w:color="auto" w:fill="FFFFFF"/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414142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CE3CD0" w:rsidP="000C1E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6645AE" w:rsidRPr="00D71261" w:rsidTr="002D7ECB"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286163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</w:t>
            </w:r>
            <w:r w:rsidR="009E0E56"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9E0E56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E56" w:rsidRPr="00D71261" w:rsidRDefault="006645AE" w:rsidP="000C1E94">
            <w:pPr>
              <w:spacing w:after="12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D71261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CF3EC4" w:rsidRPr="00D71261" w:rsidRDefault="00CF3EC4" w:rsidP="000C1E94">
      <w:pPr>
        <w:pStyle w:val="naisf"/>
        <w:spacing w:before="0" w:after="120"/>
        <w:ind w:firstLine="0"/>
        <w:rPr>
          <w:sz w:val="26"/>
          <w:szCs w:val="26"/>
        </w:rPr>
      </w:pPr>
    </w:p>
    <w:p w:rsidR="00A34A07" w:rsidRPr="00D71261" w:rsidRDefault="0008251C" w:rsidP="00A34A07">
      <w:pPr>
        <w:spacing w:after="120" w:line="240" w:lineRule="auto"/>
        <w:rPr>
          <w:rFonts w:ascii="Times New Roman" w:hAnsi="Times New Roman"/>
          <w:i/>
          <w:sz w:val="26"/>
          <w:szCs w:val="26"/>
        </w:rPr>
      </w:pPr>
      <w:r w:rsidRPr="00D71261">
        <w:rPr>
          <w:rFonts w:ascii="Times New Roman" w:hAnsi="Times New Roman"/>
          <w:i/>
          <w:sz w:val="26"/>
          <w:szCs w:val="26"/>
        </w:rPr>
        <w:t>Anotācijas III, IV</w:t>
      </w:r>
      <w:r w:rsidR="00D96EC8" w:rsidRPr="00D71261">
        <w:rPr>
          <w:rFonts w:ascii="Times New Roman" w:hAnsi="Times New Roman"/>
          <w:i/>
          <w:sz w:val="26"/>
          <w:szCs w:val="26"/>
        </w:rPr>
        <w:t xml:space="preserve"> </w:t>
      </w:r>
      <w:r w:rsidR="00787513" w:rsidRPr="00D71261">
        <w:rPr>
          <w:rFonts w:ascii="Times New Roman" w:hAnsi="Times New Roman"/>
          <w:i/>
          <w:sz w:val="26"/>
          <w:szCs w:val="26"/>
        </w:rPr>
        <w:t>un VI sadaļa</w:t>
      </w:r>
      <w:r w:rsidR="00853015" w:rsidRPr="00D71261">
        <w:rPr>
          <w:rFonts w:ascii="Times New Roman" w:hAnsi="Times New Roman"/>
          <w:i/>
          <w:sz w:val="26"/>
          <w:szCs w:val="26"/>
        </w:rPr>
        <w:t xml:space="preserve"> </w:t>
      </w:r>
      <w:r w:rsidR="00A34A07" w:rsidRPr="00D71261">
        <w:rPr>
          <w:rFonts w:ascii="Times New Roman" w:hAnsi="Times New Roman"/>
          <w:i/>
          <w:sz w:val="26"/>
          <w:szCs w:val="26"/>
        </w:rPr>
        <w:t>– projekts šīs jomas neskar.</w:t>
      </w:r>
    </w:p>
    <w:p w:rsidR="00A34A07" w:rsidRPr="00D71261" w:rsidRDefault="00A34A07" w:rsidP="000C1E94">
      <w:pPr>
        <w:pStyle w:val="naisf"/>
        <w:spacing w:before="0" w:after="120"/>
        <w:ind w:firstLine="0"/>
        <w:rPr>
          <w:sz w:val="26"/>
          <w:szCs w:val="26"/>
        </w:rPr>
      </w:pPr>
    </w:p>
    <w:p w:rsidR="00C77757" w:rsidRPr="00D71261" w:rsidRDefault="00C77757" w:rsidP="00C777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D71261">
        <w:rPr>
          <w:rFonts w:ascii="Times New Roman" w:eastAsia="Times New Roman" w:hAnsi="Times New Roman"/>
          <w:sz w:val="26"/>
          <w:szCs w:val="26"/>
          <w:lang w:eastAsia="lv-LV"/>
        </w:rPr>
        <w:t>Ekonomikas ministre</w:t>
      </w:r>
      <w:r w:rsidRPr="00D712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712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712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712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712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D71261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A01F52">
        <w:rPr>
          <w:rFonts w:ascii="Times New Roman" w:eastAsia="Times New Roman" w:hAnsi="Times New Roman"/>
          <w:sz w:val="26"/>
          <w:szCs w:val="26"/>
          <w:lang w:eastAsia="lv-LV"/>
        </w:rPr>
        <w:t xml:space="preserve">     </w:t>
      </w:r>
      <w:proofErr w:type="spellStart"/>
      <w:r w:rsidRPr="00D71261">
        <w:rPr>
          <w:rFonts w:ascii="Times New Roman" w:eastAsia="Times New Roman" w:hAnsi="Times New Roman"/>
          <w:sz w:val="26"/>
          <w:szCs w:val="26"/>
          <w:lang w:eastAsia="lv-LV"/>
        </w:rPr>
        <w:t>D.Reizniece</w:t>
      </w:r>
      <w:proofErr w:type="spellEnd"/>
      <w:r w:rsidRPr="00D71261">
        <w:rPr>
          <w:rFonts w:ascii="Times New Roman" w:eastAsia="Times New Roman" w:hAnsi="Times New Roman"/>
          <w:sz w:val="26"/>
          <w:szCs w:val="26"/>
          <w:lang w:eastAsia="lv-LV"/>
        </w:rPr>
        <w:t xml:space="preserve"> - Ozola</w:t>
      </w:r>
    </w:p>
    <w:p w:rsidR="00C77757" w:rsidRPr="00D71261" w:rsidRDefault="00C77757" w:rsidP="00C777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D30D9C" w:rsidRPr="00D71261" w:rsidRDefault="00D30D9C" w:rsidP="00D30D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D30D9C" w:rsidRPr="00D71261" w:rsidRDefault="00D30D9C" w:rsidP="00D30D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A01F52" w:rsidRPr="00A01F52" w:rsidRDefault="00D55849" w:rsidP="0040097F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Vīza: </w:t>
      </w:r>
      <w:r w:rsidR="00A01F52" w:rsidRPr="00A01F52">
        <w:rPr>
          <w:rFonts w:ascii="Times New Roman" w:eastAsia="Times New Roman" w:hAnsi="Times New Roman"/>
          <w:sz w:val="26"/>
          <w:szCs w:val="26"/>
          <w:lang w:eastAsia="lv-LV"/>
        </w:rPr>
        <w:t>Valsts sekretāra pienākumu izpildītāj</w:t>
      </w:r>
      <w:r w:rsidR="0040097F">
        <w:rPr>
          <w:rFonts w:ascii="Times New Roman" w:eastAsia="Times New Roman" w:hAnsi="Times New Roman"/>
          <w:sz w:val="26"/>
          <w:szCs w:val="26"/>
          <w:lang w:eastAsia="lv-LV"/>
        </w:rPr>
        <w:t>a</w:t>
      </w:r>
      <w:r w:rsidR="00A01F52" w:rsidRPr="00A01F52">
        <w:rPr>
          <w:rFonts w:ascii="Times New Roman" w:eastAsia="Times New Roman" w:hAnsi="Times New Roman"/>
          <w:sz w:val="26"/>
          <w:szCs w:val="26"/>
          <w:lang w:eastAsia="lv-LV"/>
        </w:rPr>
        <w:t>,</w:t>
      </w:r>
    </w:p>
    <w:p w:rsidR="00A01F52" w:rsidRPr="00A01F52" w:rsidRDefault="0040097F" w:rsidP="00A01F52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>valsts sekretāra vietniece</w:t>
      </w:r>
      <w:r w:rsidR="00A01F52">
        <w:rPr>
          <w:rFonts w:ascii="Times New Roman" w:eastAsia="Times New Roman" w:hAnsi="Times New Roman"/>
          <w:sz w:val="26"/>
          <w:szCs w:val="26"/>
          <w:lang w:eastAsia="lv-LV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      </w:t>
      </w:r>
      <w:r w:rsidR="00A01F52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Z</w:t>
      </w:r>
      <w:r w:rsidR="00A01F52" w:rsidRPr="00A01F52">
        <w:rPr>
          <w:rFonts w:ascii="Times New Roman" w:eastAsia="Times New Roman" w:hAnsi="Times New Roman"/>
          <w:sz w:val="26"/>
          <w:szCs w:val="26"/>
          <w:lang w:eastAsia="lv-LV"/>
        </w:rPr>
        <w:t>.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Liepiņa</w:t>
      </w:r>
    </w:p>
    <w:p w:rsidR="00D30D9C" w:rsidRPr="00D71261" w:rsidRDefault="00D30D9C" w:rsidP="00D30D9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BE1DFB" w:rsidRPr="00CF3594" w:rsidRDefault="00BE1DFB" w:rsidP="000C1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261" w:rsidRDefault="00D71261" w:rsidP="000C1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757" w:rsidRPr="00C77757" w:rsidRDefault="003A2DAA" w:rsidP="00C777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A01F52">
        <w:rPr>
          <w:rFonts w:ascii="Times New Roman" w:hAnsi="Times New Roman"/>
          <w:sz w:val="18"/>
          <w:szCs w:val="18"/>
        </w:rPr>
        <w:t>6</w:t>
      </w:r>
      <w:r w:rsidR="00C77757" w:rsidRPr="00C77757">
        <w:rPr>
          <w:rFonts w:ascii="Times New Roman" w:hAnsi="Times New Roman"/>
          <w:sz w:val="18"/>
          <w:szCs w:val="18"/>
        </w:rPr>
        <w:t>.0</w:t>
      </w:r>
      <w:r>
        <w:rPr>
          <w:rFonts w:ascii="Times New Roman" w:hAnsi="Times New Roman"/>
          <w:sz w:val="18"/>
          <w:szCs w:val="18"/>
        </w:rPr>
        <w:t>2</w:t>
      </w:r>
      <w:r w:rsidR="00C77757" w:rsidRPr="00C77757">
        <w:rPr>
          <w:rFonts w:ascii="Times New Roman" w:hAnsi="Times New Roman"/>
          <w:sz w:val="18"/>
          <w:szCs w:val="18"/>
        </w:rPr>
        <w:t>.2015. 1</w:t>
      </w:r>
      <w:r w:rsidR="0040097F">
        <w:rPr>
          <w:rFonts w:ascii="Times New Roman" w:hAnsi="Times New Roman"/>
          <w:sz w:val="18"/>
          <w:szCs w:val="18"/>
        </w:rPr>
        <w:t>3</w:t>
      </w:r>
      <w:r w:rsidR="00A220E1">
        <w:rPr>
          <w:rFonts w:ascii="Times New Roman" w:hAnsi="Times New Roman"/>
          <w:sz w:val="18"/>
          <w:szCs w:val="18"/>
        </w:rPr>
        <w:t>:</w:t>
      </w:r>
      <w:r w:rsidR="00D55849">
        <w:rPr>
          <w:rFonts w:ascii="Times New Roman" w:hAnsi="Times New Roman"/>
          <w:sz w:val="18"/>
          <w:szCs w:val="18"/>
        </w:rPr>
        <w:t>37</w:t>
      </w:r>
    </w:p>
    <w:p w:rsidR="00C77757" w:rsidRPr="00C77757" w:rsidRDefault="00FB6DD0" w:rsidP="00C777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NUMWORDS  \* Arabic  \* MERGEFORMAT </w:instrText>
      </w:r>
      <w:r>
        <w:rPr>
          <w:rFonts w:ascii="Times New Roman" w:hAnsi="Times New Roman"/>
          <w:sz w:val="18"/>
          <w:szCs w:val="18"/>
        </w:rPr>
        <w:fldChar w:fldCharType="separate"/>
      </w:r>
      <w:r w:rsidR="00D55849">
        <w:rPr>
          <w:rFonts w:ascii="Times New Roman" w:hAnsi="Times New Roman"/>
          <w:noProof/>
          <w:sz w:val="18"/>
          <w:szCs w:val="18"/>
        </w:rPr>
        <w:t>867</w:t>
      </w:r>
      <w:r>
        <w:rPr>
          <w:rFonts w:ascii="Times New Roman" w:hAnsi="Times New Roman"/>
          <w:sz w:val="18"/>
          <w:szCs w:val="18"/>
        </w:rPr>
        <w:fldChar w:fldCharType="end"/>
      </w:r>
      <w:bookmarkStart w:id="0" w:name="_GoBack"/>
      <w:bookmarkEnd w:id="0"/>
    </w:p>
    <w:p w:rsidR="00C77757" w:rsidRPr="00C77757" w:rsidRDefault="00C77757" w:rsidP="00C777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7757">
        <w:rPr>
          <w:rFonts w:ascii="Times New Roman" w:hAnsi="Times New Roman"/>
          <w:sz w:val="18"/>
          <w:szCs w:val="18"/>
        </w:rPr>
        <w:t>Normunds Freibergs</w:t>
      </w:r>
    </w:p>
    <w:p w:rsidR="004072A3" w:rsidRPr="00CE3CD0" w:rsidRDefault="00C77757" w:rsidP="00C777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7757">
        <w:rPr>
          <w:rFonts w:ascii="Times New Roman" w:hAnsi="Times New Roman"/>
          <w:sz w:val="18"/>
          <w:szCs w:val="18"/>
        </w:rPr>
        <w:t>67013268, Normunds.Freibergs@em.gov.lv</w:t>
      </w:r>
    </w:p>
    <w:sectPr w:rsidR="004072A3" w:rsidRPr="00CE3CD0" w:rsidSect="009869B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27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C8" w:rsidRDefault="002B4DC8" w:rsidP="00CC4CA4">
      <w:pPr>
        <w:spacing w:after="0" w:line="240" w:lineRule="auto"/>
      </w:pPr>
      <w:r>
        <w:separator/>
      </w:r>
    </w:p>
  </w:endnote>
  <w:endnote w:type="continuationSeparator" w:id="0">
    <w:p w:rsidR="002B4DC8" w:rsidRDefault="002B4DC8" w:rsidP="00CC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62" w:rsidRPr="00DB78F8" w:rsidRDefault="00F42E62" w:rsidP="001F4C48">
    <w:pPr>
      <w:pStyle w:val="naislab"/>
      <w:spacing w:before="0" w:after="0"/>
      <w:jc w:val="both"/>
      <w:rPr>
        <w:bCs/>
        <w:sz w:val="20"/>
        <w:szCs w:val="20"/>
      </w:rPr>
    </w:pPr>
    <w:r w:rsidRPr="007B4A87">
      <w:rPr>
        <w:sz w:val="20"/>
        <w:szCs w:val="20"/>
      </w:rPr>
      <w:t>EMAnot_</w:t>
    </w:r>
    <w:r w:rsidR="003A2DAA">
      <w:rPr>
        <w:sz w:val="20"/>
        <w:szCs w:val="20"/>
      </w:rPr>
      <w:t>2</w:t>
    </w:r>
    <w:r w:rsidR="00A01F52">
      <w:rPr>
        <w:sz w:val="20"/>
        <w:szCs w:val="20"/>
      </w:rPr>
      <w:t>6</w:t>
    </w:r>
    <w:r>
      <w:rPr>
        <w:sz w:val="20"/>
        <w:szCs w:val="20"/>
      </w:rPr>
      <w:t>0</w:t>
    </w:r>
    <w:r w:rsidR="003A2DAA">
      <w:rPr>
        <w:sz w:val="20"/>
        <w:szCs w:val="20"/>
      </w:rPr>
      <w:t>2</w:t>
    </w:r>
    <w:r w:rsidRPr="007B4A87">
      <w:rPr>
        <w:sz w:val="20"/>
        <w:szCs w:val="20"/>
      </w:rPr>
      <w:t>1</w:t>
    </w:r>
    <w:r w:rsidR="00C77757">
      <w:rPr>
        <w:sz w:val="20"/>
        <w:szCs w:val="20"/>
      </w:rPr>
      <w:t>5</w:t>
    </w:r>
    <w:r w:rsidRPr="007B4A87">
      <w:rPr>
        <w:sz w:val="20"/>
        <w:szCs w:val="20"/>
      </w:rPr>
      <w:t>_</w:t>
    </w:r>
    <w:r w:rsidR="00C77757">
      <w:rPr>
        <w:sz w:val="20"/>
        <w:szCs w:val="20"/>
      </w:rPr>
      <w:t xml:space="preserve">Spied; </w:t>
    </w:r>
    <w:r w:rsidR="00C77757" w:rsidRPr="00C77757">
      <w:rPr>
        <w:sz w:val="20"/>
        <w:szCs w:val="20"/>
      </w:rPr>
      <w:t>Ministru kabineta noteikumu projekts „Grozījumi Ministru kabineta 2000.gada 2.maija noteikumos Nr.165 „Noteikumi par spiedieniekārtām un to kompleksiem””</w:t>
    </w:r>
    <w:r w:rsidR="008E2CB7">
      <w:rPr>
        <w:sz w:val="20"/>
        <w:szCs w:val="20"/>
        <w:lang w:eastAsia="en-US"/>
      </w:rPr>
      <w:t xml:space="preserve"> sākotnējās ietekmes novērtējuma ziņojums (anotācija)</w:t>
    </w:r>
  </w:p>
  <w:p w:rsidR="0026107D" w:rsidRPr="00F42E62" w:rsidRDefault="0026107D" w:rsidP="00F42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7D" w:rsidRPr="00C77757" w:rsidRDefault="00C77757" w:rsidP="001F4C48">
    <w:pPr>
      <w:pStyle w:val="naislab"/>
      <w:spacing w:before="0" w:after="0"/>
      <w:jc w:val="both"/>
      <w:rPr>
        <w:bCs/>
        <w:sz w:val="20"/>
        <w:szCs w:val="20"/>
      </w:rPr>
    </w:pPr>
    <w:r w:rsidRPr="007B4A87">
      <w:rPr>
        <w:sz w:val="20"/>
        <w:szCs w:val="20"/>
      </w:rPr>
      <w:t>EMAnot_</w:t>
    </w:r>
    <w:r w:rsidR="003A2DAA">
      <w:rPr>
        <w:sz w:val="20"/>
        <w:szCs w:val="20"/>
      </w:rPr>
      <w:t>2</w:t>
    </w:r>
    <w:r w:rsidR="00A01F52">
      <w:rPr>
        <w:sz w:val="20"/>
        <w:szCs w:val="20"/>
      </w:rPr>
      <w:t>6</w:t>
    </w:r>
    <w:r>
      <w:rPr>
        <w:sz w:val="20"/>
        <w:szCs w:val="20"/>
      </w:rPr>
      <w:t>0</w:t>
    </w:r>
    <w:r w:rsidR="003A2DAA">
      <w:rPr>
        <w:sz w:val="20"/>
        <w:szCs w:val="20"/>
      </w:rPr>
      <w:t>2</w:t>
    </w:r>
    <w:r w:rsidRPr="007B4A87">
      <w:rPr>
        <w:sz w:val="20"/>
        <w:szCs w:val="20"/>
      </w:rPr>
      <w:t>1</w:t>
    </w:r>
    <w:r>
      <w:rPr>
        <w:sz w:val="20"/>
        <w:szCs w:val="20"/>
      </w:rPr>
      <w:t>5</w:t>
    </w:r>
    <w:r w:rsidRPr="007B4A87">
      <w:rPr>
        <w:sz w:val="20"/>
        <w:szCs w:val="20"/>
      </w:rPr>
      <w:t>_</w:t>
    </w:r>
    <w:r>
      <w:rPr>
        <w:sz w:val="20"/>
        <w:szCs w:val="20"/>
      </w:rPr>
      <w:t xml:space="preserve">Spied; </w:t>
    </w:r>
    <w:r w:rsidRPr="00C77757">
      <w:rPr>
        <w:sz w:val="20"/>
        <w:szCs w:val="20"/>
      </w:rPr>
      <w:t>Ministru kabineta noteikumu projekts „Grozījumi Ministru kabineta 2000.gada 2.maija noteikumos Nr.165 „Noteikumi par spiedieniekārtām un to kompleksiem””</w:t>
    </w:r>
    <w:r>
      <w:rPr>
        <w:sz w:val="20"/>
        <w:szCs w:val="20"/>
        <w:lang w:eastAsia="en-US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C8" w:rsidRDefault="002B4DC8" w:rsidP="00CC4CA4">
      <w:pPr>
        <w:spacing w:after="0" w:line="240" w:lineRule="auto"/>
      </w:pPr>
      <w:r>
        <w:separator/>
      </w:r>
    </w:p>
  </w:footnote>
  <w:footnote w:type="continuationSeparator" w:id="0">
    <w:p w:rsidR="002B4DC8" w:rsidRDefault="002B4DC8" w:rsidP="00CC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5C" w:rsidRDefault="00F3215C" w:rsidP="008E14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15C" w:rsidRDefault="00F32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5C" w:rsidRPr="00F3215C" w:rsidRDefault="00F3215C" w:rsidP="008E1495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F3215C">
      <w:rPr>
        <w:rStyle w:val="PageNumber"/>
        <w:rFonts w:ascii="Times New Roman" w:hAnsi="Times New Roman"/>
        <w:sz w:val="24"/>
        <w:szCs w:val="24"/>
      </w:rPr>
      <w:fldChar w:fldCharType="begin"/>
    </w:r>
    <w:r w:rsidRPr="00F3215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F3215C">
      <w:rPr>
        <w:rStyle w:val="PageNumber"/>
        <w:rFonts w:ascii="Times New Roman" w:hAnsi="Times New Roman"/>
        <w:sz w:val="24"/>
        <w:szCs w:val="24"/>
      </w:rPr>
      <w:fldChar w:fldCharType="separate"/>
    </w:r>
    <w:r w:rsidR="00D55849">
      <w:rPr>
        <w:rStyle w:val="PageNumber"/>
        <w:rFonts w:ascii="Times New Roman" w:hAnsi="Times New Roman"/>
        <w:noProof/>
        <w:sz w:val="24"/>
        <w:szCs w:val="24"/>
      </w:rPr>
      <w:t>5</w:t>
    </w:r>
    <w:r w:rsidRPr="00F3215C">
      <w:rPr>
        <w:rStyle w:val="PageNumber"/>
        <w:rFonts w:ascii="Times New Roman" w:hAnsi="Times New Roman"/>
        <w:sz w:val="24"/>
        <w:szCs w:val="24"/>
      </w:rPr>
      <w:fldChar w:fldCharType="end"/>
    </w:r>
  </w:p>
  <w:p w:rsidR="00F3215C" w:rsidRDefault="00F32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5C" w:rsidRDefault="00F3215C" w:rsidP="003873C4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E1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94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C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C0F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560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70A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F29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06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64E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D8E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C7A58"/>
    <w:multiLevelType w:val="hybridMultilevel"/>
    <w:tmpl w:val="ACD27A3E"/>
    <w:lvl w:ilvl="0" w:tplc="01EE5F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4D4DD6"/>
    <w:multiLevelType w:val="hybridMultilevel"/>
    <w:tmpl w:val="8A9C10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60762"/>
    <w:multiLevelType w:val="hybridMultilevel"/>
    <w:tmpl w:val="DF962D7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96038F"/>
    <w:multiLevelType w:val="hybridMultilevel"/>
    <w:tmpl w:val="13B217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23297E"/>
    <w:multiLevelType w:val="hybridMultilevel"/>
    <w:tmpl w:val="62AA9114"/>
    <w:lvl w:ilvl="0" w:tplc="D842FDF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3" w:hanging="360"/>
      </w:pPr>
    </w:lvl>
    <w:lvl w:ilvl="2" w:tplc="0426001B" w:tentative="1">
      <w:start w:val="1"/>
      <w:numFmt w:val="lowerRoman"/>
      <w:lvlText w:val="%3."/>
      <w:lvlJc w:val="right"/>
      <w:pPr>
        <w:ind w:left="1873" w:hanging="180"/>
      </w:pPr>
    </w:lvl>
    <w:lvl w:ilvl="3" w:tplc="0426000F" w:tentative="1">
      <w:start w:val="1"/>
      <w:numFmt w:val="decimal"/>
      <w:lvlText w:val="%4."/>
      <w:lvlJc w:val="left"/>
      <w:pPr>
        <w:ind w:left="2593" w:hanging="360"/>
      </w:pPr>
    </w:lvl>
    <w:lvl w:ilvl="4" w:tplc="04260019" w:tentative="1">
      <w:start w:val="1"/>
      <w:numFmt w:val="lowerLetter"/>
      <w:lvlText w:val="%5."/>
      <w:lvlJc w:val="left"/>
      <w:pPr>
        <w:ind w:left="3313" w:hanging="360"/>
      </w:pPr>
    </w:lvl>
    <w:lvl w:ilvl="5" w:tplc="0426001B" w:tentative="1">
      <w:start w:val="1"/>
      <w:numFmt w:val="lowerRoman"/>
      <w:lvlText w:val="%6."/>
      <w:lvlJc w:val="right"/>
      <w:pPr>
        <w:ind w:left="4033" w:hanging="180"/>
      </w:pPr>
    </w:lvl>
    <w:lvl w:ilvl="6" w:tplc="0426000F" w:tentative="1">
      <w:start w:val="1"/>
      <w:numFmt w:val="decimal"/>
      <w:lvlText w:val="%7."/>
      <w:lvlJc w:val="left"/>
      <w:pPr>
        <w:ind w:left="4753" w:hanging="360"/>
      </w:pPr>
    </w:lvl>
    <w:lvl w:ilvl="7" w:tplc="04260019" w:tentative="1">
      <w:start w:val="1"/>
      <w:numFmt w:val="lowerLetter"/>
      <w:lvlText w:val="%8."/>
      <w:lvlJc w:val="left"/>
      <w:pPr>
        <w:ind w:left="5473" w:hanging="360"/>
      </w:pPr>
    </w:lvl>
    <w:lvl w:ilvl="8" w:tplc="0426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5">
    <w:nsid w:val="11772CC9"/>
    <w:multiLevelType w:val="hybridMultilevel"/>
    <w:tmpl w:val="A5EA6ECA"/>
    <w:lvl w:ilvl="0" w:tplc="A3266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A26B2">
      <w:start w:val="59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708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85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2E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24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8E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E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0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2D04917"/>
    <w:multiLevelType w:val="hybridMultilevel"/>
    <w:tmpl w:val="094645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D52ED"/>
    <w:multiLevelType w:val="hybridMultilevel"/>
    <w:tmpl w:val="2F449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5251E"/>
    <w:multiLevelType w:val="hybridMultilevel"/>
    <w:tmpl w:val="558E99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7435C"/>
    <w:multiLevelType w:val="hybridMultilevel"/>
    <w:tmpl w:val="04F68FE0"/>
    <w:lvl w:ilvl="0" w:tplc="107A6BBE">
      <w:start w:val="1"/>
      <w:numFmt w:val="decimal"/>
      <w:lvlText w:val="%1."/>
      <w:lvlJc w:val="left"/>
      <w:pPr>
        <w:ind w:left="360" w:hanging="360"/>
      </w:pPr>
      <w:rPr>
        <w:rFonts w:ascii="Times New Roman" w:eastAsia="+mn-ea" w:hAnsi="Times New Roman" w:cs="Times New Roman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A511EE"/>
    <w:multiLevelType w:val="hybridMultilevel"/>
    <w:tmpl w:val="35F2F79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95815"/>
    <w:multiLevelType w:val="hybridMultilevel"/>
    <w:tmpl w:val="9ED6E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72769"/>
    <w:multiLevelType w:val="hybridMultilevel"/>
    <w:tmpl w:val="AD10BB7E"/>
    <w:lvl w:ilvl="0" w:tplc="DED671E4">
      <w:start w:val="1"/>
      <w:numFmt w:val="decimal"/>
      <w:lvlText w:val="(%1)"/>
      <w:lvlJc w:val="left"/>
      <w:pPr>
        <w:ind w:left="976" w:hanging="6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3">
    <w:nsid w:val="513409FD"/>
    <w:multiLevelType w:val="hybridMultilevel"/>
    <w:tmpl w:val="CC7EA61E"/>
    <w:lvl w:ilvl="0" w:tplc="70C0140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172557D"/>
    <w:multiLevelType w:val="hybridMultilevel"/>
    <w:tmpl w:val="A47CB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73475"/>
    <w:multiLevelType w:val="hybridMultilevel"/>
    <w:tmpl w:val="6C520F5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C111F"/>
    <w:multiLevelType w:val="hybridMultilevel"/>
    <w:tmpl w:val="1FEC281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4745FF"/>
    <w:multiLevelType w:val="hybridMultilevel"/>
    <w:tmpl w:val="22EC1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375D"/>
    <w:multiLevelType w:val="hybridMultilevel"/>
    <w:tmpl w:val="382C5138"/>
    <w:lvl w:ilvl="0" w:tplc="5D9C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2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0F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AE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83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B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5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E0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4E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7E223DB"/>
    <w:multiLevelType w:val="hybridMultilevel"/>
    <w:tmpl w:val="98C8A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07B16"/>
    <w:multiLevelType w:val="hybridMultilevel"/>
    <w:tmpl w:val="AA8EA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C4781"/>
    <w:multiLevelType w:val="hybridMultilevel"/>
    <w:tmpl w:val="5CBAC65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37741"/>
    <w:multiLevelType w:val="hybridMultilevel"/>
    <w:tmpl w:val="ADA2BCEE"/>
    <w:lvl w:ilvl="0" w:tplc="70C01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B0EFA"/>
    <w:multiLevelType w:val="hybridMultilevel"/>
    <w:tmpl w:val="54D876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2"/>
  </w:num>
  <w:num w:numId="13">
    <w:abstractNumId w:val="25"/>
  </w:num>
  <w:num w:numId="14">
    <w:abstractNumId w:val="26"/>
  </w:num>
  <w:num w:numId="15">
    <w:abstractNumId w:val="29"/>
  </w:num>
  <w:num w:numId="16">
    <w:abstractNumId w:val="23"/>
  </w:num>
  <w:num w:numId="17">
    <w:abstractNumId w:val="32"/>
  </w:num>
  <w:num w:numId="18">
    <w:abstractNumId w:val="19"/>
  </w:num>
  <w:num w:numId="19">
    <w:abstractNumId w:val="11"/>
  </w:num>
  <w:num w:numId="20">
    <w:abstractNumId w:val="27"/>
  </w:num>
  <w:num w:numId="21">
    <w:abstractNumId w:val="24"/>
  </w:num>
  <w:num w:numId="22">
    <w:abstractNumId w:val="14"/>
  </w:num>
  <w:num w:numId="23">
    <w:abstractNumId w:val="30"/>
  </w:num>
  <w:num w:numId="24">
    <w:abstractNumId w:val="17"/>
  </w:num>
  <w:num w:numId="25">
    <w:abstractNumId w:val="22"/>
  </w:num>
  <w:num w:numId="26">
    <w:abstractNumId w:val="20"/>
  </w:num>
  <w:num w:numId="27">
    <w:abstractNumId w:val="33"/>
  </w:num>
  <w:num w:numId="28">
    <w:abstractNumId w:val="28"/>
  </w:num>
  <w:num w:numId="29">
    <w:abstractNumId w:val="15"/>
  </w:num>
  <w:num w:numId="30">
    <w:abstractNumId w:val="10"/>
  </w:num>
  <w:num w:numId="31">
    <w:abstractNumId w:val="16"/>
  </w:num>
  <w:num w:numId="32">
    <w:abstractNumId w:val="10"/>
  </w:num>
  <w:num w:numId="33">
    <w:abstractNumId w:val="21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9E"/>
    <w:rsid w:val="00004B75"/>
    <w:rsid w:val="000050CC"/>
    <w:rsid w:val="00016301"/>
    <w:rsid w:val="00016758"/>
    <w:rsid w:val="000167F0"/>
    <w:rsid w:val="00017A16"/>
    <w:rsid w:val="000256C2"/>
    <w:rsid w:val="00027993"/>
    <w:rsid w:val="00030306"/>
    <w:rsid w:val="000308CF"/>
    <w:rsid w:val="000419E5"/>
    <w:rsid w:val="00047BF6"/>
    <w:rsid w:val="0005468B"/>
    <w:rsid w:val="00060BB6"/>
    <w:rsid w:val="00062783"/>
    <w:rsid w:val="0006508B"/>
    <w:rsid w:val="00067B16"/>
    <w:rsid w:val="000717A4"/>
    <w:rsid w:val="00071DA5"/>
    <w:rsid w:val="00071E4E"/>
    <w:rsid w:val="000724CC"/>
    <w:rsid w:val="000727AB"/>
    <w:rsid w:val="00074D20"/>
    <w:rsid w:val="00074DD7"/>
    <w:rsid w:val="000762E0"/>
    <w:rsid w:val="0008251C"/>
    <w:rsid w:val="00083036"/>
    <w:rsid w:val="00083D6A"/>
    <w:rsid w:val="0008674A"/>
    <w:rsid w:val="00087B86"/>
    <w:rsid w:val="000915E3"/>
    <w:rsid w:val="000952F7"/>
    <w:rsid w:val="00095CF1"/>
    <w:rsid w:val="00097A20"/>
    <w:rsid w:val="000A13D1"/>
    <w:rsid w:val="000A4752"/>
    <w:rsid w:val="000A4EBB"/>
    <w:rsid w:val="000B0BE6"/>
    <w:rsid w:val="000B1CA4"/>
    <w:rsid w:val="000B30A8"/>
    <w:rsid w:val="000B369F"/>
    <w:rsid w:val="000B3D95"/>
    <w:rsid w:val="000B6636"/>
    <w:rsid w:val="000B6B2F"/>
    <w:rsid w:val="000C1E94"/>
    <w:rsid w:val="000C276C"/>
    <w:rsid w:val="000D3C81"/>
    <w:rsid w:val="000D3F78"/>
    <w:rsid w:val="000D6DD1"/>
    <w:rsid w:val="000D77F3"/>
    <w:rsid w:val="000E04CE"/>
    <w:rsid w:val="000E0AE0"/>
    <w:rsid w:val="000E3BD7"/>
    <w:rsid w:val="000E65C8"/>
    <w:rsid w:val="000E724D"/>
    <w:rsid w:val="000F0381"/>
    <w:rsid w:val="000F0D8D"/>
    <w:rsid w:val="000F125E"/>
    <w:rsid w:val="000F6821"/>
    <w:rsid w:val="00104447"/>
    <w:rsid w:val="00105BF6"/>
    <w:rsid w:val="00107884"/>
    <w:rsid w:val="00113B5F"/>
    <w:rsid w:val="00115F58"/>
    <w:rsid w:val="0012123F"/>
    <w:rsid w:val="0012363E"/>
    <w:rsid w:val="00130B58"/>
    <w:rsid w:val="00130C4E"/>
    <w:rsid w:val="0013395E"/>
    <w:rsid w:val="00151E40"/>
    <w:rsid w:val="00153E97"/>
    <w:rsid w:val="00160480"/>
    <w:rsid w:val="00161A7D"/>
    <w:rsid w:val="001658F7"/>
    <w:rsid w:val="001661AF"/>
    <w:rsid w:val="00167CA2"/>
    <w:rsid w:val="001730A5"/>
    <w:rsid w:val="00174FB4"/>
    <w:rsid w:val="001809E3"/>
    <w:rsid w:val="00183516"/>
    <w:rsid w:val="00184D4B"/>
    <w:rsid w:val="00193560"/>
    <w:rsid w:val="001956C7"/>
    <w:rsid w:val="001A17EF"/>
    <w:rsid w:val="001A2512"/>
    <w:rsid w:val="001A3C9E"/>
    <w:rsid w:val="001A3E51"/>
    <w:rsid w:val="001A4E4C"/>
    <w:rsid w:val="001A581B"/>
    <w:rsid w:val="001B0A75"/>
    <w:rsid w:val="001B3CBF"/>
    <w:rsid w:val="001B5DBD"/>
    <w:rsid w:val="001C38C7"/>
    <w:rsid w:val="001C6435"/>
    <w:rsid w:val="001D4041"/>
    <w:rsid w:val="001D60E0"/>
    <w:rsid w:val="001D70E6"/>
    <w:rsid w:val="001D7DA4"/>
    <w:rsid w:val="001E0524"/>
    <w:rsid w:val="001E06B9"/>
    <w:rsid w:val="001E1029"/>
    <w:rsid w:val="001E1116"/>
    <w:rsid w:val="001E2BBD"/>
    <w:rsid w:val="001E4A92"/>
    <w:rsid w:val="001E7051"/>
    <w:rsid w:val="001E77C8"/>
    <w:rsid w:val="001F4946"/>
    <w:rsid w:val="001F4C48"/>
    <w:rsid w:val="001F6FA3"/>
    <w:rsid w:val="001F7BDD"/>
    <w:rsid w:val="00201224"/>
    <w:rsid w:val="0020192E"/>
    <w:rsid w:val="002060C6"/>
    <w:rsid w:val="00210972"/>
    <w:rsid w:val="00213B3A"/>
    <w:rsid w:val="00215B6C"/>
    <w:rsid w:val="0021784B"/>
    <w:rsid w:val="00220C91"/>
    <w:rsid w:val="002242B3"/>
    <w:rsid w:val="002242D3"/>
    <w:rsid w:val="0022581C"/>
    <w:rsid w:val="00225EFA"/>
    <w:rsid w:val="002268A4"/>
    <w:rsid w:val="00226BE7"/>
    <w:rsid w:val="002323AA"/>
    <w:rsid w:val="002326CA"/>
    <w:rsid w:val="00233367"/>
    <w:rsid w:val="002340E8"/>
    <w:rsid w:val="0023584F"/>
    <w:rsid w:val="00236B12"/>
    <w:rsid w:val="00241F61"/>
    <w:rsid w:val="002424E4"/>
    <w:rsid w:val="002430F9"/>
    <w:rsid w:val="00244BC4"/>
    <w:rsid w:val="00246E8E"/>
    <w:rsid w:val="00247535"/>
    <w:rsid w:val="00257029"/>
    <w:rsid w:val="0026107D"/>
    <w:rsid w:val="00261DD5"/>
    <w:rsid w:val="00267DC3"/>
    <w:rsid w:val="00270068"/>
    <w:rsid w:val="00272971"/>
    <w:rsid w:val="00272D71"/>
    <w:rsid w:val="00273F64"/>
    <w:rsid w:val="002768C0"/>
    <w:rsid w:val="00280416"/>
    <w:rsid w:val="002816EA"/>
    <w:rsid w:val="0028424C"/>
    <w:rsid w:val="00286163"/>
    <w:rsid w:val="00293095"/>
    <w:rsid w:val="00294BE5"/>
    <w:rsid w:val="002A367B"/>
    <w:rsid w:val="002B2D60"/>
    <w:rsid w:val="002B3F8C"/>
    <w:rsid w:val="002B4DC8"/>
    <w:rsid w:val="002B5039"/>
    <w:rsid w:val="002B6DC6"/>
    <w:rsid w:val="002B742F"/>
    <w:rsid w:val="002B7CE4"/>
    <w:rsid w:val="002C49F1"/>
    <w:rsid w:val="002C58E3"/>
    <w:rsid w:val="002C751C"/>
    <w:rsid w:val="002C7859"/>
    <w:rsid w:val="002D12BB"/>
    <w:rsid w:val="002D17AF"/>
    <w:rsid w:val="002D4F1B"/>
    <w:rsid w:val="002D562C"/>
    <w:rsid w:val="002D6EBD"/>
    <w:rsid w:val="002D7ECB"/>
    <w:rsid w:val="002E3C04"/>
    <w:rsid w:val="002E483F"/>
    <w:rsid w:val="002E4B18"/>
    <w:rsid w:val="002E61ED"/>
    <w:rsid w:val="002F4080"/>
    <w:rsid w:val="002F4C31"/>
    <w:rsid w:val="002F4E32"/>
    <w:rsid w:val="002F5D85"/>
    <w:rsid w:val="002F7069"/>
    <w:rsid w:val="002F754E"/>
    <w:rsid w:val="003003B2"/>
    <w:rsid w:val="003016A1"/>
    <w:rsid w:val="00301EA7"/>
    <w:rsid w:val="0030282F"/>
    <w:rsid w:val="0030293E"/>
    <w:rsid w:val="00303D15"/>
    <w:rsid w:val="00307109"/>
    <w:rsid w:val="00314002"/>
    <w:rsid w:val="00314D7A"/>
    <w:rsid w:val="00321017"/>
    <w:rsid w:val="00322209"/>
    <w:rsid w:val="00324BD3"/>
    <w:rsid w:val="00325EA1"/>
    <w:rsid w:val="00330130"/>
    <w:rsid w:val="00335769"/>
    <w:rsid w:val="0033795A"/>
    <w:rsid w:val="0034098C"/>
    <w:rsid w:val="003437B8"/>
    <w:rsid w:val="003504A5"/>
    <w:rsid w:val="00351D1A"/>
    <w:rsid w:val="00351F65"/>
    <w:rsid w:val="0035384C"/>
    <w:rsid w:val="003551E0"/>
    <w:rsid w:val="0035724E"/>
    <w:rsid w:val="00360552"/>
    <w:rsid w:val="0036184B"/>
    <w:rsid w:val="0036191C"/>
    <w:rsid w:val="003676A8"/>
    <w:rsid w:val="00372CC6"/>
    <w:rsid w:val="0037365E"/>
    <w:rsid w:val="0037490A"/>
    <w:rsid w:val="00376D9C"/>
    <w:rsid w:val="003776CE"/>
    <w:rsid w:val="00383981"/>
    <w:rsid w:val="00384670"/>
    <w:rsid w:val="00384D6B"/>
    <w:rsid w:val="00385FA8"/>
    <w:rsid w:val="003873C4"/>
    <w:rsid w:val="00387BE3"/>
    <w:rsid w:val="003909DB"/>
    <w:rsid w:val="0039597E"/>
    <w:rsid w:val="00395B6B"/>
    <w:rsid w:val="00396B1B"/>
    <w:rsid w:val="003A2DAA"/>
    <w:rsid w:val="003A6190"/>
    <w:rsid w:val="003B0577"/>
    <w:rsid w:val="003B0974"/>
    <w:rsid w:val="003B5276"/>
    <w:rsid w:val="003B6F34"/>
    <w:rsid w:val="003C2844"/>
    <w:rsid w:val="003C475F"/>
    <w:rsid w:val="003C521B"/>
    <w:rsid w:val="003C7568"/>
    <w:rsid w:val="003D1C33"/>
    <w:rsid w:val="003D3596"/>
    <w:rsid w:val="003D37EC"/>
    <w:rsid w:val="003D4A92"/>
    <w:rsid w:val="003D4FFB"/>
    <w:rsid w:val="003E459D"/>
    <w:rsid w:val="003F03C5"/>
    <w:rsid w:val="003F0B99"/>
    <w:rsid w:val="003F0BB9"/>
    <w:rsid w:val="003F15A9"/>
    <w:rsid w:val="003F1DF7"/>
    <w:rsid w:val="003F37A4"/>
    <w:rsid w:val="0040097F"/>
    <w:rsid w:val="00400AFF"/>
    <w:rsid w:val="0040172C"/>
    <w:rsid w:val="004029FF"/>
    <w:rsid w:val="00402F24"/>
    <w:rsid w:val="004072A3"/>
    <w:rsid w:val="00411329"/>
    <w:rsid w:val="00413B2B"/>
    <w:rsid w:val="00413FEF"/>
    <w:rsid w:val="0041540B"/>
    <w:rsid w:val="004157A4"/>
    <w:rsid w:val="00425BC3"/>
    <w:rsid w:val="0042649F"/>
    <w:rsid w:val="00427570"/>
    <w:rsid w:val="00427A7A"/>
    <w:rsid w:val="00431BB2"/>
    <w:rsid w:val="00431CFC"/>
    <w:rsid w:val="00433BEB"/>
    <w:rsid w:val="00436B14"/>
    <w:rsid w:val="00436CCA"/>
    <w:rsid w:val="00440A23"/>
    <w:rsid w:val="004525D1"/>
    <w:rsid w:val="00452F0F"/>
    <w:rsid w:val="004552BA"/>
    <w:rsid w:val="00457C2A"/>
    <w:rsid w:val="00460BFC"/>
    <w:rsid w:val="00464FE4"/>
    <w:rsid w:val="00467A81"/>
    <w:rsid w:val="00472DB0"/>
    <w:rsid w:val="004748CD"/>
    <w:rsid w:val="00474C56"/>
    <w:rsid w:val="00474C89"/>
    <w:rsid w:val="00474D7A"/>
    <w:rsid w:val="00476783"/>
    <w:rsid w:val="0047690F"/>
    <w:rsid w:val="004804EE"/>
    <w:rsid w:val="004852ED"/>
    <w:rsid w:val="00485C76"/>
    <w:rsid w:val="00485E99"/>
    <w:rsid w:val="00486FB9"/>
    <w:rsid w:val="004879E4"/>
    <w:rsid w:val="00491C84"/>
    <w:rsid w:val="00492530"/>
    <w:rsid w:val="00492F71"/>
    <w:rsid w:val="00493A5D"/>
    <w:rsid w:val="004957DB"/>
    <w:rsid w:val="004A455F"/>
    <w:rsid w:val="004A64C7"/>
    <w:rsid w:val="004A6C48"/>
    <w:rsid w:val="004A7E5C"/>
    <w:rsid w:val="004C1C1C"/>
    <w:rsid w:val="004C3A81"/>
    <w:rsid w:val="004C4428"/>
    <w:rsid w:val="004C4F66"/>
    <w:rsid w:val="004C5F59"/>
    <w:rsid w:val="004D1D03"/>
    <w:rsid w:val="004D4592"/>
    <w:rsid w:val="004D5ABB"/>
    <w:rsid w:val="004D7D96"/>
    <w:rsid w:val="004E2822"/>
    <w:rsid w:val="004E2DCD"/>
    <w:rsid w:val="004F4655"/>
    <w:rsid w:val="004F5472"/>
    <w:rsid w:val="004F6ADE"/>
    <w:rsid w:val="00500141"/>
    <w:rsid w:val="00500854"/>
    <w:rsid w:val="00504116"/>
    <w:rsid w:val="00505577"/>
    <w:rsid w:val="005067F7"/>
    <w:rsid w:val="00510A5E"/>
    <w:rsid w:val="005112C6"/>
    <w:rsid w:val="00512EBB"/>
    <w:rsid w:val="005135D0"/>
    <w:rsid w:val="0051755D"/>
    <w:rsid w:val="00530A5D"/>
    <w:rsid w:val="00533621"/>
    <w:rsid w:val="00543F2E"/>
    <w:rsid w:val="005551D6"/>
    <w:rsid w:val="0055703F"/>
    <w:rsid w:val="005609DA"/>
    <w:rsid w:val="00563206"/>
    <w:rsid w:val="00563235"/>
    <w:rsid w:val="00564F6D"/>
    <w:rsid w:val="005658E9"/>
    <w:rsid w:val="00571B04"/>
    <w:rsid w:val="005739F0"/>
    <w:rsid w:val="005829AE"/>
    <w:rsid w:val="00584BAF"/>
    <w:rsid w:val="00585A3A"/>
    <w:rsid w:val="005911D3"/>
    <w:rsid w:val="0059138F"/>
    <w:rsid w:val="00592BA1"/>
    <w:rsid w:val="00594795"/>
    <w:rsid w:val="00597227"/>
    <w:rsid w:val="00597273"/>
    <w:rsid w:val="005A11B8"/>
    <w:rsid w:val="005A2C2F"/>
    <w:rsid w:val="005A36F0"/>
    <w:rsid w:val="005A4902"/>
    <w:rsid w:val="005A5CD5"/>
    <w:rsid w:val="005B0981"/>
    <w:rsid w:val="005B12F1"/>
    <w:rsid w:val="005B20DD"/>
    <w:rsid w:val="005B4376"/>
    <w:rsid w:val="005B501A"/>
    <w:rsid w:val="005B5335"/>
    <w:rsid w:val="005B5986"/>
    <w:rsid w:val="005B6060"/>
    <w:rsid w:val="005B6FA5"/>
    <w:rsid w:val="005C013E"/>
    <w:rsid w:val="005C3291"/>
    <w:rsid w:val="005C4861"/>
    <w:rsid w:val="005D104B"/>
    <w:rsid w:val="005D1951"/>
    <w:rsid w:val="005D1E8D"/>
    <w:rsid w:val="005D24B5"/>
    <w:rsid w:val="005D4DEC"/>
    <w:rsid w:val="005D65FF"/>
    <w:rsid w:val="005D6E15"/>
    <w:rsid w:val="005E54C9"/>
    <w:rsid w:val="005E659B"/>
    <w:rsid w:val="005E7E8D"/>
    <w:rsid w:val="005F1DC3"/>
    <w:rsid w:val="005F2089"/>
    <w:rsid w:val="005F3748"/>
    <w:rsid w:val="005F4771"/>
    <w:rsid w:val="005F6BF5"/>
    <w:rsid w:val="005F739F"/>
    <w:rsid w:val="00600FB7"/>
    <w:rsid w:val="0060345D"/>
    <w:rsid w:val="00604C45"/>
    <w:rsid w:val="006131FF"/>
    <w:rsid w:val="00615E39"/>
    <w:rsid w:val="00616808"/>
    <w:rsid w:val="00616F6C"/>
    <w:rsid w:val="00621411"/>
    <w:rsid w:val="0062170F"/>
    <w:rsid w:val="006234F7"/>
    <w:rsid w:val="00624E73"/>
    <w:rsid w:val="00625223"/>
    <w:rsid w:val="00625BB9"/>
    <w:rsid w:val="00633460"/>
    <w:rsid w:val="00633F77"/>
    <w:rsid w:val="006351F7"/>
    <w:rsid w:val="0063589A"/>
    <w:rsid w:val="00635A41"/>
    <w:rsid w:val="006373B2"/>
    <w:rsid w:val="006406CA"/>
    <w:rsid w:val="00641B6C"/>
    <w:rsid w:val="00642042"/>
    <w:rsid w:val="0064214A"/>
    <w:rsid w:val="0064268B"/>
    <w:rsid w:val="00643DC1"/>
    <w:rsid w:val="00645864"/>
    <w:rsid w:val="00651E58"/>
    <w:rsid w:val="00653CAE"/>
    <w:rsid w:val="006565CF"/>
    <w:rsid w:val="00656BC0"/>
    <w:rsid w:val="00660ED0"/>
    <w:rsid w:val="00664349"/>
    <w:rsid w:val="006645AE"/>
    <w:rsid w:val="00665A5C"/>
    <w:rsid w:val="00671B3C"/>
    <w:rsid w:val="00672EC7"/>
    <w:rsid w:val="006739D8"/>
    <w:rsid w:val="0067785D"/>
    <w:rsid w:val="00683214"/>
    <w:rsid w:val="006832BE"/>
    <w:rsid w:val="006842F1"/>
    <w:rsid w:val="00687655"/>
    <w:rsid w:val="00693C2F"/>
    <w:rsid w:val="00694012"/>
    <w:rsid w:val="0069556E"/>
    <w:rsid w:val="006965B3"/>
    <w:rsid w:val="006A008A"/>
    <w:rsid w:val="006A0430"/>
    <w:rsid w:val="006A0C6E"/>
    <w:rsid w:val="006A1D13"/>
    <w:rsid w:val="006A25A0"/>
    <w:rsid w:val="006B1751"/>
    <w:rsid w:val="006B394D"/>
    <w:rsid w:val="006B65D4"/>
    <w:rsid w:val="006B680D"/>
    <w:rsid w:val="006B75CD"/>
    <w:rsid w:val="006B76EE"/>
    <w:rsid w:val="006B7E5F"/>
    <w:rsid w:val="006C35F9"/>
    <w:rsid w:val="006C454C"/>
    <w:rsid w:val="006C524D"/>
    <w:rsid w:val="006D0A3D"/>
    <w:rsid w:val="006D30B2"/>
    <w:rsid w:val="006E08D5"/>
    <w:rsid w:val="006E5AEF"/>
    <w:rsid w:val="006E5D56"/>
    <w:rsid w:val="006F3FCE"/>
    <w:rsid w:val="00700BD2"/>
    <w:rsid w:val="007024D8"/>
    <w:rsid w:val="007043BF"/>
    <w:rsid w:val="00706C70"/>
    <w:rsid w:val="00707C83"/>
    <w:rsid w:val="00710C7F"/>
    <w:rsid w:val="007120F8"/>
    <w:rsid w:val="007125D5"/>
    <w:rsid w:val="0071371D"/>
    <w:rsid w:val="007174AF"/>
    <w:rsid w:val="007179E5"/>
    <w:rsid w:val="00720731"/>
    <w:rsid w:val="007207FE"/>
    <w:rsid w:val="00721CC7"/>
    <w:rsid w:val="0072762F"/>
    <w:rsid w:val="007304D0"/>
    <w:rsid w:val="00730BCB"/>
    <w:rsid w:val="00732326"/>
    <w:rsid w:val="00732D32"/>
    <w:rsid w:val="00743363"/>
    <w:rsid w:val="00744FDB"/>
    <w:rsid w:val="00747E20"/>
    <w:rsid w:val="00751083"/>
    <w:rsid w:val="00752597"/>
    <w:rsid w:val="00756CA7"/>
    <w:rsid w:val="0076055C"/>
    <w:rsid w:val="007657BE"/>
    <w:rsid w:val="00766D43"/>
    <w:rsid w:val="00767E7E"/>
    <w:rsid w:val="0077190D"/>
    <w:rsid w:val="00780D1C"/>
    <w:rsid w:val="00781CCB"/>
    <w:rsid w:val="00783314"/>
    <w:rsid w:val="00785CFF"/>
    <w:rsid w:val="00787513"/>
    <w:rsid w:val="00790314"/>
    <w:rsid w:val="00791185"/>
    <w:rsid w:val="007937F0"/>
    <w:rsid w:val="00796EB7"/>
    <w:rsid w:val="007A676E"/>
    <w:rsid w:val="007A754B"/>
    <w:rsid w:val="007B120A"/>
    <w:rsid w:val="007B2E1E"/>
    <w:rsid w:val="007B3435"/>
    <w:rsid w:val="007B484A"/>
    <w:rsid w:val="007B4B8A"/>
    <w:rsid w:val="007C168E"/>
    <w:rsid w:val="007C2519"/>
    <w:rsid w:val="007C579B"/>
    <w:rsid w:val="007D1BE0"/>
    <w:rsid w:val="007D2F86"/>
    <w:rsid w:val="007D4694"/>
    <w:rsid w:val="007D713D"/>
    <w:rsid w:val="007D7435"/>
    <w:rsid w:val="007D74DC"/>
    <w:rsid w:val="007E06F8"/>
    <w:rsid w:val="007E2248"/>
    <w:rsid w:val="007F6314"/>
    <w:rsid w:val="007F6339"/>
    <w:rsid w:val="007F7100"/>
    <w:rsid w:val="008008BF"/>
    <w:rsid w:val="00802217"/>
    <w:rsid w:val="00804354"/>
    <w:rsid w:val="0080443B"/>
    <w:rsid w:val="00807A02"/>
    <w:rsid w:val="00810AAF"/>
    <w:rsid w:val="0081181E"/>
    <w:rsid w:val="0081262A"/>
    <w:rsid w:val="00814015"/>
    <w:rsid w:val="00815DF2"/>
    <w:rsid w:val="00816BB3"/>
    <w:rsid w:val="008202FD"/>
    <w:rsid w:val="00823EF6"/>
    <w:rsid w:val="00824EBB"/>
    <w:rsid w:val="008251D3"/>
    <w:rsid w:val="00832AA5"/>
    <w:rsid w:val="00832BE5"/>
    <w:rsid w:val="00836CAA"/>
    <w:rsid w:val="00841EE5"/>
    <w:rsid w:val="008442DD"/>
    <w:rsid w:val="00853015"/>
    <w:rsid w:val="008549FD"/>
    <w:rsid w:val="008555EC"/>
    <w:rsid w:val="0085659A"/>
    <w:rsid w:val="00863803"/>
    <w:rsid w:val="00864FBE"/>
    <w:rsid w:val="00865EFD"/>
    <w:rsid w:val="00867484"/>
    <w:rsid w:val="0086765F"/>
    <w:rsid w:val="00871E0A"/>
    <w:rsid w:val="008731A7"/>
    <w:rsid w:val="00874911"/>
    <w:rsid w:val="008751F2"/>
    <w:rsid w:val="00875967"/>
    <w:rsid w:val="008779CF"/>
    <w:rsid w:val="0088159F"/>
    <w:rsid w:val="00884A5E"/>
    <w:rsid w:val="008964CF"/>
    <w:rsid w:val="00897C00"/>
    <w:rsid w:val="008A516D"/>
    <w:rsid w:val="008A716F"/>
    <w:rsid w:val="008A74D5"/>
    <w:rsid w:val="008B101D"/>
    <w:rsid w:val="008B3322"/>
    <w:rsid w:val="008B3418"/>
    <w:rsid w:val="008B3C0F"/>
    <w:rsid w:val="008B479B"/>
    <w:rsid w:val="008C0217"/>
    <w:rsid w:val="008C105D"/>
    <w:rsid w:val="008C2FDB"/>
    <w:rsid w:val="008C40EB"/>
    <w:rsid w:val="008C4187"/>
    <w:rsid w:val="008C4DC6"/>
    <w:rsid w:val="008D08BA"/>
    <w:rsid w:val="008D1A10"/>
    <w:rsid w:val="008D218B"/>
    <w:rsid w:val="008D2E13"/>
    <w:rsid w:val="008D349A"/>
    <w:rsid w:val="008D39CE"/>
    <w:rsid w:val="008D477A"/>
    <w:rsid w:val="008D6984"/>
    <w:rsid w:val="008D6DAF"/>
    <w:rsid w:val="008D741E"/>
    <w:rsid w:val="008E119E"/>
    <w:rsid w:val="008E1495"/>
    <w:rsid w:val="008E2102"/>
    <w:rsid w:val="008E2CB7"/>
    <w:rsid w:val="008E5D33"/>
    <w:rsid w:val="008F3E3B"/>
    <w:rsid w:val="008F6392"/>
    <w:rsid w:val="008F6A3E"/>
    <w:rsid w:val="008F7238"/>
    <w:rsid w:val="0090466E"/>
    <w:rsid w:val="00904A24"/>
    <w:rsid w:val="00911E5F"/>
    <w:rsid w:val="00912242"/>
    <w:rsid w:val="00912B6F"/>
    <w:rsid w:val="00913339"/>
    <w:rsid w:val="0092308B"/>
    <w:rsid w:val="00923815"/>
    <w:rsid w:val="009247CB"/>
    <w:rsid w:val="00926106"/>
    <w:rsid w:val="00926B2B"/>
    <w:rsid w:val="00927512"/>
    <w:rsid w:val="009358BF"/>
    <w:rsid w:val="00935989"/>
    <w:rsid w:val="00941766"/>
    <w:rsid w:val="00941BAD"/>
    <w:rsid w:val="009431D4"/>
    <w:rsid w:val="0094407B"/>
    <w:rsid w:val="00944DD1"/>
    <w:rsid w:val="00945348"/>
    <w:rsid w:val="009455B1"/>
    <w:rsid w:val="00950127"/>
    <w:rsid w:val="00950E29"/>
    <w:rsid w:val="00952C18"/>
    <w:rsid w:val="009556F5"/>
    <w:rsid w:val="00955A88"/>
    <w:rsid w:val="0095722D"/>
    <w:rsid w:val="00961492"/>
    <w:rsid w:val="00961503"/>
    <w:rsid w:val="00962A11"/>
    <w:rsid w:val="00963F7B"/>
    <w:rsid w:val="0096562C"/>
    <w:rsid w:val="00966BDB"/>
    <w:rsid w:val="0096701F"/>
    <w:rsid w:val="009717E7"/>
    <w:rsid w:val="00974466"/>
    <w:rsid w:val="00977F2E"/>
    <w:rsid w:val="009809B0"/>
    <w:rsid w:val="00983E49"/>
    <w:rsid w:val="00985544"/>
    <w:rsid w:val="009868BF"/>
    <w:rsid w:val="009869B4"/>
    <w:rsid w:val="00993E9E"/>
    <w:rsid w:val="009970E1"/>
    <w:rsid w:val="009A012C"/>
    <w:rsid w:val="009A1F52"/>
    <w:rsid w:val="009A3A62"/>
    <w:rsid w:val="009A7CD0"/>
    <w:rsid w:val="009B1D47"/>
    <w:rsid w:val="009B377C"/>
    <w:rsid w:val="009B43FE"/>
    <w:rsid w:val="009B4C31"/>
    <w:rsid w:val="009B6F1A"/>
    <w:rsid w:val="009B6F85"/>
    <w:rsid w:val="009C0625"/>
    <w:rsid w:val="009C2B70"/>
    <w:rsid w:val="009C5374"/>
    <w:rsid w:val="009C7D57"/>
    <w:rsid w:val="009D066A"/>
    <w:rsid w:val="009D235F"/>
    <w:rsid w:val="009D6F5F"/>
    <w:rsid w:val="009E0E56"/>
    <w:rsid w:val="009E7CC0"/>
    <w:rsid w:val="009F1B29"/>
    <w:rsid w:val="009F1E8B"/>
    <w:rsid w:val="009F5734"/>
    <w:rsid w:val="009F7E2B"/>
    <w:rsid w:val="00A0025E"/>
    <w:rsid w:val="00A002DD"/>
    <w:rsid w:val="00A00C5B"/>
    <w:rsid w:val="00A01F52"/>
    <w:rsid w:val="00A04858"/>
    <w:rsid w:val="00A060B8"/>
    <w:rsid w:val="00A06272"/>
    <w:rsid w:val="00A078A0"/>
    <w:rsid w:val="00A11BD8"/>
    <w:rsid w:val="00A12745"/>
    <w:rsid w:val="00A20F95"/>
    <w:rsid w:val="00A220E1"/>
    <w:rsid w:val="00A228A7"/>
    <w:rsid w:val="00A240DE"/>
    <w:rsid w:val="00A2550F"/>
    <w:rsid w:val="00A31A78"/>
    <w:rsid w:val="00A34A07"/>
    <w:rsid w:val="00A4247D"/>
    <w:rsid w:val="00A42D1A"/>
    <w:rsid w:val="00A45404"/>
    <w:rsid w:val="00A4635D"/>
    <w:rsid w:val="00A47916"/>
    <w:rsid w:val="00A504A4"/>
    <w:rsid w:val="00A50AF3"/>
    <w:rsid w:val="00A535CB"/>
    <w:rsid w:val="00A55048"/>
    <w:rsid w:val="00A617D6"/>
    <w:rsid w:val="00A628F6"/>
    <w:rsid w:val="00A638DF"/>
    <w:rsid w:val="00A64CC4"/>
    <w:rsid w:val="00A65C36"/>
    <w:rsid w:val="00A65C75"/>
    <w:rsid w:val="00A668AA"/>
    <w:rsid w:val="00A70378"/>
    <w:rsid w:val="00A73CEE"/>
    <w:rsid w:val="00A81B7F"/>
    <w:rsid w:val="00A839C8"/>
    <w:rsid w:val="00A85792"/>
    <w:rsid w:val="00A857EA"/>
    <w:rsid w:val="00A858D1"/>
    <w:rsid w:val="00A85BB3"/>
    <w:rsid w:val="00A85CF9"/>
    <w:rsid w:val="00A90549"/>
    <w:rsid w:val="00A9481C"/>
    <w:rsid w:val="00A94C35"/>
    <w:rsid w:val="00A94F36"/>
    <w:rsid w:val="00A96D61"/>
    <w:rsid w:val="00AA22A7"/>
    <w:rsid w:val="00AA23C4"/>
    <w:rsid w:val="00AA25CA"/>
    <w:rsid w:val="00AA33E1"/>
    <w:rsid w:val="00AA55AC"/>
    <w:rsid w:val="00AA7894"/>
    <w:rsid w:val="00AB1990"/>
    <w:rsid w:val="00AB1E9F"/>
    <w:rsid w:val="00AB23FB"/>
    <w:rsid w:val="00AB242F"/>
    <w:rsid w:val="00AB44D3"/>
    <w:rsid w:val="00AB507E"/>
    <w:rsid w:val="00AB56D2"/>
    <w:rsid w:val="00AC0C2A"/>
    <w:rsid w:val="00AC1791"/>
    <w:rsid w:val="00AC6FF1"/>
    <w:rsid w:val="00AC7A68"/>
    <w:rsid w:val="00AD0105"/>
    <w:rsid w:val="00AD5AD8"/>
    <w:rsid w:val="00AD5DD9"/>
    <w:rsid w:val="00AD6BE8"/>
    <w:rsid w:val="00AE1C15"/>
    <w:rsid w:val="00AE668B"/>
    <w:rsid w:val="00AF160A"/>
    <w:rsid w:val="00AF7B22"/>
    <w:rsid w:val="00B0026A"/>
    <w:rsid w:val="00B009A8"/>
    <w:rsid w:val="00B03750"/>
    <w:rsid w:val="00B05D87"/>
    <w:rsid w:val="00B06020"/>
    <w:rsid w:val="00B1273E"/>
    <w:rsid w:val="00B12871"/>
    <w:rsid w:val="00B13B54"/>
    <w:rsid w:val="00B15B5C"/>
    <w:rsid w:val="00B17B5F"/>
    <w:rsid w:val="00B2247B"/>
    <w:rsid w:val="00B25653"/>
    <w:rsid w:val="00B26FD9"/>
    <w:rsid w:val="00B33EA7"/>
    <w:rsid w:val="00B35496"/>
    <w:rsid w:val="00B35713"/>
    <w:rsid w:val="00B378CC"/>
    <w:rsid w:val="00B40342"/>
    <w:rsid w:val="00B40580"/>
    <w:rsid w:val="00B40776"/>
    <w:rsid w:val="00B45A1A"/>
    <w:rsid w:val="00B47F5A"/>
    <w:rsid w:val="00B52F43"/>
    <w:rsid w:val="00B547DE"/>
    <w:rsid w:val="00B54C6F"/>
    <w:rsid w:val="00B5602A"/>
    <w:rsid w:val="00B56393"/>
    <w:rsid w:val="00B6371F"/>
    <w:rsid w:val="00B657F0"/>
    <w:rsid w:val="00B65914"/>
    <w:rsid w:val="00B6596E"/>
    <w:rsid w:val="00B65A6C"/>
    <w:rsid w:val="00B67694"/>
    <w:rsid w:val="00B82481"/>
    <w:rsid w:val="00B8438E"/>
    <w:rsid w:val="00B8723C"/>
    <w:rsid w:val="00B90F61"/>
    <w:rsid w:val="00B92D3C"/>
    <w:rsid w:val="00B95C52"/>
    <w:rsid w:val="00B970CD"/>
    <w:rsid w:val="00BA034A"/>
    <w:rsid w:val="00BA0E33"/>
    <w:rsid w:val="00BA0F6D"/>
    <w:rsid w:val="00BA1FD3"/>
    <w:rsid w:val="00BA4043"/>
    <w:rsid w:val="00BA46D1"/>
    <w:rsid w:val="00BA61B7"/>
    <w:rsid w:val="00BA6AC9"/>
    <w:rsid w:val="00BB1464"/>
    <w:rsid w:val="00BB2F35"/>
    <w:rsid w:val="00BB4EE2"/>
    <w:rsid w:val="00BB5660"/>
    <w:rsid w:val="00BC02CE"/>
    <w:rsid w:val="00BC5004"/>
    <w:rsid w:val="00BC7722"/>
    <w:rsid w:val="00BD2C2A"/>
    <w:rsid w:val="00BD43D2"/>
    <w:rsid w:val="00BD487C"/>
    <w:rsid w:val="00BD649D"/>
    <w:rsid w:val="00BE1DFB"/>
    <w:rsid w:val="00BF1A14"/>
    <w:rsid w:val="00BF3E05"/>
    <w:rsid w:val="00BF4D5C"/>
    <w:rsid w:val="00BF5ED5"/>
    <w:rsid w:val="00C0083B"/>
    <w:rsid w:val="00C0097E"/>
    <w:rsid w:val="00C01CF2"/>
    <w:rsid w:val="00C04122"/>
    <w:rsid w:val="00C11D59"/>
    <w:rsid w:val="00C12D9F"/>
    <w:rsid w:val="00C14001"/>
    <w:rsid w:val="00C14609"/>
    <w:rsid w:val="00C1512B"/>
    <w:rsid w:val="00C153E7"/>
    <w:rsid w:val="00C172DB"/>
    <w:rsid w:val="00C200E4"/>
    <w:rsid w:val="00C216D1"/>
    <w:rsid w:val="00C2238A"/>
    <w:rsid w:val="00C3466E"/>
    <w:rsid w:val="00C3732A"/>
    <w:rsid w:val="00C37FC5"/>
    <w:rsid w:val="00C41156"/>
    <w:rsid w:val="00C41512"/>
    <w:rsid w:val="00C434AF"/>
    <w:rsid w:val="00C453D4"/>
    <w:rsid w:val="00C537CA"/>
    <w:rsid w:val="00C62753"/>
    <w:rsid w:val="00C63084"/>
    <w:rsid w:val="00C6622B"/>
    <w:rsid w:val="00C66B17"/>
    <w:rsid w:val="00C66B34"/>
    <w:rsid w:val="00C677F6"/>
    <w:rsid w:val="00C738FA"/>
    <w:rsid w:val="00C73971"/>
    <w:rsid w:val="00C741AF"/>
    <w:rsid w:val="00C77757"/>
    <w:rsid w:val="00C80466"/>
    <w:rsid w:val="00C86F48"/>
    <w:rsid w:val="00C9261A"/>
    <w:rsid w:val="00C94C00"/>
    <w:rsid w:val="00CA0809"/>
    <w:rsid w:val="00CA357F"/>
    <w:rsid w:val="00CA35A4"/>
    <w:rsid w:val="00CA3B86"/>
    <w:rsid w:val="00CA412C"/>
    <w:rsid w:val="00CA62BD"/>
    <w:rsid w:val="00CA6B01"/>
    <w:rsid w:val="00CA6FF0"/>
    <w:rsid w:val="00CA7629"/>
    <w:rsid w:val="00CA7FE3"/>
    <w:rsid w:val="00CB2B7C"/>
    <w:rsid w:val="00CB331B"/>
    <w:rsid w:val="00CB4BF2"/>
    <w:rsid w:val="00CB546F"/>
    <w:rsid w:val="00CB5AFA"/>
    <w:rsid w:val="00CB6407"/>
    <w:rsid w:val="00CC046C"/>
    <w:rsid w:val="00CC13B1"/>
    <w:rsid w:val="00CC2FE6"/>
    <w:rsid w:val="00CC4CA4"/>
    <w:rsid w:val="00CC4D1D"/>
    <w:rsid w:val="00CD2EE1"/>
    <w:rsid w:val="00CD3AB8"/>
    <w:rsid w:val="00CD570B"/>
    <w:rsid w:val="00CD712B"/>
    <w:rsid w:val="00CE13CF"/>
    <w:rsid w:val="00CE2828"/>
    <w:rsid w:val="00CE3CD0"/>
    <w:rsid w:val="00CE3F10"/>
    <w:rsid w:val="00CE59D1"/>
    <w:rsid w:val="00CE6AFC"/>
    <w:rsid w:val="00CE7F41"/>
    <w:rsid w:val="00CF13A5"/>
    <w:rsid w:val="00CF217B"/>
    <w:rsid w:val="00CF3594"/>
    <w:rsid w:val="00CF3EC4"/>
    <w:rsid w:val="00CF58D0"/>
    <w:rsid w:val="00D02B76"/>
    <w:rsid w:val="00D03387"/>
    <w:rsid w:val="00D03448"/>
    <w:rsid w:val="00D03EB4"/>
    <w:rsid w:val="00D10729"/>
    <w:rsid w:val="00D12DC6"/>
    <w:rsid w:val="00D20838"/>
    <w:rsid w:val="00D20EA0"/>
    <w:rsid w:val="00D26F0B"/>
    <w:rsid w:val="00D30109"/>
    <w:rsid w:val="00D30D9C"/>
    <w:rsid w:val="00D30DEE"/>
    <w:rsid w:val="00D3174D"/>
    <w:rsid w:val="00D32153"/>
    <w:rsid w:val="00D330E4"/>
    <w:rsid w:val="00D331D7"/>
    <w:rsid w:val="00D33AE3"/>
    <w:rsid w:val="00D3677F"/>
    <w:rsid w:val="00D42762"/>
    <w:rsid w:val="00D437E1"/>
    <w:rsid w:val="00D449EA"/>
    <w:rsid w:val="00D4540D"/>
    <w:rsid w:val="00D478E1"/>
    <w:rsid w:val="00D50464"/>
    <w:rsid w:val="00D51C4E"/>
    <w:rsid w:val="00D54DE2"/>
    <w:rsid w:val="00D55849"/>
    <w:rsid w:val="00D562F5"/>
    <w:rsid w:val="00D56CB4"/>
    <w:rsid w:val="00D57A74"/>
    <w:rsid w:val="00D643C7"/>
    <w:rsid w:val="00D6689A"/>
    <w:rsid w:val="00D71261"/>
    <w:rsid w:val="00D732CC"/>
    <w:rsid w:val="00D836B8"/>
    <w:rsid w:val="00D87980"/>
    <w:rsid w:val="00D9546D"/>
    <w:rsid w:val="00D96EC8"/>
    <w:rsid w:val="00D971DC"/>
    <w:rsid w:val="00D97E17"/>
    <w:rsid w:val="00DA11D9"/>
    <w:rsid w:val="00DA120A"/>
    <w:rsid w:val="00DA19EF"/>
    <w:rsid w:val="00DA36A5"/>
    <w:rsid w:val="00DA6AF5"/>
    <w:rsid w:val="00DB1913"/>
    <w:rsid w:val="00DB3507"/>
    <w:rsid w:val="00DB7DF0"/>
    <w:rsid w:val="00DC4448"/>
    <w:rsid w:val="00DD1310"/>
    <w:rsid w:val="00DD2763"/>
    <w:rsid w:val="00DD533C"/>
    <w:rsid w:val="00DD6445"/>
    <w:rsid w:val="00DD6811"/>
    <w:rsid w:val="00DD7530"/>
    <w:rsid w:val="00DF1DE4"/>
    <w:rsid w:val="00DF606D"/>
    <w:rsid w:val="00DF69D6"/>
    <w:rsid w:val="00DF6A14"/>
    <w:rsid w:val="00DF7E32"/>
    <w:rsid w:val="00E0001B"/>
    <w:rsid w:val="00E004F9"/>
    <w:rsid w:val="00E01206"/>
    <w:rsid w:val="00E02911"/>
    <w:rsid w:val="00E02D94"/>
    <w:rsid w:val="00E03675"/>
    <w:rsid w:val="00E04632"/>
    <w:rsid w:val="00E05DE3"/>
    <w:rsid w:val="00E104FB"/>
    <w:rsid w:val="00E11B3D"/>
    <w:rsid w:val="00E13E07"/>
    <w:rsid w:val="00E14FD7"/>
    <w:rsid w:val="00E20041"/>
    <w:rsid w:val="00E23CB6"/>
    <w:rsid w:val="00E2457F"/>
    <w:rsid w:val="00E247BA"/>
    <w:rsid w:val="00E25D58"/>
    <w:rsid w:val="00E26E10"/>
    <w:rsid w:val="00E34E36"/>
    <w:rsid w:val="00E35F10"/>
    <w:rsid w:val="00E370FB"/>
    <w:rsid w:val="00E41DBA"/>
    <w:rsid w:val="00E445FC"/>
    <w:rsid w:val="00E46B3F"/>
    <w:rsid w:val="00E46FBE"/>
    <w:rsid w:val="00E50780"/>
    <w:rsid w:val="00E516CC"/>
    <w:rsid w:val="00E51CED"/>
    <w:rsid w:val="00E51E35"/>
    <w:rsid w:val="00E53E0D"/>
    <w:rsid w:val="00E547F3"/>
    <w:rsid w:val="00E55FBB"/>
    <w:rsid w:val="00E60686"/>
    <w:rsid w:val="00E60F9C"/>
    <w:rsid w:val="00E6119A"/>
    <w:rsid w:val="00E62584"/>
    <w:rsid w:val="00E63A7B"/>
    <w:rsid w:val="00E64120"/>
    <w:rsid w:val="00E70C87"/>
    <w:rsid w:val="00E7191C"/>
    <w:rsid w:val="00E7261A"/>
    <w:rsid w:val="00E74525"/>
    <w:rsid w:val="00E80096"/>
    <w:rsid w:val="00E81F6D"/>
    <w:rsid w:val="00E828A7"/>
    <w:rsid w:val="00E83965"/>
    <w:rsid w:val="00E83DF6"/>
    <w:rsid w:val="00E84B14"/>
    <w:rsid w:val="00E84FC6"/>
    <w:rsid w:val="00E928A8"/>
    <w:rsid w:val="00E92D74"/>
    <w:rsid w:val="00E93D69"/>
    <w:rsid w:val="00E96556"/>
    <w:rsid w:val="00EA06E0"/>
    <w:rsid w:val="00EA0C57"/>
    <w:rsid w:val="00EA23FF"/>
    <w:rsid w:val="00EA27B1"/>
    <w:rsid w:val="00EA2A56"/>
    <w:rsid w:val="00EB48A0"/>
    <w:rsid w:val="00EB5424"/>
    <w:rsid w:val="00EC0D30"/>
    <w:rsid w:val="00EC1C8E"/>
    <w:rsid w:val="00EC274E"/>
    <w:rsid w:val="00EC652F"/>
    <w:rsid w:val="00EC73C8"/>
    <w:rsid w:val="00EC7CB5"/>
    <w:rsid w:val="00ED09A3"/>
    <w:rsid w:val="00ED1F73"/>
    <w:rsid w:val="00ED33E8"/>
    <w:rsid w:val="00ED3953"/>
    <w:rsid w:val="00ED43C5"/>
    <w:rsid w:val="00ED4823"/>
    <w:rsid w:val="00EE43D9"/>
    <w:rsid w:val="00EE7881"/>
    <w:rsid w:val="00EF3FA7"/>
    <w:rsid w:val="00EF4C4D"/>
    <w:rsid w:val="00EF575A"/>
    <w:rsid w:val="00F0180C"/>
    <w:rsid w:val="00F0250E"/>
    <w:rsid w:val="00F040C9"/>
    <w:rsid w:val="00F062CE"/>
    <w:rsid w:val="00F10FBB"/>
    <w:rsid w:val="00F11EFC"/>
    <w:rsid w:val="00F17A9D"/>
    <w:rsid w:val="00F21246"/>
    <w:rsid w:val="00F2391D"/>
    <w:rsid w:val="00F315CD"/>
    <w:rsid w:val="00F31D35"/>
    <w:rsid w:val="00F3215C"/>
    <w:rsid w:val="00F321EE"/>
    <w:rsid w:val="00F35153"/>
    <w:rsid w:val="00F35158"/>
    <w:rsid w:val="00F36242"/>
    <w:rsid w:val="00F36326"/>
    <w:rsid w:val="00F3703F"/>
    <w:rsid w:val="00F4200C"/>
    <w:rsid w:val="00F42E62"/>
    <w:rsid w:val="00F449FF"/>
    <w:rsid w:val="00F47D15"/>
    <w:rsid w:val="00F57956"/>
    <w:rsid w:val="00F63716"/>
    <w:rsid w:val="00F666A7"/>
    <w:rsid w:val="00F67944"/>
    <w:rsid w:val="00F7034F"/>
    <w:rsid w:val="00F706BE"/>
    <w:rsid w:val="00F70B64"/>
    <w:rsid w:val="00F72725"/>
    <w:rsid w:val="00F73270"/>
    <w:rsid w:val="00F7357F"/>
    <w:rsid w:val="00F776CE"/>
    <w:rsid w:val="00F777B3"/>
    <w:rsid w:val="00F77F7E"/>
    <w:rsid w:val="00F82212"/>
    <w:rsid w:val="00F831DC"/>
    <w:rsid w:val="00F90455"/>
    <w:rsid w:val="00F94ABE"/>
    <w:rsid w:val="00F95314"/>
    <w:rsid w:val="00F9552C"/>
    <w:rsid w:val="00F95553"/>
    <w:rsid w:val="00FA2113"/>
    <w:rsid w:val="00FA29D9"/>
    <w:rsid w:val="00FA3FE6"/>
    <w:rsid w:val="00FA64E7"/>
    <w:rsid w:val="00FA6C62"/>
    <w:rsid w:val="00FB6DD0"/>
    <w:rsid w:val="00FC0A56"/>
    <w:rsid w:val="00FC60C1"/>
    <w:rsid w:val="00FD147E"/>
    <w:rsid w:val="00FD5482"/>
    <w:rsid w:val="00FD7693"/>
    <w:rsid w:val="00FE0371"/>
    <w:rsid w:val="00FE0DFF"/>
    <w:rsid w:val="00FE2136"/>
    <w:rsid w:val="00FE399C"/>
    <w:rsid w:val="00FE3ACA"/>
    <w:rsid w:val="00FE4089"/>
    <w:rsid w:val="00FE5458"/>
    <w:rsid w:val="00FF2557"/>
    <w:rsid w:val="00FF3549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9E"/>
    <w:pPr>
      <w:spacing w:after="200" w:line="276" w:lineRule="auto"/>
    </w:pPr>
    <w:rPr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9E0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C4CA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C4CA4"/>
    <w:rPr>
      <w:rFonts w:eastAsia="Calibri" w:cs="Times New Roman"/>
    </w:rPr>
  </w:style>
  <w:style w:type="paragraph" w:customStyle="1" w:styleId="naisf">
    <w:name w:val="naisf"/>
    <w:basedOn w:val="Normal"/>
    <w:rsid w:val="00B2247B"/>
    <w:pPr>
      <w:spacing w:before="88" w:after="88" w:line="240" w:lineRule="auto"/>
      <w:ind w:firstLine="43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B2247B"/>
    <w:pPr>
      <w:spacing w:before="88" w:after="88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B2247B"/>
    <w:rPr>
      <w:color w:val="0000FF"/>
      <w:u w:val="single"/>
    </w:rPr>
  </w:style>
  <w:style w:type="paragraph" w:styleId="BodyText">
    <w:name w:val="Body Text"/>
    <w:basedOn w:val="Normal"/>
    <w:link w:val="BodyTextChar"/>
    <w:rsid w:val="00B224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BodyTextChar">
    <w:name w:val="Body Text Char"/>
    <w:link w:val="BodyText"/>
    <w:rsid w:val="00B224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2247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71B3C"/>
    <w:rPr>
      <w:szCs w:val="22"/>
      <w:lang w:eastAsia="en-US"/>
    </w:rPr>
  </w:style>
  <w:style w:type="paragraph" w:styleId="BodyText2">
    <w:name w:val="Body Text 2"/>
    <w:basedOn w:val="Normal"/>
    <w:rsid w:val="005B20DD"/>
    <w:pPr>
      <w:spacing w:after="120" w:line="480" w:lineRule="auto"/>
    </w:pPr>
  </w:style>
  <w:style w:type="paragraph" w:styleId="BodyTextIndent">
    <w:name w:val="Body Text Indent"/>
    <w:basedOn w:val="Normal"/>
    <w:rsid w:val="005B20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naisvisr">
    <w:name w:val="naisvisr"/>
    <w:basedOn w:val="Normal"/>
    <w:rsid w:val="007F6339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styleId="CommentReference">
    <w:name w:val="annotation reference"/>
    <w:uiPriority w:val="99"/>
    <w:semiHidden/>
    <w:unhideWhenUsed/>
    <w:rsid w:val="00E8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FC6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84F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F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FC6"/>
    <w:rPr>
      <w:b/>
      <w:bCs/>
      <w:lang w:eastAsia="en-US"/>
    </w:rPr>
  </w:style>
  <w:style w:type="paragraph" w:styleId="NoSpacing">
    <w:name w:val="No Spacing"/>
    <w:uiPriority w:val="1"/>
    <w:qFormat/>
    <w:rsid w:val="00AB44D3"/>
    <w:rPr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61DD5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261DD5"/>
    <w:rPr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E0E5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isnod">
    <w:name w:val="naisnod"/>
    <w:basedOn w:val="Normal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A85CF9"/>
    <w:pPr>
      <w:ind w:left="720"/>
      <w:contextualSpacing/>
    </w:pPr>
    <w:rPr>
      <w:rFonts w:ascii="Calibri" w:hAnsi="Calibri"/>
      <w:sz w:val="22"/>
      <w:lang w:val="en-US"/>
    </w:rPr>
  </w:style>
  <w:style w:type="character" w:styleId="PageNumber">
    <w:name w:val="page number"/>
    <w:basedOn w:val="DefaultParagraphFont"/>
    <w:rsid w:val="008E1495"/>
  </w:style>
  <w:style w:type="paragraph" w:styleId="Title">
    <w:name w:val="Title"/>
    <w:basedOn w:val="Normal"/>
    <w:link w:val="TitleChar"/>
    <w:qFormat/>
    <w:rsid w:val="00924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itleChar">
    <w:name w:val="Title Char"/>
    <w:link w:val="Title"/>
    <w:rsid w:val="009247C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2EC7"/>
  </w:style>
  <w:style w:type="paragraph" w:customStyle="1" w:styleId="tv213">
    <w:name w:val="tv213"/>
    <w:basedOn w:val="Normal"/>
    <w:rsid w:val="00B63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aliases w:val="Footnote,Fußnote"/>
    <w:basedOn w:val="Normal"/>
    <w:link w:val="FootnoteTextChar"/>
    <w:semiHidden/>
    <w:rsid w:val="00510A5E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Footnote Char,Fußnote Char"/>
    <w:link w:val="FootnoteText"/>
    <w:semiHidden/>
    <w:rsid w:val="00510A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aliases w:val="Footnote Reference Number"/>
    <w:semiHidden/>
    <w:rsid w:val="00510A5E"/>
    <w:rPr>
      <w:rFonts w:cs="Times New Roman"/>
      <w:vertAlign w:val="superscript"/>
    </w:rPr>
  </w:style>
  <w:style w:type="paragraph" w:customStyle="1" w:styleId="tv2121">
    <w:name w:val="tv2121"/>
    <w:basedOn w:val="Normal"/>
    <w:rsid w:val="002F4080"/>
    <w:pPr>
      <w:spacing w:before="400" w:after="0" w:line="360" w:lineRule="auto"/>
      <w:jc w:val="center"/>
    </w:pPr>
    <w:rPr>
      <w:rFonts w:ascii="Verdana" w:eastAsia="Times New Roman" w:hAnsi="Verdana"/>
      <w:b/>
      <w:bCs/>
      <w:szCs w:val="20"/>
      <w:lang w:eastAsia="lv-LV"/>
    </w:rPr>
  </w:style>
  <w:style w:type="paragraph" w:customStyle="1" w:styleId="tvhtmlmktable">
    <w:name w:val="tv_html mk_table"/>
    <w:basedOn w:val="Normal"/>
    <w:uiPriority w:val="99"/>
    <w:rsid w:val="00BC0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16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6234F7"/>
    <w:rPr>
      <w:b/>
      <w:bCs/>
    </w:rPr>
  </w:style>
  <w:style w:type="paragraph" w:customStyle="1" w:styleId="naislab">
    <w:name w:val="naislab"/>
    <w:basedOn w:val="Normal"/>
    <w:rsid w:val="00F42E62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F42E62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80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">
    <w:name w:val="super"/>
    <w:basedOn w:val="DefaultParagraphFont"/>
    <w:rsid w:val="00FE0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9E"/>
    <w:pPr>
      <w:spacing w:after="200" w:line="276" w:lineRule="auto"/>
    </w:pPr>
    <w:rPr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9E0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C4CA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4CA4"/>
    <w:pPr>
      <w:tabs>
        <w:tab w:val="center" w:pos="4153"/>
        <w:tab w:val="right" w:pos="83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CC4CA4"/>
    <w:rPr>
      <w:rFonts w:eastAsia="Calibri" w:cs="Times New Roman"/>
    </w:rPr>
  </w:style>
  <w:style w:type="paragraph" w:customStyle="1" w:styleId="naisf">
    <w:name w:val="naisf"/>
    <w:basedOn w:val="Normal"/>
    <w:rsid w:val="00B2247B"/>
    <w:pPr>
      <w:spacing w:before="88" w:after="88" w:line="240" w:lineRule="auto"/>
      <w:ind w:firstLine="43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B2247B"/>
    <w:pPr>
      <w:spacing w:before="88" w:after="88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B2247B"/>
    <w:rPr>
      <w:color w:val="0000FF"/>
      <w:u w:val="single"/>
    </w:rPr>
  </w:style>
  <w:style w:type="paragraph" w:styleId="BodyText">
    <w:name w:val="Body Text"/>
    <w:basedOn w:val="Normal"/>
    <w:link w:val="BodyTextChar"/>
    <w:rsid w:val="00B224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BodyTextChar">
    <w:name w:val="Body Text Char"/>
    <w:link w:val="BodyText"/>
    <w:rsid w:val="00B2247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2247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71B3C"/>
    <w:rPr>
      <w:szCs w:val="22"/>
      <w:lang w:eastAsia="en-US"/>
    </w:rPr>
  </w:style>
  <w:style w:type="paragraph" w:styleId="BodyText2">
    <w:name w:val="Body Text 2"/>
    <w:basedOn w:val="Normal"/>
    <w:rsid w:val="005B20DD"/>
    <w:pPr>
      <w:spacing w:after="120" w:line="480" w:lineRule="auto"/>
    </w:pPr>
  </w:style>
  <w:style w:type="paragraph" w:styleId="BodyTextIndent">
    <w:name w:val="Body Text Indent"/>
    <w:basedOn w:val="Normal"/>
    <w:rsid w:val="005B20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naisvisr">
    <w:name w:val="naisvisr"/>
    <w:basedOn w:val="Normal"/>
    <w:rsid w:val="007F6339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character" w:styleId="CommentReference">
    <w:name w:val="annotation reference"/>
    <w:uiPriority w:val="99"/>
    <w:semiHidden/>
    <w:unhideWhenUsed/>
    <w:rsid w:val="00E84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FC6"/>
    <w:rPr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84F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F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FC6"/>
    <w:rPr>
      <w:b/>
      <w:bCs/>
      <w:lang w:eastAsia="en-US"/>
    </w:rPr>
  </w:style>
  <w:style w:type="paragraph" w:styleId="NoSpacing">
    <w:name w:val="No Spacing"/>
    <w:uiPriority w:val="1"/>
    <w:qFormat/>
    <w:rsid w:val="00AB44D3"/>
    <w:rPr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61DD5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261DD5"/>
    <w:rPr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9E0E5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isnod">
    <w:name w:val="naisnod"/>
    <w:basedOn w:val="Normal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26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A85CF9"/>
    <w:pPr>
      <w:ind w:left="720"/>
      <w:contextualSpacing/>
    </w:pPr>
    <w:rPr>
      <w:rFonts w:ascii="Calibri" w:hAnsi="Calibri"/>
      <w:sz w:val="22"/>
      <w:lang w:val="en-US"/>
    </w:rPr>
  </w:style>
  <w:style w:type="character" w:styleId="PageNumber">
    <w:name w:val="page number"/>
    <w:basedOn w:val="DefaultParagraphFont"/>
    <w:rsid w:val="008E1495"/>
  </w:style>
  <w:style w:type="paragraph" w:styleId="Title">
    <w:name w:val="Title"/>
    <w:basedOn w:val="Normal"/>
    <w:link w:val="TitleChar"/>
    <w:qFormat/>
    <w:rsid w:val="009247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customStyle="1" w:styleId="TitleChar">
    <w:name w:val="Title Char"/>
    <w:link w:val="Title"/>
    <w:rsid w:val="009247C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72EC7"/>
  </w:style>
  <w:style w:type="paragraph" w:customStyle="1" w:styleId="tv213">
    <w:name w:val="tv213"/>
    <w:basedOn w:val="Normal"/>
    <w:rsid w:val="00B63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aliases w:val="Footnote,Fußnote"/>
    <w:basedOn w:val="Normal"/>
    <w:link w:val="FootnoteTextChar"/>
    <w:semiHidden/>
    <w:rsid w:val="00510A5E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Footnote Char,Fußnote Char"/>
    <w:link w:val="FootnoteText"/>
    <w:semiHidden/>
    <w:rsid w:val="00510A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aliases w:val="Footnote Reference Number"/>
    <w:semiHidden/>
    <w:rsid w:val="00510A5E"/>
    <w:rPr>
      <w:rFonts w:cs="Times New Roman"/>
      <w:vertAlign w:val="superscript"/>
    </w:rPr>
  </w:style>
  <w:style w:type="paragraph" w:customStyle="1" w:styleId="tv2121">
    <w:name w:val="tv2121"/>
    <w:basedOn w:val="Normal"/>
    <w:rsid w:val="002F4080"/>
    <w:pPr>
      <w:spacing w:before="400" w:after="0" w:line="360" w:lineRule="auto"/>
      <w:jc w:val="center"/>
    </w:pPr>
    <w:rPr>
      <w:rFonts w:ascii="Verdana" w:eastAsia="Times New Roman" w:hAnsi="Verdana"/>
      <w:b/>
      <w:bCs/>
      <w:szCs w:val="20"/>
      <w:lang w:eastAsia="lv-LV"/>
    </w:rPr>
  </w:style>
  <w:style w:type="paragraph" w:customStyle="1" w:styleId="tvhtmlmktable">
    <w:name w:val="tv_html mk_table"/>
    <w:basedOn w:val="Normal"/>
    <w:uiPriority w:val="99"/>
    <w:rsid w:val="00BC0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16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6234F7"/>
    <w:rPr>
      <w:b/>
      <w:bCs/>
    </w:rPr>
  </w:style>
  <w:style w:type="paragraph" w:customStyle="1" w:styleId="naislab">
    <w:name w:val="naislab"/>
    <w:basedOn w:val="Normal"/>
    <w:rsid w:val="00F42E62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F42E62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80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">
    <w:name w:val="super"/>
    <w:basedOn w:val="DefaultParagraphFont"/>
    <w:rsid w:val="00FE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549">
          <w:marLeft w:val="75"/>
          <w:marRight w:val="75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FBA-BEFC-4994-A64C-C1336AD1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891</Words>
  <Characters>6107</Characters>
  <Application>Microsoft Office Word</Application>
  <DocSecurity>0</DocSecurity>
  <Lines>339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2000.gada 2.maija noteikumos Nr.165 "Noteikumi par spiedieniekārtām un to kompleksiem" sākotnējās ietekmes novērtējuma ziņojums (anotācija)</vt:lpstr>
    </vt:vector>
  </TitlesOfParts>
  <Company>Satiksmes ministrija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2000.gada 2.maija noteikumos Nr.165 "Noteikumi par spiedieniekārtām un to kompleksiem" sākotnējās ietekmes novērtējuma ziņojums (anotācija)</dc:title>
  <dc:subject>Ministru kabineta noteikumu projekta anotācija</dc:subject>
  <dc:creator>Normunds Freibergs</dc:creator>
  <dc:description>Anda.Stiebre@em.gov.lv; t: 67013019</dc:description>
  <cp:lastModifiedBy>Normunds Freibergs</cp:lastModifiedBy>
  <cp:revision>4</cp:revision>
  <cp:lastPrinted>2015-02-20T12:26:00Z</cp:lastPrinted>
  <dcterms:created xsi:type="dcterms:W3CDTF">2015-02-26T09:55:00Z</dcterms:created>
  <dcterms:modified xsi:type="dcterms:W3CDTF">2015-02-26T11:37:00Z</dcterms:modified>
</cp:coreProperties>
</file>