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DC" w:rsidRPr="000F498C" w:rsidRDefault="00F02ADC" w:rsidP="000F498C">
      <w:pPr>
        <w:pStyle w:val="naisc"/>
        <w:spacing w:before="0" w:after="0"/>
        <w:rPr>
          <w:sz w:val="26"/>
          <w:szCs w:val="26"/>
        </w:rPr>
      </w:pPr>
      <w:bookmarkStart w:id="0" w:name="_GoBack"/>
      <w:r w:rsidRPr="000F498C">
        <w:rPr>
          <w:sz w:val="26"/>
          <w:szCs w:val="26"/>
        </w:rPr>
        <w:t xml:space="preserve">Ministru kabineta rīkojuma projekta </w:t>
      </w:r>
    </w:p>
    <w:p w:rsidR="00F02ADC" w:rsidRPr="000F498C" w:rsidRDefault="009F031D" w:rsidP="000F498C">
      <w:pPr>
        <w:pStyle w:val="naisc"/>
        <w:spacing w:before="0" w:after="0"/>
        <w:rPr>
          <w:b/>
          <w:sz w:val="26"/>
          <w:szCs w:val="26"/>
        </w:rPr>
      </w:pPr>
      <w:r w:rsidRPr="000F498C">
        <w:rPr>
          <w:b/>
          <w:bCs/>
          <w:sz w:val="26"/>
          <w:szCs w:val="26"/>
        </w:rPr>
        <w:t>„</w:t>
      </w:r>
      <w:bookmarkStart w:id="1" w:name="OLE_LINK1"/>
      <w:bookmarkStart w:id="2" w:name="OLE_LINK2"/>
      <w:r w:rsidR="00EC578E" w:rsidRPr="000F498C">
        <w:rPr>
          <w:b/>
          <w:bCs/>
          <w:sz w:val="26"/>
          <w:szCs w:val="26"/>
        </w:rPr>
        <w:t>Grozījums Ministru kabineta 2013.gada 20.novembra rīkojumā Nr.550 „</w:t>
      </w:r>
      <w:bookmarkEnd w:id="1"/>
      <w:bookmarkEnd w:id="2"/>
      <w:r w:rsidR="00EC578E" w:rsidRPr="000F498C">
        <w:rPr>
          <w:b/>
          <w:bCs/>
          <w:sz w:val="26"/>
          <w:szCs w:val="26"/>
        </w:rPr>
        <w:t>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w:t>
      </w:r>
      <w:r w:rsidR="00F02ADC" w:rsidRPr="000F498C">
        <w:rPr>
          <w:b/>
          <w:sz w:val="26"/>
          <w:szCs w:val="26"/>
        </w:rPr>
        <w:t xml:space="preserve"> </w:t>
      </w:r>
    </w:p>
    <w:bookmarkEnd w:id="0"/>
    <w:p w:rsidR="00F02ADC" w:rsidRDefault="00F02ADC" w:rsidP="000F498C">
      <w:pPr>
        <w:pStyle w:val="naisc"/>
        <w:spacing w:before="0" w:after="0"/>
        <w:rPr>
          <w:sz w:val="26"/>
          <w:szCs w:val="26"/>
        </w:rPr>
      </w:pPr>
      <w:r w:rsidRPr="000F498C">
        <w:rPr>
          <w:sz w:val="26"/>
          <w:szCs w:val="26"/>
        </w:rPr>
        <w:t>sākotnējās ietekmes novērtējuma ziņojums (anotācija)</w:t>
      </w:r>
    </w:p>
    <w:p w:rsidR="000F498C" w:rsidRPr="000F498C" w:rsidRDefault="000F498C" w:rsidP="000F498C">
      <w:pPr>
        <w:pStyle w:val="naisc"/>
        <w:spacing w:before="0" w:after="0"/>
        <w:rPr>
          <w:b/>
          <w:sz w:val="26"/>
          <w:szCs w:val="26"/>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6"/>
        <w:gridCol w:w="405"/>
        <w:gridCol w:w="2303"/>
        <w:gridCol w:w="6373"/>
      </w:tblGrid>
      <w:tr w:rsidR="00CE62FF" w:rsidRPr="00B54631" w:rsidTr="007B54AB">
        <w:trPr>
          <w:tblCellSpacing w:w="15" w:type="dxa"/>
        </w:trPr>
        <w:tc>
          <w:tcPr>
            <w:tcW w:w="4967" w:type="pct"/>
            <w:gridSpan w:val="4"/>
            <w:tcBorders>
              <w:top w:val="single" w:sz="6" w:space="0" w:color="auto"/>
              <w:left w:val="single" w:sz="6" w:space="0" w:color="auto"/>
              <w:bottom w:val="outset" w:sz="6" w:space="0" w:color="000000"/>
              <w:right w:val="single" w:sz="6"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 Tiesību akta projekta izstrādes nepieciešamība</w:t>
            </w:r>
          </w:p>
        </w:tc>
      </w:tr>
      <w:tr w:rsidR="00CE62FF" w:rsidRPr="00B54631" w:rsidTr="0007409E">
        <w:trPr>
          <w:tblCellSpacing w:w="15" w:type="dxa"/>
        </w:trPr>
        <w:tc>
          <w:tcPr>
            <w:tcW w:w="218" w:type="pct"/>
            <w:gridSpan w:val="2"/>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1255"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Pamatojums</w:t>
            </w:r>
          </w:p>
        </w:tc>
        <w:tc>
          <w:tcPr>
            <w:tcW w:w="3462" w:type="pct"/>
            <w:tcBorders>
              <w:top w:val="outset" w:sz="6" w:space="0" w:color="000000"/>
              <w:left w:val="outset" w:sz="6" w:space="0" w:color="000000"/>
              <w:bottom w:val="outset" w:sz="6" w:space="0" w:color="000000"/>
            </w:tcBorders>
          </w:tcPr>
          <w:p w:rsidR="000E3D08" w:rsidRPr="00B42B98" w:rsidRDefault="00117557" w:rsidP="0007409E">
            <w:pPr>
              <w:pStyle w:val="naiskr"/>
              <w:spacing w:before="0" w:beforeAutospacing="0" w:after="60" w:afterAutospacing="0"/>
              <w:ind w:firstLine="516"/>
              <w:jc w:val="both"/>
              <w:rPr>
                <w:bCs/>
              </w:rPr>
            </w:pPr>
            <w:r>
              <w:rPr>
                <w:bCs/>
              </w:rPr>
              <w:t xml:space="preserve">Rīkojuma projekts ir sagatavots pēc </w:t>
            </w:r>
            <w:r w:rsidRPr="00B42B98">
              <w:rPr>
                <w:bCs/>
              </w:rPr>
              <w:t>Finanšu ministrija</w:t>
            </w:r>
            <w:r>
              <w:rPr>
                <w:bCs/>
              </w:rPr>
              <w:t>s</w:t>
            </w:r>
            <w:r w:rsidRPr="00B42B98">
              <w:rPr>
                <w:bCs/>
              </w:rPr>
              <w:t xml:space="preserve"> (valsts akciju sabiedrība</w:t>
            </w:r>
            <w:r>
              <w:rPr>
                <w:bCs/>
              </w:rPr>
              <w:t>s</w:t>
            </w:r>
            <w:r w:rsidRPr="00B42B98">
              <w:rPr>
                <w:bCs/>
              </w:rPr>
              <w:t xml:space="preserve"> „Valsts nekustamie īpašumi”; turpmāk – VNĪ)</w:t>
            </w:r>
            <w:r>
              <w:rPr>
                <w:bCs/>
              </w:rPr>
              <w:t xml:space="preserve"> iniciatīvas.</w:t>
            </w:r>
          </w:p>
        </w:tc>
      </w:tr>
      <w:tr w:rsidR="00CE62FF" w:rsidRPr="00B54631" w:rsidTr="0007409E">
        <w:trPr>
          <w:tblCellSpacing w:w="15" w:type="dxa"/>
        </w:trPr>
        <w:tc>
          <w:tcPr>
            <w:tcW w:w="218" w:type="pct"/>
            <w:gridSpan w:val="2"/>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1255"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Pašreizējā situācija un problēmas, kuru risināšanai tiesību akta projekts izstrādāts, tiesiskā regulējuma mērķis un būtība</w:t>
            </w:r>
          </w:p>
        </w:tc>
        <w:tc>
          <w:tcPr>
            <w:tcW w:w="3462" w:type="pct"/>
            <w:tcBorders>
              <w:top w:val="outset" w:sz="6" w:space="0" w:color="000000"/>
              <w:left w:val="outset" w:sz="6" w:space="0" w:color="000000"/>
              <w:bottom w:val="outset" w:sz="6" w:space="0" w:color="000000"/>
            </w:tcBorders>
          </w:tcPr>
          <w:p w:rsidR="0031174A" w:rsidRPr="000C6B9D" w:rsidRDefault="00117557" w:rsidP="0007409E">
            <w:pPr>
              <w:pStyle w:val="naiskr"/>
              <w:spacing w:before="0" w:beforeAutospacing="0" w:after="0" w:afterAutospacing="0"/>
              <w:ind w:left="96" w:firstLine="420"/>
              <w:jc w:val="both"/>
              <w:rPr>
                <w:color w:val="FF0000"/>
              </w:rPr>
            </w:pPr>
            <w:r w:rsidRPr="00EC578E">
              <w:rPr>
                <w:bCs/>
              </w:rPr>
              <w:t>Ministru kabineta 2013.gada 20.novembra rīkojumā Nr.550 „Par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w:t>
            </w:r>
            <w:r w:rsidRPr="00B42B98">
              <w:rPr>
                <w:bCs/>
              </w:rPr>
              <w:t xml:space="preserve"> (turpmāk – </w:t>
            </w:r>
            <w:r>
              <w:rPr>
                <w:bCs/>
              </w:rPr>
              <w:t>MK</w:t>
            </w:r>
            <w:r w:rsidRPr="00B42B98">
              <w:rPr>
                <w:bCs/>
              </w:rPr>
              <w:t xml:space="preserve"> </w:t>
            </w:r>
            <w:smartTag w:uri="schemas-tilde-lv/tildestengine" w:element="veidnes">
              <w:smartTagPr>
                <w:attr w:name="id" w:val="-1"/>
                <w:attr w:name="baseform" w:val="rīkojums"/>
                <w:attr w:name="text" w:val="rīkojums"/>
              </w:smartTagPr>
              <w:r w:rsidRPr="00B42B98">
                <w:rPr>
                  <w:bCs/>
                </w:rPr>
                <w:t>rīkojums</w:t>
              </w:r>
            </w:smartTag>
            <w:r w:rsidRPr="00B42B98">
              <w:rPr>
                <w:bCs/>
              </w:rPr>
              <w:t xml:space="preserve"> Nr.</w:t>
            </w:r>
            <w:r>
              <w:rPr>
                <w:bCs/>
              </w:rPr>
              <w:t>550</w:t>
            </w:r>
            <w:r w:rsidRPr="00B42B98">
              <w:rPr>
                <w:bCs/>
              </w:rPr>
              <w:t>) 3.</w:t>
            </w:r>
            <w:r>
              <w:rPr>
                <w:bCs/>
              </w:rPr>
              <w:t>1 apakš</w:t>
            </w:r>
            <w:r w:rsidRPr="00B42B98">
              <w:rPr>
                <w:bCs/>
              </w:rPr>
              <w:t>punktā Finanšu ministrijai (</w:t>
            </w:r>
            <w:r w:rsidR="004719CF">
              <w:rPr>
                <w:bCs/>
              </w:rPr>
              <w:t>VNĪ</w:t>
            </w:r>
            <w:r w:rsidRPr="00B42B98">
              <w:rPr>
                <w:bCs/>
              </w:rPr>
              <w:t xml:space="preserve">) dots uzdevums </w:t>
            </w:r>
            <w:r w:rsidRPr="00EC578E">
              <w:rPr>
                <w:bCs/>
              </w:rPr>
              <w:t xml:space="preserve">triju mēnešu laikā </w:t>
            </w:r>
            <w:r>
              <w:rPr>
                <w:bCs/>
              </w:rPr>
              <w:t>pēc būvobjekta (</w:t>
            </w:r>
            <w:r w:rsidR="004719CF" w:rsidRPr="004719CF">
              <w:rPr>
                <w:bCs/>
              </w:rPr>
              <w:t>Valsts ugunsdzēsības un glābšanas dienesta Cēsu depo būvniecība Ata Kronvalda ielā 52, Cēsīs, Cēsu novadā</w:t>
            </w:r>
            <w:r>
              <w:rPr>
                <w:bCs/>
              </w:rPr>
              <w:t>) nodošanas ekspluatācijā</w:t>
            </w:r>
            <w:r w:rsidRPr="00EC578E">
              <w:rPr>
                <w:bCs/>
              </w:rPr>
              <w:t xml:space="preserve"> iesniegt Iekšlietu ministrijā precizētu nomas maksas aprēķinu atbilstoši faktiskajām būvniecības, piesaistītā kapitāla un apsaimniekošanas izmaksām</w:t>
            </w:r>
            <w:r>
              <w:rPr>
                <w:bCs/>
              </w:rPr>
              <w:t xml:space="preserve">. </w:t>
            </w:r>
            <w:r w:rsidR="0031174A" w:rsidRPr="000C6B9D">
              <w:t xml:space="preserve">Būvobjekts </w:t>
            </w:r>
            <w:r w:rsidR="000C6B9D" w:rsidRPr="000C6B9D">
              <w:t>(</w:t>
            </w:r>
            <w:r w:rsidR="004719CF" w:rsidRPr="004719CF">
              <w:t>Valsts ugunsdzēsības un glābšanas dienesta Cēsu depo būvniecība Ata Kronvalda ielā 52, Cēsīs, Cēsu novadā</w:t>
            </w:r>
            <w:r w:rsidR="000C6B9D" w:rsidRPr="000C6B9D">
              <w:rPr>
                <w:bCs/>
              </w:rPr>
              <w:t>)</w:t>
            </w:r>
            <w:r w:rsidR="00EC578E" w:rsidRPr="000C6B9D">
              <w:rPr>
                <w:b/>
                <w:bCs/>
              </w:rPr>
              <w:t xml:space="preserve"> </w:t>
            </w:r>
            <w:r w:rsidR="0031174A" w:rsidRPr="000C6B9D">
              <w:t xml:space="preserve">pieņemts ekspluatācijā </w:t>
            </w:r>
            <w:r w:rsidR="00F73978">
              <w:t xml:space="preserve">2014.gada 24.novembrī. </w:t>
            </w:r>
          </w:p>
          <w:p w:rsidR="0055241A" w:rsidRPr="000C6B9D" w:rsidRDefault="0055241A" w:rsidP="0007409E">
            <w:pPr>
              <w:spacing w:after="0" w:line="240" w:lineRule="auto"/>
              <w:ind w:left="96" w:firstLine="420"/>
              <w:jc w:val="both"/>
              <w:rPr>
                <w:sz w:val="24"/>
                <w:szCs w:val="24"/>
                <w:lang w:eastAsia="lv-LV"/>
              </w:rPr>
            </w:pPr>
            <w:r w:rsidRPr="000C6B9D">
              <w:rPr>
                <w:sz w:val="24"/>
                <w:szCs w:val="24"/>
                <w:lang w:eastAsia="lv-LV"/>
              </w:rPr>
              <w:t xml:space="preserve">Lai </w:t>
            </w:r>
            <w:r w:rsidR="00EC578E" w:rsidRPr="000C6B9D">
              <w:rPr>
                <w:sz w:val="24"/>
                <w:szCs w:val="24"/>
                <w:lang w:eastAsia="lv-LV"/>
              </w:rPr>
              <w:t>precizētu nomas maksas aprēķinu</w:t>
            </w:r>
            <w:r w:rsidR="00117557" w:rsidRPr="00117557">
              <w:rPr>
                <w:bCs/>
              </w:rPr>
              <w:t xml:space="preserve"> </w:t>
            </w:r>
            <w:r w:rsidR="00117557" w:rsidRPr="00117557">
              <w:rPr>
                <w:bCs/>
                <w:sz w:val="24"/>
                <w:szCs w:val="24"/>
                <w:lang w:eastAsia="lv-LV"/>
              </w:rPr>
              <w:t>atbilstoši faktiskajām</w:t>
            </w:r>
            <w:r w:rsidR="00117557">
              <w:rPr>
                <w:bCs/>
                <w:sz w:val="24"/>
                <w:szCs w:val="24"/>
                <w:lang w:eastAsia="lv-LV"/>
              </w:rPr>
              <w:t xml:space="preserve"> apsaimniekošanas izmaksām</w:t>
            </w:r>
            <w:r w:rsidR="00EC578E" w:rsidRPr="000C6B9D">
              <w:rPr>
                <w:sz w:val="24"/>
                <w:szCs w:val="24"/>
                <w:lang w:eastAsia="lv-LV"/>
              </w:rPr>
              <w:t xml:space="preserve">, </w:t>
            </w:r>
            <w:r w:rsidRPr="000C6B9D">
              <w:rPr>
                <w:sz w:val="24"/>
                <w:szCs w:val="24"/>
                <w:lang w:eastAsia="lv-LV"/>
              </w:rPr>
              <w:t xml:space="preserve">VNĪ ir </w:t>
            </w:r>
            <w:r w:rsidR="00117557">
              <w:rPr>
                <w:sz w:val="24"/>
                <w:szCs w:val="24"/>
                <w:lang w:eastAsia="lv-LV"/>
              </w:rPr>
              <w:t xml:space="preserve">izsludinājusi </w:t>
            </w:r>
            <w:r w:rsidR="00BD42A1">
              <w:rPr>
                <w:sz w:val="24"/>
                <w:szCs w:val="24"/>
                <w:lang w:eastAsia="lv-LV"/>
              </w:rPr>
              <w:t>šādus iepirkumus</w:t>
            </w:r>
            <w:r w:rsidRPr="000C6B9D">
              <w:rPr>
                <w:sz w:val="24"/>
                <w:szCs w:val="24"/>
                <w:lang w:eastAsia="lv-LV"/>
              </w:rPr>
              <w:t>:</w:t>
            </w:r>
          </w:p>
          <w:p w:rsidR="00117557" w:rsidRDefault="00BD42A1" w:rsidP="0007409E">
            <w:pPr>
              <w:spacing w:after="0" w:line="240" w:lineRule="auto"/>
              <w:ind w:left="96"/>
              <w:jc w:val="both"/>
              <w:rPr>
                <w:sz w:val="24"/>
                <w:szCs w:val="24"/>
                <w:lang w:eastAsia="lv-LV"/>
              </w:rPr>
            </w:pPr>
            <w:r w:rsidRPr="00BD42A1">
              <w:rPr>
                <w:sz w:val="24"/>
                <w:szCs w:val="24"/>
                <w:lang w:eastAsia="lv-LV"/>
              </w:rPr>
              <w:t xml:space="preserve">1) </w:t>
            </w:r>
            <w:r w:rsidRPr="00F35D17">
              <w:rPr>
                <w:bCs/>
                <w:sz w:val="24"/>
                <w:szCs w:val="24"/>
                <w:lang w:eastAsia="lv-LV"/>
              </w:rPr>
              <w:t>Telpu un teritorijas uzkopšana.</w:t>
            </w:r>
            <w:r w:rsidRPr="00F35D17">
              <w:rPr>
                <w:sz w:val="24"/>
                <w:szCs w:val="24"/>
                <w:lang w:eastAsia="lv-LV"/>
              </w:rPr>
              <w:t xml:space="preserve"> </w:t>
            </w:r>
          </w:p>
          <w:p w:rsidR="00BD42A1" w:rsidRDefault="00BD42A1" w:rsidP="0007409E">
            <w:pPr>
              <w:spacing w:after="0" w:line="240" w:lineRule="auto"/>
              <w:ind w:left="96"/>
              <w:jc w:val="both"/>
              <w:rPr>
                <w:bCs/>
                <w:sz w:val="24"/>
                <w:szCs w:val="24"/>
                <w:lang w:eastAsia="lv-LV"/>
              </w:rPr>
            </w:pPr>
            <w:r w:rsidRPr="00F35D17">
              <w:rPr>
                <w:sz w:val="24"/>
                <w:szCs w:val="24"/>
                <w:lang w:eastAsia="lv-LV"/>
              </w:rPr>
              <w:t xml:space="preserve">2) </w:t>
            </w:r>
            <w:r w:rsidRPr="00F35D17">
              <w:rPr>
                <w:bCs/>
                <w:sz w:val="24"/>
                <w:szCs w:val="24"/>
                <w:lang w:eastAsia="lv-LV"/>
              </w:rPr>
              <w:t xml:space="preserve">Inženierkomunikāciju tehniskā apkope. </w:t>
            </w:r>
          </w:p>
          <w:p w:rsidR="00117557" w:rsidRPr="00BD42A1" w:rsidRDefault="00117557" w:rsidP="0007409E">
            <w:pPr>
              <w:spacing w:after="0" w:line="240" w:lineRule="auto"/>
              <w:ind w:left="96"/>
              <w:jc w:val="both"/>
              <w:rPr>
                <w:sz w:val="24"/>
                <w:szCs w:val="24"/>
                <w:lang w:eastAsia="lv-LV"/>
              </w:rPr>
            </w:pPr>
            <w:r>
              <w:rPr>
                <w:bCs/>
                <w:sz w:val="24"/>
                <w:szCs w:val="24"/>
                <w:lang w:eastAsia="lv-LV"/>
              </w:rPr>
              <w:t>Iepirkuma līgumus ir plānots noslēgt līdz 2015.gada 31.maijam, līdz ar to uzdevuma izpilde būs iespējama līdz 2015.gada 24.jūnijam.</w:t>
            </w:r>
          </w:p>
          <w:p w:rsidR="00631147" w:rsidRPr="000C6B9D" w:rsidRDefault="00631147" w:rsidP="0007409E">
            <w:pPr>
              <w:spacing w:after="0" w:line="240" w:lineRule="auto"/>
              <w:ind w:left="96" w:firstLine="420"/>
              <w:jc w:val="both"/>
              <w:rPr>
                <w:sz w:val="24"/>
                <w:szCs w:val="24"/>
                <w:lang w:eastAsia="lv-LV"/>
              </w:rPr>
            </w:pPr>
            <w:r w:rsidRPr="000C6B9D">
              <w:rPr>
                <w:sz w:val="24"/>
                <w:szCs w:val="24"/>
                <w:lang w:eastAsia="lv-LV"/>
              </w:rPr>
              <w:t>Ņemot vērā minēto, izstrādātais</w:t>
            </w:r>
            <w:r w:rsidR="001322C9">
              <w:rPr>
                <w:sz w:val="24"/>
                <w:szCs w:val="24"/>
                <w:lang w:eastAsia="lv-LV"/>
              </w:rPr>
              <w:t xml:space="preserve"> Ministru kabineta rīkojuma projekts</w:t>
            </w:r>
            <w:r w:rsidRPr="000C6B9D">
              <w:rPr>
                <w:sz w:val="24"/>
                <w:szCs w:val="24"/>
                <w:lang w:eastAsia="lv-LV"/>
              </w:rPr>
              <w:t xml:space="preserve"> </w:t>
            </w:r>
            <w:r w:rsidR="000C6B9D" w:rsidRPr="000C6B9D">
              <w:rPr>
                <w:bCs/>
                <w:sz w:val="24"/>
                <w:szCs w:val="24"/>
              </w:rPr>
              <w:t xml:space="preserve">„Grozījums Ministru kabineta 2013.gada 20.novembra rīkojumā Nr.550 „Par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 </w:t>
            </w:r>
            <w:r w:rsidRPr="000C6B9D">
              <w:rPr>
                <w:sz w:val="24"/>
                <w:szCs w:val="24"/>
                <w:lang w:eastAsia="lv-LV"/>
              </w:rPr>
              <w:t xml:space="preserve">paredz izdarīt grozījumu </w:t>
            </w:r>
            <w:r w:rsidRPr="000C6B9D">
              <w:rPr>
                <w:bCs/>
                <w:sz w:val="24"/>
                <w:szCs w:val="24"/>
              </w:rPr>
              <w:t>MK rīkojuma Nr.</w:t>
            </w:r>
            <w:r w:rsidR="00BD42A1">
              <w:rPr>
                <w:bCs/>
                <w:sz w:val="24"/>
                <w:szCs w:val="24"/>
              </w:rPr>
              <w:t>550</w:t>
            </w:r>
            <w:r w:rsidRPr="000C6B9D">
              <w:rPr>
                <w:bCs/>
                <w:sz w:val="24"/>
                <w:szCs w:val="24"/>
              </w:rPr>
              <w:t xml:space="preserve"> 3.</w:t>
            </w:r>
            <w:r w:rsidR="00BD42A1">
              <w:rPr>
                <w:bCs/>
                <w:sz w:val="24"/>
                <w:szCs w:val="24"/>
              </w:rPr>
              <w:t>1.apakš</w:t>
            </w:r>
            <w:r w:rsidRPr="000C6B9D">
              <w:rPr>
                <w:bCs/>
                <w:sz w:val="24"/>
                <w:szCs w:val="24"/>
              </w:rPr>
              <w:t xml:space="preserve">punktā, pagarinot Finanšu ministrijai (VNĪ) </w:t>
            </w:r>
            <w:r w:rsidRPr="000C6B9D">
              <w:rPr>
                <w:sz w:val="24"/>
                <w:szCs w:val="24"/>
                <w:lang w:eastAsia="lv-LV"/>
              </w:rPr>
              <w:t xml:space="preserve">dotā uzdevuma izpildes termiņu </w:t>
            </w:r>
            <w:r w:rsidR="00BD42A1">
              <w:rPr>
                <w:sz w:val="24"/>
                <w:szCs w:val="24"/>
                <w:lang w:eastAsia="lv-LV"/>
              </w:rPr>
              <w:t xml:space="preserve">par </w:t>
            </w:r>
            <w:r w:rsidR="00117557">
              <w:rPr>
                <w:sz w:val="24"/>
                <w:szCs w:val="24"/>
                <w:lang w:eastAsia="lv-LV"/>
              </w:rPr>
              <w:t>četriem</w:t>
            </w:r>
            <w:r w:rsidR="00BD42A1">
              <w:rPr>
                <w:sz w:val="24"/>
                <w:szCs w:val="24"/>
                <w:lang w:eastAsia="lv-LV"/>
              </w:rPr>
              <w:t xml:space="preserve"> mēnešiem</w:t>
            </w:r>
            <w:r w:rsidRPr="000C6B9D">
              <w:rPr>
                <w:sz w:val="24"/>
                <w:szCs w:val="24"/>
                <w:lang w:eastAsia="lv-LV"/>
              </w:rPr>
              <w:t>.</w:t>
            </w:r>
          </w:p>
          <w:p w:rsidR="001A2E2E" w:rsidRPr="00834507" w:rsidRDefault="001A2E2E" w:rsidP="000F498C">
            <w:pPr>
              <w:spacing w:after="0" w:line="240" w:lineRule="auto"/>
              <w:ind w:firstLine="516"/>
              <w:jc w:val="both"/>
              <w:rPr>
                <w:sz w:val="24"/>
                <w:szCs w:val="24"/>
                <w:lang w:eastAsia="lv-LV"/>
              </w:rPr>
            </w:pPr>
            <w:r w:rsidRPr="000C6B9D">
              <w:rPr>
                <w:bCs/>
                <w:sz w:val="24"/>
                <w:szCs w:val="24"/>
              </w:rPr>
              <w:lastRenderedPageBreak/>
              <w:t xml:space="preserve">Rīkojuma projekts atbilst </w:t>
            </w:r>
            <w:r w:rsidR="006A46C8" w:rsidRPr="000C6B9D">
              <w:rPr>
                <w:bCs/>
                <w:sz w:val="24"/>
                <w:szCs w:val="24"/>
              </w:rPr>
              <w:t>budžeta un finanšu politikas</w:t>
            </w:r>
            <w:r w:rsidRPr="000C6B9D">
              <w:rPr>
                <w:bCs/>
                <w:sz w:val="24"/>
                <w:szCs w:val="24"/>
              </w:rPr>
              <w:t xml:space="preserve"> jomai.</w:t>
            </w:r>
          </w:p>
        </w:tc>
      </w:tr>
      <w:tr w:rsidR="00CE62FF" w:rsidRPr="00B54631" w:rsidTr="0007409E">
        <w:trPr>
          <w:tblCellSpacing w:w="15" w:type="dxa"/>
        </w:trPr>
        <w:tc>
          <w:tcPr>
            <w:tcW w:w="218" w:type="pct"/>
            <w:gridSpan w:val="2"/>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3.</w:t>
            </w:r>
          </w:p>
        </w:tc>
        <w:tc>
          <w:tcPr>
            <w:tcW w:w="1255"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izstrādē iesaistītās institūcijas</w:t>
            </w:r>
          </w:p>
        </w:tc>
        <w:tc>
          <w:tcPr>
            <w:tcW w:w="3462" w:type="pct"/>
            <w:tcBorders>
              <w:top w:val="outset" w:sz="6" w:space="0" w:color="000000"/>
              <w:left w:val="outset" w:sz="6" w:space="0" w:color="000000"/>
              <w:bottom w:val="outset" w:sz="6" w:space="0" w:color="000000"/>
            </w:tcBorders>
          </w:tcPr>
          <w:p w:rsidR="00CE62FF" w:rsidRPr="00B54631" w:rsidRDefault="00CE62FF" w:rsidP="000C6B9D">
            <w:pPr>
              <w:spacing w:before="100" w:beforeAutospacing="1" w:after="100" w:afterAutospacing="1" w:line="240" w:lineRule="auto"/>
              <w:jc w:val="both"/>
              <w:rPr>
                <w:sz w:val="24"/>
                <w:szCs w:val="24"/>
                <w:lang w:eastAsia="lv-LV"/>
              </w:rPr>
            </w:pPr>
            <w:r w:rsidRPr="00B54631">
              <w:rPr>
                <w:sz w:val="24"/>
                <w:szCs w:val="24"/>
                <w:lang w:eastAsia="lv-LV"/>
              </w:rPr>
              <w:t>Finanšu ministrija (VNĪ)</w:t>
            </w:r>
            <w:r w:rsidR="00596552">
              <w:rPr>
                <w:sz w:val="24"/>
                <w:szCs w:val="24"/>
                <w:lang w:eastAsia="lv-LV"/>
              </w:rPr>
              <w:t xml:space="preserve"> </w:t>
            </w:r>
          </w:p>
        </w:tc>
      </w:tr>
      <w:tr w:rsidR="00CE62FF" w:rsidRPr="00B54631" w:rsidTr="0007409E">
        <w:trPr>
          <w:gridBefore w:val="1"/>
          <w:wBefore w:w="11" w:type="pct"/>
          <w:tblCellSpacing w:w="15" w:type="dxa"/>
        </w:trPr>
        <w:tc>
          <w:tcPr>
            <w:tcW w:w="191"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w:t>
            </w:r>
          </w:p>
        </w:tc>
        <w:tc>
          <w:tcPr>
            <w:tcW w:w="1255"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Cita informācija</w:t>
            </w:r>
          </w:p>
        </w:tc>
        <w:tc>
          <w:tcPr>
            <w:tcW w:w="3462" w:type="pct"/>
            <w:tcBorders>
              <w:top w:val="outset" w:sz="6" w:space="0" w:color="000000"/>
              <w:left w:val="outset" w:sz="6" w:space="0" w:color="000000"/>
              <w:bottom w:val="outset" w:sz="6" w:space="0" w:color="000000"/>
            </w:tcBorders>
          </w:tcPr>
          <w:p w:rsidR="00CE62FF" w:rsidRPr="00B54631" w:rsidRDefault="00CE62FF" w:rsidP="00A831A4">
            <w:pPr>
              <w:spacing w:before="100" w:beforeAutospacing="1" w:after="100" w:afterAutospacing="1" w:line="240" w:lineRule="auto"/>
              <w:jc w:val="both"/>
              <w:rPr>
                <w:sz w:val="24"/>
                <w:szCs w:val="24"/>
                <w:lang w:eastAsia="lv-LV"/>
              </w:rPr>
            </w:pPr>
            <w:r w:rsidRPr="00B54631">
              <w:rPr>
                <w:bCs/>
                <w:sz w:val="24"/>
                <w:szCs w:val="24"/>
              </w:rPr>
              <w:t>Nav</w:t>
            </w:r>
            <w:r w:rsidR="00A54E47" w:rsidRPr="00B54631">
              <w:rPr>
                <w:bCs/>
                <w:sz w:val="24"/>
                <w:szCs w:val="24"/>
              </w:rPr>
              <w:t>.</w:t>
            </w:r>
          </w:p>
        </w:tc>
      </w:tr>
    </w:tbl>
    <w:p w:rsidR="009A5BE7" w:rsidRDefault="00CE62FF" w:rsidP="009A5BE7">
      <w:pPr>
        <w:spacing w:after="0" w:line="240" w:lineRule="auto"/>
        <w:rPr>
          <w:sz w:val="24"/>
          <w:szCs w:val="24"/>
          <w:lang w:eastAsia="lv-LV"/>
        </w:rPr>
      </w:pPr>
      <w:r w:rsidRPr="00B54631">
        <w:rPr>
          <w:sz w:val="24"/>
          <w:szCs w:val="24"/>
          <w:lang w:eastAsia="lv-LV"/>
        </w:rPr>
        <w:t> </w:t>
      </w:r>
    </w:p>
    <w:p w:rsidR="0007409E" w:rsidRDefault="0007409E" w:rsidP="009A5BE7">
      <w:pPr>
        <w:spacing w:after="0" w:line="240" w:lineRule="auto"/>
        <w:rPr>
          <w:sz w:val="24"/>
          <w:szCs w:val="24"/>
          <w:lang w:eastAsia="lv-LV"/>
        </w:rPr>
      </w:pPr>
    </w:p>
    <w:tbl>
      <w:tblPr>
        <w:tblW w:w="4951" w:type="pct"/>
        <w:jc w:val="center"/>
        <w:tblCellMar>
          <w:left w:w="10" w:type="dxa"/>
          <w:right w:w="10" w:type="dxa"/>
        </w:tblCellMar>
        <w:tblLook w:val="0000" w:firstRow="0" w:lastRow="0" w:firstColumn="0" w:lastColumn="0" w:noHBand="0" w:noVBand="0"/>
      </w:tblPr>
      <w:tblGrid>
        <w:gridCol w:w="2648"/>
        <w:gridCol w:w="6382"/>
      </w:tblGrid>
      <w:tr w:rsidR="009A5BE7" w:rsidTr="0007409E">
        <w:trPr>
          <w:trHeight w:val="336"/>
          <w:jc w:val="center"/>
        </w:trPr>
        <w:tc>
          <w:tcPr>
            <w:tcW w:w="9030"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tcPr>
          <w:p w:rsidR="009A5BE7" w:rsidRDefault="009A5BE7" w:rsidP="009B76A7">
            <w:pPr>
              <w:spacing w:before="100" w:after="100" w:line="360" w:lineRule="auto"/>
              <w:ind w:firstLine="300"/>
              <w:jc w:val="center"/>
              <w:rPr>
                <w:b/>
                <w:bCs/>
                <w:sz w:val="24"/>
                <w:szCs w:val="24"/>
                <w:lang w:eastAsia="lv-LV"/>
              </w:rPr>
            </w:pPr>
            <w:r>
              <w:rPr>
                <w:b/>
                <w:bCs/>
                <w:sz w:val="24"/>
                <w:szCs w:val="24"/>
                <w:lang w:eastAsia="lv-LV"/>
              </w:rPr>
              <w:t>VI. Sabiedrības līdzdalība un komunikācijas aktivitātes</w:t>
            </w:r>
          </w:p>
        </w:tc>
      </w:tr>
      <w:tr w:rsidR="009A5BE7" w:rsidTr="0007409E">
        <w:trPr>
          <w:trHeight w:val="432"/>
          <w:jc w:val="center"/>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9A5BE7" w:rsidRDefault="009A5BE7" w:rsidP="009B76A7">
            <w:pPr>
              <w:spacing w:after="0" w:line="240" w:lineRule="auto"/>
              <w:rPr>
                <w:sz w:val="24"/>
                <w:szCs w:val="24"/>
                <w:lang w:eastAsia="lv-LV"/>
              </w:rPr>
            </w:pPr>
            <w:r>
              <w:rPr>
                <w:sz w:val="24"/>
                <w:szCs w:val="24"/>
                <w:lang w:eastAsia="lv-LV"/>
              </w:rPr>
              <w:t>Plānotās sabiedrības līdzdalības un komunikācijas aktivitātes saistībā ar projektu</w:t>
            </w:r>
          </w:p>
        </w:tc>
        <w:tc>
          <w:tcPr>
            <w:tcW w:w="638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9A5BE7" w:rsidRDefault="009A5BE7" w:rsidP="000F498C">
            <w:pPr>
              <w:spacing w:after="0" w:line="240" w:lineRule="auto"/>
              <w:ind w:firstLine="294"/>
              <w:jc w:val="both"/>
              <w:rPr>
                <w:sz w:val="24"/>
                <w:szCs w:val="24"/>
                <w:lang w:eastAsia="lv-LV"/>
              </w:rPr>
            </w:pPr>
            <w:r w:rsidRPr="00CE52DC">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w:t>
            </w:r>
            <w:r>
              <w:rPr>
                <w:sz w:val="24"/>
                <w:szCs w:val="24"/>
                <w:lang w:eastAsia="lv-LV"/>
              </w:rPr>
              <w:t xml:space="preserve"> jaunas politiskās iniciatīvas. </w:t>
            </w:r>
          </w:p>
          <w:p w:rsidR="009A5BE7" w:rsidRDefault="009A5BE7" w:rsidP="000F498C">
            <w:pPr>
              <w:spacing w:after="0" w:line="240" w:lineRule="auto"/>
              <w:ind w:firstLine="294"/>
              <w:jc w:val="both"/>
              <w:rPr>
                <w:sz w:val="24"/>
                <w:szCs w:val="24"/>
                <w:lang w:eastAsia="lv-LV"/>
              </w:rPr>
            </w:pPr>
            <w:r w:rsidRPr="00CE52DC">
              <w:rPr>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w:t>
            </w:r>
          </w:p>
        </w:tc>
      </w:tr>
      <w:tr w:rsidR="009A5BE7" w:rsidTr="0007409E">
        <w:trPr>
          <w:trHeight w:val="264"/>
          <w:jc w:val="center"/>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9A5BE7" w:rsidRDefault="009A5BE7" w:rsidP="009B76A7">
            <w:pPr>
              <w:spacing w:after="0" w:line="240" w:lineRule="auto"/>
              <w:rPr>
                <w:sz w:val="24"/>
                <w:szCs w:val="24"/>
                <w:lang w:eastAsia="lv-LV"/>
              </w:rPr>
            </w:pPr>
            <w:r>
              <w:rPr>
                <w:sz w:val="24"/>
                <w:szCs w:val="24"/>
                <w:lang w:eastAsia="lv-LV"/>
              </w:rPr>
              <w:t>Sabiedrības līdzdalība projekta izstrādē</w:t>
            </w:r>
          </w:p>
        </w:tc>
        <w:tc>
          <w:tcPr>
            <w:tcW w:w="638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9A5BE7" w:rsidRDefault="009A5BE7" w:rsidP="000F498C">
            <w:pPr>
              <w:spacing w:after="0" w:line="240" w:lineRule="auto"/>
              <w:ind w:firstLine="294"/>
              <w:jc w:val="both"/>
              <w:rPr>
                <w:sz w:val="24"/>
                <w:szCs w:val="24"/>
                <w:lang w:eastAsia="lv-LV"/>
              </w:rPr>
            </w:pPr>
            <w:r>
              <w:rPr>
                <w:sz w:val="24"/>
                <w:szCs w:val="24"/>
                <w:lang w:eastAsia="lv-LV"/>
              </w:rPr>
              <w:t>Rīkojuma projekta būtība skar Ministru kabineta kompetenci lemt par to, vai atļaut vai neatļaut valsts nekustamā īpašuma atsavināšanu. Rīkojuma projektā risinātie jautājumi neparedz ieviest izmaiņas, kas varētu ietekmēt sabiedrības intereses.</w:t>
            </w:r>
          </w:p>
        </w:tc>
      </w:tr>
      <w:tr w:rsidR="009A5BE7" w:rsidTr="0007409E">
        <w:trPr>
          <w:trHeight w:val="372"/>
          <w:jc w:val="center"/>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9A5BE7" w:rsidRDefault="009A5BE7" w:rsidP="009B76A7">
            <w:pPr>
              <w:spacing w:after="0" w:line="240" w:lineRule="auto"/>
              <w:rPr>
                <w:sz w:val="24"/>
                <w:szCs w:val="24"/>
                <w:lang w:eastAsia="lv-LV"/>
              </w:rPr>
            </w:pPr>
            <w:r>
              <w:rPr>
                <w:sz w:val="24"/>
                <w:szCs w:val="24"/>
                <w:lang w:eastAsia="lv-LV"/>
              </w:rPr>
              <w:t>Sabiedrības līdzdalības rezultāti</w:t>
            </w:r>
          </w:p>
        </w:tc>
        <w:tc>
          <w:tcPr>
            <w:tcW w:w="638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9A5BE7" w:rsidRDefault="009A5BE7" w:rsidP="009B76A7">
            <w:pPr>
              <w:spacing w:after="0" w:line="240" w:lineRule="auto"/>
              <w:jc w:val="both"/>
              <w:rPr>
                <w:sz w:val="24"/>
                <w:szCs w:val="24"/>
                <w:lang w:eastAsia="lv-LV"/>
              </w:rPr>
            </w:pPr>
            <w:r>
              <w:rPr>
                <w:sz w:val="24"/>
                <w:szCs w:val="24"/>
                <w:lang w:eastAsia="lv-LV"/>
              </w:rPr>
              <w:t>Projekts šo jomu neskar.</w:t>
            </w:r>
          </w:p>
        </w:tc>
      </w:tr>
      <w:tr w:rsidR="009A5BE7" w:rsidTr="0007409E">
        <w:trPr>
          <w:trHeight w:val="372"/>
          <w:jc w:val="center"/>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9A5BE7" w:rsidRDefault="009A5BE7" w:rsidP="009B76A7">
            <w:pPr>
              <w:spacing w:after="0" w:line="240" w:lineRule="auto"/>
              <w:rPr>
                <w:sz w:val="24"/>
                <w:szCs w:val="24"/>
                <w:lang w:eastAsia="lv-LV"/>
              </w:rPr>
            </w:pPr>
            <w:r>
              <w:rPr>
                <w:sz w:val="24"/>
                <w:szCs w:val="24"/>
                <w:lang w:eastAsia="lv-LV"/>
              </w:rPr>
              <w:t>Cita informācija</w:t>
            </w:r>
          </w:p>
        </w:tc>
        <w:tc>
          <w:tcPr>
            <w:tcW w:w="638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9A5BE7" w:rsidRDefault="009A5BE7" w:rsidP="000F498C">
            <w:pPr>
              <w:spacing w:before="100" w:after="100" w:line="240" w:lineRule="auto"/>
              <w:ind w:firstLine="294"/>
              <w:jc w:val="both"/>
              <w:rPr>
                <w:sz w:val="24"/>
                <w:szCs w:val="24"/>
                <w:lang w:eastAsia="lv-LV"/>
              </w:rPr>
            </w:pPr>
            <w:r>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E62FF" w:rsidRDefault="00CE62FF" w:rsidP="00CE62FF">
      <w:pPr>
        <w:spacing w:after="0" w:line="240" w:lineRule="auto"/>
        <w:rPr>
          <w:sz w:val="24"/>
          <w:szCs w:val="24"/>
          <w:lang w:eastAsia="lv-LV"/>
        </w:rPr>
      </w:pPr>
    </w:p>
    <w:p w:rsidR="0007409E" w:rsidRPr="00B54631" w:rsidRDefault="0007409E" w:rsidP="00CE62FF">
      <w:pPr>
        <w:spacing w:after="0" w:line="240" w:lineRule="auto"/>
        <w:rPr>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CE62FF" w:rsidRPr="00B54631" w:rsidTr="007B54AB">
        <w:trPr>
          <w:tblCellSpacing w:w="15" w:type="dxa"/>
        </w:trPr>
        <w:tc>
          <w:tcPr>
            <w:tcW w:w="4967" w:type="pct"/>
            <w:gridSpan w:val="3"/>
            <w:tcBorders>
              <w:top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VII. Tiesību akta projekta izpildes nodrošināšana un tās ietekme uz institūcijām</w:t>
            </w:r>
          </w:p>
        </w:tc>
      </w:tr>
      <w:tr w:rsidR="00CE62FF" w:rsidRPr="00B54631" w:rsidTr="009A5BE7">
        <w:trPr>
          <w:tblCellSpacing w:w="15" w:type="dxa"/>
        </w:trPr>
        <w:tc>
          <w:tcPr>
            <w:tcW w:w="271"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CE62FF" w:rsidRPr="00B54631" w:rsidRDefault="00CE62FF" w:rsidP="00A831A4">
            <w:pPr>
              <w:spacing w:before="100" w:beforeAutospacing="1" w:after="100" w:afterAutospacing="1" w:line="240" w:lineRule="auto"/>
              <w:jc w:val="both"/>
              <w:rPr>
                <w:sz w:val="24"/>
                <w:szCs w:val="24"/>
                <w:lang w:eastAsia="lv-LV"/>
              </w:rPr>
            </w:pPr>
            <w:r w:rsidRPr="00B54631">
              <w:rPr>
                <w:sz w:val="24"/>
                <w:szCs w:val="24"/>
                <w:lang w:eastAsia="lv-LV"/>
              </w:rPr>
              <w:t xml:space="preserve">Par rīkojuma projekta izpildi atbildīgā ir </w:t>
            </w:r>
            <w:r w:rsidR="001A1014" w:rsidRPr="00B54631">
              <w:rPr>
                <w:sz w:val="24"/>
                <w:szCs w:val="24"/>
                <w:lang w:eastAsia="lv-LV"/>
              </w:rPr>
              <w:t>Finanšu ministrija (VNĪ).</w:t>
            </w:r>
            <w:r w:rsidRPr="00B54631">
              <w:rPr>
                <w:sz w:val="24"/>
                <w:szCs w:val="24"/>
                <w:lang w:eastAsia="lv-LV"/>
              </w:rPr>
              <w:t xml:space="preserve"> </w:t>
            </w:r>
          </w:p>
        </w:tc>
      </w:tr>
      <w:tr w:rsidR="00CE62FF" w:rsidRPr="00B54631" w:rsidTr="009A5BE7">
        <w:trPr>
          <w:tblCellSpacing w:w="15" w:type="dxa"/>
        </w:trPr>
        <w:tc>
          <w:tcPr>
            <w:tcW w:w="271"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Projekta izpildes ietekme uz pārvaldes funkcijām un institucionālo struktūru. </w:t>
            </w:r>
          </w:p>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Jaunu institūciju izveide, esošu institūciju likvidācija vai reorganizācija, to </w:t>
            </w:r>
            <w:r w:rsidRPr="00B54631">
              <w:rPr>
                <w:sz w:val="24"/>
                <w:szCs w:val="24"/>
                <w:lang w:eastAsia="lv-LV"/>
              </w:rPr>
              <w:lastRenderedPageBreak/>
              <w:t>ietekme uz institūcijas cilvēkresursiem</w:t>
            </w:r>
          </w:p>
        </w:tc>
        <w:tc>
          <w:tcPr>
            <w:tcW w:w="3432" w:type="pct"/>
            <w:tcBorders>
              <w:top w:val="outset" w:sz="6" w:space="0" w:color="000000"/>
              <w:left w:val="outset" w:sz="6" w:space="0" w:color="000000"/>
              <w:bottom w:val="outset" w:sz="6" w:space="0" w:color="000000"/>
            </w:tcBorders>
            <w:vAlign w:val="center"/>
          </w:tcPr>
          <w:p w:rsidR="00CE62FF" w:rsidRPr="00B54631" w:rsidRDefault="00F00BC9" w:rsidP="00A831A4">
            <w:pPr>
              <w:spacing w:before="100" w:beforeAutospacing="1" w:after="100" w:afterAutospacing="1" w:line="240" w:lineRule="auto"/>
              <w:rPr>
                <w:sz w:val="24"/>
                <w:szCs w:val="24"/>
                <w:lang w:eastAsia="lv-LV"/>
              </w:rPr>
            </w:pPr>
            <w:r>
              <w:rPr>
                <w:sz w:val="24"/>
                <w:szCs w:val="24"/>
                <w:lang w:eastAsia="lv-LV"/>
              </w:rPr>
              <w:lastRenderedPageBreak/>
              <w:t>Projekts šo jomu neskar.</w:t>
            </w:r>
          </w:p>
        </w:tc>
      </w:tr>
      <w:tr w:rsidR="00CE62FF" w:rsidRPr="00B54631" w:rsidTr="009A5BE7">
        <w:trPr>
          <w:tblCellSpacing w:w="15" w:type="dxa"/>
        </w:trPr>
        <w:tc>
          <w:tcPr>
            <w:tcW w:w="271" w:type="pct"/>
            <w:tcBorders>
              <w:top w:val="outset" w:sz="6" w:space="0" w:color="000000"/>
              <w:bottom w:val="outset" w:sz="6" w:space="0" w:color="000000"/>
              <w:right w:val="outset" w:sz="6" w:space="0" w:color="000000"/>
            </w:tcBorders>
          </w:tcPr>
          <w:p w:rsidR="00CE62FF" w:rsidRPr="00B54631" w:rsidRDefault="00CE62FF" w:rsidP="007B54AB">
            <w:pPr>
              <w:spacing w:after="0" w:line="240" w:lineRule="auto"/>
              <w:rPr>
                <w:sz w:val="24"/>
                <w:szCs w:val="24"/>
                <w:lang w:eastAsia="lv-LV"/>
              </w:rPr>
            </w:pPr>
            <w:r w:rsidRPr="00B54631">
              <w:rPr>
                <w:sz w:val="24"/>
                <w:szCs w:val="24"/>
                <w:lang w:eastAsia="lv-LV"/>
              </w:rPr>
              <w:lastRenderedPageBreak/>
              <w:t>3.</w:t>
            </w:r>
          </w:p>
        </w:tc>
        <w:tc>
          <w:tcPr>
            <w:tcW w:w="1231"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CE62FF" w:rsidRPr="00B54631" w:rsidRDefault="00CE62FF" w:rsidP="00A831A4">
            <w:pPr>
              <w:spacing w:after="0" w:line="240" w:lineRule="auto"/>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281B5D" w:rsidRDefault="00281B5D" w:rsidP="00281B5D">
      <w:pPr>
        <w:spacing w:after="0" w:line="240" w:lineRule="auto"/>
        <w:rPr>
          <w:sz w:val="24"/>
          <w:szCs w:val="24"/>
          <w:lang w:eastAsia="lv-LV"/>
        </w:rPr>
      </w:pPr>
    </w:p>
    <w:p w:rsidR="001A1014" w:rsidRPr="0007409E" w:rsidRDefault="00163A32" w:rsidP="001A1014">
      <w:pPr>
        <w:tabs>
          <w:tab w:val="left" w:pos="2552"/>
        </w:tabs>
        <w:spacing w:after="0" w:line="240" w:lineRule="auto"/>
        <w:rPr>
          <w:bCs/>
          <w:sz w:val="26"/>
          <w:szCs w:val="26"/>
          <w:lang w:eastAsia="lv-LV"/>
        </w:rPr>
      </w:pPr>
      <w:r w:rsidRPr="0007409E">
        <w:rPr>
          <w:bCs/>
          <w:sz w:val="26"/>
          <w:szCs w:val="26"/>
          <w:lang w:eastAsia="lv-LV"/>
        </w:rPr>
        <w:t>Anotācijas</w:t>
      </w:r>
      <w:r w:rsidR="009A5BE7" w:rsidRPr="0007409E">
        <w:rPr>
          <w:bCs/>
          <w:sz w:val="26"/>
          <w:szCs w:val="26"/>
          <w:lang w:eastAsia="lv-LV"/>
        </w:rPr>
        <w:t xml:space="preserve"> II, </w:t>
      </w:r>
      <w:r w:rsidR="006A46C8" w:rsidRPr="0007409E">
        <w:rPr>
          <w:bCs/>
          <w:sz w:val="26"/>
          <w:szCs w:val="26"/>
          <w:lang w:eastAsia="lv-LV"/>
        </w:rPr>
        <w:t xml:space="preserve">III, </w:t>
      </w:r>
      <w:r w:rsidR="009A5BE7" w:rsidRPr="0007409E">
        <w:rPr>
          <w:bCs/>
          <w:sz w:val="26"/>
          <w:szCs w:val="26"/>
          <w:lang w:eastAsia="lv-LV"/>
        </w:rPr>
        <w:t xml:space="preserve">IV un </w:t>
      </w:r>
      <w:r w:rsidR="00F00BC9" w:rsidRPr="0007409E">
        <w:rPr>
          <w:bCs/>
          <w:sz w:val="26"/>
          <w:szCs w:val="26"/>
          <w:lang w:eastAsia="lv-LV"/>
        </w:rPr>
        <w:t xml:space="preserve">V </w:t>
      </w:r>
      <w:r w:rsidRPr="0007409E">
        <w:rPr>
          <w:bCs/>
          <w:sz w:val="26"/>
          <w:szCs w:val="26"/>
          <w:lang w:eastAsia="lv-LV"/>
        </w:rPr>
        <w:t>s</w:t>
      </w:r>
      <w:r w:rsidR="001A1014" w:rsidRPr="0007409E">
        <w:rPr>
          <w:bCs/>
          <w:sz w:val="26"/>
          <w:szCs w:val="26"/>
          <w:lang w:eastAsia="lv-LV"/>
        </w:rPr>
        <w:t>adaļa –</w:t>
      </w:r>
      <w:r w:rsidR="00726CB2" w:rsidRPr="0007409E">
        <w:rPr>
          <w:bCs/>
          <w:sz w:val="26"/>
          <w:szCs w:val="26"/>
          <w:lang w:eastAsia="lv-LV"/>
        </w:rPr>
        <w:t xml:space="preserve"> </w:t>
      </w:r>
      <w:r w:rsidR="001A1014" w:rsidRPr="0007409E">
        <w:rPr>
          <w:bCs/>
          <w:sz w:val="26"/>
          <w:szCs w:val="26"/>
          <w:lang w:eastAsia="lv-LV"/>
        </w:rPr>
        <w:t>projekts šīs jomas neskar.</w:t>
      </w:r>
    </w:p>
    <w:p w:rsidR="0077392A" w:rsidRDefault="0077392A" w:rsidP="00281B5D">
      <w:pPr>
        <w:spacing w:after="0" w:line="240" w:lineRule="auto"/>
        <w:rPr>
          <w:sz w:val="24"/>
          <w:szCs w:val="24"/>
          <w:lang w:eastAsia="lv-LV"/>
        </w:rPr>
      </w:pPr>
    </w:p>
    <w:p w:rsidR="0007409E" w:rsidRDefault="0007409E" w:rsidP="00281B5D">
      <w:pPr>
        <w:spacing w:after="0" w:line="240" w:lineRule="auto"/>
        <w:rPr>
          <w:sz w:val="24"/>
          <w:szCs w:val="24"/>
          <w:lang w:eastAsia="lv-LV"/>
        </w:rPr>
      </w:pPr>
    </w:p>
    <w:p w:rsidR="0007409E" w:rsidRPr="002E66A7" w:rsidRDefault="0007409E" w:rsidP="00281B5D">
      <w:pPr>
        <w:spacing w:after="0" w:line="240" w:lineRule="auto"/>
        <w:rPr>
          <w:sz w:val="24"/>
          <w:szCs w:val="24"/>
          <w:lang w:eastAsia="lv-LV"/>
        </w:rPr>
      </w:pPr>
    </w:p>
    <w:p w:rsidR="00281B5D" w:rsidRPr="0007409E" w:rsidRDefault="00281B5D" w:rsidP="00281B5D">
      <w:pPr>
        <w:spacing w:after="0" w:line="240" w:lineRule="auto"/>
        <w:ind w:firstLine="720"/>
        <w:rPr>
          <w:sz w:val="26"/>
          <w:szCs w:val="26"/>
          <w:lang w:eastAsia="lv-LV"/>
        </w:rPr>
      </w:pPr>
      <w:r w:rsidRPr="0007409E">
        <w:rPr>
          <w:sz w:val="26"/>
          <w:szCs w:val="26"/>
          <w:lang w:eastAsia="lv-LV"/>
        </w:rPr>
        <w:t>Finanšu ministrs</w:t>
      </w:r>
      <w:r w:rsidRPr="0007409E">
        <w:rPr>
          <w:sz w:val="26"/>
          <w:szCs w:val="26"/>
          <w:lang w:eastAsia="lv-LV"/>
        </w:rPr>
        <w:tab/>
      </w:r>
      <w:r w:rsidR="0007409E">
        <w:rPr>
          <w:sz w:val="26"/>
          <w:szCs w:val="26"/>
          <w:lang w:eastAsia="lv-LV"/>
        </w:rPr>
        <w:tab/>
      </w:r>
      <w:r w:rsidRPr="0007409E">
        <w:rPr>
          <w:sz w:val="26"/>
          <w:szCs w:val="26"/>
          <w:lang w:eastAsia="lv-LV"/>
        </w:rPr>
        <w:tab/>
      </w:r>
      <w:r w:rsidRPr="0007409E">
        <w:rPr>
          <w:sz w:val="26"/>
          <w:szCs w:val="26"/>
          <w:lang w:eastAsia="lv-LV"/>
        </w:rPr>
        <w:tab/>
      </w:r>
      <w:r w:rsidRPr="0007409E">
        <w:rPr>
          <w:sz w:val="26"/>
          <w:szCs w:val="26"/>
          <w:lang w:eastAsia="lv-LV"/>
        </w:rPr>
        <w:tab/>
      </w:r>
      <w:r w:rsidRPr="0007409E">
        <w:rPr>
          <w:sz w:val="26"/>
          <w:szCs w:val="26"/>
          <w:lang w:eastAsia="lv-LV"/>
        </w:rPr>
        <w:tab/>
      </w:r>
      <w:r w:rsidRPr="0007409E">
        <w:rPr>
          <w:sz w:val="26"/>
          <w:szCs w:val="26"/>
          <w:lang w:eastAsia="lv-LV"/>
        </w:rPr>
        <w:tab/>
      </w:r>
      <w:r w:rsidRPr="0007409E">
        <w:rPr>
          <w:sz w:val="26"/>
          <w:szCs w:val="26"/>
          <w:lang w:eastAsia="lv-LV"/>
        </w:rPr>
        <w:tab/>
      </w:r>
      <w:r w:rsidR="000F498C" w:rsidRPr="0007409E">
        <w:rPr>
          <w:sz w:val="26"/>
          <w:szCs w:val="26"/>
          <w:lang w:eastAsia="lv-LV"/>
        </w:rPr>
        <w:t>J</w:t>
      </w:r>
      <w:r w:rsidRPr="0007409E">
        <w:rPr>
          <w:sz w:val="26"/>
          <w:szCs w:val="26"/>
          <w:lang w:eastAsia="lv-LV"/>
        </w:rPr>
        <w:t>.</w:t>
      </w:r>
      <w:r w:rsidR="000F498C" w:rsidRPr="0007409E">
        <w:rPr>
          <w:sz w:val="26"/>
          <w:szCs w:val="26"/>
          <w:lang w:eastAsia="lv-LV"/>
        </w:rPr>
        <w:t>Reirs</w:t>
      </w:r>
    </w:p>
    <w:p w:rsidR="00281B5D" w:rsidRDefault="00281B5D" w:rsidP="00281B5D">
      <w:pPr>
        <w:spacing w:after="0" w:line="240" w:lineRule="auto"/>
        <w:rPr>
          <w:sz w:val="24"/>
          <w:szCs w:val="24"/>
          <w:lang w:eastAsia="lv-LV"/>
        </w:rPr>
      </w:pPr>
    </w:p>
    <w:p w:rsidR="0077392A" w:rsidRDefault="0077392A" w:rsidP="00281B5D">
      <w:pPr>
        <w:spacing w:after="0" w:line="240" w:lineRule="auto"/>
        <w:rPr>
          <w:sz w:val="24"/>
          <w:szCs w:val="24"/>
          <w:lang w:eastAsia="lv-LV"/>
        </w:rPr>
      </w:pPr>
    </w:p>
    <w:p w:rsidR="0007409E" w:rsidRPr="002E66A7" w:rsidRDefault="0007409E" w:rsidP="00281B5D">
      <w:pPr>
        <w:spacing w:after="0" w:line="240" w:lineRule="auto"/>
        <w:rPr>
          <w:sz w:val="24"/>
          <w:szCs w:val="24"/>
          <w:lang w:eastAsia="lv-LV"/>
        </w:rPr>
      </w:pPr>
    </w:p>
    <w:p w:rsidR="00281B5D" w:rsidRPr="007F3308" w:rsidRDefault="000C6B9D" w:rsidP="00281B5D">
      <w:pPr>
        <w:spacing w:after="0" w:line="240" w:lineRule="auto"/>
        <w:rPr>
          <w:sz w:val="20"/>
          <w:szCs w:val="20"/>
          <w:highlight w:val="yellow"/>
          <w:lang w:eastAsia="lv-LV"/>
        </w:rPr>
      </w:pPr>
      <w:r>
        <w:rPr>
          <w:sz w:val="20"/>
          <w:szCs w:val="20"/>
          <w:lang w:eastAsia="lv-LV"/>
        </w:rPr>
        <w:t xml:space="preserve">09.03.2015. </w:t>
      </w:r>
      <w:r w:rsidR="00A831A4">
        <w:rPr>
          <w:sz w:val="20"/>
          <w:szCs w:val="20"/>
          <w:lang w:eastAsia="lv-LV"/>
        </w:rPr>
        <w:t>14:02</w:t>
      </w:r>
    </w:p>
    <w:p w:rsidR="00281B5D" w:rsidRPr="006E6260" w:rsidRDefault="001C745B" w:rsidP="00281B5D">
      <w:pPr>
        <w:spacing w:after="0" w:line="240" w:lineRule="auto"/>
        <w:rPr>
          <w:sz w:val="20"/>
          <w:szCs w:val="20"/>
          <w:lang w:eastAsia="lv-LV"/>
        </w:rPr>
      </w:pPr>
      <w:r>
        <w:rPr>
          <w:sz w:val="20"/>
          <w:szCs w:val="20"/>
          <w:lang w:eastAsia="lv-LV"/>
        </w:rPr>
        <w:t>569</w:t>
      </w:r>
    </w:p>
    <w:p w:rsidR="00281B5D" w:rsidRPr="006E6260" w:rsidRDefault="000C6B9D" w:rsidP="00281B5D">
      <w:pPr>
        <w:spacing w:after="0" w:line="240" w:lineRule="auto"/>
        <w:rPr>
          <w:sz w:val="20"/>
          <w:szCs w:val="20"/>
          <w:lang w:eastAsia="lv-LV"/>
        </w:rPr>
      </w:pPr>
      <w:r>
        <w:rPr>
          <w:sz w:val="20"/>
          <w:szCs w:val="20"/>
          <w:lang w:eastAsia="lv-LV"/>
        </w:rPr>
        <w:t>M.Reders</w:t>
      </w:r>
      <w:r w:rsidR="00281B5D" w:rsidRPr="006E6260">
        <w:rPr>
          <w:sz w:val="20"/>
          <w:szCs w:val="20"/>
          <w:lang w:eastAsia="lv-LV"/>
        </w:rPr>
        <w:t>, 67024</w:t>
      </w:r>
      <w:r>
        <w:rPr>
          <w:sz w:val="20"/>
          <w:szCs w:val="20"/>
          <w:lang w:eastAsia="lv-LV"/>
        </w:rPr>
        <w:t>635</w:t>
      </w:r>
    </w:p>
    <w:p w:rsidR="00CE12F9" w:rsidRPr="00F33240" w:rsidRDefault="000C6B9D" w:rsidP="00F73978">
      <w:pPr>
        <w:spacing w:after="0" w:line="240" w:lineRule="auto"/>
        <w:rPr>
          <w:sz w:val="24"/>
          <w:szCs w:val="24"/>
        </w:rPr>
      </w:pPr>
      <w:r>
        <w:rPr>
          <w:sz w:val="20"/>
          <w:szCs w:val="20"/>
          <w:lang w:eastAsia="lv-LV"/>
        </w:rPr>
        <w:t>mareks.reders@vni.lv</w:t>
      </w:r>
    </w:p>
    <w:sectPr w:rsidR="00CE12F9" w:rsidRPr="00F33240" w:rsidSect="007B54A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8C1" w:rsidRDefault="008918C1" w:rsidP="00F02ADC">
      <w:pPr>
        <w:spacing w:after="0" w:line="240" w:lineRule="auto"/>
      </w:pPr>
      <w:r>
        <w:separator/>
      </w:r>
    </w:p>
  </w:endnote>
  <w:endnote w:type="continuationSeparator" w:id="0">
    <w:p w:rsidR="008918C1" w:rsidRDefault="008918C1"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57" w:rsidRPr="00F33240" w:rsidRDefault="00117557" w:rsidP="00F33240">
    <w:pPr>
      <w:pStyle w:val="Footer"/>
      <w:spacing w:after="0" w:line="240" w:lineRule="auto"/>
      <w:jc w:val="both"/>
      <w:rPr>
        <w:sz w:val="20"/>
        <w:szCs w:val="20"/>
      </w:rPr>
    </w:pPr>
    <w:r w:rsidRPr="00F33240">
      <w:rPr>
        <w:sz w:val="20"/>
        <w:szCs w:val="20"/>
      </w:rPr>
      <w:t>FMAnot_090315_groz_</w:t>
    </w:r>
    <w:r w:rsidR="000F498C">
      <w:rPr>
        <w:sz w:val="20"/>
        <w:szCs w:val="20"/>
      </w:rPr>
      <w:t>550</w:t>
    </w:r>
    <w:r w:rsidRPr="00F33240">
      <w:rPr>
        <w:sz w:val="20"/>
        <w:szCs w:val="20"/>
      </w:rPr>
      <w:t>; Ministru kabineta rīkojuma projekta „</w:t>
    </w:r>
    <w:r w:rsidRPr="00F33240">
      <w:rPr>
        <w:bCs/>
        <w:sz w:val="20"/>
        <w:szCs w:val="20"/>
      </w:rPr>
      <w:t xml:space="preserve">Grozījums Ministru kabineta 2013.gada 20.novembra rīkojumā Nr.550 „Par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 </w:t>
    </w:r>
    <w:r w:rsidRPr="00F33240">
      <w:rPr>
        <w:sz w:val="20"/>
        <w:szCs w:val="20"/>
      </w:rPr>
      <w:t xml:space="preserve">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57" w:rsidRPr="00F33240" w:rsidRDefault="000F498C" w:rsidP="007B54AB">
    <w:pPr>
      <w:pStyle w:val="Footer"/>
      <w:spacing w:after="0" w:line="240" w:lineRule="auto"/>
      <w:jc w:val="both"/>
      <w:rPr>
        <w:sz w:val="20"/>
        <w:szCs w:val="20"/>
      </w:rPr>
    </w:pPr>
    <w:r>
      <w:rPr>
        <w:sz w:val="20"/>
        <w:szCs w:val="20"/>
      </w:rPr>
      <w:t>FMAnot_090315_groz_550</w:t>
    </w:r>
    <w:r w:rsidR="00117557" w:rsidRPr="00F33240">
      <w:rPr>
        <w:sz w:val="20"/>
        <w:szCs w:val="20"/>
      </w:rPr>
      <w:t>; Ministru kabineta rīkojuma projekta „</w:t>
    </w:r>
    <w:r w:rsidR="00117557" w:rsidRPr="00F33240">
      <w:rPr>
        <w:bCs/>
        <w:sz w:val="20"/>
        <w:szCs w:val="20"/>
      </w:rPr>
      <w:t xml:space="preserve">Grozījums Ministru kabineta 2013.gada 20.novembra rīkojumā Nr.550 „Par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 </w:t>
    </w:r>
    <w:r w:rsidR="00117557" w:rsidRPr="00F33240">
      <w:rPr>
        <w:sz w:val="20"/>
        <w:szCs w:val="20"/>
      </w:rPr>
      <w:t xml:space="preserve">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8C1" w:rsidRDefault="008918C1" w:rsidP="00F02ADC">
      <w:pPr>
        <w:spacing w:after="0" w:line="240" w:lineRule="auto"/>
      </w:pPr>
      <w:r>
        <w:separator/>
      </w:r>
    </w:p>
  </w:footnote>
  <w:footnote w:type="continuationSeparator" w:id="0">
    <w:p w:rsidR="008918C1" w:rsidRDefault="008918C1"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57" w:rsidRDefault="00AF7072" w:rsidP="007B54AB">
    <w:pPr>
      <w:pStyle w:val="Header"/>
      <w:framePr w:wrap="around" w:vAnchor="text" w:hAnchor="margin" w:xAlign="center" w:y="1"/>
      <w:rPr>
        <w:rStyle w:val="PageNumber"/>
      </w:rPr>
    </w:pPr>
    <w:r>
      <w:rPr>
        <w:rStyle w:val="PageNumber"/>
      </w:rPr>
      <w:fldChar w:fldCharType="begin"/>
    </w:r>
    <w:r w:rsidR="00117557">
      <w:rPr>
        <w:rStyle w:val="PageNumber"/>
      </w:rPr>
      <w:instrText xml:space="preserve">PAGE  </w:instrText>
    </w:r>
    <w:r>
      <w:rPr>
        <w:rStyle w:val="PageNumber"/>
      </w:rPr>
      <w:fldChar w:fldCharType="end"/>
    </w:r>
  </w:p>
  <w:p w:rsidR="00117557" w:rsidRDefault="00117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57" w:rsidRDefault="00AF7072" w:rsidP="007B54AB">
    <w:pPr>
      <w:pStyle w:val="Header"/>
      <w:framePr w:wrap="around" w:vAnchor="text" w:hAnchor="margin" w:xAlign="center" w:y="1"/>
      <w:rPr>
        <w:rStyle w:val="PageNumber"/>
      </w:rPr>
    </w:pPr>
    <w:r>
      <w:rPr>
        <w:rStyle w:val="PageNumber"/>
      </w:rPr>
      <w:fldChar w:fldCharType="begin"/>
    </w:r>
    <w:r w:rsidR="00117557">
      <w:rPr>
        <w:rStyle w:val="PageNumber"/>
      </w:rPr>
      <w:instrText xml:space="preserve">PAGE  </w:instrText>
    </w:r>
    <w:r>
      <w:rPr>
        <w:rStyle w:val="PageNumber"/>
      </w:rPr>
      <w:fldChar w:fldCharType="separate"/>
    </w:r>
    <w:r w:rsidR="00FC6BB7">
      <w:rPr>
        <w:rStyle w:val="PageNumber"/>
        <w:noProof/>
      </w:rPr>
      <w:t>3</w:t>
    </w:r>
    <w:r>
      <w:rPr>
        <w:rStyle w:val="PageNumber"/>
      </w:rPr>
      <w:fldChar w:fldCharType="end"/>
    </w:r>
  </w:p>
  <w:p w:rsidR="00117557" w:rsidRDefault="00117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3">
    <w:nsid w:val="479A1421"/>
    <w:multiLevelType w:val="hybridMultilevel"/>
    <w:tmpl w:val="156E5CDA"/>
    <w:lvl w:ilvl="0" w:tplc="B574AD72">
      <w:start w:val="1"/>
      <w:numFmt w:val="decimal"/>
      <w:lvlText w:val="%1)"/>
      <w:lvlJc w:val="left"/>
      <w:pPr>
        <w:ind w:left="833" w:hanging="360"/>
      </w:pPr>
      <w:rPr>
        <w:rFonts w:ascii="Times New Roman" w:eastAsia="Times New Roman" w:hAnsi="Times New Roman" w:cs="Times New Roman"/>
        <w:sz w:val="24"/>
        <w:szCs w:val="24"/>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4">
    <w:nsid w:val="4D835DC2"/>
    <w:multiLevelType w:val="hybridMultilevel"/>
    <w:tmpl w:val="479E03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77AE275F"/>
    <w:multiLevelType w:val="hybridMultilevel"/>
    <w:tmpl w:val="052A6154"/>
    <w:lvl w:ilvl="0" w:tplc="FE42DE1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D69712F"/>
    <w:multiLevelType w:val="hybridMultilevel"/>
    <w:tmpl w:val="9F8E8D10"/>
    <w:lvl w:ilvl="0" w:tplc="7F24E6D8">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1B5D"/>
    <w:rsid w:val="000445A0"/>
    <w:rsid w:val="00065E77"/>
    <w:rsid w:val="0007409E"/>
    <w:rsid w:val="00081811"/>
    <w:rsid w:val="00086AF4"/>
    <w:rsid w:val="00090C04"/>
    <w:rsid w:val="000942F1"/>
    <w:rsid w:val="000C6B9D"/>
    <w:rsid w:val="000D73CF"/>
    <w:rsid w:val="000E3D08"/>
    <w:rsid w:val="000F18C0"/>
    <w:rsid w:val="000F498C"/>
    <w:rsid w:val="00117557"/>
    <w:rsid w:val="00126CB4"/>
    <w:rsid w:val="00131064"/>
    <w:rsid w:val="001322C9"/>
    <w:rsid w:val="00163A32"/>
    <w:rsid w:val="001731ED"/>
    <w:rsid w:val="001846E0"/>
    <w:rsid w:val="00184759"/>
    <w:rsid w:val="00187F06"/>
    <w:rsid w:val="001A1014"/>
    <w:rsid w:val="001A2E2E"/>
    <w:rsid w:val="001A6645"/>
    <w:rsid w:val="001B113F"/>
    <w:rsid w:val="001B79C6"/>
    <w:rsid w:val="001C745B"/>
    <w:rsid w:val="001D3BF7"/>
    <w:rsid w:val="001E3F53"/>
    <w:rsid w:val="001E6508"/>
    <w:rsid w:val="00200DE8"/>
    <w:rsid w:val="00210E04"/>
    <w:rsid w:val="0021168F"/>
    <w:rsid w:val="00226BA5"/>
    <w:rsid w:val="00232565"/>
    <w:rsid w:val="0024025A"/>
    <w:rsid w:val="00244167"/>
    <w:rsid w:val="00262CDB"/>
    <w:rsid w:val="00281B5D"/>
    <w:rsid w:val="002950EA"/>
    <w:rsid w:val="00295C5E"/>
    <w:rsid w:val="002C29B4"/>
    <w:rsid w:val="002E26C0"/>
    <w:rsid w:val="002E66A7"/>
    <w:rsid w:val="00300F61"/>
    <w:rsid w:val="00301A9C"/>
    <w:rsid w:val="0031174A"/>
    <w:rsid w:val="00312E33"/>
    <w:rsid w:val="00334849"/>
    <w:rsid w:val="00344E67"/>
    <w:rsid w:val="003522E8"/>
    <w:rsid w:val="00354D07"/>
    <w:rsid w:val="00356F4D"/>
    <w:rsid w:val="00364499"/>
    <w:rsid w:val="003713DC"/>
    <w:rsid w:val="003740F3"/>
    <w:rsid w:val="003826D0"/>
    <w:rsid w:val="00385395"/>
    <w:rsid w:val="0038783B"/>
    <w:rsid w:val="003B30EA"/>
    <w:rsid w:val="003E2ED5"/>
    <w:rsid w:val="0040314B"/>
    <w:rsid w:val="00415CC0"/>
    <w:rsid w:val="00424C93"/>
    <w:rsid w:val="00426DCA"/>
    <w:rsid w:val="00447F09"/>
    <w:rsid w:val="00460160"/>
    <w:rsid w:val="004719CF"/>
    <w:rsid w:val="00496EA8"/>
    <w:rsid w:val="004A0F64"/>
    <w:rsid w:val="004D3221"/>
    <w:rsid w:val="004D7287"/>
    <w:rsid w:val="004F008B"/>
    <w:rsid w:val="005001A3"/>
    <w:rsid w:val="00506B1C"/>
    <w:rsid w:val="00537C2D"/>
    <w:rsid w:val="0055241A"/>
    <w:rsid w:val="00554071"/>
    <w:rsid w:val="00561E0B"/>
    <w:rsid w:val="005811BA"/>
    <w:rsid w:val="00583C67"/>
    <w:rsid w:val="0059552B"/>
    <w:rsid w:val="00596552"/>
    <w:rsid w:val="005A2246"/>
    <w:rsid w:val="005D0EFA"/>
    <w:rsid w:val="005D7E04"/>
    <w:rsid w:val="00610D68"/>
    <w:rsid w:val="006226BB"/>
    <w:rsid w:val="00631147"/>
    <w:rsid w:val="00642144"/>
    <w:rsid w:val="00643258"/>
    <w:rsid w:val="00645EEA"/>
    <w:rsid w:val="00646C67"/>
    <w:rsid w:val="00651E97"/>
    <w:rsid w:val="00651EC3"/>
    <w:rsid w:val="006A46C8"/>
    <w:rsid w:val="006B19B8"/>
    <w:rsid w:val="006B1D4D"/>
    <w:rsid w:val="006B4B75"/>
    <w:rsid w:val="006C7751"/>
    <w:rsid w:val="006D2EB4"/>
    <w:rsid w:val="006E6260"/>
    <w:rsid w:val="006F7D7A"/>
    <w:rsid w:val="00702A80"/>
    <w:rsid w:val="00704DCB"/>
    <w:rsid w:val="007135FE"/>
    <w:rsid w:val="00714873"/>
    <w:rsid w:val="007161FE"/>
    <w:rsid w:val="00721338"/>
    <w:rsid w:val="00726CB2"/>
    <w:rsid w:val="0077392A"/>
    <w:rsid w:val="00780F76"/>
    <w:rsid w:val="0079465A"/>
    <w:rsid w:val="007A3FC5"/>
    <w:rsid w:val="007A4DD2"/>
    <w:rsid w:val="007A7421"/>
    <w:rsid w:val="007B1A21"/>
    <w:rsid w:val="007B36F9"/>
    <w:rsid w:val="007B54AB"/>
    <w:rsid w:val="007C459D"/>
    <w:rsid w:val="007C47AE"/>
    <w:rsid w:val="007F3308"/>
    <w:rsid w:val="00805DA3"/>
    <w:rsid w:val="00815A67"/>
    <w:rsid w:val="00831510"/>
    <w:rsid w:val="00834507"/>
    <w:rsid w:val="00843631"/>
    <w:rsid w:val="0085224F"/>
    <w:rsid w:val="008918C1"/>
    <w:rsid w:val="008A383F"/>
    <w:rsid w:val="008A4E08"/>
    <w:rsid w:val="008B1448"/>
    <w:rsid w:val="008C10A9"/>
    <w:rsid w:val="008C4B9D"/>
    <w:rsid w:val="008C77E2"/>
    <w:rsid w:val="008D1651"/>
    <w:rsid w:val="008E404A"/>
    <w:rsid w:val="00904499"/>
    <w:rsid w:val="0091711B"/>
    <w:rsid w:val="00923E86"/>
    <w:rsid w:val="00957AD5"/>
    <w:rsid w:val="0096224E"/>
    <w:rsid w:val="00991A89"/>
    <w:rsid w:val="009A5BE7"/>
    <w:rsid w:val="009C41CD"/>
    <w:rsid w:val="009D6537"/>
    <w:rsid w:val="009F031D"/>
    <w:rsid w:val="009F1DF4"/>
    <w:rsid w:val="00A000A7"/>
    <w:rsid w:val="00A278E7"/>
    <w:rsid w:val="00A3656D"/>
    <w:rsid w:val="00A45ED7"/>
    <w:rsid w:val="00A54E47"/>
    <w:rsid w:val="00A710B9"/>
    <w:rsid w:val="00A831A4"/>
    <w:rsid w:val="00A83285"/>
    <w:rsid w:val="00A862D9"/>
    <w:rsid w:val="00A96E2B"/>
    <w:rsid w:val="00AE5557"/>
    <w:rsid w:val="00AE6FAB"/>
    <w:rsid w:val="00AF7072"/>
    <w:rsid w:val="00B201C2"/>
    <w:rsid w:val="00B36A4E"/>
    <w:rsid w:val="00B42B98"/>
    <w:rsid w:val="00B43DA9"/>
    <w:rsid w:val="00B54631"/>
    <w:rsid w:val="00B57491"/>
    <w:rsid w:val="00B823F4"/>
    <w:rsid w:val="00BB0450"/>
    <w:rsid w:val="00BD37E8"/>
    <w:rsid w:val="00BD42A1"/>
    <w:rsid w:val="00BE2F72"/>
    <w:rsid w:val="00C13915"/>
    <w:rsid w:val="00C14571"/>
    <w:rsid w:val="00C15DE0"/>
    <w:rsid w:val="00C25073"/>
    <w:rsid w:val="00C2716F"/>
    <w:rsid w:val="00C3503F"/>
    <w:rsid w:val="00C41B69"/>
    <w:rsid w:val="00C55CD3"/>
    <w:rsid w:val="00C57598"/>
    <w:rsid w:val="00C86793"/>
    <w:rsid w:val="00CE12F9"/>
    <w:rsid w:val="00CE62FF"/>
    <w:rsid w:val="00CF60A6"/>
    <w:rsid w:val="00D02118"/>
    <w:rsid w:val="00D04AF7"/>
    <w:rsid w:val="00D344C7"/>
    <w:rsid w:val="00D37EA8"/>
    <w:rsid w:val="00D50D46"/>
    <w:rsid w:val="00D544E3"/>
    <w:rsid w:val="00D560DD"/>
    <w:rsid w:val="00D65441"/>
    <w:rsid w:val="00D82BEF"/>
    <w:rsid w:val="00D8322A"/>
    <w:rsid w:val="00DB5299"/>
    <w:rsid w:val="00DD3315"/>
    <w:rsid w:val="00DD5756"/>
    <w:rsid w:val="00DF1C16"/>
    <w:rsid w:val="00E046C2"/>
    <w:rsid w:val="00E37C3B"/>
    <w:rsid w:val="00E512B1"/>
    <w:rsid w:val="00E55CF6"/>
    <w:rsid w:val="00E91F1C"/>
    <w:rsid w:val="00E97226"/>
    <w:rsid w:val="00EA4B5C"/>
    <w:rsid w:val="00EB0367"/>
    <w:rsid w:val="00EB2638"/>
    <w:rsid w:val="00EB52ED"/>
    <w:rsid w:val="00EC578E"/>
    <w:rsid w:val="00EF73F6"/>
    <w:rsid w:val="00F00BC9"/>
    <w:rsid w:val="00F02ADC"/>
    <w:rsid w:val="00F21CE6"/>
    <w:rsid w:val="00F21DA2"/>
    <w:rsid w:val="00F33240"/>
    <w:rsid w:val="00F35D17"/>
    <w:rsid w:val="00F44324"/>
    <w:rsid w:val="00F47799"/>
    <w:rsid w:val="00F55185"/>
    <w:rsid w:val="00F73978"/>
    <w:rsid w:val="00FC3EA0"/>
    <w:rsid w:val="00FC6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22F023C-42FE-4A47-A57A-A18E480F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rsid w:val="00281B5D"/>
    <w:pPr>
      <w:tabs>
        <w:tab w:val="center" w:pos="4153"/>
        <w:tab w:val="right" w:pos="8306"/>
      </w:tabs>
    </w:pPr>
  </w:style>
  <w:style w:type="character" w:customStyle="1" w:styleId="HeaderChar">
    <w:name w:val="Header Char"/>
    <w:basedOn w:val="DefaultParagraphFont"/>
    <w:link w:val="Header"/>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732859">
      <w:bodyDiv w:val="1"/>
      <w:marLeft w:val="0"/>
      <w:marRight w:val="0"/>
      <w:marTop w:val="0"/>
      <w:marBottom w:val="0"/>
      <w:divBdr>
        <w:top w:val="none" w:sz="0" w:space="0" w:color="auto"/>
        <w:left w:val="none" w:sz="0" w:space="0" w:color="auto"/>
        <w:bottom w:val="none" w:sz="0" w:space="0" w:color="auto"/>
        <w:right w:val="none" w:sz="0" w:space="0" w:color="auto"/>
      </w:divBdr>
    </w:div>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183667392">
      <w:bodyDiv w:val="1"/>
      <w:marLeft w:val="0"/>
      <w:marRight w:val="0"/>
      <w:marTop w:val="0"/>
      <w:marBottom w:val="0"/>
      <w:divBdr>
        <w:top w:val="none" w:sz="0" w:space="0" w:color="auto"/>
        <w:left w:val="none" w:sz="0" w:space="0" w:color="auto"/>
        <w:bottom w:val="none" w:sz="0" w:space="0" w:color="auto"/>
        <w:right w:val="none" w:sz="0" w:space="0" w:color="auto"/>
      </w:divBdr>
      <w:divsChild>
        <w:div w:id="1367943830">
          <w:marLeft w:val="0"/>
          <w:marRight w:val="0"/>
          <w:marTop w:val="0"/>
          <w:marBottom w:val="0"/>
          <w:divBdr>
            <w:top w:val="none" w:sz="0" w:space="0" w:color="auto"/>
            <w:left w:val="none" w:sz="0" w:space="0" w:color="auto"/>
            <w:bottom w:val="none" w:sz="0" w:space="0" w:color="auto"/>
            <w:right w:val="none" w:sz="0" w:space="0" w:color="auto"/>
          </w:divBdr>
          <w:divsChild>
            <w:div w:id="119496669">
              <w:marLeft w:val="0"/>
              <w:marRight w:val="0"/>
              <w:marTop w:val="100"/>
              <w:marBottom w:val="100"/>
              <w:divBdr>
                <w:top w:val="none" w:sz="0" w:space="0" w:color="auto"/>
                <w:left w:val="none" w:sz="0" w:space="0" w:color="auto"/>
                <w:bottom w:val="none" w:sz="0" w:space="0" w:color="auto"/>
                <w:right w:val="none" w:sz="0" w:space="0" w:color="auto"/>
              </w:divBdr>
              <w:divsChild>
                <w:div w:id="371737228">
                  <w:marLeft w:val="0"/>
                  <w:marRight w:val="0"/>
                  <w:marTop w:val="0"/>
                  <w:marBottom w:val="0"/>
                  <w:divBdr>
                    <w:top w:val="none" w:sz="0" w:space="0" w:color="auto"/>
                    <w:left w:val="none" w:sz="0" w:space="0" w:color="auto"/>
                    <w:bottom w:val="none" w:sz="0" w:space="0" w:color="auto"/>
                    <w:right w:val="none" w:sz="0" w:space="0" w:color="auto"/>
                  </w:divBdr>
                  <w:divsChild>
                    <w:div w:id="349338873">
                      <w:marLeft w:val="0"/>
                      <w:marRight w:val="0"/>
                      <w:marTop w:val="0"/>
                      <w:marBottom w:val="0"/>
                      <w:divBdr>
                        <w:top w:val="none" w:sz="0" w:space="0" w:color="auto"/>
                        <w:left w:val="none" w:sz="0" w:space="0" w:color="auto"/>
                        <w:bottom w:val="none" w:sz="0" w:space="0" w:color="auto"/>
                        <w:right w:val="none" w:sz="0" w:space="0" w:color="auto"/>
                      </w:divBdr>
                      <w:divsChild>
                        <w:div w:id="20508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153">
      <w:bodyDiv w:val="1"/>
      <w:marLeft w:val="0"/>
      <w:marRight w:val="0"/>
      <w:marTop w:val="0"/>
      <w:marBottom w:val="0"/>
      <w:divBdr>
        <w:top w:val="none" w:sz="0" w:space="0" w:color="auto"/>
        <w:left w:val="none" w:sz="0" w:space="0" w:color="auto"/>
        <w:bottom w:val="none" w:sz="0" w:space="0" w:color="auto"/>
        <w:right w:val="none" w:sz="0" w:space="0" w:color="auto"/>
      </w:divBdr>
    </w:div>
    <w:div w:id="1242258887">
      <w:bodyDiv w:val="1"/>
      <w:marLeft w:val="0"/>
      <w:marRight w:val="0"/>
      <w:marTop w:val="0"/>
      <w:marBottom w:val="0"/>
      <w:divBdr>
        <w:top w:val="none" w:sz="0" w:space="0" w:color="auto"/>
        <w:left w:val="none" w:sz="0" w:space="0" w:color="auto"/>
        <w:bottom w:val="none" w:sz="0" w:space="0" w:color="auto"/>
        <w:right w:val="none" w:sz="0" w:space="0" w:color="auto"/>
      </w:divBdr>
    </w:div>
    <w:div w:id="1725061620">
      <w:bodyDiv w:val="1"/>
      <w:marLeft w:val="0"/>
      <w:marRight w:val="0"/>
      <w:marTop w:val="0"/>
      <w:marBottom w:val="0"/>
      <w:divBdr>
        <w:top w:val="none" w:sz="0" w:space="0" w:color="auto"/>
        <w:left w:val="none" w:sz="0" w:space="0" w:color="auto"/>
        <w:bottom w:val="none" w:sz="0" w:space="0" w:color="auto"/>
        <w:right w:val="none" w:sz="0" w:space="0" w:color="auto"/>
      </w:divBdr>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 w:id="18858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4C73-5E0D-4041-9DA3-118471C0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3017</Words>
  <Characters>1720</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2012.gada 24.augusta rīkojumā Nr.411 „Par finansējuma piešķiršanu Finanšu ministrijai Valsts ieņēmuma dienesta administratīvās ēkas Talejas ielā 1, Rīgā, telpu nomas maksas, aprīkojuma iegād</vt:lpstr>
      <vt:lpstr>Ministru kabineta rīkojuma projekta „Grozījums Ministru kabineta 2012.gada 24.augusta rīkojumā Nr.411 „Par finansējuma piešķiršanu Finanšu ministrijai Valsts ieņēmuma dienesta administratīvās ēkas Talejas ielā 1, Rīgā, telpu nomas maksas, aprīkojuma iegād</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2013.gada 20.novembra rīkojumā Nr.550 „Par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 </dc:title>
  <dc:subject>Anotācija</dc:subject>
  <dc:creator>Mareks Reders</dc:creator>
  <cp:keywords/>
  <dc:description>M.Reders 67024635
mareks.reders@vni.lv                         </dc:description>
  <cp:lastModifiedBy>Liene Strēlniece</cp:lastModifiedBy>
  <cp:revision>28</cp:revision>
  <cp:lastPrinted>2014-07-21T06:45:00Z</cp:lastPrinted>
  <dcterms:created xsi:type="dcterms:W3CDTF">2014-08-07T08:33:00Z</dcterms:created>
  <dcterms:modified xsi:type="dcterms:W3CDTF">2015-03-26T08:43:00Z</dcterms:modified>
</cp:coreProperties>
</file>