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C6" w:rsidRPr="002C1574" w:rsidRDefault="00D2175A" w:rsidP="00B831C6">
      <w:pPr>
        <w:pStyle w:val="naislab"/>
        <w:spacing w:before="0" w:after="0"/>
        <w:jc w:val="center"/>
        <w:rPr>
          <w:b/>
        </w:rPr>
      </w:pPr>
      <w:bookmarkStart w:id="0" w:name="OLE_LINK3"/>
      <w:bookmarkStart w:id="1" w:name="OLE_LINK4"/>
      <w:r w:rsidRPr="002C1574">
        <w:rPr>
          <w:b/>
        </w:rPr>
        <w:t>Likumprojekta „</w:t>
      </w:r>
      <w:r w:rsidR="0033311E" w:rsidRPr="002C1574">
        <w:rPr>
          <w:b/>
        </w:rPr>
        <w:t>Grozījum</w:t>
      </w:r>
      <w:r w:rsidR="00530AF8" w:rsidRPr="002C1574">
        <w:rPr>
          <w:b/>
        </w:rPr>
        <w:t>s</w:t>
      </w:r>
      <w:r w:rsidR="0033311E" w:rsidRPr="002C1574">
        <w:rPr>
          <w:b/>
        </w:rPr>
        <w:t xml:space="preserve"> </w:t>
      </w:r>
      <w:r w:rsidR="00530AF8" w:rsidRPr="002C1574">
        <w:rPr>
          <w:b/>
        </w:rPr>
        <w:t xml:space="preserve">Publisko iepirkumu </w:t>
      </w:r>
      <w:r w:rsidR="00C173EB" w:rsidRPr="002C1574">
        <w:rPr>
          <w:b/>
        </w:rPr>
        <w:t>likumā</w:t>
      </w:r>
      <w:r w:rsidR="00524791" w:rsidRPr="002C1574">
        <w:rPr>
          <w:b/>
        </w:rPr>
        <w:t xml:space="preserve">” </w:t>
      </w:r>
      <w:r w:rsidR="00852042" w:rsidRPr="002C1574">
        <w:rPr>
          <w:b/>
        </w:rPr>
        <w:t>sākotnējā</w:t>
      </w:r>
      <w:r w:rsidR="002D3306" w:rsidRPr="002C1574">
        <w:rPr>
          <w:b/>
        </w:rPr>
        <w:t>s</w:t>
      </w:r>
      <w:r w:rsidR="00852042" w:rsidRPr="002C1574">
        <w:rPr>
          <w:b/>
        </w:rPr>
        <w:t xml:space="preserve"> ietekmes novērtējuma </w:t>
      </w:r>
      <w:smartTag w:uri="schemas-tilde-lv/tildestengine" w:element="currency2">
        <w:smartTagPr>
          <w:attr w:name="text" w:val="ziņojums"/>
          <w:attr w:name="baseform" w:val="ziņojums"/>
          <w:attr w:name="id" w:val="-1"/>
        </w:smartTagPr>
        <w:r w:rsidR="00852042" w:rsidRPr="002C1574">
          <w:rPr>
            <w:b/>
          </w:rPr>
          <w:t>ziņojums</w:t>
        </w:r>
      </w:smartTag>
      <w:r w:rsidR="00852042" w:rsidRPr="002C1574">
        <w:rPr>
          <w:b/>
        </w:rPr>
        <w:t xml:space="preserve"> (anotācija)</w:t>
      </w:r>
      <w:bookmarkEnd w:id="0"/>
      <w:bookmarkEnd w:id="1"/>
    </w:p>
    <w:tbl>
      <w:tblPr>
        <w:tblpPr w:leftFromText="181" w:rightFromText="181" w:vertAnchor="page" w:horzAnchor="margin" w:tblpXSpec="center" w:tblpY="201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4"/>
        <w:gridCol w:w="1453"/>
        <w:gridCol w:w="7331"/>
      </w:tblGrid>
      <w:tr w:rsidR="00852042" w:rsidRPr="002C1574" w:rsidTr="00D16C80">
        <w:tc>
          <w:tcPr>
            <w:tcW w:w="5000" w:type="pct"/>
            <w:gridSpan w:val="3"/>
            <w:vAlign w:val="center"/>
          </w:tcPr>
          <w:p w:rsidR="00852042" w:rsidRPr="002C1574" w:rsidRDefault="00852042" w:rsidP="00BC5225">
            <w:pPr>
              <w:pStyle w:val="naisnod"/>
              <w:spacing w:before="0" w:after="0"/>
            </w:pPr>
            <w:r w:rsidRPr="002C1574">
              <w:t>I</w:t>
            </w:r>
            <w:r w:rsidR="000941C5" w:rsidRPr="002C1574">
              <w:t>.</w:t>
            </w:r>
            <w:r w:rsidRPr="002C1574">
              <w:t xml:space="preserve"> Tiesību akta </w:t>
            </w:r>
            <w:r w:rsidR="002E3FF4" w:rsidRPr="002C1574">
              <w:t xml:space="preserve">projekta </w:t>
            </w:r>
            <w:r w:rsidRPr="002C1574">
              <w:t>izstrādes nepieciešamība</w:t>
            </w:r>
          </w:p>
        </w:tc>
      </w:tr>
      <w:tr w:rsidR="00262E2B" w:rsidRPr="002C1574" w:rsidTr="00D16C80">
        <w:tc>
          <w:tcPr>
            <w:tcW w:w="261" w:type="pct"/>
          </w:tcPr>
          <w:p w:rsidR="00262E2B" w:rsidRPr="002C1574" w:rsidRDefault="00262E2B" w:rsidP="00BC5225">
            <w:pPr>
              <w:pStyle w:val="naiskr"/>
              <w:spacing w:before="0" w:after="0"/>
            </w:pPr>
            <w:r w:rsidRPr="002C1574">
              <w:t>1.</w:t>
            </w:r>
          </w:p>
        </w:tc>
        <w:tc>
          <w:tcPr>
            <w:tcW w:w="784" w:type="pct"/>
          </w:tcPr>
          <w:p w:rsidR="00262E2B" w:rsidRPr="002C1574" w:rsidRDefault="002D7F54" w:rsidP="00BC5225">
            <w:pPr>
              <w:pStyle w:val="naiskr"/>
              <w:spacing w:before="0" w:after="0"/>
              <w:ind w:hanging="10"/>
            </w:pPr>
            <w:r w:rsidRPr="002C1574">
              <w:t>Pamatojums</w:t>
            </w:r>
          </w:p>
        </w:tc>
        <w:tc>
          <w:tcPr>
            <w:tcW w:w="3955" w:type="pct"/>
          </w:tcPr>
          <w:p w:rsidR="00A81C89" w:rsidRPr="002C1574" w:rsidRDefault="00530AF8" w:rsidP="00530AF8">
            <w:pPr>
              <w:pStyle w:val="NormalWeb"/>
              <w:spacing w:before="0" w:beforeAutospacing="0" w:after="0" w:afterAutospacing="0"/>
              <w:jc w:val="both"/>
              <w:rPr>
                <w:rFonts w:ascii="Times New Roman" w:hAnsi="Times New Roman"/>
                <w:sz w:val="24"/>
                <w:szCs w:val="24"/>
                <w:lang w:val="lv-LV"/>
              </w:rPr>
            </w:pPr>
            <w:r w:rsidRPr="002C1574">
              <w:rPr>
                <w:rFonts w:ascii="Times New Roman" w:hAnsi="Times New Roman"/>
                <w:sz w:val="24"/>
                <w:szCs w:val="24"/>
                <w:lang w:val="lv-LV"/>
              </w:rPr>
              <w:t>Ministru kabineta 2014.gada 15.aprīļa sēdes protokola Nr.23  3.§  2.punkts - ar Valsts kancelejas direktora 2012.gada 29.novembra rīkojumu Nr.78 "Par darba grupu" izveidotajai augsta līmeņa ekspertu darba grupai izstrādāt konkrētus priekšlikumus depozīta sistēmas ieviešanai pārsūdzības sistēmas pilnveidošanai.</w:t>
            </w:r>
          </w:p>
        </w:tc>
      </w:tr>
      <w:tr w:rsidR="00262E2B" w:rsidRPr="002C1574" w:rsidTr="00B30E29">
        <w:trPr>
          <w:trHeight w:val="391"/>
        </w:trPr>
        <w:tc>
          <w:tcPr>
            <w:tcW w:w="261" w:type="pct"/>
          </w:tcPr>
          <w:p w:rsidR="00262E2B" w:rsidRPr="002C1574" w:rsidRDefault="00262E2B" w:rsidP="00BC5225">
            <w:pPr>
              <w:pStyle w:val="naiskr"/>
              <w:spacing w:before="0" w:after="0"/>
            </w:pPr>
            <w:r w:rsidRPr="002C1574">
              <w:t>2.</w:t>
            </w:r>
          </w:p>
        </w:tc>
        <w:tc>
          <w:tcPr>
            <w:tcW w:w="784" w:type="pct"/>
          </w:tcPr>
          <w:p w:rsidR="00262E2B" w:rsidRPr="002C1574" w:rsidRDefault="00262E2B" w:rsidP="00BC5225">
            <w:pPr>
              <w:pStyle w:val="naiskr"/>
              <w:tabs>
                <w:tab w:val="left" w:pos="170"/>
              </w:tabs>
              <w:spacing w:before="0" w:after="0"/>
            </w:pPr>
            <w:r w:rsidRPr="002C1574">
              <w:t>Pašreizējā situācija</w:t>
            </w:r>
            <w:r w:rsidR="001F5CD6" w:rsidRPr="002C1574">
              <w:t xml:space="preserve"> un problēmas</w:t>
            </w:r>
            <w:r w:rsidR="00F300AB" w:rsidRPr="00A02514">
              <w:t>, kuru risināšanai tiesību akta projekts izstrādāts, tiesiskā regulējuma mērķis un būtība</w:t>
            </w:r>
          </w:p>
        </w:tc>
        <w:tc>
          <w:tcPr>
            <w:tcW w:w="3955" w:type="pct"/>
          </w:tcPr>
          <w:p w:rsidR="002C1574" w:rsidRPr="002C1574" w:rsidRDefault="00CD6E4B" w:rsidP="002C1574">
            <w:pPr>
              <w:pStyle w:val="ListParagraph"/>
              <w:ind w:left="0" w:firstLine="720"/>
              <w:jc w:val="both"/>
              <w:rPr>
                <w:rFonts w:ascii="Times New Roman" w:hAnsi="Times New Roman"/>
              </w:rPr>
            </w:pPr>
            <w:r w:rsidRPr="002C1574">
              <w:rPr>
                <w:rFonts w:ascii="Times New Roman" w:hAnsi="Times New Roman"/>
              </w:rPr>
              <w:t xml:space="preserve">Pēdējo gadu prakse liecina par apstākļiem, kas rada pamatotas bažas par esošā pārsūdzības mehānisma ļaunprātīgu izmantošanu no pretendentu puses pret konkurentiem. Vairāk kā puse no </w:t>
            </w:r>
            <w:r w:rsidR="00065ED1" w:rsidRPr="002C1574">
              <w:rPr>
                <w:rFonts w:ascii="Times New Roman" w:hAnsi="Times New Roman"/>
              </w:rPr>
              <w:t>iesniegtajiem iesniegumiem</w:t>
            </w:r>
            <w:r w:rsidRPr="002C1574">
              <w:rPr>
                <w:rFonts w:ascii="Times New Roman" w:hAnsi="Times New Roman"/>
              </w:rPr>
              <w:t xml:space="preserve"> tiek atzīt</w:t>
            </w:r>
            <w:r w:rsidR="00065ED1" w:rsidRPr="002C1574">
              <w:rPr>
                <w:rFonts w:ascii="Times New Roman" w:hAnsi="Times New Roman"/>
              </w:rPr>
              <w:t>i</w:t>
            </w:r>
            <w:r w:rsidRPr="002C1574">
              <w:rPr>
                <w:rFonts w:ascii="Times New Roman" w:hAnsi="Times New Roman"/>
              </w:rPr>
              <w:t xml:space="preserve"> par nepamatot</w:t>
            </w:r>
            <w:r w:rsidR="00065ED1" w:rsidRPr="002C1574">
              <w:rPr>
                <w:rFonts w:ascii="Times New Roman" w:hAnsi="Times New Roman"/>
              </w:rPr>
              <w:t>iem</w:t>
            </w:r>
            <w:r w:rsidRPr="002C1574">
              <w:rPr>
                <w:rFonts w:ascii="Times New Roman" w:hAnsi="Times New Roman"/>
              </w:rPr>
              <w:t xml:space="preserve"> ( t</w:t>
            </w:r>
            <w:r w:rsidRPr="002C1574">
              <w:rPr>
                <w:rFonts w:ascii="Times New Roman" w:eastAsia="Times New Roman" w:hAnsi="Times New Roman"/>
                <w:lang w:eastAsia="lv-LV"/>
              </w:rPr>
              <w:t xml:space="preserve">ā, piemēram, </w:t>
            </w:r>
            <w:proofErr w:type="gramStart"/>
            <w:r w:rsidRPr="002C1574">
              <w:rPr>
                <w:rFonts w:ascii="Times New Roman" w:hAnsi="Times New Roman"/>
              </w:rPr>
              <w:t>2012.gadā</w:t>
            </w:r>
            <w:proofErr w:type="gramEnd"/>
            <w:r w:rsidRPr="002C1574">
              <w:rPr>
                <w:rFonts w:ascii="Times New Roman" w:hAnsi="Times New Roman"/>
              </w:rPr>
              <w:t xml:space="preserve"> no 596 </w:t>
            </w:r>
            <w:r w:rsidR="00361B01">
              <w:rPr>
                <w:rFonts w:ascii="Times New Roman" w:hAnsi="Times New Roman"/>
              </w:rPr>
              <w:t>iesniegumiem</w:t>
            </w:r>
            <w:r w:rsidRPr="002C1574">
              <w:rPr>
                <w:rFonts w:ascii="Times New Roman" w:hAnsi="Times New Roman"/>
              </w:rPr>
              <w:t xml:space="preserve"> 298 bija pamatot</w:t>
            </w:r>
            <w:r w:rsidR="00361B01">
              <w:rPr>
                <w:rFonts w:ascii="Times New Roman" w:hAnsi="Times New Roman"/>
              </w:rPr>
              <w:t>i</w:t>
            </w:r>
            <w:r w:rsidRPr="002C1574">
              <w:rPr>
                <w:rFonts w:ascii="Times New Roman" w:hAnsi="Times New Roman"/>
              </w:rPr>
              <w:t xml:space="preserve">, savukārt 2013.gadā no 567 </w:t>
            </w:r>
            <w:r w:rsidR="00361B01">
              <w:rPr>
                <w:rFonts w:ascii="Times New Roman" w:hAnsi="Times New Roman"/>
              </w:rPr>
              <w:t>iesniegumiem</w:t>
            </w:r>
            <w:r w:rsidR="00361B01" w:rsidRPr="002C1574">
              <w:rPr>
                <w:rFonts w:ascii="Times New Roman" w:hAnsi="Times New Roman"/>
              </w:rPr>
              <w:t xml:space="preserve"> </w:t>
            </w:r>
            <w:r w:rsidRPr="002C1574">
              <w:rPr>
                <w:rFonts w:ascii="Times New Roman" w:hAnsi="Times New Roman"/>
              </w:rPr>
              <w:t>jau tikai 242 bija pamatot</w:t>
            </w:r>
            <w:r w:rsidR="00361B01">
              <w:rPr>
                <w:rFonts w:ascii="Times New Roman" w:hAnsi="Times New Roman"/>
              </w:rPr>
              <w:t>i</w:t>
            </w:r>
            <w:r w:rsidR="00F856D6" w:rsidRPr="002C1574">
              <w:rPr>
                <w:rFonts w:ascii="Times New Roman" w:hAnsi="Times New Roman"/>
              </w:rPr>
              <w:t>. 2014.gadā</w:t>
            </w:r>
            <w:r w:rsidR="002C1574" w:rsidRPr="002C1574">
              <w:rPr>
                <w:rFonts w:ascii="Times New Roman" w:hAnsi="Times New Roman"/>
              </w:rPr>
              <w:t xml:space="preserve"> </w:t>
            </w:r>
            <w:r w:rsidR="00F856D6" w:rsidRPr="002C1574">
              <w:rPr>
                <w:rFonts w:ascii="Times New Roman" w:hAnsi="Times New Roman"/>
              </w:rPr>
              <w:t>tika izskatīt</w:t>
            </w:r>
            <w:r w:rsidR="00361B01">
              <w:rPr>
                <w:rFonts w:ascii="Times New Roman" w:hAnsi="Times New Roman"/>
              </w:rPr>
              <w:t>i</w:t>
            </w:r>
            <w:r w:rsidR="00F856D6" w:rsidRPr="002C1574">
              <w:rPr>
                <w:rFonts w:ascii="Times New Roman" w:hAnsi="Times New Roman"/>
              </w:rPr>
              <w:t xml:space="preserve"> 549 </w:t>
            </w:r>
            <w:r w:rsidR="00361B01">
              <w:rPr>
                <w:rFonts w:ascii="Times New Roman" w:hAnsi="Times New Roman"/>
              </w:rPr>
              <w:t>iesniegumi</w:t>
            </w:r>
            <w:r w:rsidR="00361B01" w:rsidRPr="002C1574">
              <w:rPr>
                <w:rFonts w:ascii="Times New Roman" w:hAnsi="Times New Roman"/>
              </w:rPr>
              <w:t xml:space="preserve"> </w:t>
            </w:r>
            <w:r w:rsidR="00F856D6" w:rsidRPr="002C1574">
              <w:rPr>
                <w:rFonts w:ascii="Times New Roman" w:hAnsi="Times New Roman"/>
              </w:rPr>
              <w:t xml:space="preserve">- </w:t>
            </w:r>
            <w:r w:rsidR="00F856D6" w:rsidRPr="002C1574">
              <w:rPr>
                <w:rFonts w:ascii="Times New Roman" w:hAnsi="Times New Roman"/>
              </w:rPr>
              <w:br/>
            </w:r>
            <w:r w:rsidR="002C1574" w:rsidRPr="002C1574">
              <w:rPr>
                <w:rFonts w:ascii="Times New Roman" w:hAnsi="Times New Roman"/>
              </w:rPr>
              <w:t>2</w:t>
            </w:r>
            <w:r w:rsidR="00F856D6" w:rsidRPr="002C1574">
              <w:rPr>
                <w:rFonts w:ascii="Times New Roman" w:hAnsi="Times New Roman"/>
              </w:rPr>
              <w:t>25</w:t>
            </w:r>
            <w:r w:rsidR="002C1574" w:rsidRPr="002C1574">
              <w:rPr>
                <w:rFonts w:ascii="Times New Roman" w:hAnsi="Times New Roman"/>
              </w:rPr>
              <w:t xml:space="preserve"> pamatot</w:t>
            </w:r>
            <w:r w:rsidR="00361B01">
              <w:rPr>
                <w:rFonts w:ascii="Times New Roman" w:hAnsi="Times New Roman"/>
              </w:rPr>
              <w:t>i</w:t>
            </w:r>
            <w:r w:rsidR="002C1574" w:rsidRPr="002C1574">
              <w:rPr>
                <w:rFonts w:ascii="Times New Roman" w:hAnsi="Times New Roman"/>
              </w:rPr>
              <w:t xml:space="preserve">, </w:t>
            </w:r>
            <w:r w:rsidR="00F856D6" w:rsidRPr="002C1574">
              <w:rPr>
                <w:rFonts w:ascii="Times New Roman" w:hAnsi="Times New Roman"/>
              </w:rPr>
              <w:t>2</w:t>
            </w:r>
            <w:r w:rsidR="002C1574" w:rsidRPr="002C1574">
              <w:rPr>
                <w:rFonts w:ascii="Times New Roman" w:hAnsi="Times New Roman"/>
              </w:rPr>
              <w:t xml:space="preserve">87 </w:t>
            </w:r>
            <w:r w:rsidR="00F856D6" w:rsidRPr="002C1574">
              <w:rPr>
                <w:rFonts w:ascii="Times New Roman" w:hAnsi="Times New Roman"/>
              </w:rPr>
              <w:t>nepamatot</w:t>
            </w:r>
            <w:r w:rsidR="00361B01">
              <w:rPr>
                <w:rFonts w:ascii="Times New Roman" w:hAnsi="Times New Roman"/>
              </w:rPr>
              <w:t>i</w:t>
            </w:r>
            <w:r w:rsidR="00F856D6" w:rsidRPr="002C1574">
              <w:rPr>
                <w:rFonts w:ascii="Times New Roman" w:hAnsi="Times New Roman"/>
              </w:rPr>
              <w:t xml:space="preserve"> (52% no izskatītaj</w:t>
            </w:r>
            <w:r w:rsidR="00361B01">
              <w:rPr>
                <w:rFonts w:ascii="Times New Roman" w:hAnsi="Times New Roman"/>
              </w:rPr>
              <w:t>iem</w:t>
            </w:r>
            <w:r w:rsidR="00F856D6" w:rsidRPr="002C1574">
              <w:rPr>
                <w:rFonts w:ascii="Times New Roman" w:hAnsi="Times New Roman"/>
              </w:rPr>
              <w:t xml:space="preserve">), </w:t>
            </w:r>
            <w:r w:rsidR="00F856D6" w:rsidRPr="002C1574">
              <w:rPr>
                <w:rFonts w:ascii="Times New Roman" w:hAnsi="Times New Roman"/>
              </w:rPr>
              <w:br/>
              <w:t>37 izbeigtas lietvedības.</w:t>
            </w:r>
            <w:r w:rsidRPr="002C1574">
              <w:rPr>
                <w:rFonts w:ascii="Times New Roman" w:hAnsi="Times New Roman"/>
              </w:rPr>
              <w:t xml:space="preserve"> </w:t>
            </w:r>
          </w:p>
          <w:p w:rsidR="00E907CF" w:rsidRPr="002C1574" w:rsidRDefault="00C90CAD" w:rsidP="002C1574">
            <w:pPr>
              <w:pStyle w:val="ListParagraph"/>
              <w:ind w:left="0" w:firstLine="720"/>
              <w:jc w:val="both"/>
              <w:rPr>
                <w:rFonts w:ascii="Times New Roman" w:eastAsia="Times New Roman" w:hAnsi="Times New Roman"/>
                <w:lang w:eastAsia="lv-LV"/>
              </w:rPr>
            </w:pPr>
            <w:r w:rsidRPr="002C1574">
              <w:rPr>
                <w:rFonts w:ascii="Times New Roman" w:eastAsia="Times New Roman" w:hAnsi="Times New Roman"/>
                <w:lang w:eastAsia="lv-LV"/>
              </w:rPr>
              <w:t>G</w:t>
            </w:r>
            <w:r w:rsidR="00CD6E4B" w:rsidRPr="002C1574">
              <w:rPr>
                <w:rFonts w:ascii="Times New Roman" w:eastAsia="Times New Roman" w:hAnsi="Times New Roman"/>
                <w:lang w:eastAsia="lv-LV"/>
              </w:rPr>
              <w:t xml:space="preserve">an likumā paredzētais aizliegums </w:t>
            </w:r>
            <w:r w:rsidR="00361B01">
              <w:rPr>
                <w:rFonts w:ascii="Times New Roman" w:eastAsia="Times New Roman" w:hAnsi="Times New Roman"/>
                <w:lang w:eastAsia="lv-LV"/>
              </w:rPr>
              <w:t>iesnieguma</w:t>
            </w:r>
            <w:r w:rsidR="00361B01" w:rsidRPr="002C1574">
              <w:rPr>
                <w:rFonts w:ascii="Times New Roman" w:eastAsia="Times New Roman" w:hAnsi="Times New Roman"/>
                <w:lang w:eastAsia="lv-LV"/>
              </w:rPr>
              <w:t xml:space="preserve"> </w:t>
            </w:r>
            <w:r w:rsidR="00CD6E4B" w:rsidRPr="002C1574">
              <w:rPr>
                <w:rFonts w:ascii="Times New Roman" w:eastAsia="Times New Roman" w:hAnsi="Times New Roman"/>
                <w:lang w:eastAsia="lv-LV"/>
              </w:rPr>
              <w:t xml:space="preserve">izskatīšanas laikā slēgt līgumu ar uzvarētāju, gan arī masu saziņas līdzekļos bieži aprakstītie atsevišķie gadījumi kopumā rada pamatotas bažas, ka esošais mehānisms dod iespēju – un arī tiek izmantots - iesniedzot </w:t>
            </w:r>
            <w:r w:rsidR="00361B01">
              <w:rPr>
                <w:rFonts w:ascii="Times New Roman" w:eastAsia="Times New Roman" w:hAnsi="Times New Roman"/>
                <w:lang w:eastAsia="lv-LV"/>
              </w:rPr>
              <w:t>iesniegumus</w:t>
            </w:r>
            <w:r w:rsidR="00CD6E4B" w:rsidRPr="002C1574">
              <w:rPr>
                <w:rFonts w:ascii="Times New Roman" w:eastAsia="Times New Roman" w:hAnsi="Times New Roman"/>
                <w:lang w:eastAsia="lv-LV"/>
              </w:rPr>
              <w:t xml:space="preserve"> ar mērķi traucēt konkurentam realizēt uzvaru. Turklāt esošā kārtība rada pamatotas bažas par uzvarētāj</w:t>
            </w:r>
            <w:r w:rsidRPr="002C1574">
              <w:rPr>
                <w:rFonts w:ascii="Times New Roman" w:eastAsia="Times New Roman" w:hAnsi="Times New Roman"/>
                <w:lang w:eastAsia="lv-LV"/>
              </w:rPr>
              <w:t>a</w:t>
            </w:r>
            <w:r w:rsidR="00CD6E4B" w:rsidRPr="002C1574">
              <w:rPr>
                <w:rFonts w:ascii="Times New Roman" w:eastAsia="Times New Roman" w:hAnsi="Times New Roman"/>
                <w:lang w:eastAsia="lv-LV"/>
              </w:rPr>
              <w:t xml:space="preserve"> </w:t>
            </w:r>
            <w:r w:rsidRPr="002C1574">
              <w:rPr>
                <w:rFonts w:ascii="Times New Roman" w:eastAsia="Times New Roman" w:hAnsi="Times New Roman"/>
                <w:lang w:eastAsia="lv-LV"/>
              </w:rPr>
              <w:t xml:space="preserve">interešu neievērošanu; šis </w:t>
            </w:r>
            <w:r w:rsidR="00CD6E4B" w:rsidRPr="002C1574">
              <w:rPr>
                <w:rFonts w:ascii="Times New Roman" w:eastAsia="Times New Roman" w:hAnsi="Times New Roman"/>
                <w:lang w:eastAsia="lv-LV"/>
              </w:rPr>
              <w:t>uzņēmēj</w:t>
            </w:r>
            <w:r w:rsidRPr="002C1574">
              <w:rPr>
                <w:rFonts w:ascii="Times New Roman" w:eastAsia="Times New Roman" w:hAnsi="Times New Roman"/>
                <w:lang w:eastAsia="lv-LV"/>
              </w:rPr>
              <w:t xml:space="preserve">s sagaida </w:t>
            </w:r>
            <w:r w:rsidR="00CD6E4B" w:rsidRPr="002C1574">
              <w:rPr>
                <w:rFonts w:ascii="Times New Roman" w:eastAsia="Times New Roman" w:hAnsi="Times New Roman"/>
                <w:lang w:eastAsia="lv-LV"/>
              </w:rPr>
              <w:t>ka, iesniedzot konkurētspējīgu piedāvājumu</w:t>
            </w:r>
            <w:r w:rsidRPr="002C1574">
              <w:rPr>
                <w:rFonts w:ascii="Times New Roman" w:eastAsia="Times New Roman" w:hAnsi="Times New Roman"/>
                <w:lang w:eastAsia="lv-LV"/>
              </w:rPr>
              <w:t xml:space="preserve"> un</w:t>
            </w:r>
            <w:r w:rsidR="00CD6E4B" w:rsidRPr="002C1574">
              <w:rPr>
                <w:rFonts w:ascii="Times New Roman" w:eastAsia="Times New Roman" w:hAnsi="Times New Roman"/>
                <w:lang w:eastAsia="lv-LV"/>
              </w:rPr>
              <w:t xml:space="preserve"> gadījumā, ja tiks atzīts par uzvarētāju, tas varēs bez kavēšanās realizēt projektu, sniedzot labumu sabiedrībai</w:t>
            </w:r>
            <w:r w:rsidR="001905DB" w:rsidRPr="002C1574">
              <w:rPr>
                <w:rFonts w:ascii="Times New Roman" w:eastAsia="Times New Roman" w:hAnsi="Times New Roman"/>
                <w:lang w:eastAsia="lv-LV"/>
              </w:rPr>
              <w:t>, nevis būs pakļauts konkurentu negodīgajām metodēm</w:t>
            </w:r>
            <w:r w:rsidR="00CD6E4B" w:rsidRPr="002C1574">
              <w:rPr>
                <w:rFonts w:ascii="Times New Roman" w:eastAsia="Times New Roman" w:hAnsi="Times New Roman"/>
                <w:lang w:eastAsia="lv-LV"/>
              </w:rPr>
              <w:t>. Tāpat jāņem vērā, ka iepirkumos nav runa tikai par sūdzētāja interešu aizsardzību, bet gan arī uzvarētāja, kā arī – vēl jo vairāk – visas sabiedrības interesēm kopumā par to, ka bez liekas kavēšanās tiks veikti sabiedrībai nepieciešamie uzlabojumi (būvniecība, pakalpojumi, preces).</w:t>
            </w:r>
          </w:p>
          <w:p w:rsidR="00CD6E4B" w:rsidRPr="002C1574" w:rsidRDefault="00CD6E4B" w:rsidP="00CD6E4B">
            <w:pPr>
              <w:pStyle w:val="ListParagraph"/>
              <w:ind w:left="0" w:firstLine="720"/>
              <w:jc w:val="both"/>
              <w:rPr>
                <w:rFonts w:ascii="Times New Roman" w:eastAsia="Times New Roman" w:hAnsi="Times New Roman"/>
                <w:lang w:eastAsia="lv-LV"/>
              </w:rPr>
            </w:pPr>
            <w:r w:rsidRPr="002C1574">
              <w:rPr>
                <w:rFonts w:ascii="Times New Roman" w:eastAsia="Times New Roman" w:hAnsi="Times New Roman"/>
                <w:lang w:eastAsia="lv-LV"/>
              </w:rPr>
              <w:t>Īpaši aktuāls minētais jautājums ir Eiropas Savienības fondu finansētajos projektos (pamatā – lielie infrastruktūras projekti), kad nepamatoto pārsūdzību dēļ tiek apdraudēta iespēja valstij pilnvērtīgi izmantot Eiropas Savienības fondu finansējumu (jo pretējā gadījumā pastāv neattiecināmo izmaksu risks).</w:t>
            </w:r>
          </w:p>
          <w:p w:rsidR="00CD6E4B" w:rsidRPr="002C1574" w:rsidRDefault="00CD6E4B" w:rsidP="00B73512">
            <w:pPr>
              <w:pStyle w:val="ListParagraph"/>
              <w:ind w:left="0" w:firstLine="720"/>
              <w:jc w:val="both"/>
              <w:rPr>
                <w:rFonts w:ascii="Times New Roman" w:eastAsia="Times New Roman" w:hAnsi="Times New Roman"/>
                <w:lang w:eastAsia="lv-LV"/>
              </w:rPr>
            </w:pPr>
            <w:r w:rsidRPr="002C1574">
              <w:rPr>
                <w:rFonts w:ascii="Times New Roman" w:eastAsia="Times New Roman" w:hAnsi="Times New Roman"/>
                <w:lang w:eastAsia="lv-LV"/>
              </w:rPr>
              <w:t>Pārējo Eiropas Savienības dalībvalstu prakse liecina, ka arī tur pastāv depozīta mehānismi (</w:t>
            </w:r>
            <w:r w:rsidR="00443A8B" w:rsidRPr="002C1574">
              <w:rPr>
                <w:rFonts w:ascii="Times New Roman" w:eastAsia="Times New Roman" w:hAnsi="Times New Roman"/>
                <w:lang w:eastAsia="lv-LV"/>
              </w:rPr>
              <w:t>piemēram, Čehijā, kur depozīts sastāda 1% no līgumcenas</w:t>
            </w:r>
            <w:r w:rsidR="00B73512" w:rsidRPr="002C1574">
              <w:rPr>
                <w:rFonts w:ascii="Times New Roman" w:eastAsia="Times New Roman" w:hAnsi="Times New Roman"/>
                <w:lang w:eastAsia="lv-LV"/>
              </w:rPr>
              <w:t xml:space="preserve"> un ir</w:t>
            </w:r>
            <w:r w:rsidR="00443A8B" w:rsidRPr="002C1574">
              <w:rPr>
                <w:rFonts w:ascii="Times New Roman" w:eastAsia="Times New Roman" w:hAnsi="Times New Roman"/>
                <w:lang w:eastAsia="lv-LV"/>
              </w:rPr>
              <w:t xml:space="preserve"> robež</w:t>
            </w:r>
            <w:r w:rsidR="00B73512" w:rsidRPr="002C1574">
              <w:rPr>
                <w:rFonts w:ascii="Times New Roman" w:eastAsia="Times New Roman" w:hAnsi="Times New Roman"/>
                <w:lang w:eastAsia="lv-LV"/>
              </w:rPr>
              <w:t>ā</w:t>
            </w:r>
            <w:r w:rsidR="00443A8B" w:rsidRPr="002C1574">
              <w:rPr>
                <w:rFonts w:ascii="Times New Roman" w:eastAsia="Times New Roman" w:hAnsi="Times New Roman"/>
                <w:lang w:eastAsia="lv-LV"/>
              </w:rPr>
              <w:t xml:space="preserve">s no 2000-8500 </w:t>
            </w:r>
            <w:proofErr w:type="spellStart"/>
            <w:r w:rsidR="00443A8B" w:rsidRPr="002C1574">
              <w:rPr>
                <w:rFonts w:ascii="Times New Roman" w:eastAsia="Times New Roman" w:hAnsi="Times New Roman"/>
                <w:i/>
                <w:lang w:eastAsia="lv-LV"/>
              </w:rPr>
              <w:t>euro</w:t>
            </w:r>
            <w:proofErr w:type="spellEnd"/>
            <w:r w:rsidRPr="002C1574">
              <w:rPr>
                <w:rFonts w:ascii="Times New Roman" w:eastAsia="Times New Roman" w:hAnsi="Times New Roman"/>
                <w:lang w:eastAsia="lv-LV"/>
              </w:rPr>
              <w:t xml:space="preserve">). </w:t>
            </w:r>
          </w:p>
          <w:p w:rsidR="00306D47" w:rsidRDefault="00CD6E4B" w:rsidP="00065ED1">
            <w:pPr>
              <w:pStyle w:val="ListParagraph"/>
              <w:ind w:left="0" w:firstLine="720"/>
              <w:jc w:val="both"/>
              <w:rPr>
                <w:rFonts w:ascii="Times New Roman" w:eastAsia="Times New Roman" w:hAnsi="Times New Roman"/>
                <w:lang w:eastAsia="lv-LV"/>
              </w:rPr>
            </w:pPr>
            <w:r w:rsidRPr="002C1574">
              <w:rPr>
                <w:rStyle w:val="spelle"/>
                <w:rFonts w:ascii="Times New Roman" w:hAnsi="Times New Roman"/>
              </w:rPr>
              <w:t xml:space="preserve">Piedāvātais modelis arī </w:t>
            </w:r>
            <w:r w:rsidR="00306D47" w:rsidRPr="002C1574">
              <w:rPr>
                <w:rStyle w:val="spelle"/>
                <w:rFonts w:ascii="Times New Roman" w:hAnsi="Times New Roman"/>
              </w:rPr>
              <w:t xml:space="preserve">novērš </w:t>
            </w:r>
            <w:r w:rsidRPr="002C1574">
              <w:rPr>
                <w:rStyle w:val="spelle"/>
                <w:rFonts w:ascii="Times New Roman" w:hAnsi="Times New Roman"/>
              </w:rPr>
              <w:t>Satversmes 2010.gada 19.aprīļa spriedumā lietā Nr.</w:t>
            </w:r>
            <w:r w:rsidRPr="002C1574">
              <w:rPr>
                <w:rFonts w:ascii="Times New Roman" w:eastAsia="Times New Roman" w:hAnsi="Times New Roman"/>
                <w:lang w:eastAsia="lv-LV"/>
              </w:rPr>
              <w:t xml:space="preserve"> 2009-77-01 „Par Publisko iepirkumu likuma 83.</w:t>
            </w:r>
            <w:r w:rsidRPr="002C1574">
              <w:rPr>
                <w:rFonts w:ascii="Times New Roman" w:eastAsia="Times New Roman" w:hAnsi="Times New Roman"/>
                <w:vertAlign w:val="superscript"/>
                <w:lang w:eastAsia="lv-LV"/>
              </w:rPr>
              <w:t>2</w:t>
            </w:r>
            <w:r w:rsidRPr="002C1574">
              <w:rPr>
                <w:rFonts w:ascii="Times New Roman" w:eastAsia="Times New Roman" w:hAnsi="Times New Roman"/>
                <w:lang w:eastAsia="lv-LV"/>
              </w:rPr>
              <w:t xml:space="preserve"> panta un pārejas noteikumu 12.punkta atbilstību Latvijas Republikas Satversmes 1. un 92.pantam” </w:t>
            </w:r>
            <w:r w:rsidR="00306D47" w:rsidRPr="002C1574">
              <w:rPr>
                <w:rFonts w:ascii="Times New Roman" w:eastAsia="Times New Roman" w:hAnsi="Times New Roman"/>
                <w:lang w:eastAsia="lv-LV"/>
              </w:rPr>
              <w:t>minētās bažas</w:t>
            </w:r>
            <w:r w:rsidRPr="002C1574">
              <w:rPr>
                <w:rFonts w:ascii="Times New Roman" w:eastAsia="Times New Roman" w:hAnsi="Times New Roman"/>
                <w:lang w:eastAsia="lv-LV"/>
              </w:rPr>
              <w:t xml:space="preserve">. Pirmkārt, </w:t>
            </w:r>
            <w:r w:rsidR="00306D47" w:rsidRPr="002C1574">
              <w:rPr>
                <w:rFonts w:ascii="Times New Roman" w:eastAsia="Times New Roman" w:hAnsi="Times New Roman"/>
                <w:lang w:eastAsia="lv-LV"/>
              </w:rPr>
              <w:t>likumā ir noteikts konkrēts depozīta apmērs, kā arī gadījumi, kuros to neatmaksā (</w:t>
            </w:r>
            <w:r w:rsidR="00361B01">
              <w:rPr>
                <w:rFonts w:ascii="Times New Roman" w:eastAsia="Times New Roman" w:hAnsi="Times New Roman"/>
                <w:lang w:eastAsia="lv-LV"/>
              </w:rPr>
              <w:t xml:space="preserve">iesnieguma </w:t>
            </w:r>
            <w:r w:rsidR="00306D47" w:rsidRPr="002C1574">
              <w:rPr>
                <w:rFonts w:ascii="Times New Roman" w:eastAsia="Times New Roman" w:hAnsi="Times New Roman"/>
                <w:lang w:eastAsia="lv-LV"/>
              </w:rPr>
              <w:t xml:space="preserve">noraidīšana vai – </w:t>
            </w:r>
            <w:r w:rsidR="00361B01">
              <w:rPr>
                <w:rFonts w:ascii="Times New Roman" w:eastAsia="Times New Roman" w:hAnsi="Times New Roman"/>
                <w:lang w:eastAsia="lv-LV"/>
              </w:rPr>
              <w:t>iesnieguma</w:t>
            </w:r>
            <w:r w:rsidR="00361B01" w:rsidRPr="002C1574">
              <w:rPr>
                <w:rFonts w:ascii="Times New Roman" w:eastAsia="Times New Roman" w:hAnsi="Times New Roman"/>
                <w:lang w:eastAsia="lv-LV"/>
              </w:rPr>
              <w:t xml:space="preserve"> </w:t>
            </w:r>
            <w:r w:rsidR="00306D47" w:rsidRPr="002C1574">
              <w:rPr>
                <w:rFonts w:ascii="Times New Roman" w:eastAsia="Times New Roman" w:hAnsi="Times New Roman"/>
                <w:lang w:eastAsia="lv-LV"/>
              </w:rPr>
              <w:t>atsaukšana). Otrkārt, sabiedrības interese par tās labumam nepieciešamo darbu veikšanu vai preču piegādi bez liekas kavēšanās; valsts budžeta intereses novērst neattiecināmo izmaksu risku Eiropas Savienības fondu finansētajos projektos; kā arī uzvarētāja tiesības paļauties, ka ar konkurētspējīg</w:t>
            </w:r>
            <w:r w:rsidR="00B30E29" w:rsidRPr="002C1574">
              <w:rPr>
                <w:rFonts w:ascii="Times New Roman" w:eastAsia="Times New Roman" w:hAnsi="Times New Roman"/>
                <w:lang w:eastAsia="lv-LV"/>
              </w:rPr>
              <w:t>u</w:t>
            </w:r>
            <w:r w:rsidR="00306D47" w:rsidRPr="002C1574">
              <w:rPr>
                <w:rFonts w:ascii="Times New Roman" w:eastAsia="Times New Roman" w:hAnsi="Times New Roman"/>
                <w:lang w:eastAsia="lv-LV"/>
              </w:rPr>
              <w:t xml:space="preserve"> un korektu piedāvājumu tam ir tiesības uz nekavējošu projekta realizācijas uzsākšanu </w:t>
            </w:r>
            <w:r w:rsidR="00B30E29" w:rsidRPr="002C1574">
              <w:rPr>
                <w:rFonts w:ascii="Times New Roman" w:eastAsia="Times New Roman" w:hAnsi="Times New Roman"/>
                <w:lang w:eastAsia="lv-LV"/>
              </w:rPr>
              <w:t xml:space="preserve">- </w:t>
            </w:r>
            <w:r w:rsidR="00306D47" w:rsidRPr="002C1574">
              <w:rPr>
                <w:rFonts w:ascii="Times New Roman" w:eastAsia="Times New Roman" w:hAnsi="Times New Roman"/>
                <w:lang w:eastAsia="lv-LV"/>
              </w:rPr>
              <w:t>norāda uz nepieciešamību riska sadal</w:t>
            </w:r>
            <w:r w:rsidR="00B30E29" w:rsidRPr="002C1574">
              <w:rPr>
                <w:rFonts w:ascii="Times New Roman" w:eastAsia="Times New Roman" w:hAnsi="Times New Roman"/>
                <w:lang w:eastAsia="lv-LV"/>
              </w:rPr>
              <w:t>ei</w:t>
            </w:r>
            <w:r w:rsidR="00306D47" w:rsidRPr="002C1574">
              <w:rPr>
                <w:rFonts w:ascii="Times New Roman" w:eastAsia="Times New Roman" w:hAnsi="Times New Roman"/>
                <w:lang w:eastAsia="lv-LV"/>
              </w:rPr>
              <w:t xml:space="preserve"> (tai skaitā, runa ir par atturēšanu no citām nepamatot</w:t>
            </w:r>
            <w:r w:rsidR="00361B01">
              <w:rPr>
                <w:rFonts w:ascii="Times New Roman" w:eastAsia="Times New Roman" w:hAnsi="Times New Roman"/>
                <w:lang w:eastAsia="lv-LV"/>
              </w:rPr>
              <w:t>iem</w:t>
            </w:r>
            <w:r w:rsidR="00306D47" w:rsidRPr="002C1574">
              <w:rPr>
                <w:rFonts w:ascii="Times New Roman" w:eastAsia="Times New Roman" w:hAnsi="Times New Roman"/>
                <w:lang w:eastAsia="lv-LV"/>
              </w:rPr>
              <w:t xml:space="preserve"> </w:t>
            </w:r>
            <w:r w:rsidR="00361B01">
              <w:rPr>
                <w:rFonts w:ascii="Times New Roman" w:eastAsia="Times New Roman" w:hAnsi="Times New Roman"/>
                <w:lang w:eastAsia="lv-LV"/>
              </w:rPr>
              <w:t>iesniegumiem</w:t>
            </w:r>
            <w:r w:rsidR="00306D47" w:rsidRPr="002C1574">
              <w:rPr>
                <w:rFonts w:ascii="Times New Roman" w:eastAsia="Times New Roman" w:hAnsi="Times New Roman"/>
                <w:lang w:eastAsia="lv-LV"/>
              </w:rPr>
              <w:t xml:space="preserve">), kas šai gadījumā ir depozīta apmērs. </w:t>
            </w:r>
            <w:r w:rsidR="00B30E29" w:rsidRPr="002C1574">
              <w:rPr>
                <w:rFonts w:ascii="Times New Roman" w:eastAsia="Times New Roman" w:hAnsi="Times New Roman"/>
                <w:lang w:eastAsia="lv-LV"/>
              </w:rPr>
              <w:t xml:space="preserve">Finansiālais jautājums </w:t>
            </w:r>
            <w:r w:rsidR="00B30E29" w:rsidRPr="002C1574">
              <w:rPr>
                <w:rFonts w:ascii="Times New Roman" w:eastAsia="Times New Roman" w:hAnsi="Times New Roman"/>
                <w:lang w:eastAsia="lv-LV"/>
              </w:rPr>
              <w:lastRenderedPageBreak/>
              <w:t>komerciāli orientētie</w:t>
            </w:r>
            <w:bookmarkStart w:id="2" w:name="_GoBack"/>
            <w:bookmarkEnd w:id="2"/>
            <w:r w:rsidR="00B30E29" w:rsidRPr="002C1574">
              <w:rPr>
                <w:rFonts w:ascii="Times New Roman" w:eastAsia="Times New Roman" w:hAnsi="Times New Roman"/>
                <w:lang w:eastAsia="lv-LV"/>
              </w:rPr>
              <w:t>m pretendentiem liks rūpīgāk izvērtēt iesniedzamā</w:t>
            </w:r>
            <w:r w:rsidR="00361B01">
              <w:rPr>
                <w:rFonts w:ascii="Times New Roman" w:eastAsia="Times New Roman" w:hAnsi="Times New Roman"/>
                <w:lang w:eastAsia="lv-LV"/>
              </w:rPr>
              <w:t xml:space="preserve"> iesnieguma</w:t>
            </w:r>
            <w:r w:rsidR="00AF293F">
              <w:rPr>
                <w:rFonts w:ascii="Times New Roman" w:eastAsia="Times New Roman" w:hAnsi="Times New Roman"/>
                <w:lang w:eastAsia="lv-LV"/>
              </w:rPr>
              <w:t xml:space="preserve"> </w:t>
            </w:r>
            <w:r w:rsidR="00B30E29" w:rsidRPr="002C1574">
              <w:rPr>
                <w:rFonts w:ascii="Times New Roman" w:eastAsia="Times New Roman" w:hAnsi="Times New Roman"/>
                <w:lang w:eastAsia="lv-LV"/>
              </w:rPr>
              <w:t xml:space="preserve">pamatojumu un tā ietekmi uz cita, līdztiesīga komersanta (uzvarētāja) interešu aizsardzību, kā arī uz visas sabiedrības interešu aizsardzību kopumā. </w:t>
            </w:r>
          </w:p>
          <w:p w:rsidR="007A42D5" w:rsidRPr="002C1574" w:rsidRDefault="007A42D5" w:rsidP="00065ED1">
            <w:pPr>
              <w:pStyle w:val="ListParagraph"/>
              <w:ind w:left="0" w:firstLine="720"/>
              <w:jc w:val="both"/>
              <w:rPr>
                <w:rFonts w:ascii="Times New Roman" w:eastAsia="Times New Roman" w:hAnsi="Times New Roman"/>
                <w:lang w:eastAsia="lv-LV"/>
              </w:rPr>
            </w:pPr>
            <w:r>
              <w:rPr>
                <w:rFonts w:ascii="Times New Roman" w:eastAsia="Times New Roman" w:hAnsi="Times New Roman"/>
                <w:lang w:eastAsia="lv-LV"/>
              </w:rPr>
              <w:t>Tāpat tiek novērst</w:t>
            </w:r>
            <w:r w:rsidR="00644105">
              <w:rPr>
                <w:rFonts w:ascii="Times New Roman" w:eastAsia="Times New Roman" w:hAnsi="Times New Roman"/>
                <w:lang w:eastAsia="lv-LV"/>
              </w:rPr>
              <w:t>i</w:t>
            </w:r>
            <w:r>
              <w:rPr>
                <w:rFonts w:ascii="Times New Roman" w:eastAsia="Times New Roman" w:hAnsi="Times New Roman"/>
                <w:lang w:eastAsia="lv-LV"/>
              </w:rPr>
              <w:t xml:space="preserve"> minētā Satversmes tiesas sprieduma 25., 30. </w:t>
            </w:r>
            <w:r w:rsidR="00644105">
              <w:rPr>
                <w:rFonts w:ascii="Times New Roman" w:eastAsia="Times New Roman" w:hAnsi="Times New Roman"/>
                <w:lang w:eastAsia="lv-LV"/>
              </w:rPr>
              <w:t>un</w:t>
            </w:r>
            <w:r>
              <w:rPr>
                <w:rFonts w:ascii="Times New Roman" w:eastAsia="Times New Roman" w:hAnsi="Times New Roman"/>
                <w:lang w:eastAsia="lv-LV"/>
              </w:rPr>
              <w:t xml:space="preserve"> 31.</w:t>
            </w:r>
            <w:r w:rsidR="00644105">
              <w:rPr>
                <w:rFonts w:ascii="Times New Roman" w:eastAsia="Times New Roman" w:hAnsi="Times New Roman"/>
                <w:lang w:eastAsia="lv-LV"/>
              </w:rPr>
              <w:t>paragrāfā</w:t>
            </w:r>
            <w:r>
              <w:rPr>
                <w:rFonts w:ascii="Times New Roman" w:eastAsia="Times New Roman" w:hAnsi="Times New Roman"/>
                <w:lang w:eastAsia="lv-LV"/>
              </w:rPr>
              <w:t xml:space="preserve"> minētie aspekti.</w:t>
            </w:r>
            <w:r w:rsidR="00644105">
              <w:rPr>
                <w:rFonts w:ascii="Times New Roman" w:eastAsia="Times New Roman" w:hAnsi="Times New Roman"/>
                <w:lang w:eastAsia="lv-LV"/>
              </w:rPr>
              <w:t xml:space="preserve"> Pirmkārt, nav pamata bažām, ka tiek nepamatoti skarti tie iesniedzēji, kas labā ticībā sūdzas par iepirkuma procedūras pārkāpumiem: depozīts tiek atmaksāts pat, ja iesniegums tiek apmierināts daļēji. Tāpat iesnieguma iesniedzēja labticība jāskata kontekstā ar uzvarētāja labticību, nevis</w:t>
            </w:r>
            <w:proofErr w:type="gramStart"/>
            <w:r w:rsidR="00644105">
              <w:rPr>
                <w:rFonts w:ascii="Times New Roman" w:eastAsia="Times New Roman" w:hAnsi="Times New Roman"/>
                <w:lang w:eastAsia="lv-LV"/>
              </w:rPr>
              <w:t xml:space="preserve"> nostādot to</w:t>
            </w:r>
            <w:proofErr w:type="gramEnd"/>
            <w:r w:rsidR="00644105">
              <w:rPr>
                <w:rFonts w:ascii="Times New Roman" w:eastAsia="Times New Roman" w:hAnsi="Times New Roman"/>
                <w:lang w:eastAsia="lv-LV"/>
              </w:rPr>
              <w:t xml:space="preserve"> virs uzvarētāja interešu un visas sabiedrības interešu ievērošanas. Tieši samērīgs depozīta apmērs dos stimulu iesniedzējam </w:t>
            </w:r>
            <w:proofErr w:type="spellStart"/>
            <w:r w:rsidR="00644105">
              <w:rPr>
                <w:rFonts w:ascii="Times New Roman" w:eastAsia="Times New Roman" w:hAnsi="Times New Roman"/>
                <w:lang w:eastAsia="lv-LV"/>
              </w:rPr>
              <w:t>padziļinātāk</w:t>
            </w:r>
            <w:proofErr w:type="spellEnd"/>
            <w:r w:rsidR="00644105">
              <w:rPr>
                <w:rFonts w:ascii="Times New Roman" w:eastAsia="Times New Roman" w:hAnsi="Times New Roman"/>
                <w:lang w:eastAsia="lv-LV"/>
              </w:rPr>
              <w:t xml:space="preserve"> </w:t>
            </w:r>
            <w:r w:rsidR="00644105">
              <w:rPr>
                <w:rFonts w:ascii="Times New Roman" w:eastAsia="Times New Roman" w:hAnsi="Times New Roman"/>
                <w:lang w:eastAsia="lv-LV"/>
              </w:rPr>
              <w:t xml:space="preserve">izvērtēt sava iesnieguma pamatotību. Otrkārt, nav pamata bažām par efektīva iepirkumu sistēmas uzraudzības mehānisma ierobežošanu. Sistēmas efektivitāte jāskata arī pēc iespējas ātrākas rezultātu </w:t>
            </w:r>
            <w:r w:rsidR="00644105">
              <w:rPr>
                <w:rFonts w:ascii="Times New Roman" w:eastAsia="Times New Roman" w:hAnsi="Times New Roman"/>
                <w:lang w:eastAsia="lv-LV"/>
              </w:rPr>
              <w:t xml:space="preserve">sasniegšanas </w:t>
            </w:r>
            <w:r w:rsidR="00644105">
              <w:rPr>
                <w:rFonts w:ascii="Times New Roman" w:eastAsia="Times New Roman" w:hAnsi="Times New Roman"/>
                <w:lang w:eastAsia="lv-LV"/>
              </w:rPr>
              <w:t xml:space="preserve">(piegādātās preces, sniegtie pakalpojumi, uzbūvētās ēkas) kontekstā, nevis tikai procesa formalitāšu kontekstā. Ja iesniedzējam sabiedrības interešu vārdā ir uzlikts atsevišķs proporcionāls ierobežojums ļaunprātības novēršanai (depozīts), tas nevar tikt pārspīlēts kā efektīvas sistēmas ierobežojums. Efektivitāte nenozīmē bezmaksas automātiskas garantijas, jo jebkurā gadījumā </w:t>
            </w:r>
            <w:r w:rsidR="00523228">
              <w:rPr>
                <w:rFonts w:ascii="Times New Roman" w:eastAsia="Times New Roman" w:hAnsi="Times New Roman"/>
                <w:lang w:eastAsia="lv-LV"/>
              </w:rPr>
              <w:t xml:space="preserve">iesnieguma aspektā </w:t>
            </w:r>
            <w:r w:rsidR="00523228">
              <w:rPr>
                <w:rFonts w:ascii="Times New Roman" w:eastAsia="Times New Roman" w:hAnsi="Times New Roman"/>
                <w:lang w:eastAsia="lv-LV"/>
              </w:rPr>
              <w:t xml:space="preserve">finansiāli </w:t>
            </w:r>
            <w:r w:rsidR="00644105">
              <w:rPr>
                <w:rFonts w:ascii="Times New Roman" w:eastAsia="Times New Roman" w:hAnsi="Times New Roman"/>
                <w:lang w:eastAsia="lv-LV"/>
              </w:rPr>
              <w:t>tiek ietekmētas uzvarētāja un visas sabiedrības intereses, savukārt iesniedzējs faktiski līdz šim ne ar ko neriskēja, tādējādi nostādot to priviliģētākā stāvoklī.</w:t>
            </w:r>
            <w:r w:rsidR="00523228">
              <w:rPr>
                <w:rFonts w:ascii="Times New Roman" w:eastAsia="Times New Roman" w:hAnsi="Times New Roman"/>
                <w:lang w:eastAsia="lv-LV"/>
              </w:rPr>
              <w:t xml:space="preserve"> Treškārt, nav arī pamata bažām par tiesu noslodzes palielināšanos, jo depozīta ieviešana nemaina Iepirkumu uzraudzības biroja un tiesas kompetenci.</w:t>
            </w:r>
            <w:r w:rsidR="00644105">
              <w:rPr>
                <w:rFonts w:ascii="Times New Roman" w:eastAsia="Times New Roman" w:hAnsi="Times New Roman"/>
                <w:lang w:eastAsia="lv-LV"/>
              </w:rPr>
              <w:t xml:space="preserve">   </w:t>
            </w:r>
          </w:p>
          <w:p w:rsidR="00F300AB" w:rsidRPr="002C1574" w:rsidRDefault="00F300AB" w:rsidP="002C1574">
            <w:pPr>
              <w:pStyle w:val="ListParagraph"/>
              <w:ind w:left="0"/>
              <w:jc w:val="both"/>
              <w:rPr>
                <w:rFonts w:ascii="Times New Roman" w:eastAsia="Times New Roman" w:hAnsi="Times New Roman"/>
                <w:lang w:eastAsia="lv-LV"/>
              </w:rPr>
            </w:pPr>
            <w:r w:rsidRPr="002C1574">
              <w:rPr>
                <w:rFonts w:ascii="Times New Roman" w:hAnsi="Times New Roman"/>
              </w:rPr>
              <w:t>Tiek ieviests depozīts par iesnieguma iesniegšanu. Depozīts attieksies pamatā uz lielajiem projektiem, kuros sabiedrības intereses ir sevišķi būtiskas; tas ir, runa par iepirkumiem, kuru līgumcena ir sasniedz apjomus, no kura ir jābūt publikācijai Eiropas Savienības Oficiālajā Vēstnesī.</w:t>
            </w:r>
          </w:p>
        </w:tc>
      </w:tr>
      <w:tr w:rsidR="00A62E16" w:rsidRPr="002C1574" w:rsidTr="00D16C80">
        <w:tc>
          <w:tcPr>
            <w:tcW w:w="261" w:type="pct"/>
          </w:tcPr>
          <w:p w:rsidR="00A62E16" w:rsidRPr="002C1574" w:rsidRDefault="00F300AB" w:rsidP="00A62E16">
            <w:pPr>
              <w:pStyle w:val="naiskr"/>
              <w:spacing w:before="0" w:after="0"/>
            </w:pPr>
            <w:r w:rsidRPr="002C1574">
              <w:lastRenderedPageBreak/>
              <w:t>3</w:t>
            </w:r>
            <w:r w:rsidR="00A62E16" w:rsidRPr="002C1574">
              <w:t>.</w:t>
            </w:r>
          </w:p>
        </w:tc>
        <w:tc>
          <w:tcPr>
            <w:tcW w:w="784" w:type="pct"/>
          </w:tcPr>
          <w:p w:rsidR="00A62E16" w:rsidRPr="002C1574" w:rsidRDefault="00A62E16" w:rsidP="00A62E16">
            <w:pPr>
              <w:pStyle w:val="naiskr"/>
              <w:spacing w:before="0" w:after="0"/>
            </w:pPr>
            <w:r w:rsidRPr="002C1574">
              <w:t>Projekta izstrādē iesaistītās institūcijas</w:t>
            </w:r>
          </w:p>
        </w:tc>
        <w:tc>
          <w:tcPr>
            <w:tcW w:w="3955" w:type="pct"/>
          </w:tcPr>
          <w:p w:rsidR="00A62E16" w:rsidRPr="002C1574" w:rsidRDefault="007D431C" w:rsidP="007D431C">
            <w:pPr>
              <w:pStyle w:val="naiskr"/>
              <w:spacing w:before="0" w:after="0"/>
              <w:jc w:val="both"/>
            </w:pPr>
            <w:r w:rsidRPr="002C1574">
              <w:t>Gan valsts iestādes, gan nevalstiskais sektors (ar Valsts kancelejas direktora 2012.gada 29.novembra rīkojumu Nr.78 "Par darba grupu" izveidotā augsta līmeņa ekspertu darba grupa).</w:t>
            </w:r>
          </w:p>
        </w:tc>
      </w:tr>
      <w:tr w:rsidR="00A62E16" w:rsidRPr="002C1574" w:rsidTr="00D16C80">
        <w:tc>
          <w:tcPr>
            <w:tcW w:w="261" w:type="pct"/>
          </w:tcPr>
          <w:p w:rsidR="00A62E16" w:rsidRPr="002C1574" w:rsidRDefault="0005698A" w:rsidP="00A62E16">
            <w:pPr>
              <w:pStyle w:val="naiskr"/>
              <w:spacing w:before="0" w:after="0"/>
            </w:pPr>
            <w:r w:rsidRPr="002C1574">
              <w:t>4</w:t>
            </w:r>
            <w:r w:rsidR="00A62E16" w:rsidRPr="002C1574">
              <w:t>.</w:t>
            </w:r>
          </w:p>
        </w:tc>
        <w:tc>
          <w:tcPr>
            <w:tcW w:w="784" w:type="pct"/>
          </w:tcPr>
          <w:p w:rsidR="00A62E16" w:rsidRPr="002C1574" w:rsidRDefault="00A62E16" w:rsidP="00A62E16">
            <w:pPr>
              <w:pStyle w:val="naiskr"/>
              <w:spacing w:before="0" w:after="0"/>
            </w:pPr>
            <w:r w:rsidRPr="002C1574">
              <w:t>Cita informācija</w:t>
            </w:r>
          </w:p>
        </w:tc>
        <w:tc>
          <w:tcPr>
            <w:tcW w:w="3955" w:type="pct"/>
          </w:tcPr>
          <w:p w:rsidR="00A62E16" w:rsidRPr="002C1574" w:rsidRDefault="00A62E16" w:rsidP="00A62E16">
            <w:pPr>
              <w:pStyle w:val="naiskr"/>
              <w:spacing w:before="0" w:after="0"/>
            </w:pPr>
            <w:r w:rsidRPr="002C1574">
              <w:t>Nav.</w:t>
            </w:r>
          </w:p>
        </w:tc>
      </w:tr>
    </w:tbl>
    <w:p w:rsidR="00852042" w:rsidRPr="002C1574" w:rsidRDefault="00852042" w:rsidP="005C0C11">
      <w:pPr>
        <w:pStyle w:val="naisf"/>
        <w:spacing w:before="0" w:after="0"/>
      </w:pPr>
    </w:p>
    <w:p w:rsidR="005422C7" w:rsidRPr="002C1574" w:rsidRDefault="005422C7" w:rsidP="005C0C11">
      <w:pPr>
        <w:pStyle w:val="naisf"/>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340"/>
        <w:gridCol w:w="4226"/>
      </w:tblGrid>
      <w:tr w:rsidR="005422C7" w:rsidRPr="002C1574" w:rsidTr="003D0551">
        <w:tc>
          <w:tcPr>
            <w:tcW w:w="9202" w:type="dxa"/>
            <w:gridSpan w:val="3"/>
            <w:shd w:val="clear" w:color="auto" w:fill="auto"/>
          </w:tcPr>
          <w:p w:rsidR="005422C7" w:rsidRPr="002C1574" w:rsidRDefault="005422C7" w:rsidP="003F464A">
            <w:pPr>
              <w:spacing w:before="150" w:after="150"/>
              <w:jc w:val="center"/>
              <w:rPr>
                <w:b/>
                <w:bCs/>
              </w:rPr>
            </w:pPr>
            <w:r w:rsidRPr="002C1574">
              <w:rPr>
                <w:b/>
                <w:bCs/>
              </w:rPr>
              <w:t>II. Tiesību akta projekta ietekme uz sabiedrību</w:t>
            </w:r>
            <w:r w:rsidR="002513CE" w:rsidRPr="00A02514">
              <w:rPr>
                <w:b/>
                <w:bCs/>
              </w:rPr>
              <w:t>, tautsaimniecības attīstību un administratīvo slogu</w:t>
            </w:r>
          </w:p>
        </w:tc>
      </w:tr>
      <w:tr w:rsidR="008B7BF6" w:rsidRPr="002C1574" w:rsidTr="002C1574">
        <w:trPr>
          <w:trHeight w:val="467"/>
        </w:trPr>
        <w:tc>
          <w:tcPr>
            <w:tcW w:w="636" w:type="dxa"/>
            <w:shd w:val="clear" w:color="auto" w:fill="auto"/>
          </w:tcPr>
          <w:p w:rsidR="008B7BF6" w:rsidRPr="002C1574" w:rsidRDefault="008B7BF6" w:rsidP="008B7BF6">
            <w:pPr>
              <w:spacing w:before="75" w:after="75"/>
            </w:pPr>
            <w:r w:rsidRPr="002C1574">
              <w:t> 1.</w:t>
            </w:r>
          </w:p>
        </w:tc>
        <w:tc>
          <w:tcPr>
            <w:tcW w:w="4340" w:type="dxa"/>
            <w:shd w:val="clear" w:color="auto" w:fill="auto"/>
          </w:tcPr>
          <w:p w:rsidR="008B7BF6" w:rsidRPr="002C1574" w:rsidRDefault="008B7BF6" w:rsidP="008B7BF6">
            <w:pPr>
              <w:spacing w:before="75" w:after="75"/>
            </w:pPr>
            <w:r w:rsidRPr="002C1574">
              <w:t>Sabiedrības mērķgrupa</w:t>
            </w:r>
            <w:r w:rsidR="002513CE" w:rsidRPr="00A02514">
              <w:t>s, kuras tiesiskais regulējums ietekmē vai varētu ietekmēt</w:t>
            </w:r>
          </w:p>
        </w:tc>
        <w:tc>
          <w:tcPr>
            <w:tcW w:w="4226" w:type="dxa"/>
            <w:shd w:val="clear" w:color="auto" w:fill="auto"/>
          </w:tcPr>
          <w:p w:rsidR="008B7BF6" w:rsidRPr="002C1574" w:rsidRDefault="008B7BF6" w:rsidP="008B7BF6">
            <w:pPr>
              <w:pStyle w:val="FootnoteText"/>
              <w:rPr>
                <w:sz w:val="24"/>
                <w:szCs w:val="24"/>
              </w:rPr>
            </w:pPr>
            <w:r w:rsidRPr="002C1574">
              <w:rPr>
                <w:sz w:val="24"/>
                <w:szCs w:val="24"/>
              </w:rPr>
              <w:t>Projekts šo jomu neskar.</w:t>
            </w:r>
          </w:p>
        </w:tc>
      </w:tr>
      <w:tr w:rsidR="003D0551" w:rsidRPr="002C1574" w:rsidTr="002C1574">
        <w:trPr>
          <w:trHeight w:val="523"/>
        </w:trPr>
        <w:tc>
          <w:tcPr>
            <w:tcW w:w="636" w:type="dxa"/>
            <w:shd w:val="clear" w:color="auto" w:fill="auto"/>
          </w:tcPr>
          <w:p w:rsidR="003D0551" w:rsidRPr="002C1574" w:rsidRDefault="003D0551" w:rsidP="003D0551">
            <w:pPr>
              <w:spacing w:before="75" w:after="75"/>
            </w:pPr>
            <w:r w:rsidRPr="00A02514">
              <w:t>2.</w:t>
            </w:r>
          </w:p>
        </w:tc>
        <w:tc>
          <w:tcPr>
            <w:tcW w:w="4340" w:type="dxa"/>
            <w:shd w:val="clear" w:color="auto" w:fill="auto"/>
          </w:tcPr>
          <w:p w:rsidR="003D0551" w:rsidRPr="002C1574" w:rsidRDefault="003D0551" w:rsidP="003D0551">
            <w:pPr>
              <w:spacing w:before="75" w:after="75"/>
            </w:pPr>
            <w:r w:rsidRPr="00A02514">
              <w:t>Tiesiskā regulējuma ietekme uz tautsaimniecību un administratīvo slogu</w:t>
            </w:r>
          </w:p>
        </w:tc>
        <w:tc>
          <w:tcPr>
            <w:tcW w:w="4226" w:type="dxa"/>
            <w:shd w:val="clear" w:color="auto" w:fill="auto"/>
          </w:tcPr>
          <w:p w:rsidR="003D0551" w:rsidRPr="002C1574" w:rsidRDefault="00767209" w:rsidP="003D0551">
            <w:pPr>
              <w:spacing w:before="75" w:after="75"/>
              <w:jc w:val="both"/>
            </w:pPr>
            <w:r w:rsidRPr="002C1574">
              <w:t xml:space="preserve">Projekta mērķis mazināt ļaunprātīgo sūdzību skaitu, kas traucē </w:t>
            </w:r>
            <w:r w:rsidR="004419E9">
              <w:t>g</w:t>
            </w:r>
            <w:r w:rsidRPr="002C1574">
              <w:t>odīgai konkurencei un sabiedrības interešu īstenošanai</w:t>
            </w:r>
          </w:p>
        </w:tc>
      </w:tr>
      <w:tr w:rsidR="003D0551" w:rsidRPr="002C1574" w:rsidTr="002C1574">
        <w:trPr>
          <w:trHeight w:val="517"/>
        </w:trPr>
        <w:tc>
          <w:tcPr>
            <w:tcW w:w="636" w:type="dxa"/>
            <w:shd w:val="clear" w:color="auto" w:fill="auto"/>
          </w:tcPr>
          <w:p w:rsidR="003D0551" w:rsidRPr="002C1574" w:rsidRDefault="003D0551" w:rsidP="003D0551">
            <w:pPr>
              <w:spacing w:before="75" w:after="75"/>
            </w:pPr>
            <w:r w:rsidRPr="00A02514">
              <w:t>3.</w:t>
            </w:r>
          </w:p>
        </w:tc>
        <w:tc>
          <w:tcPr>
            <w:tcW w:w="4340" w:type="dxa"/>
            <w:shd w:val="clear" w:color="auto" w:fill="auto"/>
          </w:tcPr>
          <w:p w:rsidR="003D0551" w:rsidRPr="002C1574" w:rsidRDefault="003D0551" w:rsidP="003D0551">
            <w:pPr>
              <w:spacing w:before="75" w:after="75"/>
            </w:pPr>
            <w:r w:rsidRPr="00A02514">
              <w:t>Administratīvo izmaksu monetārs novērtējums</w:t>
            </w:r>
          </w:p>
        </w:tc>
        <w:tc>
          <w:tcPr>
            <w:tcW w:w="4226" w:type="dxa"/>
            <w:shd w:val="clear" w:color="auto" w:fill="auto"/>
          </w:tcPr>
          <w:p w:rsidR="003D0551" w:rsidRPr="002C1574" w:rsidRDefault="00767209" w:rsidP="00767209">
            <w:pPr>
              <w:spacing w:before="75" w:after="75"/>
              <w:jc w:val="both"/>
            </w:pPr>
            <w:r w:rsidRPr="002C1574">
              <w:t xml:space="preserve">Projekts šo jomu neskar. </w:t>
            </w:r>
          </w:p>
        </w:tc>
      </w:tr>
      <w:tr w:rsidR="003D0551" w:rsidRPr="002C1574" w:rsidTr="002C1574">
        <w:trPr>
          <w:trHeight w:val="517"/>
        </w:trPr>
        <w:tc>
          <w:tcPr>
            <w:tcW w:w="636" w:type="dxa"/>
            <w:shd w:val="clear" w:color="auto" w:fill="auto"/>
          </w:tcPr>
          <w:p w:rsidR="003D0551" w:rsidRPr="002C1574" w:rsidRDefault="003D0551" w:rsidP="003D0551">
            <w:pPr>
              <w:spacing w:before="75" w:after="75"/>
            </w:pPr>
            <w:r w:rsidRPr="00A02514">
              <w:lastRenderedPageBreak/>
              <w:t>4.</w:t>
            </w:r>
          </w:p>
        </w:tc>
        <w:tc>
          <w:tcPr>
            <w:tcW w:w="4340" w:type="dxa"/>
            <w:shd w:val="clear" w:color="auto" w:fill="auto"/>
          </w:tcPr>
          <w:p w:rsidR="003D0551" w:rsidRPr="002C1574" w:rsidRDefault="003D0551" w:rsidP="003D0551">
            <w:pPr>
              <w:spacing w:before="75" w:after="75"/>
            </w:pPr>
            <w:r w:rsidRPr="00A02514">
              <w:t>Cita informācija</w:t>
            </w:r>
          </w:p>
        </w:tc>
        <w:tc>
          <w:tcPr>
            <w:tcW w:w="4226" w:type="dxa"/>
            <w:shd w:val="clear" w:color="auto" w:fill="auto"/>
          </w:tcPr>
          <w:p w:rsidR="003D0551" w:rsidRPr="002C1574" w:rsidRDefault="003D0551" w:rsidP="00767209">
            <w:pPr>
              <w:pStyle w:val="FootnoteText"/>
              <w:rPr>
                <w:sz w:val="24"/>
                <w:szCs w:val="24"/>
              </w:rPr>
            </w:pPr>
            <w:r w:rsidRPr="00A02514">
              <w:rPr>
                <w:sz w:val="24"/>
                <w:szCs w:val="24"/>
              </w:rPr>
              <w:t>Nav</w:t>
            </w:r>
          </w:p>
        </w:tc>
      </w:tr>
    </w:tbl>
    <w:p w:rsidR="005422C7" w:rsidRPr="002C1574" w:rsidRDefault="005422C7" w:rsidP="005C0C11">
      <w:pPr>
        <w:pStyle w:val="naisf"/>
        <w:spacing w:before="0" w:after="0"/>
      </w:pPr>
    </w:p>
    <w:p w:rsidR="00A16CDA" w:rsidRPr="002C1574" w:rsidRDefault="00A16CDA" w:rsidP="008E429A">
      <w:pPr>
        <w:pStyle w:val="naisf"/>
        <w:spacing w:before="0" w:after="0"/>
        <w:ind w:firstLine="0"/>
        <w:rPr>
          <w:i/>
          <w:iCs/>
        </w:rPr>
      </w:pPr>
    </w:p>
    <w:tbl>
      <w:tblPr>
        <w:tblW w:w="507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000" w:firstRow="0" w:lastRow="0" w:firstColumn="0" w:lastColumn="0" w:noHBand="0" w:noVBand="0"/>
      </w:tblPr>
      <w:tblGrid>
        <w:gridCol w:w="3064"/>
        <w:gridCol w:w="1269"/>
        <w:gridCol w:w="1269"/>
        <w:gridCol w:w="1269"/>
        <w:gridCol w:w="1269"/>
        <w:gridCol w:w="1269"/>
      </w:tblGrid>
      <w:tr w:rsidR="008E429A" w:rsidRPr="002C1574" w:rsidTr="00C173EB">
        <w:tc>
          <w:tcPr>
            <w:tcW w:w="5000" w:type="pct"/>
            <w:gridSpan w:val="6"/>
          </w:tcPr>
          <w:p w:rsidR="008E429A" w:rsidRPr="002C1574" w:rsidRDefault="008E429A" w:rsidP="00F00A8B">
            <w:pPr>
              <w:spacing w:before="100" w:beforeAutospacing="1" w:after="100" w:afterAutospacing="1"/>
              <w:jc w:val="center"/>
              <w:rPr>
                <w:b/>
                <w:bCs/>
              </w:rPr>
            </w:pPr>
            <w:r w:rsidRPr="002C1574">
              <w:rPr>
                <w:b/>
                <w:bCs/>
              </w:rPr>
              <w:t>III. Tiesību akta projekta ietekme uz valsts budžetu un pašvaldību budžetiem</w:t>
            </w:r>
          </w:p>
        </w:tc>
      </w:tr>
      <w:tr w:rsidR="008E429A" w:rsidRPr="002C1574" w:rsidTr="00012992">
        <w:tc>
          <w:tcPr>
            <w:tcW w:w="0" w:type="auto"/>
            <w:vMerge w:val="restart"/>
            <w:vAlign w:val="center"/>
          </w:tcPr>
          <w:p w:rsidR="008E429A" w:rsidRPr="002C1574" w:rsidRDefault="008E429A" w:rsidP="00F00A8B">
            <w:pPr>
              <w:spacing w:before="100" w:beforeAutospacing="1" w:after="100" w:afterAutospacing="1"/>
              <w:jc w:val="center"/>
              <w:rPr>
                <w:b/>
                <w:bCs/>
              </w:rPr>
            </w:pPr>
            <w:r w:rsidRPr="002C1574">
              <w:rPr>
                <w:b/>
                <w:bCs/>
              </w:rPr>
              <w:t>Rādītāji</w:t>
            </w:r>
          </w:p>
        </w:tc>
        <w:tc>
          <w:tcPr>
            <w:tcW w:w="0" w:type="auto"/>
            <w:gridSpan w:val="2"/>
            <w:vMerge w:val="restart"/>
            <w:vAlign w:val="center"/>
          </w:tcPr>
          <w:p w:rsidR="008E429A" w:rsidRPr="002C1574" w:rsidRDefault="008E429A" w:rsidP="00767209">
            <w:pPr>
              <w:spacing w:before="100" w:beforeAutospacing="1" w:after="100" w:afterAutospacing="1"/>
              <w:jc w:val="center"/>
              <w:rPr>
                <w:b/>
                <w:bCs/>
              </w:rPr>
            </w:pPr>
            <w:r w:rsidRPr="002C1574">
              <w:rPr>
                <w:b/>
                <w:bCs/>
              </w:rPr>
              <w:t>201</w:t>
            </w:r>
            <w:r w:rsidR="00767209" w:rsidRPr="002C1574">
              <w:rPr>
                <w:b/>
                <w:bCs/>
              </w:rPr>
              <w:t>5</w:t>
            </w:r>
            <w:r w:rsidRPr="002C1574">
              <w:rPr>
                <w:b/>
                <w:bCs/>
              </w:rPr>
              <w:t>. gads</w:t>
            </w:r>
          </w:p>
        </w:tc>
        <w:tc>
          <w:tcPr>
            <w:tcW w:w="1742" w:type="pct"/>
            <w:gridSpan w:val="3"/>
            <w:vAlign w:val="center"/>
          </w:tcPr>
          <w:p w:rsidR="008E429A" w:rsidRPr="002C1574" w:rsidRDefault="008E429A" w:rsidP="00527BF8">
            <w:pPr>
              <w:spacing w:before="100" w:beforeAutospacing="1" w:after="100" w:afterAutospacing="1"/>
              <w:jc w:val="center"/>
            </w:pPr>
            <w:r w:rsidRPr="002C1574">
              <w:t xml:space="preserve">Turpmākie trīs gadi (tūkst. </w:t>
            </w:r>
            <w:proofErr w:type="spellStart"/>
            <w:r w:rsidR="00527BF8" w:rsidRPr="002C1574">
              <w:rPr>
                <w:i/>
              </w:rPr>
              <w:t>euro</w:t>
            </w:r>
            <w:proofErr w:type="spellEnd"/>
            <w:r w:rsidRPr="002C1574">
              <w:t>)</w:t>
            </w:r>
          </w:p>
        </w:tc>
      </w:tr>
      <w:tr w:rsidR="008E429A" w:rsidRPr="002C1574" w:rsidTr="00012992">
        <w:tc>
          <w:tcPr>
            <w:tcW w:w="0" w:type="auto"/>
            <w:vMerge/>
            <w:vAlign w:val="center"/>
          </w:tcPr>
          <w:p w:rsidR="008E429A" w:rsidRPr="002C1574" w:rsidRDefault="008E429A" w:rsidP="00F00A8B">
            <w:pPr>
              <w:rPr>
                <w:b/>
                <w:bCs/>
              </w:rPr>
            </w:pPr>
          </w:p>
        </w:tc>
        <w:tc>
          <w:tcPr>
            <w:tcW w:w="0" w:type="auto"/>
            <w:gridSpan w:val="2"/>
            <w:vMerge/>
            <w:vAlign w:val="center"/>
          </w:tcPr>
          <w:p w:rsidR="008E429A" w:rsidRPr="002C1574" w:rsidRDefault="008E429A" w:rsidP="00F00A8B">
            <w:pPr>
              <w:rPr>
                <w:b/>
                <w:bCs/>
              </w:rPr>
            </w:pPr>
          </w:p>
        </w:tc>
        <w:tc>
          <w:tcPr>
            <w:tcW w:w="0" w:type="auto"/>
            <w:vAlign w:val="center"/>
          </w:tcPr>
          <w:p w:rsidR="008E429A" w:rsidRPr="002C1574" w:rsidRDefault="008E429A" w:rsidP="00767209">
            <w:pPr>
              <w:spacing w:before="100" w:beforeAutospacing="1" w:after="100" w:afterAutospacing="1"/>
              <w:jc w:val="center"/>
              <w:rPr>
                <w:b/>
                <w:bCs/>
              </w:rPr>
            </w:pPr>
            <w:r w:rsidRPr="002C1574">
              <w:rPr>
                <w:b/>
                <w:bCs/>
              </w:rPr>
              <w:t>201</w:t>
            </w:r>
            <w:r w:rsidR="00767209" w:rsidRPr="002C1574">
              <w:rPr>
                <w:b/>
                <w:bCs/>
              </w:rPr>
              <w:t>6</w:t>
            </w:r>
          </w:p>
        </w:tc>
        <w:tc>
          <w:tcPr>
            <w:tcW w:w="602" w:type="pct"/>
            <w:vAlign w:val="center"/>
          </w:tcPr>
          <w:p w:rsidR="008E429A" w:rsidRPr="002C1574" w:rsidRDefault="008E429A" w:rsidP="00767209">
            <w:pPr>
              <w:spacing w:before="100" w:beforeAutospacing="1" w:after="100" w:afterAutospacing="1"/>
              <w:jc w:val="center"/>
              <w:rPr>
                <w:b/>
                <w:bCs/>
              </w:rPr>
            </w:pPr>
            <w:r w:rsidRPr="002C1574">
              <w:rPr>
                <w:b/>
                <w:bCs/>
              </w:rPr>
              <w:t>201</w:t>
            </w:r>
            <w:r w:rsidR="00767209" w:rsidRPr="002C1574">
              <w:rPr>
                <w:b/>
                <w:bCs/>
              </w:rPr>
              <w:t>7</w:t>
            </w:r>
          </w:p>
        </w:tc>
        <w:tc>
          <w:tcPr>
            <w:tcW w:w="615" w:type="pct"/>
            <w:vAlign w:val="center"/>
          </w:tcPr>
          <w:p w:rsidR="008E429A" w:rsidRPr="002C1574" w:rsidRDefault="008E429A" w:rsidP="00767209">
            <w:pPr>
              <w:spacing w:before="100" w:beforeAutospacing="1" w:after="100" w:afterAutospacing="1"/>
              <w:jc w:val="center"/>
              <w:rPr>
                <w:b/>
                <w:bCs/>
              </w:rPr>
            </w:pPr>
            <w:r w:rsidRPr="002C1574">
              <w:rPr>
                <w:b/>
                <w:bCs/>
              </w:rPr>
              <w:t>201</w:t>
            </w:r>
            <w:r w:rsidR="00767209" w:rsidRPr="002C1574">
              <w:rPr>
                <w:b/>
                <w:bCs/>
              </w:rPr>
              <w:t>8</w:t>
            </w:r>
          </w:p>
        </w:tc>
      </w:tr>
      <w:tr w:rsidR="008E429A" w:rsidRPr="002C1574" w:rsidTr="00012992">
        <w:tc>
          <w:tcPr>
            <w:tcW w:w="0" w:type="auto"/>
            <w:vMerge/>
            <w:vAlign w:val="center"/>
          </w:tcPr>
          <w:p w:rsidR="008E429A" w:rsidRPr="002C1574" w:rsidRDefault="008E429A" w:rsidP="00F00A8B">
            <w:pPr>
              <w:rPr>
                <w:b/>
                <w:bCs/>
              </w:rPr>
            </w:pPr>
          </w:p>
        </w:tc>
        <w:tc>
          <w:tcPr>
            <w:tcW w:w="0" w:type="auto"/>
            <w:vAlign w:val="center"/>
          </w:tcPr>
          <w:p w:rsidR="008E429A" w:rsidRPr="002C1574" w:rsidRDefault="008E429A" w:rsidP="00F00A8B">
            <w:pPr>
              <w:spacing w:before="100" w:beforeAutospacing="1" w:after="100" w:afterAutospacing="1"/>
              <w:jc w:val="center"/>
            </w:pPr>
            <w:r w:rsidRPr="002C1574">
              <w:t>Saskaņā ar valsts budžetu kārtējam gadam</w:t>
            </w:r>
          </w:p>
        </w:tc>
        <w:tc>
          <w:tcPr>
            <w:tcW w:w="0" w:type="auto"/>
            <w:vAlign w:val="center"/>
          </w:tcPr>
          <w:p w:rsidR="008E429A" w:rsidRPr="002C1574" w:rsidRDefault="008E429A" w:rsidP="00F00A8B">
            <w:pPr>
              <w:spacing w:before="100" w:beforeAutospacing="1" w:after="100" w:afterAutospacing="1"/>
              <w:jc w:val="center"/>
            </w:pPr>
            <w:r w:rsidRPr="002C1574">
              <w:t>Izmaiņas kārtējā gadā, salīdzinot ar budžetu kārtējam gadam</w:t>
            </w:r>
          </w:p>
        </w:tc>
        <w:tc>
          <w:tcPr>
            <w:tcW w:w="0" w:type="auto"/>
            <w:vAlign w:val="center"/>
          </w:tcPr>
          <w:p w:rsidR="008E429A" w:rsidRPr="002C1574" w:rsidRDefault="008E429A" w:rsidP="00F00A8B">
            <w:pPr>
              <w:spacing w:before="100" w:beforeAutospacing="1" w:after="100" w:afterAutospacing="1"/>
              <w:jc w:val="center"/>
            </w:pPr>
            <w:r w:rsidRPr="002C1574">
              <w:t>Izmaiņas, salīdzinot ar kārtējo (n) gadu</w:t>
            </w:r>
          </w:p>
        </w:tc>
        <w:tc>
          <w:tcPr>
            <w:tcW w:w="602" w:type="pct"/>
            <w:vAlign w:val="center"/>
          </w:tcPr>
          <w:p w:rsidR="008E429A" w:rsidRPr="002C1574" w:rsidRDefault="008E429A" w:rsidP="00F00A8B">
            <w:pPr>
              <w:spacing w:before="100" w:beforeAutospacing="1" w:after="100" w:afterAutospacing="1"/>
              <w:jc w:val="center"/>
            </w:pPr>
            <w:r w:rsidRPr="002C1574">
              <w:t>Izmaiņas, salīdzinot ar kārtējo (n) gadu</w:t>
            </w:r>
          </w:p>
        </w:tc>
        <w:tc>
          <w:tcPr>
            <w:tcW w:w="615" w:type="pct"/>
            <w:vAlign w:val="center"/>
          </w:tcPr>
          <w:p w:rsidR="008E429A" w:rsidRPr="002C1574" w:rsidRDefault="008E429A" w:rsidP="00F00A8B">
            <w:pPr>
              <w:spacing w:before="100" w:beforeAutospacing="1" w:after="100" w:afterAutospacing="1"/>
              <w:jc w:val="center"/>
            </w:pPr>
            <w:r w:rsidRPr="002C1574">
              <w:t>Izmaiņas, salīdzinot ar kārtējo (n) gadu</w:t>
            </w:r>
          </w:p>
        </w:tc>
      </w:tr>
      <w:tr w:rsidR="008E429A" w:rsidRPr="002C1574" w:rsidTr="00012992">
        <w:tc>
          <w:tcPr>
            <w:tcW w:w="0" w:type="auto"/>
            <w:vAlign w:val="center"/>
          </w:tcPr>
          <w:p w:rsidR="008E429A" w:rsidRPr="002C1574" w:rsidRDefault="008E429A" w:rsidP="00F00A8B">
            <w:pPr>
              <w:spacing w:before="100" w:beforeAutospacing="1" w:after="100" w:afterAutospacing="1"/>
              <w:jc w:val="center"/>
            </w:pPr>
            <w:r w:rsidRPr="002C1574">
              <w:t>1</w:t>
            </w:r>
          </w:p>
        </w:tc>
        <w:tc>
          <w:tcPr>
            <w:tcW w:w="0" w:type="auto"/>
            <w:vAlign w:val="center"/>
          </w:tcPr>
          <w:p w:rsidR="008E429A" w:rsidRPr="002C1574" w:rsidRDefault="008E429A" w:rsidP="00F00A8B">
            <w:pPr>
              <w:spacing w:before="100" w:beforeAutospacing="1" w:after="100" w:afterAutospacing="1"/>
              <w:jc w:val="center"/>
            </w:pPr>
            <w:r w:rsidRPr="002C1574">
              <w:t>2</w:t>
            </w:r>
          </w:p>
        </w:tc>
        <w:tc>
          <w:tcPr>
            <w:tcW w:w="0" w:type="auto"/>
            <w:vAlign w:val="center"/>
          </w:tcPr>
          <w:p w:rsidR="008E429A" w:rsidRPr="002C1574" w:rsidRDefault="008E429A" w:rsidP="00F00A8B">
            <w:pPr>
              <w:spacing w:before="100" w:beforeAutospacing="1" w:after="100" w:afterAutospacing="1"/>
              <w:jc w:val="center"/>
            </w:pPr>
            <w:r w:rsidRPr="002C1574">
              <w:t>3</w:t>
            </w:r>
          </w:p>
        </w:tc>
        <w:tc>
          <w:tcPr>
            <w:tcW w:w="0" w:type="auto"/>
            <w:vAlign w:val="center"/>
          </w:tcPr>
          <w:p w:rsidR="008E429A" w:rsidRPr="002C1574" w:rsidRDefault="008E429A" w:rsidP="00F00A8B">
            <w:pPr>
              <w:spacing w:before="100" w:beforeAutospacing="1" w:after="100" w:afterAutospacing="1"/>
              <w:jc w:val="center"/>
            </w:pPr>
            <w:r w:rsidRPr="002C1574">
              <w:t>4</w:t>
            </w:r>
          </w:p>
        </w:tc>
        <w:tc>
          <w:tcPr>
            <w:tcW w:w="602" w:type="pct"/>
            <w:vAlign w:val="center"/>
          </w:tcPr>
          <w:p w:rsidR="008E429A" w:rsidRPr="002C1574" w:rsidRDefault="008E429A" w:rsidP="00F00A8B">
            <w:pPr>
              <w:spacing w:before="100" w:beforeAutospacing="1" w:after="100" w:afterAutospacing="1"/>
              <w:jc w:val="center"/>
            </w:pPr>
            <w:r w:rsidRPr="002C1574">
              <w:t>5</w:t>
            </w:r>
          </w:p>
        </w:tc>
        <w:tc>
          <w:tcPr>
            <w:tcW w:w="615" w:type="pct"/>
            <w:vAlign w:val="center"/>
          </w:tcPr>
          <w:p w:rsidR="008E429A" w:rsidRPr="002C1574" w:rsidRDefault="008E429A" w:rsidP="00F00A8B">
            <w:pPr>
              <w:spacing w:before="100" w:beforeAutospacing="1" w:after="100" w:afterAutospacing="1"/>
              <w:jc w:val="center"/>
            </w:pPr>
            <w:r w:rsidRPr="002C1574">
              <w:t>6</w:t>
            </w:r>
          </w:p>
        </w:tc>
      </w:tr>
      <w:tr w:rsidR="00012992" w:rsidRPr="002C1574" w:rsidTr="00012992">
        <w:tc>
          <w:tcPr>
            <w:tcW w:w="0" w:type="auto"/>
          </w:tcPr>
          <w:p w:rsidR="00012992" w:rsidRPr="002C1574" w:rsidRDefault="00012992" w:rsidP="00F6386B">
            <w:pPr>
              <w:spacing w:before="100" w:beforeAutospacing="1" w:after="100" w:afterAutospacing="1"/>
            </w:pPr>
            <w:r w:rsidRPr="002C1574">
              <w:t>1. Budžeta ieņēmumi:</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602" w:type="pct"/>
          </w:tcPr>
          <w:p w:rsidR="00012992" w:rsidRPr="002C1574" w:rsidRDefault="00012992">
            <w:r w:rsidRPr="002C1574">
              <w:t>Skatīt 7.sadaļu „Cita informācija”</w:t>
            </w:r>
          </w:p>
        </w:tc>
        <w:tc>
          <w:tcPr>
            <w:tcW w:w="615" w:type="pct"/>
          </w:tcPr>
          <w:p w:rsidR="00012992" w:rsidRPr="002C1574" w:rsidRDefault="00012992">
            <w:r w:rsidRPr="002C1574">
              <w:t>Skatīt 7.sadaļu „Cita informācija”</w:t>
            </w:r>
          </w:p>
        </w:tc>
      </w:tr>
      <w:tr w:rsidR="00012992" w:rsidRPr="002C1574" w:rsidTr="00012992">
        <w:tc>
          <w:tcPr>
            <w:tcW w:w="0" w:type="auto"/>
          </w:tcPr>
          <w:p w:rsidR="00012992" w:rsidRPr="002C1574" w:rsidRDefault="00012992" w:rsidP="00F6386B">
            <w:pPr>
              <w:spacing w:before="100" w:beforeAutospacing="1" w:after="100" w:afterAutospacing="1"/>
            </w:pPr>
            <w:r w:rsidRPr="002C1574">
              <w:t>1.1. valsts pamatbudžets, tai skaitā ieņēmumi no maksas pakalpo-</w:t>
            </w:r>
            <w:proofErr w:type="spellStart"/>
            <w:r w:rsidRPr="002C1574">
              <w:t>jumiem</w:t>
            </w:r>
            <w:proofErr w:type="spellEnd"/>
            <w:r w:rsidRPr="002C1574">
              <w:t xml:space="preserve"> un citi pašu ieņēmumi</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602" w:type="pct"/>
          </w:tcPr>
          <w:p w:rsidR="00012992" w:rsidRPr="002C1574" w:rsidRDefault="00012992">
            <w:r w:rsidRPr="002C1574">
              <w:t>Skatīt 7.sadaļu „Cita informācija”</w:t>
            </w:r>
          </w:p>
        </w:tc>
        <w:tc>
          <w:tcPr>
            <w:tcW w:w="615" w:type="pct"/>
          </w:tcPr>
          <w:p w:rsidR="00012992" w:rsidRPr="002C1574" w:rsidRDefault="00012992">
            <w:r w:rsidRPr="002C1574">
              <w:t>Skatīt 7.sadaļu „Cita informācija”</w:t>
            </w:r>
          </w:p>
        </w:tc>
      </w:tr>
      <w:tr w:rsidR="00012992" w:rsidRPr="002C1574" w:rsidTr="00012992">
        <w:tc>
          <w:tcPr>
            <w:tcW w:w="0" w:type="auto"/>
          </w:tcPr>
          <w:p w:rsidR="00012992" w:rsidRPr="002C1574" w:rsidRDefault="00012992" w:rsidP="00F6386B">
            <w:pPr>
              <w:spacing w:before="100" w:beforeAutospacing="1" w:after="100" w:afterAutospacing="1"/>
            </w:pPr>
            <w:r w:rsidRPr="002C1574">
              <w:t>1.2. valsts speciālais budžets</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602" w:type="pct"/>
          </w:tcPr>
          <w:p w:rsidR="00012992" w:rsidRPr="002C1574" w:rsidRDefault="00012992">
            <w:r w:rsidRPr="002C1574">
              <w:t>Skatīt 7.sadaļu „Cita informācija”</w:t>
            </w:r>
          </w:p>
        </w:tc>
        <w:tc>
          <w:tcPr>
            <w:tcW w:w="615" w:type="pct"/>
          </w:tcPr>
          <w:p w:rsidR="00012992" w:rsidRPr="002C1574" w:rsidRDefault="00012992">
            <w:r w:rsidRPr="002C1574">
              <w:t>Skatīt 7.sadaļu „Cita informācija”</w:t>
            </w:r>
          </w:p>
        </w:tc>
      </w:tr>
      <w:tr w:rsidR="00012992" w:rsidRPr="002C1574" w:rsidTr="00012992">
        <w:tc>
          <w:tcPr>
            <w:tcW w:w="0" w:type="auto"/>
          </w:tcPr>
          <w:p w:rsidR="00012992" w:rsidRPr="002C1574" w:rsidRDefault="00012992" w:rsidP="00F6386B">
            <w:pPr>
              <w:spacing w:before="100" w:beforeAutospacing="1" w:after="100" w:afterAutospacing="1"/>
            </w:pPr>
            <w:r w:rsidRPr="002C1574">
              <w:t>1.3. pašvaldību budžets</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602" w:type="pct"/>
          </w:tcPr>
          <w:p w:rsidR="00012992" w:rsidRPr="002C1574" w:rsidRDefault="00012992">
            <w:r w:rsidRPr="002C1574">
              <w:t>Skatīt 7.sadaļu „Cita informācija”</w:t>
            </w:r>
          </w:p>
        </w:tc>
        <w:tc>
          <w:tcPr>
            <w:tcW w:w="615" w:type="pct"/>
          </w:tcPr>
          <w:p w:rsidR="00012992" w:rsidRPr="002C1574" w:rsidRDefault="00012992">
            <w:r w:rsidRPr="002C1574">
              <w:t>Skatīt 7.sadaļu „Cita informācija”</w:t>
            </w:r>
          </w:p>
        </w:tc>
      </w:tr>
      <w:tr w:rsidR="00012992" w:rsidRPr="002C1574" w:rsidTr="00012992">
        <w:tc>
          <w:tcPr>
            <w:tcW w:w="0" w:type="auto"/>
          </w:tcPr>
          <w:p w:rsidR="00012992" w:rsidRPr="002C1574" w:rsidRDefault="00012992" w:rsidP="00F6386B">
            <w:pPr>
              <w:spacing w:before="100" w:beforeAutospacing="1" w:after="100" w:afterAutospacing="1"/>
            </w:pPr>
            <w:r w:rsidRPr="002C1574">
              <w:t>2. Budžeta izdevumi:</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602" w:type="pct"/>
          </w:tcPr>
          <w:p w:rsidR="00012992" w:rsidRPr="002C1574" w:rsidRDefault="00012992">
            <w:r w:rsidRPr="002C1574">
              <w:t>Skatīt 7.sadaļu „Cita informācija”</w:t>
            </w:r>
          </w:p>
        </w:tc>
        <w:tc>
          <w:tcPr>
            <w:tcW w:w="615" w:type="pct"/>
          </w:tcPr>
          <w:p w:rsidR="00012992" w:rsidRPr="002C1574" w:rsidRDefault="00012992">
            <w:r w:rsidRPr="002C1574">
              <w:t>Skatīt 7.sadaļu „Cita informācija”</w:t>
            </w:r>
          </w:p>
        </w:tc>
      </w:tr>
      <w:tr w:rsidR="00012992" w:rsidRPr="002C1574" w:rsidTr="00012992">
        <w:tc>
          <w:tcPr>
            <w:tcW w:w="0" w:type="auto"/>
          </w:tcPr>
          <w:p w:rsidR="00012992" w:rsidRPr="002C1574" w:rsidRDefault="00012992" w:rsidP="00F6386B">
            <w:pPr>
              <w:spacing w:before="100" w:beforeAutospacing="1" w:after="100" w:afterAutospacing="1"/>
            </w:pPr>
            <w:r w:rsidRPr="002C1574">
              <w:t>2.1. valsts pamatbudžets</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602" w:type="pct"/>
          </w:tcPr>
          <w:p w:rsidR="00012992" w:rsidRPr="002C1574" w:rsidRDefault="00012992">
            <w:r w:rsidRPr="002C1574">
              <w:t>Skatīt 7.sadaļu „Cita informācija”</w:t>
            </w:r>
          </w:p>
        </w:tc>
        <w:tc>
          <w:tcPr>
            <w:tcW w:w="615" w:type="pct"/>
          </w:tcPr>
          <w:p w:rsidR="00012992" w:rsidRPr="002C1574" w:rsidRDefault="00012992">
            <w:r w:rsidRPr="002C1574">
              <w:t>Skatīt 7.sadaļu „Cita informācija”</w:t>
            </w:r>
          </w:p>
        </w:tc>
      </w:tr>
      <w:tr w:rsidR="00012992" w:rsidRPr="002C1574" w:rsidTr="00012992">
        <w:tc>
          <w:tcPr>
            <w:tcW w:w="0" w:type="auto"/>
          </w:tcPr>
          <w:p w:rsidR="00012992" w:rsidRPr="002C1574" w:rsidRDefault="00012992" w:rsidP="00F6386B">
            <w:pPr>
              <w:spacing w:before="100" w:beforeAutospacing="1" w:after="100" w:afterAutospacing="1"/>
            </w:pPr>
            <w:r w:rsidRPr="002C1574">
              <w:t>2.2. valsts speciālais budžets</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602" w:type="pct"/>
          </w:tcPr>
          <w:p w:rsidR="00012992" w:rsidRPr="002C1574" w:rsidRDefault="00012992">
            <w:r w:rsidRPr="002C1574">
              <w:t>Skatīt 7.sadaļu „Cita informācija”</w:t>
            </w:r>
          </w:p>
        </w:tc>
        <w:tc>
          <w:tcPr>
            <w:tcW w:w="615" w:type="pct"/>
          </w:tcPr>
          <w:p w:rsidR="00012992" w:rsidRPr="002C1574" w:rsidRDefault="00012992">
            <w:r w:rsidRPr="002C1574">
              <w:t>Skatīt 7.sadaļu „Cita informācija”</w:t>
            </w:r>
          </w:p>
        </w:tc>
      </w:tr>
      <w:tr w:rsidR="00012992" w:rsidRPr="002C1574" w:rsidTr="00012992">
        <w:tc>
          <w:tcPr>
            <w:tcW w:w="0" w:type="auto"/>
          </w:tcPr>
          <w:p w:rsidR="00012992" w:rsidRPr="002C1574" w:rsidRDefault="00012992" w:rsidP="00F6386B">
            <w:pPr>
              <w:spacing w:before="100" w:beforeAutospacing="1" w:after="100" w:afterAutospacing="1"/>
            </w:pPr>
            <w:r w:rsidRPr="002C1574">
              <w:t>2.3. pašvaldību budžets</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602" w:type="pct"/>
          </w:tcPr>
          <w:p w:rsidR="00012992" w:rsidRPr="002C1574" w:rsidRDefault="00012992">
            <w:r w:rsidRPr="002C1574">
              <w:t>Skatīt 7.sadaļu „Cita informācija”</w:t>
            </w:r>
          </w:p>
        </w:tc>
        <w:tc>
          <w:tcPr>
            <w:tcW w:w="615" w:type="pct"/>
          </w:tcPr>
          <w:p w:rsidR="00012992" w:rsidRPr="002C1574" w:rsidRDefault="00012992">
            <w:r w:rsidRPr="002C1574">
              <w:t>Skatīt 7.sadaļu „Cita informācija”</w:t>
            </w:r>
          </w:p>
        </w:tc>
      </w:tr>
      <w:tr w:rsidR="00012992" w:rsidRPr="002C1574" w:rsidTr="00012992">
        <w:tc>
          <w:tcPr>
            <w:tcW w:w="0" w:type="auto"/>
          </w:tcPr>
          <w:p w:rsidR="00012992" w:rsidRPr="002C1574" w:rsidRDefault="00012992" w:rsidP="00F6386B">
            <w:pPr>
              <w:spacing w:before="100" w:beforeAutospacing="1" w:after="100" w:afterAutospacing="1"/>
            </w:pPr>
            <w:r w:rsidRPr="002C1574">
              <w:t>3. Finansiālā ietekme:</w:t>
            </w:r>
          </w:p>
        </w:tc>
        <w:tc>
          <w:tcPr>
            <w:tcW w:w="0" w:type="auto"/>
          </w:tcPr>
          <w:p w:rsidR="00012992" w:rsidRPr="002C1574" w:rsidRDefault="00012992">
            <w:r w:rsidRPr="002C1574">
              <w:t xml:space="preserve">Skatīt </w:t>
            </w:r>
            <w:r w:rsidRPr="002C1574">
              <w:lastRenderedPageBreak/>
              <w:t>7.sadaļu „Cita informācija”</w:t>
            </w:r>
          </w:p>
        </w:tc>
        <w:tc>
          <w:tcPr>
            <w:tcW w:w="0" w:type="auto"/>
          </w:tcPr>
          <w:p w:rsidR="00012992" w:rsidRPr="002C1574" w:rsidRDefault="00012992">
            <w:r w:rsidRPr="002C1574">
              <w:lastRenderedPageBreak/>
              <w:t xml:space="preserve">Skatīt </w:t>
            </w:r>
            <w:r w:rsidRPr="002C1574">
              <w:lastRenderedPageBreak/>
              <w:t>7.sadaļu „Cita informācija”</w:t>
            </w:r>
          </w:p>
        </w:tc>
        <w:tc>
          <w:tcPr>
            <w:tcW w:w="0" w:type="auto"/>
          </w:tcPr>
          <w:p w:rsidR="00012992" w:rsidRPr="002C1574" w:rsidRDefault="00012992">
            <w:r w:rsidRPr="002C1574">
              <w:lastRenderedPageBreak/>
              <w:t xml:space="preserve">Skatīt </w:t>
            </w:r>
            <w:r w:rsidRPr="002C1574">
              <w:lastRenderedPageBreak/>
              <w:t>7.sadaļu „Cita informācija”</w:t>
            </w:r>
          </w:p>
        </w:tc>
        <w:tc>
          <w:tcPr>
            <w:tcW w:w="602" w:type="pct"/>
          </w:tcPr>
          <w:p w:rsidR="00012992" w:rsidRPr="002C1574" w:rsidRDefault="00012992">
            <w:r w:rsidRPr="002C1574">
              <w:lastRenderedPageBreak/>
              <w:t xml:space="preserve">Skatīt </w:t>
            </w:r>
            <w:r w:rsidRPr="002C1574">
              <w:lastRenderedPageBreak/>
              <w:t>7.sadaļu „Cita informācija”</w:t>
            </w:r>
          </w:p>
        </w:tc>
        <w:tc>
          <w:tcPr>
            <w:tcW w:w="615" w:type="pct"/>
          </w:tcPr>
          <w:p w:rsidR="00012992" w:rsidRPr="002C1574" w:rsidRDefault="00012992">
            <w:r w:rsidRPr="002C1574">
              <w:lastRenderedPageBreak/>
              <w:t xml:space="preserve">Skatīt </w:t>
            </w:r>
            <w:r w:rsidRPr="002C1574">
              <w:lastRenderedPageBreak/>
              <w:t>7.sadaļu „Cita informācija”</w:t>
            </w:r>
          </w:p>
        </w:tc>
      </w:tr>
      <w:tr w:rsidR="00012992" w:rsidRPr="002C1574" w:rsidTr="00012992">
        <w:tc>
          <w:tcPr>
            <w:tcW w:w="0" w:type="auto"/>
          </w:tcPr>
          <w:p w:rsidR="00012992" w:rsidRPr="002C1574" w:rsidRDefault="00012992" w:rsidP="00F6386B">
            <w:pPr>
              <w:spacing w:before="100" w:beforeAutospacing="1" w:after="100" w:afterAutospacing="1"/>
            </w:pPr>
            <w:r w:rsidRPr="002C1574">
              <w:lastRenderedPageBreak/>
              <w:t>3.1. valsts pamatbudžets</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602" w:type="pct"/>
          </w:tcPr>
          <w:p w:rsidR="00012992" w:rsidRPr="002C1574" w:rsidRDefault="00012992">
            <w:r w:rsidRPr="002C1574">
              <w:t>Skatīt 7.sadaļu „Cita informācija”</w:t>
            </w:r>
          </w:p>
        </w:tc>
        <w:tc>
          <w:tcPr>
            <w:tcW w:w="615" w:type="pct"/>
          </w:tcPr>
          <w:p w:rsidR="00012992" w:rsidRPr="002C1574" w:rsidRDefault="00012992">
            <w:r w:rsidRPr="002C1574">
              <w:t>Skatīt 7.sadaļu „Cita informācija”</w:t>
            </w:r>
          </w:p>
        </w:tc>
      </w:tr>
      <w:tr w:rsidR="00012992" w:rsidRPr="002C1574" w:rsidTr="00012992">
        <w:tc>
          <w:tcPr>
            <w:tcW w:w="0" w:type="auto"/>
          </w:tcPr>
          <w:p w:rsidR="00012992" w:rsidRPr="002C1574" w:rsidRDefault="00012992" w:rsidP="00F6386B">
            <w:pPr>
              <w:spacing w:before="100" w:beforeAutospacing="1" w:after="100" w:afterAutospacing="1"/>
            </w:pPr>
            <w:r w:rsidRPr="002C1574">
              <w:t>3.2. speciālais budžets</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602" w:type="pct"/>
          </w:tcPr>
          <w:p w:rsidR="00012992" w:rsidRPr="002C1574" w:rsidRDefault="00012992">
            <w:r w:rsidRPr="002C1574">
              <w:t>Skatīt 7.sadaļu „Cita informācija”</w:t>
            </w:r>
          </w:p>
        </w:tc>
        <w:tc>
          <w:tcPr>
            <w:tcW w:w="615" w:type="pct"/>
          </w:tcPr>
          <w:p w:rsidR="00012992" w:rsidRPr="002C1574" w:rsidRDefault="00012992">
            <w:r w:rsidRPr="002C1574">
              <w:t>Skatīt 7.sadaļu „Cita informācija”</w:t>
            </w:r>
          </w:p>
        </w:tc>
      </w:tr>
      <w:tr w:rsidR="00012992" w:rsidRPr="002C1574" w:rsidTr="00012992">
        <w:tc>
          <w:tcPr>
            <w:tcW w:w="0" w:type="auto"/>
          </w:tcPr>
          <w:p w:rsidR="00012992" w:rsidRPr="002C1574" w:rsidRDefault="00012992" w:rsidP="00F6386B">
            <w:pPr>
              <w:spacing w:before="100" w:beforeAutospacing="1" w:after="100" w:afterAutospacing="1"/>
            </w:pPr>
            <w:r w:rsidRPr="002C1574">
              <w:t>3.3. pašvaldību budžets</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602" w:type="pct"/>
          </w:tcPr>
          <w:p w:rsidR="00012992" w:rsidRPr="002C1574" w:rsidRDefault="00012992">
            <w:r w:rsidRPr="002C1574">
              <w:t>Skatīt 7.sadaļu „Cita informācija”</w:t>
            </w:r>
          </w:p>
        </w:tc>
        <w:tc>
          <w:tcPr>
            <w:tcW w:w="615" w:type="pct"/>
          </w:tcPr>
          <w:p w:rsidR="00012992" w:rsidRPr="002C1574" w:rsidRDefault="00012992">
            <w:r w:rsidRPr="002C1574">
              <w:t>Skatīt 7.sadaļu „Cita informācija”</w:t>
            </w:r>
          </w:p>
        </w:tc>
      </w:tr>
      <w:tr w:rsidR="00012992" w:rsidRPr="002C1574" w:rsidTr="00012992">
        <w:tc>
          <w:tcPr>
            <w:tcW w:w="0" w:type="auto"/>
            <w:vMerge w:val="restart"/>
          </w:tcPr>
          <w:p w:rsidR="00012992" w:rsidRPr="002C1574" w:rsidRDefault="00012992" w:rsidP="00F6386B">
            <w:pPr>
              <w:spacing w:before="100" w:beforeAutospacing="1" w:after="100" w:afterAutospacing="1"/>
            </w:pPr>
            <w:r w:rsidRPr="002C1574">
              <w:t>4. Finanšu līdzekļi papildu izde</w:t>
            </w:r>
            <w:r w:rsidRPr="002C1574">
              <w:softHyphen/>
              <w:t>vumu finansēšanai (kompensējošu izdevumu samazinājumu norāda ar "+" zīmi)</w:t>
            </w:r>
          </w:p>
        </w:tc>
        <w:tc>
          <w:tcPr>
            <w:tcW w:w="0" w:type="auto"/>
            <w:vMerge w:val="restart"/>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602" w:type="pct"/>
          </w:tcPr>
          <w:p w:rsidR="00012992" w:rsidRPr="002C1574" w:rsidRDefault="00012992">
            <w:r w:rsidRPr="002C1574">
              <w:t>Skatīt 7.sadaļu „Cita informācija”</w:t>
            </w:r>
          </w:p>
        </w:tc>
        <w:tc>
          <w:tcPr>
            <w:tcW w:w="615" w:type="pct"/>
          </w:tcPr>
          <w:p w:rsidR="00012992" w:rsidRPr="002C1574" w:rsidRDefault="00012992">
            <w:r w:rsidRPr="002C1574">
              <w:t>Skatīt 7.sadaļu „Cita informācija”</w:t>
            </w:r>
          </w:p>
        </w:tc>
      </w:tr>
      <w:tr w:rsidR="00012992" w:rsidRPr="002C1574" w:rsidTr="00012992">
        <w:tc>
          <w:tcPr>
            <w:tcW w:w="0" w:type="auto"/>
            <w:vMerge/>
            <w:vAlign w:val="center"/>
          </w:tcPr>
          <w:p w:rsidR="00012992" w:rsidRPr="002C1574" w:rsidRDefault="00012992" w:rsidP="00F6386B"/>
        </w:tc>
        <w:tc>
          <w:tcPr>
            <w:tcW w:w="0" w:type="auto"/>
            <w:vMerge/>
          </w:tcPr>
          <w:p w:rsidR="00012992" w:rsidRPr="002C1574" w:rsidRDefault="00012992" w:rsidP="00F6386B">
            <w:pPr>
              <w:jc w:val="center"/>
            </w:pP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602" w:type="pct"/>
          </w:tcPr>
          <w:p w:rsidR="00012992" w:rsidRPr="002C1574" w:rsidRDefault="00012992">
            <w:r w:rsidRPr="002C1574">
              <w:t>Skatīt 7.sadaļu „Cita informācija”</w:t>
            </w:r>
          </w:p>
        </w:tc>
        <w:tc>
          <w:tcPr>
            <w:tcW w:w="615" w:type="pct"/>
          </w:tcPr>
          <w:p w:rsidR="00012992" w:rsidRPr="002C1574" w:rsidRDefault="00012992">
            <w:r w:rsidRPr="002C1574">
              <w:t>Skatīt 7.sadaļu „Cita informācija”</w:t>
            </w:r>
          </w:p>
        </w:tc>
      </w:tr>
      <w:tr w:rsidR="00012992" w:rsidRPr="002C1574" w:rsidTr="00012992">
        <w:tc>
          <w:tcPr>
            <w:tcW w:w="0" w:type="auto"/>
            <w:vMerge/>
            <w:vAlign w:val="center"/>
          </w:tcPr>
          <w:p w:rsidR="00012992" w:rsidRPr="002C1574" w:rsidRDefault="00012992" w:rsidP="00F6386B"/>
        </w:tc>
        <w:tc>
          <w:tcPr>
            <w:tcW w:w="0" w:type="auto"/>
            <w:vMerge/>
          </w:tcPr>
          <w:p w:rsidR="00012992" w:rsidRPr="002C1574" w:rsidRDefault="00012992" w:rsidP="00F6386B">
            <w:pPr>
              <w:jc w:val="center"/>
            </w:pP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602" w:type="pct"/>
          </w:tcPr>
          <w:p w:rsidR="00012992" w:rsidRPr="002C1574" w:rsidRDefault="00012992">
            <w:r w:rsidRPr="002C1574">
              <w:t>Skatīt 7.sadaļu „Cita informācija”</w:t>
            </w:r>
          </w:p>
        </w:tc>
        <w:tc>
          <w:tcPr>
            <w:tcW w:w="615" w:type="pct"/>
          </w:tcPr>
          <w:p w:rsidR="00012992" w:rsidRPr="002C1574" w:rsidRDefault="00012992">
            <w:r w:rsidRPr="002C1574">
              <w:t>Skatīt 7.sadaļu „Cita informācija”</w:t>
            </w:r>
          </w:p>
        </w:tc>
      </w:tr>
      <w:tr w:rsidR="00012992" w:rsidRPr="002C1574" w:rsidTr="00012992">
        <w:tc>
          <w:tcPr>
            <w:tcW w:w="0" w:type="auto"/>
          </w:tcPr>
          <w:p w:rsidR="00012992" w:rsidRPr="002C1574" w:rsidRDefault="00012992" w:rsidP="00F6386B">
            <w:pPr>
              <w:spacing w:before="100" w:beforeAutospacing="1" w:after="100" w:afterAutospacing="1"/>
            </w:pPr>
            <w:r w:rsidRPr="002C1574">
              <w:t>5. Precizēta finansiālā ietekme:</w:t>
            </w:r>
          </w:p>
        </w:tc>
        <w:tc>
          <w:tcPr>
            <w:tcW w:w="0" w:type="auto"/>
            <w:vMerge w:val="restart"/>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602" w:type="pct"/>
          </w:tcPr>
          <w:p w:rsidR="00012992" w:rsidRPr="002C1574" w:rsidRDefault="00012992">
            <w:r w:rsidRPr="002C1574">
              <w:t>Skatīt 7.sadaļu „Cita informācija”</w:t>
            </w:r>
          </w:p>
        </w:tc>
        <w:tc>
          <w:tcPr>
            <w:tcW w:w="615" w:type="pct"/>
          </w:tcPr>
          <w:p w:rsidR="00012992" w:rsidRPr="002C1574" w:rsidRDefault="00012992">
            <w:r w:rsidRPr="002C1574">
              <w:t>Skatīt 7.sadaļu „Cita informācija”</w:t>
            </w:r>
          </w:p>
        </w:tc>
      </w:tr>
      <w:tr w:rsidR="00012992" w:rsidRPr="002C1574" w:rsidTr="00012992">
        <w:tc>
          <w:tcPr>
            <w:tcW w:w="0" w:type="auto"/>
          </w:tcPr>
          <w:p w:rsidR="00012992" w:rsidRPr="002C1574" w:rsidRDefault="00012992" w:rsidP="00F6386B">
            <w:pPr>
              <w:spacing w:before="100" w:beforeAutospacing="1" w:after="100" w:afterAutospacing="1"/>
            </w:pPr>
            <w:r w:rsidRPr="002C1574">
              <w:t>5.1. valsts pamatbudžets</w:t>
            </w:r>
          </w:p>
        </w:tc>
        <w:tc>
          <w:tcPr>
            <w:tcW w:w="0" w:type="auto"/>
            <w:vMerge/>
          </w:tcPr>
          <w:p w:rsidR="00012992" w:rsidRPr="002C1574" w:rsidRDefault="00012992" w:rsidP="00F6386B">
            <w:pPr>
              <w:jc w:val="center"/>
            </w:pP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602" w:type="pct"/>
          </w:tcPr>
          <w:p w:rsidR="00012992" w:rsidRPr="002C1574" w:rsidRDefault="00012992">
            <w:r w:rsidRPr="002C1574">
              <w:t>Skatīt 7.sadaļu „Cita informācija”</w:t>
            </w:r>
          </w:p>
        </w:tc>
        <w:tc>
          <w:tcPr>
            <w:tcW w:w="615" w:type="pct"/>
          </w:tcPr>
          <w:p w:rsidR="00012992" w:rsidRPr="002C1574" w:rsidRDefault="00012992">
            <w:r w:rsidRPr="002C1574">
              <w:t>Skatīt 7.sadaļu „Cita informācija”</w:t>
            </w:r>
          </w:p>
        </w:tc>
      </w:tr>
      <w:tr w:rsidR="00012992" w:rsidRPr="002C1574" w:rsidTr="00012992">
        <w:tc>
          <w:tcPr>
            <w:tcW w:w="0" w:type="auto"/>
          </w:tcPr>
          <w:p w:rsidR="00012992" w:rsidRPr="002C1574" w:rsidRDefault="00012992" w:rsidP="00F6386B">
            <w:pPr>
              <w:spacing w:before="100" w:beforeAutospacing="1" w:after="100" w:afterAutospacing="1"/>
            </w:pPr>
            <w:r w:rsidRPr="002C1574">
              <w:t>5.2. speciālais budžets</w:t>
            </w:r>
          </w:p>
        </w:tc>
        <w:tc>
          <w:tcPr>
            <w:tcW w:w="0" w:type="auto"/>
            <w:vMerge/>
          </w:tcPr>
          <w:p w:rsidR="00012992" w:rsidRPr="002C1574" w:rsidRDefault="00012992" w:rsidP="00F6386B">
            <w:pPr>
              <w:jc w:val="center"/>
            </w:pP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602" w:type="pct"/>
          </w:tcPr>
          <w:p w:rsidR="00012992" w:rsidRPr="002C1574" w:rsidRDefault="00012992">
            <w:r w:rsidRPr="002C1574">
              <w:t>Skatīt 7.sadaļu „Cita informācija”</w:t>
            </w:r>
          </w:p>
        </w:tc>
        <w:tc>
          <w:tcPr>
            <w:tcW w:w="615" w:type="pct"/>
          </w:tcPr>
          <w:p w:rsidR="00012992" w:rsidRPr="002C1574" w:rsidRDefault="00012992">
            <w:r w:rsidRPr="002C1574">
              <w:t>Skatīt 7.sadaļu „Cita informācija”</w:t>
            </w:r>
          </w:p>
        </w:tc>
      </w:tr>
      <w:tr w:rsidR="00012992" w:rsidRPr="002C1574" w:rsidTr="00012992">
        <w:tc>
          <w:tcPr>
            <w:tcW w:w="0" w:type="auto"/>
          </w:tcPr>
          <w:p w:rsidR="00012992" w:rsidRPr="002C1574" w:rsidRDefault="00012992" w:rsidP="00F6386B">
            <w:pPr>
              <w:spacing w:before="100" w:beforeAutospacing="1" w:after="100" w:afterAutospacing="1"/>
            </w:pPr>
            <w:r w:rsidRPr="002C1574">
              <w:t>5.3. pašvaldību budžets</w:t>
            </w:r>
          </w:p>
        </w:tc>
        <w:tc>
          <w:tcPr>
            <w:tcW w:w="0" w:type="auto"/>
            <w:vMerge/>
          </w:tcPr>
          <w:p w:rsidR="00012992" w:rsidRPr="002C1574" w:rsidRDefault="00012992" w:rsidP="00F6386B">
            <w:pPr>
              <w:jc w:val="center"/>
            </w:pPr>
          </w:p>
        </w:tc>
        <w:tc>
          <w:tcPr>
            <w:tcW w:w="0" w:type="auto"/>
          </w:tcPr>
          <w:p w:rsidR="00012992" w:rsidRPr="002C1574" w:rsidRDefault="00012992">
            <w:r w:rsidRPr="002C1574">
              <w:t>Skatīt 7.sadaļu „Cita informācija”</w:t>
            </w:r>
          </w:p>
        </w:tc>
        <w:tc>
          <w:tcPr>
            <w:tcW w:w="0" w:type="auto"/>
          </w:tcPr>
          <w:p w:rsidR="00012992" w:rsidRPr="002C1574" w:rsidRDefault="00012992">
            <w:r w:rsidRPr="002C1574">
              <w:t>Skatīt 7.sadaļu „Cita informācija”</w:t>
            </w:r>
          </w:p>
        </w:tc>
        <w:tc>
          <w:tcPr>
            <w:tcW w:w="602" w:type="pct"/>
          </w:tcPr>
          <w:p w:rsidR="00012992" w:rsidRPr="002C1574" w:rsidRDefault="00012992">
            <w:r w:rsidRPr="002C1574">
              <w:t>Skatīt 7.sadaļu „Cita informācija”</w:t>
            </w:r>
          </w:p>
        </w:tc>
        <w:tc>
          <w:tcPr>
            <w:tcW w:w="615" w:type="pct"/>
          </w:tcPr>
          <w:p w:rsidR="00012992" w:rsidRPr="002C1574" w:rsidRDefault="00012992">
            <w:r w:rsidRPr="002C1574">
              <w:t>Skatīt 7.sadaļu „Cita informācija”</w:t>
            </w:r>
          </w:p>
        </w:tc>
      </w:tr>
      <w:tr w:rsidR="008E429A" w:rsidRPr="002C1574" w:rsidTr="00012992">
        <w:tc>
          <w:tcPr>
            <w:tcW w:w="0" w:type="auto"/>
          </w:tcPr>
          <w:p w:rsidR="008E429A" w:rsidRPr="002C1574" w:rsidRDefault="008E429A" w:rsidP="00F00A8B">
            <w:pPr>
              <w:spacing w:before="100" w:beforeAutospacing="1" w:after="100" w:afterAutospacing="1"/>
            </w:pPr>
            <w:r w:rsidRPr="002C1574">
              <w:t>6. Detalizēts ieņēmumu un izdevu</w:t>
            </w:r>
            <w:r w:rsidRPr="002C1574">
              <w:softHyphen/>
              <w:t>mu aprēķins (ja nepieciešams, detalizētu ieņēmumu un izdevumu aprēķinu var pievienot anotācijas pielikumā):</w:t>
            </w:r>
          </w:p>
        </w:tc>
        <w:tc>
          <w:tcPr>
            <w:tcW w:w="3097" w:type="pct"/>
            <w:gridSpan w:val="5"/>
            <w:vMerge w:val="restart"/>
          </w:tcPr>
          <w:p w:rsidR="008E429A" w:rsidRPr="002C1574" w:rsidRDefault="008E429A" w:rsidP="00A93494"/>
        </w:tc>
      </w:tr>
      <w:tr w:rsidR="008E429A" w:rsidRPr="002C1574" w:rsidTr="00012992">
        <w:tc>
          <w:tcPr>
            <w:tcW w:w="0" w:type="auto"/>
          </w:tcPr>
          <w:p w:rsidR="008E429A" w:rsidRPr="002C1574" w:rsidRDefault="008E429A" w:rsidP="00F00A8B">
            <w:pPr>
              <w:spacing w:before="100" w:beforeAutospacing="1" w:after="100" w:afterAutospacing="1"/>
            </w:pPr>
            <w:r w:rsidRPr="002C1574">
              <w:lastRenderedPageBreak/>
              <w:t>6.1. detalizēts ieņēmumu aprēķins</w:t>
            </w:r>
          </w:p>
        </w:tc>
        <w:tc>
          <w:tcPr>
            <w:tcW w:w="3097" w:type="pct"/>
            <w:gridSpan w:val="5"/>
            <w:vMerge/>
            <w:vAlign w:val="center"/>
          </w:tcPr>
          <w:p w:rsidR="008E429A" w:rsidRPr="002C1574" w:rsidRDefault="008E429A" w:rsidP="00F00A8B"/>
        </w:tc>
      </w:tr>
      <w:tr w:rsidR="008E429A" w:rsidRPr="002C1574" w:rsidTr="00012992">
        <w:tc>
          <w:tcPr>
            <w:tcW w:w="0" w:type="auto"/>
          </w:tcPr>
          <w:p w:rsidR="008E429A" w:rsidRPr="002C1574" w:rsidRDefault="008E429A" w:rsidP="00F00A8B">
            <w:pPr>
              <w:spacing w:before="100" w:beforeAutospacing="1" w:after="100" w:afterAutospacing="1"/>
            </w:pPr>
            <w:r w:rsidRPr="002C1574">
              <w:t>6.2. detalizēts izdevumu aprēķins</w:t>
            </w:r>
          </w:p>
        </w:tc>
        <w:tc>
          <w:tcPr>
            <w:tcW w:w="3097" w:type="pct"/>
            <w:gridSpan w:val="5"/>
            <w:vMerge/>
            <w:vAlign w:val="center"/>
          </w:tcPr>
          <w:p w:rsidR="008E429A" w:rsidRPr="002C1574" w:rsidRDefault="008E429A" w:rsidP="00F00A8B"/>
        </w:tc>
      </w:tr>
      <w:tr w:rsidR="008E429A" w:rsidRPr="002C1574" w:rsidTr="00012992">
        <w:tc>
          <w:tcPr>
            <w:tcW w:w="0" w:type="auto"/>
          </w:tcPr>
          <w:p w:rsidR="008E429A" w:rsidRPr="002C1574" w:rsidRDefault="008E429A" w:rsidP="00F00A8B">
            <w:pPr>
              <w:spacing w:before="100" w:beforeAutospacing="1" w:after="100" w:afterAutospacing="1"/>
            </w:pPr>
            <w:r w:rsidRPr="002C1574">
              <w:t>7. Cita informācija</w:t>
            </w:r>
          </w:p>
        </w:tc>
        <w:tc>
          <w:tcPr>
            <w:tcW w:w="3097" w:type="pct"/>
            <w:gridSpan w:val="5"/>
          </w:tcPr>
          <w:p w:rsidR="008E429A" w:rsidRPr="002C1574" w:rsidRDefault="00A13E12" w:rsidP="00767209">
            <w:pPr>
              <w:ind w:rightChars="45" w:right="108"/>
              <w:jc w:val="both"/>
              <w:rPr>
                <w:highlight w:val="yellow"/>
              </w:rPr>
            </w:pPr>
            <w:r w:rsidRPr="002C1574">
              <w:t xml:space="preserve">Konkrēto ieņēmumu prognoze būs atkarīga no iesniegto </w:t>
            </w:r>
            <w:r w:rsidR="00767209" w:rsidRPr="002C1574">
              <w:t>iesniegumu</w:t>
            </w:r>
            <w:r w:rsidRPr="002C1574">
              <w:t>, kā arī to izskatīšanas rezultātiem.</w:t>
            </w:r>
            <w:r w:rsidR="00F6386B" w:rsidRPr="002C1574">
              <w:t xml:space="preserve"> </w:t>
            </w:r>
          </w:p>
        </w:tc>
      </w:tr>
    </w:tbl>
    <w:p w:rsidR="00EB5522" w:rsidRPr="002C1574" w:rsidRDefault="00EB5522" w:rsidP="005C0C11">
      <w:pPr>
        <w:ind w:firstLine="720"/>
        <w:jc w:val="both"/>
      </w:pPr>
    </w:p>
    <w:tbl>
      <w:tblPr>
        <w:tblW w:w="5045"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
        <w:gridCol w:w="3327"/>
        <w:gridCol w:w="5675"/>
      </w:tblGrid>
      <w:tr w:rsidR="00EB5522" w:rsidRPr="002C1574" w:rsidTr="00AF6DAE">
        <w:tc>
          <w:tcPr>
            <w:tcW w:w="5000" w:type="pct"/>
            <w:gridSpan w:val="3"/>
            <w:tcBorders>
              <w:top w:val="single" w:sz="6" w:space="0" w:color="auto"/>
              <w:left w:val="single" w:sz="6" w:space="0" w:color="auto"/>
              <w:bottom w:val="outset" w:sz="6" w:space="0" w:color="auto"/>
              <w:right w:val="single" w:sz="6" w:space="0" w:color="auto"/>
            </w:tcBorders>
            <w:hideMark/>
          </w:tcPr>
          <w:p w:rsidR="00EB5522" w:rsidRPr="002C1574" w:rsidRDefault="00EB5522" w:rsidP="00AF6DAE">
            <w:pPr>
              <w:spacing w:before="100" w:beforeAutospacing="1"/>
              <w:jc w:val="center"/>
            </w:pPr>
            <w:r w:rsidRPr="002C1574">
              <w:rPr>
                <w:b/>
                <w:bCs/>
              </w:rPr>
              <w:t>IV. Tiesību akta projekta ietekme uz spēkā esošo tiesību normu sistēmu</w:t>
            </w:r>
          </w:p>
        </w:tc>
      </w:tr>
      <w:tr w:rsidR="00EB5522" w:rsidRPr="002C1574" w:rsidTr="00AF6DAE">
        <w:tc>
          <w:tcPr>
            <w:tcW w:w="189" w:type="pct"/>
            <w:tcBorders>
              <w:top w:val="outset" w:sz="6" w:space="0" w:color="auto"/>
              <w:left w:val="outset" w:sz="6" w:space="0" w:color="auto"/>
              <w:bottom w:val="outset" w:sz="6" w:space="0" w:color="auto"/>
              <w:right w:val="outset" w:sz="6" w:space="0" w:color="auto"/>
            </w:tcBorders>
            <w:hideMark/>
          </w:tcPr>
          <w:p w:rsidR="00EB5522" w:rsidRPr="002C1574" w:rsidRDefault="00EB5522" w:rsidP="00AF6DAE">
            <w:pPr>
              <w:spacing w:before="100" w:beforeAutospacing="1"/>
            </w:pPr>
            <w:r w:rsidRPr="002C1574">
              <w:t>1.</w:t>
            </w:r>
          </w:p>
        </w:tc>
        <w:tc>
          <w:tcPr>
            <w:tcW w:w="0" w:type="auto"/>
            <w:tcBorders>
              <w:top w:val="outset" w:sz="6" w:space="0" w:color="auto"/>
              <w:left w:val="outset" w:sz="6" w:space="0" w:color="auto"/>
              <w:bottom w:val="outset" w:sz="6" w:space="0" w:color="auto"/>
              <w:right w:val="outset" w:sz="6" w:space="0" w:color="auto"/>
            </w:tcBorders>
            <w:hideMark/>
          </w:tcPr>
          <w:p w:rsidR="00EB5522" w:rsidRPr="002C1574" w:rsidRDefault="00EB5522" w:rsidP="00AF6DAE">
            <w:pPr>
              <w:spacing w:before="100" w:beforeAutospacing="1"/>
            </w:pPr>
            <w:r w:rsidRPr="002C1574">
              <w:t>Nepieciešamie saistītie tiesību aktu projekti</w:t>
            </w:r>
          </w:p>
        </w:tc>
        <w:tc>
          <w:tcPr>
            <w:tcW w:w="3033" w:type="pct"/>
            <w:tcBorders>
              <w:top w:val="outset" w:sz="6" w:space="0" w:color="auto"/>
              <w:left w:val="outset" w:sz="6" w:space="0" w:color="auto"/>
              <w:bottom w:val="outset" w:sz="6" w:space="0" w:color="auto"/>
              <w:right w:val="outset" w:sz="6" w:space="0" w:color="auto"/>
            </w:tcBorders>
            <w:hideMark/>
          </w:tcPr>
          <w:p w:rsidR="00EB5522" w:rsidRPr="002C1574" w:rsidRDefault="00767209" w:rsidP="0095570F">
            <w:pPr>
              <w:jc w:val="both"/>
            </w:pPr>
            <w:r w:rsidRPr="002C1574">
              <w:t>Tiks izstrādāti Ministru kabineta noteikumi depozīta iemaksas un izmaksas kārtībai.</w:t>
            </w:r>
          </w:p>
        </w:tc>
      </w:tr>
      <w:tr w:rsidR="00061AB3" w:rsidRPr="002C1574" w:rsidTr="00AF6DAE">
        <w:tc>
          <w:tcPr>
            <w:tcW w:w="189" w:type="pct"/>
            <w:tcBorders>
              <w:top w:val="outset" w:sz="6" w:space="0" w:color="auto"/>
              <w:left w:val="outset" w:sz="6" w:space="0" w:color="auto"/>
              <w:bottom w:val="outset" w:sz="6" w:space="0" w:color="auto"/>
              <w:right w:val="outset" w:sz="6" w:space="0" w:color="auto"/>
            </w:tcBorders>
          </w:tcPr>
          <w:p w:rsidR="00061AB3" w:rsidRPr="002C1574" w:rsidRDefault="00061AB3" w:rsidP="00061AB3">
            <w:pPr>
              <w:spacing w:before="100" w:beforeAutospacing="1"/>
            </w:pPr>
            <w:r w:rsidRPr="00A02514">
              <w:t>2.</w:t>
            </w:r>
          </w:p>
        </w:tc>
        <w:tc>
          <w:tcPr>
            <w:tcW w:w="0" w:type="auto"/>
            <w:tcBorders>
              <w:top w:val="outset" w:sz="6" w:space="0" w:color="auto"/>
              <w:left w:val="outset" w:sz="6" w:space="0" w:color="auto"/>
              <w:bottom w:val="outset" w:sz="6" w:space="0" w:color="auto"/>
              <w:right w:val="outset" w:sz="6" w:space="0" w:color="auto"/>
            </w:tcBorders>
          </w:tcPr>
          <w:p w:rsidR="00061AB3" w:rsidRPr="002C1574" w:rsidRDefault="00061AB3" w:rsidP="00061AB3">
            <w:pPr>
              <w:spacing w:before="100" w:beforeAutospacing="1"/>
            </w:pPr>
            <w:r w:rsidRPr="00A02514">
              <w:t>Atbildīgā institūcija</w:t>
            </w:r>
          </w:p>
        </w:tc>
        <w:tc>
          <w:tcPr>
            <w:tcW w:w="3033" w:type="pct"/>
            <w:tcBorders>
              <w:top w:val="outset" w:sz="6" w:space="0" w:color="auto"/>
              <w:left w:val="outset" w:sz="6" w:space="0" w:color="auto"/>
              <w:bottom w:val="outset" w:sz="6" w:space="0" w:color="auto"/>
              <w:right w:val="outset" w:sz="6" w:space="0" w:color="auto"/>
            </w:tcBorders>
          </w:tcPr>
          <w:p w:rsidR="00061AB3" w:rsidRPr="002C1574" w:rsidRDefault="00061AB3" w:rsidP="00061AB3">
            <w:pPr>
              <w:spacing w:before="100" w:beforeAutospacing="1"/>
            </w:pPr>
            <w:r w:rsidRPr="002C1574">
              <w:t xml:space="preserve">Valsts kanceleja kopīgi ar Finanšu </w:t>
            </w:r>
            <w:proofErr w:type="spellStart"/>
            <w:r w:rsidRPr="002C1574">
              <w:t>minstriju</w:t>
            </w:r>
            <w:proofErr w:type="spellEnd"/>
            <w:r w:rsidRPr="002C1574">
              <w:t>.</w:t>
            </w:r>
          </w:p>
        </w:tc>
      </w:tr>
      <w:tr w:rsidR="00EB5522" w:rsidRPr="002C1574" w:rsidTr="00AF6DAE">
        <w:tc>
          <w:tcPr>
            <w:tcW w:w="189" w:type="pct"/>
            <w:tcBorders>
              <w:top w:val="outset" w:sz="6" w:space="0" w:color="auto"/>
              <w:left w:val="outset" w:sz="6" w:space="0" w:color="auto"/>
              <w:bottom w:val="outset" w:sz="6" w:space="0" w:color="auto"/>
              <w:right w:val="outset" w:sz="6" w:space="0" w:color="auto"/>
            </w:tcBorders>
            <w:hideMark/>
          </w:tcPr>
          <w:p w:rsidR="00EB5522" w:rsidRPr="002C1574" w:rsidRDefault="00061AB3" w:rsidP="00AF6DAE">
            <w:pPr>
              <w:spacing w:before="100" w:beforeAutospacing="1"/>
            </w:pPr>
            <w:r w:rsidRPr="002C1574">
              <w:t>3</w:t>
            </w:r>
            <w:r w:rsidR="00EB5522" w:rsidRPr="002C1574">
              <w:t>.</w:t>
            </w:r>
          </w:p>
        </w:tc>
        <w:tc>
          <w:tcPr>
            <w:tcW w:w="0" w:type="auto"/>
            <w:tcBorders>
              <w:top w:val="outset" w:sz="6" w:space="0" w:color="auto"/>
              <w:left w:val="outset" w:sz="6" w:space="0" w:color="auto"/>
              <w:bottom w:val="outset" w:sz="6" w:space="0" w:color="auto"/>
              <w:right w:val="outset" w:sz="6" w:space="0" w:color="auto"/>
            </w:tcBorders>
            <w:hideMark/>
          </w:tcPr>
          <w:p w:rsidR="00EB5522" w:rsidRPr="002C1574" w:rsidRDefault="00EB5522" w:rsidP="00AF6DAE">
            <w:pPr>
              <w:spacing w:before="100" w:beforeAutospacing="1"/>
            </w:pPr>
            <w:r w:rsidRPr="002C1574">
              <w:t>Cita informācija</w:t>
            </w:r>
          </w:p>
        </w:tc>
        <w:tc>
          <w:tcPr>
            <w:tcW w:w="3033" w:type="pct"/>
            <w:tcBorders>
              <w:top w:val="outset" w:sz="6" w:space="0" w:color="auto"/>
              <w:left w:val="outset" w:sz="6" w:space="0" w:color="auto"/>
              <w:bottom w:val="outset" w:sz="6" w:space="0" w:color="auto"/>
              <w:right w:val="outset" w:sz="6" w:space="0" w:color="auto"/>
            </w:tcBorders>
            <w:hideMark/>
          </w:tcPr>
          <w:p w:rsidR="00EB5522" w:rsidRPr="002C1574" w:rsidRDefault="00EB5522" w:rsidP="00AF6DAE">
            <w:pPr>
              <w:spacing w:before="100" w:beforeAutospacing="1"/>
            </w:pPr>
            <w:r w:rsidRPr="002C1574">
              <w:t>Nav.</w:t>
            </w:r>
          </w:p>
        </w:tc>
      </w:tr>
    </w:tbl>
    <w:p w:rsidR="00EB5522" w:rsidRPr="002C1574" w:rsidRDefault="00EB5522" w:rsidP="005C0C11">
      <w:pPr>
        <w:ind w:firstLine="720"/>
        <w:jc w:val="both"/>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471"/>
        <w:gridCol w:w="5471"/>
      </w:tblGrid>
      <w:tr w:rsidR="0065226B" w:rsidRPr="002C1574" w:rsidTr="00AF6DAE">
        <w:trPr>
          <w:trHeight w:val="279"/>
        </w:trPr>
        <w:tc>
          <w:tcPr>
            <w:tcW w:w="5000" w:type="pct"/>
            <w:gridSpan w:val="3"/>
            <w:shd w:val="clear" w:color="auto" w:fill="auto"/>
          </w:tcPr>
          <w:p w:rsidR="0065226B" w:rsidRPr="002C1574" w:rsidRDefault="0065226B" w:rsidP="003E463D">
            <w:pPr>
              <w:jc w:val="center"/>
              <w:rPr>
                <w:b/>
              </w:rPr>
            </w:pPr>
            <w:r w:rsidRPr="002C1574">
              <w:rPr>
                <w:b/>
              </w:rPr>
              <w:t>V. Tiesību akta projekta atbilstība Latvijas Republikas starptautiskajām saistībām</w:t>
            </w:r>
          </w:p>
        </w:tc>
      </w:tr>
      <w:tr w:rsidR="0065226B" w:rsidRPr="002C1574" w:rsidTr="00AF6DAE">
        <w:trPr>
          <w:trHeight w:val="279"/>
        </w:trPr>
        <w:tc>
          <w:tcPr>
            <w:tcW w:w="234" w:type="pct"/>
            <w:shd w:val="clear" w:color="auto" w:fill="auto"/>
          </w:tcPr>
          <w:p w:rsidR="0065226B" w:rsidRPr="002C1574" w:rsidRDefault="0065226B" w:rsidP="003E463D">
            <w:pPr>
              <w:jc w:val="both"/>
            </w:pPr>
            <w:r w:rsidRPr="002C1574">
              <w:t>1.</w:t>
            </w:r>
          </w:p>
        </w:tc>
        <w:tc>
          <w:tcPr>
            <w:tcW w:w="1850" w:type="pct"/>
            <w:shd w:val="clear" w:color="auto" w:fill="auto"/>
          </w:tcPr>
          <w:p w:rsidR="0065226B" w:rsidRPr="002C1574" w:rsidRDefault="0065226B" w:rsidP="003E463D">
            <w:pPr>
              <w:jc w:val="both"/>
            </w:pPr>
            <w:r w:rsidRPr="002C1574">
              <w:t>Saistības pret Eiropas Savienību</w:t>
            </w:r>
          </w:p>
        </w:tc>
        <w:tc>
          <w:tcPr>
            <w:tcW w:w="2916" w:type="pct"/>
            <w:shd w:val="clear" w:color="auto" w:fill="auto"/>
          </w:tcPr>
          <w:p w:rsidR="0065226B" w:rsidRPr="002C1574" w:rsidRDefault="009C3895" w:rsidP="003E463D">
            <w:pPr>
              <w:jc w:val="both"/>
            </w:pPr>
            <w:r w:rsidRPr="002C1574">
              <w:t>Projekts šo jomu neskar</w:t>
            </w:r>
          </w:p>
        </w:tc>
      </w:tr>
      <w:tr w:rsidR="0065226B" w:rsidRPr="002C1574" w:rsidTr="00AF6DAE">
        <w:trPr>
          <w:trHeight w:val="279"/>
        </w:trPr>
        <w:tc>
          <w:tcPr>
            <w:tcW w:w="234" w:type="pct"/>
            <w:shd w:val="clear" w:color="auto" w:fill="auto"/>
          </w:tcPr>
          <w:p w:rsidR="0065226B" w:rsidRPr="002C1574" w:rsidRDefault="0065226B" w:rsidP="003E463D">
            <w:pPr>
              <w:jc w:val="both"/>
            </w:pPr>
            <w:r w:rsidRPr="002C1574">
              <w:t>2.</w:t>
            </w:r>
          </w:p>
        </w:tc>
        <w:tc>
          <w:tcPr>
            <w:tcW w:w="1850" w:type="pct"/>
            <w:shd w:val="clear" w:color="auto" w:fill="auto"/>
          </w:tcPr>
          <w:p w:rsidR="0065226B" w:rsidRPr="002C1574" w:rsidRDefault="0065226B" w:rsidP="003E463D">
            <w:pPr>
              <w:jc w:val="both"/>
            </w:pPr>
            <w:r w:rsidRPr="002C1574">
              <w:t>Citas starptautiskās saistības</w:t>
            </w:r>
          </w:p>
        </w:tc>
        <w:tc>
          <w:tcPr>
            <w:tcW w:w="2916" w:type="pct"/>
            <w:shd w:val="clear" w:color="auto" w:fill="auto"/>
          </w:tcPr>
          <w:p w:rsidR="0065226B" w:rsidRPr="002C1574" w:rsidRDefault="0065226B" w:rsidP="003E463D">
            <w:pPr>
              <w:jc w:val="both"/>
            </w:pPr>
            <w:r w:rsidRPr="002C1574">
              <w:rPr>
                <w:lang w:eastAsia="en-US"/>
              </w:rPr>
              <w:t>Projekts šo jomu neskar</w:t>
            </w:r>
            <w:r w:rsidRPr="002C1574">
              <w:t>.</w:t>
            </w:r>
          </w:p>
        </w:tc>
      </w:tr>
      <w:tr w:rsidR="0065226B" w:rsidRPr="002C1574" w:rsidTr="00AF6DAE">
        <w:trPr>
          <w:trHeight w:val="279"/>
        </w:trPr>
        <w:tc>
          <w:tcPr>
            <w:tcW w:w="234" w:type="pct"/>
            <w:shd w:val="clear" w:color="auto" w:fill="auto"/>
          </w:tcPr>
          <w:p w:rsidR="0065226B" w:rsidRPr="002C1574" w:rsidRDefault="0065226B" w:rsidP="003E463D">
            <w:pPr>
              <w:jc w:val="both"/>
            </w:pPr>
            <w:r w:rsidRPr="002C1574">
              <w:t>3.</w:t>
            </w:r>
          </w:p>
        </w:tc>
        <w:tc>
          <w:tcPr>
            <w:tcW w:w="1850" w:type="pct"/>
            <w:shd w:val="clear" w:color="auto" w:fill="auto"/>
          </w:tcPr>
          <w:p w:rsidR="0065226B" w:rsidRPr="002C1574" w:rsidRDefault="0065226B" w:rsidP="003E463D">
            <w:pPr>
              <w:jc w:val="both"/>
            </w:pPr>
            <w:r w:rsidRPr="002C1574">
              <w:t>Cita informācija</w:t>
            </w:r>
          </w:p>
        </w:tc>
        <w:tc>
          <w:tcPr>
            <w:tcW w:w="2916" w:type="pct"/>
            <w:shd w:val="clear" w:color="auto" w:fill="auto"/>
          </w:tcPr>
          <w:p w:rsidR="0065226B" w:rsidRPr="002C1574" w:rsidRDefault="0065226B" w:rsidP="003E463D">
            <w:pPr>
              <w:jc w:val="both"/>
            </w:pPr>
            <w:r w:rsidRPr="002C1574">
              <w:t>Nav.</w:t>
            </w:r>
          </w:p>
        </w:tc>
      </w:tr>
    </w:tbl>
    <w:p w:rsidR="0065226B" w:rsidRPr="002C1574" w:rsidRDefault="0065226B" w:rsidP="0065226B">
      <w:pPr>
        <w:pStyle w:val="NormalWeb"/>
        <w:spacing w:before="0" w:beforeAutospacing="0" w:after="0" w:afterAutospacing="0"/>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503"/>
        <w:gridCol w:w="2214"/>
        <w:gridCol w:w="2493"/>
        <w:gridCol w:w="2636"/>
      </w:tblGrid>
      <w:tr w:rsidR="0065226B" w:rsidRPr="002C1574" w:rsidTr="00AF6DAE">
        <w:trPr>
          <w:trHeight w:val="279"/>
        </w:trPr>
        <w:tc>
          <w:tcPr>
            <w:tcW w:w="9322" w:type="dxa"/>
            <w:gridSpan w:val="5"/>
            <w:shd w:val="clear" w:color="auto" w:fill="auto"/>
          </w:tcPr>
          <w:p w:rsidR="0065226B" w:rsidRPr="002C1574" w:rsidRDefault="0065226B" w:rsidP="003E463D">
            <w:pPr>
              <w:pStyle w:val="naisnod"/>
              <w:spacing w:before="0" w:after="0"/>
            </w:pPr>
            <w:r w:rsidRPr="002C1574">
              <w:t xml:space="preserve">1.tabula </w:t>
            </w:r>
          </w:p>
          <w:p w:rsidR="0065226B" w:rsidRPr="002C1574" w:rsidRDefault="0065226B" w:rsidP="003E463D">
            <w:pPr>
              <w:jc w:val="center"/>
              <w:rPr>
                <w:b/>
              </w:rPr>
            </w:pPr>
            <w:r w:rsidRPr="002C1574">
              <w:rPr>
                <w:b/>
              </w:rPr>
              <w:t>Tiesību akta projekta atbilstība ES tiesību aktiem</w:t>
            </w:r>
          </w:p>
        </w:tc>
      </w:tr>
      <w:tr w:rsidR="0065226B" w:rsidRPr="002C1574" w:rsidTr="00AF6DAE">
        <w:trPr>
          <w:trHeight w:val="279"/>
        </w:trPr>
        <w:tc>
          <w:tcPr>
            <w:tcW w:w="1476" w:type="dxa"/>
            <w:shd w:val="clear" w:color="auto" w:fill="auto"/>
          </w:tcPr>
          <w:p w:rsidR="0065226B" w:rsidRPr="002C1574" w:rsidRDefault="0065226B" w:rsidP="003E463D">
            <w:pPr>
              <w:jc w:val="center"/>
            </w:pPr>
            <w:r w:rsidRPr="002C1574">
              <w:t>Attiecīgā ES tiesību akta datums, numurs un nosaukums</w:t>
            </w:r>
          </w:p>
        </w:tc>
        <w:tc>
          <w:tcPr>
            <w:tcW w:w="7846" w:type="dxa"/>
            <w:gridSpan w:val="4"/>
            <w:shd w:val="clear" w:color="auto" w:fill="auto"/>
          </w:tcPr>
          <w:p w:rsidR="0065226B" w:rsidRPr="002C1574" w:rsidRDefault="00E3461D" w:rsidP="003E463D">
            <w:pPr>
              <w:jc w:val="both"/>
            </w:pPr>
            <w:r w:rsidRPr="002C1574">
              <w:t>Projekts šo jomu neskar.</w:t>
            </w:r>
          </w:p>
        </w:tc>
      </w:tr>
      <w:tr w:rsidR="0065226B" w:rsidRPr="002C1574" w:rsidTr="00AF6DAE">
        <w:trPr>
          <w:trHeight w:val="279"/>
        </w:trPr>
        <w:tc>
          <w:tcPr>
            <w:tcW w:w="9322" w:type="dxa"/>
            <w:gridSpan w:val="5"/>
            <w:shd w:val="clear" w:color="auto" w:fill="auto"/>
          </w:tcPr>
          <w:p w:rsidR="0065226B" w:rsidRPr="002C1574" w:rsidRDefault="0065226B" w:rsidP="003E463D">
            <w:pPr>
              <w:jc w:val="both"/>
            </w:pPr>
          </w:p>
        </w:tc>
      </w:tr>
      <w:tr w:rsidR="0065226B" w:rsidRPr="002C1574" w:rsidTr="00AF6DAE">
        <w:trPr>
          <w:trHeight w:val="279"/>
        </w:trPr>
        <w:tc>
          <w:tcPr>
            <w:tcW w:w="1979" w:type="dxa"/>
            <w:gridSpan w:val="2"/>
            <w:shd w:val="clear" w:color="auto" w:fill="auto"/>
          </w:tcPr>
          <w:p w:rsidR="0065226B" w:rsidRPr="002C1574" w:rsidRDefault="0065226B" w:rsidP="003E463D">
            <w:pPr>
              <w:jc w:val="center"/>
            </w:pPr>
            <w:r w:rsidRPr="002C1574">
              <w:t>A</w:t>
            </w:r>
          </w:p>
        </w:tc>
        <w:tc>
          <w:tcPr>
            <w:tcW w:w="2214" w:type="dxa"/>
            <w:shd w:val="clear" w:color="auto" w:fill="auto"/>
          </w:tcPr>
          <w:p w:rsidR="0065226B" w:rsidRPr="002C1574" w:rsidRDefault="0065226B" w:rsidP="003E463D">
            <w:pPr>
              <w:jc w:val="center"/>
            </w:pPr>
            <w:r w:rsidRPr="002C1574">
              <w:t>B</w:t>
            </w:r>
          </w:p>
        </w:tc>
        <w:tc>
          <w:tcPr>
            <w:tcW w:w="2493" w:type="dxa"/>
            <w:shd w:val="clear" w:color="auto" w:fill="auto"/>
          </w:tcPr>
          <w:p w:rsidR="0065226B" w:rsidRPr="002C1574" w:rsidRDefault="0065226B" w:rsidP="003E463D">
            <w:pPr>
              <w:jc w:val="center"/>
            </w:pPr>
            <w:r w:rsidRPr="002C1574">
              <w:t>C</w:t>
            </w:r>
          </w:p>
        </w:tc>
        <w:tc>
          <w:tcPr>
            <w:tcW w:w="2636" w:type="dxa"/>
            <w:shd w:val="clear" w:color="auto" w:fill="auto"/>
          </w:tcPr>
          <w:p w:rsidR="0065226B" w:rsidRPr="002C1574" w:rsidRDefault="0065226B" w:rsidP="003E463D">
            <w:pPr>
              <w:jc w:val="center"/>
            </w:pPr>
            <w:r w:rsidRPr="002C1574">
              <w:t>D</w:t>
            </w:r>
          </w:p>
        </w:tc>
      </w:tr>
      <w:tr w:rsidR="0065226B" w:rsidRPr="002C1574" w:rsidTr="00AF6DAE">
        <w:trPr>
          <w:trHeight w:val="279"/>
        </w:trPr>
        <w:tc>
          <w:tcPr>
            <w:tcW w:w="1979" w:type="dxa"/>
            <w:gridSpan w:val="2"/>
            <w:shd w:val="clear" w:color="auto" w:fill="auto"/>
          </w:tcPr>
          <w:p w:rsidR="0065226B" w:rsidRPr="002C1574" w:rsidRDefault="0065226B" w:rsidP="003E463D">
            <w:pPr>
              <w:jc w:val="both"/>
            </w:pPr>
            <w:r w:rsidRPr="002C1574">
              <w:t xml:space="preserve">Attiecīgā ES tiesību akta panta numurs (uzskaitot katru tiesību akta </w:t>
            </w:r>
            <w:r w:rsidRPr="002C1574">
              <w:br/>
              <w:t>vienību – pantu, daļu, punktu, apakšpunktu)</w:t>
            </w:r>
          </w:p>
        </w:tc>
        <w:tc>
          <w:tcPr>
            <w:tcW w:w="2214" w:type="dxa"/>
            <w:shd w:val="clear" w:color="auto" w:fill="auto"/>
          </w:tcPr>
          <w:p w:rsidR="0065226B" w:rsidRPr="002C1574" w:rsidRDefault="0065226B" w:rsidP="003E463D">
            <w:pPr>
              <w:jc w:val="both"/>
            </w:pPr>
            <w:r w:rsidRPr="002C1574">
              <w:t>Projekta vienība, kas pārņem vai ievieš katru šīs tabulas A ailē minēto ES tiesību akta vienību, vai tiesību akts, kur attiecīgā ES tiesību akta vienība pārņemta vai ieviesta</w:t>
            </w:r>
          </w:p>
        </w:tc>
        <w:tc>
          <w:tcPr>
            <w:tcW w:w="2493" w:type="dxa"/>
            <w:shd w:val="clear" w:color="auto" w:fill="auto"/>
          </w:tcPr>
          <w:p w:rsidR="0065226B" w:rsidRPr="002C1574" w:rsidRDefault="0065226B" w:rsidP="003E463D">
            <w:pPr>
              <w:pStyle w:val="naiskr"/>
              <w:spacing w:before="0" w:after="0"/>
            </w:pPr>
            <w:r w:rsidRPr="002C1574">
              <w:t>Informācija par to, vai šīs tabulas A ailē minētās ES tiesību akta vienības tiek pārņemtas vai ieviestas pilnībā vai daļēji.</w:t>
            </w:r>
          </w:p>
          <w:p w:rsidR="0065226B" w:rsidRPr="002C1574" w:rsidRDefault="0065226B" w:rsidP="003E463D">
            <w:pPr>
              <w:pStyle w:val="naiskr"/>
              <w:spacing w:before="0" w:after="0"/>
            </w:pPr>
            <w:r w:rsidRPr="002C1574">
              <w:t>Ja attiecīgā ES tiesību akta vienība tiek pārņemta vai ieviesta daļēji, – sniedz attiecīgu skaidrojumu, kā arī precīzi norāda, kad un kādā veidā ES tiesību akta vienība tiks pārņemta vai ieviesta pilnībā.</w:t>
            </w:r>
          </w:p>
          <w:p w:rsidR="0065226B" w:rsidRPr="002C1574" w:rsidRDefault="0065226B" w:rsidP="003E463D">
            <w:pPr>
              <w:jc w:val="both"/>
            </w:pPr>
            <w:r w:rsidRPr="002C1574">
              <w:t>Norāda institūciju, kas ir atbildīga par šo saistību izpildi pilnībā</w:t>
            </w:r>
          </w:p>
        </w:tc>
        <w:tc>
          <w:tcPr>
            <w:tcW w:w="2636" w:type="dxa"/>
            <w:shd w:val="clear" w:color="auto" w:fill="auto"/>
          </w:tcPr>
          <w:p w:rsidR="0065226B" w:rsidRPr="002C1574" w:rsidRDefault="0065226B" w:rsidP="003E463D">
            <w:pPr>
              <w:pStyle w:val="naiskr"/>
              <w:spacing w:before="0" w:after="0"/>
            </w:pPr>
            <w:r w:rsidRPr="002C1574">
              <w:t>Informācija par to, vai šīs tabulas B ailē minētās projekta vienības paredz stingrākas prasības nekā šīs tabulas A ailē minētās ES tiesību akta vienības.</w:t>
            </w:r>
          </w:p>
          <w:p w:rsidR="0065226B" w:rsidRPr="002C1574" w:rsidRDefault="0065226B" w:rsidP="003E463D">
            <w:pPr>
              <w:pStyle w:val="naiskr"/>
              <w:spacing w:before="0" w:after="0"/>
            </w:pPr>
            <w:r w:rsidRPr="002C1574">
              <w:t xml:space="preserve">Ja projekts satur stingrākas prasības nekā attiecīgais ES tiesību </w:t>
            </w:r>
            <w:smartTag w:uri="schemas-tilde-lv/tildestengine" w:element="veidnes">
              <w:smartTagPr>
                <w:attr w:name="text" w:val="akts"/>
                <w:attr w:name="baseform" w:val="akts"/>
                <w:attr w:name="id" w:val="-1"/>
              </w:smartTagPr>
              <w:r w:rsidRPr="002C1574">
                <w:t>akts</w:t>
              </w:r>
            </w:smartTag>
            <w:r w:rsidRPr="002C1574">
              <w:t>, – norāda pamatojumu un samērīgumu.</w:t>
            </w:r>
          </w:p>
          <w:p w:rsidR="0065226B" w:rsidRPr="002C1574" w:rsidRDefault="0065226B" w:rsidP="003E463D">
            <w:pPr>
              <w:jc w:val="both"/>
            </w:pPr>
            <w:r w:rsidRPr="002C1574">
              <w:t xml:space="preserve">Norāda iespējamās alternatīvas (t.sk. alternatīvas, kas neparedz tiesiskā regulējuma izstrādi) – kādos gadījumos būtu iespējams izvairīties no stingrāku prasību </w:t>
            </w:r>
            <w:r w:rsidRPr="002C1574">
              <w:lastRenderedPageBreak/>
              <w:t>noteikšanas, nekā paredzēts attiecīgajos ES tiesību aktos</w:t>
            </w:r>
          </w:p>
        </w:tc>
      </w:tr>
      <w:tr w:rsidR="009C3895" w:rsidRPr="002C1574" w:rsidTr="00AF6DAE">
        <w:trPr>
          <w:trHeight w:val="279"/>
        </w:trPr>
        <w:tc>
          <w:tcPr>
            <w:tcW w:w="1979" w:type="dxa"/>
            <w:gridSpan w:val="2"/>
            <w:shd w:val="clear" w:color="auto" w:fill="auto"/>
          </w:tcPr>
          <w:p w:rsidR="009C3895" w:rsidRPr="002C1574" w:rsidRDefault="009C3895">
            <w:r w:rsidRPr="002C1574">
              <w:lastRenderedPageBreak/>
              <w:t>Projekts šo jomu neskar</w:t>
            </w:r>
          </w:p>
        </w:tc>
        <w:tc>
          <w:tcPr>
            <w:tcW w:w="2214" w:type="dxa"/>
            <w:shd w:val="clear" w:color="auto" w:fill="auto"/>
          </w:tcPr>
          <w:p w:rsidR="009C3895" w:rsidRPr="002C1574" w:rsidRDefault="009C3895">
            <w:r w:rsidRPr="002C1574">
              <w:t>Projekts šo jomu neskar</w:t>
            </w:r>
          </w:p>
        </w:tc>
        <w:tc>
          <w:tcPr>
            <w:tcW w:w="2493" w:type="dxa"/>
            <w:shd w:val="clear" w:color="auto" w:fill="auto"/>
          </w:tcPr>
          <w:p w:rsidR="009C3895" w:rsidRPr="002C1574" w:rsidRDefault="009C3895">
            <w:r w:rsidRPr="002C1574">
              <w:t>Projekts šo jomu neskar</w:t>
            </w:r>
          </w:p>
        </w:tc>
        <w:tc>
          <w:tcPr>
            <w:tcW w:w="2636" w:type="dxa"/>
            <w:shd w:val="clear" w:color="auto" w:fill="auto"/>
          </w:tcPr>
          <w:p w:rsidR="009C3895" w:rsidRPr="002C1574" w:rsidRDefault="009C3895" w:rsidP="003E463D">
            <w:pPr>
              <w:pStyle w:val="naiskr"/>
              <w:spacing w:before="0" w:after="0"/>
            </w:pPr>
            <w:r w:rsidRPr="002C1574">
              <w:rPr>
                <w:lang w:eastAsia="en-US"/>
              </w:rPr>
              <w:t>Projekts stingrākas prasības neparedz</w:t>
            </w:r>
            <w:r w:rsidRPr="002C1574">
              <w:t>.</w:t>
            </w:r>
          </w:p>
        </w:tc>
      </w:tr>
      <w:tr w:rsidR="009C3895" w:rsidRPr="002C1574" w:rsidTr="00AF6DAE">
        <w:trPr>
          <w:trHeight w:val="279"/>
        </w:trPr>
        <w:tc>
          <w:tcPr>
            <w:tcW w:w="1979" w:type="dxa"/>
            <w:gridSpan w:val="2"/>
            <w:shd w:val="clear" w:color="auto" w:fill="auto"/>
          </w:tcPr>
          <w:p w:rsidR="009C3895" w:rsidRPr="002C1574" w:rsidRDefault="009C3895">
            <w:r w:rsidRPr="002C1574">
              <w:t>Projekts šo jomu neskar</w:t>
            </w:r>
          </w:p>
        </w:tc>
        <w:tc>
          <w:tcPr>
            <w:tcW w:w="2214" w:type="dxa"/>
            <w:shd w:val="clear" w:color="auto" w:fill="auto"/>
          </w:tcPr>
          <w:p w:rsidR="009C3895" w:rsidRPr="002C1574" w:rsidRDefault="009C3895">
            <w:r w:rsidRPr="002C1574">
              <w:t>Projekts šo jomu neskar</w:t>
            </w:r>
          </w:p>
        </w:tc>
        <w:tc>
          <w:tcPr>
            <w:tcW w:w="2493" w:type="dxa"/>
            <w:shd w:val="clear" w:color="auto" w:fill="auto"/>
          </w:tcPr>
          <w:p w:rsidR="009C3895" w:rsidRPr="002C1574" w:rsidRDefault="009C3895">
            <w:r w:rsidRPr="002C1574">
              <w:t>Projekts šo jomu neskar</w:t>
            </w:r>
          </w:p>
        </w:tc>
        <w:tc>
          <w:tcPr>
            <w:tcW w:w="2636" w:type="dxa"/>
            <w:shd w:val="clear" w:color="auto" w:fill="auto"/>
          </w:tcPr>
          <w:p w:rsidR="009C3895" w:rsidRPr="002C1574" w:rsidRDefault="009C3895" w:rsidP="003E463D">
            <w:pPr>
              <w:pStyle w:val="naiskr"/>
              <w:spacing w:before="0" w:after="0"/>
              <w:rPr>
                <w:lang w:eastAsia="en-US"/>
              </w:rPr>
            </w:pPr>
            <w:r w:rsidRPr="002C1574">
              <w:rPr>
                <w:lang w:eastAsia="en-US"/>
              </w:rPr>
              <w:t>Projekts stingrākas prasības neparedz</w:t>
            </w:r>
            <w:r w:rsidRPr="002C1574">
              <w:t>.</w:t>
            </w:r>
          </w:p>
        </w:tc>
      </w:tr>
      <w:tr w:rsidR="0065226B" w:rsidRPr="002C1574" w:rsidTr="00AF6DAE">
        <w:trPr>
          <w:trHeight w:val="279"/>
        </w:trPr>
        <w:tc>
          <w:tcPr>
            <w:tcW w:w="1979" w:type="dxa"/>
            <w:gridSpan w:val="2"/>
            <w:shd w:val="clear" w:color="auto" w:fill="auto"/>
          </w:tcPr>
          <w:p w:rsidR="0065226B" w:rsidRPr="002C1574" w:rsidRDefault="0065226B" w:rsidP="003E463D">
            <w:pPr>
              <w:pStyle w:val="naiskr"/>
              <w:spacing w:before="0" w:after="0"/>
            </w:pPr>
            <w:r w:rsidRPr="002C1574">
              <w:t>Kā ir izmantota ES tiesību aktā paredzētā rīcības brīvība dalībvalstij pārņemt vai ieviest noteiktas ES tiesību akta normas.</w:t>
            </w:r>
          </w:p>
          <w:p w:rsidR="0065226B" w:rsidRPr="002C1574" w:rsidRDefault="0065226B" w:rsidP="003E463D">
            <w:pPr>
              <w:jc w:val="both"/>
            </w:pPr>
            <w:r w:rsidRPr="002C1574">
              <w:t>Kādēļ?</w:t>
            </w:r>
          </w:p>
        </w:tc>
        <w:tc>
          <w:tcPr>
            <w:tcW w:w="7343" w:type="dxa"/>
            <w:gridSpan w:val="3"/>
            <w:shd w:val="clear" w:color="auto" w:fill="auto"/>
          </w:tcPr>
          <w:p w:rsidR="0065226B" w:rsidRPr="002C1574" w:rsidRDefault="009C3895" w:rsidP="003E463D">
            <w:pPr>
              <w:jc w:val="both"/>
            </w:pPr>
            <w:r w:rsidRPr="002C1574">
              <w:t>Projekts šo jomu neskar</w:t>
            </w:r>
            <w:r w:rsidR="0065226B" w:rsidRPr="002C1574">
              <w:rPr>
                <w:lang w:eastAsia="en-US"/>
              </w:rPr>
              <w:t>.</w:t>
            </w:r>
          </w:p>
        </w:tc>
      </w:tr>
      <w:tr w:rsidR="0065226B" w:rsidRPr="002C1574" w:rsidTr="00AF6DAE">
        <w:trPr>
          <w:trHeight w:val="682"/>
        </w:trPr>
        <w:tc>
          <w:tcPr>
            <w:tcW w:w="1979" w:type="dxa"/>
            <w:gridSpan w:val="2"/>
            <w:shd w:val="clear" w:color="auto" w:fill="auto"/>
          </w:tcPr>
          <w:p w:rsidR="0065226B" w:rsidRPr="002C1574" w:rsidRDefault="0065226B" w:rsidP="003E463D">
            <w:r w:rsidRPr="002C1574">
              <w:t>Saistības sniegt paziņojumu ES institūcijām un ES dalībvalstīm atbilstoši normatīvajiem aktiem, kas regulē informācijas sniegšanu par tehnisko noteikumu, valsts atbalsta piešķiršanas un finanšu noteikumu (attiecībā uz monetāro politiku) projektiem</w:t>
            </w:r>
          </w:p>
          <w:p w:rsidR="0065226B" w:rsidRPr="002C1574" w:rsidRDefault="0065226B" w:rsidP="003E463D"/>
        </w:tc>
        <w:tc>
          <w:tcPr>
            <w:tcW w:w="7343" w:type="dxa"/>
            <w:gridSpan w:val="3"/>
            <w:shd w:val="clear" w:color="auto" w:fill="auto"/>
          </w:tcPr>
          <w:p w:rsidR="0065226B" w:rsidRPr="002C1574" w:rsidRDefault="0065226B" w:rsidP="003E463D">
            <w:pPr>
              <w:jc w:val="both"/>
            </w:pPr>
            <w:r w:rsidRPr="002C1574">
              <w:rPr>
                <w:lang w:eastAsia="en-US"/>
              </w:rPr>
              <w:t>Projekts šo jomu neskar</w:t>
            </w:r>
            <w:r w:rsidRPr="002C1574">
              <w:t>.</w:t>
            </w:r>
          </w:p>
        </w:tc>
      </w:tr>
      <w:tr w:rsidR="0065226B" w:rsidRPr="002C1574" w:rsidTr="00AF6DAE">
        <w:trPr>
          <w:trHeight w:val="279"/>
        </w:trPr>
        <w:tc>
          <w:tcPr>
            <w:tcW w:w="1979" w:type="dxa"/>
            <w:gridSpan w:val="2"/>
            <w:shd w:val="clear" w:color="auto" w:fill="auto"/>
          </w:tcPr>
          <w:p w:rsidR="0065226B" w:rsidRPr="002C1574" w:rsidRDefault="0065226B" w:rsidP="003E463D">
            <w:pPr>
              <w:jc w:val="both"/>
            </w:pPr>
            <w:r w:rsidRPr="002C1574">
              <w:t>Cita informācija</w:t>
            </w:r>
          </w:p>
        </w:tc>
        <w:tc>
          <w:tcPr>
            <w:tcW w:w="7343" w:type="dxa"/>
            <w:gridSpan w:val="3"/>
            <w:shd w:val="clear" w:color="auto" w:fill="auto"/>
          </w:tcPr>
          <w:p w:rsidR="0065226B" w:rsidRPr="002C1574" w:rsidRDefault="009C3895" w:rsidP="00EA4270">
            <w:pPr>
              <w:jc w:val="both"/>
            </w:pPr>
            <w:r w:rsidRPr="002C1574">
              <w:t>Nav</w:t>
            </w:r>
            <w:r w:rsidR="008407E7" w:rsidRPr="002C1574">
              <w:t>.</w:t>
            </w:r>
          </w:p>
        </w:tc>
      </w:tr>
    </w:tbl>
    <w:p w:rsidR="0065226B" w:rsidRPr="002C1574" w:rsidRDefault="0065226B" w:rsidP="0065226B">
      <w:pPr>
        <w:spacing w:before="75" w:after="75"/>
        <w:ind w:firstLine="375"/>
        <w:jc w:val="both"/>
        <w:rPr>
          <w:lang w:eastAsia="en-US"/>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3102"/>
        <w:gridCol w:w="4093"/>
      </w:tblGrid>
      <w:tr w:rsidR="0065226B" w:rsidRPr="002C1574" w:rsidTr="003E463D">
        <w:trPr>
          <w:trHeight w:val="20"/>
        </w:trPr>
        <w:tc>
          <w:tcPr>
            <w:tcW w:w="9240" w:type="dxa"/>
            <w:gridSpan w:val="3"/>
            <w:shd w:val="clear" w:color="auto" w:fill="auto"/>
          </w:tcPr>
          <w:p w:rsidR="0065226B" w:rsidRPr="002C1574" w:rsidRDefault="0065226B" w:rsidP="003E463D">
            <w:pPr>
              <w:ind w:left="57"/>
              <w:jc w:val="center"/>
              <w:rPr>
                <w:b/>
              </w:rPr>
            </w:pPr>
            <w:r w:rsidRPr="002C1574">
              <w:rPr>
                <w:b/>
              </w:rPr>
              <w:t>2.tabula</w:t>
            </w:r>
          </w:p>
          <w:p w:rsidR="0065226B" w:rsidRPr="002C1574" w:rsidRDefault="0065226B" w:rsidP="003E463D">
            <w:pPr>
              <w:ind w:left="57"/>
              <w:jc w:val="center"/>
              <w:rPr>
                <w:b/>
              </w:rPr>
            </w:pPr>
            <w:r w:rsidRPr="002C1574">
              <w:rPr>
                <w:b/>
              </w:rPr>
              <w:t>Ar tiesību akta projektu izpildītās vai uzņemtās saistības, kas izriet no starptautiskajiem tiesību aktiem vai starptautiskas institūcijas vai organizācijas dokumentiem.</w:t>
            </w:r>
          </w:p>
          <w:p w:rsidR="0065226B" w:rsidRPr="002C1574" w:rsidRDefault="0065226B" w:rsidP="003E463D">
            <w:pPr>
              <w:ind w:left="57"/>
              <w:jc w:val="center"/>
              <w:rPr>
                <w:b/>
              </w:rPr>
            </w:pPr>
            <w:r w:rsidRPr="002C1574">
              <w:rPr>
                <w:b/>
              </w:rPr>
              <w:t>Pasākumi šo saistību izpildei</w:t>
            </w:r>
          </w:p>
        </w:tc>
      </w:tr>
      <w:tr w:rsidR="0065226B" w:rsidRPr="002C1574" w:rsidTr="003E463D">
        <w:trPr>
          <w:trHeight w:val="20"/>
        </w:trPr>
        <w:tc>
          <w:tcPr>
            <w:tcW w:w="2045" w:type="dxa"/>
            <w:shd w:val="clear" w:color="auto" w:fill="auto"/>
          </w:tcPr>
          <w:p w:rsidR="0065226B" w:rsidRPr="002C1574" w:rsidRDefault="0065226B" w:rsidP="003E463D">
            <w:pPr>
              <w:ind w:left="57"/>
            </w:pPr>
            <w:r w:rsidRPr="002C1574">
              <w:t xml:space="preserve">Attiecīgā starptautiskā tiesību akta vai starptautiskas institūcijas vai organizācijas </w:t>
            </w:r>
            <w:r w:rsidRPr="002C1574">
              <w:lastRenderedPageBreak/>
              <w:t>dokumenta (turpmāk – starptautiskais dokuments) datums, numurs un nosaukums</w:t>
            </w:r>
          </w:p>
        </w:tc>
        <w:tc>
          <w:tcPr>
            <w:tcW w:w="7195" w:type="dxa"/>
            <w:gridSpan w:val="2"/>
            <w:shd w:val="clear" w:color="auto" w:fill="auto"/>
          </w:tcPr>
          <w:p w:rsidR="0065226B" w:rsidRPr="002C1574" w:rsidRDefault="0065226B" w:rsidP="003E463D">
            <w:pPr>
              <w:ind w:left="57"/>
            </w:pPr>
            <w:r w:rsidRPr="002C1574">
              <w:rPr>
                <w:lang w:eastAsia="en-US"/>
              </w:rPr>
              <w:lastRenderedPageBreak/>
              <w:t>Projekts šo jomu neskar</w:t>
            </w:r>
            <w:r w:rsidRPr="002C1574">
              <w:t>.</w:t>
            </w:r>
          </w:p>
        </w:tc>
      </w:tr>
      <w:tr w:rsidR="0065226B" w:rsidRPr="002C1574" w:rsidTr="003E463D">
        <w:trPr>
          <w:trHeight w:val="20"/>
        </w:trPr>
        <w:tc>
          <w:tcPr>
            <w:tcW w:w="2045" w:type="dxa"/>
            <w:shd w:val="clear" w:color="auto" w:fill="auto"/>
          </w:tcPr>
          <w:p w:rsidR="0065226B" w:rsidRPr="002C1574" w:rsidRDefault="0065226B" w:rsidP="003E463D">
            <w:pPr>
              <w:ind w:left="57"/>
              <w:jc w:val="center"/>
            </w:pPr>
            <w:r w:rsidRPr="002C1574">
              <w:lastRenderedPageBreak/>
              <w:t>A</w:t>
            </w:r>
          </w:p>
        </w:tc>
        <w:tc>
          <w:tcPr>
            <w:tcW w:w="3102" w:type="dxa"/>
            <w:shd w:val="clear" w:color="auto" w:fill="auto"/>
          </w:tcPr>
          <w:p w:rsidR="0065226B" w:rsidRPr="002C1574" w:rsidRDefault="0065226B" w:rsidP="003E463D">
            <w:pPr>
              <w:ind w:left="57"/>
              <w:jc w:val="center"/>
            </w:pPr>
            <w:r w:rsidRPr="002C1574">
              <w:t>B</w:t>
            </w:r>
          </w:p>
        </w:tc>
        <w:tc>
          <w:tcPr>
            <w:tcW w:w="4093" w:type="dxa"/>
            <w:shd w:val="clear" w:color="auto" w:fill="auto"/>
          </w:tcPr>
          <w:p w:rsidR="0065226B" w:rsidRPr="002C1574" w:rsidRDefault="0065226B" w:rsidP="003E463D">
            <w:pPr>
              <w:ind w:left="57"/>
              <w:jc w:val="center"/>
            </w:pPr>
            <w:r w:rsidRPr="002C1574">
              <w:t>C</w:t>
            </w:r>
          </w:p>
        </w:tc>
      </w:tr>
      <w:tr w:rsidR="0065226B" w:rsidRPr="002C1574" w:rsidTr="003E463D">
        <w:trPr>
          <w:trHeight w:val="20"/>
        </w:trPr>
        <w:tc>
          <w:tcPr>
            <w:tcW w:w="2045" w:type="dxa"/>
            <w:shd w:val="clear" w:color="auto" w:fill="auto"/>
          </w:tcPr>
          <w:p w:rsidR="0065226B" w:rsidRPr="002C1574" w:rsidRDefault="0065226B" w:rsidP="003E463D">
            <w:pPr>
              <w:spacing w:after="120"/>
              <w:ind w:left="57"/>
            </w:pPr>
            <w:r w:rsidRPr="002C1574">
              <w:t>Starptautiskās saistības (pēc būtības), kas izriet no norādītā starptautiskā dokumenta.</w:t>
            </w:r>
          </w:p>
          <w:p w:rsidR="0065226B" w:rsidRPr="002C1574" w:rsidRDefault="0065226B" w:rsidP="003E463D">
            <w:pPr>
              <w:ind w:left="57"/>
            </w:pPr>
            <w:r w:rsidRPr="002C1574">
              <w:t>Konkrēti veicamie pasākumi vai uzdevumi, kas nepieciešami šo starptautisko saistību izpildei</w:t>
            </w:r>
          </w:p>
        </w:tc>
        <w:tc>
          <w:tcPr>
            <w:tcW w:w="3102" w:type="dxa"/>
            <w:shd w:val="clear" w:color="auto" w:fill="auto"/>
          </w:tcPr>
          <w:p w:rsidR="0065226B" w:rsidRPr="002C1574" w:rsidRDefault="0065226B" w:rsidP="003E463D">
            <w:pPr>
              <w:ind w:left="57"/>
            </w:pPr>
            <w:r w:rsidRPr="002C1574">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093" w:type="dxa"/>
            <w:shd w:val="clear" w:color="auto" w:fill="auto"/>
          </w:tcPr>
          <w:p w:rsidR="0065226B" w:rsidRPr="002C1574" w:rsidRDefault="0065226B" w:rsidP="003E463D">
            <w:pPr>
              <w:spacing w:after="120"/>
              <w:ind w:left="57"/>
            </w:pPr>
            <w:r w:rsidRPr="002C1574">
              <w:t>Informācija par to, vai starptautiskās saistības, kas minētas šīs tabulas A ailē, tiek izpildītas pilnībā vai daļēji.</w:t>
            </w:r>
          </w:p>
          <w:p w:rsidR="0065226B" w:rsidRPr="002C1574" w:rsidRDefault="0065226B" w:rsidP="003E463D">
            <w:pPr>
              <w:spacing w:after="120"/>
              <w:ind w:left="57"/>
            </w:pPr>
            <w:r w:rsidRPr="002C1574">
              <w:t>Ja attiecīgās starptautiskās saistības tiek izpildītas daļēji, sniedz attiecīgu skaidrojumu, kā arī precīzi norāda, kad un kādā veidā starptautiskās saistības tiks izpildītas pilnībā.</w:t>
            </w:r>
          </w:p>
          <w:p w:rsidR="0065226B" w:rsidRPr="002C1574" w:rsidRDefault="0065226B" w:rsidP="003E463D">
            <w:pPr>
              <w:ind w:left="57" w:right="57"/>
            </w:pPr>
            <w:r w:rsidRPr="002C1574">
              <w:t>Norāda institūciju, kas ir atbildīga par šo saistību izpildi pilnībā</w:t>
            </w:r>
          </w:p>
        </w:tc>
      </w:tr>
      <w:tr w:rsidR="0065226B" w:rsidRPr="002C1574" w:rsidTr="003E463D">
        <w:trPr>
          <w:trHeight w:val="20"/>
        </w:trPr>
        <w:tc>
          <w:tcPr>
            <w:tcW w:w="2045" w:type="dxa"/>
            <w:shd w:val="clear" w:color="auto" w:fill="auto"/>
          </w:tcPr>
          <w:p w:rsidR="0065226B" w:rsidRPr="002C1574" w:rsidRDefault="0065226B" w:rsidP="003E463D">
            <w:pPr>
              <w:rPr>
                <w:rFonts w:eastAsia="SimSun"/>
                <w:bCs/>
                <w:iCs/>
                <w:lang w:eastAsia="zh-CN"/>
              </w:rPr>
            </w:pPr>
            <w:r w:rsidRPr="002C1574">
              <w:t>Nav attiecināms.</w:t>
            </w:r>
          </w:p>
        </w:tc>
        <w:tc>
          <w:tcPr>
            <w:tcW w:w="3102" w:type="dxa"/>
            <w:shd w:val="clear" w:color="auto" w:fill="auto"/>
          </w:tcPr>
          <w:p w:rsidR="0065226B" w:rsidRPr="002C1574" w:rsidRDefault="0065226B" w:rsidP="003E463D">
            <w:pPr>
              <w:spacing w:before="100" w:beforeAutospacing="1" w:after="100" w:afterAutospacing="1"/>
              <w:jc w:val="both"/>
              <w:rPr>
                <w:rFonts w:eastAsia="SimSun"/>
                <w:bCs/>
                <w:iCs/>
                <w:lang w:eastAsia="zh-CN"/>
              </w:rPr>
            </w:pPr>
            <w:r w:rsidRPr="002C1574">
              <w:rPr>
                <w:lang w:eastAsia="en-US"/>
              </w:rPr>
              <w:t>Projekts šo jomu neskar</w:t>
            </w:r>
            <w:r w:rsidRPr="002C1574">
              <w:t>.</w:t>
            </w:r>
          </w:p>
        </w:tc>
        <w:tc>
          <w:tcPr>
            <w:tcW w:w="4093" w:type="dxa"/>
            <w:shd w:val="clear" w:color="auto" w:fill="auto"/>
          </w:tcPr>
          <w:p w:rsidR="0065226B" w:rsidRPr="002C1574" w:rsidRDefault="0065226B" w:rsidP="003E463D">
            <w:pPr>
              <w:spacing w:before="100" w:beforeAutospacing="1" w:after="100" w:afterAutospacing="1"/>
              <w:rPr>
                <w:rFonts w:eastAsia="SimSun"/>
                <w:bCs/>
                <w:iCs/>
                <w:lang w:eastAsia="zh-CN"/>
              </w:rPr>
            </w:pPr>
            <w:r w:rsidRPr="002C1574">
              <w:rPr>
                <w:lang w:eastAsia="en-US"/>
              </w:rPr>
              <w:t>Projekts šo jomu neskar</w:t>
            </w:r>
            <w:r w:rsidRPr="002C1574">
              <w:t>.</w:t>
            </w:r>
          </w:p>
        </w:tc>
      </w:tr>
      <w:tr w:rsidR="0065226B" w:rsidRPr="002C1574" w:rsidTr="003E463D">
        <w:trPr>
          <w:trHeight w:val="20"/>
        </w:trPr>
        <w:tc>
          <w:tcPr>
            <w:tcW w:w="2045" w:type="dxa"/>
            <w:shd w:val="clear" w:color="auto" w:fill="auto"/>
          </w:tcPr>
          <w:p w:rsidR="0065226B" w:rsidRPr="002C1574" w:rsidRDefault="0065226B" w:rsidP="003E463D">
            <w:pPr>
              <w:ind w:left="57"/>
            </w:pPr>
            <w:r w:rsidRPr="002C1574">
              <w:t>Vai starptautiskajā dokumentā paredzētās saistības nav pretrunā ar jau esošajām Latvijas Republikas starptautiskajām saistībām</w:t>
            </w:r>
          </w:p>
        </w:tc>
        <w:tc>
          <w:tcPr>
            <w:tcW w:w="7195" w:type="dxa"/>
            <w:gridSpan w:val="2"/>
            <w:shd w:val="clear" w:color="auto" w:fill="auto"/>
          </w:tcPr>
          <w:p w:rsidR="0065226B" w:rsidRPr="002C1574" w:rsidRDefault="0065226B" w:rsidP="003E463D">
            <w:r w:rsidRPr="002C1574">
              <w:rPr>
                <w:lang w:eastAsia="en-US"/>
              </w:rPr>
              <w:t>Projekts šo jomu neskar</w:t>
            </w:r>
            <w:r w:rsidRPr="002C1574">
              <w:t>.</w:t>
            </w:r>
          </w:p>
        </w:tc>
      </w:tr>
      <w:tr w:rsidR="0065226B" w:rsidRPr="002C1574" w:rsidTr="003E463D">
        <w:trPr>
          <w:trHeight w:val="20"/>
        </w:trPr>
        <w:tc>
          <w:tcPr>
            <w:tcW w:w="2045" w:type="dxa"/>
            <w:shd w:val="clear" w:color="auto" w:fill="auto"/>
          </w:tcPr>
          <w:p w:rsidR="0065226B" w:rsidRPr="002C1574" w:rsidRDefault="0065226B" w:rsidP="003E463D">
            <w:pPr>
              <w:ind w:left="57"/>
            </w:pPr>
            <w:r w:rsidRPr="002C1574">
              <w:t>Cita informācija</w:t>
            </w:r>
          </w:p>
        </w:tc>
        <w:tc>
          <w:tcPr>
            <w:tcW w:w="7195" w:type="dxa"/>
            <w:gridSpan w:val="2"/>
            <w:shd w:val="clear" w:color="auto" w:fill="auto"/>
          </w:tcPr>
          <w:p w:rsidR="0065226B" w:rsidRPr="002C1574" w:rsidRDefault="0065226B" w:rsidP="003E463D">
            <w:pPr>
              <w:ind w:left="57"/>
            </w:pPr>
            <w:r w:rsidRPr="002C1574">
              <w:t>Nav.</w:t>
            </w:r>
          </w:p>
        </w:tc>
      </w:tr>
    </w:tbl>
    <w:p w:rsidR="00E46559" w:rsidRPr="002C1574" w:rsidRDefault="00E46559" w:rsidP="005C0C11">
      <w:pPr>
        <w:pStyle w:val="naisf"/>
        <w:spacing w:before="0" w:after="0"/>
        <w:jc w:val="center"/>
        <w:rPr>
          <w:b/>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541"/>
        <w:gridCol w:w="5487"/>
        <w:gridCol w:w="1234"/>
      </w:tblGrid>
      <w:tr w:rsidR="00CB0AB2" w:rsidRPr="002C1574" w:rsidTr="002C1574">
        <w:trPr>
          <w:trHeight w:val="262"/>
          <w:jc w:val="center"/>
        </w:trPr>
        <w:tc>
          <w:tcPr>
            <w:tcW w:w="5000" w:type="pct"/>
            <w:gridSpan w:val="3"/>
            <w:tcBorders>
              <w:top w:val="single" w:sz="4" w:space="0" w:color="auto"/>
              <w:left w:val="single" w:sz="4" w:space="0" w:color="auto"/>
              <w:bottom w:val="single" w:sz="4" w:space="0" w:color="auto"/>
              <w:right w:val="single" w:sz="4" w:space="0" w:color="auto"/>
            </w:tcBorders>
          </w:tcPr>
          <w:p w:rsidR="00CB0AB2" w:rsidRPr="002C1574" w:rsidRDefault="00CB0AB2" w:rsidP="002C1574">
            <w:pPr>
              <w:jc w:val="center"/>
              <w:rPr>
                <w:b/>
              </w:rPr>
            </w:pPr>
            <w:r w:rsidRPr="002C1574">
              <w:rPr>
                <w:b/>
              </w:rPr>
              <w:t>VI. Sabiedrības līdzdalība un komunikācijas aktivitātes</w:t>
            </w:r>
          </w:p>
        </w:tc>
      </w:tr>
      <w:tr w:rsidR="00CB0AB2" w:rsidRPr="002C1574" w:rsidTr="002C1574">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0" w:type="dxa"/>
            <w:left w:w="20" w:type="dxa"/>
            <w:bottom w:w="20" w:type="dxa"/>
            <w:right w:w="20" w:type="dxa"/>
          </w:tblCellMar>
          <w:tblLook w:val="04A0" w:firstRow="1" w:lastRow="0" w:firstColumn="1" w:lastColumn="0" w:noHBand="0" w:noVBand="1"/>
        </w:tblPrEx>
        <w:trPr>
          <w:gridAfter w:val="1"/>
          <w:wAfter w:w="666" w:type="pct"/>
          <w:trHeight w:val="360"/>
          <w:tblCellSpacing w:w="15" w:type="dxa"/>
          <w:jc w:val="center"/>
        </w:trPr>
        <w:tc>
          <w:tcPr>
            <w:tcW w:w="1372" w:type="pct"/>
            <w:tcBorders>
              <w:top w:val="outset" w:sz="6" w:space="0" w:color="auto"/>
              <w:left w:val="outset" w:sz="6" w:space="0" w:color="auto"/>
              <w:bottom w:val="outset" w:sz="6" w:space="0" w:color="auto"/>
              <w:right w:val="outset" w:sz="6" w:space="0" w:color="auto"/>
            </w:tcBorders>
            <w:hideMark/>
          </w:tcPr>
          <w:p w:rsidR="00CB0AB2" w:rsidRPr="002C1574" w:rsidRDefault="00CB0AB2" w:rsidP="004012E5">
            <w:r w:rsidRPr="002C1574">
              <w:t>Plānotās sabiedrības līdzdalības un komunikācijas aktivitātes saistībā ar projektu</w:t>
            </w:r>
          </w:p>
        </w:tc>
        <w:tc>
          <w:tcPr>
            <w:tcW w:w="2962" w:type="pct"/>
            <w:tcBorders>
              <w:top w:val="outset" w:sz="6" w:space="0" w:color="auto"/>
              <w:left w:val="outset" w:sz="6" w:space="0" w:color="auto"/>
              <w:bottom w:val="outset" w:sz="6" w:space="0" w:color="auto"/>
              <w:right w:val="outset" w:sz="6" w:space="0" w:color="auto"/>
            </w:tcBorders>
            <w:hideMark/>
          </w:tcPr>
          <w:p w:rsidR="00CB0AB2" w:rsidRPr="002C1574" w:rsidRDefault="00957E96" w:rsidP="004012E5">
            <w:r w:rsidRPr="002C1574">
              <w:t>Projekts šo jomu neskar.</w:t>
            </w:r>
            <w:r w:rsidR="00CB0AB2" w:rsidRPr="002C1574">
              <w:t xml:space="preserve"> </w:t>
            </w:r>
          </w:p>
        </w:tc>
      </w:tr>
      <w:tr w:rsidR="00CB0AB2" w:rsidRPr="002C1574" w:rsidTr="002C1574">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0" w:type="dxa"/>
            <w:left w:w="20" w:type="dxa"/>
            <w:bottom w:w="20" w:type="dxa"/>
            <w:right w:w="20" w:type="dxa"/>
          </w:tblCellMar>
          <w:tblLook w:val="04A0" w:firstRow="1" w:lastRow="0" w:firstColumn="1" w:lastColumn="0" w:noHBand="0" w:noVBand="1"/>
        </w:tblPrEx>
        <w:trPr>
          <w:gridAfter w:val="1"/>
          <w:wAfter w:w="666" w:type="pct"/>
          <w:trHeight w:val="220"/>
          <w:tblCellSpacing w:w="15" w:type="dxa"/>
          <w:jc w:val="center"/>
        </w:trPr>
        <w:tc>
          <w:tcPr>
            <w:tcW w:w="1372" w:type="pct"/>
            <w:tcBorders>
              <w:top w:val="outset" w:sz="6" w:space="0" w:color="auto"/>
              <w:left w:val="outset" w:sz="6" w:space="0" w:color="auto"/>
              <w:bottom w:val="outset" w:sz="6" w:space="0" w:color="auto"/>
              <w:right w:val="outset" w:sz="6" w:space="0" w:color="auto"/>
            </w:tcBorders>
            <w:hideMark/>
          </w:tcPr>
          <w:p w:rsidR="00CB0AB2" w:rsidRPr="002C1574" w:rsidRDefault="00CB0AB2" w:rsidP="004012E5">
            <w:r w:rsidRPr="002C1574">
              <w:t>Sabiedrības līdzdalība projekta izstrādē</w:t>
            </w:r>
          </w:p>
        </w:tc>
        <w:tc>
          <w:tcPr>
            <w:tcW w:w="2962" w:type="pct"/>
            <w:tcBorders>
              <w:top w:val="outset" w:sz="6" w:space="0" w:color="auto"/>
              <w:left w:val="outset" w:sz="6" w:space="0" w:color="auto"/>
              <w:bottom w:val="outset" w:sz="6" w:space="0" w:color="auto"/>
              <w:right w:val="outset" w:sz="6" w:space="0" w:color="auto"/>
            </w:tcBorders>
            <w:hideMark/>
          </w:tcPr>
          <w:p w:rsidR="00CB0AB2" w:rsidRPr="002C1574" w:rsidRDefault="00957E96" w:rsidP="004012E5">
            <w:r w:rsidRPr="002C1574">
              <w:t>Nevalstiskais un privātais sektors piedalījās projekta izstrādē</w:t>
            </w:r>
          </w:p>
        </w:tc>
      </w:tr>
      <w:tr w:rsidR="00CB0AB2" w:rsidRPr="002C1574" w:rsidTr="002C1574">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0" w:type="dxa"/>
            <w:left w:w="20" w:type="dxa"/>
            <w:bottom w:w="20" w:type="dxa"/>
            <w:right w:w="20" w:type="dxa"/>
          </w:tblCellMar>
          <w:tblLook w:val="04A0" w:firstRow="1" w:lastRow="0" w:firstColumn="1" w:lastColumn="0" w:noHBand="0" w:noVBand="1"/>
        </w:tblPrEx>
        <w:trPr>
          <w:gridAfter w:val="1"/>
          <w:wAfter w:w="666" w:type="pct"/>
          <w:trHeight w:val="310"/>
          <w:tblCellSpacing w:w="15" w:type="dxa"/>
          <w:jc w:val="center"/>
        </w:trPr>
        <w:tc>
          <w:tcPr>
            <w:tcW w:w="1372" w:type="pct"/>
            <w:tcBorders>
              <w:top w:val="outset" w:sz="6" w:space="0" w:color="auto"/>
              <w:left w:val="outset" w:sz="6" w:space="0" w:color="auto"/>
              <w:bottom w:val="outset" w:sz="6" w:space="0" w:color="auto"/>
              <w:right w:val="outset" w:sz="6" w:space="0" w:color="auto"/>
            </w:tcBorders>
            <w:hideMark/>
          </w:tcPr>
          <w:p w:rsidR="00CB0AB2" w:rsidRPr="002C1574" w:rsidRDefault="00CB0AB2" w:rsidP="004012E5">
            <w:r w:rsidRPr="002C1574">
              <w:t>Sabiedrības līdzdalības rezultāti</w:t>
            </w:r>
          </w:p>
        </w:tc>
        <w:tc>
          <w:tcPr>
            <w:tcW w:w="2962" w:type="pct"/>
            <w:tcBorders>
              <w:top w:val="outset" w:sz="6" w:space="0" w:color="auto"/>
              <w:left w:val="outset" w:sz="6" w:space="0" w:color="auto"/>
              <w:bottom w:val="outset" w:sz="6" w:space="0" w:color="auto"/>
              <w:right w:val="outset" w:sz="6" w:space="0" w:color="auto"/>
            </w:tcBorders>
            <w:hideMark/>
          </w:tcPr>
          <w:p w:rsidR="00CB0AB2" w:rsidRPr="002C1574" w:rsidRDefault="00957E96" w:rsidP="002D62ED">
            <w:r w:rsidRPr="002C1574">
              <w:t xml:space="preserve">Priekšlikums ir kopīgs </w:t>
            </w:r>
            <w:r w:rsidR="002D62ED" w:rsidRPr="002C1574">
              <w:t xml:space="preserve">ar Valsts kancelejas direktora 2012.gada 29.novembra rīkojumu Nr.78 "Par darba grupu" izveidotās ekspertu darba grupas </w:t>
            </w:r>
            <w:r w:rsidRPr="002C1574">
              <w:t>rezultāts.</w:t>
            </w:r>
          </w:p>
        </w:tc>
      </w:tr>
      <w:tr w:rsidR="00CB0AB2" w:rsidRPr="002C1574" w:rsidTr="002C1574">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0" w:type="dxa"/>
            <w:left w:w="20" w:type="dxa"/>
            <w:bottom w:w="20" w:type="dxa"/>
            <w:right w:w="20" w:type="dxa"/>
          </w:tblCellMar>
          <w:tblLook w:val="04A0" w:firstRow="1" w:lastRow="0" w:firstColumn="1" w:lastColumn="0" w:noHBand="0" w:noVBand="1"/>
        </w:tblPrEx>
        <w:trPr>
          <w:gridAfter w:val="1"/>
          <w:wAfter w:w="666" w:type="pct"/>
          <w:trHeight w:val="310"/>
          <w:tblCellSpacing w:w="15" w:type="dxa"/>
          <w:jc w:val="center"/>
        </w:trPr>
        <w:tc>
          <w:tcPr>
            <w:tcW w:w="1372" w:type="pct"/>
            <w:tcBorders>
              <w:top w:val="outset" w:sz="6" w:space="0" w:color="auto"/>
              <w:left w:val="outset" w:sz="6" w:space="0" w:color="auto"/>
              <w:bottom w:val="outset" w:sz="6" w:space="0" w:color="auto"/>
              <w:right w:val="outset" w:sz="6" w:space="0" w:color="auto"/>
            </w:tcBorders>
            <w:hideMark/>
          </w:tcPr>
          <w:p w:rsidR="00CB0AB2" w:rsidRPr="002C1574" w:rsidRDefault="00CB0AB2" w:rsidP="004012E5">
            <w:r w:rsidRPr="002C1574">
              <w:t>Cita informācija</w:t>
            </w:r>
          </w:p>
        </w:tc>
        <w:tc>
          <w:tcPr>
            <w:tcW w:w="2962" w:type="pct"/>
            <w:tcBorders>
              <w:top w:val="outset" w:sz="6" w:space="0" w:color="auto"/>
              <w:left w:val="outset" w:sz="6" w:space="0" w:color="auto"/>
              <w:bottom w:val="outset" w:sz="6" w:space="0" w:color="auto"/>
              <w:right w:val="outset" w:sz="6" w:space="0" w:color="auto"/>
            </w:tcBorders>
            <w:hideMark/>
          </w:tcPr>
          <w:p w:rsidR="00CB0AB2" w:rsidRPr="002C1574" w:rsidRDefault="00CB0AB2" w:rsidP="00957E96">
            <w:pPr>
              <w:spacing w:before="100" w:beforeAutospacing="1" w:after="100" w:afterAutospacing="1"/>
            </w:pPr>
            <w:r w:rsidRPr="002C1574">
              <w:t>Nav</w:t>
            </w:r>
          </w:p>
        </w:tc>
      </w:tr>
    </w:tbl>
    <w:p w:rsidR="0015060C" w:rsidRPr="002C1574" w:rsidRDefault="0015060C" w:rsidP="005C0C11">
      <w:pPr>
        <w:pStyle w:val="naisf"/>
        <w:spacing w:before="0" w:after="0"/>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5"/>
        <w:gridCol w:w="3271"/>
        <w:gridCol w:w="5494"/>
      </w:tblGrid>
      <w:tr w:rsidR="002E67F6" w:rsidRPr="00306D47" w:rsidTr="00050F60">
        <w:tc>
          <w:tcPr>
            <w:tcW w:w="5000" w:type="pct"/>
            <w:gridSpan w:val="3"/>
            <w:tcBorders>
              <w:top w:val="single" w:sz="4" w:space="0" w:color="auto"/>
            </w:tcBorders>
          </w:tcPr>
          <w:p w:rsidR="002E67F6" w:rsidRPr="00306D47" w:rsidRDefault="002E67F6" w:rsidP="00050F60">
            <w:pPr>
              <w:pStyle w:val="naisnod"/>
              <w:spacing w:before="0" w:after="0"/>
              <w:ind w:left="57" w:right="57"/>
            </w:pPr>
            <w:r w:rsidRPr="00306D47">
              <w:t>VII. Tiesību akta projekta izpildes nodrošināšana un tās ietekme uz institūcijām</w:t>
            </w:r>
          </w:p>
        </w:tc>
      </w:tr>
      <w:tr w:rsidR="002E67F6" w:rsidRPr="00306D47" w:rsidTr="00050F60">
        <w:trPr>
          <w:trHeight w:val="246"/>
        </w:trPr>
        <w:tc>
          <w:tcPr>
            <w:tcW w:w="257" w:type="pct"/>
          </w:tcPr>
          <w:p w:rsidR="002E67F6" w:rsidRPr="00306D47" w:rsidRDefault="002E67F6" w:rsidP="00050F60">
            <w:pPr>
              <w:pStyle w:val="naisnod"/>
              <w:spacing w:before="0" w:after="0"/>
              <w:ind w:left="57" w:right="57"/>
              <w:jc w:val="left"/>
              <w:rPr>
                <w:b w:val="0"/>
              </w:rPr>
            </w:pPr>
            <w:r w:rsidRPr="00306D47">
              <w:rPr>
                <w:b w:val="0"/>
              </w:rPr>
              <w:t>1.</w:t>
            </w:r>
          </w:p>
        </w:tc>
        <w:tc>
          <w:tcPr>
            <w:tcW w:w="1752" w:type="pct"/>
          </w:tcPr>
          <w:p w:rsidR="002E67F6" w:rsidRPr="00306D47" w:rsidRDefault="002E67F6" w:rsidP="00050F60">
            <w:pPr>
              <w:pStyle w:val="naisf"/>
              <w:spacing w:before="0" w:after="0"/>
              <w:ind w:left="57" w:right="57" w:firstLine="0"/>
              <w:jc w:val="left"/>
            </w:pPr>
            <w:r w:rsidRPr="00306D47">
              <w:t xml:space="preserve">Projekta izpildē iesaistītās </w:t>
            </w:r>
            <w:r w:rsidRPr="00306D47">
              <w:lastRenderedPageBreak/>
              <w:t xml:space="preserve">institūcijas </w:t>
            </w:r>
          </w:p>
        </w:tc>
        <w:tc>
          <w:tcPr>
            <w:tcW w:w="2991" w:type="pct"/>
          </w:tcPr>
          <w:p w:rsidR="002E67F6" w:rsidRPr="00306D47" w:rsidRDefault="002E67F6" w:rsidP="00050F60">
            <w:pPr>
              <w:pStyle w:val="naiskr"/>
              <w:spacing w:before="0" w:after="0"/>
              <w:jc w:val="both"/>
            </w:pPr>
            <w:r w:rsidRPr="00306D47">
              <w:lastRenderedPageBreak/>
              <w:t>Projekts šo jomu neskar</w:t>
            </w:r>
          </w:p>
        </w:tc>
      </w:tr>
      <w:tr w:rsidR="002E67F6" w:rsidRPr="00306D47" w:rsidTr="00050F60">
        <w:trPr>
          <w:trHeight w:val="780"/>
        </w:trPr>
        <w:tc>
          <w:tcPr>
            <w:tcW w:w="221" w:type="pct"/>
          </w:tcPr>
          <w:p w:rsidR="002E67F6" w:rsidRPr="00306D47" w:rsidRDefault="002E67F6" w:rsidP="00050F60">
            <w:pPr>
              <w:pStyle w:val="naisnod"/>
              <w:spacing w:before="0" w:after="0"/>
              <w:ind w:left="57" w:right="57"/>
              <w:jc w:val="left"/>
              <w:rPr>
                <w:b w:val="0"/>
              </w:rPr>
            </w:pPr>
            <w:r>
              <w:rPr>
                <w:b w:val="0"/>
              </w:rPr>
              <w:lastRenderedPageBreak/>
              <w:t>2</w:t>
            </w:r>
            <w:r w:rsidRPr="00306D47">
              <w:rPr>
                <w:b w:val="0"/>
              </w:rPr>
              <w:t>.</w:t>
            </w:r>
          </w:p>
        </w:tc>
        <w:tc>
          <w:tcPr>
            <w:tcW w:w="1770" w:type="pct"/>
          </w:tcPr>
          <w:p w:rsidR="002E67F6" w:rsidRDefault="002E67F6" w:rsidP="00050F60">
            <w:pPr>
              <w:pStyle w:val="naisf"/>
              <w:spacing w:before="0" w:after="0"/>
              <w:ind w:left="57" w:right="57" w:firstLine="0"/>
              <w:jc w:val="left"/>
            </w:pPr>
            <w:r w:rsidRPr="00306D47">
              <w:t xml:space="preserve">Projekta izpildes ietekme uz pārvaldes </w:t>
            </w:r>
            <w:r>
              <w:t xml:space="preserve">funkcijām un </w:t>
            </w:r>
            <w:r w:rsidRPr="00306D47">
              <w:t>institucionālo struktūru.</w:t>
            </w:r>
          </w:p>
          <w:p w:rsidR="002E67F6" w:rsidRPr="00306D47" w:rsidRDefault="002E67F6" w:rsidP="00050F60">
            <w:pPr>
              <w:pStyle w:val="naisf"/>
              <w:spacing w:before="0" w:after="0"/>
              <w:ind w:left="57" w:right="57" w:firstLine="0"/>
              <w:jc w:val="left"/>
            </w:pPr>
          </w:p>
          <w:p w:rsidR="002E67F6" w:rsidRPr="00306D47" w:rsidRDefault="002E67F6" w:rsidP="00050F60">
            <w:pPr>
              <w:pStyle w:val="naisf"/>
              <w:spacing w:before="0" w:after="0"/>
              <w:ind w:left="57" w:right="57" w:firstLine="0"/>
              <w:jc w:val="left"/>
            </w:pPr>
            <w:r>
              <w:t>Jaunu institūciju izveide, esošu institūciju likvidācija vai reorganizācija, to ietekme uz institūcijas cilvēkresursiem</w:t>
            </w:r>
          </w:p>
        </w:tc>
        <w:tc>
          <w:tcPr>
            <w:tcW w:w="3009" w:type="pct"/>
          </w:tcPr>
          <w:p w:rsidR="002E67F6" w:rsidRPr="00306D47" w:rsidRDefault="002E67F6" w:rsidP="00050F60">
            <w:pPr>
              <w:pStyle w:val="naisnod"/>
              <w:spacing w:before="0" w:after="0"/>
              <w:ind w:right="57"/>
              <w:jc w:val="both"/>
              <w:rPr>
                <w:b w:val="0"/>
                <w:highlight w:val="yellow"/>
              </w:rPr>
            </w:pPr>
            <w:r w:rsidRPr="00306D47">
              <w:rPr>
                <w:b w:val="0"/>
              </w:rPr>
              <w:t>Projekts šo jomu neskar.</w:t>
            </w:r>
          </w:p>
        </w:tc>
      </w:tr>
      <w:tr w:rsidR="002E67F6" w:rsidRPr="00306D47" w:rsidTr="00050F60">
        <w:trPr>
          <w:trHeight w:val="258"/>
        </w:trPr>
        <w:tc>
          <w:tcPr>
            <w:tcW w:w="257" w:type="pct"/>
          </w:tcPr>
          <w:p w:rsidR="002E67F6" w:rsidRPr="00306D47" w:rsidRDefault="002E67F6" w:rsidP="00050F60">
            <w:pPr>
              <w:pStyle w:val="naiskr"/>
              <w:spacing w:before="0" w:after="0"/>
              <w:ind w:left="57" w:right="57"/>
            </w:pPr>
            <w:r>
              <w:t>3.</w:t>
            </w:r>
          </w:p>
        </w:tc>
        <w:tc>
          <w:tcPr>
            <w:tcW w:w="1752" w:type="pct"/>
          </w:tcPr>
          <w:p w:rsidR="002E67F6" w:rsidRPr="00306D47" w:rsidRDefault="002E67F6" w:rsidP="00050F60">
            <w:pPr>
              <w:pStyle w:val="naiskr"/>
              <w:spacing w:before="0" w:after="0"/>
              <w:ind w:left="57" w:right="57"/>
            </w:pPr>
            <w:r w:rsidRPr="00306D47">
              <w:t>Cita informācija</w:t>
            </w:r>
          </w:p>
        </w:tc>
        <w:tc>
          <w:tcPr>
            <w:tcW w:w="2991" w:type="pct"/>
          </w:tcPr>
          <w:p w:rsidR="002E67F6" w:rsidRPr="00306D47" w:rsidRDefault="002E67F6" w:rsidP="00050F60">
            <w:pPr>
              <w:pStyle w:val="naiskr"/>
              <w:spacing w:before="0" w:after="0"/>
              <w:ind w:left="57" w:right="57"/>
            </w:pPr>
            <w:r w:rsidRPr="00306D47">
              <w:t xml:space="preserve">Nav </w:t>
            </w:r>
          </w:p>
        </w:tc>
      </w:tr>
    </w:tbl>
    <w:p w:rsidR="002E67F6" w:rsidRPr="00306D47" w:rsidRDefault="002E67F6" w:rsidP="002E67F6">
      <w:pPr>
        <w:pStyle w:val="naisf"/>
        <w:tabs>
          <w:tab w:val="left" w:pos="5760"/>
        </w:tabs>
        <w:spacing w:before="0" w:after="0"/>
        <w:ind w:firstLine="0"/>
      </w:pPr>
    </w:p>
    <w:p w:rsidR="00835614" w:rsidRPr="002C1574" w:rsidRDefault="00835614" w:rsidP="00654A0D">
      <w:pPr>
        <w:ind w:firstLine="720"/>
      </w:pPr>
    </w:p>
    <w:p w:rsidR="0018359E" w:rsidRPr="002C1574" w:rsidRDefault="0018359E" w:rsidP="00654A0D">
      <w:pPr>
        <w:ind w:firstLine="720"/>
      </w:pPr>
      <w:r w:rsidRPr="002C1574">
        <w:t>Finanšu ministrs</w:t>
      </w:r>
      <w:r w:rsidRPr="002C1574">
        <w:tab/>
      </w:r>
      <w:r w:rsidRPr="002C1574">
        <w:tab/>
      </w:r>
      <w:r w:rsidRPr="002C1574">
        <w:tab/>
      </w:r>
      <w:r w:rsidRPr="002C1574">
        <w:tab/>
      </w:r>
      <w:r w:rsidRPr="002C1574">
        <w:tab/>
      </w:r>
      <w:r w:rsidRPr="002C1574">
        <w:tab/>
      </w:r>
      <w:r w:rsidRPr="002C1574">
        <w:tab/>
      </w:r>
      <w:r w:rsidR="006B35C4" w:rsidRPr="002C1574">
        <w:t>J.Reirs</w:t>
      </w:r>
    </w:p>
    <w:p w:rsidR="0018359E" w:rsidRPr="002C1574" w:rsidRDefault="0018359E" w:rsidP="00654A0D">
      <w:pPr>
        <w:ind w:firstLine="720"/>
      </w:pPr>
    </w:p>
    <w:p w:rsidR="00654A0D" w:rsidRPr="002C1574" w:rsidRDefault="00654A0D" w:rsidP="00654A0D">
      <w:pPr>
        <w:ind w:firstLine="720"/>
      </w:pPr>
      <w:r w:rsidRPr="002C1574">
        <w:t>V</w:t>
      </w:r>
      <w:r w:rsidR="00835614" w:rsidRPr="002C1574">
        <w:t>ī</w:t>
      </w:r>
      <w:r w:rsidRPr="002C1574">
        <w:t>zē:</w:t>
      </w:r>
    </w:p>
    <w:p w:rsidR="00654A0D" w:rsidRPr="002C1574" w:rsidRDefault="00654A0D" w:rsidP="0066411A">
      <w:pPr>
        <w:ind w:left="720"/>
      </w:pPr>
      <w:r w:rsidRPr="002C1574">
        <w:t>Valsts sekretār</w:t>
      </w:r>
      <w:r w:rsidR="0018359E" w:rsidRPr="002C1574">
        <w:t>e</w:t>
      </w:r>
      <w:r w:rsidR="0066411A" w:rsidRPr="002C1574">
        <w:t xml:space="preserve"> </w:t>
      </w:r>
      <w:r w:rsidR="0066411A" w:rsidRPr="002C1574">
        <w:tab/>
      </w:r>
      <w:r w:rsidR="0066411A" w:rsidRPr="002C1574">
        <w:tab/>
      </w:r>
      <w:r w:rsidR="0066411A" w:rsidRPr="002C1574">
        <w:tab/>
      </w:r>
      <w:r w:rsidR="0066411A" w:rsidRPr="002C1574">
        <w:tab/>
      </w:r>
      <w:r w:rsidR="0066411A" w:rsidRPr="002C1574">
        <w:tab/>
      </w:r>
      <w:r w:rsidR="0066411A" w:rsidRPr="002C1574">
        <w:tab/>
      </w:r>
      <w:r w:rsidR="00B831C6" w:rsidRPr="002C1574">
        <w:tab/>
      </w:r>
      <w:proofErr w:type="spellStart"/>
      <w:r w:rsidR="0018359E" w:rsidRPr="002C1574">
        <w:t>B.Bāne</w:t>
      </w:r>
      <w:proofErr w:type="spellEnd"/>
    </w:p>
    <w:p w:rsidR="00654A0D" w:rsidRPr="002C1574" w:rsidRDefault="00654A0D" w:rsidP="00654A0D">
      <w:pPr>
        <w:jc w:val="both"/>
      </w:pPr>
    </w:p>
    <w:sectPr w:rsidR="00654A0D" w:rsidRPr="002C1574" w:rsidSect="00AF6DAE">
      <w:headerReference w:type="even" r:id="rId9"/>
      <w:headerReference w:type="default" r:id="rId10"/>
      <w:footerReference w:type="default" r:id="rId11"/>
      <w:footerReference w:type="first" r:id="rId12"/>
      <w:pgSz w:w="11906" w:h="16838" w:code="9"/>
      <w:pgMar w:top="899" w:right="1134" w:bottom="1560" w:left="1560" w:header="709" w:footer="2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F2" w:rsidRDefault="00B153F2">
      <w:r>
        <w:separator/>
      </w:r>
    </w:p>
  </w:endnote>
  <w:endnote w:type="continuationSeparator" w:id="0">
    <w:p w:rsidR="00B153F2" w:rsidRDefault="00B1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DE" w:rsidRPr="00B82546" w:rsidRDefault="0018359E" w:rsidP="000438DE">
    <w:pPr>
      <w:pStyle w:val="naislab"/>
      <w:spacing w:before="0" w:after="0"/>
      <w:jc w:val="both"/>
      <w:rPr>
        <w:sz w:val="20"/>
        <w:szCs w:val="20"/>
      </w:rPr>
    </w:pPr>
    <w:r>
      <w:rPr>
        <w:sz w:val="20"/>
        <w:szCs w:val="20"/>
      </w:rPr>
      <w:t>F</w:t>
    </w:r>
    <w:r w:rsidR="000438DE" w:rsidRPr="009A1A66">
      <w:rPr>
        <w:sz w:val="20"/>
        <w:szCs w:val="20"/>
      </w:rPr>
      <w:t>MAnot_</w:t>
    </w:r>
    <w:r>
      <w:rPr>
        <w:sz w:val="20"/>
        <w:szCs w:val="20"/>
      </w:rPr>
      <w:t>31</w:t>
    </w:r>
    <w:r w:rsidR="000438DE">
      <w:rPr>
        <w:sz w:val="20"/>
        <w:szCs w:val="20"/>
      </w:rPr>
      <w:t>0</w:t>
    </w:r>
    <w:r>
      <w:rPr>
        <w:sz w:val="20"/>
        <w:szCs w:val="20"/>
      </w:rPr>
      <w:t>7</w:t>
    </w:r>
    <w:r w:rsidR="000438DE">
      <w:rPr>
        <w:sz w:val="20"/>
        <w:szCs w:val="20"/>
      </w:rPr>
      <w:t>1</w:t>
    </w:r>
    <w:r>
      <w:rPr>
        <w:sz w:val="20"/>
        <w:szCs w:val="20"/>
      </w:rPr>
      <w:t>4</w:t>
    </w:r>
    <w:r w:rsidR="000438DE">
      <w:rPr>
        <w:sz w:val="20"/>
        <w:szCs w:val="20"/>
      </w:rPr>
      <w:t>_</w:t>
    </w:r>
    <w:r>
      <w:rPr>
        <w:sz w:val="20"/>
        <w:szCs w:val="20"/>
      </w:rPr>
      <w:t>PILdepozits</w:t>
    </w:r>
    <w:r w:rsidR="000438DE">
      <w:rPr>
        <w:sz w:val="20"/>
        <w:szCs w:val="20"/>
      </w:rPr>
      <w:t>; Likumprojekta „Grozījum</w:t>
    </w:r>
    <w:r>
      <w:rPr>
        <w:sz w:val="20"/>
        <w:szCs w:val="20"/>
      </w:rPr>
      <w:t>s Publisko iepirkumu</w:t>
    </w:r>
    <w:r w:rsidR="000438DE">
      <w:rPr>
        <w:sz w:val="20"/>
        <w:szCs w:val="20"/>
      </w:rPr>
      <w:t xml:space="preserve"> likumā” </w:t>
    </w:r>
    <w:r w:rsidR="000438DE" w:rsidRPr="00B82546">
      <w:rPr>
        <w:sz w:val="20"/>
        <w:szCs w:val="20"/>
      </w:rPr>
      <w:t xml:space="preserve">sākotnējās ietekmes novērtējuma </w:t>
    </w:r>
    <w:smartTag w:uri="schemas-tilde-lv/tildestengine" w:element="currency2">
      <w:smartTagPr>
        <w:attr w:name="id" w:val="-1"/>
        <w:attr w:name="baseform" w:val="ziņojums"/>
        <w:attr w:name="text" w:val="ziņojums"/>
      </w:smartTagPr>
      <w:r w:rsidR="000438DE" w:rsidRPr="00B82546">
        <w:rPr>
          <w:sz w:val="20"/>
          <w:szCs w:val="20"/>
        </w:rPr>
        <w:t>ziņojums</w:t>
      </w:r>
    </w:smartTag>
    <w:r w:rsidR="000438DE" w:rsidRPr="00B82546">
      <w:rPr>
        <w:sz w:val="20"/>
        <w:szCs w:val="20"/>
      </w:rPr>
      <w:t xml:space="preserve"> (anotācija)</w:t>
    </w:r>
  </w:p>
  <w:p w:rsidR="00122B9E" w:rsidRPr="00B82546" w:rsidRDefault="00122B9E" w:rsidP="00D43592">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5F" w:rsidRPr="00B82546" w:rsidRDefault="00186B5F" w:rsidP="00186B5F">
    <w:pPr>
      <w:pStyle w:val="naislab"/>
      <w:spacing w:before="0" w:after="0"/>
      <w:jc w:val="both"/>
      <w:rPr>
        <w:sz w:val="20"/>
        <w:szCs w:val="20"/>
      </w:rPr>
    </w:pPr>
    <w:r>
      <w:rPr>
        <w:sz w:val="20"/>
        <w:szCs w:val="20"/>
      </w:rPr>
      <w:t>F</w:t>
    </w:r>
    <w:r w:rsidRPr="009A1A66">
      <w:rPr>
        <w:sz w:val="20"/>
        <w:szCs w:val="20"/>
      </w:rPr>
      <w:t>MAnot_</w:t>
    </w:r>
    <w:r>
      <w:rPr>
        <w:sz w:val="20"/>
        <w:szCs w:val="20"/>
      </w:rPr>
      <w:t xml:space="preserve">310714_PILdepozits; Likumprojekta „Grozījums Publisko iepirkumu likumā” </w:t>
    </w:r>
    <w:r w:rsidRPr="00B82546">
      <w:rPr>
        <w:sz w:val="20"/>
        <w:szCs w:val="20"/>
      </w:rPr>
      <w:t xml:space="preserve">sākotnējās ietekmes novērtējuma </w:t>
    </w:r>
    <w:smartTag w:uri="schemas-tilde-lv/tildestengine" w:element="currency2">
      <w:smartTagPr>
        <w:attr w:name="id" w:val="-1"/>
        <w:attr w:name="baseform" w:val="ziņojums"/>
        <w:attr w:name="text" w:val="ziņojums"/>
      </w:smartTagPr>
      <w:r w:rsidRPr="00B82546">
        <w:rPr>
          <w:sz w:val="20"/>
          <w:szCs w:val="20"/>
        </w:rPr>
        <w:t>ziņojums</w:t>
      </w:r>
    </w:smartTag>
    <w:r w:rsidRPr="00B82546">
      <w:rPr>
        <w:sz w:val="20"/>
        <w:szCs w:val="20"/>
      </w:rPr>
      <w:t xml:space="preserve"> (anotācija)</w:t>
    </w:r>
  </w:p>
  <w:p w:rsidR="00122B9E" w:rsidRPr="003A437F" w:rsidRDefault="00122B9E" w:rsidP="003A437F">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F2" w:rsidRDefault="00B153F2">
      <w:r>
        <w:separator/>
      </w:r>
    </w:p>
  </w:footnote>
  <w:footnote w:type="continuationSeparator" w:id="0">
    <w:p w:rsidR="00B153F2" w:rsidRDefault="00B15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E" w:rsidRDefault="00122B9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2B9E" w:rsidRDefault="00122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E" w:rsidRDefault="00122B9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228">
      <w:rPr>
        <w:rStyle w:val="PageNumber"/>
        <w:noProof/>
      </w:rPr>
      <w:t>2</w:t>
    </w:r>
    <w:r>
      <w:rPr>
        <w:rStyle w:val="PageNumber"/>
      </w:rPr>
      <w:fldChar w:fldCharType="end"/>
    </w:r>
  </w:p>
  <w:p w:rsidR="00122B9E" w:rsidRDefault="00122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1981"/>
    <w:rsid w:val="00006A5D"/>
    <w:rsid w:val="00011D24"/>
    <w:rsid w:val="00012487"/>
    <w:rsid w:val="00012992"/>
    <w:rsid w:val="00013FF4"/>
    <w:rsid w:val="00014A65"/>
    <w:rsid w:val="000162A6"/>
    <w:rsid w:val="00020FE1"/>
    <w:rsid w:val="00022E13"/>
    <w:rsid w:val="0002357C"/>
    <w:rsid w:val="0002781D"/>
    <w:rsid w:val="00032388"/>
    <w:rsid w:val="00034A9F"/>
    <w:rsid w:val="00035CE2"/>
    <w:rsid w:val="00037882"/>
    <w:rsid w:val="000438DE"/>
    <w:rsid w:val="00043E65"/>
    <w:rsid w:val="0004460F"/>
    <w:rsid w:val="000448B9"/>
    <w:rsid w:val="000522B8"/>
    <w:rsid w:val="000532CB"/>
    <w:rsid w:val="0005553B"/>
    <w:rsid w:val="0005698A"/>
    <w:rsid w:val="000604D2"/>
    <w:rsid w:val="00060951"/>
    <w:rsid w:val="00061AB3"/>
    <w:rsid w:val="000652D4"/>
    <w:rsid w:val="00065ED1"/>
    <w:rsid w:val="0008587D"/>
    <w:rsid w:val="00086732"/>
    <w:rsid w:val="00087461"/>
    <w:rsid w:val="0009005E"/>
    <w:rsid w:val="000941C5"/>
    <w:rsid w:val="00095928"/>
    <w:rsid w:val="00096212"/>
    <w:rsid w:val="00096451"/>
    <w:rsid w:val="000A3D2F"/>
    <w:rsid w:val="000A4255"/>
    <w:rsid w:val="000A530B"/>
    <w:rsid w:val="000A6451"/>
    <w:rsid w:val="000A71D6"/>
    <w:rsid w:val="000B064E"/>
    <w:rsid w:val="000B582F"/>
    <w:rsid w:val="000B69CF"/>
    <w:rsid w:val="000C2B55"/>
    <w:rsid w:val="000C790C"/>
    <w:rsid w:val="000E4F08"/>
    <w:rsid w:val="000E7996"/>
    <w:rsid w:val="000F061D"/>
    <w:rsid w:val="000F3DDE"/>
    <w:rsid w:val="000F4794"/>
    <w:rsid w:val="000F6955"/>
    <w:rsid w:val="00101DB2"/>
    <w:rsid w:val="00105D3C"/>
    <w:rsid w:val="00110643"/>
    <w:rsid w:val="00110E80"/>
    <w:rsid w:val="00113163"/>
    <w:rsid w:val="00115143"/>
    <w:rsid w:val="00120689"/>
    <w:rsid w:val="001228B2"/>
    <w:rsid w:val="00122B9E"/>
    <w:rsid w:val="00124F12"/>
    <w:rsid w:val="001373F1"/>
    <w:rsid w:val="00141468"/>
    <w:rsid w:val="00142695"/>
    <w:rsid w:val="00144E3A"/>
    <w:rsid w:val="001450F2"/>
    <w:rsid w:val="001463C3"/>
    <w:rsid w:val="0015060C"/>
    <w:rsid w:val="001524C7"/>
    <w:rsid w:val="00153C21"/>
    <w:rsid w:val="001541D1"/>
    <w:rsid w:val="0016018A"/>
    <w:rsid w:val="00161F0E"/>
    <w:rsid w:val="00162469"/>
    <w:rsid w:val="00163A26"/>
    <w:rsid w:val="0016726D"/>
    <w:rsid w:val="00170E2A"/>
    <w:rsid w:val="001712D7"/>
    <w:rsid w:val="00175FC4"/>
    <w:rsid w:val="00177394"/>
    <w:rsid w:val="001814E5"/>
    <w:rsid w:val="00181839"/>
    <w:rsid w:val="00182C18"/>
    <w:rsid w:val="0018359E"/>
    <w:rsid w:val="00183CC2"/>
    <w:rsid w:val="00185C20"/>
    <w:rsid w:val="001861E5"/>
    <w:rsid w:val="00186B5F"/>
    <w:rsid w:val="001870FF"/>
    <w:rsid w:val="00187828"/>
    <w:rsid w:val="001900E4"/>
    <w:rsid w:val="001905DB"/>
    <w:rsid w:val="00190F88"/>
    <w:rsid w:val="001924F5"/>
    <w:rsid w:val="001A4066"/>
    <w:rsid w:val="001A6AE4"/>
    <w:rsid w:val="001B01FD"/>
    <w:rsid w:val="001B3D4A"/>
    <w:rsid w:val="001B4A71"/>
    <w:rsid w:val="001C1F88"/>
    <w:rsid w:val="001D5B54"/>
    <w:rsid w:val="001D67ED"/>
    <w:rsid w:val="001E0129"/>
    <w:rsid w:val="001E1DBF"/>
    <w:rsid w:val="001E2FE3"/>
    <w:rsid w:val="001E4639"/>
    <w:rsid w:val="001E4A7D"/>
    <w:rsid w:val="001E5B4B"/>
    <w:rsid w:val="001F0037"/>
    <w:rsid w:val="001F35F2"/>
    <w:rsid w:val="001F4209"/>
    <w:rsid w:val="001F43A8"/>
    <w:rsid w:val="001F46CA"/>
    <w:rsid w:val="001F4AF0"/>
    <w:rsid w:val="001F55A0"/>
    <w:rsid w:val="001F5CD6"/>
    <w:rsid w:val="0020035D"/>
    <w:rsid w:val="0020055A"/>
    <w:rsid w:val="002024E3"/>
    <w:rsid w:val="00205D57"/>
    <w:rsid w:val="0021263D"/>
    <w:rsid w:val="00213345"/>
    <w:rsid w:val="00213F0C"/>
    <w:rsid w:val="00214094"/>
    <w:rsid w:val="0021592D"/>
    <w:rsid w:val="00221693"/>
    <w:rsid w:val="00222D76"/>
    <w:rsid w:val="00223EB1"/>
    <w:rsid w:val="00231344"/>
    <w:rsid w:val="00231BCD"/>
    <w:rsid w:val="002327E3"/>
    <w:rsid w:val="00233449"/>
    <w:rsid w:val="0023364D"/>
    <w:rsid w:val="0023436E"/>
    <w:rsid w:val="002347C0"/>
    <w:rsid w:val="00240640"/>
    <w:rsid w:val="00241A6C"/>
    <w:rsid w:val="00242D2B"/>
    <w:rsid w:val="0025006C"/>
    <w:rsid w:val="002513CE"/>
    <w:rsid w:val="00252BA2"/>
    <w:rsid w:val="00255FA8"/>
    <w:rsid w:val="00260237"/>
    <w:rsid w:val="002616CE"/>
    <w:rsid w:val="00262E2B"/>
    <w:rsid w:val="00264629"/>
    <w:rsid w:val="0026680E"/>
    <w:rsid w:val="0026696E"/>
    <w:rsid w:val="002675C4"/>
    <w:rsid w:val="00270429"/>
    <w:rsid w:val="002712BA"/>
    <w:rsid w:val="002723E9"/>
    <w:rsid w:val="00277929"/>
    <w:rsid w:val="00283B82"/>
    <w:rsid w:val="002846E9"/>
    <w:rsid w:val="00284C34"/>
    <w:rsid w:val="0029066C"/>
    <w:rsid w:val="002A04AC"/>
    <w:rsid w:val="002A5840"/>
    <w:rsid w:val="002B43C9"/>
    <w:rsid w:val="002B50DB"/>
    <w:rsid w:val="002B69FC"/>
    <w:rsid w:val="002C12AB"/>
    <w:rsid w:val="002C1574"/>
    <w:rsid w:val="002C3E91"/>
    <w:rsid w:val="002C7CAC"/>
    <w:rsid w:val="002D1F6C"/>
    <w:rsid w:val="002D3306"/>
    <w:rsid w:val="002D48AA"/>
    <w:rsid w:val="002D54D7"/>
    <w:rsid w:val="002D62ED"/>
    <w:rsid w:val="002D7BAA"/>
    <w:rsid w:val="002D7F54"/>
    <w:rsid w:val="002E384C"/>
    <w:rsid w:val="002E3FF4"/>
    <w:rsid w:val="002E51A8"/>
    <w:rsid w:val="002E5E97"/>
    <w:rsid w:val="002E67F6"/>
    <w:rsid w:val="002E7312"/>
    <w:rsid w:val="002F2A26"/>
    <w:rsid w:val="002F78C8"/>
    <w:rsid w:val="00300420"/>
    <w:rsid w:val="00301CF3"/>
    <w:rsid w:val="003025C5"/>
    <w:rsid w:val="00306219"/>
    <w:rsid w:val="00306D47"/>
    <w:rsid w:val="00313415"/>
    <w:rsid w:val="0032347D"/>
    <w:rsid w:val="003245B5"/>
    <w:rsid w:val="00324BAB"/>
    <w:rsid w:val="00324CEE"/>
    <w:rsid w:val="0032715C"/>
    <w:rsid w:val="0033311E"/>
    <w:rsid w:val="00337C2A"/>
    <w:rsid w:val="00337CA5"/>
    <w:rsid w:val="003409E2"/>
    <w:rsid w:val="00345B70"/>
    <w:rsid w:val="00346DE5"/>
    <w:rsid w:val="00351290"/>
    <w:rsid w:val="00361B01"/>
    <w:rsid w:val="00362478"/>
    <w:rsid w:val="003626A4"/>
    <w:rsid w:val="00362F0A"/>
    <w:rsid w:val="00371396"/>
    <w:rsid w:val="00371466"/>
    <w:rsid w:val="0037382D"/>
    <w:rsid w:val="00373B70"/>
    <w:rsid w:val="00375B25"/>
    <w:rsid w:val="0038132C"/>
    <w:rsid w:val="00381F86"/>
    <w:rsid w:val="003866B3"/>
    <w:rsid w:val="0039139D"/>
    <w:rsid w:val="003962F3"/>
    <w:rsid w:val="00396542"/>
    <w:rsid w:val="0039680E"/>
    <w:rsid w:val="0039685B"/>
    <w:rsid w:val="003A03AB"/>
    <w:rsid w:val="003A31A6"/>
    <w:rsid w:val="003A437F"/>
    <w:rsid w:val="003A7F0C"/>
    <w:rsid w:val="003A7F79"/>
    <w:rsid w:val="003B097C"/>
    <w:rsid w:val="003B145A"/>
    <w:rsid w:val="003B1B11"/>
    <w:rsid w:val="003B34E4"/>
    <w:rsid w:val="003B6404"/>
    <w:rsid w:val="003B7B28"/>
    <w:rsid w:val="003C449B"/>
    <w:rsid w:val="003C4E72"/>
    <w:rsid w:val="003D0551"/>
    <w:rsid w:val="003D21FF"/>
    <w:rsid w:val="003D24BB"/>
    <w:rsid w:val="003D3B16"/>
    <w:rsid w:val="003D693E"/>
    <w:rsid w:val="003D7957"/>
    <w:rsid w:val="003E463D"/>
    <w:rsid w:val="003F0112"/>
    <w:rsid w:val="003F071A"/>
    <w:rsid w:val="003F160B"/>
    <w:rsid w:val="003F464A"/>
    <w:rsid w:val="003F6964"/>
    <w:rsid w:val="00400032"/>
    <w:rsid w:val="00400B5B"/>
    <w:rsid w:val="00404723"/>
    <w:rsid w:val="00405A00"/>
    <w:rsid w:val="00406966"/>
    <w:rsid w:val="0042004C"/>
    <w:rsid w:val="00420870"/>
    <w:rsid w:val="00423BB6"/>
    <w:rsid w:val="0043284B"/>
    <w:rsid w:val="00432D0C"/>
    <w:rsid w:val="00433CF8"/>
    <w:rsid w:val="0043791B"/>
    <w:rsid w:val="00437DB1"/>
    <w:rsid w:val="00440264"/>
    <w:rsid w:val="004406BC"/>
    <w:rsid w:val="00440E2F"/>
    <w:rsid w:val="00441483"/>
    <w:rsid w:val="004419E9"/>
    <w:rsid w:val="00441BCB"/>
    <w:rsid w:val="00442D5A"/>
    <w:rsid w:val="00443A8B"/>
    <w:rsid w:val="0045176A"/>
    <w:rsid w:val="00456195"/>
    <w:rsid w:val="00456332"/>
    <w:rsid w:val="00461826"/>
    <w:rsid w:val="00462B4D"/>
    <w:rsid w:val="004652C4"/>
    <w:rsid w:val="004706A4"/>
    <w:rsid w:val="0047606A"/>
    <w:rsid w:val="004800F9"/>
    <w:rsid w:val="00480CF6"/>
    <w:rsid w:val="00482904"/>
    <w:rsid w:val="00482BD7"/>
    <w:rsid w:val="00486AB0"/>
    <w:rsid w:val="00490AB9"/>
    <w:rsid w:val="0049134A"/>
    <w:rsid w:val="00491470"/>
    <w:rsid w:val="00492F03"/>
    <w:rsid w:val="00493C35"/>
    <w:rsid w:val="00494059"/>
    <w:rsid w:val="004A44D6"/>
    <w:rsid w:val="004A4503"/>
    <w:rsid w:val="004A5546"/>
    <w:rsid w:val="004A58CB"/>
    <w:rsid w:val="004B0576"/>
    <w:rsid w:val="004B1795"/>
    <w:rsid w:val="004B56DD"/>
    <w:rsid w:val="004B7003"/>
    <w:rsid w:val="004B7C30"/>
    <w:rsid w:val="004B7D21"/>
    <w:rsid w:val="004C020F"/>
    <w:rsid w:val="004C1AFD"/>
    <w:rsid w:val="004C5119"/>
    <w:rsid w:val="004C558B"/>
    <w:rsid w:val="004C7065"/>
    <w:rsid w:val="004C7906"/>
    <w:rsid w:val="004C7AF6"/>
    <w:rsid w:val="004D19F7"/>
    <w:rsid w:val="004D26E8"/>
    <w:rsid w:val="004D513B"/>
    <w:rsid w:val="004D7811"/>
    <w:rsid w:val="004E1B71"/>
    <w:rsid w:val="004F0C9F"/>
    <w:rsid w:val="004F1F88"/>
    <w:rsid w:val="004F532F"/>
    <w:rsid w:val="004F5F1B"/>
    <w:rsid w:val="0050099C"/>
    <w:rsid w:val="00500EE5"/>
    <w:rsid w:val="00502374"/>
    <w:rsid w:val="00502B98"/>
    <w:rsid w:val="00503561"/>
    <w:rsid w:val="005060A1"/>
    <w:rsid w:val="00511562"/>
    <w:rsid w:val="0051204A"/>
    <w:rsid w:val="005123B1"/>
    <w:rsid w:val="00515D23"/>
    <w:rsid w:val="00516072"/>
    <w:rsid w:val="00516A24"/>
    <w:rsid w:val="00523228"/>
    <w:rsid w:val="00524791"/>
    <w:rsid w:val="00527BF8"/>
    <w:rsid w:val="00530AF8"/>
    <w:rsid w:val="005324DA"/>
    <w:rsid w:val="005332B1"/>
    <w:rsid w:val="005332EC"/>
    <w:rsid w:val="00534418"/>
    <w:rsid w:val="005353AB"/>
    <w:rsid w:val="00537F8B"/>
    <w:rsid w:val="005422C7"/>
    <w:rsid w:val="00545132"/>
    <w:rsid w:val="00545DD8"/>
    <w:rsid w:val="00545E3F"/>
    <w:rsid w:val="00547185"/>
    <w:rsid w:val="00554453"/>
    <w:rsid w:val="005560BC"/>
    <w:rsid w:val="005573BE"/>
    <w:rsid w:val="00563668"/>
    <w:rsid w:val="00571205"/>
    <w:rsid w:val="0057200A"/>
    <w:rsid w:val="00572700"/>
    <w:rsid w:val="00580468"/>
    <w:rsid w:val="00582231"/>
    <w:rsid w:val="0058603B"/>
    <w:rsid w:val="00587863"/>
    <w:rsid w:val="005906EB"/>
    <w:rsid w:val="00593E8B"/>
    <w:rsid w:val="0059431B"/>
    <w:rsid w:val="005A0CE2"/>
    <w:rsid w:val="005A39CC"/>
    <w:rsid w:val="005A7567"/>
    <w:rsid w:val="005B3CF0"/>
    <w:rsid w:val="005B4730"/>
    <w:rsid w:val="005B5499"/>
    <w:rsid w:val="005B7BC8"/>
    <w:rsid w:val="005C0C11"/>
    <w:rsid w:val="005C5824"/>
    <w:rsid w:val="005D28A1"/>
    <w:rsid w:val="005E01B0"/>
    <w:rsid w:val="005E05D7"/>
    <w:rsid w:val="005E1DD8"/>
    <w:rsid w:val="005E2A9D"/>
    <w:rsid w:val="005E41E7"/>
    <w:rsid w:val="005E450F"/>
    <w:rsid w:val="005E47F7"/>
    <w:rsid w:val="005E5BC3"/>
    <w:rsid w:val="005F1644"/>
    <w:rsid w:val="005F216C"/>
    <w:rsid w:val="005F3736"/>
    <w:rsid w:val="00601FE2"/>
    <w:rsid w:val="00603D20"/>
    <w:rsid w:val="0060440B"/>
    <w:rsid w:val="00606406"/>
    <w:rsid w:val="00607C28"/>
    <w:rsid w:val="00613509"/>
    <w:rsid w:val="00613ACB"/>
    <w:rsid w:val="00614B31"/>
    <w:rsid w:val="00616CC1"/>
    <w:rsid w:val="0062298A"/>
    <w:rsid w:val="006242F4"/>
    <w:rsid w:val="00624A0D"/>
    <w:rsid w:val="00624FDA"/>
    <w:rsid w:val="00626514"/>
    <w:rsid w:val="00626589"/>
    <w:rsid w:val="006339A0"/>
    <w:rsid w:val="006378D0"/>
    <w:rsid w:val="006413A8"/>
    <w:rsid w:val="00642E56"/>
    <w:rsid w:val="00643DE7"/>
    <w:rsid w:val="00644105"/>
    <w:rsid w:val="006452A5"/>
    <w:rsid w:val="00646069"/>
    <w:rsid w:val="00646139"/>
    <w:rsid w:val="00651537"/>
    <w:rsid w:val="00651CF4"/>
    <w:rsid w:val="00651D1E"/>
    <w:rsid w:val="00651E00"/>
    <w:rsid w:val="0065226B"/>
    <w:rsid w:val="00654461"/>
    <w:rsid w:val="00654A0D"/>
    <w:rsid w:val="0066411A"/>
    <w:rsid w:val="00667213"/>
    <w:rsid w:val="00670116"/>
    <w:rsid w:val="00670775"/>
    <w:rsid w:val="00674572"/>
    <w:rsid w:val="00677380"/>
    <w:rsid w:val="00681B98"/>
    <w:rsid w:val="00682B20"/>
    <w:rsid w:val="00683F56"/>
    <w:rsid w:val="006849D2"/>
    <w:rsid w:val="00684AAE"/>
    <w:rsid w:val="0068736C"/>
    <w:rsid w:val="00687763"/>
    <w:rsid w:val="00692B0D"/>
    <w:rsid w:val="00692EEC"/>
    <w:rsid w:val="00693E0E"/>
    <w:rsid w:val="006A1AE3"/>
    <w:rsid w:val="006A41FE"/>
    <w:rsid w:val="006A482D"/>
    <w:rsid w:val="006A57AD"/>
    <w:rsid w:val="006A5A17"/>
    <w:rsid w:val="006B13FA"/>
    <w:rsid w:val="006B2C9E"/>
    <w:rsid w:val="006B35C4"/>
    <w:rsid w:val="006C090A"/>
    <w:rsid w:val="006C0D7C"/>
    <w:rsid w:val="006C3042"/>
    <w:rsid w:val="006C30E1"/>
    <w:rsid w:val="006C4607"/>
    <w:rsid w:val="006C4E02"/>
    <w:rsid w:val="006C5AF5"/>
    <w:rsid w:val="006C5C2F"/>
    <w:rsid w:val="006D350C"/>
    <w:rsid w:val="006D366D"/>
    <w:rsid w:val="006D3E17"/>
    <w:rsid w:val="006D3FA3"/>
    <w:rsid w:val="006D48F1"/>
    <w:rsid w:val="006D528B"/>
    <w:rsid w:val="006D71E4"/>
    <w:rsid w:val="006E06FE"/>
    <w:rsid w:val="006E11CD"/>
    <w:rsid w:val="006E33F4"/>
    <w:rsid w:val="006E34C9"/>
    <w:rsid w:val="006E5E20"/>
    <w:rsid w:val="006F0C82"/>
    <w:rsid w:val="006F1FA5"/>
    <w:rsid w:val="006F45BE"/>
    <w:rsid w:val="006F4EC8"/>
    <w:rsid w:val="007004FC"/>
    <w:rsid w:val="00706670"/>
    <w:rsid w:val="0070728A"/>
    <w:rsid w:val="00711F59"/>
    <w:rsid w:val="0072417C"/>
    <w:rsid w:val="00734450"/>
    <w:rsid w:val="007350AB"/>
    <w:rsid w:val="00736B06"/>
    <w:rsid w:val="00744484"/>
    <w:rsid w:val="00745F67"/>
    <w:rsid w:val="007477B8"/>
    <w:rsid w:val="0075039E"/>
    <w:rsid w:val="00752D9D"/>
    <w:rsid w:val="00754784"/>
    <w:rsid w:val="00757C6E"/>
    <w:rsid w:val="007620E2"/>
    <w:rsid w:val="00762774"/>
    <w:rsid w:val="00762BDA"/>
    <w:rsid w:val="007649E7"/>
    <w:rsid w:val="00766715"/>
    <w:rsid w:val="00767033"/>
    <w:rsid w:val="00767209"/>
    <w:rsid w:val="007760BF"/>
    <w:rsid w:val="007800A2"/>
    <w:rsid w:val="007805FD"/>
    <w:rsid w:val="00784422"/>
    <w:rsid w:val="00792A7C"/>
    <w:rsid w:val="00797334"/>
    <w:rsid w:val="007A42D5"/>
    <w:rsid w:val="007A4B40"/>
    <w:rsid w:val="007A5EE0"/>
    <w:rsid w:val="007B3B54"/>
    <w:rsid w:val="007B3FA0"/>
    <w:rsid w:val="007C0F2C"/>
    <w:rsid w:val="007C2BCC"/>
    <w:rsid w:val="007C3A1E"/>
    <w:rsid w:val="007C4EF0"/>
    <w:rsid w:val="007C65C9"/>
    <w:rsid w:val="007D099D"/>
    <w:rsid w:val="007D3510"/>
    <w:rsid w:val="007D431C"/>
    <w:rsid w:val="007D6737"/>
    <w:rsid w:val="007E2664"/>
    <w:rsid w:val="007E3ABF"/>
    <w:rsid w:val="007E5BFA"/>
    <w:rsid w:val="007E6689"/>
    <w:rsid w:val="007E731C"/>
    <w:rsid w:val="007F0A03"/>
    <w:rsid w:val="007F369C"/>
    <w:rsid w:val="007F5BE6"/>
    <w:rsid w:val="00804758"/>
    <w:rsid w:val="00810040"/>
    <w:rsid w:val="0081556F"/>
    <w:rsid w:val="00816FEA"/>
    <w:rsid w:val="0082023A"/>
    <w:rsid w:val="00821A7A"/>
    <w:rsid w:val="00823898"/>
    <w:rsid w:val="00823ACF"/>
    <w:rsid w:val="008253F8"/>
    <w:rsid w:val="00825B9E"/>
    <w:rsid w:val="0083047C"/>
    <w:rsid w:val="008325E4"/>
    <w:rsid w:val="00832A2B"/>
    <w:rsid w:val="00832D27"/>
    <w:rsid w:val="00835614"/>
    <w:rsid w:val="00840728"/>
    <w:rsid w:val="008407E7"/>
    <w:rsid w:val="00842AC6"/>
    <w:rsid w:val="008433AF"/>
    <w:rsid w:val="00845811"/>
    <w:rsid w:val="00846994"/>
    <w:rsid w:val="00850451"/>
    <w:rsid w:val="00850B9D"/>
    <w:rsid w:val="00852042"/>
    <w:rsid w:val="008534C9"/>
    <w:rsid w:val="00853E01"/>
    <w:rsid w:val="0085599D"/>
    <w:rsid w:val="00856A27"/>
    <w:rsid w:val="00862C48"/>
    <w:rsid w:val="008657E7"/>
    <w:rsid w:val="0086784C"/>
    <w:rsid w:val="0087101B"/>
    <w:rsid w:val="00872F83"/>
    <w:rsid w:val="00874E98"/>
    <w:rsid w:val="0087510C"/>
    <w:rsid w:val="00881F10"/>
    <w:rsid w:val="008830C7"/>
    <w:rsid w:val="00884170"/>
    <w:rsid w:val="0088793B"/>
    <w:rsid w:val="00887C7D"/>
    <w:rsid w:val="008922F1"/>
    <w:rsid w:val="008939C5"/>
    <w:rsid w:val="008968D2"/>
    <w:rsid w:val="0089738E"/>
    <w:rsid w:val="008A3B1E"/>
    <w:rsid w:val="008B5FDB"/>
    <w:rsid w:val="008B7BF6"/>
    <w:rsid w:val="008C50F4"/>
    <w:rsid w:val="008C5649"/>
    <w:rsid w:val="008D6478"/>
    <w:rsid w:val="008E429A"/>
    <w:rsid w:val="008E44A2"/>
    <w:rsid w:val="008E5478"/>
    <w:rsid w:val="008E697D"/>
    <w:rsid w:val="008F05B1"/>
    <w:rsid w:val="00903263"/>
    <w:rsid w:val="00903F36"/>
    <w:rsid w:val="0090475D"/>
    <w:rsid w:val="00904F88"/>
    <w:rsid w:val="00906A21"/>
    <w:rsid w:val="009073B2"/>
    <w:rsid w:val="009079C3"/>
    <w:rsid w:val="00910462"/>
    <w:rsid w:val="00911668"/>
    <w:rsid w:val="00915A02"/>
    <w:rsid w:val="00915AB1"/>
    <w:rsid w:val="00915F9C"/>
    <w:rsid w:val="00917532"/>
    <w:rsid w:val="009235BA"/>
    <w:rsid w:val="00924023"/>
    <w:rsid w:val="00924CE2"/>
    <w:rsid w:val="00925B9F"/>
    <w:rsid w:val="00931AED"/>
    <w:rsid w:val="009339F1"/>
    <w:rsid w:val="00936C67"/>
    <w:rsid w:val="00945102"/>
    <w:rsid w:val="009476A3"/>
    <w:rsid w:val="00952433"/>
    <w:rsid w:val="00952E48"/>
    <w:rsid w:val="0095334F"/>
    <w:rsid w:val="00954D91"/>
    <w:rsid w:val="0095570F"/>
    <w:rsid w:val="00957E96"/>
    <w:rsid w:val="00965897"/>
    <w:rsid w:val="009658F4"/>
    <w:rsid w:val="00965AD8"/>
    <w:rsid w:val="0096765C"/>
    <w:rsid w:val="00971ED3"/>
    <w:rsid w:val="009727E4"/>
    <w:rsid w:val="00973FF4"/>
    <w:rsid w:val="00980A1E"/>
    <w:rsid w:val="00981921"/>
    <w:rsid w:val="009821F8"/>
    <w:rsid w:val="0098562E"/>
    <w:rsid w:val="00986AED"/>
    <w:rsid w:val="009933C2"/>
    <w:rsid w:val="009934C5"/>
    <w:rsid w:val="00994C0F"/>
    <w:rsid w:val="009A240F"/>
    <w:rsid w:val="009A2D57"/>
    <w:rsid w:val="009A421E"/>
    <w:rsid w:val="009A5206"/>
    <w:rsid w:val="009A655C"/>
    <w:rsid w:val="009A79EE"/>
    <w:rsid w:val="009B0BB9"/>
    <w:rsid w:val="009B22D7"/>
    <w:rsid w:val="009B6383"/>
    <w:rsid w:val="009B72ED"/>
    <w:rsid w:val="009C118B"/>
    <w:rsid w:val="009C3895"/>
    <w:rsid w:val="009C6DEB"/>
    <w:rsid w:val="009D394C"/>
    <w:rsid w:val="009D3D68"/>
    <w:rsid w:val="009D6504"/>
    <w:rsid w:val="009E082C"/>
    <w:rsid w:val="009E12D7"/>
    <w:rsid w:val="009E461F"/>
    <w:rsid w:val="009E661A"/>
    <w:rsid w:val="009F7AD6"/>
    <w:rsid w:val="00A06781"/>
    <w:rsid w:val="00A074C3"/>
    <w:rsid w:val="00A10E1F"/>
    <w:rsid w:val="00A1216D"/>
    <w:rsid w:val="00A12891"/>
    <w:rsid w:val="00A13E12"/>
    <w:rsid w:val="00A1509C"/>
    <w:rsid w:val="00A16CDA"/>
    <w:rsid w:val="00A23994"/>
    <w:rsid w:val="00A23BD5"/>
    <w:rsid w:val="00A249B9"/>
    <w:rsid w:val="00A24DF6"/>
    <w:rsid w:val="00A26AF4"/>
    <w:rsid w:val="00A26E74"/>
    <w:rsid w:val="00A34260"/>
    <w:rsid w:val="00A342A9"/>
    <w:rsid w:val="00A45199"/>
    <w:rsid w:val="00A47BB6"/>
    <w:rsid w:val="00A6053C"/>
    <w:rsid w:val="00A62E16"/>
    <w:rsid w:val="00A67212"/>
    <w:rsid w:val="00A70CFD"/>
    <w:rsid w:val="00A71BFF"/>
    <w:rsid w:val="00A72A0B"/>
    <w:rsid w:val="00A81C89"/>
    <w:rsid w:val="00A81E42"/>
    <w:rsid w:val="00A82A96"/>
    <w:rsid w:val="00A84338"/>
    <w:rsid w:val="00A8519E"/>
    <w:rsid w:val="00A864FE"/>
    <w:rsid w:val="00A86F41"/>
    <w:rsid w:val="00A87D04"/>
    <w:rsid w:val="00A93494"/>
    <w:rsid w:val="00A950C5"/>
    <w:rsid w:val="00AA1D25"/>
    <w:rsid w:val="00AA1E55"/>
    <w:rsid w:val="00AB2B1A"/>
    <w:rsid w:val="00AB397F"/>
    <w:rsid w:val="00AB4389"/>
    <w:rsid w:val="00AB5832"/>
    <w:rsid w:val="00AC3931"/>
    <w:rsid w:val="00AC4BC1"/>
    <w:rsid w:val="00AC4C65"/>
    <w:rsid w:val="00AC51F2"/>
    <w:rsid w:val="00AD3269"/>
    <w:rsid w:val="00AE5066"/>
    <w:rsid w:val="00AE5E24"/>
    <w:rsid w:val="00AE61B7"/>
    <w:rsid w:val="00AE6CBA"/>
    <w:rsid w:val="00AE79AD"/>
    <w:rsid w:val="00AF015F"/>
    <w:rsid w:val="00AF293F"/>
    <w:rsid w:val="00AF35E4"/>
    <w:rsid w:val="00AF408E"/>
    <w:rsid w:val="00AF5619"/>
    <w:rsid w:val="00AF5CDE"/>
    <w:rsid w:val="00AF6DAE"/>
    <w:rsid w:val="00B03737"/>
    <w:rsid w:val="00B05FA8"/>
    <w:rsid w:val="00B0719F"/>
    <w:rsid w:val="00B11A57"/>
    <w:rsid w:val="00B153F2"/>
    <w:rsid w:val="00B16EA2"/>
    <w:rsid w:val="00B211C3"/>
    <w:rsid w:val="00B22D1C"/>
    <w:rsid w:val="00B25597"/>
    <w:rsid w:val="00B267B9"/>
    <w:rsid w:val="00B30E29"/>
    <w:rsid w:val="00B33E09"/>
    <w:rsid w:val="00B34A8A"/>
    <w:rsid w:val="00B4459E"/>
    <w:rsid w:val="00B50708"/>
    <w:rsid w:val="00B50C68"/>
    <w:rsid w:val="00B51293"/>
    <w:rsid w:val="00B5161A"/>
    <w:rsid w:val="00B52B1E"/>
    <w:rsid w:val="00B55481"/>
    <w:rsid w:val="00B56C32"/>
    <w:rsid w:val="00B57ACF"/>
    <w:rsid w:val="00B61AFB"/>
    <w:rsid w:val="00B61D3D"/>
    <w:rsid w:val="00B629AA"/>
    <w:rsid w:val="00B64BB1"/>
    <w:rsid w:val="00B720ED"/>
    <w:rsid w:val="00B73166"/>
    <w:rsid w:val="00B73512"/>
    <w:rsid w:val="00B76312"/>
    <w:rsid w:val="00B768F6"/>
    <w:rsid w:val="00B82546"/>
    <w:rsid w:val="00B831C6"/>
    <w:rsid w:val="00B8426C"/>
    <w:rsid w:val="00B91B8D"/>
    <w:rsid w:val="00B94E90"/>
    <w:rsid w:val="00B97233"/>
    <w:rsid w:val="00BA0787"/>
    <w:rsid w:val="00BA4D90"/>
    <w:rsid w:val="00BB0A82"/>
    <w:rsid w:val="00BB2F3C"/>
    <w:rsid w:val="00BB4BCD"/>
    <w:rsid w:val="00BB7C94"/>
    <w:rsid w:val="00BC0A9D"/>
    <w:rsid w:val="00BC5225"/>
    <w:rsid w:val="00BD1921"/>
    <w:rsid w:val="00BD20B2"/>
    <w:rsid w:val="00BD5566"/>
    <w:rsid w:val="00BE0D28"/>
    <w:rsid w:val="00BE1264"/>
    <w:rsid w:val="00BE1AD0"/>
    <w:rsid w:val="00BE1F30"/>
    <w:rsid w:val="00BE4831"/>
    <w:rsid w:val="00BF40ED"/>
    <w:rsid w:val="00BF5BC2"/>
    <w:rsid w:val="00BF5D10"/>
    <w:rsid w:val="00BF62C4"/>
    <w:rsid w:val="00BF69D1"/>
    <w:rsid w:val="00BF7D9E"/>
    <w:rsid w:val="00C01052"/>
    <w:rsid w:val="00C022BA"/>
    <w:rsid w:val="00C1133D"/>
    <w:rsid w:val="00C13A81"/>
    <w:rsid w:val="00C157EB"/>
    <w:rsid w:val="00C1627F"/>
    <w:rsid w:val="00C173EB"/>
    <w:rsid w:val="00C24ACF"/>
    <w:rsid w:val="00C2695D"/>
    <w:rsid w:val="00C27A08"/>
    <w:rsid w:val="00C27F2C"/>
    <w:rsid w:val="00C31312"/>
    <w:rsid w:val="00C31E36"/>
    <w:rsid w:val="00C3249E"/>
    <w:rsid w:val="00C326C6"/>
    <w:rsid w:val="00C33955"/>
    <w:rsid w:val="00C35295"/>
    <w:rsid w:val="00C36467"/>
    <w:rsid w:val="00C36ADD"/>
    <w:rsid w:val="00C36E74"/>
    <w:rsid w:val="00C37E7E"/>
    <w:rsid w:val="00C40140"/>
    <w:rsid w:val="00C40595"/>
    <w:rsid w:val="00C40F3B"/>
    <w:rsid w:val="00C40FD2"/>
    <w:rsid w:val="00C41621"/>
    <w:rsid w:val="00C449FA"/>
    <w:rsid w:val="00C5384F"/>
    <w:rsid w:val="00C56964"/>
    <w:rsid w:val="00C61469"/>
    <w:rsid w:val="00C656D5"/>
    <w:rsid w:val="00C663F8"/>
    <w:rsid w:val="00C67103"/>
    <w:rsid w:val="00C67EBC"/>
    <w:rsid w:val="00C71BB9"/>
    <w:rsid w:val="00C72A37"/>
    <w:rsid w:val="00C752E6"/>
    <w:rsid w:val="00C763B9"/>
    <w:rsid w:val="00C81E3C"/>
    <w:rsid w:val="00C82D86"/>
    <w:rsid w:val="00C83375"/>
    <w:rsid w:val="00C90CAD"/>
    <w:rsid w:val="00C910E0"/>
    <w:rsid w:val="00C935BE"/>
    <w:rsid w:val="00C94C28"/>
    <w:rsid w:val="00C974EF"/>
    <w:rsid w:val="00CA0888"/>
    <w:rsid w:val="00CA14C5"/>
    <w:rsid w:val="00CA6FC2"/>
    <w:rsid w:val="00CB0247"/>
    <w:rsid w:val="00CB0AA2"/>
    <w:rsid w:val="00CB0AB2"/>
    <w:rsid w:val="00CB3440"/>
    <w:rsid w:val="00CB5F61"/>
    <w:rsid w:val="00CC154A"/>
    <w:rsid w:val="00CC1692"/>
    <w:rsid w:val="00CC379E"/>
    <w:rsid w:val="00CC4218"/>
    <w:rsid w:val="00CC53A5"/>
    <w:rsid w:val="00CD072B"/>
    <w:rsid w:val="00CD1184"/>
    <w:rsid w:val="00CD138B"/>
    <w:rsid w:val="00CD1640"/>
    <w:rsid w:val="00CD3E31"/>
    <w:rsid w:val="00CD451F"/>
    <w:rsid w:val="00CD64FC"/>
    <w:rsid w:val="00CD6E4B"/>
    <w:rsid w:val="00CD6EE4"/>
    <w:rsid w:val="00CD74A3"/>
    <w:rsid w:val="00CE0527"/>
    <w:rsid w:val="00CE2A55"/>
    <w:rsid w:val="00CE3F42"/>
    <w:rsid w:val="00CE5B23"/>
    <w:rsid w:val="00CE7285"/>
    <w:rsid w:val="00CE7B48"/>
    <w:rsid w:val="00CF2263"/>
    <w:rsid w:val="00CF3382"/>
    <w:rsid w:val="00CF4D30"/>
    <w:rsid w:val="00CF70AD"/>
    <w:rsid w:val="00CF7729"/>
    <w:rsid w:val="00CF791D"/>
    <w:rsid w:val="00D00059"/>
    <w:rsid w:val="00D02FB4"/>
    <w:rsid w:val="00D03AA4"/>
    <w:rsid w:val="00D0607B"/>
    <w:rsid w:val="00D107FA"/>
    <w:rsid w:val="00D12275"/>
    <w:rsid w:val="00D12766"/>
    <w:rsid w:val="00D161AB"/>
    <w:rsid w:val="00D16C80"/>
    <w:rsid w:val="00D20FF4"/>
    <w:rsid w:val="00D2175A"/>
    <w:rsid w:val="00D24D2C"/>
    <w:rsid w:val="00D27A9F"/>
    <w:rsid w:val="00D32450"/>
    <w:rsid w:val="00D35881"/>
    <w:rsid w:val="00D36F75"/>
    <w:rsid w:val="00D4008E"/>
    <w:rsid w:val="00D43592"/>
    <w:rsid w:val="00D518F8"/>
    <w:rsid w:val="00D53B59"/>
    <w:rsid w:val="00D57D99"/>
    <w:rsid w:val="00D601B9"/>
    <w:rsid w:val="00D64C27"/>
    <w:rsid w:val="00D653DC"/>
    <w:rsid w:val="00D66DE1"/>
    <w:rsid w:val="00D72CF3"/>
    <w:rsid w:val="00D74961"/>
    <w:rsid w:val="00D801E5"/>
    <w:rsid w:val="00D841B4"/>
    <w:rsid w:val="00D90113"/>
    <w:rsid w:val="00D92D9B"/>
    <w:rsid w:val="00DA1C04"/>
    <w:rsid w:val="00DA2A83"/>
    <w:rsid w:val="00DA6002"/>
    <w:rsid w:val="00DA7DA5"/>
    <w:rsid w:val="00DB073B"/>
    <w:rsid w:val="00DB3343"/>
    <w:rsid w:val="00DB553C"/>
    <w:rsid w:val="00DB78F0"/>
    <w:rsid w:val="00DC0CEA"/>
    <w:rsid w:val="00DC2E43"/>
    <w:rsid w:val="00DC35C3"/>
    <w:rsid w:val="00DC47A4"/>
    <w:rsid w:val="00DC4AD0"/>
    <w:rsid w:val="00DC78E5"/>
    <w:rsid w:val="00DD013A"/>
    <w:rsid w:val="00DD095C"/>
    <w:rsid w:val="00DD1020"/>
    <w:rsid w:val="00DD1330"/>
    <w:rsid w:val="00DD41F2"/>
    <w:rsid w:val="00DD4FE5"/>
    <w:rsid w:val="00DD7C0A"/>
    <w:rsid w:val="00DE0323"/>
    <w:rsid w:val="00DE09D9"/>
    <w:rsid w:val="00DE0B83"/>
    <w:rsid w:val="00DE1A81"/>
    <w:rsid w:val="00DE1C13"/>
    <w:rsid w:val="00DE2E62"/>
    <w:rsid w:val="00DE4611"/>
    <w:rsid w:val="00DE4E10"/>
    <w:rsid w:val="00DE7A44"/>
    <w:rsid w:val="00DF1A9C"/>
    <w:rsid w:val="00DF516D"/>
    <w:rsid w:val="00E02ABF"/>
    <w:rsid w:val="00E03C0F"/>
    <w:rsid w:val="00E05102"/>
    <w:rsid w:val="00E07B4A"/>
    <w:rsid w:val="00E105C9"/>
    <w:rsid w:val="00E14995"/>
    <w:rsid w:val="00E15047"/>
    <w:rsid w:val="00E15915"/>
    <w:rsid w:val="00E179CD"/>
    <w:rsid w:val="00E20086"/>
    <w:rsid w:val="00E23E8D"/>
    <w:rsid w:val="00E30A11"/>
    <w:rsid w:val="00E3461D"/>
    <w:rsid w:val="00E34919"/>
    <w:rsid w:val="00E34A3D"/>
    <w:rsid w:val="00E37F98"/>
    <w:rsid w:val="00E407C8"/>
    <w:rsid w:val="00E41A82"/>
    <w:rsid w:val="00E4454E"/>
    <w:rsid w:val="00E45E3B"/>
    <w:rsid w:val="00E46559"/>
    <w:rsid w:val="00E46925"/>
    <w:rsid w:val="00E50338"/>
    <w:rsid w:val="00E528BB"/>
    <w:rsid w:val="00E52ABE"/>
    <w:rsid w:val="00E5608C"/>
    <w:rsid w:val="00E62DB9"/>
    <w:rsid w:val="00E64BBD"/>
    <w:rsid w:val="00E6670C"/>
    <w:rsid w:val="00E75F3E"/>
    <w:rsid w:val="00E76B73"/>
    <w:rsid w:val="00E776E8"/>
    <w:rsid w:val="00E907CF"/>
    <w:rsid w:val="00E92C1F"/>
    <w:rsid w:val="00E93F28"/>
    <w:rsid w:val="00E95D4B"/>
    <w:rsid w:val="00E967FE"/>
    <w:rsid w:val="00E96CCE"/>
    <w:rsid w:val="00E97ACF"/>
    <w:rsid w:val="00EA12DA"/>
    <w:rsid w:val="00EA4270"/>
    <w:rsid w:val="00EB199F"/>
    <w:rsid w:val="00EB3F46"/>
    <w:rsid w:val="00EB5522"/>
    <w:rsid w:val="00EB6E39"/>
    <w:rsid w:val="00EC23F7"/>
    <w:rsid w:val="00EC4BD8"/>
    <w:rsid w:val="00EC63EB"/>
    <w:rsid w:val="00EC755B"/>
    <w:rsid w:val="00ED33CD"/>
    <w:rsid w:val="00ED412F"/>
    <w:rsid w:val="00ED5C5A"/>
    <w:rsid w:val="00ED6E87"/>
    <w:rsid w:val="00ED7366"/>
    <w:rsid w:val="00EE4417"/>
    <w:rsid w:val="00EE562A"/>
    <w:rsid w:val="00EE6991"/>
    <w:rsid w:val="00EF1421"/>
    <w:rsid w:val="00EF1E23"/>
    <w:rsid w:val="00EF36B2"/>
    <w:rsid w:val="00EF51C1"/>
    <w:rsid w:val="00EF68EA"/>
    <w:rsid w:val="00F00A8B"/>
    <w:rsid w:val="00F0392E"/>
    <w:rsid w:val="00F06F09"/>
    <w:rsid w:val="00F1246B"/>
    <w:rsid w:val="00F1284F"/>
    <w:rsid w:val="00F1600C"/>
    <w:rsid w:val="00F201EC"/>
    <w:rsid w:val="00F208A9"/>
    <w:rsid w:val="00F23BFE"/>
    <w:rsid w:val="00F24BFF"/>
    <w:rsid w:val="00F258A4"/>
    <w:rsid w:val="00F300AB"/>
    <w:rsid w:val="00F33A46"/>
    <w:rsid w:val="00F34610"/>
    <w:rsid w:val="00F34B3A"/>
    <w:rsid w:val="00F37C42"/>
    <w:rsid w:val="00F41D75"/>
    <w:rsid w:val="00F43866"/>
    <w:rsid w:val="00F44F01"/>
    <w:rsid w:val="00F47F8C"/>
    <w:rsid w:val="00F5139D"/>
    <w:rsid w:val="00F54705"/>
    <w:rsid w:val="00F55E16"/>
    <w:rsid w:val="00F56A67"/>
    <w:rsid w:val="00F61F72"/>
    <w:rsid w:val="00F6386B"/>
    <w:rsid w:val="00F63DAC"/>
    <w:rsid w:val="00F7454F"/>
    <w:rsid w:val="00F75887"/>
    <w:rsid w:val="00F77988"/>
    <w:rsid w:val="00F77F48"/>
    <w:rsid w:val="00F80CB8"/>
    <w:rsid w:val="00F856D6"/>
    <w:rsid w:val="00F925D9"/>
    <w:rsid w:val="00FA1ABA"/>
    <w:rsid w:val="00FA1ED5"/>
    <w:rsid w:val="00FA6C09"/>
    <w:rsid w:val="00FA7BF7"/>
    <w:rsid w:val="00FB30F1"/>
    <w:rsid w:val="00FB53E7"/>
    <w:rsid w:val="00FC077C"/>
    <w:rsid w:val="00FC17B7"/>
    <w:rsid w:val="00FC3866"/>
    <w:rsid w:val="00FC5DC0"/>
    <w:rsid w:val="00FD2A8A"/>
    <w:rsid w:val="00FE24C5"/>
    <w:rsid w:val="00FE2966"/>
    <w:rsid w:val="00FF4005"/>
    <w:rsid w:val="00FF525C"/>
    <w:rsid w:val="00FF5955"/>
    <w:rsid w:val="00FF71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currency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4">
    <w:name w:val="heading 4"/>
    <w:basedOn w:val="Normal"/>
    <w:link w:val="Heading4Char"/>
    <w:uiPriority w:val="9"/>
    <w:qFormat/>
    <w:rsid w:val="00A16CDA"/>
    <w:pPr>
      <w:spacing w:before="100" w:beforeAutospacing="1" w:after="100" w:afterAutospacing="1"/>
      <w:outlineLvl w:val="3"/>
    </w:pPr>
    <w:rPr>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rsid w:val="00524791"/>
    <w:pPr>
      <w:spacing w:before="100" w:beforeAutospacing="1" w:after="100" w:afterAutospacing="1"/>
    </w:pPr>
    <w:rPr>
      <w:rFonts w:ascii="Verdana" w:hAnsi="Verdana"/>
      <w:sz w:val="18"/>
      <w:szCs w:val="18"/>
      <w:lang w:val="en-GB" w:eastAsia="en-GB"/>
    </w:rPr>
  </w:style>
  <w:style w:type="paragraph" w:customStyle="1" w:styleId="Bezatstarpm">
    <w:name w:val="Bez atstarpēm"/>
    <w:uiPriority w:val="1"/>
    <w:qFormat/>
    <w:rsid w:val="00FC17B7"/>
    <w:rPr>
      <w:rFonts w:ascii="Calibri" w:eastAsia="Calibri" w:hAnsi="Calibri"/>
      <w:sz w:val="22"/>
      <w:szCs w:val="22"/>
      <w:lang w:eastAsia="en-US"/>
    </w:rPr>
  </w:style>
  <w:style w:type="character" w:customStyle="1" w:styleId="Heading4Char">
    <w:name w:val="Heading 4 Char"/>
    <w:link w:val="Heading4"/>
    <w:uiPriority w:val="9"/>
    <w:rsid w:val="00A16CDA"/>
    <w:rPr>
      <w:b/>
      <w:bCs/>
      <w:color w:val="000000"/>
      <w:sz w:val="24"/>
      <w:szCs w:val="24"/>
    </w:rPr>
  </w:style>
  <w:style w:type="paragraph" w:customStyle="1" w:styleId="StyleRight">
    <w:name w:val="Style Right"/>
    <w:basedOn w:val="Normal"/>
    <w:rsid w:val="00BF69D1"/>
    <w:pPr>
      <w:spacing w:after="120"/>
      <w:ind w:firstLine="720"/>
      <w:jc w:val="right"/>
    </w:pPr>
    <w:rPr>
      <w:sz w:val="28"/>
      <w:szCs w:val="28"/>
      <w:lang w:eastAsia="en-US"/>
    </w:rPr>
  </w:style>
  <w:style w:type="paragraph" w:customStyle="1" w:styleId="Sarakstarindkopa">
    <w:name w:val="Saraksta rindkopa"/>
    <w:basedOn w:val="Normal"/>
    <w:uiPriority w:val="34"/>
    <w:qFormat/>
    <w:rsid w:val="00A342A9"/>
    <w:pPr>
      <w:spacing w:before="100" w:beforeAutospacing="1" w:after="100" w:afterAutospacing="1"/>
    </w:pPr>
    <w:rPr>
      <w:color w:val="000000"/>
    </w:rPr>
  </w:style>
  <w:style w:type="paragraph" w:styleId="BodyText">
    <w:name w:val="Body Text"/>
    <w:basedOn w:val="Normal"/>
    <w:rsid w:val="006C5AF5"/>
    <w:pPr>
      <w:jc w:val="both"/>
    </w:pPr>
    <w:rPr>
      <w:lang w:eastAsia="en-US"/>
    </w:rPr>
  </w:style>
  <w:style w:type="paragraph" w:customStyle="1" w:styleId="EntEmet">
    <w:name w:val="EntEmet"/>
    <w:basedOn w:val="Normal"/>
    <w:rsid w:val="00C40140"/>
    <w:pPr>
      <w:widowControl w:val="0"/>
      <w:tabs>
        <w:tab w:val="left" w:pos="284"/>
        <w:tab w:val="left" w:pos="567"/>
        <w:tab w:val="left" w:pos="851"/>
        <w:tab w:val="left" w:pos="1134"/>
        <w:tab w:val="left" w:pos="1418"/>
      </w:tabs>
      <w:suppressAutoHyphens/>
      <w:spacing w:before="40"/>
    </w:pPr>
    <w:rPr>
      <w:szCs w:val="20"/>
      <w:lang w:val="en-GB" w:eastAsia="ar-SA"/>
    </w:rPr>
  </w:style>
  <w:style w:type="paragraph" w:customStyle="1" w:styleId="tv2131">
    <w:name w:val="tv2131"/>
    <w:basedOn w:val="Normal"/>
    <w:rsid w:val="00D16C80"/>
    <w:pPr>
      <w:spacing w:before="240" w:line="360" w:lineRule="auto"/>
      <w:ind w:firstLine="300"/>
      <w:jc w:val="both"/>
    </w:pPr>
    <w:rPr>
      <w:rFonts w:ascii="Verdana" w:hAnsi="Verdana"/>
      <w:sz w:val="18"/>
      <w:szCs w:val="18"/>
    </w:rPr>
  </w:style>
  <w:style w:type="paragraph" w:customStyle="1" w:styleId="tv2121">
    <w:name w:val="tv2121"/>
    <w:basedOn w:val="Normal"/>
    <w:rsid w:val="00EF1E23"/>
    <w:pPr>
      <w:spacing w:before="400" w:line="360" w:lineRule="auto"/>
      <w:jc w:val="center"/>
    </w:pPr>
    <w:rPr>
      <w:rFonts w:ascii="Verdana" w:hAnsi="Verdana"/>
      <w:b/>
      <w:bCs/>
      <w:sz w:val="20"/>
      <w:szCs w:val="20"/>
    </w:rPr>
  </w:style>
  <w:style w:type="paragraph" w:customStyle="1" w:styleId="tv213">
    <w:name w:val="tv213"/>
    <w:basedOn w:val="Normal"/>
    <w:rsid w:val="005422C7"/>
    <w:pPr>
      <w:spacing w:before="100" w:beforeAutospacing="1" w:after="100" w:afterAutospacing="1"/>
    </w:pPr>
  </w:style>
  <w:style w:type="paragraph" w:customStyle="1" w:styleId="tvhtml1">
    <w:name w:val="tv_html1"/>
    <w:basedOn w:val="Normal"/>
    <w:rsid w:val="00EB5522"/>
    <w:pPr>
      <w:spacing w:before="100" w:beforeAutospacing="1" w:line="360" w:lineRule="auto"/>
    </w:pPr>
    <w:rPr>
      <w:rFonts w:ascii="Verdana" w:hAnsi="Verdana"/>
      <w:sz w:val="18"/>
      <w:szCs w:val="18"/>
    </w:rPr>
  </w:style>
  <w:style w:type="paragraph" w:styleId="ListParagraph">
    <w:name w:val="List Paragraph"/>
    <w:basedOn w:val="Normal"/>
    <w:uiPriority w:val="34"/>
    <w:qFormat/>
    <w:rsid w:val="00CD6E4B"/>
    <w:pPr>
      <w:ind w:left="720"/>
      <w:contextualSpacing/>
    </w:pPr>
    <w:rPr>
      <w:rFonts w:asciiTheme="minorHAnsi" w:eastAsiaTheme="minorHAnsi" w:hAnsiTheme="minorHAnsi"/>
      <w:lang w:eastAsia="en-US"/>
    </w:rPr>
  </w:style>
  <w:style w:type="character" w:customStyle="1" w:styleId="spelle">
    <w:name w:val="spelle"/>
    <w:basedOn w:val="DefaultParagraphFont"/>
    <w:rsid w:val="00CD6E4B"/>
  </w:style>
  <w:style w:type="paragraph" w:customStyle="1" w:styleId="doc-ti">
    <w:name w:val="doc-ti"/>
    <w:basedOn w:val="Normal"/>
    <w:rsid w:val="00B30E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4">
    <w:name w:val="heading 4"/>
    <w:basedOn w:val="Normal"/>
    <w:link w:val="Heading4Char"/>
    <w:uiPriority w:val="9"/>
    <w:qFormat/>
    <w:rsid w:val="00A16CDA"/>
    <w:pPr>
      <w:spacing w:before="100" w:beforeAutospacing="1" w:after="100" w:afterAutospacing="1"/>
      <w:outlineLvl w:val="3"/>
    </w:pPr>
    <w:rPr>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rsid w:val="00524791"/>
    <w:pPr>
      <w:spacing w:before="100" w:beforeAutospacing="1" w:after="100" w:afterAutospacing="1"/>
    </w:pPr>
    <w:rPr>
      <w:rFonts w:ascii="Verdana" w:hAnsi="Verdana"/>
      <w:sz w:val="18"/>
      <w:szCs w:val="18"/>
      <w:lang w:val="en-GB" w:eastAsia="en-GB"/>
    </w:rPr>
  </w:style>
  <w:style w:type="paragraph" w:customStyle="1" w:styleId="Bezatstarpm">
    <w:name w:val="Bez atstarpēm"/>
    <w:uiPriority w:val="1"/>
    <w:qFormat/>
    <w:rsid w:val="00FC17B7"/>
    <w:rPr>
      <w:rFonts w:ascii="Calibri" w:eastAsia="Calibri" w:hAnsi="Calibri"/>
      <w:sz w:val="22"/>
      <w:szCs w:val="22"/>
      <w:lang w:eastAsia="en-US"/>
    </w:rPr>
  </w:style>
  <w:style w:type="character" w:customStyle="1" w:styleId="Heading4Char">
    <w:name w:val="Heading 4 Char"/>
    <w:link w:val="Heading4"/>
    <w:uiPriority w:val="9"/>
    <w:rsid w:val="00A16CDA"/>
    <w:rPr>
      <w:b/>
      <w:bCs/>
      <w:color w:val="000000"/>
      <w:sz w:val="24"/>
      <w:szCs w:val="24"/>
    </w:rPr>
  </w:style>
  <w:style w:type="paragraph" w:customStyle="1" w:styleId="StyleRight">
    <w:name w:val="Style Right"/>
    <w:basedOn w:val="Normal"/>
    <w:rsid w:val="00BF69D1"/>
    <w:pPr>
      <w:spacing w:after="120"/>
      <w:ind w:firstLine="720"/>
      <w:jc w:val="right"/>
    </w:pPr>
    <w:rPr>
      <w:sz w:val="28"/>
      <w:szCs w:val="28"/>
      <w:lang w:eastAsia="en-US"/>
    </w:rPr>
  </w:style>
  <w:style w:type="paragraph" w:customStyle="1" w:styleId="Sarakstarindkopa">
    <w:name w:val="Saraksta rindkopa"/>
    <w:basedOn w:val="Normal"/>
    <w:uiPriority w:val="34"/>
    <w:qFormat/>
    <w:rsid w:val="00A342A9"/>
    <w:pPr>
      <w:spacing w:before="100" w:beforeAutospacing="1" w:after="100" w:afterAutospacing="1"/>
    </w:pPr>
    <w:rPr>
      <w:color w:val="000000"/>
    </w:rPr>
  </w:style>
  <w:style w:type="paragraph" w:styleId="BodyText">
    <w:name w:val="Body Text"/>
    <w:basedOn w:val="Normal"/>
    <w:rsid w:val="006C5AF5"/>
    <w:pPr>
      <w:jc w:val="both"/>
    </w:pPr>
    <w:rPr>
      <w:lang w:eastAsia="en-US"/>
    </w:rPr>
  </w:style>
  <w:style w:type="paragraph" w:customStyle="1" w:styleId="EntEmet">
    <w:name w:val="EntEmet"/>
    <w:basedOn w:val="Normal"/>
    <w:rsid w:val="00C40140"/>
    <w:pPr>
      <w:widowControl w:val="0"/>
      <w:tabs>
        <w:tab w:val="left" w:pos="284"/>
        <w:tab w:val="left" w:pos="567"/>
        <w:tab w:val="left" w:pos="851"/>
        <w:tab w:val="left" w:pos="1134"/>
        <w:tab w:val="left" w:pos="1418"/>
      </w:tabs>
      <w:suppressAutoHyphens/>
      <w:spacing w:before="40"/>
    </w:pPr>
    <w:rPr>
      <w:szCs w:val="20"/>
      <w:lang w:val="en-GB" w:eastAsia="ar-SA"/>
    </w:rPr>
  </w:style>
  <w:style w:type="paragraph" w:customStyle="1" w:styleId="tv2131">
    <w:name w:val="tv2131"/>
    <w:basedOn w:val="Normal"/>
    <w:rsid w:val="00D16C80"/>
    <w:pPr>
      <w:spacing w:before="240" w:line="360" w:lineRule="auto"/>
      <w:ind w:firstLine="300"/>
      <w:jc w:val="both"/>
    </w:pPr>
    <w:rPr>
      <w:rFonts w:ascii="Verdana" w:hAnsi="Verdana"/>
      <w:sz w:val="18"/>
      <w:szCs w:val="18"/>
    </w:rPr>
  </w:style>
  <w:style w:type="paragraph" w:customStyle="1" w:styleId="tv2121">
    <w:name w:val="tv2121"/>
    <w:basedOn w:val="Normal"/>
    <w:rsid w:val="00EF1E23"/>
    <w:pPr>
      <w:spacing w:before="400" w:line="360" w:lineRule="auto"/>
      <w:jc w:val="center"/>
    </w:pPr>
    <w:rPr>
      <w:rFonts w:ascii="Verdana" w:hAnsi="Verdana"/>
      <w:b/>
      <w:bCs/>
      <w:sz w:val="20"/>
      <w:szCs w:val="20"/>
    </w:rPr>
  </w:style>
  <w:style w:type="paragraph" w:customStyle="1" w:styleId="tv213">
    <w:name w:val="tv213"/>
    <w:basedOn w:val="Normal"/>
    <w:rsid w:val="005422C7"/>
    <w:pPr>
      <w:spacing w:before="100" w:beforeAutospacing="1" w:after="100" w:afterAutospacing="1"/>
    </w:pPr>
  </w:style>
  <w:style w:type="paragraph" w:customStyle="1" w:styleId="tvhtml1">
    <w:name w:val="tv_html1"/>
    <w:basedOn w:val="Normal"/>
    <w:rsid w:val="00EB5522"/>
    <w:pPr>
      <w:spacing w:before="100" w:beforeAutospacing="1" w:line="360" w:lineRule="auto"/>
    </w:pPr>
    <w:rPr>
      <w:rFonts w:ascii="Verdana" w:hAnsi="Verdana"/>
      <w:sz w:val="18"/>
      <w:szCs w:val="18"/>
    </w:rPr>
  </w:style>
  <w:style w:type="paragraph" w:styleId="ListParagraph">
    <w:name w:val="List Paragraph"/>
    <w:basedOn w:val="Normal"/>
    <w:uiPriority w:val="34"/>
    <w:qFormat/>
    <w:rsid w:val="00CD6E4B"/>
    <w:pPr>
      <w:ind w:left="720"/>
      <w:contextualSpacing/>
    </w:pPr>
    <w:rPr>
      <w:rFonts w:asciiTheme="minorHAnsi" w:eastAsiaTheme="minorHAnsi" w:hAnsiTheme="minorHAnsi"/>
      <w:lang w:eastAsia="en-US"/>
    </w:rPr>
  </w:style>
  <w:style w:type="character" w:customStyle="1" w:styleId="spelle">
    <w:name w:val="spelle"/>
    <w:basedOn w:val="DefaultParagraphFont"/>
    <w:rsid w:val="00CD6E4B"/>
  </w:style>
  <w:style w:type="paragraph" w:customStyle="1" w:styleId="doc-ti">
    <w:name w:val="doc-ti"/>
    <w:basedOn w:val="Normal"/>
    <w:rsid w:val="00B30E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3318">
      <w:bodyDiv w:val="1"/>
      <w:marLeft w:val="0"/>
      <w:marRight w:val="0"/>
      <w:marTop w:val="0"/>
      <w:marBottom w:val="0"/>
      <w:divBdr>
        <w:top w:val="none" w:sz="0" w:space="0" w:color="auto"/>
        <w:left w:val="none" w:sz="0" w:space="0" w:color="auto"/>
        <w:bottom w:val="none" w:sz="0" w:space="0" w:color="auto"/>
        <w:right w:val="none" w:sz="0" w:space="0" w:color="auto"/>
      </w:divBdr>
    </w:div>
    <w:div w:id="101149143">
      <w:bodyDiv w:val="1"/>
      <w:marLeft w:val="0"/>
      <w:marRight w:val="0"/>
      <w:marTop w:val="0"/>
      <w:marBottom w:val="0"/>
      <w:divBdr>
        <w:top w:val="none" w:sz="0" w:space="0" w:color="auto"/>
        <w:left w:val="none" w:sz="0" w:space="0" w:color="auto"/>
        <w:bottom w:val="none" w:sz="0" w:space="0" w:color="auto"/>
        <w:right w:val="none" w:sz="0" w:space="0" w:color="auto"/>
      </w:divBdr>
      <w:divsChild>
        <w:div w:id="502862275">
          <w:marLeft w:val="0"/>
          <w:marRight w:val="0"/>
          <w:marTop w:val="0"/>
          <w:marBottom w:val="0"/>
          <w:divBdr>
            <w:top w:val="none" w:sz="0" w:space="0" w:color="auto"/>
            <w:left w:val="none" w:sz="0" w:space="0" w:color="auto"/>
            <w:bottom w:val="none" w:sz="0" w:space="0" w:color="auto"/>
            <w:right w:val="none" w:sz="0" w:space="0" w:color="auto"/>
          </w:divBdr>
          <w:divsChild>
            <w:div w:id="11568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96381">
      <w:bodyDiv w:val="1"/>
      <w:marLeft w:val="0"/>
      <w:marRight w:val="0"/>
      <w:marTop w:val="0"/>
      <w:marBottom w:val="0"/>
      <w:divBdr>
        <w:top w:val="none" w:sz="0" w:space="0" w:color="auto"/>
        <w:left w:val="none" w:sz="0" w:space="0" w:color="auto"/>
        <w:bottom w:val="none" w:sz="0" w:space="0" w:color="auto"/>
        <w:right w:val="none" w:sz="0" w:space="0" w:color="auto"/>
      </w:divBdr>
      <w:divsChild>
        <w:div w:id="182458785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16962124">
      <w:bodyDiv w:val="1"/>
      <w:marLeft w:val="0"/>
      <w:marRight w:val="0"/>
      <w:marTop w:val="0"/>
      <w:marBottom w:val="0"/>
      <w:divBdr>
        <w:top w:val="none" w:sz="0" w:space="0" w:color="auto"/>
        <w:left w:val="none" w:sz="0" w:space="0" w:color="auto"/>
        <w:bottom w:val="none" w:sz="0" w:space="0" w:color="auto"/>
        <w:right w:val="none" w:sz="0" w:space="0" w:color="auto"/>
      </w:divBdr>
      <w:divsChild>
        <w:div w:id="1375084961">
          <w:marLeft w:val="0"/>
          <w:marRight w:val="0"/>
          <w:marTop w:val="0"/>
          <w:marBottom w:val="0"/>
          <w:divBdr>
            <w:top w:val="none" w:sz="0" w:space="0" w:color="auto"/>
            <w:left w:val="none" w:sz="0" w:space="0" w:color="auto"/>
            <w:bottom w:val="none" w:sz="0" w:space="0" w:color="auto"/>
            <w:right w:val="none" w:sz="0" w:space="0" w:color="auto"/>
          </w:divBdr>
          <w:divsChild>
            <w:div w:id="8207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7835">
      <w:bodyDiv w:val="1"/>
      <w:marLeft w:val="45"/>
      <w:marRight w:val="45"/>
      <w:marTop w:val="90"/>
      <w:marBottom w:val="90"/>
      <w:divBdr>
        <w:top w:val="none" w:sz="0" w:space="0" w:color="auto"/>
        <w:left w:val="none" w:sz="0" w:space="0" w:color="auto"/>
        <w:bottom w:val="none" w:sz="0" w:space="0" w:color="auto"/>
        <w:right w:val="none" w:sz="0" w:space="0" w:color="auto"/>
      </w:divBdr>
      <w:divsChild>
        <w:div w:id="503788732">
          <w:marLeft w:val="0"/>
          <w:marRight w:val="0"/>
          <w:marTop w:val="240"/>
          <w:marBottom w:val="0"/>
          <w:divBdr>
            <w:top w:val="none" w:sz="0" w:space="0" w:color="auto"/>
            <w:left w:val="none" w:sz="0" w:space="0" w:color="auto"/>
            <w:bottom w:val="none" w:sz="0" w:space="0" w:color="auto"/>
            <w:right w:val="none" w:sz="0" w:space="0" w:color="auto"/>
          </w:divBdr>
          <w:divsChild>
            <w:div w:id="1511018015">
              <w:marLeft w:val="0"/>
              <w:marRight w:val="0"/>
              <w:marTop w:val="45"/>
              <w:marBottom w:val="0"/>
              <w:divBdr>
                <w:top w:val="none" w:sz="0" w:space="0" w:color="auto"/>
                <w:left w:val="none" w:sz="0" w:space="0" w:color="auto"/>
                <w:bottom w:val="none" w:sz="0" w:space="0" w:color="auto"/>
                <w:right w:val="none" w:sz="0" w:space="0" w:color="auto"/>
              </w:divBdr>
            </w:div>
          </w:divsChild>
        </w:div>
        <w:div w:id="975720685">
          <w:marLeft w:val="0"/>
          <w:marRight w:val="0"/>
          <w:marTop w:val="240"/>
          <w:marBottom w:val="0"/>
          <w:divBdr>
            <w:top w:val="none" w:sz="0" w:space="0" w:color="auto"/>
            <w:left w:val="none" w:sz="0" w:space="0" w:color="auto"/>
            <w:bottom w:val="none" w:sz="0" w:space="0" w:color="auto"/>
            <w:right w:val="none" w:sz="0" w:space="0" w:color="auto"/>
          </w:divBdr>
        </w:div>
      </w:divsChild>
    </w:div>
    <w:div w:id="1196697096">
      <w:bodyDiv w:val="1"/>
      <w:marLeft w:val="0"/>
      <w:marRight w:val="0"/>
      <w:marTop w:val="0"/>
      <w:marBottom w:val="0"/>
      <w:divBdr>
        <w:top w:val="none" w:sz="0" w:space="0" w:color="auto"/>
        <w:left w:val="none" w:sz="0" w:space="0" w:color="auto"/>
        <w:bottom w:val="none" w:sz="0" w:space="0" w:color="auto"/>
        <w:right w:val="none" w:sz="0" w:space="0" w:color="auto"/>
      </w:divBdr>
    </w:div>
    <w:div w:id="17272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C92A4-26DB-414D-AAA7-9F3D5C00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9949</Words>
  <Characters>5672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Likumprojekts "Grozījumi likumā "Par aviāciju"</vt:lpstr>
    </vt:vector>
  </TitlesOfParts>
  <Company>VA "Civilās aviācijas aģentūra"</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aviāciju"</dc:title>
  <dc:subject>Sākotnējās ietekmes novērtējuma ziņojums (anotācija)</dc:subject>
  <dc:creator>Māris Andžāns</dc:creator>
  <dc:description>maris.andzans@latcaa.gov.lv; 20690636</dc:description>
  <cp:lastModifiedBy>Ivars Mekons</cp:lastModifiedBy>
  <cp:revision>3</cp:revision>
  <cp:lastPrinted>2014-08-11T11:46:00Z</cp:lastPrinted>
  <dcterms:created xsi:type="dcterms:W3CDTF">2015-04-02T06:55:00Z</dcterms:created>
  <dcterms:modified xsi:type="dcterms:W3CDTF">2015-04-02T07:46:00Z</dcterms:modified>
  <cp:category>Transporta un sakaru politika</cp:category>
</cp:coreProperties>
</file>