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8D" w:rsidRDefault="0098278D" w:rsidP="003624C4">
      <w:pPr>
        <w:pStyle w:val="naisc"/>
        <w:spacing w:before="0" w:after="0"/>
        <w:jc w:val="center"/>
        <w:rPr>
          <w:b/>
          <w:bCs/>
          <w:sz w:val="28"/>
          <w:szCs w:val="28"/>
        </w:rPr>
      </w:pPr>
      <w:r w:rsidRPr="002C76FA">
        <w:rPr>
          <w:b/>
          <w:sz w:val="28"/>
          <w:szCs w:val="28"/>
        </w:rPr>
        <w:t xml:space="preserve">Ministru kabineta </w:t>
      </w:r>
      <w:r>
        <w:rPr>
          <w:b/>
          <w:sz w:val="28"/>
          <w:szCs w:val="28"/>
        </w:rPr>
        <w:t>rīkojuma</w:t>
      </w:r>
      <w:r w:rsidRPr="002C76FA">
        <w:rPr>
          <w:b/>
          <w:sz w:val="28"/>
          <w:szCs w:val="28"/>
        </w:rPr>
        <w:t xml:space="preserve"> projekta „</w:t>
      </w:r>
      <w:r w:rsidRPr="009D7A4C">
        <w:rPr>
          <w:b/>
          <w:sz w:val="28"/>
          <w:szCs w:val="28"/>
        </w:rPr>
        <w:t xml:space="preserve">Par </w:t>
      </w:r>
      <w:r w:rsidR="0098229E">
        <w:rPr>
          <w:b/>
          <w:sz w:val="28"/>
          <w:szCs w:val="28"/>
        </w:rPr>
        <w:t>atteikumu atvērt studiju virzienu</w:t>
      </w:r>
      <w:r w:rsidR="00334288">
        <w:rPr>
          <w:b/>
          <w:sz w:val="28"/>
          <w:szCs w:val="28"/>
        </w:rPr>
        <w:t xml:space="preserve"> “Sociālā labklājība”</w:t>
      </w:r>
      <w:r w:rsidR="0098229E">
        <w:rPr>
          <w:b/>
          <w:sz w:val="28"/>
          <w:szCs w:val="28"/>
        </w:rPr>
        <w:t xml:space="preserve"> </w:t>
      </w:r>
      <w:r>
        <w:rPr>
          <w:b/>
          <w:sz w:val="28"/>
          <w:szCs w:val="28"/>
        </w:rPr>
        <w:t>sabiedrībā ar ierobežotu atbildību “</w:t>
      </w:r>
      <w:r w:rsidRPr="003624C4">
        <w:rPr>
          <w:b/>
          <w:sz w:val="28"/>
          <w:szCs w:val="28"/>
        </w:rPr>
        <w:t>Sociālo tehnoloģiju augstskola</w:t>
      </w:r>
      <w:r>
        <w:rPr>
          <w:b/>
          <w:sz w:val="28"/>
          <w:szCs w:val="28"/>
        </w:rPr>
        <w:t>”</w:t>
      </w:r>
      <w:r w:rsidR="00334288">
        <w:rPr>
          <w:b/>
          <w:sz w:val="28"/>
          <w:szCs w:val="28"/>
        </w:rPr>
        <w:t>”</w:t>
      </w:r>
      <w:r>
        <w:rPr>
          <w:b/>
          <w:sz w:val="28"/>
          <w:szCs w:val="28"/>
        </w:rPr>
        <w:t xml:space="preserve"> </w:t>
      </w:r>
      <w:r w:rsidRPr="002C76FA">
        <w:rPr>
          <w:b/>
          <w:bCs/>
          <w:sz w:val="28"/>
          <w:szCs w:val="28"/>
        </w:rPr>
        <w:t>sākotnējās ietekmes novērtējuma ziņojums (anotācija)</w:t>
      </w: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2"/>
        <w:gridCol w:w="2176"/>
        <w:gridCol w:w="6255"/>
      </w:tblGrid>
      <w:tr w:rsidR="0098278D" w:rsidRPr="00271203" w:rsidTr="007A4AA4">
        <w:trPr>
          <w:tblCellSpacing w:w="0" w:type="dxa"/>
        </w:trPr>
        <w:tc>
          <w:tcPr>
            <w:tcW w:w="8923" w:type="dxa"/>
            <w:gridSpan w:val="3"/>
            <w:tcBorders>
              <w:top w:val="outset" w:sz="6" w:space="0" w:color="auto"/>
              <w:bottom w:val="outset" w:sz="6" w:space="0" w:color="auto"/>
            </w:tcBorders>
            <w:vAlign w:val="center"/>
          </w:tcPr>
          <w:p w:rsidR="0098278D" w:rsidRPr="00271203" w:rsidRDefault="0098278D" w:rsidP="008025BE">
            <w:pPr>
              <w:spacing w:before="75" w:after="75"/>
              <w:jc w:val="center"/>
              <w:rPr>
                <w:b/>
                <w:sz w:val="28"/>
                <w:szCs w:val="28"/>
              </w:rPr>
            </w:pPr>
            <w:r w:rsidRPr="00271203">
              <w:rPr>
                <w:b/>
                <w:bCs/>
                <w:sz w:val="28"/>
                <w:szCs w:val="28"/>
              </w:rPr>
              <w:t> I. Tiesību akta projekta izstrādes nepieciešamība</w:t>
            </w:r>
          </w:p>
        </w:tc>
      </w:tr>
      <w:tr w:rsidR="0098278D" w:rsidRPr="00271203" w:rsidTr="007A4AA4">
        <w:trPr>
          <w:trHeight w:val="630"/>
          <w:tblCellSpacing w:w="0" w:type="dxa"/>
        </w:trPr>
        <w:tc>
          <w:tcPr>
            <w:tcW w:w="492" w:type="dxa"/>
            <w:tcBorders>
              <w:top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 1.</w:t>
            </w:r>
          </w:p>
        </w:tc>
        <w:tc>
          <w:tcPr>
            <w:tcW w:w="2176"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 xml:space="preserve"> Pamatojums</w:t>
            </w:r>
          </w:p>
        </w:tc>
        <w:tc>
          <w:tcPr>
            <w:tcW w:w="6255" w:type="dxa"/>
            <w:tcBorders>
              <w:top w:val="outset" w:sz="6" w:space="0" w:color="auto"/>
              <w:left w:val="outset" w:sz="6" w:space="0" w:color="auto"/>
              <w:bottom w:val="outset" w:sz="6" w:space="0" w:color="auto"/>
            </w:tcBorders>
          </w:tcPr>
          <w:p w:rsidR="00B80A2F" w:rsidRDefault="0098278D" w:rsidP="00A556C1">
            <w:pPr>
              <w:spacing w:after="0"/>
              <w:ind w:firstLine="284"/>
              <w:jc w:val="both"/>
              <w:rPr>
                <w:sz w:val="28"/>
                <w:szCs w:val="28"/>
              </w:rPr>
            </w:pPr>
            <w:r w:rsidRPr="00271203">
              <w:rPr>
                <w:sz w:val="28"/>
                <w:szCs w:val="28"/>
              </w:rPr>
              <w:t>Ministru kabineta rīkojuma projekts</w:t>
            </w:r>
            <w:r w:rsidR="0009774E">
              <w:rPr>
                <w:sz w:val="28"/>
                <w:szCs w:val="28"/>
              </w:rPr>
              <w:t xml:space="preserve"> „Par atteikumu atvērt studiju virzienu</w:t>
            </w:r>
            <w:r w:rsidR="00334288">
              <w:rPr>
                <w:sz w:val="28"/>
                <w:szCs w:val="28"/>
              </w:rPr>
              <w:t xml:space="preserve"> “Sociālā labklājība”</w:t>
            </w:r>
            <w:r w:rsidRPr="00271203">
              <w:rPr>
                <w:sz w:val="28"/>
                <w:szCs w:val="28"/>
              </w:rPr>
              <w:t xml:space="preserve"> sabiedrībā ar ierobežotu atbildību “Sociālo tehnoloģiju augstskola” (turpmāk – rīkojuma </w:t>
            </w:r>
            <w:r w:rsidR="00B80A2F">
              <w:rPr>
                <w:sz w:val="28"/>
                <w:szCs w:val="28"/>
              </w:rPr>
              <w:t>projekts) izstrādāts saskaņā ar</w:t>
            </w:r>
            <w:r w:rsidR="0009774E">
              <w:rPr>
                <w:sz w:val="28"/>
                <w:szCs w:val="28"/>
              </w:rPr>
              <w:t>:</w:t>
            </w:r>
          </w:p>
          <w:p w:rsidR="0098278D" w:rsidRDefault="00B80A2F" w:rsidP="00A556C1">
            <w:pPr>
              <w:spacing w:after="0"/>
              <w:ind w:firstLine="284"/>
              <w:jc w:val="both"/>
              <w:rPr>
                <w:sz w:val="28"/>
                <w:szCs w:val="28"/>
              </w:rPr>
            </w:pPr>
            <w:r>
              <w:rPr>
                <w:sz w:val="28"/>
                <w:szCs w:val="28"/>
              </w:rPr>
              <w:t xml:space="preserve">1) </w:t>
            </w:r>
            <w:r w:rsidR="0098278D" w:rsidRPr="00271203">
              <w:rPr>
                <w:sz w:val="28"/>
                <w:szCs w:val="28"/>
              </w:rPr>
              <w:t>Augstskolu likuma 55.</w:t>
            </w:r>
            <w:r w:rsidR="0098278D" w:rsidRPr="00271203">
              <w:rPr>
                <w:sz w:val="28"/>
                <w:szCs w:val="28"/>
                <w:vertAlign w:val="superscript"/>
              </w:rPr>
              <w:t>2</w:t>
            </w:r>
            <w:r w:rsidR="0098278D" w:rsidRPr="00271203">
              <w:rPr>
                <w:sz w:val="28"/>
                <w:szCs w:val="28"/>
              </w:rPr>
              <w:t xml:space="preserve"> panta trešajā daļā noteikto, ja augstskola vai koledža iesniedz licencēšanai studiju programmu jaunā augstskolas vai koledžas studiju virzienā, Ministru kabinets pieņem lēmumu par jauna studiju virziena atvēršanu attie</w:t>
            </w:r>
            <w:r>
              <w:rPr>
                <w:sz w:val="28"/>
                <w:szCs w:val="28"/>
              </w:rPr>
              <w:t>cīgajā augstskolā vai koledžā;</w:t>
            </w:r>
          </w:p>
          <w:p w:rsidR="00A556C1" w:rsidRPr="00271203" w:rsidRDefault="00B80A2F" w:rsidP="00A556C1">
            <w:pPr>
              <w:spacing w:after="0"/>
              <w:ind w:firstLine="284"/>
              <w:jc w:val="both"/>
              <w:rPr>
                <w:sz w:val="28"/>
                <w:szCs w:val="28"/>
              </w:rPr>
            </w:pPr>
            <w:r>
              <w:rPr>
                <w:sz w:val="28"/>
                <w:szCs w:val="28"/>
              </w:rPr>
              <w:t xml:space="preserve">2) </w:t>
            </w:r>
            <w:r w:rsidR="00A556C1">
              <w:rPr>
                <w:sz w:val="28"/>
                <w:szCs w:val="28"/>
              </w:rPr>
              <w:t>2014.gada 4.septembra sabiedrības ar ierobežotu atbildību “Sociālo tehnoloģiju augstskola” (</w:t>
            </w:r>
            <w:r w:rsidR="0009774E">
              <w:rPr>
                <w:sz w:val="28"/>
                <w:szCs w:val="28"/>
              </w:rPr>
              <w:t>turpmāk – Augstskola) iesniegumu</w:t>
            </w:r>
            <w:r w:rsidR="00A556C1">
              <w:rPr>
                <w:sz w:val="28"/>
                <w:szCs w:val="28"/>
              </w:rPr>
              <w:t xml:space="preserve"> profesionālās bakalaura studiju programmas “Sociālais darbs” un profesionālās maģistra studiju programmas “Sociālais darbs” , kas atbilst studiju virzienam “Sociālā labklājība”, licencēšanai.</w:t>
            </w:r>
          </w:p>
        </w:tc>
      </w:tr>
      <w:tr w:rsidR="0098278D" w:rsidRPr="00271203" w:rsidTr="007A4AA4">
        <w:trPr>
          <w:trHeight w:val="472"/>
          <w:tblCellSpacing w:w="0" w:type="dxa"/>
        </w:trPr>
        <w:tc>
          <w:tcPr>
            <w:tcW w:w="492" w:type="dxa"/>
            <w:tcBorders>
              <w:top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 2.</w:t>
            </w:r>
          </w:p>
        </w:tc>
        <w:tc>
          <w:tcPr>
            <w:tcW w:w="2176"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 Pašreizējā situācija un problēmas, kuru risināšanai tiesību akta projekts izstrādāts, tiesiskā regulējuma mērķis un būtība</w:t>
            </w:r>
          </w:p>
        </w:tc>
        <w:tc>
          <w:tcPr>
            <w:tcW w:w="6255" w:type="dxa"/>
            <w:tcBorders>
              <w:top w:val="outset" w:sz="6" w:space="0" w:color="auto"/>
              <w:left w:val="outset" w:sz="6" w:space="0" w:color="auto"/>
              <w:bottom w:val="outset" w:sz="6" w:space="0" w:color="auto"/>
            </w:tcBorders>
          </w:tcPr>
          <w:p w:rsidR="0098278D" w:rsidRPr="00271203" w:rsidRDefault="00A556C1" w:rsidP="00351302">
            <w:pPr>
              <w:spacing w:after="0"/>
              <w:ind w:firstLine="284"/>
              <w:jc w:val="both"/>
              <w:rPr>
                <w:sz w:val="26"/>
                <w:szCs w:val="26"/>
              </w:rPr>
            </w:pPr>
            <w:r>
              <w:rPr>
                <w:sz w:val="28"/>
                <w:szCs w:val="28"/>
              </w:rPr>
              <w:t>Augstskola</w:t>
            </w:r>
            <w:r w:rsidR="0098278D" w:rsidRPr="00271203">
              <w:rPr>
                <w:sz w:val="28"/>
                <w:szCs w:val="28"/>
              </w:rPr>
              <w:t xml:space="preserve"> ir reģistrēta Izglītības kvalitātes valsts dienesta Izglītības iestāžu reģistrā 2004.gada 30.septembrī, reģistrācijas apliecības Nr.</w:t>
            </w:r>
            <w:r w:rsidR="0098278D" w:rsidRPr="00271203">
              <w:rPr>
                <w:b/>
                <w:bCs/>
              </w:rPr>
              <w:t xml:space="preserve"> </w:t>
            </w:r>
            <w:r w:rsidR="0098278D" w:rsidRPr="00271203">
              <w:rPr>
                <w:sz w:val="28"/>
                <w:szCs w:val="28"/>
              </w:rPr>
              <w:t>3343800154.</w:t>
            </w:r>
            <w:r w:rsidR="0098278D" w:rsidRPr="00271203">
              <w:rPr>
                <w:sz w:val="26"/>
                <w:szCs w:val="26"/>
              </w:rPr>
              <w:t xml:space="preserve"> </w:t>
            </w:r>
          </w:p>
          <w:p w:rsidR="0098278D" w:rsidRPr="00271203" w:rsidRDefault="00A556C1" w:rsidP="008518B3">
            <w:pPr>
              <w:spacing w:after="0" w:line="240" w:lineRule="auto"/>
              <w:ind w:firstLine="428"/>
              <w:jc w:val="both"/>
              <w:rPr>
                <w:sz w:val="26"/>
                <w:szCs w:val="26"/>
              </w:rPr>
            </w:pPr>
            <w:r>
              <w:rPr>
                <w:sz w:val="28"/>
                <w:szCs w:val="28"/>
              </w:rPr>
              <w:t>2000.gada 12.maijā A</w:t>
            </w:r>
            <w:r w:rsidR="0098278D" w:rsidRPr="00271203">
              <w:rPr>
                <w:sz w:val="28"/>
                <w:szCs w:val="28"/>
              </w:rPr>
              <w:t>ugstskola saņēma beztermiņa ie</w:t>
            </w:r>
            <w:r>
              <w:rPr>
                <w:sz w:val="28"/>
                <w:szCs w:val="28"/>
              </w:rPr>
              <w:t>stādes akreditāciju. 2013.gadā A</w:t>
            </w:r>
            <w:r w:rsidR="0098278D" w:rsidRPr="00271203">
              <w:rPr>
                <w:sz w:val="28"/>
                <w:szCs w:val="28"/>
              </w:rPr>
              <w:t>ugstskolā tika akreditēti uz diviem gadiem šādi studiju virzieni:</w:t>
            </w:r>
          </w:p>
          <w:p w:rsidR="0098278D" w:rsidRPr="00271203" w:rsidRDefault="00A556C1" w:rsidP="00A556C1">
            <w:pPr>
              <w:spacing w:after="0" w:line="240" w:lineRule="auto"/>
              <w:ind w:firstLine="284"/>
              <w:jc w:val="both"/>
              <w:rPr>
                <w:sz w:val="28"/>
                <w:szCs w:val="28"/>
              </w:rPr>
            </w:pPr>
            <w:r>
              <w:rPr>
                <w:sz w:val="28"/>
                <w:szCs w:val="28"/>
              </w:rPr>
              <w:t>- “</w:t>
            </w:r>
            <w:r w:rsidR="0098278D" w:rsidRPr="00271203">
              <w:rPr>
                <w:sz w:val="28"/>
                <w:szCs w:val="28"/>
              </w:rPr>
              <w:t>Tiesību zinātnes</w:t>
            </w:r>
            <w:r>
              <w:rPr>
                <w:sz w:val="28"/>
                <w:szCs w:val="28"/>
              </w:rPr>
              <w:t>”</w:t>
            </w:r>
            <w:r w:rsidR="0098278D" w:rsidRPr="00271203">
              <w:rPr>
                <w:sz w:val="28"/>
                <w:szCs w:val="28"/>
              </w:rPr>
              <w:t>;</w:t>
            </w:r>
          </w:p>
          <w:p w:rsidR="0098278D" w:rsidRPr="00271203" w:rsidRDefault="0098278D" w:rsidP="00A556C1">
            <w:pPr>
              <w:spacing w:after="0" w:line="240" w:lineRule="auto"/>
              <w:ind w:firstLine="284"/>
              <w:jc w:val="both"/>
              <w:rPr>
                <w:sz w:val="28"/>
                <w:szCs w:val="28"/>
              </w:rPr>
            </w:pPr>
            <w:r w:rsidRPr="00271203">
              <w:rPr>
                <w:sz w:val="28"/>
                <w:szCs w:val="28"/>
              </w:rPr>
              <w:t xml:space="preserve">- </w:t>
            </w:r>
            <w:r w:rsidR="00A556C1">
              <w:rPr>
                <w:sz w:val="28"/>
                <w:szCs w:val="28"/>
              </w:rPr>
              <w:t>“</w:t>
            </w:r>
            <w:r w:rsidRPr="00271203">
              <w:rPr>
                <w:sz w:val="28"/>
                <w:szCs w:val="28"/>
              </w:rPr>
              <w:t>Tulkošana</w:t>
            </w:r>
            <w:r w:rsidR="00A556C1">
              <w:rPr>
                <w:sz w:val="28"/>
                <w:szCs w:val="28"/>
              </w:rPr>
              <w:t>”</w:t>
            </w:r>
            <w:r w:rsidRPr="00271203">
              <w:rPr>
                <w:sz w:val="28"/>
                <w:szCs w:val="28"/>
              </w:rPr>
              <w:t>;</w:t>
            </w:r>
          </w:p>
          <w:p w:rsidR="0098278D" w:rsidRPr="00271203" w:rsidRDefault="0098278D" w:rsidP="00A556C1">
            <w:pPr>
              <w:spacing w:after="0" w:line="240" w:lineRule="auto"/>
              <w:ind w:firstLine="284"/>
              <w:jc w:val="both"/>
              <w:rPr>
                <w:sz w:val="28"/>
                <w:szCs w:val="28"/>
              </w:rPr>
            </w:pPr>
            <w:r w:rsidRPr="00271203">
              <w:rPr>
                <w:sz w:val="28"/>
                <w:szCs w:val="28"/>
              </w:rPr>
              <w:t xml:space="preserve">- </w:t>
            </w:r>
            <w:r w:rsidR="00A556C1">
              <w:rPr>
                <w:sz w:val="28"/>
                <w:szCs w:val="28"/>
              </w:rPr>
              <w:t>“</w:t>
            </w:r>
            <w:r w:rsidRPr="00271203">
              <w:rPr>
                <w:sz w:val="28"/>
                <w:szCs w:val="28"/>
              </w:rPr>
              <w:t>Vadība, administrēšana un nekustamo īpašumu pārvaldība</w:t>
            </w:r>
            <w:r w:rsidR="00A556C1">
              <w:rPr>
                <w:sz w:val="28"/>
                <w:szCs w:val="28"/>
              </w:rPr>
              <w:t>”</w:t>
            </w:r>
            <w:r w:rsidRPr="00271203">
              <w:rPr>
                <w:sz w:val="28"/>
                <w:szCs w:val="28"/>
              </w:rPr>
              <w:t>.</w:t>
            </w:r>
          </w:p>
          <w:p w:rsidR="00A556C1" w:rsidRDefault="00A556C1" w:rsidP="00A556C1">
            <w:pPr>
              <w:spacing w:after="0" w:line="240" w:lineRule="auto"/>
              <w:ind w:firstLine="428"/>
              <w:jc w:val="both"/>
              <w:rPr>
                <w:sz w:val="28"/>
                <w:szCs w:val="28"/>
              </w:rPr>
            </w:pPr>
            <w:r>
              <w:rPr>
                <w:sz w:val="28"/>
                <w:szCs w:val="28"/>
              </w:rPr>
              <w:t>Šobrīd A</w:t>
            </w:r>
            <w:r w:rsidR="0098278D" w:rsidRPr="00271203">
              <w:rPr>
                <w:sz w:val="28"/>
                <w:szCs w:val="28"/>
              </w:rPr>
              <w:t>ugstskolā stu</w:t>
            </w:r>
            <w:r>
              <w:rPr>
                <w:sz w:val="28"/>
                <w:szCs w:val="28"/>
              </w:rPr>
              <w:t>dē 339 studējošie, no tiem 2014./2015.ak.g.</w:t>
            </w:r>
            <w:r w:rsidR="00101F5D">
              <w:rPr>
                <w:sz w:val="28"/>
                <w:szCs w:val="28"/>
              </w:rPr>
              <w:t xml:space="preserve"> imatrikulēti</w:t>
            </w:r>
            <w:r w:rsidR="0098278D" w:rsidRPr="00271203">
              <w:rPr>
                <w:sz w:val="28"/>
                <w:szCs w:val="28"/>
              </w:rPr>
              <w:t xml:space="preserve"> 12</w:t>
            </w:r>
            <w:r w:rsidR="00101F5D">
              <w:rPr>
                <w:sz w:val="28"/>
                <w:szCs w:val="28"/>
              </w:rPr>
              <w:t>4</w:t>
            </w:r>
            <w:r>
              <w:rPr>
                <w:sz w:val="28"/>
                <w:szCs w:val="28"/>
              </w:rPr>
              <w:t>. 2013./2014.ak.g. A</w:t>
            </w:r>
            <w:r w:rsidR="00101F5D">
              <w:rPr>
                <w:sz w:val="28"/>
                <w:szCs w:val="28"/>
              </w:rPr>
              <w:t>ugstskolā grādu un profesionālo kvalifikāciju ieguvuši</w:t>
            </w:r>
            <w:r w:rsidR="0098278D" w:rsidRPr="00271203">
              <w:rPr>
                <w:sz w:val="28"/>
                <w:szCs w:val="28"/>
              </w:rPr>
              <w:t xml:space="preserve"> 70 studējošie.</w:t>
            </w:r>
          </w:p>
          <w:p w:rsidR="0091540F" w:rsidRDefault="0091540F" w:rsidP="00A556C1">
            <w:pPr>
              <w:spacing w:after="0" w:line="240" w:lineRule="auto"/>
              <w:ind w:firstLine="428"/>
              <w:jc w:val="both"/>
              <w:rPr>
                <w:sz w:val="28"/>
                <w:szCs w:val="28"/>
              </w:rPr>
            </w:pPr>
            <w:r>
              <w:rPr>
                <w:sz w:val="28"/>
                <w:szCs w:val="28"/>
              </w:rPr>
              <w:t xml:space="preserve">Augstskola 2014.gada 4.septembrī iesniedza iesniegumus profesionālās bakalaura studiju programmas “Sociālais darbs” un profesionālās </w:t>
            </w:r>
            <w:r>
              <w:rPr>
                <w:sz w:val="28"/>
                <w:szCs w:val="28"/>
              </w:rPr>
              <w:lastRenderedPageBreak/>
              <w:t>maģistra studiju programmas “Sociālais darbs” licencēšanai. Saskaņā ar Ministru kabineta 2013.gada 15.aprīļa noteikumu Nr.230 “Studiju programmu licencēšanas noteikumi” (turpmāk – Licencēšanas noteikumi) 15.punktu pēc iesniegumu pārbaudes tika lūgts Augstskolai iesniegt trūkstošo informāciju, tādējādi pagarinot lēmuma par studiju programmas licencēšanu vai atteikumu licencēt studiju programmu pieņemšanas termiņu līdz 4 mēnešiem no iesnieguma iesniegšanas dienas. Augstskola trūkstošo informāciju iesniedza 2014.gada 24.septembrī ar 2014.gada 23.septembra vēstuli Nr.2-1/35.</w:t>
            </w:r>
          </w:p>
          <w:p w:rsidR="0091540F" w:rsidRDefault="0093601C" w:rsidP="00A556C1">
            <w:pPr>
              <w:spacing w:after="0" w:line="240" w:lineRule="auto"/>
              <w:ind w:firstLine="428"/>
              <w:jc w:val="both"/>
              <w:rPr>
                <w:sz w:val="28"/>
                <w:szCs w:val="28"/>
              </w:rPr>
            </w:pPr>
            <w:r>
              <w:rPr>
                <w:sz w:val="28"/>
                <w:szCs w:val="28"/>
              </w:rPr>
              <w:t>Augstskola pirmo reizi iesniedza studiju virzienam “Sociālā labklājība” atbilstošas studiju programmas licencēšanai jau 2014.gada 3.aprīlī, tobrīd lūdzot licencēt pirmā līmeņa profesionālās augstākās izglītības studiju programmu “Sociālā rehabilitācija”, otrā līmeņa profesionālās augstākās izglītības studiju programmu “Sociālais darbs”, profesionālā bakalaura studiju programmu “Sociālais darbs” un profesionālā maģistra studiju programmu “Sociālais darbs”.</w:t>
            </w:r>
            <w:r w:rsidR="00DD1E51">
              <w:rPr>
                <w:sz w:val="28"/>
                <w:szCs w:val="28"/>
              </w:rPr>
              <w:t xml:space="preserve"> 2014.gada 22.aprīlī Augstskola atsauca iesniegumu pirmā līmeņa profesionālās augstākās izglītības studiju programmas “Sociālā rehabilitācija” licencēšanai. 2014.gada 30.maija Studiju programmu licencēšanas komisijas apstiprinātie eksperti studiju programmu izvērtēšanai devās vizītē uz Augstskolu un katrs sagatavoja eksperta atzinumu, norādot uz būtiskām nepilnībām gan iesniegtajos dokumentos, gan studiju programmas saturā, piesaistītajā pasniedzēju sastāvā, studiju programmas īstenošanas mehānismā un vispārējā atbilstībā normatīvajiem aktiem. Ņemot vērā ekspertu </w:t>
            </w:r>
            <w:proofErr w:type="spellStart"/>
            <w:r w:rsidR="00DD1E51">
              <w:rPr>
                <w:sz w:val="28"/>
                <w:szCs w:val="28"/>
              </w:rPr>
              <w:t>izvērtējumu</w:t>
            </w:r>
            <w:proofErr w:type="spellEnd"/>
            <w:r w:rsidR="00DD1E51">
              <w:rPr>
                <w:sz w:val="28"/>
                <w:szCs w:val="28"/>
              </w:rPr>
              <w:t>, Augstskola 2014.gada 4.jūnijā lūdza pārtraukt studiju programmu licencēšanas procesu, ļaujot pilnveidot studiju programmas un iesniegt tās licencēšanai atkārtoti.</w:t>
            </w:r>
          </w:p>
          <w:p w:rsidR="0093601C" w:rsidRDefault="00C2178A" w:rsidP="00A556C1">
            <w:pPr>
              <w:spacing w:after="0" w:line="240" w:lineRule="auto"/>
              <w:ind w:firstLine="428"/>
              <w:jc w:val="both"/>
              <w:rPr>
                <w:sz w:val="28"/>
                <w:szCs w:val="28"/>
              </w:rPr>
            </w:pPr>
            <w:r w:rsidRPr="00C2178A">
              <w:rPr>
                <w:sz w:val="28"/>
                <w:szCs w:val="28"/>
              </w:rPr>
              <w:t xml:space="preserve">Saskaņā ar Ministru kabineta 2013.gada 25.aprīļa noteikumu Nr.230 „Studiju programmu licencēšanas noteikumi” (turpmāk – Licencēšanas noteikumi) 5.punktu, Labklājības ministrijas pārstāvjus iekļauj Studiju programmu licencēšanas komisijas (turpmāk – komisija) sastāvā, ja komisija izskata studiju </w:t>
            </w:r>
            <w:r w:rsidRPr="00C2178A">
              <w:rPr>
                <w:sz w:val="28"/>
                <w:szCs w:val="28"/>
              </w:rPr>
              <w:lastRenderedPageBreak/>
              <w:t>programmu, kas atbilst nozarei, kura ir attiecīgās ministrijas kompetencē. Tā kā studiju virzienam “Sociālā labklājība” atbilstošās studiju programmas, kuras licencēšanai ir pieteikusi augstskola, atbilst Labklājības ministrijas kompetences jomai, ir pamats Labklājības ministrijas pārstāvjus iekļaut komisijas sastāvā, lemjot par šo studiju programmu licencēšanu.  Pēc tam, kad Ministru kabinets būs pieņēmis lēmumu par studiju virziena atvēršanu vai atteikumu atvērt studiju virzienu augstskolā, tuvākajā komisijas sēdē tiks izskatīts jautājums par attiecīgo studiju programmu licencēšanu un komisijas sastāvā tiks iekļauti Labklājības ministrijas pārstāvji.</w:t>
            </w:r>
          </w:p>
          <w:p w:rsidR="00724E45" w:rsidRDefault="00B80A2F" w:rsidP="00724E45">
            <w:pPr>
              <w:spacing w:after="0" w:line="240" w:lineRule="auto"/>
              <w:ind w:firstLine="428"/>
              <w:jc w:val="both"/>
              <w:rPr>
                <w:sz w:val="28"/>
                <w:szCs w:val="28"/>
              </w:rPr>
            </w:pPr>
            <w:r w:rsidRPr="00B80A2F">
              <w:rPr>
                <w:sz w:val="28"/>
                <w:szCs w:val="28"/>
              </w:rPr>
              <w:t>2014./2015.ak.g. Latvijā tiek īstenota 21 studiju virzienam “Sociālā labklājība” atbilstoša studiju programma deviņās augstākās izglītības iestādēs. 2014. gadā licencētas trīs jaunas studiju programmas studiju virzienā “Sociālā labklājība”, no kurām divas ir kopīgas studiju programmas, kuras Latvijas augstākās izglītības iestādes īstenos kopā ar ārvalst</w:t>
            </w:r>
            <w:r>
              <w:rPr>
                <w:sz w:val="28"/>
                <w:szCs w:val="28"/>
              </w:rPr>
              <w:t xml:space="preserve">u </w:t>
            </w:r>
            <w:proofErr w:type="spellStart"/>
            <w:r>
              <w:rPr>
                <w:sz w:val="28"/>
                <w:szCs w:val="28"/>
              </w:rPr>
              <w:t>partneraugstskolām</w:t>
            </w:r>
            <w:proofErr w:type="spellEnd"/>
            <w:r w:rsidRPr="00B80A2F">
              <w:rPr>
                <w:sz w:val="28"/>
                <w:szCs w:val="28"/>
              </w:rPr>
              <w:t>. Latvijas augstākās izglītības iestādēs studē 85</w:t>
            </w:r>
            <w:r>
              <w:rPr>
                <w:sz w:val="28"/>
                <w:szCs w:val="28"/>
              </w:rPr>
              <w:t xml:space="preserve"> </w:t>
            </w:r>
            <w:r w:rsidRPr="00B80A2F">
              <w:rPr>
                <w:sz w:val="28"/>
                <w:szCs w:val="28"/>
              </w:rPr>
              <w:t>860 studējošie, no tiem 547 apgūst studiju virzienam “Sociālā labklājība” atbil</w:t>
            </w:r>
            <w:r w:rsidR="0009774E">
              <w:rPr>
                <w:sz w:val="28"/>
                <w:szCs w:val="28"/>
              </w:rPr>
              <w:t>stošās studiju programmas</w:t>
            </w:r>
            <w:r w:rsidRPr="00B80A2F">
              <w:rPr>
                <w:sz w:val="28"/>
                <w:szCs w:val="28"/>
              </w:rPr>
              <w:t xml:space="preserve">, bet grādu vai kvalifikāciju 2013./2014.ak.g. studiju virzienam “Sociālā labklājība” atbilstošās </w:t>
            </w:r>
            <w:r w:rsidR="0009774E">
              <w:rPr>
                <w:sz w:val="28"/>
                <w:szCs w:val="28"/>
              </w:rPr>
              <w:t>studiju programmās</w:t>
            </w:r>
            <w:r w:rsidRPr="00B80A2F">
              <w:rPr>
                <w:sz w:val="28"/>
                <w:szCs w:val="28"/>
              </w:rPr>
              <w:t xml:space="preserve">  ieguva 149 studējošie. </w:t>
            </w:r>
            <w:r w:rsidR="00101F5D">
              <w:rPr>
                <w:sz w:val="28"/>
                <w:szCs w:val="28"/>
              </w:rPr>
              <w:t xml:space="preserve">Savukārt, </w:t>
            </w:r>
            <w:r w:rsidR="00101F5D" w:rsidRPr="00101F5D">
              <w:rPr>
                <w:sz w:val="28"/>
                <w:szCs w:val="28"/>
              </w:rPr>
              <w:t xml:space="preserve">saskaņā ar </w:t>
            </w:r>
            <w:r w:rsidR="00403D44">
              <w:rPr>
                <w:sz w:val="28"/>
                <w:szCs w:val="28"/>
              </w:rPr>
              <w:t>Izglītības un zinātnes ministrijas</w:t>
            </w:r>
            <w:r w:rsidR="00101F5D" w:rsidRPr="00101F5D">
              <w:rPr>
                <w:sz w:val="28"/>
                <w:szCs w:val="28"/>
              </w:rPr>
              <w:t xml:space="preserve"> statistikas datiem, laika posmā no 2003.gada līdz 2014.gadam studiju virzienam “Sociālā labklājība” atbilstošas studiju programmas priv</w:t>
            </w:r>
            <w:r w:rsidR="00A9525A">
              <w:rPr>
                <w:sz w:val="28"/>
                <w:szCs w:val="28"/>
              </w:rPr>
              <w:t>ātpersonu dibinātās</w:t>
            </w:r>
            <w:r w:rsidR="00101F5D" w:rsidRPr="00101F5D">
              <w:rPr>
                <w:sz w:val="28"/>
                <w:szCs w:val="28"/>
              </w:rPr>
              <w:t xml:space="preserve"> augstākās izglītības iestādēs ir absolvējušas 2118 personas un valsts </w:t>
            </w:r>
            <w:r w:rsidR="00A9525A">
              <w:rPr>
                <w:sz w:val="28"/>
                <w:szCs w:val="28"/>
              </w:rPr>
              <w:t xml:space="preserve">dibinātās </w:t>
            </w:r>
            <w:r w:rsidR="00101F5D" w:rsidRPr="00101F5D">
              <w:rPr>
                <w:sz w:val="28"/>
                <w:szCs w:val="28"/>
              </w:rPr>
              <w:t>augstākās izglītības iestādēs – 1144 persona</w:t>
            </w:r>
            <w:r w:rsidR="00730BFE">
              <w:rPr>
                <w:sz w:val="28"/>
                <w:szCs w:val="28"/>
              </w:rPr>
              <w:t xml:space="preserve">s, iegūstot gan 4., gan 5. līmeņa profesionālās kvalifikācijas un grādus </w:t>
            </w:r>
            <w:r w:rsidR="00724E45" w:rsidRPr="00B80A2F">
              <w:rPr>
                <w:sz w:val="28"/>
                <w:szCs w:val="28"/>
              </w:rPr>
              <w:t>Tādējādi jau pašla</w:t>
            </w:r>
            <w:r w:rsidR="00724E45">
              <w:rPr>
                <w:sz w:val="28"/>
                <w:szCs w:val="28"/>
              </w:rPr>
              <w:t>ik ir</w:t>
            </w:r>
            <w:r w:rsidR="00724E45" w:rsidRPr="00B80A2F">
              <w:rPr>
                <w:sz w:val="28"/>
                <w:szCs w:val="28"/>
              </w:rPr>
              <w:t xml:space="preserve"> nodrošināts pietiekams augstākās izglītības</w:t>
            </w:r>
            <w:r w:rsidR="00730BFE">
              <w:rPr>
                <w:sz w:val="28"/>
                <w:szCs w:val="28"/>
              </w:rPr>
              <w:t xml:space="preserve"> studiju programmu</w:t>
            </w:r>
            <w:r w:rsidR="00724E45" w:rsidRPr="00B80A2F">
              <w:rPr>
                <w:sz w:val="28"/>
                <w:szCs w:val="28"/>
              </w:rPr>
              <w:t xml:space="preserve"> piedāvājums minētajā studiju virzienā.</w:t>
            </w:r>
          </w:p>
          <w:p w:rsidR="00B80A2F" w:rsidRDefault="00C2178A" w:rsidP="00724E45">
            <w:pPr>
              <w:spacing w:after="0" w:line="240" w:lineRule="auto"/>
              <w:ind w:firstLine="428"/>
              <w:jc w:val="both"/>
              <w:rPr>
                <w:sz w:val="28"/>
                <w:szCs w:val="28"/>
              </w:rPr>
            </w:pPr>
            <w:r w:rsidRPr="00C2178A">
              <w:rPr>
                <w:sz w:val="28"/>
                <w:szCs w:val="28"/>
              </w:rPr>
              <w:t xml:space="preserve">Rīkojuma projekts tiek sagatavots par atteikumu atvērt studiju virzienu “Sociālā labklājība”, nevis par atteikumu licencēt konkrētas studiju programmas. Jauna studiju virziena atvēršanas gadījumā netiek skatīts studiju virziens kā licencējamo studiju programmu kopums, bet gan kā studiju virziens, kura ietvaros var </w:t>
            </w:r>
            <w:r w:rsidRPr="00C2178A">
              <w:rPr>
                <w:sz w:val="28"/>
                <w:szCs w:val="28"/>
              </w:rPr>
              <w:lastRenderedPageBreak/>
              <w:t xml:space="preserve">tikt īstenotas jebkura līmeņa studiju programmas, tādējādi sagatavojot Ministru kabineta rīkojuma projektu ir </w:t>
            </w:r>
            <w:r w:rsidR="00130B5D">
              <w:rPr>
                <w:sz w:val="28"/>
                <w:szCs w:val="28"/>
              </w:rPr>
              <w:t>analizēta</w:t>
            </w:r>
            <w:r w:rsidRPr="00C2178A">
              <w:rPr>
                <w:sz w:val="28"/>
                <w:szCs w:val="28"/>
              </w:rPr>
              <w:t xml:space="preserve"> informācija par visām studiju virzienam “Sociālā labklājība” atbilstošajām studiju programmām. </w:t>
            </w:r>
          </w:p>
          <w:p w:rsidR="00B80A2F" w:rsidRPr="00B80A2F" w:rsidRDefault="00B80A2F" w:rsidP="00A556C1">
            <w:pPr>
              <w:spacing w:after="0" w:line="240" w:lineRule="auto"/>
              <w:ind w:firstLine="428"/>
              <w:jc w:val="both"/>
              <w:rPr>
                <w:sz w:val="28"/>
                <w:szCs w:val="28"/>
              </w:rPr>
            </w:pPr>
            <w:r>
              <w:rPr>
                <w:sz w:val="28"/>
                <w:szCs w:val="28"/>
              </w:rPr>
              <w:t>Augstskola studiju virziena “Sociālā labklājība” ietvaros plāno īstenot profesionālo bakalaura studiju programmu “Sociālais darbs” latviešu valodā, piešķirot profesionālo bakalaura grādu sociālajā darbā un piektā līmeņa profesionālo kvalifikāciju “sociālais darbinieks”, un profesionālo maģistra studiju programmu “Sociālais darbs” latviešu valodā, piešķirot profesionālo maģistra grādu sociālajā darbā.</w:t>
            </w:r>
          </w:p>
          <w:p w:rsidR="00A556C1" w:rsidRDefault="00A556C1" w:rsidP="008C5AAC">
            <w:pPr>
              <w:spacing w:after="0"/>
              <w:ind w:firstLine="570"/>
              <w:jc w:val="both"/>
              <w:rPr>
                <w:sz w:val="28"/>
                <w:szCs w:val="28"/>
              </w:rPr>
            </w:pPr>
            <w:r>
              <w:rPr>
                <w:sz w:val="28"/>
                <w:szCs w:val="28"/>
              </w:rPr>
              <w:t>Pamatojoties uz Augstskolas iesniegumu un saskaņā ar Augstskolu likuma 55.</w:t>
            </w:r>
            <w:r>
              <w:rPr>
                <w:sz w:val="28"/>
                <w:szCs w:val="28"/>
                <w:vertAlign w:val="superscript"/>
              </w:rPr>
              <w:t>2</w:t>
            </w:r>
            <w:r>
              <w:rPr>
                <w:sz w:val="28"/>
                <w:szCs w:val="28"/>
              </w:rPr>
              <w:t xml:space="preserve">panta trešo daļu un </w:t>
            </w:r>
            <w:r w:rsidR="008A6AF7">
              <w:rPr>
                <w:sz w:val="28"/>
                <w:szCs w:val="28"/>
              </w:rPr>
              <w:t>Licencēšanas noteikumu</w:t>
            </w:r>
            <w:r>
              <w:rPr>
                <w:sz w:val="28"/>
                <w:szCs w:val="28"/>
              </w:rPr>
              <w:t xml:space="preserve"> 14.punktu</w:t>
            </w:r>
            <w:r w:rsidR="0009774E">
              <w:rPr>
                <w:sz w:val="28"/>
                <w:szCs w:val="28"/>
              </w:rPr>
              <w:t>,</w:t>
            </w:r>
            <w:r w:rsidR="0098278D" w:rsidRPr="00271203">
              <w:rPr>
                <w:sz w:val="28"/>
                <w:szCs w:val="28"/>
              </w:rPr>
              <w:t xml:space="preserve"> Izglītības un zinātnes ministrija sagatavo</w:t>
            </w:r>
            <w:r w:rsidR="0009774E">
              <w:rPr>
                <w:sz w:val="28"/>
                <w:szCs w:val="28"/>
              </w:rPr>
              <w:t xml:space="preserve"> u</w:t>
            </w:r>
            <w:r w:rsidR="0098278D" w:rsidRPr="00271203">
              <w:rPr>
                <w:sz w:val="28"/>
                <w:szCs w:val="28"/>
              </w:rPr>
              <w:t>n iesniedz Ministru kabinetā tiesību akta projektu par jauna studiju virziena atvēršanu vai par atteikumu atvērt jaunu studiju virzienu au</w:t>
            </w:r>
            <w:r>
              <w:rPr>
                <w:sz w:val="28"/>
                <w:szCs w:val="28"/>
              </w:rPr>
              <w:t>gstskolā vai koledžā.</w:t>
            </w:r>
          </w:p>
          <w:p w:rsidR="00F11008" w:rsidRDefault="0098278D" w:rsidP="00F11008">
            <w:pPr>
              <w:spacing w:after="0"/>
              <w:ind w:firstLine="570"/>
              <w:jc w:val="both"/>
              <w:rPr>
                <w:sz w:val="28"/>
                <w:szCs w:val="28"/>
              </w:rPr>
            </w:pPr>
            <w:r w:rsidRPr="00271203">
              <w:rPr>
                <w:sz w:val="28"/>
                <w:szCs w:val="28"/>
              </w:rPr>
              <w:t>Minēt</w:t>
            </w:r>
            <w:r w:rsidR="00F11008">
              <w:rPr>
                <w:sz w:val="28"/>
                <w:szCs w:val="28"/>
              </w:rPr>
              <w:t>ajam tiesību akta projektam ir</w:t>
            </w:r>
            <w:r w:rsidRPr="00271203">
              <w:rPr>
                <w:sz w:val="28"/>
                <w:szCs w:val="28"/>
              </w:rPr>
              <w:t xml:space="preserve"> pievienots eksperta atzinums, kā arī Izglītības un zinātnes ministrijas, Ekonomikas ministrijas, </w:t>
            </w:r>
            <w:proofErr w:type="spellStart"/>
            <w:r w:rsidRPr="00271203">
              <w:rPr>
                <w:sz w:val="28"/>
                <w:szCs w:val="28"/>
              </w:rPr>
              <w:t>Pārresoru</w:t>
            </w:r>
            <w:proofErr w:type="spellEnd"/>
            <w:r w:rsidRPr="00271203">
              <w:rPr>
                <w:sz w:val="28"/>
                <w:szCs w:val="28"/>
              </w:rPr>
              <w:t xml:space="preserve"> koordinācijas centra, Augstākās izglītības padomes un Latvijas Darba devēju konfederācijas viedoklis par augstskolas vai koledžas jaunā studiju virziena atbilstību valsts attīstības prioritātēm.</w:t>
            </w:r>
            <w:r w:rsidR="00F11008">
              <w:rPr>
                <w:sz w:val="28"/>
                <w:szCs w:val="28"/>
              </w:rPr>
              <w:t xml:space="preserve"> Studiju programmas izvērtējušie eksperti neiesaka licencēt studiju programmas, </w:t>
            </w:r>
            <w:r w:rsidR="00130B5D">
              <w:rPr>
                <w:sz w:val="28"/>
                <w:szCs w:val="28"/>
              </w:rPr>
              <w:t xml:space="preserve">pirms </w:t>
            </w:r>
            <w:r w:rsidR="00F11008">
              <w:rPr>
                <w:sz w:val="28"/>
                <w:szCs w:val="28"/>
              </w:rPr>
              <w:t xml:space="preserve">nav novērsti novērtēšanas laikā konstatētie trūkumi. Augstākās izglītības padome un </w:t>
            </w:r>
            <w:proofErr w:type="spellStart"/>
            <w:r w:rsidR="00F11008">
              <w:rPr>
                <w:sz w:val="28"/>
                <w:szCs w:val="28"/>
              </w:rPr>
              <w:t>Pārresoru</w:t>
            </w:r>
            <w:proofErr w:type="spellEnd"/>
            <w:r w:rsidR="00F11008">
              <w:rPr>
                <w:sz w:val="28"/>
                <w:szCs w:val="28"/>
              </w:rPr>
              <w:t xml:space="preserve"> koordinācijās centrs atbalsta studiju virziena “Sociālā labklājība” atvēršanu Augstskolā, savukārt Ekonomikas ministrija, Latvijas Darba devēju konfederācija un Izglītības un zinātnes ministrija studiju virziena atvēršanu neatbalsta.</w:t>
            </w:r>
          </w:p>
          <w:p w:rsidR="00417DD5" w:rsidRPr="00271203" w:rsidRDefault="00417DD5" w:rsidP="00F11008">
            <w:pPr>
              <w:spacing w:after="0"/>
              <w:ind w:firstLine="570"/>
              <w:jc w:val="both"/>
              <w:rPr>
                <w:sz w:val="28"/>
                <w:szCs w:val="28"/>
              </w:rPr>
            </w:pPr>
            <w:r>
              <w:rPr>
                <w:sz w:val="28"/>
                <w:szCs w:val="28"/>
              </w:rPr>
              <w:t>Augstskola ir iesniegusi Ministrijā komentārus par ekspertu atzinumiem par licencēšanai iesniegtajām studiju programmām, kas ņemti vērā rīkojuma projekta sagatavošanā.</w:t>
            </w:r>
          </w:p>
          <w:p w:rsidR="00354409" w:rsidRDefault="00B80A2F" w:rsidP="00354409">
            <w:pPr>
              <w:spacing w:after="0"/>
              <w:ind w:firstLine="284"/>
              <w:jc w:val="both"/>
              <w:rPr>
                <w:sz w:val="28"/>
                <w:szCs w:val="26"/>
              </w:rPr>
            </w:pPr>
            <w:r w:rsidRPr="00B80A2F">
              <w:rPr>
                <w:sz w:val="28"/>
                <w:szCs w:val="26"/>
              </w:rPr>
              <w:lastRenderedPageBreak/>
              <w:t>Rīkojuma projekta būtība ir atteikt studiju virziena</w:t>
            </w:r>
            <w:r>
              <w:rPr>
                <w:sz w:val="28"/>
                <w:szCs w:val="26"/>
              </w:rPr>
              <w:t xml:space="preserve"> „Sociālā labklājība” atvēršanu Augstskolā</w:t>
            </w:r>
            <w:r w:rsidR="00354409">
              <w:rPr>
                <w:sz w:val="28"/>
                <w:szCs w:val="26"/>
              </w:rPr>
              <w:t>.</w:t>
            </w:r>
            <w:r w:rsidR="00C2178A">
              <w:rPr>
                <w:sz w:val="28"/>
                <w:szCs w:val="26"/>
              </w:rPr>
              <w:t xml:space="preserve"> </w:t>
            </w:r>
          </w:p>
          <w:p w:rsidR="0098278D" w:rsidRPr="00354409" w:rsidRDefault="00354409" w:rsidP="005B6846">
            <w:pPr>
              <w:spacing w:after="0"/>
              <w:ind w:firstLine="284"/>
              <w:jc w:val="both"/>
              <w:rPr>
                <w:sz w:val="32"/>
                <w:szCs w:val="26"/>
              </w:rPr>
            </w:pPr>
            <w:r w:rsidRPr="00354409">
              <w:rPr>
                <w:sz w:val="28"/>
                <w:szCs w:val="26"/>
              </w:rPr>
              <w:t xml:space="preserve">Rīkojuma projekta </w:t>
            </w:r>
            <w:r w:rsidRPr="00A9525A">
              <w:rPr>
                <w:sz w:val="28"/>
                <w:szCs w:val="28"/>
              </w:rPr>
              <w:t>mērķis ir nodrošināt valsts</w:t>
            </w:r>
            <w:r w:rsidRPr="00354409">
              <w:rPr>
                <w:sz w:val="28"/>
                <w:szCs w:val="26"/>
              </w:rPr>
              <w:t xml:space="preserve"> tautsaimniecības attīstību</w:t>
            </w:r>
            <w:r w:rsidR="00724E45">
              <w:rPr>
                <w:sz w:val="28"/>
                <w:szCs w:val="26"/>
              </w:rPr>
              <w:t xml:space="preserve">, </w:t>
            </w:r>
            <w:r w:rsidR="005B6846">
              <w:rPr>
                <w:sz w:val="28"/>
                <w:szCs w:val="26"/>
              </w:rPr>
              <w:t xml:space="preserve">nepieļaujot tāda studiju virziena atvēršanu, kura īstenošana nerisina valsts tautsaimniecības attīstības problēmas, bet tās tikai veicina. Latvijas darba tirgus </w:t>
            </w:r>
            <w:r w:rsidR="005B6846" w:rsidRPr="005B6846">
              <w:rPr>
                <w:sz w:val="28"/>
                <w:szCs w:val="26"/>
              </w:rPr>
              <w:t>šobrīd pieprasa speciālistus inženierzinātnēs, dabas zinātnēs, ražošanā un būvniecībā, matemātikā un informācijas tehnoloģijās</w:t>
            </w:r>
            <w:r w:rsidR="00594161">
              <w:rPr>
                <w:sz w:val="28"/>
                <w:szCs w:val="26"/>
              </w:rPr>
              <w:t>, nevis sociālajā labklājībā.</w:t>
            </w:r>
            <w:r w:rsidR="00C41B23">
              <w:rPr>
                <w:sz w:val="28"/>
                <w:szCs w:val="26"/>
              </w:rPr>
              <w:t xml:space="preserve"> </w:t>
            </w:r>
            <w:r w:rsidR="00C41B23" w:rsidRPr="00C41B23">
              <w:rPr>
                <w:sz w:val="28"/>
                <w:szCs w:val="26"/>
              </w:rPr>
              <w:t>Valsts tautsaimniecības attīstība nav tikai valsts dibinātu augstskolu un koledžu uzdevums, jo jebkura augstskola un koledža piedalās augstākās izglītības politikas īstenošanā un izsniedz diplomu valsts vārdā.</w:t>
            </w:r>
            <w:r w:rsidR="00594161">
              <w:rPr>
                <w:sz w:val="28"/>
                <w:szCs w:val="26"/>
              </w:rPr>
              <w:t xml:space="preserve"> </w:t>
            </w:r>
          </w:p>
        </w:tc>
      </w:tr>
      <w:tr w:rsidR="0098278D" w:rsidRPr="00271203" w:rsidTr="007A4AA4">
        <w:trPr>
          <w:trHeight w:val="476"/>
          <w:tblCellSpacing w:w="0" w:type="dxa"/>
        </w:trPr>
        <w:tc>
          <w:tcPr>
            <w:tcW w:w="492" w:type="dxa"/>
            <w:tcBorders>
              <w:top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lastRenderedPageBreak/>
              <w:t> 3.</w:t>
            </w:r>
          </w:p>
        </w:tc>
        <w:tc>
          <w:tcPr>
            <w:tcW w:w="2176"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Projekta izstrādē iesaistītās institūcijas</w:t>
            </w:r>
          </w:p>
        </w:tc>
        <w:tc>
          <w:tcPr>
            <w:tcW w:w="6255" w:type="dxa"/>
            <w:tcBorders>
              <w:top w:val="outset" w:sz="6" w:space="0" w:color="auto"/>
              <w:left w:val="outset" w:sz="6" w:space="0" w:color="auto"/>
              <w:bottom w:val="outset" w:sz="6" w:space="0" w:color="auto"/>
            </w:tcBorders>
          </w:tcPr>
          <w:p w:rsidR="0098278D" w:rsidRPr="00271203" w:rsidRDefault="0098278D" w:rsidP="008025BE">
            <w:pPr>
              <w:spacing w:before="75" w:after="75"/>
              <w:rPr>
                <w:sz w:val="28"/>
                <w:szCs w:val="28"/>
              </w:rPr>
            </w:pPr>
            <w:r w:rsidRPr="00271203">
              <w:rPr>
                <w:sz w:val="28"/>
                <w:szCs w:val="28"/>
              </w:rPr>
              <w:t>Izglītības un zinātnes ministrija.</w:t>
            </w:r>
          </w:p>
        </w:tc>
      </w:tr>
      <w:tr w:rsidR="0098278D" w:rsidRPr="00271203" w:rsidTr="007A4AA4">
        <w:trPr>
          <w:tblCellSpacing w:w="0" w:type="dxa"/>
        </w:trPr>
        <w:tc>
          <w:tcPr>
            <w:tcW w:w="492"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4.</w:t>
            </w:r>
          </w:p>
        </w:tc>
        <w:tc>
          <w:tcPr>
            <w:tcW w:w="2176"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Cita informācija</w:t>
            </w:r>
          </w:p>
        </w:tc>
        <w:tc>
          <w:tcPr>
            <w:tcW w:w="6255" w:type="dxa"/>
            <w:tcBorders>
              <w:top w:val="outset" w:sz="6" w:space="0" w:color="auto"/>
              <w:left w:val="outset" w:sz="6" w:space="0" w:color="auto"/>
              <w:bottom w:val="outset" w:sz="6" w:space="0" w:color="auto"/>
            </w:tcBorders>
          </w:tcPr>
          <w:p w:rsidR="003327DD" w:rsidRDefault="00CC7170" w:rsidP="008025BE">
            <w:pPr>
              <w:spacing w:before="75" w:after="75"/>
              <w:jc w:val="both"/>
              <w:rPr>
                <w:sz w:val="28"/>
                <w:szCs w:val="28"/>
              </w:rPr>
            </w:pPr>
            <w:r>
              <w:rPr>
                <w:sz w:val="28"/>
                <w:szCs w:val="28"/>
              </w:rPr>
              <w:t xml:space="preserve"> </w:t>
            </w:r>
            <w:r w:rsidR="00DD45C5">
              <w:rPr>
                <w:sz w:val="28"/>
                <w:szCs w:val="28"/>
              </w:rPr>
              <w:t>R</w:t>
            </w:r>
            <w:r>
              <w:rPr>
                <w:sz w:val="28"/>
                <w:szCs w:val="28"/>
              </w:rPr>
              <w:t>īkojuma projektu saskaņā ar Ministru kabineta 2009.gada 7.aprīļa noteikumu Nr.300 “Ministru kabineta kārtības rullis” 116.punktu paredzēts lūgt pasludināt par Ministru kabineta lietu, ņemot vērā to, ka Ministru kabineta 2013.gada 25.aprīļa noteikumu Nr.230 “Studiju programmu licencēšanas noteikumi” 2.punktā noteiktais termiņš lēmumam par studiju programmas licencē</w:t>
            </w:r>
            <w:r w:rsidR="00DD45C5">
              <w:rPr>
                <w:sz w:val="28"/>
                <w:szCs w:val="28"/>
              </w:rPr>
              <w:t>šanu</w:t>
            </w:r>
            <w:r>
              <w:rPr>
                <w:sz w:val="28"/>
                <w:szCs w:val="28"/>
              </w:rPr>
              <w:t xml:space="preserve"> pieņem</w:t>
            </w:r>
            <w:r w:rsidR="00DD45C5">
              <w:rPr>
                <w:sz w:val="28"/>
                <w:szCs w:val="28"/>
              </w:rPr>
              <w:t>šanai</w:t>
            </w:r>
            <w:r>
              <w:rPr>
                <w:sz w:val="28"/>
                <w:szCs w:val="28"/>
              </w:rPr>
              <w:t>, ja licencēšanai iesniegtā studiju programma atbilst jaunam augstskolas vai koledžas studiju virzienam, ir nokavēts</w:t>
            </w:r>
            <w:r w:rsidR="00DD45C5">
              <w:rPr>
                <w:sz w:val="28"/>
                <w:szCs w:val="28"/>
              </w:rPr>
              <w:t>.</w:t>
            </w:r>
          </w:p>
          <w:p w:rsidR="0098278D" w:rsidRDefault="00DD45C5" w:rsidP="008025BE">
            <w:pPr>
              <w:spacing w:before="75" w:after="75"/>
              <w:jc w:val="both"/>
              <w:rPr>
                <w:sz w:val="28"/>
                <w:szCs w:val="28"/>
              </w:rPr>
            </w:pPr>
            <w:r>
              <w:rPr>
                <w:sz w:val="28"/>
                <w:szCs w:val="28"/>
              </w:rPr>
              <w:t>Saskaņā ar Ministru kabineta 2009.gada 7.aprīļa noteikumu Nr.300 “Ministru kabineta kārtības rullis” 117.punktu, tiesību aktu projekti, kurus lūdz pasludināt par Ministru kabineta lietu, saskaņojami ar ministrijām un citām institūcijām, kuru kompetenci jautājums tieši skar, bet noteikti ar Tieslietu ministriju un Finanšu ministriju. Ņemot vērā to, ka Labklājības ministrija ir vadošā valsts pārvaldes iestāde sociālās aizsardzības jomā, bet rīkojuma projekts skar sociālās labklājības jomu, Izglītības un zināt</w:t>
            </w:r>
            <w:r w:rsidR="0055383F">
              <w:rPr>
                <w:sz w:val="28"/>
                <w:szCs w:val="28"/>
              </w:rPr>
              <w:t>nes ministrija lūdza saskaņojumu</w:t>
            </w:r>
            <w:r>
              <w:rPr>
                <w:sz w:val="28"/>
                <w:szCs w:val="28"/>
              </w:rPr>
              <w:t xml:space="preserve"> Labklājības ministrijai.</w:t>
            </w:r>
          </w:p>
          <w:p w:rsidR="001C3652" w:rsidRPr="00271203" w:rsidRDefault="00C31BC7" w:rsidP="008025BE">
            <w:pPr>
              <w:spacing w:before="75" w:after="75"/>
              <w:jc w:val="both"/>
              <w:rPr>
                <w:sz w:val="28"/>
                <w:szCs w:val="28"/>
              </w:rPr>
            </w:pPr>
            <w:r>
              <w:rPr>
                <w:sz w:val="28"/>
                <w:szCs w:val="28"/>
              </w:rPr>
              <w:lastRenderedPageBreak/>
              <w:t>Saskaņā ar Licencēšanas noteikumu 2.punktu, lēmuma par studiju programmas licencēšanu vai atteikumu licencēt studiju programmu, ja studiju programma atbilst jaunam augstskolas vai koledžas studiju virzienam, pieņemšanas termiņš ir trīs mēneši, ņemot vērā to, ka Augstskola sākotnēji nebija iesniegusi pilnīgu informāciju, lēmuma pieņemšanas termiņš saskaņā ar Licencēšanas noteikumu 15.punktu un Administratīvā procesa likuma 64.panta otro daļu tika pagarināts līdz četriem mēnešiem no iesnieguma saņemšanas dienas. Ņemot vērā to, ka Ministru kabineta rīkojuma projekta par atteikumu atvērt studiju virzienu Augstskolā sagatavošana ir bijis ilgstošs process, Licencēšanas noteikumos noteiktais termiņš ir nokavēts, tādējādi radot Augstskolai varbūtējus zaudējumus, kuru rašanās iespēju nepieciešams novērst.</w:t>
            </w:r>
          </w:p>
        </w:tc>
      </w:tr>
    </w:tbl>
    <w:p w:rsidR="0098278D" w:rsidRPr="002C76FA" w:rsidRDefault="0098278D" w:rsidP="003624C4">
      <w:pPr>
        <w:tabs>
          <w:tab w:val="right" w:pos="8820"/>
        </w:tabs>
        <w:rPr>
          <w:sz w:val="28"/>
          <w:szCs w:val="28"/>
        </w:rPr>
      </w:pPr>
      <w:r w:rsidRPr="002C76FA">
        <w:rPr>
          <w:sz w:val="28"/>
          <w:szCs w:val="28"/>
        </w:rPr>
        <w:lastRenderedPageBreak/>
        <w:t> </w:t>
      </w:r>
    </w:p>
    <w:p w:rsidR="0098278D" w:rsidRPr="002C76FA" w:rsidRDefault="0098278D" w:rsidP="003624C4">
      <w:pPr>
        <w:tabs>
          <w:tab w:val="right" w:pos="8820"/>
        </w:tabs>
        <w:rPr>
          <w:sz w:val="28"/>
          <w:szCs w:val="28"/>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87"/>
        <w:gridCol w:w="2248"/>
        <w:gridCol w:w="6188"/>
      </w:tblGrid>
      <w:tr w:rsidR="0098278D" w:rsidRPr="00271203" w:rsidTr="00E502B4">
        <w:trPr>
          <w:tblCellSpacing w:w="0" w:type="dxa"/>
        </w:trPr>
        <w:tc>
          <w:tcPr>
            <w:tcW w:w="8923" w:type="dxa"/>
            <w:gridSpan w:val="3"/>
            <w:tcBorders>
              <w:top w:val="outset" w:sz="6" w:space="0" w:color="auto"/>
              <w:bottom w:val="outset" w:sz="6" w:space="0" w:color="auto"/>
            </w:tcBorders>
            <w:vAlign w:val="center"/>
          </w:tcPr>
          <w:p w:rsidR="0098278D" w:rsidRPr="00271203" w:rsidRDefault="0098278D" w:rsidP="008025BE">
            <w:pPr>
              <w:spacing w:before="150" w:after="150"/>
              <w:jc w:val="center"/>
              <w:rPr>
                <w:b/>
                <w:bCs/>
                <w:sz w:val="28"/>
                <w:szCs w:val="28"/>
              </w:rPr>
            </w:pPr>
            <w:r w:rsidRPr="00271203">
              <w:rPr>
                <w:b/>
                <w:bCs/>
                <w:sz w:val="28"/>
                <w:szCs w:val="28"/>
              </w:rPr>
              <w:t>II. Tiesību akta projekta ietekme uz sabiedrību, tautsaimniecības attīstību un administratīvo slogu</w:t>
            </w:r>
          </w:p>
        </w:tc>
      </w:tr>
      <w:tr w:rsidR="0098278D" w:rsidRPr="00271203" w:rsidTr="00E502B4">
        <w:trPr>
          <w:trHeight w:val="467"/>
          <w:tblCellSpacing w:w="0" w:type="dxa"/>
        </w:trPr>
        <w:tc>
          <w:tcPr>
            <w:tcW w:w="487"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1.</w:t>
            </w:r>
          </w:p>
        </w:tc>
        <w:tc>
          <w:tcPr>
            <w:tcW w:w="2248"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xml:space="preserve">Sabiedrības </w:t>
            </w:r>
            <w:proofErr w:type="spellStart"/>
            <w:r w:rsidRPr="00271203">
              <w:rPr>
                <w:sz w:val="28"/>
                <w:szCs w:val="28"/>
              </w:rPr>
              <w:t>mērķgrupas</w:t>
            </w:r>
            <w:proofErr w:type="spellEnd"/>
            <w:r w:rsidRPr="00271203">
              <w:rPr>
                <w:sz w:val="28"/>
                <w:szCs w:val="28"/>
              </w:rPr>
              <w:t>, kuras tiesiskais regulējums ietekmē vai varētu ietekmēt</w:t>
            </w:r>
          </w:p>
        </w:tc>
        <w:tc>
          <w:tcPr>
            <w:tcW w:w="6188" w:type="dxa"/>
            <w:tcBorders>
              <w:top w:val="outset" w:sz="6" w:space="0" w:color="auto"/>
              <w:left w:val="outset" w:sz="6" w:space="0" w:color="auto"/>
              <w:bottom w:val="outset" w:sz="6" w:space="0" w:color="auto"/>
            </w:tcBorders>
          </w:tcPr>
          <w:p w:rsidR="0098278D" w:rsidRPr="00271203" w:rsidRDefault="0098278D" w:rsidP="00C03EFF">
            <w:pPr>
              <w:jc w:val="both"/>
              <w:rPr>
                <w:sz w:val="28"/>
                <w:szCs w:val="28"/>
              </w:rPr>
            </w:pPr>
            <w:r w:rsidRPr="00271203">
              <w:rPr>
                <w:sz w:val="28"/>
                <w:szCs w:val="28"/>
              </w:rPr>
              <w:t>Rīkojuma projekts attiecas</w:t>
            </w:r>
            <w:r w:rsidR="00354409">
              <w:rPr>
                <w:sz w:val="28"/>
                <w:szCs w:val="28"/>
              </w:rPr>
              <w:t xml:space="preserve"> uz A</w:t>
            </w:r>
            <w:r w:rsidRPr="00271203">
              <w:rPr>
                <w:sz w:val="28"/>
                <w:szCs w:val="28"/>
              </w:rPr>
              <w:t>ugstskolu</w:t>
            </w:r>
            <w:r w:rsidR="00354409">
              <w:rPr>
                <w:sz w:val="28"/>
                <w:szCs w:val="28"/>
              </w:rPr>
              <w:t>.</w:t>
            </w:r>
          </w:p>
        </w:tc>
      </w:tr>
      <w:tr w:rsidR="0098278D" w:rsidRPr="00271203" w:rsidTr="00E502B4">
        <w:trPr>
          <w:trHeight w:val="517"/>
          <w:tblCellSpacing w:w="0" w:type="dxa"/>
        </w:trPr>
        <w:tc>
          <w:tcPr>
            <w:tcW w:w="487"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2.</w:t>
            </w:r>
          </w:p>
        </w:tc>
        <w:tc>
          <w:tcPr>
            <w:tcW w:w="2248"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Tiesiskā regulējuma ietekme uz tautsaimniecību un administratīvo slogu</w:t>
            </w:r>
          </w:p>
        </w:tc>
        <w:tc>
          <w:tcPr>
            <w:tcW w:w="6188" w:type="dxa"/>
            <w:tcBorders>
              <w:top w:val="outset" w:sz="6" w:space="0" w:color="auto"/>
              <w:left w:val="outset" w:sz="6" w:space="0" w:color="auto"/>
              <w:bottom w:val="outset" w:sz="6" w:space="0" w:color="auto"/>
            </w:tcBorders>
          </w:tcPr>
          <w:p w:rsidR="0098278D" w:rsidRPr="00271203" w:rsidRDefault="00354409" w:rsidP="00D92851">
            <w:pPr>
              <w:ind w:right="-1"/>
              <w:jc w:val="both"/>
              <w:rPr>
                <w:sz w:val="28"/>
                <w:szCs w:val="28"/>
              </w:rPr>
            </w:pPr>
            <w:r w:rsidRPr="00354409">
              <w:rPr>
                <w:sz w:val="28"/>
                <w:szCs w:val="26"/>
              </w:rPr>
              <w:t>Ja studiju virziens netiek atvērts, ietekmes uz tautsaimniecību un administratīvo slogu nav.</w:t>
            </w:r>
          </w:p>
        </w:tc>
      </w:tr>
      <w:tr w:rsidR="0098278D" w:rsidRPr="00271203" w:rsidTr="00E502B4">
        <w:trPr>
          <w:trHeight w:val="357"/>
          <w:tblCellSpacing w:w="0" w:type="dxa"/>
        </w:trPr>
        <w:tc>
          <w:tcPr>
            <w:tcW w:w="487"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3.</w:t>
            </w:r>
          </w:p>
        </w:tc>
        <w:tc>
          <w:tcPr>
            <w:tcW w:w="2248"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Administratīvo izmaksu monetārs novērtējums</w:t>
            </w:r>
          </w:p>
        </w:tc>
        <w:tc>
          <w:tcPr>
            <w:tcW w:w="6188" w:type="dxa"/>
            <w:tcBorders>
              <w:top w:val="outset" w:sz="6" w:space="0" w:color="auto"/>
              <w:left w:val="outset" w:sz="6" w:space="0" w:color="auto"/>
              <w:bottom w:val="outset" w:sz="6" w:space="0" w:color="auto"/>
            </w:tcBorders>
          </w:tcPr>
          <w:p w:rsidR="0098278D" w:rsidRPr="00271203" w:rsidRDefault="00EF15B4" w:rsidP="008025BE">
            <w:pPr>
              <w:spacing w:before="75" w:after="75"/>
              <w:jc w:val="both"/>
              <w:rPr>
                <w:sz w:val="28"/>
                <w:szCs w:val="28"/>
              </w:rPr>
            </w:pPr>
            <w:r>
              <w:rPr>
                <w:sz w:val="28"/>
                <w:szCs w:val="28"/>
              </w:rPr>
              <w:t xml:space="preserve"> Projekts šo jomu neskar.</w:t>
            </w:r>
          </w:p>
        </w:tc>
      </w:tr>
      <w:tr w:rsidR="0098278D" w:rsidRPr="00271203" w:rsidTr="00E502B4">
        <w:trPr>
          <w:tblCellSpacing w:w="0" w:type="dxa"/>
        </w:trPr>
        <w:tc>
          <w:tcPr>
            <w:tcW w:w="487"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4.</w:t>
            </w:r>
          </w:p>
        </w:tc>
        <w:tc>
          <w:tcPr>
            <w:tcW w:w="2248"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Cita informācija</w:t>
            </w:r>
          </w:p>
        </w:tc>
        <w:tc>
          <w:tcPr>
            <w:tcW w:w="6188" w:type="dxa"/>
            <w:tcBorders>
              <w:top w:val="outset" w:sz="6" w:space="0" w:color="auto"/>
              <w:left w:val="outset" w:sz="6" w:space="0" w:color="auto"/>
              <w:bottom w:val="outset" w:sz="6" w:space="0" w:color="auto"/>
            </w:tcBorders>
          </w:tcPr>
          <w:p w:rsidR="0098278D" w:rsidRPr="00271203" w:rsidRDefault="0098278D" w:rsidP="008025BE">
            <w:pPr>
              <w:jc w:val="both"/>
              <w:rPr>
                <w:sz w:val="28"/>
                <w:szCs w:val="28"/>
              </w:rPr>
            </w:pPr>
            <w:r w:rsidRPr="00271203">
              <w:rPr>
                <w:sz w:val="28"/>
                <w:szCs w:val="28"/>
              </w:rPr>
              <w:t>Nav</w:t>
            </w:r>
          </w:p>
        </w:tc>
      </w:tr>
    </w:tbl>
    <w:p w:rsidR="0098278D" w:rsidRPr="002C76FA" w:rsidRDefault="0098278D" w:rsidP="003624C4">
      <w:pPr>
        <w:tabs>
          <w:tab w:val="right" w:pos="8820"/>
        </w:tabs>
        <w:rPr>
          <w:sz w:val="28"/>
          <w:szCs w:val="28"/>
        </w:rPr>
      </w:pPr>
    </w:p>
    <w:p w:rsidR="0098278D" w:rsidRPr="002C76FA" w:rsidRDefault="0098278D" w:rsidP="003624C4">
      <w:pPr>
        <w:rPr>
          <w:iCs/>
          <w:sz w:val="28"/>
          <w:szCs w:val="28"/>
        </w:rPr>
      </w:pPr>
      <w:r w:rsidRPr="002C76FA">
        <w:rPr>
          <w:sz w:val="28"/>
          <w:szCs w:val="28"/>
        </w:rPr>
        <w:lastRenderedPageBreak/>
        <w:t> Anotācijas III</w:t>
      </w:r>
      <w:r>
        <w:rPr>
          <w:sz w:val="28"/>
          <w:szCs w:val="28"/>
        </w:rPr>
        <w:t xml:space="preserve">, IV, V un VI </w:t>
      </w:r>
      <w:r w:rsidRPr="002C76FA">
        <w:rPr>
          <w:sz w:val="28"/>
          <w:szCs w:val="28"/>
        </w:rPr>
        <w:t>sadaļa</w:t>
      </w:r>
      <w:r w:rsidRPr="002C76FA">
        <w:rPr>
          <w:b/>
          <w:sz w:val="28"/>
          <w:szCs w:val="28"/>
        </w:rPr>
        <w:t xml:space="preserve"> – </w:t>
      </w:r>
      <w:r>
        <w:rPr>
          <w:sz w:val="28"/>
          <w:szCs w:val="28"/>
        </w:rPr>
        <w:t>projekts šīs jomas neskar</w:t>
      </w:r>
      <w:r w:rsidRPr="00EA7C02">
        <w:rPr>
          <w:sz w:val="28"/>
          <w:szCs w:val="28"/>
        </w:rPr>
        <w:t>.</w:t>
      </w:r>
    </w:p>
    <w:p w:rsidR="0098278D" w:rsidRDefault="0098278D" w:rsidP="003624C4">
      <w:pPr>
        <w:spacing w:before="75" w:after="75"/>
        <w:ind w:firstLine="375"/>
        <w:jc w:val="both"/>
        <w:outlineLvl w:val="0"/>
        <w:rPr>
          <w:b/>
          <w:sz w:val="28"/>
          <w:szCs w:val="28"/>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5"/>
        <w:gridCol w:w="2990"/>
        <w:gridCol w:w="5458"/>
      </w:tblGrid>
      <w:tr w:rsidR="0098278D" w:rsidRPr="00271203" w:rsidTr="00E502B4">
        <w:trPr>
          <w:tblCellSpacing w:w="0" w:type="dxa"/>
        </w:trPr>
        <w:tc>
          <w:tcPr>
            <w:tcW w:w="8923" w:type="dxa"/>
            <w:gridSpan w:val="3"/>
            <w:tcBorders>
              <w:top w:val="outset" w:sz="6" w:space="0" w:color="auto"/>
              <w:bottom w:val="outset" w:sz="6" w:space="0" w:color="auto"/>
            </w:tcBorders>
          </w:tcPr>
          <w:p w:rsidR="0098278D" w:rsidRPr="00271203" w:rsidRDefault="0098278D" w:rsidP="008025BE">
            <w:pPr>
              <w:jc w:val="center"/>
              <w:rPr>
                <w:b/>
                <w:sz w:val="28"/>
                <w:szCs w:val="28"/>
              </w:rPr>
            </w:pPr>
            <w:r w:rsidRPr="00271203">
              <w:rPr>
                <w:b/>
                <w:bCs/>
                <w:sz w:val="28"/>
                <w:szCs w:val="28"/>
              </w:rPr>
              <w:t> VII. Tiesību akta projekta izpildes nodrošināšana un tās ietekme uz institūcijām</w:t>
            </w:r>
          </w:p>
        </w:tc>
      </w:tr>
      <w:tr w:rsidR="0098278D" w:rsidRPr="00271203" w:rsidTr="00E502B4">
        <w:trPr>
          <w:trHeight w:val="427"/>
          <w:tblCellSpacing w:w="0" w:type="dxa"/>
        </w:trPr>
        <w:tc>
          <w:tcPr>
            <w:tcW w:w="475" w:type="dxa"/>
            <w:tcBorders>
              <w:top w:val="outset" w:sz="6" w:space="0" w:color="auto"/>
              <w:bottom w:val="outset" w:sz="6" w:space="0" w:color="auto"/>
              <w:right w:val="outset" w:sz="6" w:space="0" w:color="auto"/>
            </w:tcBorders>
          </w:tcPr>
          <w:p w:rsidR="0098278D" w:rsidRPr="00271203" w:rsidRDefault="0098278D" w:rsidP="008025BE">
            <w:pPr>
              <w:jc w:val="both"/>
              <w:rPr>
                <w:sz w:val="28"/>
                <w:szCs w:val="28"/>
              </w:rPr>
            </w:pPr>
            <w:r w:rsidRPr="00271203">
              <w:rPr>
                <w:sz w:val="28"/>
                <w:szCs w:val="28"/>
              </w:rPr>
              <w:t> 1.</w:t>
            </w:r>
          </w:p>
        </w:tc>
        <w:tc>
          <w:tcPr>
            <w:tcW w:w="2990"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jc w:val="both"/>
              <w:rPr>
                <w:sz w:val="28"/>
                <w:szCs w:val="28"/>
              </w:rPr>
            </w:pPr>
            <w:r w:rsidRPr="00271203">
              <w:rPr>
                <w:sz w:val="28"/>
                <w:szCs w:val="28"/>
              </w:rPr>
              <w:t>Projekta izpildē iesaistītās institūcijas</w:t>
            </w:r>
          </w:p>
        </w:tc>
        <w:tc>
          <w:tcPr>
            <w:tcW w:w="5458" w:type="dxa"/>
            <w:tcBorders>
              <w:top w:val="outset" w:sz="6" w:space="0" w:color="auto"/>
              <w:left w:val="outset" w:sz="6" w:space="0" w:color="auto"/>
              <w:bottom w:val="outset" w:sz="6" w:space="0" w:color="auto"/>
            </w:tcBorders>
          </w:tcPr>
          <w:p w:rsidR="0098278D" w:rsidRPr="00271203" w:rsidRDefault="0098278D" w:rsidP="00C03EFF">
            <w:pPr>
              <w:jc w:val="both"/>
              <w:rPr>
                <w:sz w:val="28"/>
                <w:szCs w:val="28"/>
                <w:highlight w:val="yellow"/>
              </w:rPr>
            </w:pPr>
            <w:r w:rsidRPr="00271203">
              <w:rPr>
                <w:sz w:val="28"/>
                <w:szCs w:val="28"/>
              </w:rPr>
              <w:t>Rīkojuma projekta izpildē būs iesaistītas Studiju prog</w:t>
            </w:r>
            <w:r w:rsidR="00354409">
              <w:rPr>
                <w:sz w:val="28"/>
                <w:szCs w:val="28"/>
              </w:rPr>
              <w:t>rammu licencēšanas komisija un A</w:t>
            </w:r>
            <w:r w:rsidRPr="00271203">
              <w:rPr>
                <w:sz w:val="28"/>
                <w:szCs w:val="28"/>
              </w:rPr>
              <w:t>ugstskola.</w:t>
            </w:r>
          </w:p>
        </w:tc>
      </w:tr>
      <w:tr w:rsidR="0098278D" w:rsidRPr="00271203" w:rsidTr="00E502B4">
        <w:trPr>
          <w:trHeight w:val="463"/>
          <w:tblCellSpacing w:w="0" w:type="dxa"/>
        </w:trPr>
        <w:tc>
          <w:tcPr>
            <w:tcW w:w="475" w:type="dxa"/>
            <w:tcBorders>
              <w:top w:val="outset" w:sz="6" w:space="0" w:color="auto"/>
              <w:bottom w:val="outset" w:sz="6" w:space="0" w:color="auto"/>
              <w:right w:val="outset" w:sz="6" w:space="0" w:color="auto"/>
            </w:tcBorders>
          </w:tcPr>
          <w:p w:rsidR="0098278D" w:rsidRPr="00271203" w:rsidRDefault="0098278D" w:rsidP="008025BE">
            <w:pPr>
              <w:jc w:val="both"/>
              <w:rPr>
                <w:sz w:val="28"/>
                <w:szCs w:val="28"/>
              </w:rPr>
            </w:pPr>
            <w:r w:rsidRPr="00271203">
              <w:rPr>
                <w:sz w:val="28"/>
                <w:szCs w:val="28"/>
              </w:rPr>
              <w:t> 2.</w:t>
            </w:r>
          </w:p>
        </w:tc>
        <w:tc>
          <w:tcPr>
            <w:tcW w:w="2990"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jc w:val="both"/>
              <w:rPr>
                <w:sz w:val="28"/>
                <w:szCs w:val="28"/>
              </w:rPr>
            </w:pPr>
            <w:r w:rsidRPr="00271203">
              <w:rPr>
                <w:sz w:val="28"/>
                <w:szCs w:val="28"/>
              </w:rPr>
              <w:t>Projekta izpildes ietekme uz pārvaldes funkcijām un institucionālo struktūru. Jaunu institūciju izveide, esošo institūciju likvidācija vai reorganizācija, to ietekme uz institūcijas cilvēkresursiem</w:t>
            </w:r>
          </w:p>
        </w:tc>
        <w:tc>
          <w:tcPr>
            <w:tcW w:w="5458" w:type="dxa"/>
            <w:tcBorders>
              <w:top w:val="outset" w:sz="6" w:space="0" w:color="auto"/>
              <w:left w:val="outset" w:sz="6" w:space="0" w:color="auto"/>
              <w:bottom w:val="outset" w:sz="6" w:space="0" w:color="auto"/>
            </w:tcBorders>
          </w:tcPr>
          <w:p w:rsidR="0098278D" w:rsidRPr="00271203" w:rsidRDefault="0098278D" w:rsidP="008025BE">
            <w:pPr>
              <w:jc w:val="both"/>
              <w:rPr>
                <w:sz w:val="28"/>
                <w:szCs w:val="28"/>
                <w:highlight w:val="yellow"/>
              </w:rPr>
            </w:pPr>
            <w:r w:rsidRPr="00271203">
              <w:rPr>
                <w:sz w:val="28"/>
                <w:szCs w:val="28"/>
              </w:rPr>
              <w:t>Pārvaldes funkcijas un uzdevumi netiek grozīti, institucionālā struktūra netiek mainīta. Jaunas institūcijas netiks izveidotas. Esošās institūcijas netiks likvidētas vai reorganizētas</w:t>
            </w:r>
          </w:p>
        </w:tc>
      </w:tr>
      <w:tr w:rsidR="0098278D" w:rsidRPr="00271203" w:rsidTr="00E502B4">
        <w:trPr>
          <w:trHeight w:val="312"/>
          <w:tblCellSpacing w:w="0" w:type="dxa"/>
        </w:trPr>
        <w:tc>
          <w:tcPr>
            <w:tcW w:w="475" w:type="dxa"/>
            <w:tcBorders>
              <w:top w:val="outset" w:sz="6" w:space="0" w:color="auto"/>
              <w:bottom w:val="outset" w:sz="6" w:space="0" w:color="auto"/>
              <w:right w:val="outset" w:sz="6" w:space="0" w:color="auto"/>
            </w:tcBorders>
          </w:tcPr>
          <w:p w:rsidR="0098278D" w:rsidRPr="00271203" w:rsidRDefault="0098278D" w:rsidP="008025BE">
            <w:pPr>
              <w:rPr>
                <w:sz w:val="28"/>
                <w:szCs w:val="28"/>
              </w:rPr>
            </w:pPr>
            <w:r w:rsidRPr="00271203">
              <w:rPr>
                <w:sz w:val="28"/>
                <w:szCs w:val="28"/>
              </w:rPr>
              <w:t> 3.</w:t>
            </w:r>
          </w:p>
        </w:tc>
        <w:tc>
          <w:tcPr>
            <w:tcW w:w="2990"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rPr>
                <w:sz w:val="28"/>
                <w:szCs w:val="28"/>
              </w:rPr>
            </w:pPr>
            <w:r w:rsidRPr="00271203">
              <w:rPr>
                <w:sz w:val="28"/>
                <w:szCs w:val="28"/>
              </w:rPr>
              <w:t>Cita informācija</w:t>
            </w:r>
          </w:p>
        </w:tc>
        <w:tc>
          <w:tcPr>
            <w:tcW w:w="5458" w:type="dxa"/>
            <w:tcBorders>
              <w:top w:val="outset" w:sz="6" w:space="0" w:color="auto"/>
              <w:left w:val="outset" w:sz="6" w:space="0" w:color="auto"/>
              <w:bottom w:val="outset" w:sz="6" w:space="0" w:color="auto"/>
            </w:tcBorders>
          </w:tcPr>
          <w:p w:rsidR="0098278D" w:rsidRPr="00271203" w:rsidRDefault="0098278D" w:rsidP="008025BE">
            <w:pPr>
              <w:rPr>
                <w:sz w:val="28"/>
                <w:szCs w:val="28"/>
              </w:rPr>
            </w:pPr>
            <w:r w:rsidRPr="00271203">
              <w:rPr>
                <w:sz w:val="28"/>
                <w:szCs w:val="28"/>
              </w:rPr>
              <w:t>Nav</w:t>
            </w:r>
          </w:p>
        </w:tc>
      </w:tr>
    </w:tbl>
    <w:p w:rsidR="0098278D" w:rsidRDefault="0098278D" w:rsidP="003624C4">
      <w:pPr>
        <w:tabs>
          <w:tab w:val="right" w:pos="8820"/>
        </w:tabs>
        <w:rPr>
          <w:sz w:val="28"/>
          <w:szCs w:val="28"/>
        </w:rPr>
      </w:pPr>
    </w:p>
    <w:p w:rsidR="0098278D" w:rsidRPr="002C76FA" w:rsidRDefault="0098278D" w:rsidP="003624C4">
      <w:pPr>
        <w:tabs>
          <w:tab w:val="right" w:pos="8820"/>
        </w:tabs>
        <w:rPr>
          <w:sz w:val="28"/>
          <w:szCs w:val="28"/>
        </w:rPr>
      </w:pPr>
    </w:p>
    <w:p w:rsidR="0098278D" w:rsidRPr="00354409" w:rsidRDefault="00C2178A" w:rsidP="0018706E">
      <w:pPr>
        <w:spacing w:after="0"/>
        <w:jc w:val="both"/>
        <w:rPr>
          <w:sz w:val="28"/>
          <w:szCs w:val="28"/>
        </w:rPr>
      </w:pPr>
      <w:r>
        <w:rPr>
          <w:sz w:val="28"/>
          <w:szCs w:val="28"/>
        </w:rPr>
        <w:t>I</w:t>
      </w:r>
      <w:r w:rsidR="0018706E">
        <w:rPr>
          <w:sz w:val="28"/>
          <w:szCs w:val="28"/>
        </w:rPr>
        <w:t>zglītības</w:t>
      </w:r>
      <w:r>
        <w:rPr>
          <w:sz w:val="28"/>
          <w:szCs w:val="28"/>
        </w:rPr>
        <w:t xml:space="preserve"> un zinātnes ministre</w:t>
      </w:r>
      <w:r w:rsidR="0098278D" w:rsidRPr="00354409">
        <w:rPr>
          <w:sz w:val="28"/>
          <w:szCs w:val="28"/>
        </w:rPr>
        <w:tab/>
      </w:r>
      <w:r w:rsidR="0098278D" w:rsidRPr="00354409">
        <w:rPr>
          <w:sz w:val="28"/>
          <w:szCs w:val="28"/>
        </w:rPr>
        <w:tab/>
      </w:r>
      <w:r w:rsidR="0098278D" w:rsidRPr="00354409">
        <w:rPr>
          <w:sz w:val="28"/>
          <w:szCs w:val="28"/>
        </w:rPr>
        <w:tab/>
      </w:r>
      <w:r w:rsidR="0098278D" w:rsidRPr="00354409">
        <w:rPr>
          <w:sz w:val="28"/>
          <w:szCs w:val="28"/>
        </w:rPr>
        <w:tab/>
      </w:r>
      <w:r w:rsidR="0098278D" w:rsidRPr="00354409">
        <w:rPr>
          <w:sz w:val="28"/>
          <w:szCs w:val="28"/>
        </w:rPr>
        <w:tab/>
      </w:r>
      <w:r w:rsidR="0098278D" w:rsidRPr="00354409">
        <w:rPr>
          <w:sz w:val="28"/>
          <w:szCs w:val="28"/>
        </w:rPr>
        <w:tab/>
      </w:r>
      <w:proofErr w:type="spellStart"/>
      <w:r>
        <w:rPr>
          <w:sz w:val="28"/>
          <w:szCs w:val="28"/>
        </w:rPr>
        <w:t>M.Seile</w:t>
      </w:r>
      <w:proofErr w:type="spellEnd"/>
    </w:p>
    <w:p w:rsidR="0098278D" w:rsidRPr="00354409" w:rsidRDefault="0098278D" w:rsidP="003624C4">
      <w:pPr>
        <w:pStyle w:val="naisf"/>
        <w:spacing w:before="0" w:beforeAutospacing="0" w:after="0" w:afterAutospacing="0"/>
        <w:rPr>
          <w:sz w:val="28"/>
          <w:szCs w:val="28"/>
        </w:rPr>
      </w:pPr>
    </w:p>
    <w:p w:rsidR="0098278D" w:rsidRPr="00354409" w:rsidRDefault="0098278D" w:rsidP="003624C4">
      <w:pPr>
        <w:pStyle w:val="naisf"/>
        <w:spacing w:before="0" w:beforeAutospacing="0" w:after="0" w:afterAutospacing="0"/>
        <w:rPr>
          <w:sz w:val="28"/>
          <w:szCs w:val="28"/>
        </w:rPr>
      </w:pPr>
    </w:p>
    <w:p w:rsidR="00354409" w:rsidRPr="00354409" w:rsidRDefault="00C55616" w:rsidP="00354409">
      <w:pPr>
        <w:spacing w:after="0" w:line="240" w:lineRule="auto"/>
        <w:jc w:val="both"/>
        <w:rPr>
          <w:rFonts w:eastAsia="Times New Roman"/>
          <w:bCs/>
          <w:kern w:val="32"/>
          <w:sz w:val="28"/>
          <w:szCs w:val="28"/>
        </w:rPr>
      </w:pPr>
      <w:r>
        <w:rPr>
          <w:rFonts w:eastAsia="Times New Roman"/>
          <w:bCs/>
          <w:kern w:val="32"/>
          <w:sz w:val="28"/>
          <w:szCs w:val="28"/>
        </w:rPr>
        <w:t>Valsts sekretāra vietniece</w:t>
      </w:r>
      <w:r w:rsidR="00354409" w:rsidRPr="00354409">
        <w:rPr>
          <w:rFonts w:eastAsia="Times New Roman"/>
          <w:bCs/>
          <w:kern w:val="32"/>
          <w:sz w:val="28"/>
          <w:szCs w:val="28"/>
        </w:rPr>
        <w:t xml:space="preserve"> – </w:t>
      </w:r>
      <w:r w:rsidR="00354409" w:rsidRPr="00354409">
        <w:rPr>
          <w:rFonts w:eastAsia="Times New Roman"/>
          <w:bCs/>
          <w:kern w:val="32"/>
          <w:sz w:val="28"/>
          <w:szCs w:val="28"/>
        </w:rPr>
        <w:tab/>
      </w:r>
      <w:r w:rsidR="00354409" w:rsidRPr="00354409">
        <w:rPr>
          <w:rFonts w:eastAsia="Times New Roman"/>
          <w:bCs/>
          <w:kern w:val="32"/>
          <w:sz w:val="28"/>
          <w:szCs w:val="28"/>
        </w:rPr>
        <w:tab/>
      </w:r>
      <w:r w:rsidR="00354409" w:rsidRPr="00354409">
        <w:rPr>
          <w:rFonts w:eastAsia="Times New Roman"/>
          <w:bCs/>
          <w:kern w:val="32"/>
          <w:sz w:val="28"/>
          <w:szCs w:val="28"/>
        </w:rPr>
        <w:tab/>
      </w:r>
      <w:r w:rsidR="00354409" w:rsidRPr="00354409">
        <w:rPr>
          <w:rFonts w:eastAsia="Times New Roman"/>
          <w:bCs/>
          <w:kern w:val="32"/>
          <w:sz w:val="28"/>
          <w:szCs w:val="28"/>
        </w:rPr>
        <w:tab/>
      </w:r>
      <w:r w:rsidR="00354409" w:rsidRPr="00354409">
        <w:rPr>
          <w:rFonts w:eastAsia="Times New Roman"/>
          <w:bCs/>
          <w:kern w:val="32"/>
          <w:sz w:val="28"/>
          <w:szCs w:val="28"/>
        </w:rPr>
        <w:tab/>
      </w:r>
    </w:p>
    <w:p w:rsidR="00354409" w:rsidRPr="00354409" w:rsidRDefault="009034E4" w:rsidP="00354409">
      <w:pPr>
        <w:spacing w:after="0" w:line="240" w:lineRule="auto"/>
        <w:jc w:val="both"/>
        <w:rPr>
          <w:rFonts w:eastAsia="Times New Roman"/>
          <w:bCs/>
          <w:kern w:val="32"/>
          <w:sz w:val="28"/>
          <w:szCs w:val="28"/>
        </w:rPr>
      </w:pPr>
      <w:r>
        <w:rPr>
          <w:rFonts w:eastAsia="Times New Roman"/>
          <w:bCs/>
          <w:kern w:val="32"/>
          <w:sz w:val="28"/>
          <w:szCs w:val="28"/>
        </w:rPr>
        <w:t xml:space="preserve">Izglītības </w:t>
      </w:r>
      <w:r w:rsidR="00C55616">
        <w:rPr>
          <w:rFonts w:eastAsia="Times New Roman"/>
          <w:bCs/>
          <w:kern w:val="32"/>
          <w:sz w:val="28"/>
          <w:szCs w:val="28"/>
        </w:rPr>
        <w:t>departamenta direktore</w:t>
      </w:r>
      <w:r w:rsidR="00354409" w:rsidRPr="00354409">
        <w:rPr>
          <w:rFonts w:eastAsia="Times New Roman"/>
          <w:bCs/>
          <w:kern w:val="32"/>
          <w:sz w:val="28"/>
          <w:szCs w:val="28"/>
        </w:rPr>
        <w:t xml:space="preserve">, </w:t>
      </w:r>
    </w:p>
    <w:p w:rsidR="00354409" w:rsidRPr="00354409" w:rsidRDefault="00354409" w:rsidP="00354409">
      <w:pPr>
        <w:spacing w:after="0" w:line="240" w:lineRule="auto"/>
        <w:jc w:val="both"/>
        <w:rPr>
          <w:rFonts w:eastAsia="Times New Roman"/>
          <w:sz w:val="28"/>
          <w:szCs w:val="28"/>
        </w:rPr>
      </w:pPr>
      <w:r w:rsidRPr="00354409">
        <w:rPr>
          <w:rFonts w:eastAsia="Times New Roman"/>
          <w:bCs/>
          <w:kern w:val="32"/>
          <w:sz w:val="28"/>
          <w:szCs w:val="28"/>
        </w:rPr>
        <w:t>valsts sekr</w:t>
      </w:r>
      <w:r w:rsidR="00C55616">
        <w:rPr>
          <w:rFonts w:eastAsia="Times New Roman"/>
          <w:bCs/>
          <w:kern w:val="32"/>
          <w:sz w:val="28"/>
          <w:szCs w:val="28"/>
        </w:rPr>
        <w:t>etāra pienākumu izpildītāja</w:t>
      </w:r>
      <w:r>
        <w:rPr>
          <w:rFonts w:eastAsia="Times New Roman"/>
          <w:bCs/>
          <w:kern w:val="32"/>
          <w:sz w:val="28"/>
          <w:szCs w:val="28"/>
        </w:rPr>
        <w:tab/>
      </w:r>
      <w:r>
        <w:rPr>
          <w:rFonts w:eastAsia="Times New Roman"/>
          <w:bCs/>
          <w:kern w:val="32"/>
          <w:sz w:val="28"/>
          <w:szCs w:val="28"/>
        </w:rPr>
        <w:tab/>
      </w:r>
      <w:r>
        <w:rPr>
          <w:rFonts w:eastAsia="Times New Roman"/>
          <w:bCs/>
          <w:kern w:val="32"/>
          <w:sz w:val="28"/>
          <w:szCs w:val="28"/>
        </w:rPr>
        <w:tab/>
      </w:r>
      <w:r w:rsidR="009034E4">
        <w:rPr>
          <w:rFonts w:eastAsia="Times New Roman"/>
          <w:bCs/>
          <w:kern w:val="32"/>
          <w:sz w:val="28"/>
          <w:szCs w:val="28"/>
        </w:rPr>
        <w:tab/>
      </w:r>
      <w:proofErr w:type="spellStart"/>
      <w:r w:rsidR="009034E4">
        <w:rPr>
          <w:rFonts w:eastAsia="Times New Roman"/>
          <w:bCs/>
          <w:kern w:val="32"/>
          <w:sz w:val="28"/>
          <w:szCs w:val="28"/>
        </w:rPr>
        <w:t>E.Papule</w:t>
      </w:r>
      <w:proofErr w:type="spellEnd"/>
    </w:p>
    <w:p w:rsidR="0098278D" w:rsidRDefault="0098278D" w:rsidP="003624C4">
      <w:pPr>
        <w:tabs>
          <w:tab w:val="left" w:pos="1134"/>
          <w:tab w:val="left" w:pos="6946"/>
        </w:tabs>
        <w:ind w:left="720"/>
        <w:jc w:val="both"/>
        <w:rPr>
          <w:color w:val="000000"/>
          <w:sz w:val="28"/>
          <w:szCs w:val="28"/>
        </w:rPr>
      </w:pPr>
    </w:p>
    <w:p w:rsidR="00354409" w:rsidRDefault="00354409" w:rsidP="003624C4">
      <w:pPr>
        <w:tabs>
          <w:tab w:val="left" w:pos="1134"/>
          <w:tab w:val="left" w:pos="6946"/>
        </w:tabs>
        <w:ind w:left="720"/>
        <w:jc w:val="both"/>
        <w:rPr>
          <w:color w:val="000000"/>
          <w:sz w:val="28"/>
          <w:szCs w:val="28"/>
        </w:rPr>
      </w:pPr>
    </w:p>
    <w:p w:rsidR="00354409" w:rsidRPr="007849ED" w:rsidRDefault="00354409" w:rsidP="003624C4">
      <w:pPr>
        <w:tabs>
          <w:tab w:val="left" w:pos="1134"/>
          <w:tab w:val="left" w:pos="6946"/>
        </w:tabs>
        <w:ind w:left="720"/>
        <w:jc w:val="both"/>
        <w:rPr>
          <w:color w:val="000000"/>
          <w:sz w:val="28"/>
          <w:szCs w:val="28"/>
        </w:rPr>
      </w:pPr>
    </w:p>
    <w:p w:rsidR="00354409" w:rsidRPr="00BC2571" w:rsidRDefault="00C243A2" w:rsidP="00354409">
      <w:pPr>
        <w:tabs>
          <w:tab w:val="left" w:pos="6804"/>
        </w:tabs>
        <w:spacing w:after="0"/>
        <w:rPr>
          <w:sz w:val="20"/>
          <w:szCs w:val="20"/>
        </w:rPr>
      </w:pPr>
      <w:r>
        <w:rPr>
          <w:sz w:val="20"/>
          <w:szCs w:val="20"/>
        </w:rPr>
        <w:t>02</w:t>
      </w:r>
      <w:r w:rsidR="002475B7">
        <w:rPr>
          <w:sz w:val="20"/>
          <w:szCs w:val="20"/>
        </w:rPr>
        <w:t>.04</w:t>
      </w:r>
      <w:r w:rsidR="00354409">
        <w:rPr>
          <w:sz w:val="20"/>
          <w:szCs w:val="20"/>
        </w:rPr>
        <w:t>.2015.</w:t>
      </w:r>
    </w:p>
    <w:p w:rsidR="00354409" w:rsidRPr="00BC2571" w:rsidRDefault="002475B7" w:rsidP="00354409">
      <w:pPr>
        <w:tabs>
          <w:tab w:val="left" w:pos="6804"/>
        </w:tabs>
        <w:spacing w:after="0"/>
        <w:rPr>
          <w:sz w:val="20"/>
          <w:szCs w:val="20"/>
        </w:rPr>
      </w:pPr>
      <w:r>
        <w:rPr>
          <w:sz w:val="20"/>
          <w:szCs w:val="20"/>
        </w:rPr>
        <w:t>1</w:t>
      </w:r>
      <w:r w:rsidR="00C243A2">
        <w:rPr>
          <w:sz w:val="20"/>
          <w:szCs w:val="20"/>
        </w:rPr>
        <w:t>402</w:t>
      </w:r>
      <w:bookmarkStart w:id="0" w:name="_GoBack"/>
      <w:bookmarkEnd w:id="0"/>
    </w:p>
    <w:p w:rsidR="00354409" w:rsidRDefault="00354409" w:rsidP="00354409">
      <w:pPr>
        <w:tabs>
          <w:tab w:val="left" w:pos="6804"/>
        </w:tabs>
        <w:spacing w:after="0"/>
        <w:rPr>
          <w:sz w:val="20"/>
          <w:szCs w:val="20"/>
        </w:rPr>
      </w:pPr>
      <w:bookmarkStart w:id="1" w:name="OLE_LINK3"/>
      <w:bookmarkStart w:id="2" w:name="OLE_LINK4"/>
      <w:bookmarkStart w:id="3" w:name="OLE_LINK5"/>
      <w:bookmarkStart w:id="4" w:name="OLE_LINK6"/>
      <w:proofErr w:type="spellStart"/>
      <w:r>
        <w:rPr>
          <w:sz w:val="20"/>
          <w:szCs w:val="20"/>
        </w:rPr>
        <w:t>L.Upīte</w:t>
      </w:r>
      <w:proofErr w:type="spellEnd"/>
      <w:r w:rsidR="00B9779F">
        <w:rPr>
          <w:sz w:val="20"/>
          <w:szCs w:val="20"/>
        </w:rPr>
        <w:t>, 67047816</w:t>
      </w:r>
    </w:p>
    <w:p w:rsidR="00354409" w:rsidRPr="00BC2571" w:rsidRDefault="00354409" w:rsidP="00354409">
      <w:pPr>
        <w:tabs>
          <w:tab w:val="left" w:pos="6804"/>
        </w:tabs>
        <w:spacing w:after="0"/>
        <w:rPr>
          <w:sz w:val="20"/>
          <w:szCs w:val="20"/>
        </w:rPr>
      </w:pPr>
      <w:r>
        <w:rPr>
          <w:sz w:val="20"/>
          <w:szCs w:val="20"/>
        </w:rPr>
        <w:t>Linda.Upite@izm.gov.lv</w:t>
      </w:r>
    </w:p>
    <w:bookmarkEnd w:id="1"/>
    <w:bookmarkEnd w:id="2"/>
    <w:bookmarkEnd w:id="3"/>
    <w:bookmarkEnd w:id="4"/>
    <w:p w:rsidR="0098278D" w:rsidRDefault="0098278D" w:rsidP="00D11DDE">
      <w:pPr>
        <w:jc w:val="both"/>
        <w:rPr>
          <w:sz w:val="28"/>
          <w:szCs w:val="28"/>
        </w:rPr>
      </w:pPr>
    </w:p>
    <w:sectPr w:rsidR="0098278D" w:rsidSect="00EF15B4">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45" w:rsidRDefault="00205B45" w:rsidP="00BC03EC">
      <w:pPr>
        <w:spacing w:after="0" w:line="240" w:lineRule="auto"/>
      </w:pPr>
      <w:r>
        <w:separator/>
      </w:r>
    </w:p>
  </w:endnote>
  <w:endnote w:type="continuationSeparator" w:id="0">
    <w:p w:rsidR="00205B45" w:rsidRDefault="00205B45" w:rsidP="00BC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8D" w:rsidRPr="00651BB7" w:rsidRDefault="0098278D" w:rsidP="00DB68EB">
    <w:pPr>
      <w:pStyle w:val="Footer"/>
      <w:jc w:val="both"/>
      <w:rPr>
        <w:sz w:val="20"/>
        <w:szCs w:val="20"/>
      </w:rPr>
    </w:pPr>
    <w:r w:rsidRPr="00585760">
      <w:rPr>
        <w:sz w:val="20"/>
        <w:szCs w:val="20"/>
      </w:rPr>
      <w:t>IZM</w:t>
    </w:r>
    <w:r w:rsidR="002475B7">
      <w:rPr>
        <w:sz w:val="20"/>
        <w:szCs w:val="20"/>
      </w:rPr>
      <w:t>anot_0</w:t>
    </w:r>
    <w:r w:rsidR="00C243A2">
      <w:rPr>
        <w:sz w:val="20"/>
        <w:szCs w:val="20"/>
      </w:rPr>
      <w:t>2</w:t>
    </w:r>
    <w:r w:rsidR="002475B7">
      <w:rPr>
        <w:sz w:val="20"/>
        <w:szCs w:val="20"/>
      </w:rPr>
      <w:t>04</w:t>
    </w:r>
    <w:r w:rsidR="00596F70">
      <w:rPr>
        <w:sz w:val="20"/>
        <w:szCs w:val="20"/>
      </w:rPr>
      <w:t>15</w:t>
    </w:r>
    <w:r w:rsidRPr="00585760">
      <w:rPr>
        <w:sz w:val="20"/>
        <w:szCs w:val="20"/>
      </w:rPr>
      <w:t>_</w:t>
    </w:r>
    <w:r>
      <w:rPr>
        <w:sz w:val="20"/>
        <w:szCs w:val="20"/>
      </w:rPr>
      <w:t>STA_</w:t>
    </w:r>
    <w:r w:rsidRPr="00EE2228">
      <w:rPr>
        <w:sz w:val="20"/>
        <w:szCs w:val="20"/>
      </w:rPr>
      <w:t xml:space="preserve">SV; </w:t>
    </w:r>
    <w:r w:rsidRPr="00986370">
      <w:rPr>
        <w:sz w:val="20"/>
        <w:szCs w:val="20"/>
        <w:lang w:val="en-US"/>
      </w:rPr>
      <w:t>Par</w:t>
    </w:r>
    <w:r>
      <w:rPr>
        <w:sz w:val="20"/>
        <w:szCs w:val="20"/>
        <w:lang w:val="en-US"/>
      </w:rPr>
      <w:t xml:space="preserve"> </w:t>
    </w:r>
    <w:proofErr w:type="spellStart"/>
    <w:r w:rsidR="00C97FC5">
      <w:rPr>
        <w:sz w:val="20"/>
        <w:szCs w:val="20"/>
        <w:lang w:val="en-US"/>
      </w:rPr>
      <w:t>atteikumu</w:t>
    </w:r>
    <w:proofErr w:type="spellEnd"/>
    <w:r w:rsidR="00C97FC5">
      <w:rPr>
        <w:sz w:val="20"/>
        <w:szCs w:val="20"/>
        <w:lang w:val="en-US"/>
      </w:rPr>
      <w:t xml:space="preserve"> </w:t>
    </w:r>
    <w:proofErr w:type="spellStart"/>
    <w:r w:rsidR="00C97FC5">
      <w:rPr>
        <w:sz w:val="20"/>
        <w:szCs w:val="20"/>
        <w:lang w:val="en-US"/>
      </w:rPr>
      <w:t>atvērt</w:t>
    </w:r>
    <w:proofErr w:type="spellEnd"/>
    <w:r>
      <w:rPr>
        <w:sz w:val="20"/>
        <w:szCs w:val="20"/>
        <w:lang w:val="en-US"/>
      </w:rPr>
      <w:t xml:space="preserve"> </w:t>
    </w:r>
    <w:r w:rsidRPr="00986370">
      <w:rPr>
        <w:sz w:val="20"/>
        <w:szCs w:val="20"/>
        <w:lang w:val="en-US"/>
      </w:rPr>
      <w:t xml:space="preserve"> </w:t>
    </w:r>
    <w:proofErr w:type="spellStart"/>
    <w:r w:rsidRPr="00986370">
      <w:rPr>
        <w:sz w:val="20"/>
        <w:szCs w:val="20"/>
        <w:lang w:val="en-US"/>
      </w:rPr>
      <w:t>studiju</w:t>
    </w:r>
    <w:proofErr w:type="spellEnd"/>
    <w:r w:rsidRPr="00986370">
      <w:rPr>
        <w:sz w:val="20"/>
        <w:szCs w:val="20"/>
        <w:lang w:val="en-US"/>
      </w:rPr>
      <w:t xml:space="preserve"> </w:t>
    </w:r>
    <w:proofErr w:type="spellStart"/>
    <w:r w:rsidRPr="00986370">
      <w:rPr>
        <w:sz w:val="20"/>
        <w:szCs w:val="20"/>
        <w:lang w:val="en-US"/>
      </w:rPr>
      <w:t>virzien</w:t>
    </w:r>
    <w:r>
      <w:rPr>
        <w:sz w:val="20"/>
        <w:szCs w:val="20"/>
        <w:lang w:val="en-US"/>
      </w:rPr>
      <w:t>u</w:t>
    </w:r>
    <w:proofErr w:type="spellEnd"/>
    <w:r w:rsidR="00334288">
      <w:rPr>
        <w:sz w:val="20"/>
        <w:szCs w:val="20"/>
        <w:lang w:val="en-US"/>
      </w:rPr>
      <w:t xml:space="preserve"> “</w:t>
    </w:r>
    <w:proofErr w:type="spellStart"/>
    <w:r w:rsidR="00334288">
      <w:rPr>
        <w:sz w:val="20"/>
        <w:szCs w:val="20"/>
        <w:lang w:val="en-US"/>
      </w:rPr>
      <w:t>Sociālā</w:t>
    </w:r>
    <w:proofErr w:type="spellEnd"/>
    <w:r w:rsidR="00334288">
      <w:rPr>
        <w:sz w:val="20"/>
        <w:szCs w:val="20"/>
        <w:lang w:val="en-US"/>
      </w:rPr>
      <w:t xml:space="preserve"> </w:t>
    </w:r>
    <w:proofErr w:type="spellStart"/>
    <w:r w:rsidR="00334288">
      <w:rPr>
        <w:sz w:val="20"/>
        <w:szCs w:val="20"/>
        <w:lang w:val="en-US"/>
      </w:rPr>
      <w:t>labklājība</w:t>
    </w:r>
    <w:proofErr w:type="spellEnd"/>
    <w:r w:rsidR="00334288">
      <w:rPr>
        <w:sz w:val="20"/>
        <w:szCs w:val="20"/>
        <w:lang w:val="en-US"/>
      </w:rPr>
      <w:t>”</w:t>
    </w:r>
    <w:r>
      <w:rPr>
        <w:sz w:val="20"/>
        <w:szCs w:val="20"/>
        <w:lang w:val="en-US"/>
      </w:rPr>
      <w:t xml:space="preserve"> </w:t>
    </w:r>
    <w:proofErr w:type="spellStart"/>
    <w:r w:rsidR="00334288">
      <w:rPr>
        <w:sz w:val="20"/>
        <w:szCs w:val="20"/>
        <w:lang w:val="en-US"/>
      </w:rPr>
      <w:t>sabiedrībā</w:t>
    </w:r>
    <w:proofErr w:type="spellEnd"/>
    <w:r w:rsidR="00334288">
      <w:rPr>
        <w:sz w:val="20"/>
        <w:szCs w:val="20"/>
        <w:lang w:val="en-US"/>
      </w:rPr>
      <w:t xml:space="preserve"> </w:t>
    </w:r>
    <w:proofErr w:type="spellStart"/>
    <w:r w:rsidR="00334288">
      <w:rPr>
        <w:sz w:val="20"/>
        <w:szCs w:val="20"/>
        <w:lang w:val="en-US"/>
      </w:rPr>
      <w:t>ar</w:t>
    </w:r>
    <w:proofErr w:type="spellEnd"/>
    <w:r w:rsidR="00334288">
      <w:rPr>
        <w:sz w:val="20"/>
        <w:szCs w:val="20"/>
        <w:lang w:val="en-US"/>
      </w:rPr>
      <w:t xml:space="preserve"> </w:t>
    </w:r>
    <w:proofErr w:type="spellStart"/>
    <w:r w:rsidR="00334288">
      <w:rPr>
        <w:sz w:val="20"/>
        <w:szCs w:val="20"/>
        <w:lang w:val="en-US"/>
      </w:rPr>
      <w:t>ierobežotu</w:t>
    </w:r>
    <w:proofErr w:type="spellEnd"/>
    <w:r w:rsidR="00334288">
      <w:rPr>
        <w:sz w:val="20"/>
        <w:szCs w:val="20"/>
        <w:lang w:val="en-US"/>
      </w:rPr>
      <w:t xml:space="preserve"> </w:t>
    </w:r>
    <w:proofErr w:type="spellStart"/>
    <w:r w:rsidR="00334288">
      <w:rPr>
        <w:sz w:val="20"/>
        <w:szCs w:val="20"/>
        <w:lang w:val="en-US"/>
      </w:rPr>
      <w:t>atbildību</w:t>
    </w:r>
    <w:proofErr w:type="spellEnd"/>
    <w:r w:rsidRPr="00986370">
      <w:rPr>
        <w:sz w:val="20"/>
        <w:szCs w:val="20"/>
        <w:lang w:val="en-US"/>
      </w:rPr>
      <w:t xml:space="preserve"> „</w:t>
    </w:r>
    <w:proofErr w:type="spellStart"/>
    <w:r>
      <w:rPr>
        <w:sz w:val="20"/>
        <w:szCs w:val="20"/>
        <w:lang w:val="en-US"/>
      </w:rPr>
      <w:t>Sociālo</w:t>
    </w:r>
    <w:proofErr w:type="spellEnd"/>
    <w:r>
      <w:rPr>
        <w:sz w:val="20"/>
        <w:szCs w:val="20"/>
        <w:lang w:val="en-US"/>
      </w:rPr>
      <w:t xml:space="preserve"> </w:t>
    </w:r>
    <w:proofErr w:type="spellStart"/>
    <w:r>
      <w:rPr>
        <w:sz w:val="20"/>
        <w:szCs w:val="20"/>
        <w:lang w:val="en-US"/>
      </w:rPr>
      <w:t>tehnoloģiju</w:t>
    </w:r>
    <w:proofErr w:type="spellEnd"/>
    <w:r>
      <w:rPr>
        <w:sz w:val="20"/>
        <w:szCs w:val="20"/>
        <w:lang w:val="en-US"/>
      </w:rPr>
      <w:t xml:space="preserve"> </w:t>
    </w:r>
    <w:proofErr w:type="spellStart"/>
    <w:r>
      <w:rPr>
        <w:sz w:val="20"/>
        <w:szCs w:val="20"/>
        <w:lang w:val="en-US"/>
      </w:rPr>
      <w:t>augstskola</w:t>
    </w:r>
    <w:proofErr w:type="spellEnd"/>
    <w:r w:rsidR="00334288">
      <w:rPr>
        <w:sz w:val="20"/>
        <w:szCs w:val="20"/>
        <w:lang w:val="en-US"/>
      </w:rPr>
      <w:t>””</w:t>
    </w:r>
    <w:r w:rsidRPr="00EE2228">
      <w:rPr>
        <w:sz w:val="20"/>
        <w:szCs w:val="20"/>
      </w:rPr>
      <w:t xml:space="preserve"> sākotnējās ietekmes novērtējuma ziņojums (anotācija)</w:t>
    </w:r>
  </w:p>
  <w:p w:rsidR="0098278D" w:rsidRDefault="00B9779F" w:rsidP="00B9779F">
    <w:pPr>
      <w:pStyle w:val="Footer"/>
      <w:tabs>
        <w:tab w:val="clear" w:pos="4153"/>
        <w:tab w:val="clear" w:pos="8306"/>
        <w:tab w:val="left" w:pos="145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262" w:rsidRPr="00547262" w:rsidRDefault="00547262" w:rsidP="00547262">
    <w:pPr>
      <w:pStyle w:val="Footer"/>
      <w:jc w:val="both"/>
      <w:rPr>
        <w:sz w:val="20"/>
        <w:szCs w:val="20"/>
      </w:rPr>
    </w:pPr>
    <w:r w:rsidRPr="00585760">
      <w:rPr>
        <w:sz w:val="20"/>
        <w:szCs w:val="20"/>
      </w:rPr>
      <w:t>IZM</w:t>
    </w:r>
    <w:r w:rsidR="00C243A2">
      <w:rPr>
        <w:sz w:val="20"/>
        <w:szCs w:val="20"/>
      </w:rPr>
      <w:t>anot_02</w:t>
    </w:r>
    <w:r w:rsidR="002475B7">
      <w:rPr>
        <w:sz w:val="20"/>
        <w:szCs w:val="20"/>
      </w:rPr>
      <w:t>04</w:t>
    </w:r>
    <w:r>
      <w:rPr>
        <w:sz w:val="20"/>
        <w:szCs w:val="20"/>
      </w:rPr>
      <w:t>15</w:t>
    </w:r>
    <w:r w:rsidRPr="00585760">
      <w:rPr>
        <w:sz w:val="20"/>
        <w:szCs w:val="20"/>
      </w:rPr>
      <w:t>_</w:t>
    </w:r>
    <w:r>
      <w:rPr>
        <w:sz w:val="20"/>
        <w:szCs w:val="20"/>
      </w:rPr>
      <w:t>STA_</w:t>
    </w:r>
    <w:r w:rsidRPr="00EE2228">
      <w:rPr>
        <w:sz w:val="20"/>
        <w:szCs w:val="20"/>
      </w:rPr>
      <w:t xml:space="preserve">SV; </w:t>
    </w:r>
    <w:r w:rsidRPr="00986370">
      <w:rPr>
        <w:sz w:val="20"/>
        <w:szCs w:val="20"/>
        <w:lang w:val="en-US"/>
      </w:rPr>
      <w:t>Par</w:t>
    </w:r>
    <w:r>
      <w:rPr>
        <w:sz w:val="20"/>
        <w:szCs w:val="20"/>
        <w:lang w:val="en-US"/>
      </w:rPr>
      <w:t xml:space="preserve"> </w:t>
    </w:r>
    <w:proofErr w:type="spellStart"/>
    <w:r>
      <w:rPr>
        <w:sz w:val="20"/>
        <w:szCs w:val="20"/>
        <w:lang w:val="en-US"/>
      </w:rPr>
      <w:t>atteikumu</w:t>
    </w:r>
    <w:proofErr w:type="spellEnd"/>
    <w:r>
      <w:rPr>
        <w:sz w:val="20"/>
        <w:szCs w:val="20"/>
        <w:lang w:val="en-US"/>
      </w:rPr>
      <w:t xml:space="preserve"> </w:t>
    </w:r>
    <w:proofErr w:type="spellStart"/>
    <w:r>
      <w:rPr>
        <w:sz w:val="20"/>
        <w:szCs w:val="20"/>
        <w:lang w:val="en-US"/>
      </w:rPr>
      <w:t>atvērt</w:t>
    </w:r>
    <w:proofErr w:type="spellEnd"/>
    <w:r>
      <w:rPr>
        <w:sz w:val="20"/>
        <w:szCs w:val="20"/>
        <w:lang w:val="en-US"/>
      </w:rPr>
      <w:t xml:space="preserve"> </w:t>
    </w:r>
    <w:r w:rsidRPr="00986370">
      <w:rPr>
        <w:sz w:val="20"/>
        <w:szCs w:val="20"/>
        <w:lang w:val="en-US"/>
      </w:rPr>
      <w:t xml:space="preserve"> </w:t>
    </w:r>
    <w:proofErr w:type="spellStart"/>
    <w:r w:rsidRPr="00986370">
      <w:rPr>
        <w:sz w:val="20"/>
        <w:szCs w:val="20"/>
        <w:lang w:val="en-US"/>
      </w:rPr>
      <w:t>studiju</w:t>
    </w:r>
    <w:proofErr w:type="spellEnd"/>
    <w:r w:rsidRPr="00986370">
      <w:rPr>
        <w:sz w:val="20"/>
        <w:szCs w:val="20"/>
        <w:lang w:val="en-US"/>
      </w:rPr>
      <w:t xml:space="preserve"> </w:t>
    </w:r>
    <w:proofErr w:type="spellStart"/>
    <w:r w:rsidRPr="00986370">
      <w:rPr>
        <w:sz w:val="20"/>
        <w:szCs w:val="20"/>
        <w:lang w:val="en-US"/>
      </w:rPr>
      <w:t>virzien</w:t>
    </w:r>
    <w:r>
      <w:rPr>
        <w:sz w:val="20"/>
        <w:szCs w:val="20"/>
        <w:lang w:val="en-US"/>
      </w:rPr>
      <w:t>u</w:t>
    </w:r>
    <w:proofErr w:type="spellEnd"/>
    <w:r>
      <w:rPr>
        <w:sz w:val="20"/>
        <w:szCs w:val="20"/>
        <w:lang w:val="en-US"/>
      </w:rPr>
      <w:t xml:space="preserve"> “</w:t>
    </w:r>
    <w:proofErr w:type="spellStart"/>
    <w:r>
      <w:rPr>
        <w:sz w:val="20"/>
        <w:szCs w:val="20"/>
        <w:lang w:val="en-US"/>
      </w:rPr>
      <w:t>Sociālā</w:t>
    </w:r>
    <w:proofErr w:type="spellEnd"/>
    <w:r>
      <w:rPr>
        <w:sz w:val="20"/>
        <w:szCs w:val="20"/>
        <w:lang w:val="en-US"/>
      </w:rPr>
      <w:t xml:space="preserve"> </w:t>
    </w:r>
    <w:proofErr w:type="spellStart"/>
    <w:r>
      <w:rPr>
        <w:sz w:val="20"/>
        <w:szCs w:val="20"/>
        <w:lang w:val="en-US"/>
      </w:rPr>
      <w:t>labklājība</w:t>
    </w:r>
    <w:proofErr w:type="spellEnd"/>
    <w:r>
      <w:rPr>
        <w:sz w:val="20"/>
        <w:szCs w:val="20"/>
        <w:lang w:val="en-US"/>
      </w:rPr>
      <w:t xml:space="preserve">” </w:t>
    </w:r>
    <w:proofErr w:type="spellStart"/>
    <w:r>
      <w:rPr>
        <w:sz w:val="20"/>
        <w:szCs w:val="20"/>
        <w:lang w:val="en-US"/>
      </w:rPr>
      <w:t>sabiedrībā</w:t>
    </w:r>
    <w:proofErr w:type="spellEnd"/>
    <w:r>
      <w:rPr>
        <w:sz w:val="20"/>
        <w:szCs w:val="20"/>
        <w:lang w:val="en-US"/>
      </w:rPr>
      <w:t xml:space="preserve"> </w:t>
    </w:r>
    <w:proofErr w:type="spellStart"/>
    <w:r>
      <w:rPr>
        <w:sz w:val="20"/>
        <w:szCs w:val="20"/>
        <w:lang w:val="en-US"/>
      </w:rPr>
      <w:t>ar</w:t>
    </w:r>
    <w:proofErr w:type="spellEnd"/>
    <w:r>
      <w:rPr>
        <w:sz w:val="20"/>
        <w:szCs w:val="20"/>
        <w:lang w:val="en-US"/>
      </w:rPr>
      <w:t xml:space="preserve"> </w:t>
    </w:r>
    <w:proofErr w:type="spellStart"/>
    <w:r>
      <w:rPr>
        <w:sz w:val="20"/>
        <w:szCs w:val="20"/>
        <w:lang w:val="en-US"/>
      </w:rPr>
      <w:t>ierobežotu</w:t>
    </w:r>
    <w:proofErr w:type="spellEnd"/>
    <w:r>
      <w:rPr>
        <w:sz w:val="20"/>
        <w:szCs w:val="20"/>
        <w:lang w:val="en-US"/>
      </w:rPr>
      <w:t xml:space="preserve"> </w:t>
    </w:r>
    <w:proofErr w:type="spellStart"/>
    <w:r>
      <w:rPr>
        <w:sz w:val="20"/>
        <w:szCs w:val="20"/>
        <w:lang w:val="en-US"/>
      </w:rPr>
      <w:t>atbildību</w:t>
    </w:r>
    <w:proofErr w:type="spellEnd"/>
    <w:r w:rsidRPr="00986370">
      <w:rPr>
        <w:sz w:val="20"/>
        <w:szCs w:val="20"/>
        <w:lang w:val="en-US"/>
      </w:rPr>
      <w:t xml:space="preserve"> „</w:t>
    </w:r>
    <w:proofErr w:type="spellStart"/>
    <w:r>
      <w:rPr>
        <w:sz w:val="20"/>
        <w:szCs w:val="20"/>
        <w:lang w:val="en-US"/>
      </w:rPr>
      <w:t>Sociālo</w:t>
    </w:r>
    <w:proofErr w:type="spellEnd"/>
    <w:r>
      <w:rPr>
        <w:sz w:val="20"/>
        <w:szCs w:val="20"/>
        <w:lang w:val="en-US"/>
      </w:rPr>
      <w:t xml:space="preserve"> </w:t>
    </w:r>
    <w:proofErr w:type="spellStart"/>
    <w:r>
      <w:rPr>
        <w:sz w:val="20"/>
        <w:szCs w:val="20"/>
        <w:lang w:val="en-US"/>
      </w:rPr>
      <w:t>tehnoloģiju</w:t>
    </w:r>
    <w:proofErr w:type="spellEnd"/>
    <w:r>
      <w:rPr>
        <w:sz w:val="20"/>
        <w:szCs w:val="20"/>
        <w:lang w:val="en-US"/>
      </w:rPr>
      <w:t xml:space="preserve"> </w:t>
    </w:r>
    <w:proofErr w:type="spellStart"/>
    <w:r>
      <w:rPr>
        <w:sz w:val="20"/>
        <w:szCs w:val="20"/>
        <w:lang w:val="en-US"/>
      </w:rPr>
      <w:t>augstskola</w:t>
    </w:r>
    <w:proofErr w:type="spellEnd"/>
    <w:r>
      <w:rPr>
        <w:sz w:val="20"/>
        <w:szCs w:val="20"/>
        <w:lang w:val="en-US"/>
      </w:rPr>
      <w:t>””</w:t>
    </w:r>
    <w:r w:rsidRPr="00EE2228">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45" w:rsidRDefault="00205B45" w:rsidP="00BC03EC">
      <w:pPr>
        <w:spacing w:after="0" w:line="240" w:lineRule="auto"/>
      </w:pPr>
      <w:r>
        <w:separator/>
      </w:r>
    </w:p>
  </w:footnote>
  <w:footnote w:type="continuationSeparator" w:id="0">
    <w:p w:rsidR="00205B45" w:rsidRDefault="00205B45" w:rsidP="00BC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52696"/>
      <w:docPartObj>
        <w:docPartGallery w:val="Page Numbers (Top of Page)"/>
        <w:docPartUnique/>
      </w:docPartObj>
    </w:sdtPr>
    <w:sdtEndPr>
      <w:rPr>
        <w:noProof/>
      </w:rPr>
    </w:sdtEndPr>
    <w:sdtContent>
      <w:p w:rsidR="00EF15B4" w:rsidRDefault="00EF15B4">
        <w:pPr>
          <w:pStyle w:val="Header"/>
          <w:jc w:val="center"/>
        </w:pPr>
        <w:r>
          <w:fldChar w:fldCharType="begin"/>
        </w:r>
        <w:r>
          <w:instrText xml:space="preserve"> PAGE   \* MERGEFORMAT </w:instrText>
        </w:r>
        <w:r>
          <w:fldChar w:fldCharType="separate"/>
        </w:r>
        <w:r w:rsidR="00C243A2">
          <w:rPr>
            <w:noProof/>
          </w:rPr>
          <w:t>6</w:t>
        </w:r>
        <w:r>
          <w:rPr>
            <w:noProof/>
          </w:rPr>
          <w:fldChar w:fldCharType="end"/>
        </w:r>
      </w:p>
    </w:sdtContent>
  </w:sdt>
  <w:p w:rsidR="00EF15B4" w:rsidRDefault="00EF1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312FE"/>
    <w:multiLevelType w:val="hybridMultilevel"/>
    <w:tmpl w:val="26FE52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C4"/>
    <w:rsid w:val="000359FA"/>
    <w:rsid w:val="000461DF"/>
    <w:rsid w:val="00052B50"/>
    <w:rsid w:val="00055BE5"/>
    <w:rsid w:val="000964BD"/>
    <w:rsid w:val="0009774E"/>
    <w:rsid w:val="00101F5D"/>
    <w:rsid w:val="00121D82"/>
    <w:rsid w:val="00130B5D"/>
    <w:rsid w:val="001470F9"/>
    <w:rsid w:val="0018706E"/>
    <w:rsid w:val="001923D5"/>
    <w:rsid w:val="001A4591"/>
    <w:rsid w:val="001B562F"/>
    <w:rsid w:val="001C3652"/>
    <w:rsid w:val="00205B45"/>
    <w:rsid w:val="002475B7"/>
    <w:rsid w:val="002648A7"/>
    <w:rsid w:val="00271203"/>
    <w:rsid w:val="002A304A"/>
    <w:rsid w:val="002A3DED"/>
    <w:rsid w:val="002C76FA"/>
    <w:rsid w:val="00306FAB"/>
    <w:rsid w:val="00321AC2"/>
    <w:rsid w:val="003327DD"/>
    <w:rsid w:val="003338B2"/>
    <w:rsid w:val="00334288"/>
    <w:rsid w:val="00351302"/>
    <w:rsid w:val="00354409"/>
    <w:rsid w:val="003624C4"/>
    <w:rsid w:val="003724A1"/>
    <w:rsid w:val="003A493B"/>
    <w:rsid w:val="003B13F3"/>
    <w:rsid w:val="003C5278"/>
    <w:rsid w:val="003D2541"/>
    <w:rsid w:val="00403D44"/>
    <w:rsid w:val="0041396A"/>
    <w:rsid w:val="00417DD5"/>
    <w:rsid w:val="00432828"/>
    <w:rsid w:val="00492979"/>
    <w:rsid w:val="00494E0F"/>
    <w:rsid w:val="004C57E4"/>
    <w:rsid w:val="00507485"/>
    <w:rsid w:val="005410B4"/>
    <w:rsid w:val="00547262"/>
    <w:rsid w:val="0055383F"/>
    <w:rsid w:val="00573F8B"/>
    <w:rsid w:val="00574577"/>
    <w:rsid w:val="005806C8"/>
    <w:rsid w:val="0058420D"/>
    <w:rsid w:val="00585760"/>
    <w:rsid w:val="00594161"/>
    <w:rsid w:val="00596F70"/>
    <w:rsid w:val="005B6846"/>
    <w:rsid w:val="005F3A02"/>
    <w:rsid w:val="00622239"/>
    <w:rsid w:val="00637ACA"/>
    <w:rsid w:val="00651BB7"/>
    <w:rsid w:val="00672D59"/>
    <w:rsid w:val="006A752F"/>
    <w:rsid w:val="006B0933"/>
    <w:rsid w:val="00724E45"/>
    <w:rsid w:val="00730BFE"/>
    <w:rsid w:val="0076265B"/>
    <w:rsid w:val="007720C7"/>
    <w:rsid w:val="007849ED"/>
    <w:rsid w:val="007A4AA4"/>
    <w:rsid w:val="007B16D6"/>
    <w:rsid w:val="007E6FB6"/>
    <w:rsid w:val="008025BE"/>
    <w:rsid w:val="00802B27"/>
    <w:rsid w:val="008319CB"/>
    <w:rsid w:val="00831C14"/>
    <w:rsid w:val="0083775C"/>
    <w:rsid w:val="008518B3"/>
    <w:rsid w:val="008779E0"/>
    <w:rsid w:val="008A6AF7"/>
    <w:rsid w:val="008C12AF"/>
    <w:rsid w:val="008C5AAC"/>
    <w:rsid w:val="009034E4"/>
    <w:rsid w:val="0091540F"/>
    <w:rsid w:val="00934DC9"/>
    <w:rsid w:val="0093601C"/>
    <w:rsid w:val="00945FCE"/>
    <w:rsid w:val="00953C8B"/>
    <w:rsid w:val="0098229E"/>
    <w:rsid w:val="0098278D"/>
    <w:rsid w:val="00986370"/>
    <w:rsid w:val="009D7A4C"/>
    <w:rsid w:val="009E557F"/>
    <w:rsid w:val="00A36A10"/>
    <w:rsid w:val="00A556C1"/>
    <w:rsid w:val="00A63025"/>
    <w:rsid w:val="00A83B22"/>
    <w:rsid w:val="00A9525A"/>
    <w:rsid w:val="00AC106B"/>
    <w:rsid w:val="00AC1E40"/>
    <w:rsid w:val="00B134ED"/>
    <w:rsid w:val="00B3659A"/>
    <w:rsid w:val="00B46B2D"/>
    <w:rsid w:val="00B709EF"/>
    <w:rsid w:val="00B7189A"/>
    <w:rsid w:val="00B80A2F"/>
    <w:rsid w:val="00B90722"/>
    <w:rsid w:val="00B9779F"/>
    <w:rsid w:val="00BB2F7E"/>
    <w:rsid w:val="00BB4B0D"/>
    <w:rsid w:val="00BC03EC"/>
    <w:rsid w:val="00BE7B07"/>
    <w:rsid w:val="00C03EFF"/>
    <w:rsid w:val="00C040F1"/>
    <w:rsid w:val="00C2178A"/>
    <w:rsid w:val="00C243A2"/>
    <w:rsid w:val="00C31BC7"/>
    <w:rsid w:val="00C32228"/>
    <w:rsid w:val="00C41B23"/>
    <w:rsid w:val="00C52F83"/>
    <w:rsid w:val="00C55616"/>
    <w:rsid w:val="00C97FC5"/>
    <w:rsid w:val="00CA0EF6"/>
    <w:rsid w:val="00CA504E"/>
    <w:rsid w:val="00CC3045"/>
    <w:rsid w:val="00CC7170"/>
    <w:rsid w:val="00CD4BF1"/>
    <w:rsid w:val="00CD6356"/>
    <w:rsid w:val="00D11DDE"/>
    <w:rsid w:val="00D81FB6"/>
    <w:rsid w:val="00D92851"/>
    <w:rsid w:val="00D92D02"/>
    <w:rsid w:val="00DA745B"/>
    <w:rsid w:val="00DB1CFB"/>
    <w:rsid w:val="00DB68EB"/>
    <w:rsid w:val="00DC5C44"/>
    <w:rsid w:val="00DC5E6B"/>
    <w:rsid w:val="00DD1E51"/>
    <w:rsid w:val="00DD45C5"/>
    <w:rsid w:val="00E502B4"/>
    <w:rsid w:val="00E5769C"/>
    <w:rsid w:val="00EA7C02"/>
    <w:rsid w:val="00EE1E7F"/>
    <w:rsid w:val="00EE2228"/>
    <w:rsid w:val="00EE45E9"/>
    <w:rsid w:val="00EF15B4"/>
    <w:rsid w:val="00F11008"/>
    <w:rsid w:val="00F159F1"/>
    <w:rsid w:val="00F25EAF"/>
    <w:rsid w:val="00F739AF"/>
    <w:rsid w:val="00F8732D"/>
    <w:rsid w:val="00FD1EC9"/>
    <w:rsid w:val="00FD4FD4"/>
    <w:rsid w:val="00FE228C"/>
    <w:rsid w:val="00FF221F"/>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28FA17-41E7-4C8E-855F-6E311013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0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3624C4"/>
    <w:pPr>
      <w:spacing w:before="100" w:beforeAutospacing="1" w:after="100" w:afterAutospacing="1" w:line="240" w:lineRule="auto"/>
    </w:pPr>
    <w:rPr>
      <w:rFonts w:eastAsia="Times New Roman"/>
      <w:sz w:val="24"/>
      <w:szCs w:val="24"/>
      <w:lang w:eastAsia="lv-LV"/>
    </w:rPr>
  </w:style>
  <w:style w:type="paragraph" w:customStyle="1" w:styleId="naisf">
    <w:name w:val="naisf"/>
    <w:basedOn w:val="Normal"/>
    <w:uiPriority w:val="99"/>
    <w:rsid w:val="003624C4"/>
    <w:pPr>
      <w:spacing w:before="100" w:beforeAutospacing="1" w:after="100" w:afterAutospacing="1" w:line="240" w:lineRule="auto"/>
    </w:pPr>
    <w:rPr>
      <w:rFonts w:eastAsia="Times New Roman"/>
      <w:sz w:val="24"/>
      <w:szCs w:val="24"/>
      <w:lang w:eastAsia="lv-LV"/>
    </w:rPr>
  </w:style>
  <w:style w:type="paragraph" w:customStyle="1" w:styleId="Default">
    <w:name w:val="Default"/>
    <w:uiPriority w:val="99"/>
    <w:rsid w:val="00DC5E6B"/>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D1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1DDE"/>
    <w:rPr>
      <w:rFonts w:ascii="Segoe UI" w:hAnsi="Segoe UI" w:cs="Segoe UI"/>
      <w:sz w:val="18"/>
      <w:szCs w:val="18"/>
    </w:rPr>
  </w:style>
  <w:style w:type="paragraph" w:styleId="Header">
    <w:name w:val="header"/>
    <w:basedOn w:val="Normal"/>
    <w:link w:val="HeaderChar"/>
    <w:uiPriority w:val="99"/>
    <w:rsid w:val="00BC03E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C03EC"/>
    <w:rPr>
      <w:rFonts w:cs="Times New Roman"/>
    </w:rPr>
  </w:style>
  <w:style w:type="paragraph" w:styleId="Footer">
    <w:name w:val="footer"/>
    <w:basedOn w:val="Normal"/>
    <w:link w:val="FooterChar"/>
    <w:uiPriority w:val="99"/>
    <w:rsid w:val="00BC03E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C03EC"/>
    <w:rPr>
      <w:rFonts w:cs="Times New Roman"/>
    </w:rPr>
  </w:style>
  <w:style w:type="paragraph" w:styleId="NoSpacing">
    <w:name w:val="No Spacing"/>
    <w:uiPriority w:val="99"/>
    <w:qFormat/>
    <w:rsid w:val="00D81FB6"/>
    <w:rPr>
      <w:rFonts w:ascii="Calibri" w:hAnsi="Calibri"/>
      <w:lang w:eastAsia="en-US"/>
    </w:rPr>
  </w:style>
  <w:style w:type="character" w:styleId="Hyperlink">
    <w:name w:val="Hyperlink"/>
    <w:basedOn w:val="DefaultParagraphFont"/>
    <w:uiPriority w:val="99"/>
    <w:rsid w:val="008779E0"/>
    <w:rPr>
      <w:rFonts w:cs="Times New Roman"/>
      <w:color w:val="0000FF"/>
      <w:u w:val="single"/>
    </w:rPr>
  </w:style>
  <w:style w:type="paragraph" w:styleId="FootnoteText">
    <w:name w:val="footnote text"/>
    <w:basedOn w:val="Normal"/>
    <w:link w:val="FootnoteTextChar"/>
    <w:uiPriority w:val="99"/>
    <w:semiHidden/>
    <w:rsid w:val="008779E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8779E0"/>
    <w:rPr>
      <w:rFonts w:eastAsia="Times New Roman" w:cs="Times New Roman"/>
      <w:sz w:val="20"/>
      <w:szCs w:val="20"/>
    </w:rPr>
  </w:style>
  <w:style w:type="character" w:styleId="FootnoteReference">
    <w:name w:val="footnote reference"/>
    <w:aliases w:val="Footnote Reference Number"/>
    <w:basedOn w:val="DefaultParagraphFont"/>
    <w:rsid w:val="008779E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AA74-DB23-44F2-B1F2-F093AA86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7765</Words>
  <Characters>4427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Logina</dc:creator>
  <cp:keywords/>
  <dc:description/>
  <cp:lastModifiedBy>Linda Upīte</cp:lastModifiedBy>
  <cp:revision>4</cp:revision>
  <cp:lastPrinted>2015-03-06T12:32:00Z</cp:lastPrinted>
  <dcterms:created xsi:type="dcterms:W3CDTF">2015-04-02T07:07:00Z</dcterms:created>
  <dcterms:modified xsi:type="dcterms:W3CDTF">2015-04-02T07:33:00Z</dcterms:modified>
</cp:coreProperties>
</file>