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55ACF" w14:textId="77777777" w:rsidR="00AC50D2" w:rsidRPr="009C2596" w:rsidRDefault="00AC50D2" w:rsidP="00AC50D2">
      <w:pPr>
        <w:tabs>
          <w:tab w:val="left" w:pos="6804"/>
        </w:tabs>
        <w:jc w:val="both"/>
        <w:rPr>
          <w:sz w:val="28"/>
          <w:szCs w:val="28"/>
          <w:lang w:val="de-DE"/>
        </w:rPr>
      </w:pPr>
      <w:bookmarkStart w:id="0" w:name="OLE_LINK1"/>
      <w:bookmarkStart w:id="1" w:name="OLE_LINK2"/>
    </w:p>
    <w:p w14:paraId="7EC9B05B" w14:textId="77777777" w:rsidR="00AC50D2" w:rsidRPr="009C2596" w:rsidRDefault="00AC50D2" w:rsidP="00AC50D2">
      <w:pPr>
        <w:tabs>
          <w:tab w:val="left" w:pos="6663"/>
        </w:tabs>
        <w:rPr>
          <w:sz w:val="28"/>
          <w:szCs w:val="28"/>
        </w:rPr>
      </w:pPr>
    </w:p>
    <w:p w14:paraId="1A7F8840" w14:textId="77777777" w:rsidR="00AC50D2" w:rsidRPr="009C2596" w:rsidRDefault="00AC50D2" w:rsidP="00AC50D2">
      <w:pPr>
        <w:tabs>
          <w:tab w:val="left" w:pos="6663"/>
        </w:tabs>
        <w:rPr>
          <w:sz w:val="28"/>
          <w:szCs w:val="28"/>
        </w:rPr>
      </w:pPr>
    </w:p>
    <w:p w14:paraId="299AB606" w14:textId="3CA7E31E" w:rsidR="00AC50D2" w:rsidRPr="0040413C" w:rsidRDefault="00AC50D2" w:rsidP="00AC50D2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 xml:space="preserve">2015. gada </w:t>
      </w:r>
      <w:r w:rsidR="00F81577">
        <w:rPr>
          <w:sz w:val="28"/>
          <w:szCs w:val="28"/>
        </w:rPr>
        <w:t>22. aprīlī</w:t>
      </w:r>
      <w:r w:rsidRPr="0040413C">
        <w:rPr>
          <w:sz w:val="28"/>
          <w:szCs w:val="28"/>
        </w:rPr>
        <w:tab/>
        <w:t>Rīkojums Nr.</w:t>
      </w:r>
      <w:r w:rsidR="00F81577">
        <w:rPr>
          <w:sz w:val="28"/>
          <w:szCs w:val="28"/>
        </w:rPr>
        <w:t> 207</w:t>
      </w:r>
    </w:p>
    <w:p w14:paraId="2F45D58E" w14:textId="7D0887B0" w:rsidR="00AC50D2" w:rsidRPr="0040413C" w:rsidRDefault="00AC50D2" w:rsidP="00AC50D2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  <w:t>(prot. Nr.</w:t>
      </w:r>
      <w:r w:rsidR="00F81577">
        <w:rPr>
          <w:sz w:val="28"/>
          <w:szCs w:val="28"/>
        </w:rPr>
        <w:t> 21  10</w:t>
      </w:r>
      <w:bookmarkStart w:id="2" w:name="_GoBack"/>
      <w:bookmarkEnd w:id="2"/>
      <w:r w:rsidRPr="0040413C">
        <w:rPr>
          <w:sz w:val="28"/>
          <w:szCs w:val="28"/>
        </w:rPr>
        <w:t>. §)</w:t>
      </w:r>
    </w:p>
    <w:p w14:paraId="34E426CC" w14:textId="77777777" w:rsidR="00A94E19" w:rsidRDefault="00A94E19" w:rsidP="00AC50D2">
      <w:pPr>
        <w:pStyle w:val="NoSpacing"/>
        <w:rPr>
          <w:rFonts w:ascii="Times New Roman" w:hAnsi="Times New Roman"/>
          <w:iCs/>
          <w:sz w:val="28"/>
          <w:szCs w:val="28"/>
          <w:lang w:eastAsia="lv-LV"/>
        </w:rPr>
      </w:pPr>
    </w:p>
    <w:p w14:paraId="34E426CD" w14:textId="2C494EDC" w:rsidR="00F218A5" w:rsidRDefault="00730E6F" w:rsidP="00AC50D2">
      <w:pPr>
        <w:jc w:val="center"/>
        <w:outlineLvl w:val="2"/>
        <w:rPr>
          <w:b/>
          <w:bCs/>
          <w:sz w:val="28"/>
          <w:szCs w:val="28"/>
          <w:lang w:eastAsia="lv-LV"/>
        </w:rPr>
      </w:pPr>
      <w:bookmarkStart w:id="3" w:name="OLE_LINK3"/>
      <w:bookmarkStart w:id="4" w:name="OLE_LINK4"/>
      <w:bookmarkStart w:id="5" w:name="OLE_LINK9"/>
      <w:bookmarkStart w:id="6" w:name="OLE_LINK10"/>
      <w:r w:rsidRPr="00166C36">
        <w:rPr>
          <w:b/>
          <w:bCs/>
          <w:sz w:val="28"/>
          <w:szCs w:val="28"/>
          <w:lang w:eastAsia="lv-LV"/>
        </w:rPr>
        <w:t>Grozījumi Nacionālās identitātes, pilsoniskās sabiedrības un integrācijas politikas pamatnostādnēs 2012.</w:t>
      </w:r>
      <w:r w:rsidR="0099700C">
        <w:rPr>
          <w:b/>
          <w:bCs/>
          <w:sz w:val="28"/>
          <w:szCs w:val="28"/>
          <w:lang w:eastAsia="lv-LV"/>
        </w:rPr>
        <w:t>–</w:t>
      </w:r>
      <w:r w:rsidRPr="00166C36">
        <w:rPr>
          <w:b/>
          <w:bCs/>
          <w:sz w:val="28"/>
          <w:szCs w:val="28"/>
          <w:lang w:eastAsia="lv-LV"/>
        </w:rPr>
        <w:t>2018</w:t>
      </w:r>
      <w:r w:rsidR="00AC50D2">
        <w:rPr>
          <w:b/>
          <w:bCs/>
          <w:sz w:val="28"/>
          <w:szCs w:val="28"/>
          <w:lang w:eastAsia="lv-LV"/>
        </w:rPr>
        <w:t>. g</w:t>
      </w:r>
      <w:r w:rsidRPr="00166C36">
        <w:rPr>
          <w:b/>
          <w:bCs/>
          <w:sz w:val="28"/>
          <w:szCs w:val="28"/>
          <w:lang w:eastAsia="lv-LV"/>
        </w:rPr>
        <w:t>adam</w:t>
      </w:r>
    </w:p>
    <w:bookmarkEnd w:id="3"/>
    <w:bookmarkEnd w:id="4"/>
    <w:p w14:paraId="34E426CF" w14:textId="77777777" w:rsidR="00A94E19" w:rsidRDefault="00A94E19" w:rsidP="00AC50D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bookmarkEnd w:id="5"/>
    <w:bookmarkEnd w:id="6"/>
    <w:p w14:paraId="34E426D0" w14:textId="5C7806D7" w:rsidR="00F218A5" w:rsidRPr="00AC50D2" w:rsidRDefault="00AC50D2" w:rsidP="00AC50D2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1. </w:t>
      </w:r>
      <w:r w:rsidR="00F218A5" w:rsidRPr="00AC50D2">
        <w:rPr>
          <w:sz w:val="28"/>
          <w:szCs w:val="28"/>
          <w:lang w:eastAsia="lv-LV"/>
        </w:rPr>
        <w:t>Izdarīt Nacionālās identitātes, pilsoniskās sabiedrības un integrācijas politikas pamatnostādnēs 2012.</w:t>
      </w:r>
      <w:r w:rsidR="0099700C" w:rsidRPr="00AC50D2">
        <w:rPr>
          <w:sz w:val="28"/>
          <w:szCs w:val="28"/>
          <w:lang w:eastAsia="lv-LV"/>
        </w:rPr>
        <w:t>–</w:t>
      </w:r>
      <w:r w:rsidR="00F218A5" w:rsidRPr="00AC50D2">
        <w:rPr>
          <w:sz w:val="28"/>
          <w:szCs w:val="28"/>
          <w:lang w:eastAsia="lv-LV"/>
        </w:rPr>
        <w:t>2018</w:t>
      </w:r>
      <w:r>
        <w:rPr>
          <w:sz w:val="28"/>
          <w:szCs w:val="28"/>
          <w:lang w:eastAsia="lv-LV"/>
        </w:rPr>
        <w:t>. g</w:t>
      </w:r>
      <w:r w:rsidR="00F218A5" w:rsidRPr="00AC50D2">
        <w:rPr>
          <w:sz w:val="28"/>
          <w:szCs w:val="28"/>
          <w:lang w:eastAsia="lv-LV"/>
        </w:rPr>
        <w:t>adam (apstiprinātas ar Ministru kabineta 2011</w:t>
      </w:r>
      <w:r>
        <w:rPr>
          <w:sz w:val="28"/>
          <w:szCs w:val="28"/>
          <w:lang w:eastAsia="lv-LV"/>
        </w:rPr>
        <w:t>. g</w:t>
      </w:r>
      <w:r w:rsidR="00F218A5" w:rsidRPr="00AC50D2">
        <w:rPr>
          <w:sz w:val="28"/>
          <w:szCs w:val="28"/>
          <w:lang w:eastAsia="lv-LV"/>
        </w:rPr>
        <w:t>ada 20</w:t>
      </w:r>
      <w:r>
        <w:rPr>
          <w:sz w:val="28"/>
          <w:szCs w:val="28"/>
          <w:lang w:eastAsia="lv-LV"/>
        </w:rPr>
        <w:t>. o</w:t>
      </w:r>
      <w:r w:rsidR="00F218A5" w:rsidRPr="00AC50D2">
        <w:rPr>
          <w:sz w:val="28"/>
          <w:szCs w:val="28"/>
          <w:lang w:eastAsia="lv-LV"/>
        </w:rPr>
        <w:t>ktobra rīkojumu Nr.</w:t>
      </w:r>
      <w:r>
        <w:rPr>
          <w:sz w:val="28"/>
          <w:szCs w:val="28"/>
          <w:lang w:eastAsia="lv-LV"/>
        </w:rPr>
        <w:t> </w:t>
      </w:r>
      <w:r w:rsidR="00F218A5" w:rsidRPr="00AC50D2">
        <w:rPr>
          <w:sz w:val="28"/>
          <w:szCs w:val="28"/>
          <w:lang w:eastAsia="lv-LV"/>
        </w:rPr>
        <w:t xml:space="preserve">542 </w:t>
      </w:r>
      <w:r>
        <w:rPr>
          <w:sz w:val="28"/>
          <w:szCs w:val="28"/>
          <w:lang w:eastAsia="lv-LV"/>
        </w:rPr>
        <w:t>"</w:t>
      </w:r>
      <w:r w:rsidR="00F218A5" w:rsidRPr="00AC50D2">
        <w:rPr>
          <w:sz w:val="28"/>
          <w:szCs w:val="28"/>
          <w:lang w:eastAsia="lv-LV"/>
        </w:rPr>
        <w:t>Par Nacionālās identitātes, pilsoniskās sabiedrības un integrācijas politikas pamatnostādnēm 2012.–2018</w:t>
      </w:r>
      <w:r>
        <w:rPr>
          <w:sz w:val="28"/>
          <w:szCs w:val="28"/>
          <w:lang w:eastAsia="lv-LV"/>
        </w:rPr>
        <w:t>. g</w:t>
      </w:r>
      <w:r w:rsidR="00F218A5" w:rsidRPr="00AC50D2">
        <w:rPr>
          <w:sz w:val="28"/>
          <w:szCs w:val="28"/>
          <w:lang w:eastAsia="lv-LV"/>
        </w:rPr>
        <w:t>adam</w:t>
      </w:r>
      <w:r>
        <w:rPr>
          <w:sz w:val="28"/>
          <w:szCs w:val="28"/>
          <w:lang w:eastAsia="lv-LV"/>
        </w:rPr>
        <w:t>"</w:t>
      </w:r>
      <w:r w:rsidR="00F218A5" w:rsidRPr="00AC50D2">
        <w:rPr>
          <w:sz w:val="28"/>
          <w:szCs w:val="28"/>
          <w:lang w:eastAsia="lv-LV"/>
        </w:rPr>
        <w:t>) (turpmāk – pamatnostādnes) šādus grozījumus:</w:t>
      </w:r>
    </w:p>
    <w:p w14:paraId="34E426D2" w14:textId="69BC7D3E" w:rsidR="00F218A5" w:rsidRPr="00AC50D2" w:rsidRDefault="00AC50D2" w:rsidP="00AC50D2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1.1. </w:t>
      </w:r>
      <w:r w:rsidR="00F218A5" w:rsidRPr="00AC50D2">
        <w:rPr>
          <w:sz w:val="28"/>
          <w:szCs w:val="28"/>
          <w:lang w:eastAsia="lv-LV"/>
        </w:rPr>
        <w:t>izteikt informatīvās daļas 12</w:t>
      </w:r>
      <w:r w:rsidRPr="00AC50D2">
        <w:rPr>
          <w:sz w:val="28"/>
          <w:szCs w:val="28"/>
          <w:lang w:eastAsia="lv-LV"/>
        </w:rPr>
        <w:t>. n</w:t>
      </w:r>
      <w:r w:rsidR="00F218A5" w:rsidRPr="00AC50D2">
        <w:rPr>
          <w:sz w:val="28"/>
          <w:szCs w:val="28"/>
          <w:lang w:eastAsia="lv-LV"/>
        </w:rPr>
        <w:t>odaļas 6.</w:t>
      </w:r>
      <w:r>
        <w:rPr>
          <w:sz w:val="28"/>
          <w:szCs w:val="28"/>
          <w:lang w:eastAsia="lv-LV"/>
        </w:rPr>
        <w:t> </w:t>
      </w:r>
      <w:r w:rsidR="00F218A5" w:rsidRPr="00AC50D2">
        <w:rPr>
          <w:sz w:val="28"/>
          <w:szCs w:val="28"/>
          <w:lang w:eastAsia="lv-LV"/>
        </w:rPr>
        <w:t xml:space="preserve">tabulu </w:t>
      </w:r>
      <w:r w:rsidR="0099700C" w:rsidRPr="00AC50D2">
        <w:rPr>
          <w:sz w:val="28"/>
          <w:szCs w:val="28"/>
          <w:lang w:eastAsia="lv-LV"/>
        </w:rPr>
        <w:t xml:space="preserve">šādā </w:t>
      </w:r>
      <w:r w:rsidR="00F218A5" w:rsidRPr="00AC50D2">
        <w:rPr>
          <w:sz w:val="28"/>
          <w:szCs w:val="28"/>
          <w:lang w:eastAsia="lv-LV"/>
        </w:rPr>
        <w:t>redakcijā:</w:t>
      </w:r>
    </w:p>
    <w:p w14:paraId="34E426D3" w14:textId="77777777" w:rsidR="00F218A5" w:rsidRPr="00F218A5" w:rsidRDefault="00F218A5" w:rsidP="00AC50D2">
      <w:pPr>
        <w:pStyle w:val="ListParagraph"/>
        <w:ind w:left="993"/>
        <w:jc w:val="both"/>
        <w:rPr>
          <w:sz w:val="28"/>
          <w:szCs w:val="28"/>
          <w:lang w:eastAsia="lv-LV"/>
        </w:rPr>
      </w:pPr>
    </w:p>
    <w:p w14:paraId="34E426D4" w14:textId="115F6606" w:rsidR="0099700C" w:rsidRPr="0099700C" w:rsidRDefault="00AC50D2" w:rsidP="00AC50D2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99700C" w:rsidRPr="0099700C">
        <w:rPr>
          <w:sz w:val="28"/>
          <w:szCs w:val="28"/>
          <w:lang w:eastAsia="lv-LV"/>
        </w:rPr>
        <w:t>6.</w:t>
      </w:r>
      <w:r>
        <w:rPr>
          <w:sz w:val="28"/>
          <w:szCs w:val="28"/>
          <w:lang w:eastAsia="lv-LV"/>
        </w:rPr>
        <w:t> </w:t>
      </w:r>
      <w:r w:rsidR="0099700C" w:rsidRPr="0099700C">
        <w:rPr>
          <w:sz w:val="28"/>
          <w:szCs w:val="28"/>
          <w:lang w:eastAsia="lv-LV"/>
        </w:rPr>
        <w:t>tabula</w:t>
      </w:r>
      <w:r w:rsidR="00553E32">
        <w:rPr>
          <w:sz w:val="28"/>
          <w:szCs w:val="28"/>
          <w:lang w:eastAsia="lv-LV"/>
        </w:rPr>
        <w:t>.</w:t>
      </w:r>
      <w:r w:rsidR="0099700C" w:rsidRPr="0099700C">
        <w:rPr>
          <w:sz w:val="28"/>
          <w:szCs w:val="28"/>
          <w:lang w:eastAsia="lv-LV"/>
        </w:rPr>
        <w:t xml:space="preserve"> Turpmākās rīcības plāns</w:t>
      </w:r>
    </w:p>
    <w:p w14:paraId="34E426D5" w14:textId="77777777" w:rsidR="00C6451C" w:rsidRDefault="00C6451C" w:rsidP="00AC50D2">
      <w:pPr>
        <w:jc w:val="both"/>
        <w:rPr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5324"/>
        <w:gridCol w:w="3225"/>
      </w:tblGrid>
      <w:tr w:rsidR="00C6451C" w14:paraId="34E426D9" w14:textId="77777777" w:rsidTr="00553E32">
        <w:tc>
          <w:tcPr>
            <w:tcW w:w="738" w:type="dxa"/>
            <w:vAlign w:val="center"/>
          </w:tcPr>
          <w:p w14:paraId="34E426D6" w14:textId="7F1D960D" w:rsidR="00C6451C" w:rsidRPr="0099700C" w:rsidRDefault="00F218A5" w:rsidP="00AC50D2">
            <w:pPr>
              <w:jc w:val="center"/>
              <w:rPr>
                <w:b/>
                <w:sz w:val="28"/>
                <w:szCs w:val="28"/>
                <w:lang w:eastAsia="lv-LV"/>
              </w:rPr>
            </w:pPr>
            <w:r w:rsidRPr="00F218A5">
              <w:rPr>
                <w:b/>
                <w:sz w:val="28"/>
                <w:szCs w:val="28"/>
                <w:lang w:eastAsia="lv-LV"/>
              </w:rPr>
              <w:t>Nr. p.</w:t>
            </w:r>
            <w:r w:rsidR="00AC50D2">
              <w:rPr>
                <w:b/>
                <w:sz w:val="28"/>
                <w:szCs w:val="28"/>
                <w:lang w:eastAsia="lv-LV"/>
              </w:rPr>
              <w:t> </w:t>
            </w:r>
            <w:r w:rsidRPr="00F218A5">
              <w:rPr>
                <w:b/>
                <w:sz w:val="28"/>
                <w:szCs w:val="28"/>
                <w:lang w:eastAsia="lv-LV"/>
              </w:rPr>
              <w:t>k.</w:t>
            </w:r>
          </w:p>
        </w:tc>
        <w:tc>
          <w:tcPr>
            <w:tcW w:w="5324" w:type="dxa"/>
            <w:vAlign w:val="center"/>
          </w:tcPr>
          <w:p w14:paraId="34E426D7" w14:textId="77777777" w:rsidR="00C6451C" w:rsidRPr="0099700C" w:rsidRDefault="00F218A5" w:rsidP="00AC50D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  <w:lang w:eastAsia="lv-LV"/>
              </w:rPr>
            </w:pPr>
            <w:r w:rsidRPr="00F218A5">
              <w:rPr>
                <w:b/>
                <w:sz w:val="28"/>
                <w:szCs w:val="28"/>
                <w:lang w:eastAsia="lv-LV"/>
              </w:rPr>
              <w:t>Rīcības raksturojums</w:t>
            </w:r>
          </w:p>
        </w:tc>
        <w:tc>
          <w:tcPr>
            <w:tcW w:w="3225" w:type="dxa"/>
            <w:vAlign w:val="center"/>
          </w:tcPr>
          <w:p w14:paraId="34E426D8" w14:textId="77777777" w:rsidR="00C6451C" w:rsidRPr="0099700C" w:rsidRDefault="00F218A5" w:rsidP="00AC50D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  <w:lang w:eastAsia="lv-LV"/>
              </w:rPr>
            </w:pPr>
            <w:r w:rsidRPr="00F218A5">
              <w:rPr>
                <w:b/>
                <w:sz w:val="28"/>
                <w:szCs w:val="28"/>
                <w:lang w:eastAsia="lv-LV"/>
              </w:rPr>
              <w:t>Izpildes termiņš</w:t>
            </w:r>
          </w:p>
        </w:tc>
      </w:tr>
      <w:tr w:rsidR="00C6451C" w14:paraId="34E426DD" w14:textId="77777777" w:rsidTr="00553E32">
        <w:tc>
          <w:tcPr>
            <w:tcW w:w="738" w:type="dxa"/>
          </w:tcPr>
          <w:p w14:paraId="34E426DA" w14:textId="77777777" w:rsidR="00F218A5" w:rsidRDefault="00C6451C" w:rsidP="00AC50D2">
            <w:pPr>
              <w:jc w:val="center"/>
              <w:rPr>
                <w:sz w:val="28"/>
                <w:szCs w:val="28"/>
                <w:lang w:eastAsia="lv-LV"/>
              </w:rPr>
            </w:pPr>
            <w:r w:rsidRPr="00E671F7">
              <w:rPr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5324" w:type="dxa"/>
          </w:tcPr>
          <w:p w14:paraId="34E426DB" w14:textId="7C14BC38" w:rsidR="00C6451C" w:rsidRPr="00E671F7" w:rsidRDefault="00C6451C" w:rsidP="00553E32">
            <w:pPr>
              <w:rPr>
                <w:sz w:val="28"/>
                <w:szCs w:val="28"/>
                <w:lang w:eastAsia="lv-LV"/>
              </w:rPr>
            </w:pPr>
            <w:r w:rsidRPr="00E671F7">
              <w:rPr>
                <w:sz w:val="28"/>
                <w:szCs w:val="28"/>
                <w:lang w:eastAsia="lv-LV"/>
              </w:rPr>
              <w:t xml:space="preserve">Izstrādāts pamatnostādņu </w:t>
            </w:r>
            <w:r w:rsidR="009257BB" w:rsidRPr="00E671F7">
              <w:rPr>
                <w:sz w:val="28"/>
                <w:szCs w:val="28"/>
                <w:lang w:eastAsia="lv-LV"/>
              </w:rPr>
              <w:t xml:space="preserve">īstenošanas </w:t>
            </w:r>
            <w:r w:rsidRPr="00E671F7">
              <w:rPr>
                <w:sz w:val="28"/>
                <w:szCs w:val="28"/>
                <w:lang w:eastAsia="lv-LV"/>
              </w:rPr>
              <w:t>rīcības</w:t>
            </w:r>
            <w:r w:rsidR="00553E32">
              <w:rPr>
                <w:sz w:val="28"/>
                <w:szCs w:val="28"/>
                <w:lang w:eastAsia="lv-LV"/>
              </w:rPr>
              <w:t xml:space="preserve"> plāns </w:t>
            </w:r>
            <w:r w:rsidR="00730675">
              <w:rPr>
                <w:sz w:val="28"/>
                <w:szCs w:val="28"/>
                <w:lang w:eastAsia="lv-LV"/>
              </w:rPr>
              <w:t xml:space="preserve">laikaposmā līdz </w:t>
            </w:r>
            <w:r w:rsidRPr="00E671F7">
              <w:rPr>
                <w:sz w:val="28"/>
                <w:szCs w:val="28"/>
                <w:lang w:eastAsia="lv-LV"/>
              </w:rPr>
              <w:t>2016</w:t>
            </w:r>
            <w:r w:rsidR="00AC50D2">
              <w:rPr>
                <w:sz w:val="28"/>
                <w:szCs w:val="28"/>
                <w:lang w:eastAsia="lv-LV"/>
              </w:rPr>
              <w:t>. g</w:t>
            </w:r>
            <w:r w:rsidRPr="00E671F7">
              <w:rPr>
                <w:sz w:val="28"/>
                <w:szCs w:val="28"/>
                <w:lang w:eastAsia="lv-LV"/>
              </w:rPr>
              <w:t>adam</w:t>
            </w:r>
          </w:p>
        </w:tc>
        <w:tc>
          <w:tcPr>
            <w:tcW w:w="3225" w:type="dxa"/>
          </w:tcPr>
          <w:p w14:paraId="34E426DC" w14:textId="0F03A426" w:rsidR="00C6451C" w:rsidRPr="00E671F7" w:rsidRDefault="00730675" w:rsidP="00AC50D2">
            <w:pPr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2013</w:t>
            </w:r>
            <w:r w:rsidR="00AC50D2">
              <w:rPr>
                <w:sz w:val="28"/>
                <w:szCs w:val="28"/>
                <w:lang w:eastAsia="lv-LV"/>
              </w:rPr>
              <w:t>. g</w:t>
            </w:r>
            <w:r w:rsidR="00C6451C" w:rsidRPr="00E671F7">
              <w:rPr>
                <w:sz w:val="28"/>
                <w:szCs w:val="28"/>
                <w:lang w:eastAsia="lv-LV"/>
              </w:rPr>
              <w:t xml:space="preserve">ada </w:t>
            </w:r>
            <w:r w:rsidR="006B7D3F" w:rsidRPr="00E671F7">
              <w:rPr>
                <w:sz w:val="28"/>
                <w:szCs w:val="28"/>
                <w:lang w:eastAsia="lv-LV"/>
              </w:rPr>
              <w:t>1</w:t>
            </w:r>
            <w:r w:rsidR="00AC50D2">
              <w:rPr>
                <w:sz w:val="28"/>
                <w:szCs w:val="28"/>
                <w:lang w:eastAsia="lv-LV"/>
              </w:rPr>
              <w:t>. d</w:t>
            </w:r>
            <w:r>
              <w:rPr>
                <w:sz w:val="28"/>
                <w:szCs w:val="28"/>
                <w:lang w:eastAsia="lv-LV"/>
              </w:rPr>
              <w:t>ecembris</w:t>
            </w:r>
          </w:p>
        </w:tc>
      </w:tr>
      <w:tr w:rsidR="000A400F" w14:paraId="34E426E1" w14:textId="77777777" w:rsidTr="00553E32">
        <w:tc>
          <w:tcPr>
            <w:tcW w:w="738" w:type="dxa"/>
          </w:tcPr>
          <w:p w14:paraId="34E426DE" w14:textId="77777777" w:rsidR="00F218A5" w:rsidRDefault="000A400F" w:rsidP="00AC50D2">
            <w:pPr>
              <w:jc w:val="center"/>
              <w:rPr>
                <w:sz w:val="28"/>
                <w:szCs w:val="28"/>
                <w:lang w:eastAsia="lv-LV"/>
              </w:rPr>
            </w:pPr>
            <w:r w:rsidRPr="00E671F7">
              <w:rPr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5324" w:type="dxa"/>
          </w:tcPr>
          <w:p w14:paraId="34E426DF" w14:textId="29893A4E" w:rsidR="000A400F" w:rsidRPr="00E671F7" w:rsidRDefault="000A400F" w:rsidP="00553E32">
            <w:pPr>
              <w:rPr>
                <w:sz w:val="28"/>
                <w:szCs w:val="28"/>
                <w:lang w:eastAsia="lv-LV"/>
              </w:rPr>
            </w:pPr>
            <w:r w:rsidRPr="00E671F7">
              <w:rPr>
                <w:sz w:val="28"/>
                <w:szCs w:val="28"/>
              </w:rPr>
              <w:t xml:space="preserve">Sagatavots informatīvais ziņojums par pamatnostādņu </w:t>
            </w:r>
            <w:r w:rsidR="00553E32" w:rsidRPr="00E671F7">
              <w:rPr>
                <w:sz w:val="28"/>
                <w:szCs w:val="28"/>
              </w:rPr>
              <w:t xml:space="preserve">īstenošanas </w:t>
            </w:r>
            <w:r w:rsidRPr="00E671F7">
              <w:rPr>
                <w:sz w:val="28"/>
                <w:szCs w:val="28"/>
              </w:rPr>
              <w:t xml:space="preserve">rīcības plāna </w:t>
            </w:r>
            <w:r w:rsidR="00553E32">
              <w:rPr>
                <w:sz w:val="28"/>
                <w:szCs w:val="28"/>
              </w:rPr>
              <w:t xml:space="preserve">izpildes </w:t>
            </w:r>
            <w:r w:rsidRPr="00E671F7">
              <w:rPr>
                <w:sz w:val="28"/>
                <w:szCs w:val="28"/>
              </w:rPr>
              <w:t>gaitu 2012.–2013</w:t>
            </w:r>
            <w:r w:rsidR="00AC50D2">
              <w:rPr>
                <w:sz w:val="28"/>
                <w:szCs w:val="28"/>
              </w:rPr>
              <w:t>. g</w:t>
            </w:r>
            <w:r w:rsidRPr="00E671F7">
              <w:rPr>
                <w:sz w:val="28"/>
                <w:szCs w:val="28"/>
              </w:rPr>
              <w:t>adā</w:t>
            </w:r>
          </w:p>
        </w:tc>
        <w:tc>
          <w:tcPr>
            <w:tcW w:w="3225" w:type="dxa"/>
          </w:tcPr>
          <w:p w14:paraId="34E426E0" w14:textId="06CD25EA" w:rsidR="000A400F" w:rsidRPr="00E671F7" w:rsidRDefault="000A400F" w:rsidP="00AC50D2">
            <w:pPr>
              <w:rPr>
                <w:sz w:val="28"/>
                <w:szCs w:val="28"/>
                <w:lang w:eastAsia="lv-LV"/>
              </w:rPr>
            </w:pPr>
            <w:r w:rsidRPr="00E671F7">
              <w:rPr>
                <w:sz w:val="28"/>
                <w:szCs w:val="28"/>
              </w:rPr>
              <w:t>2014</w:t>
            </w:r>
            <w:r w:rsidR="00AC50D2">
              <w:rPr>
                <w:sz w:val="28"/>
                <w:szCs w:val="28"/>
              </w:rPr>
              <w:t>. g</w:t>
            </w:r>
            <w:r w:rsidRPr="00E671F7">
              <w:rPr>
                <w:sz w:val="28"/>
                <w:szCs w:val="28"/>
              </w:rPr>
              <w:t>ada 1</w:t>
            </w:r>
            <w:r w:rsidR="00AC50D2">
              <w:rPr>
                <w:sz w:val="28"/>
                <w:szCs w:val="28"/>
              </w:rPr>
              <w:t>. j</w:t>
            </w:r>
            <w:r w:rsidRPr="00E671F7">
              <w:rPr>
                <w:sz w:val="28"/>
                <w:szCs w:val="28"/>
              </w:rPr>
              <w:t>ūlijs</w:t>
            </w:r>
          </w:p>
        </w:tc>
      </w:tr>
      <w:tr w:rsidR="000A400F" w14:paraId="34E426E5" w14:textId="77777777" w:rsidTr="00553E32">
        <w:tc>
          <w:tcPr>
            <w:tcW w:w="738" w:type="dxa"/>
          </w:tcPr>
          <w:p w14:paraId="34E426E2" w14:textId="77777777" w:rsidR="00F218A5" w:rsidRDefault="000A400F" w:rsidP="00AC50D2">
            <w:pPr>
              <w:jc w:val="center"/>
              <w:rPr>
                <w:sz w:val="28"/>
                <w:szCs w:val="28"/>
                <w:lang w:eastAsia="lv-LV"/>
              </w:rPr>
            </w:pPr>
            <w:r w:rsidRPr="00E671F7">
              <w:rPr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5324" w:type="dxa"/>
          </w:tcPr>
          <w:p w14:paraId="34E426E3" w14:textId="77777777" w:rsidR="000A400F" w:rsidRPr="00E671F7" w:rsidRDefault="000A400F" w:rsidP="00AC50D2">
            <w:pPr>
              <w:rPr>
                <w:sz w:val="28"/>
                <w:szCs w:val="28"/>
                <w:lang w:eastAsia="lv-LV"/>
              </w:rPr>
            </w:pPr>
            <w:r w:rsidRPr="00E671F7">
              <w:rPr>
                <w:sz w:val="28"/>
                <w:szCs w:val="28"/>
              </w:rPr>
              <w:t>Sagatavots starpposma novērtējums</w:t>
            </w:r>
          </w:p>
        </w:tc>
        <w:tc>
          <w:tcPr>
            <w:tcW w:w="3225" w:type="dxa"/>
          </w:tcPr>
          <w:p w14:paraId="34E426E4" w14:textId="7A39791A" w:rsidR="000A400F" w:rsidRPr="00E671F7" w:rsidRDefault="000A400F" w:rsidP="00AC50D2">
            <w:pPr>
              <w:rPr>
                <w:sz w:val="28"/>
                <w:szCs w:val="28"/>
                <w:lang w:eastAsia="lv-LV"/>
              </w:rPr>
            </w:pPr>
            <w:r w:rsidRPr="00E671F7">
              <w:rPr>
                <w:sz w:val="28"/>
                <w:szCs w:val="28"/>
              </w:rPr>
              <w:t>2015</w:t>
            </w:r>
            <w:r w:rsidR="00AC50D2">
              <w:rPr>
                <w:sz w:val="28"/>
                <w:szCs w:val="28"/>
              </w:rPr>
              <w:t>. g</w:t>
            </w:r>
            <w:r w:rsidRPr="00E671F7">
              <w:rPr>
                <w:sz w:val="28"/>
                <w:szCs w:val="28"/>
              </w:rPr>
              <w:t>ada 1</w:t>
            </w:r>
            <w:r w:rsidR="00AC50D2">
              <w:rPr>
                <w:sz w:val="28"/>
                <w:szCs w:val="28"/>
              </w:rPr>
              <w:t>. j</w:t>
            </w:r>
            <w:r w:rsidRPr="00E671F7">
              <w:rPr>
                <w:sz w:val="28"/>
                <w:szCs w:val="28"/>
              </w:rPr>
              <w:t>ūlijs</w:t>
            </w:r>
          </w:p>
        </w:tc>
      </w:tr>
      <w:tr w:rsidR="00C6451C" w14:paraId="34E426E9" w14:textId="77777777" w:rsidTr="00553E32">
        <w:tc>
          <w:tcPr>
            <w:tcW w:w="738" w:type="dxa"/>
          </w:tcPr>
          <w:p w14:paraId="34E426E6" w14:textId="77777777" w:rsidR="00F218A5" w:rsidRDefault="00C6451C" w:rsidP="00AC50D2">
            <w:pPr>
              <w:jc w:val="center"/>
              <w:rPr>
                <w:sz w:val="28"/>
                <w:szCs w:val="28"/>
                <w:lang w:eastAsia="lv-LV"/>
              </w:rPr>
            </w:pPr>
            <w:r w:rsidRPr="00E671F7">
              <w:rPr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5324" w:type="dxa"/>
          </w:tcPr>
          <w:p w14:paraId="34E426E7" w14:textId="6B49783E" w:rsidR="00C6451C" w:rsidRPr="00E671F7" w:rsidRDefault="00C6451C" w:rsidP="00AC50D2">
            <w:pPr>
              <w:rPr>
                <w:sz w:val="28"/>
                <w:szCs w:val="28"/>
                <w:lang w:eastAsia="lv-LV"/>
              </w:rPr>
            </w:pPr>
            <w:r w:rsidRPr="00E671F7">
              <w:rPr>
                <w:sz w:val="28"/>
                <w:szCs w:val="28"/>
                <w:lang w:eastAsia="lv-LV"/>
              </w:rPr>
              <w:t xml:space="preserve">Izstrādāts pamatnostādņu </w:t>
            </w:r>
            <w:r w:rsidR="009257BB" w:rsidRPr="00E671F7">
              <w:rPr>
                <w:sz w:val="28"/>
                <w:szCs w:val="28"/>
                <w:lang w:eastAsia="lv-LV"/>
              </w:rPr>
              <w:t xml:space="preserve">īstenošanas </w:t>
            </w:r>
            <w:r w:rsidRPr="00E671F7">
              <w:rPr>
                <w:sz w:val="28"/>
                <w:szCs w:val="28"/>
                <w:lang w:eastAsia="lv-LV"/>
              </w:rPr>
              <w:t>rīcības plāns 2017.</w:t>
            </w:r>
            <w:r w:rsidR="00A94E19">
              <w:rPr>
                <w:sz w:val="28"/>
                <w:szCs w:val="28"/>
                <w:lang w:eastAsia="lv-LV"/>
              </w:rPr>
              <w:t>–</w:t>
            </w:r>
            <w:r w:rsidRPr="00E671F7">
              <w:rPr>
                <w:sz w:val="28"/>
                <w:szCs w:val="28"/>
                <w:lang w:eastAsia="lv-LV"/>
              </w:rPr>
              <w:t>2018</w:t>
            </w:r>
            <w:r w:rsidR="00AC50D2">
              <w:rPr>
                <w:sz w:val="28"/>
                <w:szCs w:val="28"/>
                <w:lang w:eastAsia="lv-LV"/>
              </w:rPr>
              <w:t>. g</w:t>
            </w:r>
            <w:r w:rsidRPr="00E671F7">
              <w:rPr>
                <w:sz w:val="28"/>
                <w:szCs w:val="28"/>
                <w:lang w:eastAsia="lv-LV"/>
              </w:rPr>
              <w:t>adam</w:t>
            </w:r>
          </w:p>
        </w:tc>
        <w:tc>
          <w:tcPr>
            <w:tcW w:w="3225" w:type="dxa"/>
          </w:tcPr>
          <w:p w14:paraId="34E426E8" w14:textId="49A808C2" w:rsidR="00C6451C" w:rsidRPr="00E671F7" w:rsidRDefault="00C6451C" w:rsidP="00AC50D2">
            <w:pPr>
              <w:rPr>
                <w:sz w:val="28"/>
                <w:szCs w:val="28"/>
                <w:lang w:eastAsia="lv-LV"/>
              </w:rPr>
            </w:pPr>
            <w:r w:rsidRPr="00E671F7">
              <w:rPr>
                <w:sz w:val="28"/>
                <w:szCs w:val="28"/>
                <w:lang w:eastAsia="lv-LV"/>
              </w:rPr>
              <w:t>2016</w:t>
            </w:r>
            <w:r w:rsidR="00AC50D2">
              <w:rPr>
                <w:sz w:val="28"/>
                <w:szCs w:val="28"/>
                <w:lang w:eastAsia="lv-LV"/>
              </w:rPr>
              <w:t>. g</w:t>
            </w:r>
            <w:r w:rsidRPr="00E671F7">
              <w:rPr>
                <w:sz w:val="28"/>
                <w:szCs w:val="28"/>
                <w:lang w:eastAsia="lv-LV"/>
              </w:rPr>
              <w:t xml:space="preserve">ada </w:t>
            </w:r>
            <w:r w:rsidR="006B7D3F" w:rsidRPr="00E671F7">
              <w:rPr>
                <w:sz w:val="28"/>
                <w:szCs w:val="28"/>
                <w:lang w:eastAsia="lv-LV"/>
              </w:rPr>
              <w:t>1</w:t>
            </w:r>
            <w:r w:rsidR="00AC50D2">
              <w:rPr>
                <w:sz w:val="28"/>
                <w:szCs w:val="28"/>
                <w:lang w:eastAsia="lv-LV"/>
              </w:rPr>
              <w:t>. o</w:t>
            </w:r>
            <w:r w:rsidR="006B7D3F" w:rsidRPr="00E671F7">
              <w:rPr>
                <w:sz w:val="28"/>
                <w:szCs w:val="28"/>
                <w:lang w:eastAsia="lv-LV"/>
              </w:rPr>
              <w:t>ktobris</w:t>
            </w:r>
          </w:p>
        </w:tc>
      </w:tr>
      <w:tr w:rsidR="00C6451C" w14:paraId="34E426ED" w14:textId="77777777" w:rsidTr="00553E32">
        <w:tc>
          <w:tcPr>
            <w:tcW w:w="738" w:type="dxa"/>
          </w:tcPr>
          <w:p w14:paraId="34E426EA" w14:textId="77777777" w:rsidR="00F218A5" w:rsidRDefault="00C6451C" w:rsidP="00AC50D2">
            <w:pPr>
              <w:jc w:val="center"/>
              <w:rPr>
                <w:sz w:val="28"/>
                <w:szCs w:val="28"/>
                <w:lang w:eastAsia="lv-LV"/>
              </w:rPr>
            </w:pPr>
            <w:r w:rsidRPr="00E671F7">
              <w:rPr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5324" w:type="dxa"/>
          </w:tcPr>
          <w:p w14:paraId="34E426EB" w14:textId="6C73ABD0" w:rsidR="00C6451C" w:rsidRPr="00E671F7" w:rsidRDefault="00C6451C" w:rsidP="00553E32">
            <w:pPr>
              <w:rPr>
                <w:sz w:val="28"/>
                <w:szCs w:val="28"/>
                <w:lang w:eastAsia="lv-LV"/>
              </w:rPr>
            </w:pPr>
            <w:r w:rsidRPr="00E671F7">
              <w:rPr>
                <w:sz w:val="28"/>
                <w:szCs w:val="28"/>
                <w:lang w:eastAsia="lv-LV"/>
              </w:rPr>
              <w:t xml:space="preserve">Sagatavots informatīvais ziņojums par pamatnostādņu </w:t>
            </w:r>
            <w:r w:rsidR="00553E32" w:rsidRPr="00E671F7">
              <w:rPr>
                <w:sz w:val="28"/>
                <w:szCs w:val="28"/>
                <w:lang w:eastAsia="lv-LV"/>
              </w:rPr>
              <w:t xml:space="preserve">īstenošanas </w:t>
            </w:r>
            <w:r w:rsidRPr="00E671F7">
              <w:rPr>
                <w:sz w:val="28"/>
                <w:szCs w:val="28"/>
                <w:lang w:eastAsia="lv-LV"/>
              </w:rPr>
              <w:t xml:space="preserve">rīcības plāna </w:t>
            </w:r>
            <w:r w:rsidR="00553E32">
              <w:rPr>
                <w:sz w:val="28"/>
                <w:szCs w:val="28"/>
                <w:lang w:eastAsia="lv-LV"/>
              </w:rPr>
              <w:t xml:space="preserve">izpildes </w:t>
            </w:r>
            <w:r w:rsidRPr="00E671F7">
              <w:rPr>
                <w:sz w:val="28"/>
                <w:szCs w:val="28"/>
                <w:lang w:eastAsia="lv-LV"/>
              </w:rPr>
              <w:t>gaitu 2014.</w:t>
            </w:r>
            <w:r w:rsidR="00A94E19">
              <w:rPr>
                <w:sz w:val="28"/>
                <w:szCs w:val="28"/>
                <w:lang w:eastAsia="lv-LV"/>
              </w:rPr>
              <w:t>–</w:t>
            </w:r>
            <w:r w:rsidRPr="00E671F7">
              <w:rPr>
                <w:sz w:val="28"/>
                <w:szCs w:val="28"/>
                <w:lang w:eastAsia="lv-LV"/>
              </w:rPr>
              <w:t>2016</w:t>
            </w:r>
            <w:r w:rsidR="00AC50D2">
              <w:rPr>
                <w:sz w:val="28"/>
                <w:szCs w:val="28"/>
                <w:lang w:eastAsia="lv-LV"/>
              </w:rPr>
              <w:t>. g</w:t>
            </w:r>
            <w:r w:rsidRPr="00E671F7">
              <w:rPr>
                <w:sz w:val="28"/>
                <w:szCs w:val="28"/>
                <w:lang w:eastAsia="lv-LV"/>
              </w:rPr>
              <w:t>adā</w:t>
            </w:r>
          </w:p>
        </w:tc>
        <w:tc>
          <w:tcPr>
            <w:tcW w:w="3225" w:type="dxa"/>
          </w:tcPr>
          <w:p w14:paraId="34E426EC" w14:textId="1DDE8DF0" w:rsidR="00C6451C" w:rsidRPr="00E671F7" w:rsidRDefault="00C6451C" w:rsidP="00AC50D2">
            <w:pPr>
              <w:rPr>
                <w:sz w:val="28"/>
                <w:szCs w:val="28"/>
                <w:lang w:eastAsia="lv-LV"/>
              </w:rPr>
            </w:pPr>
            <w:r w:rsidRPr="00E671F7">
              <w:rPr>
                <w:sz w:val="28"/>
                <w:szCs w:val="28"/>
                <w:lang w:eastAsia="lv-LV"/>
              </w:rPr>
              <w:t>2017</w:t>
            </w:r>
            <w:r w:rsidR="00AC50D2">
              <w:rPr>
                <w:sz w:val="28"/>
                <w:szCs w:val="28"/>
                <w:lang w:eastAsia="lv-LV"/>
              </w:rPr>
              <w:t>. g</w:t>
            </w:r>
            <w:r w:rsidRPr="00E671F7">
              <w:rPr>
                <w:sz w:val="28"/>
                <w:szCs w:val="28"/>
                <w:lang w:eastAsia="lv-LV"/>
              </w:rPr>
              <w:t>ada 1</w:t>
            </w:r>
            <w:r w:rsidR="00AC50D2">
              <w:rPr>
                <w:sz w:val="28"/>
                <w:szCs w:val="28"/>
                <w:lang w:eastAsia="lv-LV"/>
              </w:rPr>
              <w:t>. j</w:t>
            </w:r>
            <w:r w:rsidRPr="00E671F7">
              <w:rPr>
                <w:sz w:val="28"/>
                <w:szCs w:val="28"/>
                <w:lang w:eastAsia="lv-LV"/>
              </w:rPr>
              <w:t>ūlijs</w:t>
            </w:r>
          </w:p>
        </w:tc>
      </w:tr>
      <w:tr w:rsidR="000A400F" w14:paraId="34E426F1" w14:textId="77777777" w:rsidTr="00553E32">
        <w:tc>
          <w:tcPr>
            <w:tcW w:w="738" w:type="dxa"/>
          </w:tcPr>
          <w:p w14:paraId="34E426EE" w14:textId="77777777" w:rsidR="00F218A5" w:rsidRDefault="00E671F7" w:rsidP="00AC50D2">
            <w:pPr>
              <w:jc w:val="center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6</w:t>
            </w:r>
            <w:r w:rsidR="000A400F" w:rsidRPr="00E671F7">
              <w:rPr>
                <w:sz w:val="28"/>
                <w:szCs w:val="28"/>
                <w:lang w:eastAsia="lv-LV"/>
              </w:rPr>
              <w:t>.</w:t>
            </w:r>
          </w:p>
        </w:tc>
        <w:tc>
          <w:tcPr>
            <w:tcW w:w="5324" w:type="dxa"/>
          </w:tcPr>
          <w:p w14:paraId="34E426EF" w14:textId="77777777" w:rsidR="000A400F" w:rsidRPr="00E671F7" w:rsidRDefault="000A400F" w:rsidP="00AC50D2">
            <w:pPr>
              <w:rPr>
                <w:sz w:val="28"/>
                <w:szCs w:val="28"/>
                <w:lang w:eastAsia="lv-LV"/>
              </w:rPr>
            </w:pPr>
            <w:r w:rsidRPr="00E671F7">
              <w:rPr>
                <w:sz w:val="28"/>
                <w:szCs w:val="28"/>
              </w:rPr>
              <w:t>Sagatavots pamatnostādņu īstenošanas gala ietekmes novērtējums</w:t>
            </w:r>
          </w:p>
        </w:tc>
        <w:tc>
          <w:tcPr>
            <w:tcW w:w="3225" w:type="dxa"/>
          </w:tcPr>
          <w:p w14:paraId="34E426F0" w14:textId="64B6B908" w:rsidR="000A400F" w:rsidRPr="00E671F7" w:rsidRDefault="000A400F" w:rsidP="00AC50D2">
            <w:pPr>
              <w:rPr>
                <w:sz w:val="28"/>
                <w:szCs w:val="28"/>
                <w:lang w:eastAsia="lv-LV"/>
              </w:rPr>
            </w:pPr>
            <w:r w:rsidRPr="00E671F7">
              <w:rPr>
                <w:sz w:val="28"/>
                <w:szCs w:val="28"/>
              </w:rPr>
              <w:t>2019</w:t>
            </w:r>
            <w:r w:rsidR="00AC50D2">
              <w:rPr>
                <w:sz w:val="28"/>
                <w:szCs w:val="28"/>
              </w:rPr>
              <w:t>. g</w:t>
            </w:r>
            <w:r w:rsidRPr="00E671F7">
              <w:rPr>
                <w:sz w:val="28"/>
                <w:szCs w:val="28"/>
              </w:rPr>
              <w:t>ada</w:t>
            </w:r>
            <w:r w:rsidR="00A94E19">
              <w:rPr>
                <w:sz w:val="28"/>
                <w:szCs w:val="28"/>
              </w:rPr>
              <w:t xml:space="preserve"> </w:t>
            </w:r>
            <w:r w:rsidRPr="00E671F7">
              <w:rPr>
                <w:sz w:val="28"/>
                <w:szCs w:val="28"/>
              </w:rPr>
              <w:t>1</w:t>
            </w:r>
            <w:r w:rsidR="00AC50D2">
              <w:rPr>
                <w:sz w:val="28"/>
                <w:szCs w:val="28"/>
              </w:rPr>
              <w:t>. s</w:t>
            </w:r>
            <w:r w:rsidRPr="00E671F7">
              <w:rPr>
                <w:sz w:val="28"/>
                <w:szCs w:val="28"/>
              </w:rPr>
              <w:t>eptembris</w:t>
            </w:r>
            <w:r w:rsidR="00AC50D2">
              <w:rPr>
                <w:sz w:val="28"/>
                <w:szCs w:val="28"/>
              </w:rPr>
              <w:t>"</w:t>
            </w:r>
          </w:p>
        </w:tc>
      </w:tr>
    </w:tbl>
    <w:p w14:paraId="34E426F2" w14:textId="77777777" w:rsidR="00C6451C" w:rsidRDefault="00C6451C" w:rsidP="00AC50D2">
      <w:pPr>
        <w:jc w:val="both"/>
        <w:rPr>
          <w:sz w:val="28"/>
          <w:szCs w:val="28"/>
          <w:lang w:eastAsia="lv-LV"/>
        </w:rPr>
      </w:pPr>
    </w:p>
    <w:p w14:paraId="34E426F3" w14:textId="2940979B" w:rsidR="00F218A5" w:rsidRPr="00AC50D2" w:rsidRDefault="00AC50D2" w:rsidP="00AC50D2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1.2. </w:t>
      </w:r>
      <w:r w:rsidR="00F218A5" w:rsidRPr="00AC50D2">
        <w:rPr>
          <w:sz w:val="28"/>
          <w:szCs w:val="28"/>
          <w:lang w:eastAsia="lv-LV"/>
        </w:rPr>
        <w:t>aizstāt informatīvās daļas 13</w:t>
      </w:r>
      <w:r w:rsidRPr="00AC50D2">
        <w:rPr>
          <w:sz w:val="28"/>
          <w:szCs w:val="28"/>
          <w:lang w:eastAsia="lv-LV"/>
        </w:rPr>
        <w:t>. n</w:t>
      </w:r>
      <w:r w:rsidR="00F218A5" w:rsidRPr="00AC50D2">
        <w:rPr>
          <w:sz w:val="28"/>
          <w:szCs w:val="28"/>
          <w:lang w:eastAsia="lv-LV"/>
        </w:rPr>
        <w:t>odaļas</w:t>
      </w:r>
      <w:r w:rsidR="00730675" w:rsidRPr="00AC50D2">
        <w:rPr>
          <w:sz w:val="28"/>
          <w:szCs w:val="28"/>
          <w:lang w:eastAsia="lv-LV"/>
        </w:rPr>
        <w:t xml:space="preserve"> 3.</w:t>
      </w:r>
      <w:r>
        <w:rPr>
          <w:sz w:val="28"/>
          <w:szCs w:val="28"/>
          <w:lang w:eastAsia="lv-LV"/>
        </w:rPr>
        <w:t> </w:t>
      </w:r>
      <w:r w:rsidR="00730675" w:rsidRPr="00AC50D2">
        <w:rPr>
          <w:sz w:val="28"/>
          <w:szCs w:val="28"/>
          <w:lang w:eastAsia="lv-LV"/>
        </w:rPr>
        <w:t xml:space="preserve">rindkopā </w:t>
      </w:r>
      <w:r w:rsidR="00F218A5" w:rsidRPr="00AC50D2">
        <w:rPr>
          <w:sz w:val="28"/>
          <w:szCs w:val="28"/>
          <w:lang w:eastAsia="lv-LV"/>
        </w:rPr>
        <w:t xml:space="preserve">skaitli </w:t>
      </w:r>
      <w:r w:rsidRPr="00AC50D2">
        <w:rPr>
          <w:sz w:val="28"/>
          <w:szCs w:val="28"/>
          <w:lang w:eastAsia="lv-LV"/>
        </w:rPr>
        <w:t>"</w:t>
      </w:r>
      <w:r w:rsidR="00F218A5" w:rsidRPr="00AC50D2">
        <w:rPr>
          <w:sz w:val="28"/>
          <w:szCs w:val="28"/>
          <w:lang w:eastAsia="lv-LV"/>
        </w:rPr>
        <w:t>2016</w:t>
      </w:r>
      <w:r w:rsidR="00553E32">
        <w:rPr>
          <w:sz w:val="28"/>
          <w:szCs w:val="28"/>
          <w:lang w:eastAsia="lv-LV"/>
        </w:rPr>
        <w:t>.</w:t>
      </w:r>
      <w:r w:rsidRPr="00AC50D2">
        <w:rPr>
          <w:sz w:val="28"/>
          <w:szCs w:val="28"/>
          <w:lang w:eastAsia="lv-LV"/>
        </w:rPr>
        <w:t>"</w:t>
      </w:r>
      <w:r w:rsidR="00F218A5" w:rsidRPr="00AC50D2">
        <w:rPr>
          <w:sz w:val="28"/>
          <w:szCs w:val="28"/>
          <w:lang w:eastAsia="lv-LV"/>
        </w:rPr>
        <w:t xml:space="preserve"> ar skaitli </w:t>
      </w:r>
      <w:r w:rsidRPr="00AC50D2">
        <w:rPr>
          <w:sz w:val="28"/>
          <w:szCs w:val="28"/>
          <w:lang w:eastAsia="lv-LV"/>
        </w:rPr>
        <w:t>"</w:t>
      </w:r>
      <w:r w:rsidR="00F218A5" w:rsidRPr="00AC50D2">
        <w:rPr>
          <w:sz w:val="28"/>
          <w:szCs w:val="28"/>
          <w:lang w:eastAsia="lv-LV"/>
        </w:rPr>
        <w:t>2017</w:t>
      </w:r>
      <w:r w:rsidR="00553E32">
        <w:rPr>
          <w:sz w:val="28"/>
          <w:szCs w:val="28"/>
          <w:lang w:eastAsia="lv-LV"/>
        </w:rPr>
        <w:t>.</w:t>
      </w:r>
      <w:r w:rsidRPr="00AC50D2">
        <w:rPr>
          <w:sz w:val="28"/>
          <w:szCs w:val="28"/>
          <w:lang w:eastAsia="lv-LV"/>
        </w:rPr>
        <w:t>"</w:t>
      </w:r>
      <w:r w:rsidR="00F218A5" w:rsidRPr="00AC50D2">
        <w:rPr>
          <w:sz w:val="28"/>
          <w:szCs w:val="28"/>
          <w:lang w:eastAsia="lv-LV"/>
        </w:rPr>
        <w:t>.</w:t>
      </w:r>
    </w:p>
    <w:p w14:paraId="34E426F4" w14:textId="77777777" w:rsidR="00F218A5" w:rsidRDefault="00F218A5" w:rsidP="00AC50D2">
      <w:pPr>
        <w:pStyle w:val="ListParagraph"/>
        <w:ind w:left="1080"/>
        <w:jc w:val="both"/>
        <w:rPr>
          <w:sz w:val="28"/>
          <w:szCs w:val="28"/>
          <w:lang w:eastAsia="lv-LV"/>
        </w:rPr>
      </w:pPr>
    </w:p>
    <w:p w14:paraId="70FEAB3A" w14:textId="77777777" w:rsidR="00AC50D2" w:rsidRDefault="00AC50D2">
      <w:pPr>
        <w:spacing w:after="200" w:line="276" w:lineRule="auto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br w:type="page"/>
      </w:r>
    </w:p>
    <w:p w14:paraId="34E426F6" w14:textId="4FF123FE" w:rsidR="00F218A5" w:rsidRPr="00AC50D2" w:rsidRDefault="00AC50D2" w:rsidP="00AC50D2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lastRenderedPageBreak/>
        <w:t>2. </w:t>
      </w:r>
      <w:r w:rsidR="0099700C" w:rsidRPr="00AC50D2">
        <w:rPr>
          <w:sz w:val="28"/>
          <w:szCs w:val="28"/>
          <w:lang w:eastAsia="lv-LV"/>
        </w:rPr>
        <w:t>Kultūras ministrijai nedēļas laikā iesniegt precizētās pamatnostādnes Valsts kancelejā.</w:t>
      </w:r>
    </w:p>
    <w:p w14:paraId="34E426F7" w14:textId="77777777" w:rsidR="000A400F" w:rsidRDefault="000A400F" w:rsidP="00AC50D2">
      <w:pPr>
        <w:ind w:left="142"/>
        <w:jc w:val="both"/>
        <w:rPr>
          <w:sz w:val="28"/>
          <w:szCs w:val="28"/>
          <w:lang w:eastAsia="lv-LV"/>
        </w:rPr>
      </w:pPr>
    </w:p>
    <w:p w14:paraId="34E426F8" w14:textId="77777777" w:rsidR="00A94E19" w:rsidRDefault="00A94E19" w:rsidP="00AC50D2">
      <w:pPr>
        <w:ind w:left="142"/>
        <w:jc w:val="both"/>
        <w:rPr>
          <w:sz w:val="28"/>
          <w:szCs w:val="28"/>
          <w:lang w:eastAsia="lv-LV"/>
        </w:rPr>
      </w:pPr>
    </w:p>
    <w:p w14:paraId="6B192BCF" w14:textId="77777777" w:rsidR="00AC50D2" w:rsidRDefault="00AC50D2" w:rsidP="00AC50D2">
      <w:pPr>
        <w:ind w:left="142"/>
        <w:jc w:val="both"/>
        <w:rPr>
          <w:sz w:val="28"/>
          <w:szCs w:val="28"/>
          <w:lang w:eastAsia="lv-LV"/>
        </w:rPr>
      </w:pPr>
    </w:p>
    <w:p w14:paraId="34E426F9" w14:textId="0C43FF28" w:rsidR="001561DE" w:rsidRPr="001A6054" w:rsidRDefault="001561DE" w:rsidP="00AC50D2">
      <w:pPr>
        <w:pStyle w:val="Parasts"/>
        <w:tabs>
          <w:tab w:val="left" w:pos="6379"/>
        </w:tabs>
        <w:ind w:left="284" w:firstLine="425"/>
        <w:jc w:val="left"/>
        <w:rPr>
          <w:color w:val="000000"/>
          <w:lang w:eastAsia="lv-LV"/>
        </w:rPr>
      </w:pPr>
      <w:r w:rsidRPr="001A6054">
        <w:rPr>
          <w:color w:val="000000"/>
          <w:lang w:eastAsia="lv-LV"/>
        </w:rPr>
        <w:t>Ministru prezident</w:t>
      </w:r>
      <w:r>
        <w:rPr>
          <w:color w:val="000000"/>
          <w:lang w:eastAsia="lv-LV"/>
        </w:rPr>
        <w:t>e</w:t>
      </w:r>
      <w:r w:rsidRPr="001A6054">
        <w:rPr>
          <w:color w:val="000000"/>
          <w:lang w:eastAsia="lv-LV"/>
        </w:rPr>
        <w:tab/>
      </w:r>
      <w:r w:rsidR="009A5BA1">
        <w:rPr>
          <w:color w:val="000000"/>
          <w:lang w:eastAsia="lv-LV"/>
        </w:rPr>
        <w:t xml:space="preserve">Laimdota </w:t>
      </w:r>
      <w:r>
        <w:rPr>
          <w:color w:val="000000"/>
          <w:lang w:eastAsia="lv-LV"/>
        </w:rPr>
        <w:t>Straujuma</w:t>
      </w:r>
    </w:p>
    <w:p w14:paraId="34E426FA" w14:textId="77777777" w:rsidR="00A94E19" w:rsidRDefault="00A94E19" w:rsidP="00AC50D2">
      <w:pPr>
        <w:pStyle w:val="Parasts"/>
        <w:tabs>
          <w:tab w:val="left" w:pos="6379"/>
        </w:tabs>
        <w:ind w:left="284" w:firstLine="425"/>
        <w:jc w:val="left"/>
        <w:rPr>
          <w:color w:val="000000"/>
          <w:lang w:eastAsia="lv-LV"/>
        </w:rPr>
      </w:pPr>
    </w:p>
    <w:p w14:paraId="3FB2853B" w14:textId="77777777" w:rsidR="00AC50D2" w:rsidRDefault="00AC50D2" w:rsidP="00AC50D2">
      <w:pPr>
        <w:pStyle w:val="Parasts"/>
        <w:tabs>
          <w:tab w:val="left" w:pos="6379"/>
        </w:tabs>
        <w:ind w:left="284" w:firstLine="425"/>
        <w:jc w:val="left"/>
        <w:rPr>
          <w:color w:val="000000"/>
          <w:lang w:eastAsia="lv-LV"/>
        </w:rPr>
      </w:pPr>
    </w:p>
    <w:p w14:paraId="1E1B26B5" w14:textId="77777777" w:rsidR="001E1326" w:rsidRPr="001E1326" w:rsidRDefault="001E1326" w:rsidP="001E1326">
      <w:pPr>
        <w:pStyle w:val="Parasts"/>
        <w:tabs>
          <w:tab w:val="left" w:pos="6379"/>
        </w:tabs>
        <w:ind w:left="284" w:firstLine="425"/>
        <w:jc w:val="left"/>
        <w:rPr>
          <w:color w:val="000000"/>
          <w:lang w:eastAsia="lv-LV"/>
        </w:rPr>
      </w:pPr>
      <w:r w:rsidRPr="001E1326">
        <w:rPr>
          <w:color w:val="000000"/>
          <w:lang w:eastAsia="lv-LV"/>
        </w:rPr>
        <w:t>Kultūras ministra vietā –</w:t>
      </w:r>
    </w:p>
    <w:p w14:paraId="12A8C20D" w14:textId="77777777" w:rsidR="001E1326" w:rsidRPr="001E1326" w:rsidRDefault="001E1326" w:rsidP="001E1326">
      <w:pPr>
        <w:pStyle w:val="Parasts"/>
        <w:tabs>
          <w:tab w:val="left" w:pos="6379"/>
        </w:tabs>
        <w:ind w:left="284" w:firstLine="425"/>
        <w:jc w:val="left"/>
        <w:rPr>
          <w:color w:val="000000"/>
          <w:lang w:eastAsia="lv-LV"/>
        </w:rPr>
      </w:pPr>
      <w:r w:rsidRPr="001E1326">
        <w:rPr>
          <w:color w:val="000000"/>
          <w:lang w:eastAsia="lv-LV"/>
        </w:rPr>
        <w:t xml:space="preserve">tieslietu ministrs </w:t>
      </w:r>
      <w:r w:rsidRPr="001E1326">
        <w:rPr>
          <w:color w:val="000000"/>
          <w:lang w:eastAsia="lv-LV"/>
        </w:rPr>
        <w:tab/>
        <w:t>Dzintars Rasnačs</w:t>
      </w:r>
    </w:p>
    <w:p w14:paraId="34E426FB" w14:textId="1CE52723" w:rsidR="001561DE" w:rsidRPr="001A6054" w:rsidRDefault="001561DE" w:rsidP="001E1326">
      <w:pPr>
        <w:pStyle w:val="Parasts"/>
        <w:tabs>
          <w:tab w:val="left" w:pos="6379"/>
        </w:tabs>
        <w:ind w:left="284" w:firstLine="425"/>
        <w:jc w:val="left"/>
      </w:pPr>
    </w:p>
    <w:sectPr w:rsidR="001561DE" w:rsidRPr="001A6054" w:rsidSect="00AC50D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4270A" w14:textId="77777777" w:rsidR="0099700C" w:rsidRDefault="0099700C" w:rsidP="00351F2A">
      <w:r>
        <w:separator/>
      </w:r>
    </w:p>
  </w:endnote>
  <w:endnote w:type="continuationSeparator" w:id="0">
    <w:p w14:paraId="34E4270B" w14:textId="77777777" w:rsidR="0099700C" w:rsidRDefault="0099700C" w:rsidP="0035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6E3" w14:textId="77777777" w:rsidR="00AC50D2" w:rsidRPr="00AC50D2" w:rsidRDefault="009A5BA1" w:rsidP="00AC50D2">
    <w:pPr>
      <w:pStyle w:val="NoSpacing"/>
      <w:jc w:val="both"/>
      <w:rPr>
        <w:sz w:val="16"/>
        <w:szCs w:val="16"/>
      </w:rPr>
    </w:pPr>
    <w:r>
      <w:rPr>
        <w:rFonts w:ascii="Times New Roman" w:hAnsi="Times New Roman"/>
      </w:rPr>
      <w:t xml:space="preserve"> </w:t>
    </w:r>
    <w:r w:rsidR="00AC50D2" w:rsidRPr="00AC50D2">
      <w:rPr>
        <w:rFonts w:ascii="Times New Roman" w:hAnsi="Times New Roman"/>
        <w:sz w:val="16"/>
        <w:szCs w:val="16"/>
      </w:rPr>
      <w:t xml:space="preserve">R0490_5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2712" w14:textId="03FF5E2D" w:rsidR="00F218A5" w:rsidRPr="00AC50D2" w:rsidRDefault="00AC50D2" w:rsidP="00F218A5">
    <w:pPr>
      <w:pStyle w:val="NoSpacing"/>
      <w:jc w:val="both"/>
      <w:rPr>
        <w:sz w:val="16"/>
        <w:szCs w:val="16"/>
      </w:rPr>
    </w:pPr>
    <w:r w:rsidRPr="00AC50D2">
      <w:rPr>
        <w:rFonts w:ascii="Times New Roman" w:hAnsi="Times New Roman"/>
        <w:sz w:val="16"/>
        <w:szCs w:val="16"/>
      </w:rPr>
      <w:t>R0490_5</w:t>
    </w:r>
    <w:r w:rsidR="009A5BA1" w:rsidRPr="00AC50D2">
      <w:rPr>
        <w:rFonts w:ascii="Times New Roman" w:hAnsi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42708" w14:textId="77777777" w:rsidR="0099700C" w:rsidRDefault="0099700C" w:rsidP="00351F2A">
      <w:r>
        <w:separator/>
      </w:r>
    </w:p>
  </w:footnote>
  <w:footnote w:type="continuationSeparator" w:id="0">
    <w:p w14:paraId="34E42709" w14:textId="77777777" w:rsidR="0099700C" w:rsidRDefault="0099700C" w:rsidP="00351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80433"/>
      <w:docPartObj>
        <w:docPartGallery w:val="Page Numbers (Top of Page)"/>
        <w:docPartUnique/>
      </w:docPartObj>
    </w:sdtPr>
    <w:sdtEndPr>
      <w:rPr>
        <w:szCs w:val="22"/>
      </w:rPr>
    </w:sdtEndPr>
    <w:sdtContent>
      <w:p w14:paraId="34E4270D" w14:textId="77777777" w:rsidR="0099700C" w:rsidRPr="00AC50D2" w:rsidRDefault="00041172">
        <w:pPr>
          <w:pStyle w:val="Header"/>
          <w:jc w:val="center"/>
          <w:rPr>
            <w:szCs w:val="22"/>
          </w:rPr>
        </w:pPr>
        <w:r w:rsidRPr="00AC50D2">
          <w:rPr>
            <w:szCs w:val="22"/>
          </w:rPr>
          <w:fldChar w:fldCharType="begin"/>
        </w:r>
        <w:r w:rsidR="00F218A5" w:rsidRPr="00AC50D2">
          <w:rPr>
            <w:szCs w:val="22"/>
          </w:rPr>
          <w:instrText xml:space="preserve"> PAGE   \* MERGEFORMAT </w:instrText>
        </w:r>
        <w:r w:rsidRPr="00AC50D2">
          <w:rPr>
            <w:szCs w:val="22"/>
          </w:rPr>
          <w:fldChar w:fldCharType="separate"/>
        </w:r>
        <w:r w:rsidR="00F81577">
          <w:rPr>
            <w:noProof/>
            <w:szCs w:val="22"/>
          </w:rPr>
          <w:t>2</w:t>
        </w:r>
        <w:r w:rsidRPr="00AC50D2">
          <w:rPr>
            <w:szCs w:val="22"/>
          </w:rPr>
          <w:fldChar w:fldCharType="end"/>
        </w:r>
      </w:p>
    </w:sdtContent>
  </w:sdt>
  <w:p w14:paraId="34E4270E" w14:textId="77777777" w:rsidR="0099700C" w:rsidRDefault="009970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C0173" w14:textId="41808653" w:rsidR="00AC50D2" w:rsidRDefault="00AC50D2" w:rsidP="00AC50D2">
    <w:pPr>
      <w:pStyle w:val="Header"/>
      <w:rPr>
        <w:sz w:val="32"/>
      </w:rPr>
    </w:pPr>
  </w:p>
  <w:p w14:paraId="7AADE70E" w14:textId="31CD13D3" w:rsidR="00AC50D2" w:rsidRPr="00AC50D2" w:rsidRDefault="00AC50D2" w:rsidP="00AC50D2">
    <w:pPr>
      <w:pStyle w:val="Header"/>
      <w:rPr>
        <w:sz w:val="32"/>
      </w:rPr>
    </w:pPr>
    <w:r>
      <w:rPr>
        <w:noProof/>
        <w:sz w:val="32"/>
        <w:lang w:eastAsia="lv-LV"/>
      </w:rPr>
      <w:drawing>
        <wp:inline distT="0" distB="0" distL="0" distR="0" wp14:anchorId="790E8129" wp14:editId="3011B157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617"/>
    <w:multiLevelType w:val="hybridMultilevel"/>
    <w:tmpl w:val="749E56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336D7"/>
    <w:multiLevelType w:val="multilevel"/>
    <w:tmpl w:val="B6382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42508D8"/>
    <w:multiLevelType w:val="hybridMultilevel"/>
    <w:tmpl w:val="F69C6B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059ED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BC0CB5"/>
    <w:multiLevelType w:val="hybridMultilevel"/>
    <w:tmpl w:val="88EA14D4"/>
    <w:lvl w:ilvl="0" w:tplc="61D0C4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59639E"/>
    <w:multiLevelType w:val="hybridMultilevel"/>
    <w:tmpl w:val="70F609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F2A"/>
    <w:rsid w:val="0000647F"/>
    <w:rsid w:val="00041172"/>
    <w:rsid w:val="00055301"/>
    <w:rsid w:val="0008104C"/>
    <w:rsid w:val="00092091"/>
    <w:rsid w:val="000A400F"/>
    <w:rsid w:val="000C096D"/>
    <w:rsid w:val="000D0F86"/>
    <w:rsid w:val="0010145B"/>
    <w:rsid w:val="0011054C"/>
    <w:rsid w:val="00127FC2"/>
    <w:rsid w:val="00132BA6"/>
    <w:rsid w:val="00132ECD"/>
    <w:rsid w:val="00140E3B"/>
    <w:rsid w:val="00150D78"/>
    <w:rsid w:val="001561DE"/>
    <w:rsid w:val="00184A0E"/>
    <w:rsid w:val="001A42E2"/>
    <w:rsid w:val="001A6054"/>
    <w:rsid w:val="001B1AF6"/>
    <w:rsid w:val="001D22B3"/>
    <w:rsid w:val="001D4A80"/>
    <w:rsid w:val="001D5A46"/>
    <w:rsid w:val="001D7F36"/>
    <w:rsid w:val="001E1326"/>
    <w:rsid w:val="00256D88"/>
    <w:rsid w:val="002608B6"/>
    <w:rsid w:val="00272DE8"/>
    <w:rsid w:val="002A5B2D"/>
    <w:rsid w:val="002D2E5F"/>
    <w:rsid w:val="002E22EB"/>
    <w:rsid w:val="002E5007"/>
    <w:rsid w:val="002E6E51"/>
    <w:rsid w:val="002F3707"/>
    <w:rsid w:val="00300E80"/>
    <w:rsid w:val="0031055A"/>
    <w:rsid w:val="00316720"/>
    <w:rsid w:val="00326954"/>
    <w:rsid w:val="0032728A"/>
    <w:rsid w:val="00331D2F"/>
    <w:rsid w:val="00351F2A"/>
    <w:rsid w:val="003C7B14"/>
    <w:rsid w:val="003D0092"/>
    <w:rsid w:val="003E3183"/>
    <w:rsid w:val="003F2CE7"/>
    <w:rsid w:val="004144E3"/>
    <w:rsid w:val="00457063"/>
    <w:rsid w:val="00490965"/>
    <w:rsid w:val="004B67AC"/>
    <w:rsid w:val="004D5853"/>
    <w:rsid w:val="004F4013"/>
    <w:rsid w:val="005011BE"/>
    <w:rsid w:val="005034FA"/>
    <w:rsid w:val="00513581"/>
    <w:rsid w:val="0055239B"/>
    <w:rsid w:val="005536B9"/>
    <w:rsid w:val="00553E32"/>
    <w:rsid w:val="00553F4D"/>
    <w:rsid w:val="00557C48"/>
    <w:rsid w:val="005A7392"/>
    <w:rsid w:val="005B1CBA"/>
    <w:rsid w:val="005B2BBF"/>
    <w:rsid w:val="005C4F8F"/>
    <w:rsid w:val="005F058F"/>
    <w:rsid w:val="006176C8"/>
    <w:rsid w:val="00634530"/>
    <w:rsid w:val="00650054"/>
    <w:rsid w:val="006662A3"/>
    <w:rsid w:val="006702E7"/>
    <w:rsid w:val="0068274B"/>
    <w:rsid w:val="006B1A27"/>
    <w:rsid w:val="006B23FA"/>
    <w:rsid w:val="006B7D3F"/>
    <w:rsid w:val="006F2FCD"/>
    <w:rsid w:val="006F32E6"/>
    <w:rsid w:val="006F5288"/>
    <w:rsid w:val="006F721A"/>
    <w:rsid w:val="00702B5B"/>
    <w:rsid w:val="00713A67"/>
    <w:rsid w:val="00713D2C"/>
    <w:rsid w:val="00730675"/>
    <w:rsid w:val="00730E6F"/>
    <w:rsid w:val="0078355A"/>
    <w:rsid w:val="00796936"/>
    <w:rsid w:val="007C483F"/>
    <w:rsid w:val="007D3A63"/>
    <w:rsid w:val="007F0D5A"/>
    <w:rsid w:val="00830267"/>
    <w:rsid w:val="00837582"/>
    <w:rsid w:val="00871348"/>
    <w:rsid w:val="0088405F"/>
    <w:rsid w:val="00894552"/>
    <w:rsid w:val="008C4860"/>
    <w:rsid w:val="00903360"/>
    <w:rsid w:val="00904E4E"/>
    <w:rsid w:val="009257BB"/>
    <w:rsid w:val="0096384F"/>
    <w:rsid w:val="0099700C"/>
    <w:rsid w:val="009A09D3"/>
    <w:rsid w:val="009A5BA1"/>
    <w:rsid w:val="009B09BB"/>
    <w:rsid w:val="009B0F9D"/>
    <w:rsid w:val="009C1020"/>
    <w:rsid w:val="009C7DE7"/>
    <w:rsid w:val="009D7577"/>
    <w:rsid w:val="009E34CC"/>
    <w:rsid w:val="009F0236"/>
    <w:rsid w:val="00A01BDB"/>
    <w:rsid w:val="00A06827"/>
    <w:rsid w:val="00A176C0"/>
    <w:rsid w:val="00A40F3E"/>
    <w:rsid w:val="00A41551"/>
    <w:rsid w:val="00A4487B"/>
    <w:rsid w:val="00A716F0"/>
    <w:rsid w:val="00A94E19"/>
    <w:rsid w:val="00A96AD6"/>
    <w:rsid w:val="00AA2E51"/>
    <w:rsid w:val="00AA7BD7"/>
    <w:rsid w:val="00AB78B9"/>
    <w:rsid w:val="00AC0936"/>
    <w:rsid w:val="00AC50D2"/>
    <w:rsid w:val="00AD0C6D"/>
    <w:rsid w:val="00B01F6B"/>
    <w:rsid w:val="00B247CC"/>
    <w:rsid w:val="00B54822"/>
    <w:rsid w:val="00B613AC"/>
    <w:rsid w:val="00B650B8"/>
    <w:rsid w:val="00B92BD9"/>
    <w:rsid w:val="00B94485"/>
    <w:rsid w:val="00C05C0D"/>
    <w:rsid w:val="00C16D46"/>
    <w:rsid w:val="00C41B0C"/>
    <w:rsid w:val="00C43903"/>
    <w:rsid w:val="00C510DA"/>
    <w:rsid w:val="00C6451C"/>
    <w:rsid w:val="00C67FA3"/>
    <w:rsid w:val="00C729AD"/>
    <w:rsid w:val="00CA4302"/>
    <w:rsid w:val="00CB0D54"/>
    <w:rsid w:val="00CB4435"/>
    <w:rsid w:val="00CC1E86"/>
    <w:rsid w:val="00CD7EFF"/>
    <w:rsid w:val="00CE25A4"/>
    <w:rsid w:val="00D03649"/>
    <w:rsid w:val="00D05925"/>
    <w:rsid w:val="00D064D2"/>
    <w:rsid w:val="00D406D5"/>
    <w:rsid w:val="00D76568"/>
    <w:rsid w:val="00DC678F"/>
    <w:rsid w:val="00DC7FCF"/>
    <w:rsid w:val="00DD2261"/>
    <w:rsid w:val="00DD7BF1"/>
    <w:rsid w:val="00DE1839"/>
    <w:rsid w:val="00DE1AD0"/>
    <w:rsid w:val="00DF601B"/>
    <w:rsid w:val="00E34CD5"/>
    <w:rsid w:val="00E6687A"/>
    <w:rsid w:val="00E671F7"/>
    <w:rsid w:val="00E75B95"/>
    <w:rsid w:val="00E774BE"/>
    <w:rsid w:val="00EB073E"/>
    <w:rsid w:val="00F0109B"/>
    <w:rsid w:val="00F218A5"/>
    <w:rsid w:val="00F60992"/>
    <w:rsid w:val="00F63AA1"/>
    <w:rsid w:val="00F7196B"/>
    <w:rsid w:val="00F727F8"/>
    <w:rsid w:val="00F74988"/>
    <w:rsid w:val="00F81577"/>
    <w:rsid w:val="00FA64A9"/>
    <w:rsid w:val="00FC353D"/>
    <w:rsid w:val="00FD4F90"/>
    <w:rsid w:val="00FE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2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Parasts"/>
    <w:next w:val="Parasts"/>
    <w:link w:val="Heading1Char"/>
    <w:qFormat/>
    <w:rsid w:val="006F721A"/>
    <w:pPr>
      <w:keepNext/>
      <w:tabs>
        <w:tab w:val="left" w:pos="6521"/>
        <w:tab w:val="left" w:pos="7938"/>
      </w:tabs>
      <w:ind w:firstLine="0"/>
      <w:jc w:val="center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F2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51F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F2A"/>
  </w:style>
  <w:style w:type="paragraph" w:styleId="Footer">
    <w:name w:val="footer"/>
    <w:basedOn w:val="Normal"/>
    <w:link w:val="FooterChar"/>
    <w:uiPriority w:val="99"/>
    <w:unhideWhenUsed/>
    <w:rsid w:val="00351F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F2A"/>
  </w:style>
  <w:style w:type="paragraph" w:styleId="BalloonText">
    <w:name w:val="Balloon Text"/>
    <w:basedOn w:val="Normal"/>
    <w:link w:val="BalloonTextChar"/>
    <w:uiPriority w:val="99"/>
    <w:semiHidden/>
    <w:unhideWhenUsed/>
    <w:rsid w:val="003D0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F721A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customStyle="1" w:styleId="Parasts">
    <w:name w:val="Parasts"/>
    <w:rsid w:val="006F72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4">
    <w:name w:val="H4"/>
    <w:rsid w:val="006F721A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1A6054"/>
    <w:pPr>
      <w:spacing w:after="120"/>
      <w:ind w:left="283"/>
    </w:pPr>
    <w:rPr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1A605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9B0F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0E6F"/>
    <w:pPr>
      <w:ind w:left="720"/>
      <w:contextualSpacing/>
    </w:pPr>
  </w:style>
  <w:style w:type="table" w:styleId="TableGrid">
    <w:name w:val="Table Grid"/>
    <w:basedOn w:val="TableNormal"/>
    <w:uiPriority w:val="59"/>
    <w:rsid w:val="00C6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6F3A5-A867-489B-9392-0161B675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1030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Nacionālās identitātes, pilsoniskās sabiedrības un integrācijas politikas pamatnostādnēs 2012. – 2018.gadam</vt:lpstr>
      <vt:lpstr>Grozījums Ministru kabineta pamatnostādnēs</vt:lpstr>
    </vt:vector>
  </TitlesOfParts>
  <Company>LR Kultūras Ministrija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Nacionālās identitātes, pilsoniskās sabiedrības un integrācijas politikas pamatnostādnēs 2012. – 2018.gadam</dc:title>
  <dc:subject>Ministru kabineta rīkojuma projekts</dc:subject>
  <dc:creator>Gunta Robežniece</dc:creator>
  <dc:description>67330325, gunta.robezniece@km.gov.lv</dc:description>
  <cp:lastModifiedBy>Leontīne Babkina</cp:lastModifiedBy>
  <cp:revision>15</cp:revision>
  <cp:lastPrinted>2015-04-20T10:26:00Z</cp:lastPrinted>
  <dcterms:created xsi:type="dcterms:W3CDTF">2015-02-27T14:55:00Z</dcterms:created>
  <dcterms:modified xsi:type="dcterms:W3CDTF">2015-04-23T11:39:00Z</dcterms:modified>
</cp:coreProperties>
</file>