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04" w:rsidRPr="004D4104" w:rsidRDefault="004D4104" w:rsidP="004D4104">
      <w:pPr>
        <w:spacing w:after="0" w:line="240" w:lineRule="auto"/>
        <w:jc w:val="center"/>
        <w:outlineLvl w:val="0"/>
        <w:rPr>
          <w:rFonts w:ascii="Times New Roman" w:eastAsia="Times New Roman" w:hAnsi="Times New Roman" w:cs="Times New Roman"/>
          <w:b/>
          <w:sz w:val="24"/>
          <w:szCs w:val="24"/>
          <w:lang w:eastAsia="lv-LV"/>
        </w:rPr>
      </w:pPr>
      <w:r w:rsidRPr="004D4104">
        <w:rPr>
          <w:rFonts w:ascii="Times New Roman" w:eastAsia="Times New Roman" w:hAnsi="Times New Roman" w:cs="Times New Roman"/>
          <w:b/>
          <w:sz w:val="24"/>
          <w:szCs w:val="24"/>
          <w:lang w:eastAsia="lv-LV"/>
        </w:rPr>
        <w:t xml:space="preserve">Likumprojekta „Grozījumi Tiesu izpildītāju likumā” sākotnējās ietekmes novērtējuma </w:t>
      </w:r>
      <w:smartTag w:uri="schemas-tilde-lv/tildestengine" w:element="veidnes">
        <w:smartTagPr>
          <w:attr w:name="id" w:val="-1"/>
          <w:attr w:name="baseform" w:val="ziņojums"/>
          <w:attr w:name="text" w:val="ziņojums"/>
        </w:smartTagPr>
        <w:r w:rsidRPr="004D4104">
          <w:rPr>
            <w:rFonts w:ascii="Times New Roman" w:eastAsia="Times New Roman" w:hAnsi="Times New Roman" w:cs="Times New Roman"/>
            <w:b/>
            <w:sz w:val="24"/>
            <w:szCs w:val="24"/>
            <w:lang w:eastAsia="lv-LV"/>
          </w:rPr>
          <w:t>ziņojums</w:t>
        </w:r>
      </w:smartTag>
      <w:r w:rsidRPr="004D4104">
        <w:rPr>
          <w:rFonts w:ascii="Times New Roman" w:eastAsia="Times New Roman" w:hAnsi="Times New Roman" w:cs="Times New Roman"/>
          <w:b/>
          <w:sz w:val="24"/>
          <w:szCs w:val="24"/>
          <w:lang w:eastAsia="lv-LV"/>
        </w:rPr>
        <w:t xml:space="preserve"> (anotācija)</w:t>
      </w:r>
    </w:p>
    <w:p w:rsidR="004D4104" w:rsidRPr="004D4104" w:rsidRDefault="004D4104" w:rsidP="004D4104">
      <w:pPr>
        <w:spacing w:after="0" w:line="240" w:lineRule="auto"/>
        <w:jc w:val="center"/>
        <w:outlineLvl w:val="0"/>
        <w:rPr>
          <w:rFonts w:ascii="Times New Roman" w:eastAsia="Times New Roman" w:hAnsi="Times New Roman" w:cs="Times New Roman"/>
          <w:b/>
          <w:sz w:val="24"/>
          <w:szCs w:val="24"/>
          <w:lang w:eastAsia="lv-LV"/>
        </w:rPr>
      </w:pPr>
    </w:p>
    <w:tbl>
      <w:tblPr>
        <w:tblpPr w:leftFromText="180" w:rightFromText="180" w:vertAnchor="text" w:horzAnchor="margin"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
        <w:gridCol w:w="2666"/>
        <w:gridCol w:w="6093"/>
      </w:tblGrid>
      <w:tr w:rsidR="004D4104" w:rsidRPr="004D4104" w:rsidTr="00D17078">
        <w:tc>
          <w:tcPr>
            <w:tcW w:w="9219" w:type="dxa"/>
            <w:gridSpan w:val="3"/>
            <w:vAlign w:val="center"/>
          </w:tcPr>
          <w:p w:rsidR="004D4104" w:rsidRPr="004D4104" w:rsidRDefault="004D4104" w:rsidP="004D4104">
            <w:pPr>
              <w:spacing w:after="0" w:line="240" w:lineRule="auto"/>
              <w:jc w:val="center"/>
              <w:rPr>
                <w:rFonts w:ascii="Times New Roman" w:eastAsia="Times New Roman" w:hAnsi="Times New Roman" w:cs="Times New Roman"/>
                <w:b/>
                <w:bCs/>
                <w:sz w:val="24"/>
                <w:szCs w:val="24"/>
                <w:lang w:eastAsia="lv-LV"/>
              </w:rPr>
            </w:pPr>
            <w:r w:rsidRPr="004D4104">
              <w:rPr>
                <w:rFonts w:ascii="Times New Roman" w:eastAsia="Times New Roman" w:hAnsi="Times New Roman" w:cs="Times New Roman"/>
                <w:b/>
                <w:bCs/>
                <w:sz w:val="24"/>
                <w:szCs w:val="24"/>
                <w:lang w:eastAsia="lv-LV"/>
              </w:rPr>
              <w:t>I. Tiesību akta projekta izstrādes nepieciešamība</w:t>
            </w:r>
          </w:p>
        </w:tc>
      </w:tr>
      <w:tr w:rsidR="004D4104" w:rsidRPr="004D4104" w:rsidTr="00D17078">
        <w:trPr>
          <w:trHeight w:val="630"/>
        </w:trPr>
        <w:tc>
          <w:tcPr>
            <w:tcW w:w="460" w:type="dxa"/>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1.</w:t>
            </w:r>
          </w:p>
        </w:tc>
        <w:tc>
          <w:tcPr>
            <w:tcW w:w="2666" w:type="dxa"/>
          </w:tcPr>
          <w:p w:rsidR="004D4104" w:rsidRPr="004D4104" w:rsidRDefault="004D4104" w:rsidP="004D4104">
            <w:pPr>
              <w:spacing w:after="0" w:line="240" w:lineRule="auto"/>
              <w:ind w:hanging="10"/>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Pamatojums</w:t>
            </w:r>
          </w:p>
        </w:tc>
        <w:tc>
          <w:tcPr>
            <w:tcW w:w="6093" w:type="dxa"/>
          </w:tcPr>
          <w:p w:rsidR="004D4104" w:rsidRPr="004D4104" w:rsidRDefault="004D4104" w:rsidP="00651DEB">
            <w:pPr>
              <w:spacing w:after="0" w:line="240" w:lineRule="auto"/>
              <w:ind w:firstLine="527"/>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 xml:space="preserve">Ministru kabineta </w:t>
            </w:r>
            <w:proofErr w:type="gramStart"/>
            <w:r w:rsidRPr="004D4104">
              <w:rPr>
                <w:rFonts w:ascii="Times New Roman" w:eastAsia="Times New Roman" w:hAnsi="Times New Roman" w:cs="Times New Roman"/>
                <w:sz w:val="24"/>
                <w:szCs w:val="24"/>
                <w:lang w:eastAsia="lv-LV"/>
              </w:rPr>
              <w:t>2009.gada</w:t>
            </w:r>
            <w:proofErr w:type="gramEnd"/>
            <w:r w:rsidRPr="004D4104">
              <w:rPr>
                <w:rFonts w:ascii="Times New Roman" w:eastAsia="Times New Roman" w:hAnsi="Times New Roman" w:cs="Times New Roman"/>
                <w:sz w:val="24"/>
                <w:szCs w:val="24"/>
                <w:lang w:eastAsia="lv-LV"/>
              </w:rPr>
              <w:t xml:space="preserve"> 19.novembra rīkojums Nr.797 „</w:t>
            </w:r>
            <w:r w:rsidRPr="004D4104">
              <w:rPr>
                <w:rFonts w:ascii="Times New Roman" w:eastAsia="Times New Roman" w:hAnsi="Times New Roman" w:cs="Times New Roman"/>
                <w:bCs/>
                <w:sz w:val="24"/>
                <w:szCs w:val="24"/>
                <w:lang w:eastAsia="lv-LV"/>
              </w:rPr>
              <w:t>Par Koncepciju par Civillikuma Mantojuma tiesību daļas modernizāciju</w:t>
            </w:r>
            <w:r w:rsidRPr="004D4104">
              <w:rPr>
                <w:rFonts w:ascii="Times New Roman" w:eastAsia="Times New Roman" w:hAnsi="Times New Roman" w:cs="Times New Roman"/>
                <w:sz w:val="24"/>
                <w:szCs w:val="24"/>
                <w:lang w:eastAsia="lv-LV"/>
              </w:rPr>
              <w:t>”.</w:t>
            </w:r>
          </w:p>
        </w:tc>
      </w:tr>
      <w:tr w:rsidR="004D4104" w:rsidRPr="004D4104" w:rsidTr="00D17078">
        <w:trPr>
          <w:trHeight w:val="472"/>
        </w:trPr>
        <w:tc>
          <w:tcPr>
            <w:tcW w:w="460" w:type="dxa"/>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2.</w:t>
            </w:r>
          </w:p>
        </w:tc>
        <w:tc>
          <w:tcPr>
            <w:tcW w:w="2666" w:type="dxa"/>
          </w:tcPr>
          <w:p w:rsidR="004D4104" w:rsidRPr="004D4104" w:rsidRDefault="004D4104" w:rsidP="004D4104">
            <w:pPr>
              <w:tabs>
                <w:tab w:val="left" w:pos="170"/>
              </w:tabs>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93" w:type="dxa"/>
          </w:tcPr>
          <w:p w:rsidR="004D4104" w:rsidRPr="00FB1FB8" w:rsidRDefault="004D4104" w:rsidP="004D4104">
            <w:pPr>
              <w:spacing w:after="0" w:line="240" w:lineRule="auto"/>
              <w:ind w:firstLine="527"/>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xml:space="preserve">Civilprocesa likuma pārejas noteikumu 12.punktā ietvertā norma, kas paredz, ka grozījumi Civilprocesa likumā </w:t>
            </w:r>
            <w:proofErr w:type="gramStart"/>
            <w:r w:rsidRPr="00FB1FB8">
              <w:rPr>
                <w:rFonts w:ascii="Times New Roman" w:eastAsia="Calibri" w:hAnsi="Times New Roman" w:cs="Times New Roman"/>
                <w:sz w:val="24"/>
                <w:szCs w:val="24"/>
              </w:rPr>
              <w:t>34.panta</w:t>
            </w:r>
            <w:proofErr w:type="gramEnd"/>
            <w:r w:rsidRPr="00FB1FB8">
              <w:rPr>
                <w:rFonts w:ascii="Times New Roman" w:eastAsia="Calibri" w:hAnsi="Times New Roman" w:cs="Times New Roman"/>
                <w:sz w:val="24"/>
                <w:szCs w:val="24"/>
              </w:rPr>
              <w:t xml:space="preserve"> otrās daļas 1. un 2.punktā un trešās daļas pirmajā teikumā, 39.panta 8. punktā, 43.panta 9.punktā, kā arī grozījumi par 40., 41., 42., 43., 44.nodaļas un 566.panta otrās daļas izslēgšanu, stājas spēkā</w:t>
            </w:r>
            <w:r w:rsidR="00F55174">
              <w:rPr>
                <w:rFonts w:ascii="Times New Roman" w:eastAsia="Calibri" w:hAnsi="Times New Roman" w:cs="Times New Roman"/>
                <w:sz w:val="24"/>
                <w:szCs w:val="24"/>
              </w:rPr>
              <w:t xml:space="preserve"> </w:t>
            </w:r>
            <w:r w:rsidRPr="00FB1FB8">
              <w:rPr>
                <w:rFonts w:ascii="Times New Roman" w:eastAsia="Calibri" w:hAnsi="Times New Roman" w:cs="Times New Roman"/>
                <w:sz w:val="24"/>
                <w:szCs w:val="24"/>
              </w:rPr>
              <w:t>2012.gada 1.janvārī. Tādējādi, cita starpā, ar 2012.gada 1.janvāri ir izslēgtas Civilprocesa likuma 41.nodaļas „Mantojuma apsardzība un aizgādnība” normas, kas noteica tiesu funkcijas un darbības mantojuma lietās. Mantojuma lietu vešana kopš 2003.gada 1.janvāra ir nodota zvērinātu notāru kompetencē. Ņemot vērā minēto, lai arī procesuālās normas par mantojuma apsardzības līdzekļiem vairs nav spēkā, un šis fakts, iespējams, rada neizpratni par atbilstošu normatīvā regulējuma piemērošanu, tomēr tiesu izpildītajiem ir saistošas materiālās tiesību normas, kas ietvertas gan Civillikumā, gan Notariāta likumā.</w:t>
            </w:r>
          </w:p>
          <w:p w:rsidR="004D4104" w:rsidRPr="00FB1FB8" w:rsidRDefault="004D4104" w:rsidP="00651DEB">
            <w:pPr>
              <w:spacing w:after="0" w:line="240" w:lineRule="auto"/>
              <w:ind w:firstLine="565"/>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Saskaņā ar Civillikuma 657.pantu, kad piekritīgam notāram ienāk ziņas par kādas personas nāvi, viņam jāgādā, ja apstākļi to prasa (658. un 659.pants), par palikušā mantojuma apsardzību. Savukārt Civillikuma 659.pants paredz gadījumus, kad zvērinātam notāram pēc savas iniciatīvas vai pēc mantinieka, mantojuma aizgādņa, testamenta izpildītāja, mantojuma atstājēja kreditora vai citu ieinteresēto personu lūguma jāgādā par mantojuma apsardzību.</w:t>
            </w:r>
          </w:p>
          <w:p w:rsidR="004D4104" w:rsidRPr="00FB1FB8" w:rsidRDefault="004D4104" w:rsidP="00651DEB">
            <w:pPr>
              <w:spacing w:after="0" w:line="240" w:lineRule="auto"/>
              <w:ind w:firstLine="565"/>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xml:space="preserve">Notariāta likums paredz gadījumus, kad zvērināts notārs gādā par mantojuma apsardzību, kādos gadījumus un kāda persona var lūgt apsargāt mirušās personas mantu (Notariāta likuma 288. – 292. pants). Notariāta likuma 291.pants paredz, ka zvērināts notārs, atzīstot, ka ir pamats mantojuma apsardzībai, aicina zvērinātu tiesu izpildītāju veikt visas nepieciešamās darbības mantojuma apsardzībai. Saskaņā ar Notariāta likuma 292.panta pirmo daļu mantojuma apsardzības līdzekļi ir mantojamās mantas: 1) aizzīmogošana; 2) aprakstīšana un novērtēšana; 3) nodošana glabāšanā. Minētā panta otrā daļa paredz, ka zvērināts notārs, pamatojoties uz mantojuma lietu, aicinājumā norāda uz attiecīga mantojuma apsardzības līdzekļa piemērošanu vai nepieciešamību. Tādējādi šobrīd mantojuma apsardzības regulējums attiecināms uz zvērināta notāra kompetenci, proti, nosūtot aicinājumu tiesu izpildītajam veikt mantojuma apsardzību un norādot uz attiecīga mantojuma apsardzības līdzekļa piemērošanu vai nepieciešamību. </w:t>
            </w:r>
          </w:p>
          <w:p w:rsidR="004D4104" w:rsidRPr="00FB1FB8" w:rsidRDefault="004D4104" w:rsidP="00651DEB">
            <w:pPr>
              <w:spacing w:after="0" w:line="240" w:lineRule="auto"/>
              <w:ind w:firstLine="565"/>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xml:space="preserve">Saskaņā ar Tiesu izpildītāju likuma 45.panta pirmo daļu  </w:t>
            </w:r>
            <w:r w:rsidRPr="00FB1FB8">
              <w:rPr>
                <w:rFonts w:ascii="Times New Roman" w:eastAsia="Calibri" w:hAnsi="Times New Roman" w:cs="Times New Roman"/>
                <w:sz w:val="24"/>
                <w:szCs w:val="24"/>
              </w:rPr>
              <w:lastRenderedPageBreak/>
              <w:t>zvērināts tiesu izpildītājs pēc savas iniciatīvas veic visus likumā noteiktos pasākumus un izmanto visus likumā paredzētos līdzekļus un metodes, lai ātri un kvalitatīvi pildītu tiesas un citu institūciju nolēmumus, kā arī veiktu citas sava amata darbības. Minētā panta otrā daļa noteic, ka zvērināts tiesu izpildītājs, pildot amata darbības, piemēro Civilprocesa likumu un citus normatīvos aktus, kā arī ievēro Latvijas Zvērinātu tiesu izpildītāju padomes apstiprināto metodiku un tiesu prakses atziņas.</w:t>
            </w:r>
          </w:p>
          <w:p w:rsidR="004D4104" w:rsidRPr="00FB1FB8" w:rsidRDefault="004D4104" w:rsidP="00651DEB">
            <w:pPr>
              <w:spacing w:after="0" w:line="240" w:lineRule="auto"/>
              <w:ind w:firstLine="565"/>
              <w:contextualSpacing/>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xml:space="preserve">Civillikumā un Notariāta likumā ietvertais regulējums attiecībā uz mantojuma apsardzību var turpināt pastāvēt bez civilprocesuālā regulējuma, taču ir nepieciešams regulējums, kas nodrošinātu skaidru un nepārprotamu mantojuma apsardzības regulējuma procesuālo izpildes kārtību. </w:t>
            </w:r>
          </w:p>
          <w:p w:rsidR="004D4104" w:rsidRPr="00FB1FB8" w:rsidRDefault="004D4104" w:rsidP="00651DEB">
            <w:pPr>
              <w:spacing w:after="0" w:line="240" w:lineRule="auto"/>
              <w:ind w:firstLine="565"/>
              <w:contextualSpacing/>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xml:space="preserve">Juridiskajā literatūrā minēts, ka tiesību robs ir visas tiesību sistēmas nepilnība jeb kāda tiesiskā regulējuma vai vesela tiesību institūta trūkums, kuram atbilstoši apgrozības nepieciešamībai vai vispārējās tiesiskās apziņas pieprasītam tiesību principam būtu bijis jābūt ietvertam tiesību sistēmā. Vienlaikus norādīts, ka tiesību robu aizpildīšanu var veikt tikai likumdevējs, kuram ir jāpieņem vispārīga rakstura tiesību normas. Var minēt arī to, ka atklāts likuma robs ir gadījumā, ja likumā attiecībā uz kādu noteiktu tiesiski nozīmīgu dzīves gadījumu tipu nav ietverts regulējums, kaut arī šādam regulējumam atbilstoši likuma teleoloģijai būtu bijis jābūt ietvertam. Tāpat tiesību teorijā norādīts, ka likuma roba aizpildīšanas līdzekļi ir analoģijas slēdziens (proti, likuma analoģija, tiesību analoģija, slēdziens no mazākā uz lielāko un slēdziens no lielākā uz mazāko), slēdziens par </w:t>
            </w:r>
            <w:proofErr w:type="gramStart"/>
            <w:r w:rsidRPr="00FB1FB8">
              <w:rPr>
                <w:rFonts w:ascii="Times New Roman" w:eastAsia="Calibri" w:hAnsi="Times New Roman" w:cs="Times New Roman"/>
                <w:sz w:val="24"/>
                <w:szCs w:val="24"/>
              </w:rPr>
              <w:t>pretējo, teleoloģiskā</w:t>
            </w:r>
            <w:proofErr w:type="gramEnd"/>
            <w:r w:rsidRPr="00FB1FB8">
              <w:rPr>
                <w:rFonts w:ascii="Times New Roman" w:eastAsia="Calibri" w:hAnsi="Times New Roman" w:cs="Times New Roman"/>
                <w:sz w:val="24"/>
                <w:szCs w:val="24"/>
              </w:rPr>
              <w:t xml:space="preserve"> redukcija un atsaukšanās uz vispārējiem tiesību principiem</w:t>
            </w:r>
            <w:r w:rsidRPr="00B151BA">
              <w:rPr>
                <w:rFonts w:ascii="Times New Roman" w:eastAsia="Calibri" w:hAnsi="Times New Roman" w:cs="Times New Roman"/>
                <w:sz w:val="24"/>
                <w:szCs w:val="24"/>
                <w:vertAlign w:val="superscript"/>
              </w:rPr>
              <w:footnoteReference w:id="1"/>
            </w:r>
            <w:r w:rsidRPr="00FB1FB8">
              <w:rPr>
                <w:rFonts w:ascii="Times New Roman" w:eastAsia="Calibri" w:hAnsi="Times New Roman" w:cs="Times New Roman"/>
                <w:sz w:val="24"/>
                <w:szCs w:val="24"/>
              </w:rPr>
              <w:t>.</w:t>
            </w:r>
          </w:p>
          <w:p w:rsidR="004D4104" w:rsidRPr="00FB1FB8" w:rsidRDefault="004D4104" w:rsidP="00651DEB">
            <w:pPr>
              <w:spacing w:after="0" w:line="240" w:lineRule="auto"/>
              <w:ind w:firstLine="565"/>
              <w:contextualSpacing/>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Pastāv juridiskās obstrukcijas aizliegums, kas nepieļauj tiesību piemērotājam atteikties izspriest lietu tikai tādēļ, ka nav atbilstošas tiesību normas, vienlaikus tam nav tiesību novirzīt lietu izšķiršanai likumdevējam, bet risinājums jārod visā tiesību sistēmā. Attiecīgs regulējums, piemēram, paredzēts arī Ad</w:t>
            </w:r>
            <w:r w:rsidR="00A81CF1">
              <w:rPr>
                <w:rFonts w:ascii="Times New Roman" w:eastAsia="Calibri" w:hAnsi="Times New Roman" w:cs="Times New Roman"/>
                <w:sz w:val="24"/>
                <w:szCs w:val="24"/>
              </w:rPr>
              <w:t>ministratīvā procesa likuma 15.</w:t>
            </w:r>
            <w:r w:rsidRPr="00FB1FB8">
              <w:rPr>
                <w:rFonts w:ascii="Times New Roman" w:eastAsia="Calibri" w:hAnsi="Times New Roman" w:cs="Times New Roman"/>
                <w:sz w:val="24"/>
                <w:szCs w:val="24"/>
              </w:rPr>
              <w:t>panta divpadsmitā daļā nosakot, ka iestāde un tiesa nedrīkst atteikties izlemt jautājumu, pamatojoties uz to, ka šis jautājums nav noregulēts ar likumu vai citu ārējo normatīvo aktu (iestāžu un tiesu juridiskās obstrukcijas aizliegums). Tās nedrīkst atteikties piemērot tiesību normu, pamatojoties uz to, ka šī tiesību norma neparedz piemērošanas mehānismu, ka tas nav pilnīgs vai nav izdoti citi normatīvie akti, kas tuvāk regulētu attiecīgās tiesību normas piemērošanu. Minētais nav attiecināms vienīgi uz gadījumu, kad nav izveidota vai nedarbojas iestāde, kurai šī tiesību norma ir jāpiemēro vai citādā veidā jāpiedalās tās piemērošanā.</w:t>
            </w:r>
          </w:p>
          <w:p w:rsidR="004D4104" w:rsidRPr="00FB1FB8" w:rsidRDefault="004D4104" w:rsidP="00651DEB">
            <w:pPr>
              <w:spacing w:after="0" w:line="240" w:lineRule="auto"/>
              <w:ind w:firstLine="565"/>
              <w:contextualSpacing/>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xml:space="preserve">Likumprojekta „Grozījumi Tiesu izpildītāju likumā” </w:t>
            </w:r>
            <w:r w:rsidRPr="00FB1FB8">
              <w:rPr>
                <w:rFonts w:ascii="Times New Roman" w:eastAsia="Calibri" w:hAnsi="Times New Roman" w:cs="Times New Roman"/>
                <w:sz w:val="24"/>
                <w:szCs w:val="24"/>
              </w:rPr>
              <w:lastRenderedPageBreak/>
              <w:t>(turpmāk – Likumprojekts) mērķis ir nodrošināt tiesisko skaidrību attiecībā uz mantojuma apsardzības darbībām, kuras veic zvērināts tiesu izpildītājs.</w:t>
            </w:r>
          </w:p>
          <w:p w:rsidR="004D4104" w:rsidRPr="00FB1FB8" w:rsidRDefault="004D4104" w:rsidP="00651DEB">
            <w:pPr>
              <w:spacing w:after="0" w:line="240" w:lineRule="auto"/>
              <w:ind w:firstLine="565"/>
              <w:contextualSpacing/>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Amata darbības, kas veicamas, lai izpildītu tiesas un citu institūciju vai amatpersonu nolēmumus, noteiktas Tiesu izpildītāju likuma 73.pantā. 2013.gada 1.jūlijā spēkā stājās grozījumi Tiesu izpildītāju likumā, ar kuriem minētais pants papildināts ar trešo daļu, kas noteic zvērināta tiesu izpildītāja pienākumu pārņemt mantu, kas atzīta par bezmantinieku mantu un ir piekritīga valstij, nodrošināt tās pārvaldīšanu, apsardzību un realizāciju, kā arī uz šo mantu pieteikto kreditoru pretenziju apmierināšanu. Ar Likumprojektu paredzēts minētā likuma 73.pantu papildināt ar ceturto daļu, kas noteiks zvērināta tiesu izpildītāja pienākumu, pamatojoties uz zvērināta notāra aicinājumu, veikt mantojuma apsardzību.</w:t>
            </w:r>
          </w:p>
          <w:p w:rsidR="004D4104" w:rsidRPr="00FB1FB8" w:rsidRDefault="004D4104" w:rsidP="00651DEB">
            <w:pPr>
              <w:spacing w:after="0" w:line="240" w:lineRule="auto"/>
              <w:ind w:firstLine="565"/>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xml:space="preserve">Gan Ministru kabineta </w:t>
            </w:r>
            <w:proofErr w:type="gramStart"/>
            <w:r w:rsidRPr="00FB1FB8">
              <w:rPr>
                <w:rFonts w:ascii="Times New Roman" w:eastAsia="Calibri" w:hAnsi="Times New Roman" w:cs="Times New Roman"/>
                <w:sz w:val="24"/>
                <w:szCs w:val="24"/>
              </w:rPr>
              <w:t>2013.gada</w:t>
            </w:r>
            <w:proofErr w:type="gramEnd"/>
            <w:r w:rsidRPr="00FB1FB8">
              <w:rPr>
                <w:rFonts w:ascii="Times New Roman" w:eastAsia="Calibri" w:hAnsi="Times New Roman" w:cs="Times New Roman"/>
                <w:sz w:val="24"/>
                <w:szCs w:val="24"/>
              </w:rPr>
              <w:t xml:space="preserve"> 2.jūlija noteikumi Nr.364 „Noteikumi par zvērināta tiesu izpildītāja rīcību ar bezmantinieku mantu” (turpmāk – noteikumi Nr.364), gan Likumprojektā paredzētie grozījumi attiecībā uz zvērināta tiesu izpildītāja darbībām, veicot mantojuma apsardzību, paredz tiešas darbības ar mantu. Piemēram, saskaņā</w:t>
            </w:r>
            <w:r w:rsidR="002215F1">
              <w:rPr>
                <w:rFonts w:ascii="Times New Roman" w:eastAsia="Calibri" w:hAnsi="Times New Roman" w:cs="Times New Roman"/>
                <w:sz w:val="24"/>
                <w:szCs w:val="24"/>
              </w:rPr>
              <w:t xml:space="preserve"> ar minēto noteikumu Nr.364 15.</w:t>
            </w:r>
            <w:r w:rsidRPr="00FB1FB8">
              <w:rPr>
                <w:rFonts w:ascii="Times New Roman" w:eastAsia="Calibri" w:hAnsi="Times New Roman" w:cs="Times New Roman"/>
                <w:sz w:val="24"/>
                <w:szCs w:val="24"/>
              </w:rPr>
              <w:t xml:space="preserve">punktu, ja nepieciešams, zvērināts tiesu izpildītājs veic bezmantinieku mantā ietilpstošā nekustamā īpašuma apraksti un nodrošina tā pārvaldīšanu. Savukārt noteikumu Nr.364 52.punkts uzliek zvērinātam tiesu izpildītājam pienākumu apzināt notariālajā aktā par mantojuma lietas izbeigšanu norādīto kustamo mantu un 56.punktā noteiktajos gadījumos – apķīlāt to. Ja aprakstāmais nekustamais īpašums ir slēgts vai tajā mīt personas, kas atsakās ielaist zvērinātu tiesu izpildītāju amata darbību veikšanai, vai apķīlājamā kustamā manta atrodas pie personām, kas atsakās to uzrādīt vai nodot, zvērinātam tiesu izpildītājam tiek liegta iespēja izpildīt pienākumus, kas tam uzlikti ar likumu, jo Tiesu izpildītāju likums šobrīd neparedz zvērināta tiesu izpildītāja tiesības atvērt un bez valdītāja piekrišanas ieiet bezmantinieku mantā ietilpstošajā nekustamajā īpašumā, kā arī citās telpās un glabātavās, par kurām ir ziņas, ka tajās atrodas bezmantinieku manta. Analoģiska situācija pastāv arī attiecībā uz mantojuma apsardzības izpildi. </w:t>
            </w:r>
          </w:p>
          <w:p w:rsidR="004D4104" w:rsidRPr="000547D4"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xml:space="preserve">        Ņemot vērā minēto, Tiesu izpildītāju likuma 42.pantu, kurā vispārīgi regulētas zvērināta tiesu izpildītāja tiesības atvērt un bez valdītāja piekrišanas ieiet telpās, nepieciešams papildināt ar otro un trešo daļu, kas šādas tiesības paredz arī to darbību izpildes nodrošināšanai, kas veicamas saistībā ar bezmantinieku mantu un mantojuma apsardzību. Ar Likumprojektu zvērinātam tiesu izpildītājam tiek paredzētas tiesības, veicot mantojuma apsardzību, pamatojoties uz zvērināta notāra aicinājumu, atvērt un bez valdītāja piekrišanas ieiet mirušai personai piederošās telpās, kā arī telpās, par kurām saskaņā ar zvērināta notāra aicinājumu veikt mantojuma apsardzību atrodas mirušai personai piederošas mantas, un citās glabātavās, ievērojot likumā noteikto kārtību. Ar citām glabā</w:t>
            </w:r>
            <w:r w:rsidR="00E70BF8">
              <w:rPr>
                <w:rFonts w:ascii="Times New Roman" w:eastAsia="Calibri" w:hAnsi="Times New Roman" w:cs="Times New Roman"/>
                <w:sz w:val="24"/>
                <w:szCs w:val="24"/>
              </w:rPr>
              <w:t>tavām šeit saprotami arī seifi.</w:t>
            </w:r>
            <w:r w:rsidR="00671ECC" w:rsidRPr="00671ECC">
              <w:rPr>
                <w:rFonts w:ascii="Times New Roman" w:eastAsia="Times New Roman" w:hAnsi="Times New Roman" w:cs="Times New Roman"/>
                <w:sz w:val="24"/>
                <w:szCs w:val="24"/>
              </w:rPr>
              <w:t xml:space="preserve"> </w:t>
            </w:r>
            <w:r w:rsidR="00671ECC" w:rsidRPr="000547D4">
              <w:rPr>
                <w:rFonts w:ascii="Times New Roman" w:eastAsia="Calibri" w:hAnsi="Times New Roman" w:cs="Times New Roman"/>
                <w:sz w:val="24"/>
                <w:szCs w:val="24"/>
              </w:rPr>
              <w:t xml:space="preserve">Tāpat, ņemot vērā, ka </w:t>
            </w:r>
            <w:r w:rsidR="00AD5CA3" w:rsidRPr="000547D4">
              <w:rPr>
                <w:rFonts w:ascii="Times New Roman" w:eastAsia="Calibri" w:hAnsi="Times New Roman" w:cs="Times New Roman"/>
                <w:sz w:val="24"/>
                <w:szCs w:val="24"/>
              </w:rPr>
              <w:t>mantojuma apsardzības</w:t>
            </w:r>
            <w:r w:rsidR="00671ECC" w:rsidRPr="000547D4">
              <w:rPr>
                <w:rFonts w:ascii="Times New Roman" w:eastAsia="Calibri" w:hAnsi="Times New Roman" w:cs="Times New Roman"/>
                <w:sz w:val="24"/>
                <w:szCs w:val="24"/>
              </w:rPr>
              <w:t xml:space="preserve"> process tiesu izpildītājiem paredz veikt arī darbības, kas saistītas, piemēram, ar iekļūšanu trešajām personām piederošās telpās, jaunā redakcijā nepieciešams izteikt Tiesu izpildītāju likuma 40.pantu, paredzot, ka zvērināta tiesu izpildītāja prasības un rīkojumi, ko viņš izvirza un dod, ir saistoši gan attiecībā uz prasībām un rīkojumiem, kas doti veicot ar tiesas un citu institūciju nolēmumu izpildi saistītas amata darbības, gan veicot mantojuma apsardzību likumā noteiktajā kārtībā. </w:t>
            </w:r>
          </w:p>
          <w:p w:rsidR="004D4104" w:rsidRPr="00FB1FB8" w:rsidRDefault="004D4104" w:rsidP="004D4104">
            <w:pPr>
              <w:spacing w:after="0" w:line="240" w:lineRule="auto"/>
              <w:ind w:firstLine="493"/>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Zvērināta tiesu izpildītāja ieiešanas kārtī</w:t>
            </w:r>
            <w:r w:rsidR="0032093A">
              <w:rPr>
                <w:rFonts w:ascii="Times New Roman" w:eastAsia="Calibri" w:hAnsi="Times New Roman" w:cs="Times New Roman"/>
                <w:sz w:val="24"/>
                <w:szCs w:val="24"/>
              </w:rPr>
              <w:t xml:space="preserve">ba tiek regulēta Likumprojekta </w:t>
            </w:r>
            <w:proofErr w:type="gramStart"/>
            <w:r w:rsidR="0032093A">
              <w:rPr>
                <w:rFonts w:ascii="Times New Roman" w:eastAsia="Calibri" w:hAnsi="Times New Roman" w:cs="Times New Roman"/>
                <w:sz w:val="24"/>
                <w:szCs w:val="24"/>
              </w:rPr>
              <w:t>5</w:t>
            </w:r>
            <w:r w:rsidRPr="00FB1FB8">
              <w:rPr>
                <w:rFonts w:ascii="Times New Roman" w:eastAsia="Calibri" w:hAnsi="Times New Roman" w:cs="Times New Roman"/>
                <w:sz w:val="24"/>
                <w:szCs w:val="24"/>
              </w:rPr>
              <w:t>.pantā</w:t>
            </w:r>
            <w:proofErr w:type="gramEnd"/>
            <w:r w:rsidRPr="00FB1FB8">
              <w:rPr>
                <w:rFonts w:ascii="Times New Roman" w:eastAsia="Calibri" w:hAnsi="Times New Roman" w:cs="Times New Roman"/>
                <w:sz w:val="24"/>
                <w:szCs w:val="24"/>
              </w:rPr>
              <w:t xml:space="preserve"> (Pirmā</w:t>
            </w:r>
            <w:r w:rsidRPr="00FB1FB8">
              <w:rPr>
                <w:rFonts w:ascii="Times New Roman" w:eastAsia="Calibri" w:hAnsi="Times New Roman" w:cs="Times New Roman"/>
                <w:sz w:val="24"/>
                <w:szCs w:val="24"/>
                <w:vertAlign w:val="superscript"/>
              </w:rPr>
              <w:t>1</w:t>
            </w:r>
            <w:r w:rsidRPr="00FB1FB8">
              <w:rPr>
                <w:rFonts w:ascii="Times New Roman" w:eastAsia="Calibri" w:hAnsi="Times New Roman" w:cs="Times New Roman"/>
                <w:sz w:val="24"/>
                <w:szCs w:val="24"/>
              </w:rPr>
              <w:t xml:space="preserve"> nodaļa „Manto</w:t>
            </w:r>
            <w:r w:rsidR="003A404E">
              <w:rPr>
                <w:rFonts w:ascii="Times New Roman" w:eastAsia="Calibri" w:hAnsi="Times New Roman" w:cs="Times New Roman"/>
                <w:sz w:val="24"/>
                <w:szCs w:val="24"/>
              </w:rPr>
              <w:t>juma apsardzība”</w:t>
            </w:r>
            <w:r w:rsidRPr="00FB1FB8">
              <w:rPr>
                <w:rFonts w:ascii="Times New Roman" w:eastAsia="Calibri" w:hAnsi="Times New Roman" w:cs="Times New Roman"/>
                <w:sz w:val="24"/>
                <w:szCs w:val="24"/>
              </w:rPr>
              <w:t xml:space="preserve">). Likumprojektā mēģināts sabalansēt divu pušu intereses un tiesības – no vienas puses trešo personu intereses un tiesības, bet no otras puses mantinieku intereses un tiesības. Likumprojekts paredz, ka gadījumā ja zvērināts tiesu izpildītājs sākotnēji, ierodoties nekustamajā īpašumā, telpās vai citās glabātavās, kurās saskaņā ar zvērināta notāra aicinājumā norādīto atrodas apsargājamā manta un kurās nepieciešams veikt mantojuma apsardzības darbības, sastop tur pilngadīgas personas, kas atsakās viņu ielaist, zvērināts tiesu izpildītājs pieaicina policijas pārstāvi, kura klātbūtnē iekļūst nekustamajā īpašumā, telpās vai citā glabātavā un veic mantojuma apsardzības darbības. Savukārt gadījumos, kad zvērināts tiesu izpildītājs nevienu pilngadīgu personu nesastop un nekustamais īpašums, telpas vai citas glabātavas ir slēgtas, zvērināts tiesu izpildītājs atstāj pastkastītē vai, ja tādas nav, pie attiecīgā nekustamā īpašuma, telpām vai citām glabātavām paziņojumu par mantojuma apsardzības darbību veikšanas datumu un laiku, norādot, ka gadījumā, ja paziņojumā norādītajā datumā un laikā netiks nodrošināta iekļūšana nekustamajā īpašumā, telpās vai citās glabātavās, tiks veikta nekustamā īpašuma, telpu vai citu glabātavu piespiedu atvēršana policijas klātbūtnē. Gadījumā, ja nekustamais īpašums, telpas vai glabātava pieder trešajām personām, paziņojums tiek nosūtīts arī šīm personām pa pastu. Šādā veidā tiek nodrošināta trešo personu tiesību ievērošana, jo zvērināts tiesu izpildītājs ieiet telpās piespiedu kārtā tikai gadījumos, kad sastop šajās telpās pilngadīgas personas, kuras atsakās ielaist zvērinātu tiesu izpildītāju, vai gadījumos, kad ticis atstāts paziņojums, kurā norādīts konkrēts datums un laiks, un persona atkārtoti nav nodrošinājusi iekļuvi nekustamajā īpašumā, telpās vai citās glabātuves. Tad attiecīgi zvērināts tiesu izpildītājs ir tiesīgs policijas pārstāvja klātbūtnē veikt šī nekustamā īpašuma, telpu vai citu glabātavu piespiedu atvēršanu, lai nodrošinātu mantojuma apsardzību. Tāpat Likumprojekts paredz, ka gadījumā, ja tiek veikta šāda piespiedu iekļūšana nekustamajā īpašumā, telpās vai citās glabātavās pēc tam, kad zvērināts tiesu izpildītājs ierodas paziņojumā </w:t>
            </w:r>
            <w:r w:rsidR="0094276A" w:rsidRPr="00FB1FB8">
              <w:rPr>
                <w:rFonts w:ascii="Times New Roman" w:eastAsia="Calibri" w:hAnsi="Times New Roman" w:cs="Times New Roman"/>
                <w:sz w:val="24"/>
                <w:szCs w:val="24"/>
              </w:rPr>
              <w:t>norādīt</w:t>
            </w:r>
            <w:r w:rsidR="0094276A">
              <w:rPr>
                <w:rFonts w:ascii="Times New Roman" w:eastAsia="Calibri" w:hAnsi="Times New Roman" w:cs="Times New Roman"/>
                <w:sz w:val="24"/>
                <w:szCs w:val="24"/>
              </w:rPr>
              <w:t>a</w:t>
            </w:r>
            <w:r w:rsidR="0094276A" w:rsidRPr="00FB1FB8">
              <w:rPr>
                <w:rFonts w:ascii="Times New Roman" w:eastAsia="Calibri" w:hAnsi="Times New Roman" w:cs="Times New Roman"/>
                <w:sz w:val="24"/>
                <w:szCs w:val="24"/>
              </w:rPr>
              <w:t xml:space="preserve">jā </w:t>
            </w:r>
            <w:r w:rsidRPr="00FB1FB8">
              <w:rPr>
                <w:rFonts w:ascii="Times New Roman" w:eastAsia="Calibri" w:hAnsi="Times New Roman" w:cs="Times New Roman"/>
                <w:sz w:val="24"/>
                <w:szCs w:val="24"/>
              </w:rPr>
              <w:t>datumā un laikā, tad zvērinātam tiesu izpildītājam ir pienākums pēc nekustamā īpašuma, telpu vai citu glabātuvju atvēršanas nodrošināt to drošu aizvēršanu un aizzīmogošanu. Zvērināts tiesu izpildītājs aizvērtā aploksnē atstāj pastkastītē vai, ja tādas nav, pie attiecīgā nekustamā īpašuma, telpām vai citām glabātuvēm, paziņojumu ar uzaicinājumu ierasties zvērināta tiesu izpildītāja birojā, lai saņemtu atslēgas.</w:t>
            </w:r>
          </w:p>
          <w:p w:rsidR="004D4104" w:rsidRPr="00FB1FB8" w:rsidRDefault="004D4104" w:rsidP="004D4104">
            <w:pPr>
              <w:spacing w:after="0" w:line="240" w:lineRule="auto"/>
              <w:ind w:firstLine="493"/>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Likumprojektā paredzētais regulējums ir samērīgs, jo tas vērsts uz mantinieku tiesību aizsardzību, tajā pašā laikā ievērojot arī trešo personu tiesības. Līdzekļi ir samērīgi, jo gadījumos, ja persona ir labticīga un neatrodas nekustamajā īpašumā, telpās vai citās glabātuvēs tai tiek paziņots par atkārtoto reizi, kad zvērinā</w:t>
            </w:r>
            <w:r w:rsidR="00F853E7">
              <w:rPr>
                <w:rFonts w:ascii="Times New Roman" w:eastAsia="Calibri" w:hAnsi="Times New Roman" w:cs="Times New Roman"/>
                <w:sz w:val="24"/>
                <w:szCs w:val="24"/>
              </w:rPr>
              <w:t xml:space="preserve">ts tiesu izpildītājs ieradīsies </w:t>
            </w:r>
            <w:r w:rsidRPr="00FB1FB8">
              <w:rPr>
                <w:rFonts w:ascii="Times New Roman" w:eastAsia="Calibri" w:hAnsi="Times New Roman" w:cs="Times New Roman"/>
                <w:sz w:val="24"/>
                <w:szCs w:val="24"/>
              </w:rPr>
              <w:t>un gadījumā, ja persona atkārtoti nenodrošina iekļuvi nekustamajā īpašumā, telpās vai citās glabātuvēs, mantinieku interesēs, ar policijas pārstāvja klātbūtni zvērināts tiesu izpildītājs ir tiesīgs iekļūt šajā nekustamajā īpašumā, telpās vai citās glabātu</w:t>
            </w:r>
            <w:r w:rsidR="00F853E7">
              <w:rPr>
                <w:rFonts w:ascii="Times New Roman" w:eastAsia="Calibri" w:hAnsi="Times New Roman" w:cs="Times New Roman"/>
                <w:sz w:val="24"/>
                <w:szCs w:val="24"/>
              </w:rPr>
              <w:t>vēs, tajā pašā laikā nodrošinot</w:t>
            </w:r>
            <w:r w:rsidRPr="00FB1FB8">
              <w:rPr>
                <w:rFonts w:ascii="Times New Roman" w:eastAsia="Calibri" w:hAnsi="Times New Roman" w:cs="Times New Roman"/>
                <w:sz w:val="24"/>
                <w:szCs w:val="24"/>
              </w:rPr>
              <w:t xml:space="preserve"> to drošu aizvēršanu un aizzīmogošanu.</w:t>
            </w:r>
          </w:p>
          <w:p w:rsidR="004D4104" w:rsidRPr="00FB1FB8" w:rsidRDefault="004D4104" w:rsidP="004D4104">
            <w:pPr>
              <w:spacing w:after="0" w:line="240" w:lineRule="auto"/>
              <w:ind w:firstLine="493"/>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Likumprojektā paredzēta kārtība, kādā tiesu izpildītājs veic mantojuma apsardzības darbības, proti:</w:t>
            </w:r>
          </w:p>
          <w:p w:rsidR="004D4104" w:rsidRPr="00FB1FB8"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tiesu izpildītājs veic mantojuma apsardzību, pamatojoties uz zvērināta notāra aicinājumu. Zvērinātam tiesu izpildītājam nav tiesību atteikties pieņemt izpildei zvērināta notāra aicinājumu, ja tajā norādītās mantas atrašanās vieta ir zvērināta tiesu izpildītāja amata vietai noteiktajās robežās (iecirknī).</w:t>
            </w:r>
          </w:p>
          <w:p w:rsidR="004D4104" w:rsidRPr="00FB1FB8"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persona, kura vēlas, lai tiktu veiktas mantojuma apsardzības darbības, ar zvērināta notāra aicinājumu dodas pie zvērināta tiesu izpildītāja un pēc zvērināta tiesu izpildītāja norādījuma iemaksā zvērināta tiesu izpildītāja saimnieciskās darbības kontā ar mantojuma apsardzību saistītos izdevumus, kas nepieciešami mantojuma apsardzības darbību uzsākšanai. Lietas gaitā persona pēc zvērināta tiesu izpildītāja norādījuma iemaksā papildus nepieciešamos ar mantojuma apsardzību saistītos izdevumus. Zvērināta tiesu izpildītāja norādītās summas nesamaksāšana var būt par pamatu mantojuma apsardzības izbeigšanai.</w:t>
            </w:r>
          </w:p>
          <w:p w:rsidR="004D4104" w:rsidRPr="00FB1FB8"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mantojuma apsardzība uzsākama bez liekas kavēšanās. Paziņojums par mantojuma apsardzības uzsākšanu netiek sūtīts. Tas pamatojams ar to, ka mantojuma apsardzība parasti saistīta ar nekavējošām darbībām, lai saglabātu mantu vai konstatētu tās esošo stāvokli. Izņēmums ir gadījumi, kas minēti jau iepriekš, ja zvērināts tiesu izpildītājs, ierodoties veikt mantojuma apsardzības darbības, konstatē, ka nekustamais īpašums, telpas vai citas glabātavas, kurās saskaņā ar zvērināta notāra aicinājumā norādīto, atrodas apsargājamā manta, ir slēgtas, un tajās netiek sastapta neviena pilngadīga persona. Šajos gadījumos zvērināts tiesu izpildītājs atstāj pastkastītē vai, ja tādas nav, pie attiecīgā nekustamā īpašuma, telpām vai citām glabātavām paziņojumu par mantojuma apsardzības darbību veikšanas datumu un laiku, norādot, ka gadījumā, ja paziņojumā norādītajā datumā un laikā netiks nodrošināta iekļūšana nekustamajā īpašumā, telpās vai citās glabātavās, tiks veikta nekustamā īpašuma, telpu vai citu glabātuvju piespiedu atvēršana policijas klātbūtnē. Minētajos gadījumos, ja nekustamais īpašums, telpas vai citas glabātuves pieder trešajām personām, paziņojums tiek nosūtīts arī šīm personām pa pastu.</w:t>
            </w:r>
          </w:p>
          <w:p w:rsidR="00A41F0B" w:rsidRPr="00A41F0B" w:rsidRDefault="004D4104" w:rsidP="00A41F0B">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paredzēts, ka zvērināts tiesu izpildītājs ņem no personām, kas dzīvojušas ar mirušo vienā namā vai dzīvoklī, vai pie kurām atrodas mantojamā manta, ja tādas ir, parakstu par to, ka tās no palikušās mantas nav neko noslēpušas, un tām nav zināms, ka kāda mantas daļa būtu noslēpta, paņemta vai aiznesta vai paskaidrojumus, kāpēc tās atsakās paraks</w:t>
            </w:r>
            <w:r w:rsidR="00707408">
              <w:rPr>
                <w:rFonts w:ascii="Times New Roman" w:eastAsia="Calibri" w:hAnsi="Times New Roman" w:cs="Times New Roman"/>
                <w:sz w:val="24"/>
                <w:szCs w:val="24"/>
              </w:rPr>
              <w:t>t</w:t>
            </w:r>
            <w:r w:rsidRPr="00FB1FB8">
              <w:rPr>
                <w:rFonts w:ascii="Times New Roman" w:eastAsia="Calibri" w:hAnsi="Times New Roman" w:cs="Times New Roman"/>
                <w:sz w:val="24"/>
                <w:szCs w:val="24"/>
              </w:rPr>
              <w:t xml:space="preserve">īties. Gadījumā, ja persona atsakās parakstīties vai dot paskaidrojumus, zvērināts tiesu izpildītājs </w:t>
            </w:r>
            <w:r w:rsidR="00A41F0B" w:rsidRPr="000547D4">
              <w:rPr>
                <w:rFonts w:ascii="Times New Roman" w:eastAsia="Calibri" w:hAnsi="Times New Roman" w:cs="Times New Roman"/>
                <w:sz w:val="24"/>
                <w:szCs w:val="24"/>
              </w:rPr>
              <w:t xml:space="preserve">atbilstoši Civilprocesa likuma 551.panta otrās daļas noteikumiem </w:t>
            </w:r>
            <w:r w:rsidRPr="000547D4">
              <w:rPr>
                <w:rFonts w:ascii="Times New Roman" w:eastAsia="Calibri" w:hAnsi="Times New Roman" w:cs="Times New Roman"/>
                <w:sz w:val="24"/>
                <w:szCs w:val="24"/>
              </w:rPr>
              <w:t>sastāda</w:t>
            </w:r>
            <w:r w:rsidRPr="00FB1FB8">
              <w:rPr>
                <w:rFonts w:ascii="Times New Roman" w:eastAsia="Calibri" w:hAnsi="Times New Roman" w:cs="Times New Roman"/>
                <w:sz w:val="24"/>
                <w:szCs w:val="24"/>
              </w:rPr>
              <w:t xml:space="preserve"> par to aktu un iesniedz rajona (pilsētas) tiesā pēc zvērināta tiesu izpildītāja amata vietas, lai tā izlemtu jautā</w:t>
            </w:r>
            <w:r w:rsidR="00014304">
              <w:rPr>
                <w:rFonts w:ascii="Times New Roman" w:eastAsia="Calibri" w:hAnsi="Times New Roman" w:cs="Times New Roman"/>
                <w:sz w:val="24"/>
                <w:szCs w:val="24"/>
              </w:rPr>
              <w:t>jumu par šīs personas atbildību.</w:t>
            </w:r>
            <w:r w:rsidRPr="00FB1FB8">
              <w:rPr>
                <w:rFonts w:ascii="Times New Roman" w:eastAsia="Calibri" w:hAnsi="Times New Roman" w:cs="Times New Roman"/>
                <w:sz w:val="24"/>
                <w:szCs w:val="24"/>
              </w:rPr>
              <w:t xml:space="preserve"> </w:t>
            </w:r>
            <w:r w:rsidR="00A41F0B" w:rsidRPr="00A41F0B">
              <w:rPr>
                <w:rFonts w:ascii="Times New Roman" w:eastAsia="Times New Roman" w:hAnsi="Times New Roman" w:cs="Times New Roman"/>
                <w:sz w:val="24"/>
                <w:szCs w:val="20"/>
              </w:rPr>
              <w:t xml:space="preserve"> </w:t>
            </w:r>
          </w:p>
          <w:p w:rsidR="004D4104" w:rsidRPr="00FB1FB8"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lietas, uz kurām pretenzijas pieteikušas trešās personas, paredzēts aizzīmogot vai apķīlāt, un aizzīmogošanas vai apķīlāšanas aktā norādīt pieteikto pretenziju. Zvērināts tiesu i</w:t>
            </w:r>
            <w:r w:rsidR="00014304">
              <w:rPr>
                <w:rFonts w:ascii="Times New Roman" w:eastAsia="Calibri" w:hAnsi="Times New Roman" w:cs="Times New Roman"/>
                <w:sz w:val="24"/>
                <w:szCs w:val="24"/>
              </w:rPr>
              <w:t>zpildītājs būs tiesīgs neiekļaut</w:t>
            </w:r>
            <w:r w:rsidRPr="00FB1FB8">
              <w:rPr>
                <w:rFonts w:ascii="Times New Roman" w:eastAsia="Calibri" w:hAnsi="Times New Roman" w:cs="Times New Roman"/>
                <w:sz w:val="24"/>
                <w:szCs w:val="24"/>
              </w:rPr>
              <w:t xml:space="preserve"> aktā mantu, kuras piederība būs apliecināta ar attiecīgiem dokumentiem. Gadījumā ja zvērināts tiesu izpildītājs šos dokumentus neatzīs par pietiekamiem mantas piederības konstatēšanai, personai paredzētas tiesības celt prasību tiesā pēc vispārējās lietu piekritības.</w:t>
            </w:r>
          </w:p>
          <w:p w:rsidR="004D4104" w:rsidRPr="00FB1FB8"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mantojuma apsardzības līdzekļi uzskaitīti likumprojektā „Grozījumi Notariāta likumā” un tie ir 1) nekustamā īpašuma, glabātavas vai iesaiņojumu aizzīmogošana; 2) nekustamā īpašuma vai kustamās mantas apķīlāšana; 3) naudas līdzekļu apķīlāšana. Kaut arī apsardzības līdzekļu apzīmējumi ir mainīti, pēc būtības tie saglabājas tādi, kādi bijuši iepriekš, tikai izteikti skaidrāk un saprotamāk. Papildus klāt nācis tāds mantojuma apsardzības līdzeklis kā naudas līdzekļu apķīlāšana.</w:t>
            </w:r>
          </w:p>
          <w:p w:rsidR="004D4104" w:rsidRPr="00FB1FB8"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attiecībā uz aizzīmogošanu paredzēts, ka to veic, ja šis mantojuma apsardzības līdzeklis norādīts zvērināta notāra aicinājumā vai zvērināts tiesu izpildītājs to konkrētajā situācijā atzīst par lietderīgāko mantas apsardzības līdzekli, vai, ja objektīvu iemeslu dēļ nav iespējams nekavējoties apķīlāt mantu. Aizzīmogošanu izdara, aizzīmogojot lietu glabātavas, iesaiņojumus, kurās lietas sasaiņotas vai gadījumā, ja mantojamā manta ir nekustamais īpašums, – pašu īpašumu. Vienlaikus ir paredzēts, ka nav aizzīmogojamas telpas, glabātavas un lietas, kas nepieciešamas ikdienas lietošanai mirušā namā vai dzīvoklī palikušajām personām, kā arī tāds nekustamais īpašums vai lietas, kuras pēc to rakstura nevar aizzīmogot. Tāpat tiek paredzēts, ka neaizzīmogojamās lietas un nekustamais īpašums ir apķīlājami. Apsargājamā manta ir apķīlājama arī tādā gadījumā, ja zvērināts tiesu izpildītājs to konkrētā situācijā atzīst par lietderīgāku mantojuma apsardzības līdzekli nekā aizzīmogošanu. Minētajā pantā atspoguļota pāreja no viena apsardzības līdzekļa pie otra gadījumos, ja zvērināts tiesu izpildītājs, vadoties no konkrētās situācijas, redz, ka lietderīgāk būtu izmantot vienu vai otru apsardzības līdzekli, tāpēc zvērinātam tiesu izpildītājam tiek piešķirtas tiesības izvēlēties, kurš līdzeklis konkrētajā situācijā ir efektīvāks un nepieciešamāks.</w:t>
            </w:r>
          </w:p>
          <w:p w:rsidR="004D4104" w:rsidRPr="00FB1FB8"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attiecībā uz mantas apķīlāšanu tiek paredzēta kustamas un nekustamas mantas apķīlāšana kā mantojuma apsardzības līdzeklis. Kustamas mantas apķīlāšana izpaužas tās aprakstīšanā un novērtēšanā. Savukārt nekustamā īpašuma apķīlāšana izpaužas tā aprakstīšanā un, ja nepieciešams arī novērtēšanā. Aprakstīšanu un novērtēšanu zvērināts tiesu izpildītājs veic Civilprocesa likumā kustamās mantas un nekustamā īpašuma aprakstīšanai un novērtēšanai noteiktajā kārtībā, ciktāl šajā likumā nav paredzēts citādi;</w:t>
            </w:r>
          </w:p>
          <w:p w:rsidR="004D4104" w:rsidRPr="00FB1FB8"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xml:space="preserve">- aizzīmogotā vai apķīlātā manta ir nododama glabāšanā aizgādnim un ar šīs mantas nodošanu mantojuma aizgādnim, mantojuma apsardzība izbeidzas. Savukārt gadījumos, kad aizgādnis vēl nav iecelts, zvērināts tiesu izpildītājs aizzīmogotās vai apķīlātās mantas apsardzībai ieceļ kustamās mantas glabātāju vai nekustamā īpašuma pārvaldnieku. </w:t>
            </w:r>
          </w:p>
          <w:p w:rsidR="004D4104" w:rsidRPr="00FB1FB8"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paredzēta izņēmuma kārtība attiecībā uz darbībām atsevišķiem mantojamās mantas veidiem: apķīlātās vērtslietas un vērtspapīrus zvērināts tiesu izpildītājs izņem un nodod mantojuma aizgādnim, bet, ja tāds nav iecelts un zvērināts tiesu izpildītājs pats nevar nodrošināt to saglabāšanu, nodod glabāšanā kredītiestādē; naudu zvērināts tiesu izpildītājs izņem un iemaksā savā depozīta kontā, bet gadījumos, kad ir iecelts mantojuma aizgādnis – aizgādņa norādītajā kontā; lietas, kas ātri bojājas, nekavējoties pārdodamas Civilprocesa likumā kustamās mantas pārdošanai paredzētajā kārtībā, bet par tām saņemtā nauda pēc izdevumu atskaitīšanas ieskaitāma zvērināta tiesu izpildītāja depozīta kontā.</w:t>
            </w:r>
          </w:p>
          <w:p w:rsidR="004D4104" w:rsidRPr="00FB1FB8"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attiecībā uz naudas apķīlāšanu paredzēts, ka mantojamo naudas līdzekļu apķīlāšanu kredītiestādē zvērināts tiesu izpildītājs veic, dodot rīkojumu ieskaitīt šos naudas līdzekļus (tajā skaitā noguldījumus) zvērināta tiesu izpildītāja depozītu kontā.</w:t>
            </w:r>
          </w:p>
          <w:p w:rsidR="004D4104" w:rsidRPr="00FB1FB8" w:rsidRDefault="004D4104" w:rsidP="004D4104">
            <w:pPr>
              <w:spacing w:after="0" w:line="240" w:lineRule="auto"/>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attiecībā uz zvērināta tiesu izpildītāja darbībām, veicot mantojuma apsardzību, vai atteikumu veikt šādas darbības paredzēts, ka ieinteresētās personas var pārsūdzēt tās tiesā kārtībā, kāda noteikta Civilprocesa likumā sūdzību iesniegšanai par zvērināta tiesu izpildītāja darbībām sprieduma izpildīšanā.</w:t>
            </w:r>
          </w:p>
          <w:p w:rsidR="004D4104" w:rsidRPr="00FB1FB8" w:rsidRDefault="004D4104" w:rsidP="004D4104">
            <w:pPr>
              <w:spacing w:after="0" w:line="240" w:lineRule="auto"/>
              <w:contextualSpacing/>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tāpat Likumprojekts paredz kārtību, kādā tiek segti par mantojuma apsardzības darbībām radušies izdevumi. Atbilstoši Likumprojekta 77.</w:t>
            </w:r>
            <w:r w:rsidRPr="00FB1FB8">
              <w:rPr>
                <w:rFonts w:ascii="Times New Roman" w:eastAsia="Calibri" w:hAnsi="Times New Roman" w:cs="Times New Roman"/>
                <w:sz w:val="24"/>
                <w:szCs w:val="24"/>
                <w:vertAlign w:val="superscript"/>
              </w:rPr>
              <w:t>1</w:t>
            </w:r>
            <w:r w:rsidRPr="00FB1FB8">
              <w:rPr>
                <w:rFonts w:ascii="Times New Roman" w:eastAsia="Calibri" w:hAnsi="Times New Roman" w:cs="Times New Roman"/>
                <w:sz w:val="24"/>
                <w:szCs w:val="24"/>
              </w:rPr>
              <w:t xml:space="preserve"> panta trešajai daļai persona, kura lūgusi mantojuma apsardzību, pēc zvērināta tiesu izpildītāja norādījuma iemaksā zvērināta tiesu izpildītāja saimnieciskās darbības kontā ar mantojuma apsardzību saistītos izdevumus, kas nepieciešami mantojuma apsardzības darbību uzsākšanai. Lietas gaitā persona pēc zvērināta tiesu izpildītāja norādījuma iemaksā papildus nepieciešamos ar mantojuma apsardzību saistītos izdevumus. Zvērināta tiesu izpildītāja norādītās summas nesamaksāšana var būt pamats izbeigt mantojuma apsardzību. </w:t>
            </w:r>
          </w:p>
          <w:p w:rsidR="004D4104" w:rsidRPr="00FB1FB8" w:rsidRDefault="004D4104" w:rsidP="00F853E7">
            <w:pPr>
              <w:spacing w:after="0" w:line="240" w:lineRule="auto"/>
              <w:contextualSpacing/>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Likumprojekts paredz, ka ar mantojuma apsardzību saistītajos izdevumos ietilpst tiesu izpildītāja amata atlīdzība takses apmērā un mantojuma apsardzības darbību veikšanai nepieciešamie izdevumi. Tie ir: 1) ar paziņojumu un citu dokumentu piegādāšanu un izsniegšanu saistītie izdevumi; 2) izdevumi sakarā ar mantas glabāšanu un pārvadāšanu; 3) ceļa izdevumi nokļūšanai mantojuma apsardzības vietā; 4) samaksa ekspertam; 5) citi mantojuma apsardzības darbību veikšanai nepieciešamie izdevumi. Nosakot mantojuma apsardzības darbību veikšanai nepieciešamo izdevumu apmēru, piemēro noteikumus par izpildu darbību veikšanai nepieciešamajiem izdevumiem.</w:t>
            </w:r>
          </w:p>
          <w:p w:rsidR="004D4104" w:rsidRPr="00FB1FB8" w:rsidRDefault="004D4104" w:rsidP="004D4104">
            <w:pPr>
              <w:spacing w:after="0" w:line="240" w:lineRule="auto"/>
              <w:ind w:firstLine="284"/>
              <w:contextualSpacing/>
              <w:jc w:val="both"/>
              <w:rPr>
                <w:rFonts w:ascii="Times New Roman" w:eastAsia="Calibri" w:hAnsi="Times New Roman" w:cs="Times New Roman"/>
                <w:sz w:val="24"/>
                <w:szCs w:val="24"/>
              </w:rPr>
            </w:pPr>
            <w:r w:rsidRPr="00FB1FB8">
              <w:rPr>
                <w:rFonts w:ascii="Times New Roman" w:eastAsia="Calibri" w:hAnsi="Times New Roman" w:cs="Times New Roman"/>
                <w:sz w:val="24"/>
                <w:szCs w:val="24"/>
              </w:rPr>
              <w:t xml:space="preserve">Ņemot vērā apstākli, ka ar </w:t>
            </w:r>
            <w:proofErr w:type="gramStart"/>
            <w:r w:rsidRPr="00FB1FB8">
              <w:rPr>
                <w:rFonts w:ascii="Times New Roman" w:eastAsia="Calibri" w:hAnsi="Times New Roman" w:cs="Times New Roman"/>
                <w:sz w:val="24"/>
                <w:szCs w:val="24"/>
              </w:rPr>
              <w:t>2013.gada</w:t>
            </w:r>
            <w:proofErr w:type="gramEnd"/>
            <w:r w:rsidRPr="00FB1FB8">
              <w:rPr>
                <w:rFonts w:ascii="Times New Roman" w:eastAsia="Calibri" w:hAnsi="Times New Roman" w:cs="Times New Roman"/>
                <w:sz w:val="24"/>
                <w:szCs w:val="24"/>
              </w:rPr>
              <w:t xml:space="preserve"> 1.janvāri spēkā stājies Pievienotās vērtības nodokļa likums, kas aizstāj likumu „Par pievienotās vērtības nodokli”, Likumprojekts cita starpā paredz precizēt Zvērināta tiesu izpildītāju likuma 79.pantā ietverto atsauci uz Pievienotās vērtības nodokļa likumu.</w:t>
            </w:r>
          </w:p>
          <w:p w:rsidR="007346D3" w:rsidRPr="000547D4" w:rsidRDefault="007346D3" w:rsidP="007346D3">
            <w:pPr>
              <w:spacing w:after="0" w:line="240" w:lineRule="auto"/>
              <w:ind w:firstLine="284"/>
              <w:contextualSpacing/>
              <w:jc w:val="both"/>
              <w:rPr>
                <w:rFonts w:ascii="Times New Roman" w:eastAsia="Calibri" w:hAnsi="Times New Roman" w:cs="Times New Roman"/>
                <w:iCs/>
                <w:sz w:val="24"/>
                <w:szCs w:val="24"/>
              </w:rPr>
            </w:pPr>
            <w:r w:rsidRPr="000547D4">
              <w:rPr>
                <w:rFonts w:ascii="Times New Roman" w:eastAsia="Calibri" w:hAnsi="Times New Roman" w:cs="Times New Roman"/>
                <w:iCs/>
                <w:sz w:val="24"/>
                <w:szCs w:val="24"/>
              </w:rPr>
              <w:t>Saskaņā ar Tiesu izpildītāju likuma 144.panta pirmo daļu zvērināts tiesu izpildītājs uz sava vārda Valsts kasē atver depozīta kontu, kurā tiek glabāti no parādniekiem piedzītie naudas līdzekļi un citas summas, kas pienākas ieinteresētajām personām (depozītu summas). Depozītu summu saņemšana un izmaksa atļauta tikai zvērināta tiesu izpildītāja depozīta kontā Valsts kasē. Atbilstoši Tiesu izpildītāju likuma 147.panta 3.punktam, aizpildot depozītu summu uzskaites grāmatu, zvērinātam tiesu izpildītājam jānorāda izpildu lietas numurs. Savukārt Latvijas Zvērinātu tiesu izpildītāju padomes apstiprināto metodisko norādījumu „Tiesu izpildītāja saimnieciskās un fi</w:t>
            </w:r>
            <w:r w:rsidR="00FF7886" w:rsidRPr="000547D4">
              <w:rPr>
                <w:rFonts w:ascii="Times New Roman" w:eastAsia="Calibri" w:hAnsi="Times New Roman" w:cs="Times New Roman"/>
                <w:iCs/>
                <w:sz w:val="24"/>
                <w:szCs w:val="24"/>
              </w:rPr>
              <w:t>nansiālās darbības noteikumi” 10. un 11</w:t>
            </w:r>
            <w:r w:rsidRPr="000547D4">
              <w:rPr>
                <w:rFonts w:ascii="Times New Roman" w:eastAsia="Calibri" w:hAnsi="Times New Roman" w:cs="Times New Roman"/>
                <w:iCs/>
                <w:sz w:val="24"/>
                <w:szCs w:val="24"/>
              </w:rPr>
              <w:t>.punkts pieļauj veikt i</w:t>
            </w:r>
            <w:r w:rsidR="00D3658A" w:rsidRPr="000547D4">
              <w:rPr>
                <w:rFonts w:ascii="Times New Roman" w:eastAsia="Calibri" w:hAnsi="Times New Roman" w:cs="Times New Roman"/>
                <w:iCs/>
                <w:sz w:val="24"/>
                <w:szCs w:val="24"/>
              </w:rPr>
              <w:t>zmaksas no depozīta konta, tikai</w:t>
            </w:r>
            <w:r w:rsidRPr="000547D4">
              <w:rPr>
                <w:rFonts w:ascii="Times New Roman" w:eastAsia="Calibri" w:hAnsi="Times New Roman" w:cs="Times New Roman"/>
                <w:iCs/>
                <w:sz w:val="24"/>
                <w:szCs w:val="24"/>
              </w:rPr>
              <w:t xml:space="preserve"> pamatojoties uz sprieduma izpildes izdevumu aprēķinu un aprēķinu par piedzīto summu sadali.</w:t>
            </w:r>
          </w:p>
          <w:p w:rsidR="008F42BA" w:rsidRPr="000547D4" w:rsidRDefault="007346D3" w:rsidP="00425FB0">
            <w:pPr>
              <w:spacing w:after="0" w:line="240" w:lineRule="auto"/>
              <w:ind w:firstLine="284"/>
              <w:contextualSpacing/>
              <w:jc w:val="both"/>
              <w:rPr>
                <w:rFonts w:ascii="Times New Roman" w:eastAsia="Calibri" w:hAnsi="Times New Roman" w:cs="Times New Roman"/>
                <w:iCs/>
                <w:sz w:val="24"/>
                <w:szCs w:val="24"/>
              </w:rPr>
            </w:pPr>
            <w:r w:rsidRPr="000547D4">
              <w:rPr>
                <w:rFonts w:ascii="Times New Roman" w:eastAsia="Calibri" w:hAnsi="Times New Roman" w:cs="Times New Roman"/>
                <w:iCs/>
                <w:sz w:val="24"/>
                <w:szCs w:val="24"/>
              </w:rPr>
              <w:t>Veicot Tiesu izpildītāju likuma 74. un 75.pantā minētās darbības, zvērināts tiesu izpildītājs neveic tiesas vai citu institūciju vai amatpersonu nolēmumu izpildi, tai skaitā nepiedzen no parādniekiem naudas līdzekļus, kā arī nesaņem summas, kas pienāktos ieinteresētajām personām. Attiecīgi nav nepieciešama arī saņemto summu sadale un nav paredzēta pamatojošo aprēķinu sastādīšana. Summas, ko ieinteresētā persona, kas lūgusi veikt attiecīgo darbību, pamatojoties uz zvērināta tie</w:t>
            </w:r>
            <w:r w:rsidR="00D3658A" w:rsidRPr="000547D4">
              <w:rPr>
                <w:rFonts w:ascii="Times New Roman" w:eastAsia="Calibri" w:hAnsi="Times New Roman" w:cs="Times New Roman"/>
                <w:iCs/>
                <w:sz w:val="24"/>
                <w:szCs w:val="24"/>
              </w:rPr>
              <w:t>su izpildītāja izsniegtu rēķinu</w:t>
            </w:r>
            <w:r w:rsidRPr="000547D4">
              <w:rPr>
                <w:rFonts w:ascii="Times New Roman" w:eastAsia="Calibri" w:hAnsi="Times New Roman" w:cs="Times New Roman"/>
                <w:iCs/>
                <w:sz w:val="24"/>
                <w:szCs w:val="24"/>
              </w:rPr>
              <w:t xml:space="preserve"> maksā zvērinātam tiesu izpildītājam, ir tikai zvērināta tiesu izpildītāja amata atlīdzība un darbības veikšanai nepieciešamie izdevumi. Šīs summas veido zvērināta tiesu izpildītāja ieņēmumus un tādēļ var tikt ieskaitītas zvērināta tiesu izpildītāja saimnieciskās darbības kontā. </w:t>
            </w:r>
          </w:p>
          <w:p w:rsidR="004D4104" w:rsidRPr="00651DEB" w:rsidRDefault="00425FB0" w:rsidP="00651DEB">
            <w:pPr>
              <w:spacing w:after="0" w:line="240" w:lineRule="auto"/>
              <w:ind w:firstLine="284"/>
              <w:contextualSpacing/>
              <w:jc w:val="both"/>
              <w:rPr>
                <w:rFonts w:ascii="Times New Roman" w:eastAsia="Calibri" w:hAnsi="Times New Roman" w:cs="Times New Roman"/>
                <w:iCs/>
                <w:sz w:val="24"/>
                <w:szCs w:val="24"/>
              </w:rPr>
            </w:pPr>
            <w:r w:rsidRPr="000547D4">
              <w:rPr>
                <w:rFonts w:ascii="Times New Roman" w:eastAsia="Calibri" w:hAnsi="Times New Roman" w:cs="Times New Roman"/>
                <w:iCs/>
                <w:sz w:val="24"/>
                <w:szCs w:val="24"/>
              </w:rPr>
              <w:t>Ņemot vērā minēto, Tiesu izpildītāju likuma 141.</w:t>
            </w:r>
            <w:r w:rsidRPr="000547D4">
              <w:rPr>
                <w:rFonts w:ascii="Times New Roman" w:eastAsia="Calibri" w:hAnsi="Times New Roman" w:cs="Times New Roman"/>
                <w:iCs/>
                <w:sz w:val="24"/>
                <w:szCs w:val="24"/>
                <w:vertAlign w:val="superscript"/>
              </w:rPr>
              <w:t>1</w:t>
            </w:r>
            <w:r w:rsidRPr="000547D4">
              <w:rPr>
                <w:rFonts w:ascii="Times New Roman" w:eastAsia="Calibri" w:hAnsi="Times New Roman" w:cs="Times New Roman"/>
                <w:iCs/>
                <w:sz w:val="24"/>
                <w:szCs w:val="24"/>
              </w:rPr>
              <w:t xml:space="preserve"> panta tekstu, </w:t>
            </w:r>
            <w:proofErr w:type="gramStart"/>
            <w:r w:rsidRPr="000547D4">
              <w:rPr>
                <w:rFonts w:ascii="Times New Roman" w:eastAsia="Calibri" w:hAnsi="Times New Roman" w:cs="Times New Roman"/>
                <w:iCs/>
                <w:sz w:val="24"/>
                <w:szCs w:val="24"/>
              </w:rPr>
              <w:t>kurā paredzēts, ka</w:t>
            </w:r>
            <w:r w:rsidRPr="000547D4">
              <w:rPr>
                <w:rFonts w:ascii="Arial" w:hAnsi="Arial" w:cs="Arial"/>
              </w:rPr>
              <w:t xml:space="preserve"> </w:t>
            </w:r>
            <w:r w:rsidRPr="000547D4">
              <w:rPr>
                <w:rFonts w:ascii="Times New Roman" w:eastAsia="Calibri" w:hAnsi="Times New Roman" w:cs="Times New Roman"/>
                <w:iCs/>
                <w:sz w:val="24"/>
                <w:szCs w:val="24"/>
              </w:rPr>
              <w:t>maksājumus, kas saistīti ar tiesas un citu institūciju nolēmumu izpildi un citu zvērināta tiesu izpildītāja amata un profesionālo darbību, personas veic ar pārskaitījumu uz zvērināta tiesu izpildītāja depozīta kontu Valsts kasē</w:t>
            </w:r>
            <w:proofErr w:type="gramEnd"/>
            <w:r w:rsidRPr="000547D4">
              <w:rPr>
                <w:rFonts w:ascii="Times New Roman" w:eastAsia="Calibri" w:hAnsi="Times New Roman" w:cs="Times New Roman"/>
                <w:iCs/>
                <w:sz w:val="24"/>
                <w:szCs w:val="24"/>
              </w:rPr>
              <w:t xml:space="preserve"> vai nododot skaidru naudu zvērinātam tiesu izpildītājam apmaiņā pret kvīti par skaidras naudas pieņemšanu, nepieciešams sadalīt divās daļās, paredzot, ka maksājumus, kas nav saistīti ar tiesas un citu institūciju nolēmumu izpildi, personas veic </w:t>
            </w:r>
            <w:r w:rsidR="008F42BA" w:rsidRPr="000547D4">
              <w:rPr>
                <w:rFonts w:ascii="Times New Roman" w:eastAsia="Calibri" w:hAnsi="Times New Roman" w:cs="Times New Roman"/>
                <w:iCs/>
                <w:sz w:val="24"/>
                <w:szCs w:val="24"/>
              </w:rPr>
              <w:t>tieši</w:t>
            </w:r>
            <w:r w:rsidRPr="000547D4">
              <w:rPr>
                <w:rFonts w:ascii="Times New Roman" w:eastAsia="Calibri" w:hAnsi="Times New Roman" w:cs="Times New Roman"/>
                <w:iCs/>
                <w:sz w:val="24"/>
                <w:szCs w:val="24"/>
              </w:rPr>
              <w:t xml:space="preserve"> uz zvērināta tiesu izpildītāja saimnieciskās darbības kontu, vai nododot skaidru naudu zvērinātam tiesu izpildītājam</w:t>
            </w:r>
            <w:r w:rsidR="00D3658A" w:rsidRPr="000547D4">
              <w:rPr>
                <w:rFonts w:ascii="Times New Roman" w:eastAsia="Calibri" w:hAnsi="Times New Roman" w:cs="Times New Roman"/>
                <w:iCs/>
                <w:sz w:val="24"/>
                <w:szCs w:val="24"/>
              </w:rPr>
              <w:t>,</w:t>
            </w:r>
            <w:r w:rsidRPr="000547D4">
              <w:rPr>
                <w:rFonts w:ascii="Times New Roman" w:eastAsia="Calibri" w:hAnsi="Times New Roman" w:cs="Times New Roman"/>
                <w:iCs/>
                <w:sz w:val="24"/>
                <w:szCs w:val="24"/>
              </w:rPr>
              <w:t xml:space="preserve"> apmaiņā pret Valsts ieņēmumu dienestā </w:t>
            </w:r>
            <w:r w:rsidR="00DB009E" w:rsidRPr="000547D4">
              <w:rPr>
                <w:rFonts w:ascii="Times New Roman" w:eastAsia="Calibri" w:hAnsi="Times New Roman" w:cs="Times New Roman"/>
                <w:iCs/>
                <w:sz w:val="24"/>
                <w:szCs w:val="24"/>
              </w:rPr>
              <w:t>reģistrētu kvīti par skaidras naudas pieņemšanu.</w:t>
            </w:r>
          </w:p>
        </w:tc>
      </w:tr>
      <w:tr w:rsidR="004D4104" w:rsidRPr="004D4104" w:rsidTr="00D17078">
        <w:trPr>
          <w:trHeight w:val="1071"/>
        </w:trPr>
        <w:tc>
          <w:tcPr>
            <w:tcW w:w="460" w:type="dxa"/>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lastRenderedPageBreak/>
              <w:t>3.</w:t>
            </w:r>
          </w:p>
        </w:tc>
        <w:tc>
          <w:tcPr>
            <w:tcW w:w="2666" w:type="dxa"/>
          </w:tcPr>
          <w:p w:rsidR="004D4104" w:rsidRPr="004D4104" w:rsidRDefault="004D4104" w:rsidP="004D4104">
            <w:pPr>
              <w:spacing w:after="0" w:line="240" w:lineRule="auto"/>
              <w:ind w:right="182"/>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Projekta izstrādē iesaistītās institūcijas</w:t>
            </w:r>
          </w:p>
        </w:tc>
        <w:tc>
          <w:tcPr>
            <w:tcW w:w="6093" w:type="dxa"/>
          </w:tcPr>
          <w:p w:rsidR="004D4104" w:rsidRPr="004D4104" w:rsidRDefault="004D4104" w:rsidP="004D4104">
            <w:pPr>
              <w:spacing w:after="0" w:line="240" w:lineRule="auto"/>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 xml:space="preserve">Likumprojektu Mantojuma tiesību regulējumā izstrādāja ar tieslietu ministra </w:t>
            </w:r>
            <w:r w:rsidRPr="004D4104">
              <w:rPr>
                <w:rFonts w:ascii="Times New Roman" w:eastAsia="Times New Roman" w:hAnsi="Times New Roman" w:cs="Times New Roman"/>
                <w:bCs/>
                <w:sz w:val="24"/>
                <w:szCs w:val="24"/>
                <w:lang w:eastAsia="lv-LV"/>
              </w:rPr>
              <w:t xml:space="preserve">2012.gada 22.oktobra rīkojumu Nr.1-1/410 </w:t>
            </w:r>
            <w:r w:rsidRPr="004D4104">
              <w:rPr>
                <w:rFonts w:ascii="Times New Roman" w:eastAsia="Times New Roman" w:hAnsi="Times New Roman" w:cs="Times New Roman"/>
                <w:sz w:val="24"/>
                <w:szCs w:val="24"/>
                <w:lang w:eastAsia="lv-LV"/>
              </w:rPr>
              <w:t>izveidotā darba grupa normatīvo aktu projektu, kas saistīti ar koncepcijas par Civillikuma Mantojuma tiesību daļas modernizācijas īstenošanu, izstrādei. Darba grupas sastāvā tika iekļauti pārstāvji no Tieslietu ministrijas, Finanšu ministrijas, Labklājības ministrijas, Latvijas Universitātes, Latvijas Zvērinātu notāru padomes, Latvijas Zvērinātu tiesu izpildītāju padomes, Rīgas bāriņtiesas, kā arī tiesneši, zvērināti notāri un zvērināti advokāti.</w:t>
            </w:r>
          </w:p>
        </w:tc>
      </w:tr>
      <w:tr w:rsidR="004D4104" w:rsidRPr="004D4104" w:rsidTr="000831FE">
        <w:trPr>
          <w:trHeight w:val="160"/>
        </w:trPr>
        <w:tc>
          <w:tcPr>
            <w:tcW w:w="460" w:type="dxa"/>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4.</w:t>
            </w:r>
          </w:p>
        </w:tc>
        <w:tc>
          <w:tcPr>
            <w:tcW w:w="2666" w:type="dxa"/>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Cita informācija</w:t>
            </w:r>
          </w:p>
        </w:tc>
        <w:tc>
          <w:tcPr>
            <w:tcW w:w="6093" w:type="dxa"/>
          </w:tcPr>
          <w:p w:rsidR="004D4104" w:rsidRPr="004D4104" w:rsidRDefault="004D4104" w:rsidP="004D4104">
            <w:pPr>
              <w:spacing w:after="0" w:line="240" w:lineRule="auto"/>
              <w:jc w:val="both"/>
              <w:rPr>
                <w:rFonts w:ascii="Times New Roman" w:eastAsia="Times New Roman" w:hAnsi="Times New Roman" w:cs="Times New Roman"/>
                <w:bCs/>
                <w:sz w:val="24"/>
                <w:szCs w:val="24"/>
                <w:lang w:eastAsia="lv-LV"/>
              </w:rPr>
            </w:pPr>
            <w:r w:rsidRPr="004D4104">
              <w:rPr>
                <w:rFonts w:ascii="Times New Roman" w:eastAsia="Times New Roman" w:hAnsi="Times New Roman" w:cs="Times New Roman"/>
                <w:bCs/>
                <w:sz w:val="24"/>
                <w:szCs w:val="24"/>
                <w:lang w:eastAsia="lv-LV"/>
              </w:rPr>
              <w:t>Nav.</w:t>
            </w:r>
          </w:p>
        </w:tc>
      </w:tr>
    </w:tbl>
    <w:p w:rsidR="004D4104" w:rsidRPr="004D4104" w:rsidRDefault="004D4104" w:rsidP="005E1C63">
      <w:pPr>
        <w:spacing w:before="100" w:beforeAutospacing="1" w:after="100" w:afterAutospacing="1" w:line="240" w:lineRule="auto"/>
        <w:ind w:firstLine="374"/>
        <w:contextualSpacing/>
        <w:jc w:val="both"/>
        <w:rPr>
          <w:rFonts w:ascii="Times New Roman" w:eastAsia="Times New Roman" w:hAnsi="Times New Roman" w:cs="Times New Roman"/>
          <w:sz w:val="24"/>
          <w:szCs w:val="24"/>
          <w:lang w:eastAsia="lv-LV"/>
        </w:rPr>
      </w:pPr>
    </w:p>
    <w:tbl>
      <w:tblPr>
        <w:tblpPr w:leftFromText="180" w:rightFromText="180" w:vertAnchor="text" w:horzAnchor="margin"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699"/>
        <w:gridCol w:w="6095"/>
      </w:tblGrid>
      <w:tr w:rsidR="004D4104" w:rsidRPr="004D4104" w:rsidTr="00D17078">
        <w:tc>
          <w:tcPr>
            <w:tcW w:w="9219" w:type="dxa"/>
            <w:gridSpan w:val="3"/>
            <w:vAlign w:val="center"/>
          </w:tcPr>
          <w:p w:rsidR="004D4104" w:rsidRPr="004D4104" w:rsidRDefault="004D4104" w:rsidP="004D4104">
            <w:pPr>
              <w:spacing w:after="0" w:line="240" w:lineRule="auto"/>
              <w:jc w:val="center"/>
              <w:rPr>
                <w:rFonts w:ascii="Times New Roman" w:eastAsia="Times New Roman" w:hAnsi="Times New Roman" w:cs="Times New Roman"/>
                <w:b/>
                <w:bCs/>
                <w:sz w:val="24"/>
                <w:szCs w:val="24"/>
                <w:lang w:eastAsia="lv-LV"/>
              </w:rPr>
            </w:pPr>
            <w:r w:rsidRPr="004D410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D4104" w:rsidRPr="004D4104" w:rsidTr="00D17078">
        <w:trPr>
          <w:trHeight w:val="467"/>
        </w:trPr>
        <w:tc>
          <w:tcPr>
            <w:tcW w:w="425" w:type="dxa"/>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1.</w:t>
            </w:r>
          </w:p>
        </w:tc>
        <w:tc>
          <w:tcPr>
            <w:tcW w:w="2699" w:type="dxa"/>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Sabiedrības mērķgrupas, kuras tiesiskais regulējums ietekmē vai varētu ietekmēt</w:t>
            </w:r>
          </w:p>
        </w:tc>
        <w:tc>
          <w:tcPr>
            <w:tcW w:w="6095" w:type="dxa"/>
          </w:tcPr>
          <w:p w:rsidR="004D4104" w:rsidRPr="004D4104" w:rsidRDefault="004D4104" w:rsidP="004D4104">
            <w:pPr>
              <w:spacing w:after="0" w:line="240" w:lineRule="auto"/>
              <w:ind w:firstLine="425"/>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Likumprojektā ietvertais regulējums aptver sabiedrību kopumā (pēc Centrālās statistikas pārvaldes dat</w:t>
            </w:r>
            <w:r w:rsidR="00CB406F">
              <w:rPr>
                <w:rFonts w:ascii="Times New Roman" w:eastAsia="Times New Roman" w:hAnsi="Times New Roman" w:cs="Times New Roman"/>
                <w:sz w:val="24"/>
                <w:szCs w:val="24"/>
                <w:lang w:eastAsia="lv-LV"/>
              </w:rPr>
              <w:t>iem Latvijā uz 2014.gada 1.janvāri bija 2 001 468</w:t>
            </w:r>
            <w:r w:rsidRPr="004D4104">
              <w:rPr>
                <w:rFonts w:ascii="Times New Roman" w:eastAsia="Times New Roman" w:hAnsi="Times New Roman" w:cs="Times New Roman"/>
                <w:sz w:val="24"/>
                <w:szCs w:val="24"/>
                <w:lang w:eastAsia="lv-LV"/>
              </w:rPr>
              <w:t xml:space="preserve"> iedzīvotāju). </w:t>
            </w:r>
          </w:p>
          <w:p w:rsidR="004D4104" w:rsidRPr="004D4104" w:rsidRDefault="004D4104" w:rsidP="004D4104">
            <w:pPr>
              <w:spacing w:after="0" w:line="240" w:lineRule="auto"/>
              <w:ind w:firstLine="425"/>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Likumprojekts attiecas uz zvērinātiem tiesu izpildītājiem. Atbilstoši Ministru kabineta 2010.gada 19.janvāra noteikumiem Nr.66 „</w:t>
            </w:r>
            <w:r w:rsidRPr="004D4104">
              <w:rPr>
                <w:rFonts w:ascii="Times New Roman" w:eastAsia="Times New Roman" w:hAnsi="Times New Roman" w:cs="Times New Roman"/>
                <w:bCs/>
                <w:sz w:val="24"/>
                <w:szCs w:val="24"/>
                <w:lang w:eastAsia="lv-LV"/>
              </w:rPr>
              <w:t>Noteikumi par zvērinātu tiesu izpildītāju skaitu, viņu amata vietām, iecirkņiem un to robežām”</w:t>
            </w:r>
            <w:r w:rsidRPr="004D4104">
              <w:rPr>
                <w:rFonts w:ascii="Times New Roman" w:eastAsia="Times New Roman" w:hAnsi="Times New Roman" w:cs="Times New Roman"/>
                <w:sz w:val="24"/>
                <w:szCs w:val="24"/>
                <w:lang w:eastAsia="lv-LV"/>
              </w:rPr>
              <w:t xml:space="preserve"> maksimālais zvērinātu tiesu izpildītāju skaits – 116.</w:t>
            </w:r>
            <w:r w:rsidRPr="004D4104" w:rsidDel="00E46E2E">
              <w:rPr>
                <w:rFonts w:ascii="Times New Roman" w:eastAsia="Times New Roman" w:hAnsi="Times New Roman" w:cs="Times New Roman"/>
                <w:sz w:val="24"/>
                <w:szCs w:val="24"/>
                <w:lang w:eastAsia="lv-LV"/>
              </w:rPr>
              <w:t xml:space="preserve"> </w:t>
            </w:r>
            <w:r w:rsidRPr="004D4104">
              <w:rPr>
                <w:rFonts w:ascii="Times New Roman" w:eastAsia="Times New Roman" w:hAnsi="Times New Roman" w:cs="Times New Roman"/>
                <w:sz w:val="24"/>
                <w:szCs w:val="24"/>
                <w:lang w:eastAsia="lv-LV"/>
              </w:rPr>
              <w:t xml:space="preserve">Likumprojektā ietvertais regulējums varētu ietekmēt arī ārvalstniekus, kuri vēlēsies sakārtot savas tiesības uz viņiem pienākošos mantojuma daļu, izmantojot mantojuma apsardzības līdzekļus. Minētās sabiedrības grupas aptuvenais skaitliskais lielums nav nosakāms, jo nav iespējams precīzi prognozēt, cik ārvalstnieku varētu lūgt veikt mantojuma apsardzības darbības. </w:t>
            </w:r>
          </w:p>
        </w:tc>
      </w:tr>
      <w:tr w:rsidR="004D4104" w:rsidRPr="004D4104" w:rsidTr="00D17078">
        <w:trPr>
          <w:trHeight w:val="523"/>
        </w:trPr>
        <w:tc>
          <w:tcPr>
            <w:tcW w:w="425" w:type="dxa"/>
          </w:tcPr>
          <w:p w:rsidR="004D4104" w:rsidRPr="004D4104" w:rsidRDefault="004D4104" w:rsidP="004D4104">
            <w:pPr>
              <w:spacing w:after="0" w:line="240" w:lineRule="auto"/>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2.</w:t>
            </w:r>
          </w:p>
        </w:tc>
        <w:tc>
          <w:tcPr>
            <w:tcW w:w="2699" w:type="dxa"/>
          </w:tcPr>
          <w:p w:rsidR="004D4104" w:rsidRPr="004D4104" w:rsidRDefault="004D4104" w:rsidP="004D4104">
            <w:pPr>
              <w:spacing w:after="0" w:line="240" w:lineRule="auto"/>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Tiesiskā regulējuma ietekme uz tautsaimniecību un administratīvo slogu</w:t>
            </w:r>
          </w:p>
        </w:tc>
        <w:tc>
          <w:tcPr>
            <w:tcW w:w="6095" w:type="dxa"/>
          </w:tcPr>
          <w:p w:rsidR="004D4104" w:rsidRPr="004D4104" w:rsidRDefault="0003196E" w:rsidP="004D4104">
            <w:pPr>
              <w:spacing w:after="0" w:line="240" w:lineRule="auto"/>
              <w:ind w:firstLine="425"/>
              <w:jc w:val="both"/>
              <w:rPr>
                <w:rFonts w:ascii="Times New Roman" w:eastAsia="Times New Roman" w:hAnsi="Times New Roman" w:cs="Times New Roman"/>
                <w:sz w:val="24"/>
                <w:szCs w:val="24"/>
                <w:lang w:eastAsia="lv-LV"/>
              </w:rPr>
            </w:pPr>
            <w:r w:rsidRPr="0003196E">
              <w:rPr>
                <w:rFonts w:ascii="Times New Roman" w:eastAsia="Times New Roman" w:hAnsi="Times New Roman" w:cs="Times New Roman"/>
                <w:sz w:val="24"/>
                <w:szCs w:val="24"/>
                <w:lang w:eastAsia="lv-LV"/>
              </w:rPr>
              <w:t>Likumprojekts būtiski nemaina administratīvo slogu.  Regulējums nodrošinās skaidru un nepārprotamu mantojuma apsardzības procesuālo izpildes kārtību.</w:t>
            </w:r>
          </w:p>
        </w:tc>
      </w:tr>
      <w:tr w:rsidR="004D4104" w:rsidRPr="004D4104" w:rsidTr="00D17078">
        <w:trPr>
          <w:trHeight w:val="357"/>
        </w:trPr>
        <w:tc>
          <w:tcPr>
            <w:tcW w:w="425" w:type="dxa"/>
          </w:tcPr>
          <w:p w:rsidR="004D4104" w:rsidRPr="004D4104" w:rsidRDefault="004D4104" w:rsidP="004D4104">
            <w:pPr>
              <w:spacing w:after="0" w:line="240" w:lineRule="auto"/>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3.</w:t>
            </w:r>
          </w:p>
        </w:tc>
        <w:tc>
          <w:tcPr>
            <w:tcW w:w="2699" w:type="dxa"/>
          </w:tcPr>
          <w:p w:rsidR="004D4104" w:rsidRPr="004D4104" w:rsidRDefault="004D4104" w:rsidP="004D4104">
            <w:pPr>
              <w:spacing w:after="0" w:line="240" w:lineRule="auto"/>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Administratīvo izmaksu monetārs novērtējums</w:t>
            </w:r>
          </w:p>
        </w:tc>
        <w:tc>
          <w:tcPr>
            <w:tcW w:w="6095" w:type="dxa"/>
          </w:tcPr>
          <w:p w:rsidR="004D4104" w:rsidRPr="004D4104" w:rsidRDefault="004D4104" w:rsidP="004D4104">
            <w:pPr>
              <w:spacing w:after="0" w:line="240" w:lineRule="auto"/>
              <w:ind w:firstLine="425"/>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Likumprojekts šo jomu neskar.</w:t>
            </w:r>
          </w:p>
        </w:tc>
      </w:tr>
      <w:tr w:rsidR="004D4104" w:rsidRPr="004D4104" w:rsidTr="00D17078">
        <w:trPr>
          <w:trHeight w:val="288"/>
        </w:trPr>
        <w:tc>
          <w:tcPr>
            <w:tcW w:w="425" w:type="dxa"/>
          </w:tcPr>
          <w:p w:rsidR="004D4104" w:rsidRPr="004D4104" w:rsidRDefault="004D4104" w:rsidP="004D4104">
            <w:pPr>
              <w:spacing w:after="0" w:line="240" w:lineRule="auto"/>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4.</w:t>
            </w:r>
          </w:p>
        </w:tc>
        <w:tc>
          <w:tcPr>
            <w:tcW w:w="2699" w:type="dxa"/>
          </w:tcPr>
          <w:p w:rsidR="004D4104" w:rsidRPr="004D4104" w:rsidRDefault="004D4104" w:rsidP="004D4104">
            <w:pPr>
              <w:spacing w:after="0" w:line="240" w:lineRule="auto"/>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Cita informācija</w:t>
            </w:r>
          </w:p>
        </w:tc>
        <w:tc>
          <w:tcPr>
            <w:tcW w:w="6095" w:type="dxa"/>
          </w:tcPr>
          <w:p w:rsidR="004D4104" w:rsidRPr="004D4104" w:rsidRDefault="004D4104" w:rsidP="004D4104">
            <w:pPr>
              <w:spacing w:after="0" w:line="240" w:lineRule="auto"/>
              <w:ind w:firstLine="431"/>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w:t>
            </w:r>
          </w:p>
        </w:tc>
      </w:tr>
    </w:tbl>
    <w:p w:rsidR="004D4104" w:rsidRPr="004D4104" w:rsidRDefault="004D4104" w:rsidP="004D4104">
      <w:pPr>
        <w:spacing w:after="0" w:line="240" w:lineRule="auto"/>
        <w:ind w:firstLine="375"/>
        <w:jc w:val="both"/>
        <w:rPr>
          <w:rFonts w:ascii="Times New Roman" w:eastAsia="Times New Roman" w:hAnsi="Times New Roman" w:cs="Times New Roman"/>
          <w:sz w:val="24"/>
          <w:szCs w:val="24"/>
          <w:lang w:eastAsia="lv-LV"/>
        </w:rPr>
      </w:pPr>
    </w:p>
    <w:tbl>
      <w:tblPr>
        <w:tblW w:w="50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21"/>
        <w:gridCol w:w="1305"/>
        <w:gridCol w:w="1305"/>
        <w:gridCol w:w="1305"/>
        <w:gridCol w:w="1305"/>
        <w:gridCol w:w="1303"/>
      </w:tblGrid>
      <w:tr w:rsidR="004D4104" w:rsidRPr="004D4104" w:rsidTr="00D17078">
        <w:tc>
          <w:tcPr>
            <w:tcW w:w="5000" w:type="pct"/>
            <w:gridSpan w:val="6"/>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jc w:val="center"/>
              <w:rPr>
                <w:rFonts w:ascii="Times New Roman" w:eastAsia="Times New Roman" w:hAnsi="Times New Roman" w:cs="Times New Roman"/>
                <w:b/>
                <w:bCs/>
                <w:sz w:val="24"/>
                <w:szCs w:val="24"/>
                <w:lang w:eastAsia="lv-LV"/>
              </w:rPr>
            </w:pPr>
            <w:r w:rsidRPr="004D4104">
              <w:rPr>
                <w:rFonts w:ascii="Times New Roman" w:eastAsia="Times New Roman" w:hAnsi="Times New Roman" w:cs="Times New Roman"/>
                <w:b/>
                <w:bCs/>
                <w:sz w:val="24"/>
                <w:szCs w:val="24"/>
                <w:lang w:eastAsia="lv-LV"/>
              </w:rPr>
              <w:t>III. Tiesību akta projekta ietekme uz valsts budžetu un pašvaldību budžetiem</w:t>
            </w:r>
          </w:p>
        </w:tc>
      </w:tr>
      <w:tr w:rsidR="00651DEB" w:rsidRPr="004D4104" w:rsidTr="00651DEB">
        <w:tc>
          <w:tcPr>
            <w:tcW w:w="1471" w:type="pct"/>
            <w:vMerge w:val="restar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b/>
                <w:bCs/>
                <w:sz w:val="24"/>
                <w:szCs w:val="24"/>
                <w:lang w:eastAsia="lv-LV"/>
              </w:rPr>
            </w:pPr>
            <w:r w:rsidRPr="004D4104">
              <w:rPr>
                <w:rFonts w:ascii="Times New Roman" w:eastAsia="Times New Roman" w:hAnsi="Times New Roman" w:cs="Times New Roman"/>
                <w:b/>
                <w:bCs/>
                <w:sz w:val="24"/>
                <w:szCs w:val="24"/>
                <w:lang w:eastAsia="lv-LV"/>
              </w:rPr>
              <w:t>Rādītāji</w:t>
            </w:r>
          </w:p>
        </w:tc>
        <w:tc>
          <w:tcPr>
            <w:tcW w:w="1412" w:type="pct"/>
            <w:gridSpan w:val="2"/>
            <w:vMerge w:val="restar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b/>
                <w:bCs/>
                <w:sz w:val="24"/>
                <w:szCs w:val="24"/>
                <w:lang w:eastAsia="lv-LV"/>
              </w:rPr>
            </w:pPr>
            <w:proofErr w:type="gramStart"/>
            <w:r w:rsidRPr="004D4104">
              <w:rPr>
                <w:rFonts w:ascii="Times New Roman" w:eastAsia="Times New Roman" w:hAnsi="Times New Roman" w:cs="Times New Roman"/>
                <w:b/>
                <w:bCs/>
                <w:sz w:val="24"/>
                <w:szCs w:val="24"/>
                <w:lang w:eastAsia="lv-LV"/>
              </w:rPr>
              <w:t>201</w:t>
            </w:r>
            <w:r w:rsidR="00D17078">
              <w:rPr>
                <w:rFonts w:ascii="Times New Roman" w:eastAsia="Times New Roman" w:hAnsi="Times New Roman" w:cs="Times New Roman"/>
                <w:b/>
                <w:bCs/>
                <w:sz w:val="24"/>
                <w:szCs w:val="24"/>
                <w:lang w:eastAsia="lv-LV"/>
              </w:rPr>
              <w:t>5</w:t>
            </w:r>
            <w:r w:rsidRPr="004D4104">
              <w:rPr>
                <w:rFonts w:ascii="Times New Roman" w:eastAsia="Times New Roman" w:hAnsi="Times New Roman" w:cs="Times New Roman"/>
                <w:b/>
                <w:bCs/>
                <w:sz w:val="24"/>
                <w:szCs w:val="24"/>
                <w:lang w:eastAsia="lv-LV"/>
              </w:rPr>
              <w:t>.gads</w:t>
            </w:r>
            <w:proofErr w:type="gramEnd"/>
          </w:p>
        </w:tc>
        <w:tc>
          <w:tcPr>
            <w:tcW w:w="2117" w:type="pct"/>
            <w:gridSpan w:val="3"/>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651DEB">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 xml:space="preserve">Turpmākie trīs gadi (tūkst. </w:t>
            </w:r>
            <w:r w:rsidR="00651DEB" w:rsidRPr="00D17078">
              <w:rPr>
                <w:rFonts w:ascii="Times New Roman" w:eastAsia="Times New Roman" w:hAnsi="Times New Roman" w:cs="Times New Roman"/>
                <w:i/>
                <w:sz w:val="24"/>
                <w:szCs w:val="24"/>
                <w:lang w:eastAsia="lv-LV"/>
              </w:rPr>
              <w:t>euro</w:t>
            </w:r>
            <w:r w:rsidRPr="004D4104">
              <w:rPr>
                <w:rFonts w:ascii="Times New Roman" w:eastAsia="Times New Roman" w:hAnsi="Times New Roman" w:cs="Times New Roman"/>
                <w:sz w:val="24"/>
                <w:szCs w:val="24"/>
                <w:lang w:eastAsia="lv-LV"/>
              </w:rPr>
              <w:t>)</w:t>
            </w:r>
          </w:p>
        </w:tc>
      </w:tr>
      <w:tr w:rsidR="00651DEB" w:rsidRPr="004D4104" w:rsidTr="00D17078">
        <w:tc>
          <w:tcPr>
            <w:tcW w:w="1471" w:type="pct"/>
            <w:vMerge/>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rPr>
                <w:rFonts w:ascii="Times New Roman" w:eastAsia="Times New Roman" w:hAnsi="Times New Roman" w:cs="Times New Roman"/>
                <w:b/>
                <w:bCs/>
                <w:sz w:val="24"/>
                <w:szCs w:val="24"/>
                <w:lang w:eastAsia="lv-LV"/>
              </w:rPr>
            </w:pPr>
          </w:p>
        </w:tc>
        <w:tc>
          <w:tcPr>
            <w:tcW w:w="1412" w:type="pct"/>
            <w:gridSpan w:val="2"/>
            <w:vMerge/>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rPr>
                <w:rFonts w:ascii="Times New Roman" w:eastAsia="Times New Roman" w:hAnsi="Times New Roman" w:cs="Times New Roman"/>
                <w:b/>
                <w:bCs/>
                <w:sz w:val="24"/>
                <w:szCs w:val="24"/>
                <w:lang w:eastAsia="lv-LV"/>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b/>
                <w:bCs/>
                <w:sz w:val="24"/>
                <w:szCs w:val="24"/>
                <w:lang w:eastAsia="lv-LV"/>
              </w:rPr>
            </w:pPr>
            <w:r w:rsidRPr="004D4104">
              <w:rPr>
                <w:rFonts w:ascii="Times New Roman" w:eastAsia="Times New Roman" w:hAnsi="Times New Roman" w:cs="Times New Roman"/>
                <w:b/>
                <w:bCs/>
                <w:sz w:val="24"/>
                <w:szCs w:val="24"/>
                <w:lang w:eastAsia="lv-LV"/>
              </w:rPr>
              <w:t>201</w:t>
            </w:r>
            <w:r w:rsidR="00D17078">
              <w:rPr>
                <w:rFonts w:ascii="Times New Roman" w:eastAsia="Times New Roman" w:hAnsi="Times New Roman" w:cs="Times New Roman"/>
                <w:b/>
                <w:bCs/>
                <w:sz w:val="24"/>
                <w:szCs w:val="24"/>
                <w:lang w:eastAsia="lv-LV"/>
              </w:rPr>
              <w:t>6</w:t>
            </w:r>
            <w:r w:rsidR="005E1C63">
              <w:rPr>
                <w:rFonts w:ascii="Times New Roman" w:eastAsia="Times New Roman" w:hAnsi="Times New Roman" w:cs="Times New Roman"/>
                <w:b/>
                <w:bCs/>
                <w:sz w:val="24"/>
                <w:szCs w:val="24"/>
                <w:lang w:eastAsia="lv-LV"/>
              </w:rPr>
              <w:t>.</w:t>
            </w:r>
          </w:p>
        </w:tc>
        <w:tc>
          <w:tcPr>
            <w:tcW w:w="706"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b/>
                <w:bCs/>
                <w:sz w:val="24"/>
                <w:szCs w:val="24"/>
                <w:lang w:eastAsia="lv-LV"/>
              </w:rPr>
            </w:pPr>
            <w:r w:rsidRPr="004D4104">
              <w:rPr>
                <w:rFonts w:ascii="Times New Roman" w:eastAsia="Times New Roman" w:hAnsi="Times New Roman" w:cs="Times New Roman"/>
                <w:b/>
                <w:bCs/>
                <w:sz w:val="24"/>
                <w:szCs w:val="24"/>
                <w:lang w:eastAsia="lv-LV"/>
              </w:rPr>
              <w:t>201</w:t>
            </w:r>
            <w:r w:rsidR="00D17078">
              <w:rPr>
                <w:rFonts w:ascii="Times New Roman" w:eastAsia="Times New Roman" w:hAnsi="Times New Roman" w:cs="Times New Roman"/>
                <w:b/>
                <w:bCs/>
                <w:sz w:val="24"/>
                <w:szCs w:val="24"/>
                <w:lang w:eastAsia="lv-LV"/>
              </w:rPr>
              <w:t>7</w:t>
            </w:r>
            <w:r w:rsidR="005E1C63">
              <w:rPr>
                <w:rFonts w:ascii="Times New Roman" w:eastAsia="Times New Roman" w:hAnsi="Times New Roman" w:cs="Times New Roman"/>
                <w:b/>
                <w:bCs/>
                <w:sz w:val="24"/>
                <w:szCs w:val="24"/>
                <w:lang w:eastAsia="lv-LV"/>
              </w:rPr>
              <w:t>.</w:t>
            </w:r>
          </w:p>
        </w:tc>
        <w:tc>
          <w:tcPr>
            <w:tcW w:w="705"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b/>
                <w:bCs/>
                <w:sz w:val="24"/>
                <w:szCs w:val="24"/>
                <w:lang w:eastAsia="lv-LV"/>
              </w:rPr>
            </w:pPr>
            <w:r w:rsidRPr="004D4104">
              <w:rPr>
                <w:rFonts w:ascii="Times New Roman" w:eastAsia="Times New Roman" w:hAnsi="Times New Roman" w:cs="Times New Roman"/>
                <w:b/>
                <w:bCs/>
                <w:sz w:val="24"/>
                <w:szCs w:val="24"/>
                <w:lang w:eastAsia="lv-LV"/>
              </w:rPr>
              <w:t>201</w:t>
            </w:r>
            <w:r w:rsidR="00D17078">
              <w:rPr>
                <w:rFonts w:ascii="Times New Roman" w:eastAsia="Times New Roman" w:hAnsi="Times New Roman" w:cs="Times New Roman"/>
                <w:b/>
                <w:bCs/>
                <w:sz w:val="24"/>
                <w:szCs w:val="24"/>
                <w:lang w:eastAsia="lv-LV"/>
              </w:rPr>
              <w:t>8</w:t>
            </w:r>
            <w:r w:rsidR="005E1C63">
              <w:rPr>
                <w:rFonts w:ascii="Times New Roman" w:eastAsia="Times New Roman" w:hAnsi="Times New Roman" w:cs="Times New Roman"/>
                <w:b/>
                <w:bCs/>
                <w:sz w:val="24"/>
                <w:szCs w:val="24"/>
                <w:lang w:eastAsia="lv-LV"/>
              </w:rPr>
              <w:t>.</w:t>
            </w:r>
          </w:p>
        </w:tc>
      </w:tr>
      <w:tr w:rsidR="00651DEB" w:rsidRPr="004D4104" w:rsidTr="00D17078">
        <w:tc>
          <w:tcPr>
            <w:tcW w:w="1471" w:type="pct"/>
            <w:vMerge/>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rPr>
                <w:rFonts w:ascii="Times New Roman" w:eastAsia="Times New Roman" w:hAnsi="Times New Roman" w:cs="Times New Roman"/>
                <w:b/>
                <w:bCs/>
                <w:sz w:val="24"/>
                <w:szCs w:val="24"/>
                <w:lang w:eastAsia="lv-LV"/>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Saskaņā ar valsts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Izmaiņas, salīdzinot ar kārtējo (n) gadu</w:t>
            </w:r>
          </w:p>
        </w:tc>
        <w:tc>
          <w:tcPr>
            <w:tcW w:w="705"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Izmaiņas, salīdzinot ar kārtējo (n) gadu</w:t>
            </w: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1</w:t>
            </w:r>
          </w:p>
        </w:tc>
        <w:tc>
          <w:tcPr>
            <w:tcW w:w="706"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2</w:t>
            </w:r>
          </w:p>
        </w:tc>
        <w:tc>
          <w:tcPr>
            <w:tcW w:w="706"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3</w:t>
            </w:r>
          </w:p>
        </w:tc>
        <w:tc>
          <w:tcPr>
            <w:tcW w:w="706"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4</w:t>
            </w:r>
          </w:p>
        </w:tc>
        <w:tc>
          <w:tcPr>
            <w:tcW w:w="706"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5</w:t>
            </w:r>
          </w:p>
        </w:tc>
        <w:tc>
          <w:tcPr>
            <w:tcW w:w="705"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6</w:t>
            </w: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1. Budžeta ieņēmumi:</w:t>
            </w:r>
          </w:p>
        </w:tc>
        <w:tc>
          <w:tcPr>
            <w:tcW w:w="706" w:type="pct"/>
            <w:vMerge w:val="restar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val="restar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val="restar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val="restar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val="restar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p>
        </w:tc>
        <w:tc>
          <w:tcPr>
            <w:tcW w:w="706" w:type="pct"/>
            <w:vMerge/>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1.2. valsts speciālais budžets</w:t>
            </w: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outset" w:sz="6" w:space="0" w:color="000000"/>
              <w:left w:val="outset" w:sz="6" w:space="0" w:color="000000"/>
              <w:bottom w:val="single" w:sz="4" w:space="0" w:color="auto"/>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1.3. pašvaldību budžets</w:t>
            </w:r>
          </w:p>
        </w:tc>
        <w:tc>
          <w:tcPr>
            <w:tcW w:w="706" w:type="pct"/>
            <w:vMerge/>
            <w:tcBorders>
              <w:left w:val="outset" w:sz="6" w:space="0" w:color="000000"/>
              <w:bottom w:val="single" w:sz="4" w:space="0" w:color="auto"/>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bottom w:val="single" w:sz="4" w:space="0" w:color="auto"/>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bottom w:val="single" w:sz="4" w:space="0" w:color="auto"/>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bottom w:val="single" w:sz="4" w:space="0" w:color="auto"/>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left w:val="outset" w:sz="6" w:space="0" w:color="000000"/>
              <w:bottom w:val="single" w:sz="4" w:space="0" w:color="auto"/>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single" w:sz="4" w:space="0" w:color="auto"/>
              <w:left w:val="single" w:sz="4" w:space="0" w:color="auto"/>
              <w:bottom w:val="single" w:sz="4" w:space="0" w:color="auto"/>
              <w:right w:val="single" w:sz="4" w:space="0" w:color="auto"/>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2. Budžeta izdevumi:</w:t>
            </w:r>
          </w:p>
        </w:tc>
        <w:tc>
          <w:tcPr>
            <w:tcW w:w="706" w:type="pct"/>
            <w:vMerge w:val="restart"/>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val="restart"/>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val="restart"/>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val="restart"/>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val="restart"/>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single" w:sz="4" w:space="0" w:color="auto"/>
              <w:left w:val="single" w:sz="4" w:space="0" w:color="auto"/>
              <w:bottom w:val="single" w:sz="4" w:space="0" w:color="auto"/>
              <w:right w:val="single" w:sz="4" w:space="0" w:color="auto"/>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2.1. valsts pamatbudžets</w:t>
            </w: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single" w:sz="4" w:space="0" w:color="auto"/>
              <w:left w:val="single" w:sz="4" w:space="0" w:color="auto"/>
              <w:bottom w:val="single" w:sz="4" w:space="0" w:color="auto"/>
              <w:right w:val="single" w:sz="4" w:space="0" w:color="auto"/>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2.2. valsts speciālais budžets</w:t>
            </w: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single" w:sz="4" w:space="0" w:color="auto"/>
              <w:left w:val="single" w:sz="4" w:space="0" w:color="auto"/>
              <w:bottom w:val="single" w:sz="4" w:space="0" w:color="auto"/>
              <w:right w:val="single" w:sz="4" w:space="0" w:color="auto"/>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2.3. pašvaldību budžets</w:t>
            </w: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single" w:sz="4" w:space="0" w:color="auto"/>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3. Finansiālā ietekme:</w:t>
            </w:r>
          </w:p>
        </w:tc>
        <w:tc>
          <w:tcPr>
            <w:tcW w:w="706" w:type="pct"/>
            <w:vMerge w:val="restart"/>
            <w:tcBorders>
              <w:top w:val="single" w:sz="4" w:space="0" w:color="auto"/>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val="restart"/>
            <w:tcBorders>
              <w:top w:val="single" w:sz="4" w:space="0" w:color="auto"/>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highlight w:val="yellow"/>
                <w:lang w:eastAsia="lv-LV"/>
              </w:rPr>
            </w:pPr>
          </w:p>
        </w:tc>
        <w:tc>
          <w:tcPr>
            <w:tcW w:w="706" w:type="pct"/>
            <w:vMerge w:val="restart"/>
            <w:tcBorders>
              <w:top w:val="single" w:sz="4" w:space="0" w:color="auto"/>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val="restart"/>
            <w:tcBorders>
              <w:top w:val="single" w:sz="4" w:space="0" w:color="auto"/>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val="restart"/>
            <w:tcBorders>
              <w:top w:val="single" w:sz="4" w:space="0" w:color="auto"/>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3.1. valsts pamatbudžets</w:t>
            </w: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highlight w:val="yellow"/>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3.2. speciālais budžets</w:t>
            </w: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3.3. pašvaldību budžets</w:t>
            </w:r>
          </w:p>
        </w:tc>
        <w:tc>
          <w:tcPr>
            <w:tcW w:w="706" w:type="pct"/>
            <w:vMerge/>
            <w:tcBorders>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rPr>
          <w:trHeight w:val="1400"/>
        </w:trPr>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4. Finanšu līdzekļi papildu izde</w:t>
            </w:r>
            <w:r w:rsidRPr="004D4104">
              <w:rPr>
                <w:rFonts w:ascii="Times New Roman" w:eastAsia="Times New Roman" w:hAnsi="Times New Roman" w:cs="Times New Roman"/>
                <w:sz w:val="24"/>
                <w:szCs w:val="24"/>
                <w:lang w:eastAsia="lv-LV"/>
              </w:rPr>
              <w:softHyphen/>
              <w:t>vumu finansēšanai (kompensējošu izdevumu samazinājumu norāda ar "+" zīmi)</w:t>
            </w:r>
          </w:p>
        </w:tc>
        <w:tc>
          <w:tcPr>
            <w:tcW w:w="706" w:type="pc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X</w:t>
            </w:r>
          </w:p>
        </w:tc>
        <w:tc>
          <w:tcPr>
            <w:tcW w:w="706" w:type="pc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5. Precizēta finansiālā ietekme:</w:t>
            </w:r>
          </w:p>
        </w:tc>
        <w:tc>
          <w:tcPr>
            <w:tcW w:w="706" w:type="pct"/>
            <w:vMerge w:val="restar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X</w:t>
            </w:r>
          </w:p>
        </w:tc>
        <w:tc>
          <w:tcPr>
            <w:tcW w:w="706" w:type="pct"/>
            <w:vMerge w:val="restar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val="restar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val="restar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val="restart"/>
            <w:tcBorders>
              <w:top w:val="outset" w:sz="6" w:space="0" w:color="000000"/>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5.1. valsts pamatbudžets</w:t>
            </w:r>
          </w:p>
        </w:tc>
        <w:tc>
          <w:tcPr>
            <w:tcW w:w="706" w:type="pct"/>
            <w:vMerge/>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5.2. speciālais budžets</w:t>
            </w:r>
          </w:p>
        </w:tc>
        <w:tc>
          <w:tcPr>
            <w:tcW w:w="706" w:type="pct"/>
            <w:vMerge/>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left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651DEB"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5.3. pašvaldību budžets</w:t>
            </w:r>
          </w:p>
        </w:tc>
        <w:tc>
          <w:tcPr>
            <w:tcW w:w="706" w:type="pct"/>
            <w:vMerge/>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6" w:type="pct"/>
            <w:vMerge/>
            <w:tcBorders>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c>
          <w:tcPr>
            <w:tcW w:w="705" w:type="pct"/>
            <w:vMerge/>
            <w:tcBorders>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p>
        </w:tc>
      </w:tr>
      <w:tr w:rsidR="004D4104"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6. Detalizēts ieņēmumu un izdevu</w:t>
            </w:r>
            <w:r w:rsidRPr="004D4104">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3529" w:type="pct"/>
            <w:gridSpan w:val="5"/>
            <w:vMerge w:val="restart"/>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jc w:val="center"/>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 attiecināms</w:t>
            </w:r>
          </w:p>
          <w:p w:rsidR="004D4104" w:rsidRPr="004D4104" w:rsidRDefault="004D4104" w:rsidP="004D4104">
            <w:pPr>
              <w:spacing w:after="0" w:line="240" w:lineRule="auto"/>
              <w:ind w:firstLine="720"/>
              <w:jc w:val="both"/>
              <w:rPr>
                <w:rFonts w:ascii="Times New Roman" w:eastAsia="Times New Roman" w:hAnsi="Times New Roman" w:cs="Times New Roman"/>
                <w:sz w:val="24"/>
                <w:szCs w:val="24"/>
                <w:lang w:eastAsia="lv-LV"/>
              </w:rPr>
            </w:pPr>
          </w:p>
        </w:tc>
      </w:tr>
      <w:tr w:rsidR="004D4104"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6.1. detalizēts ieņēmumu aprēķins</w:t>
            </w:r>
          </w:p>
        </w:tc>
        <w:tc>
          <w:tcPr>
            <w:tcW w:w="3529" w:type="pct"/>
            <w:gridSpan w:val="5"/>
            <w:vMerge/>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p>
        </w:tc>
      </w:tr>
      <w:tr w:rsidR="004D4104"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6.2. detalizēts izdevumu aprēķins</w:t>
            </w:r>
          </w:p>
        </w:tc>
        <w:tc>
          <w:tcPr>
            <w:tcW w:w="3529" w:type="pct"/>
            <w:gridSpan w:val="5"/>
            <w:vMerge/>
            <w:tcBorders>
              <w:top w:val="outset" w:sz="6" w:space="0" w:color="000000"/>
              <w:left w:val="outset" w:sz="6" w:space="0" w:color="000000"/>
              <w:bottom w:val="outset" w:sz="6" w:space="0" w:color="000000"/>
              <w:right w:val="outset" w:sz="6" w:space="0" w:color="000000"/>
            </w:tcBorders>
            <w:vAlign w:val="center"/>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p>
        </w:tc>
      </w:tr>
      <w:tr w:rsidR="004D4104" w:rsidRPr="004D4104" w:rsidTr="00D17078">
        <w:tc>
          <w:tcPr>
            <w:tcW w:w="1471" w:type="pct"/>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7. Cita informācija</w:t>
            </w:r>
          </w:p>
        </w:tc>
        <w:tc>
          <w:tcPr>
            <w:tcW w:w="3529" w:type="pct"/>
            <w:gridSpan w:val="5"/>
            <w:tcBorders>
              <w:top w:val="outset" w:sz="6" w:space="0" w:color="000000"/>
              <w:left w:val="outset" w:sz="6" w:space="0" w:color="000000"/>
              <w:bottom w:val="outset" w:sz="6" w:space="0" w:color="000000"/>
              <w:right w:val="outset" w:sz="6" w:space="0" w:color="000000"/>
            </w:tcBorders>
          </w:tcPr>
          <w:p w:rsidR="004D4104" w:rsidRPr="004D4104" w:rsidRDefault="004D4104" w:rsidP="004D4104">
            <w:pPr>
              <w:spacing w:after="0" w:line="240" w:lineRule="auto"/>
              <w:ind w:firstLine="259"/>
              <w:jc w:val="both"/>
              <w:rPr>
                <w:rFonts w:ascii="Times New Roman" w:eastAsia="Times New Roman" w:hAnsi="Times New Roman" w:cs="Times New Roman"/>
                <w:iCs/>
                <w:sz w:val="24"/>
                <w:szCs w:val="24"/>
                <w:lang w:eastAsia="lv-LV"/>
              </w:rPr>
            </w:pPr>
            <w:r w:rsidRPr="004D4104">
              <w:rPr>
                <w:rFonts w:ascii="Times New Roman" w:eastAsia="Times New Roman" w:hAnsi="Times New Roman" w:cs="Times New Roman"/>
                <w:sz w:val="24"/>
                <w:szCs w:val="24"/>
                <w:lang w:eastAsia="lv-LV"/>
              </w:rPr>
              <w:t>Vēršam uzmanību, ka Civilprocesa likuma 41.nodaļa  „Mantojuma apsardzība un aizgādnība” i</w:t>
            </w:r>
            <w:r w:rsidRPr="004D4104">
              <w:rPr>
                <w:rFonts w:ascii="Times New Roman" w:eastAsia="Times New Roman" w:hAnsi="Times New Roman" w:cs="Times New Roman"/>
                <w:iCs/>
                <w:sz w:val="24"/>
                <w:szCs w:val="24"/>
                <w:lang w:eastAsia="lv-LV"/>
              </w:rPr>
              <w:t xml:space="preserve">zslēgta no Civilprocesa likuma 2012.gada 1.janvārī ar 2002.gada 31.oktobra likumu „Grozījumi Civilprocesa likumā”, kas stājas spēkā 2003.gada 1.janvārī (sk. Civilprocesa likuma Pārejas noteikumu 12.punktu), līdz ar to </w:t>
            </w:r>
            <w:r w:rsidRPr="004D4104">
              <w:rPr>
                <w:rFonts w:ascii="Times New Roman" w:eastAsia="Calibri" w:hAnsi="Times New Roman" w:cs="Times New Roman"/>
                <w:sz w:val="24"/>
                <w:szCs w:val="24"/>
              </w:rPr>
              <w:t>procesuālās normas par mantojuma apsardzības līdzekļiem vairs nav spēkā</w:t>
            </w:r>
            <w:r w:rsidRPr="004D4104">
              <w:rPr>
                <w:rFonts w:ascii="Times New Roman" w:eastAsia="Times New Roman" w:hAnsi="Times New Roman" w:cs="Times New Roman"/>
                <w:iCs/>
                <w:sz w:val="24"/>
                <w:szCs w:val="24"/>
                <w:lang w:eastAsia="lv-LV"/>
              </w:rPr>
              <w:t xml:space="preserve">. </w:t>
            </w:r>
          </w:p>
          <w:p w:rsidR="004D4104" w:rsidRPr="004D4104" w:rsidRDefault="004D4104" w:rsidP="004D4104">
            <w:pPr>
              <w:spacing w:after="0" w:line="240" w:lineRule="auto"/>
              <w:ind w:firstLine="259"/>
              <w:jc w:val="both"/>
              <w:rPr>
                <w:rFonts w:ascii="Times New Roman" w:eastAsia="Times New Roman" w:hAnsi="Times New Roman" w:cs="Times New Roman"/>
                <w:iCs/>
                <w:sz w:val="24"/>
                <w:szCs w:val="24"/>
                <w:lang w:eastAsia="lv-LV"/>
              </w:rPr>
            </w:pPr>
            <w:r w:rsidRPr="004D4104">
              <w:rPr>
                <w:rFonts w:ascii="Times New Roman" w:eastAsia="Times New Roman" w:hAnsi="Times New Roman" w:cs="Times New Roman"/>
                <w:iCs/>
                <w:sz w:val="24"/>
                <w:szCs w:val="24"/>
                <w:lang w:eastAsia="lv-LV"/>
              </w:rPr>
              <w:t>Aptuvenās izmaksas par vienas mantojuma apsardzības lietas vešanu nav iespējams prognozēt, jo izmaksas ir atkarīgas no mantojuma masas sastāva un tā vērtības kā arī nepieciešamo darbību veikšanas (piemēram, novērtēšana).</w:t>
            </w:r>
          </w:p>
          <w:p w:rsidR="004D4104" w:rsidRPr="00651DEB" w:rsidRDefault="004D4104" w:rsidP="00651DEB">
            <w:pPr>
              <w:spacing w:after="0" w:line="240" w:lineRule="auto"/>
              <w:ind w:firstLine="259"/>
              <w:jc w:val="both"/>
              <w:rPr>
                <w:rFonts w:ascii="Times New Roman" w:eastAsia="Times New Roman" w:hAnsi="Times New Roman" w:cs="Times New Roman"/>
                <w:iCs/>
                <w:sz w:val="24"/>
                <w:szCs w:val="24"/>
                <w:lang w:eastAsia="lv-LV"/>
              </w:rPr>
            </w:pPr>
            <w:r w:rsidRPr="004D4104">
              <w:rPr>
                <w:rFonts w:ascii="Times New Roman" w:eastAsia="Times New Roman" w:hAnsi="Times New Roman" w:cs="Times New Roman"/>
                <w:iCs/>
                <w:sz w:val="24"/>
                <w:szCs w:val="24"/>
                <w:lang w:eastAsia="lv-LV"/>
              </w:rPr>
              <w:t>Saskaņā ar Latvijas Zvērinātu notāru padomes sniegto informāciju no 2003.</w:t>
            </w:r>
            <w:r w:rsidRPr="004D4104">
              <w:rPr>
                <w:rFonts w:ascii="Times New Roman" w:eastAsia="Calibri" w:hAnsi="Times New Roman" w:cs="Times New Roman"/>
                <w:sz w:val="24"/>
                <w:szCs w:val="24"/>
              </w:rPr>
              <w:t>–</w:t>
            </w:r>
            <w:proofErr w:type="gramStart"/>
            <w:r w:rsidRPr="004D4104">
              <w:rPr>
                <w:rFonts w:ascii="Times New Roman" w:eastAsia="Times New Roman" w:hAnsi="Times New Roman" w:cs="Times New Roman"/>
                <w:iCs/>
                <w:sz w:val="24"/>
                <w:szCs w:val="24"/>
                <w:lang w:eastAsia="lv-LV"/>
              </w:rPr>
              <w:t>2012.gadam</w:t>
            </w:r>
            <w:proofErr w:type="gramEnd"/>
            <w:r w:rsidRPr="004D4104">
              <w:rPr>
                <w:rFonts w:ascii="Times New Roman" w:eastAsia="Times New Roman" w:hAnsi="Times New Roman" w:cs="Times New Roman"/>
                <w:iCs/>
                <w:sz w:val="24"/>
                <w:szCs w:val="24"/>
                <w:lang w:eastAsia="lv-LV"/>
              </w:rPr>
              <w:t xml:space="preserve"> zvērinātiem tiesu izpildītājiem tika nosūtīti 93 zvērināta notāra aicinājumi veikt mantojuma apsardzību</w:t>
            </w:r>
            <w:r w:rsidR="00651DEB">
              <w:rPr>
                <w:rFonts w:ascii="Times New Roman" w:eastAsia="Times New Roman" w:hAnsi="Times New Roman" w:cs="Times New Roman"/>
                <w:iCs/>
                <w:sz w:val="24"/>
                <w:szCs w:val="24"/>
                <w:lang w:eastAsia="lv-LV"/>
              </w:rPr>
              <w:t>,</w:t>
            </w:r>
            <w:r w:rsidR="00651DEB" w:rsidRPr="004D4104">
              <w:rPr>
                <w:rFonts w:ascii="Times New Roman" w:eastAsia="Times New Roman" w:hAnsi="Times New Roman" w:cs="Times New Roman"/>
                <w:iCs/>
                <w:sz w:val="24"/>
                <w:szCs w:val="24"/>
                <w:lang w:eastAsia="lv-LV"/>
              </w:rPr>
              <w:t xml:space="preserve"> </w:t>
            </w:r>
            <w:r w:rsidR="00651DEB">
              <w:rPr>
                <w:rFonts w:ascii="Times New Roman" w:eastAsia="Times New Roman" w:hAnsi="Times New Roman" w:cs="Times New Roman"/>
                <w:iCs/>
                <w:sz w:val="24"/>
                <w:szCs w:val="24"/>
                <w:lang w:eastAsia="lv-LV"/>
              </w:rPr>
              <w:t>t</w:t>
            </w:r>
            <w:r w:rsidR="00651DEB" w:rsidRPr="004D4104">
              <w:rPr>
                <w:rFonts w:ascii="Times New Roman" w:eastAsia="Times New Roman" w:hAnsi="Times New Roman" w:cs="Times New Roman"/>
                <w:iCs/>
                <w:sz w:val="24"/>
                <w:szCs w:val="24"/>
                <w:lang w:eastAsia="lv-LV"/>
              </w:rPr>
              <w:t xml:space="preserve">ātad </w:t>
            </w:r>
            <w:r w:rsidRPr="004D4104">
              <w:rPr>
                <w:rFonts w:ascii="Times New Roman" w:eastAsia="Times New Roman" w:hAnsi="Times New Roman" w:cs="Times New Roman"/>
                <w:iCs/>
                <w:sz w:val="24"/>
                <w:szCs w:val="24"/>
                <w:lang w:eastAsia="lv-LV"/>
              </w:rPr>
              <w:t>vidēji 9 aicinājumi gadā.</w:t>
            </w:r>
          </w:p>
        </w:tc>
      </w:tr>
    </w:tbl>
    <w:p w:rsidR="004D4104" w:rsidRPr="004D4104" w:rsidRDefault="004D4104" w:rsidP="004D4104">
      <w:pPr>
        <w:spacing w:after="0" w:line="240" w:lineRule="auto"/>
        <w:ind w:firstLine="375"/>
        <w:jc w:val="both"/>
        <w:rPr>
          <w:rFonts w:ascii="Times New Roman" w:eastAsia="Times New Roman" w:hAnsi="Times New Roman" w:cs="Times New Roman"/>
          <w:sz w:val="24"/>
          <w:szCs w:val="24"/>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439"/>
        <w:gridCol w:w="6379"/>
      </w:tblGrid>
      <w:tr w:rsidR="004D4104" w:rsidRPr="004D4104" w:rsidTr="00D17078">
        <w:tc>
          <w:tcPr>
            <w:tcW w:w="9214" w:type="dxa"/>
            <w:gridSpan w:val="3"/>
          </w:tcPr>
          <w:p w:rsidR="004D4104" w:rsidRPr="004D4104" w:rsidRDefault="004D4104" w:rsidP="004D4104">
            <w:pPr>
              <w:spacing w:after="0" w:line="240" w:lineRule="auto"/>
              <w:jc w:val="center"/>
              <w:rPr>
                <w:rFonts w:ascii="Times New Roman" w:eastAsia="Times New Roman" w:hAnsi="Times New Roman" w:cs="Times New Roman"/>
                <w:b/>
                <w:bCs/>
                <w:sz w:val="24"/>
                <w:szCs w:val="24"/>
                <w:lang w:eastAsia="lv-LV"/>
              </w:rPr>
            </w:pPr>
            <w:r w:rsidRPr="004D4104">
              <w:rPr>
                <w:rFonts w:ascii="Times New Roman" w:eastAsia="Times New Roman" w:hAnsi="Times New Roman" w:cs="Times New Roman"/>
                <w:b/>
                <w:bCs/>
                <w:sz w:val="24"/>
                <w:szCs w:val="24"/>
                <w:lang w:eastAsia="lv-LV"/>
              </w:rPr>
              <w:t>IV. Tiesību akta projekta ietekme uz spēkā esošo tiesību normu sistēmu</w:t>
            </w:r>
          </w:p>
        </w:tc>
      </w:tr>
      <w:tr w:rsidR="004D4104" w:rsidRPr="004D4104" w:rsidTr="00D17078">
        <w:tc>
          <w:tcPr>
            <w:tcW w:w="396" w:type="dxa"/>
          </w:tcPr>
          <w:p w:rsidR="004D4104" w:rsidRPr="004D4104" w:rsidRDefault="004D4104" w:rsidP="004D4104">
            <w:pPr>
              <w:tabs>
                <w:tab w:val="left" w:pos="2628"/>
              </w:tabs>
              <w:spacing w:after="0" w:line="240" w:lineRule="auto"/>
              <w:jc w:val="both"/>
              <w:rPr>
                <w:rFonts w:ascii="Times New Roman" w:eastAsia="Times New Roman" w:hAnsi="Times New Roman" w:cs="Times New Roman"/>
                <w:iCs/>
                <w:sz w:val="24"/>
                <w:szCs w:val="24"/>
                <w:lang w:eastAsia="lv-LV"/>
              </w:rPr>
            </w:pPr>
            <w:r w:rsidRPr="004D4104">
              <w:rPr>
                <w:rFonts w:ascii="Times New Roman" w:eastAsia="Times New Roman" w:hAnsi="Times New Roman" w:cs="Times New Roman"/>
                <w:iCs/>
                <w:sz w:val="24"/>
                <w:szCs w:val="24"/>
                <w:lang w:eastAsia="lv-LV"/>
              </w:rPr>
              <w:t>1.</w:t>
            </w:r>
          </w:p>
        </w:tc>
        <w:tc>
          <w:tcPr>
            <w:tcW w:w="2439" w:type="dxa"/>
          </w:tcPr>
          <w:p w:rsidR="004D4104" w:rsidRPr="004D4104" w:rsidRDefault="004D4104" w:rsidP="004D4104">
            <w:pPr>
              <w:tabs>
                <w:tab w:val="left" w:pos="2628"/>
              </w:tabs>
              <w:spacing w:after="0" w:line="240" w:lineRule="auto"/>
              <w:rPr>
                <w:rFonts w:ascii="Times New Roman" w:eastAsia="Times New Roman" w:hAnsi="Times New Roman" w:cs="Times New Roman"/>
                <w:iCs/>
                <w:sz w:val="24"/>
                <w:szCs w:val="24"/>
                <w:lang w:eastAsia="lv-LV"/>
              </w:rPr>
            </w:pPr>
            <w:r w:rsidRPr="004D4104">
              <w:rPr>
                <w:rFonts w:ascii="Times New Roman" w:eastAsia="Times New Roman" w:hAnsi="Times New Roman" w:cs="Times New Roman"/>
                <w:sz w:val="24"/>
                <w:szCs w:val="24"/>
                <w:lang w:eastAsia="lv-LV"/>
              </w:rPr>
              <w:t>Nepieciešamie saistītie tiesību aktu projekti</w:t>
            </w:r>
          </w:p>
        </w:tc>
        <w:tc>
          <w:tcPr>
            <w:tcW w:w="6379" w:type="dxa"/>
          </w:tcPr>
          <w:p w:rsidR="004D4104" w:rsidRPr="004D4104" w:rsidRDefault="004D4104" w:rsidP="004D4104">
            <w:pPr>
              <w:spacing w:after="0" w:line="240" w:lineRule="auto"/>
              <w:ind w:left="-108" w:firstLine="284"/>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 xml:space="preserve">Likumprojekts ir izstrādāts un virzāms izskatīšanai vienotā likumprojektu paketē kopā ar grozījumiem Notariāta likumā, Civillikumā un Tiesu izpildītāju likumā. </w:t>
            </w:r>
          </w:p>
          <w:p w:rsidR="004D4104" w:rsidRPr="004D4104" w:rsidRDefault="004D4104" w:rsidP="004D4104">
            <w:pPr>
              <w:spacing w:after="0" w:line="240" w:lineRule="auto"/>
              <w:ind w:left="-108" w:firstLine="284"/>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Saistībā ar Likumprojektu nepieciešams veikt grozījumus Ministru kabineta 2012.gada 26.jūnija noteikumos Nr.451 „Noteikumi par zvērinātu tiesu izpildītāju amata atlīdzības taksēm”, nosakot tajā tiesu izpildītāja amata atlīdzības apmērus par katru mantojuma apsardzības līdzekli. Zvērināta tiesu izpildītāja amata atlīdzības takse tiks diferencēta atkarībā no piemērojamā mantojuma apsardzības līdzekļa, ievērojot to, ka tie var būt noteikti kā katrs atsevišķi, tā arī vairāki kopā. Atlīdzību apmēri tiks izvēlēti, vadoties pēc taksēm, kādas noteiktas par līdzīga rakstura darbībām.</w:t>
            </w:r>
          </w:p>
        </w:tc>
      </w:tr>
      <w:tr w:rsidR="004D4104" w:rsidRPr="004D4104" w:rsidTr="000831FE">
        <w:trPr>
          <w:trHeight w:val="135"/>
        </w:trPr>
        <w:tc>
          <w:tcPr>
            <w:tcW w:w="396" w:type="dxa"/>
          </w:tcPr>
          <w:p w:rsidR="004D4104" w:rsidRPr="004D4104" w:rsidRDefault="004D4104" w:rsidP="004D4104">
            <w:pPr>
              <w:tabs>
                <w:tab w:val="left" w:pos="2628"/>
              </w:tabs>
              <w:spacing w:after="0" w:line="240" w:lineRule="auto"/>
              <w:jc w:val="both"/>
              <w:rPr>
                <w:rFonts w:ascii="Times New Roman" w:eastAsia="Times New Roman" w:hAnsi="Times New Roman" w:cs="Times New Roman"/>
                <w:iCs/>
                <w:sz w:val="24"/>
                <w:szCs w:val="24"/>
                <w:lang w:eastAsia="lv-LV"/>
              </w:rPr>
            </w:pPr>
            <w:r w:rsidRPr="004D4104">
              <w:rPr>
                <w:rFonts w:ascii="Times New Roman" w:eastAsia="Times New Roman" w:hAnsi="Times New Roman" w:cs="Times New Roman"/>
                <w:iCs/>
                <w:sz w:val="24"/>
                <w:szCs w:val="24"/>
                <w:lang w:eastAsia="lv-LV"/>
              </w:rPr>
              <w:t>2.</w:t>
            </w:r>
          </w:p>
        </w:tc>
        <w:tc>
          <w:tcPr>
            <w:tcW w:w="2439" w:type="dxa"/>
          </w:tcPr>
          <w:p w:rsidR="004D4104" w:rsidRPr="004D4104" w:rsidRDefault="004D4104" w:rsidP="004D4104">
            <w:pPr>
              <w:tabs>
                <w:tab w:val="left" w:pos="2628"/>
              </w:tabs>
              <w:spacing w:after="0" w:line="240" w:lineRule="auto"/>
              <w:jc w:val="both"/>
              <w:rPr>
                <w:rFonts w:ascii="Times New Roman" w:eastAsia="Times New Roman" w:hAnsi="Times New Roman" w:cs="Times New Roman"/>
                <w:iCs/>
                <w:sz w:val="24"/>
                <w:szCs w:val="24"/>
                <w:lang w:eastAsia="lv-LV"/>
              </w:rPr>
            </w:pPr>
            <w:r w:rsidRPr="004D4104">
              <w:rPr>
                <w:rFonts w:ascii="Times New Roman" w:eastAsia="Times New Roman" w:hAnsi="Times New Roman" w:cs="Times New Roman"/>
                <w:iCs/>
                <w:sz w:val="24"/>
                <w:szCs w:val="24"/>
                <w:lang w:eastAsia="lv-LV"/>
              </w:rPr>
              <w:t>Atbildīgā institūcija</w:t>
            </w:r>
          </w:p>
        </w:tc>
        <w:tc>
          <w:tcPr>
            <w:tcW w:w="6379" w:type="dxa"/>
          </w:tcPr>
          <w:p w:rsidR="004D4104" w:rsidRPr="004D4104" w:rsidRDefault="004D4104" w:rsidP="004D4104">
            <w:pPr>
              <w:tabs>
                <w:tab w:val="left" w:pos="459"/>
              </w:tabs>
              <w:spacing w:after="0" w:line="240" w:lineRule="auto"/>
              <w:ind w:left="-108" w:firstLine="284"/>
              <w:jc w:val="both"/>
              <w:rPr>
                <w:rFonts w:ascii="Times New Roman" w:eastAsia="Times New Roman" w:hAnsi="Times New Roman" w:cs="Times New Roman"/>
                <w:iCs/>
                <w:sz w:val="24"/>
                <w:szCs w:val="24"/>
                <w:lang w:eastAsia="lv-LV"/>
              </w:rPr>
            </w:pPr>
            <w:r w:rsidRPr="004D4104">
              <w:rPr>
                <w:rFonts w:ascii="Times New Roman" w:eastAsia="Times New Roman" w:hAnsi="Times New Roman" w:cs="Times New Roman"/>
                <w:iCs/>
                <w:sz w:val="24"/>
                <w:szCs w:val="24"/>
                <w:lang w:eastAsia="lv-LV"/>
              </w:rPr>
              <w:t>Tieslietu ministrija.</w:t>
            </w:r>
          </w:p>
        </w:tc>
      </w:tr>
      <w:tr w:rsidR="004D4104" w:rsidRPr="004D4104" w:rsidTr="000831FE">
        <w:trPr>
          <w:trHeight w:val="139"/>
        </w:trPr>
        <w:tc>
          <w:tcPr>
            <w:tcW w:w="396" w:type="dxa"/>
          </w:tcPr>
          <w:p w:rsidR="004D4104" w:rsidRPr="004D4104" w:rsidRDefault="004D4104" w:rsidP="004D4104">
            <w:pPr>
              <w:tabs>
                <w:tab w:val="left" w:pos="2628"/>
              </w:tabs>
              <w:spacing w:after="0" w:line="240" w:lineRule="auto"/>
              <w:jc w:val="both"/>
              <w:rPr>
                <w:rFonts w:ascii="Times New Roman" w:eastAsia="Times New Roman" w:hAnsi="Times New Roman" w:cs="Times New Roman"/>
                <w:iCs/>
                <w:sz w:val="24"/>
                <w:szCs w:val="24"/>
                <w:lang w:eastAsia="lv-LV"/>
              </w:rPr>
            </w:pPr>
            <w:r w:rsidRPr="004D4104">
              <w:rPr>
                <w:rFonts w:ascii="Times New Roman" w:eastAsia="Times New Roman" w:hAnsi="Times New Roman" w:cs="Times New Roman"/>
                <w:iCs/>
                <w:sz w:val="24"/>
                <w:szCs w:val="24"/>
                <w:lang w:eastAsia="lv-LV"/>
              </w:rPr>
              <w:t>3.</w:t>
            </w:r>
          </w:p>
        </w:tc>
        <w:tc>
          <w:tcPr>
            <w:tcW w:w="2439" w:type="dxa"/>
          </w:tcPr>
          <w:p w:rsidR="004D4104" w:rsidRPr="004D4104" w:rsidRDefault="004D4104" w:rsidP="004D4104">
            <w:pPr>
              <w:tabs>
                <w:tab w:val="left" w:pos="2628"/>
              </w:tabs>
              <w:spacing w:after="0" w:line="240" w:lineRule="auto"/>
              <w:jc w:val="both"/>
              <w:rPr>
                <w:rFonts w:ascii="Times New Roman" w:eastAsia="Times New Roman" w:hAnsi="Times New Roman" w:cs="Times New Roman"/>
                <w:iCs/>
                <w:sz w:val="24"/>
                <w:szCs w:val="24"/>
                <w:lang w:eastAsia="lv-LV"/>
              </w:rPr>
            </w:pPr>
            <w:r w:rsidRPr="004D4104">
              <w:rPr>
                <w:rFonts w:ascii="Times New Roman" w:eastAsia="Times New Roman" w:hAnsi="Times New Roman" w:cs="Times New Roman"/>
                <w:sz w:val="24"/>
                <w:szCs w:val="24"/>
                <w:lang w:eastAsia="lv-LV"/>
              </w:rPr>
              <w:t>Cita informācija</w:t>
            </w:r>
          </w:p>
        </w:tc>
        <w:tc>
          <w:tcPr>
            <w:tcW w:w="6379" w:type="dxa"/>
          </w:tcPr>
          <w:p w:rsidR="004D4104" w:rsidRPr="004D4104" w:rsidRDefault="004D4104" w:rsidP="004D4104">
            <w:pPr>
              <w:tabs>
                <w:tab w:val="left" w:pos="459"/>
              </w:tabs>
              <w:spacing w:after="0" w:line="240" w:lineRule="auto"/>
              <w:ind w:left="-108" w:firstLine="284"/>
              <w:jc w:val="both"/>
              <w:rPr>
                <w:rFonts w:ascii="Times New Roman" w:eastAsia="Times New Roman" w:hAnsi="Times New Roman" w:cs="Times New Roman"/>
                <w:iCs/>
                <w:sz w:val="24"/>
                <w:szCs w:val="24"/>
                <w:lang w:eastAsia="lv-LV"/>
              </w:rPr>
            </w:pPr>
            <w:r w:rsidRPr="004D4104">
              <w:rPr>
                <w:rFonts w:ascii="Times New Roman" w:eastAsia="Times New Roman" w:hAnsi="Times New Roman" w:cs="Times New Roman"/>
                <w:sz w:val="24"/>
                <w:szCs w:val="24"/>
                <w:lang w:eastAsia="lv-LV"/>
              </w:rPr>
              <w:t>Nav.</w:t>
            </w:r>
          </w:p>
        </w:tc>
      </w:tr>
    </w:tbl>
    <w:p w:rsidR="004D4104" w:rsidRPr="004D4104" w:rsidRDefault="004D4104" w:rsidP="004D4104">
      <w:pPr>
        <w:spacing w:after="0" w:line="240" w:lineRule="auto"/>
        <w:rPr>
          <w:rFonts w:ascii="Times New Roman" w:eastAsia="Times New Roman" w:hAnsi="Times New Roman" w:cs="Times New Roman"/>
          <w:sz w:val="2"/>
          <w:szCs w:val="2"/>
          <w:lang w:eastAsia="lv-LV"/>
        </w:rPr>
      </w:pPr>
    </w:p>
    <w:p w:rsidR="004D4104" w:rsidRPr="004D4104" w:rsidRDefault="004D4104" w:rsidP="004D4104">
      <w:pPr>
        <w:spacing w:after="0" w:line="240" w:lineRule="auto"/>
        <w:ind w:firstLine="375"/>
        <w:jc w:val="both"/>
        <w:rPr>
          <w:rFonts w:ascii="Times New Roman" w:eastAsia="Times New Roman" w:hAnsi="Times New Roman" w:cs="Times New Roman"/>
          <w:sz w:val="28"/>
          <w:szCs w:val="28"/>
          <w:lang w:eastAsia="lv-LV"/>
        </w:rPr>
      </w:pPr>
    </w:p>
    <w:tbl>
      <w:tblPr>
        <w:tblW w:w="924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242"/>
      </w:tblGrid>
      <w:tr w:rsidR="004D4104" w:rsidRPr="004D4104" w:rsidTr="005E1C63">
        <w:trPr>
          <w:trHeight w:val="104"/>
        </w:trPr>
        <w:tc>
          <w:tcPr>
            <w:tcW w:w="9242" w:type="dxa"/>
            <w:tcBorders>
              <w:top w:val="outset" w:sz="6" w:space="0" w:color="auto"/>
              <w:left w:val="outset" w:sz="6" w:space="0" w:color="auto"/>
              <w:bottom w:val="outset" w:sz="6" w:space="0" w:color="auto"/>
              <w:right w:val="outset" w:sz="6" w:space="0" w:color="auto"/>
            </w:tcBorders>
            <w:vAlign w:val="center"/>
          </w:tcPr>
          <w:p w:rsidR="004D4104" w:rsidRPr="004D4104" w:rsidRDefault="004D4104" w:rsidP="00651DEB">
            <w:pPr>
              <w:spacing w:after="0" w:line="240" w:lineRule="auto"/>
              <w:jc w:val="center"/>
              <w:rPr>
                <w:rFonts w:ascii="Times New Roman" w:eastAsia="Times New Roman" w:hAnsi="Times New Roman" w:cs="Times New Roman"/>
                <w:b/>
                <w:sz w:val="24"/>
                <w:szCs w:val="24"/>
                <w:lang w:eastAsia="lv-LV"/>
              </w:rPr>
            </w:pPr>
            <w:r w:rsidRPr="004D4104">
              <w:rPr>
                <w:rFonts w:ascii="Times New Roman" w:eastAsia="Times New Roman" w:hAnsi="Times New Roman" w:cs="Times New Roman"/>
                <w:b/>
                <w:sz w:val="24"/>
                <w:szCs w:val="24"/>
                <w:lang w:eastAsia="lv-LV"/>
              </w:rPr>
              <w:t>V. Tiesību akta projekta atbilstība Latvijas Republikas starptautiskajām saistībām</w:t>
            </w:r>
          </w:p>
        </w:tc>
      </w:tr>
      <w:tr w:rsidR="00651DEB" w:rsidRPr="004D4104" w:rsidTr="000831FE">
        <w:trPr>
          <w:trHeight w:val="390"/>
        </w:trPr>
        <w:tc>
          <w:tcPr>
            <w:tcW w:w="9242" w:type="dxa"/>
            <w:tcBorders>
              <w:top w:val="outset" w:sz="6" w:space="0" w:color="auto"/>
              <w:left w:val="outset" w:sz="6" w:space="0" w:color="auto"/>
              <w:bottom w:val="outset" w:sz="6" w:space="0" w:color="auto"/>
              <w:right w:val="outset" w:sz="6" w:space="0" w:color="auto"/>
            </w:tcBorders>
            <w:vAlign w:val="center"/>
          </w:tcPr>
          <w:p w:rsidR="00651DEB" w:rsidRPr="004D4104" w:rsidRDefault="00651DEB" w:rsidP="004D4104">
            <w:pPr>
              <w:spacing w:after="0" w:line="240" w:lineRule="auto"/>
              <w:jc w:val="center"/>
              <w:rPr>
                <w:rFonts w:ascii="Times New Roman" w:eastAsia="Times New Roman" w:hAnsi="Times New Roman" w:cs="Times New Roman"/>
                <w:b/>
                <w:sz w:val="24"/>
                <w:szCs w:val="24"/>
                <w:lang w:eastAsia="lv-LV"/>
              </w:rPr>
            </w:pPr>
            <w:r w:rsidRPr="004D4104">
              <w:rPr>
                <w:rFonts w:ascii="Times New Roman" w:eastAsia="Times New Roman" w:hAnsi="Times New Roman" w:cs="Times New Roman"/>
                <w:sz w:val="24"/>
                <w:szCs w:val="24"/>
                <w:lang w:eastAsia="lv-LV"/>
              </w:rPr>
              <w:t>Likumprojekts šo jomu neskar.</w:t>
            </w:r>
          </w:p>
        </w:tc>
      </w:tr>
    </w:tbl>
    <w:p w:rsidR="004D4104" w:rsidRPr="004D4104" w:rsidRDefault="004D4104" w:rsidP="004D4104">
      <w:pPr>
        <w:spacing w:after="0" w:line="240" w:lineRule="auto"/>
        <w:ind w:firstLine="375"/>
        <w:jc w:val="both"/>
        <w:rPr>
          <w:rFonts w:ascii="Times New Roman" w:eastAsia="Times New Roman" w:hAnsi="Times New Roman" w:cs="Times New Roman"/>
          <w:sz w:val="28"/>
          <w:szCs w:val="28"/>
          <w:lang w:eastAsia="lv-LV"/>
        </w:rPr>
      </w:pPr>
      <w:bookmarkStart w:id="0" w:name="_GoBack"/>
      <w:bookmarkEnd w:id="0"/>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2952"/>
        <w:gridCol w:w="5812"/>
      </w:tblGrid>
      <w:tr w:rsidR="004D4104" w:rsidRPr="004D4104" w:rsidTr="00D17078">
        <w:tc>
          <w:tcPr>
            <w:tcW w:w="9219" w:type="dxa"/>
            <w:gridSpan w:val="3"/>
            <w:tcBorders>
              <w:top w:val="single" w:sz="4" w:space="0" w:color="auto"/>
              <w:left w:val="single" w:sz="4" w:space="0" w:color="auto"/>
              <w:bottom w:val="single" w:sz="4" w:space="0" w:color="auto"/>
              <w:right w:val="single" w:sz="4" w:space="0" w:color="auto"/>
            </w:tcBorders>
          </w:tcPr>
          <w:p w:rsidR="004D4104" w:rsidRPr="004D4104" w:rsidRDefault="004D4104" w:rsidP="004D4104">
            <w:pPr>
              <w:spacing w:after="0" w:line="240" w:lineRule="auto"/>
              <w:ind w:left="57" w:right="57"/>
              <w:jc w:val="center"/>
              <w:rPr>
                <w:rFonts w:ascii="Times New Roman" w:eastAsia="Times New Roman" w:hAnsi="Times New Roman" w:cs="Times New Roman"/>
                <w:b/>
                <w:bCs/>
                <w:sz w:val="24"/>
                <w:szCs w:val="24"/>
                <w:lang w:eastAsia="lv-LV"/>
              </w:rPr>
            </w:pPr>
            <w:r w:rsidRPr="004D4104">
              <w:rPr>
                <w:rFonts w:ascii="Times New Roman" w:eastAsia="Times New Roman" w:hAnsi="Times New Roman" w:cs="Times New Roman"/>
                <w:b/>
                <w:bCs/>
                <w:sz w:val="24"/>
                <w:szCs w:val="24"/>
                <w:lang w:eastAsia="lv-LV"/>
              </w:rPr>
              <w:t>VI. Sabiedrības līdzdalība un komunikācijas aktivitātes</w:t>
            </w:r>
          </w:p>
        </w:tc>
      </w:tr>
      <w:tr w:rsidR="004D4104" w:rsidRPr="004D4104" w:rsidTr="00D17078">
        <w:trPr>
          <w:trHeight w:val="553"/>
        </w:trPr>
        <w:tc>
          <w:tcPr>
            <w:tcW w:w="455" w:type="dxa"/>
          </w:tcPr>
          <w:p w:rsidR="004D4104" w:rsidRPr="004D4104" w:rsidRDefault="004D4104" w:rsidP="004D4104">
            <w:pPr>
              <w:spacing w:after="0" w:line="240" w:lineRule="auto"/>
              <w:ind w:left="57" w:right="57"/>
              <w:rPr>
                <w:rFonts w:ascii="Times New Roman" w:eastAsia="Times New Roman" w:hAnsi="Times New Roman" w:cs="Times New Roman"/>
                <w:bCs/>
                <w:sz w:val="24"/>
                <w:szCs w:val="24"/>
                <w:lang w:eastAsia="lv-LV"/>
              </w:rPr>
            </w:pPr>
            <w:r w:rsidRPr="004D4104">
              <w:rPr>
                <w:rFonts w:ascii="Times New Roman" w:eastAsia="Times New Roman" w:hAnsi="Times New Roman" w:cs="Times New Roman"/>
                <w:bCs/>
                <w:sz w:val="24"/>
                <w:szCs w:val="24"/>
                <w:lang w:eastAsia="lv-LV"/>
              </w:rPr>
              <w:t>1.</w:t>
            </w:r>
          </w:p>
        </w:tc>
        <w:tc>
          <w:tcPr>
            <w:tcW w:w="2952" w:type="dxa"/>
          </w:tcPr>
          <w:p w:rsidR="004D4104" w:rsidRPr="004D4104" w:rsidRDefault="004D4104" w:rsidP="004D4104">
            <w:pPr>
              <w:tabs>
                <w:tab w:val="left" w:pos="170"/>
              </w:tabs>
              <w:spacing w:after="0" w:line="240" w:lineRule="auto"/>
              <w:ind w:left="57" w:right="57"/>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812" w:type="dxa"/>
          </w:tcPr>
          <w:p w:rsidR="004D4104" w:rsidRPr="004D4104" w:rsidRDefault="004D4104" w:rsidP="004D4104">
            <w:pPr>
              <w:spacing w:after="0" w:line="240" w:lineRule="auto"/>
              <w:ind w:firstLine="284"/>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Rīgas bāriņtiesa, Latvijas Zvērinātu notāru padome, Latvijas Zvērinātu tiesu izpildītāju padome, kā arī tiesneši, zvērināti notāri un zvērināti advokāti tika informēti par likumprojekta izstrādi un piedalījās darba grupās.</w:t>
            </w:r>
          </w:p>
        </w:tc>
      </w:tr>
      <w:tr w:rsidR="004D4104" w:rsidRPr="004D4104" w:rsidTr="00D17078">
        <w:trPr>
          <w:trHeight w:val="339"/>
        </w:trPr>
        <w:tc>
          <w:tcPr>
            <w:tcW w:w="455" w:type="dxa"/>
          </w:tcPr>
          <w:p w:rsidR="004D4104" w:rsidRPr="004D4104" w:rsidRDefault="004D4104" w:rsidP="004D4104">
            <w:pPr>
              <w:spacing w:after="0" w:line="240" w:lineRule="auto"/>
              <w:ind w:left="57" w:right="57"/>
              <w:rPr>
                <w:rFonts w:ascii="Times New Roman" w:eastAsia="Times New Roman" w:hAnsi="Times New Roman" w:cs="Times New Roman"/>
                <w:bCs/>
                <w:sz w:val="24"/>
                <w:szCs w:val="24"/>
                <w:lang w:eastAsia="lv-LV"/>
              </w:rPr>
            </w:pPr>
            <w:r w:rsidRPr="004D4104">
              <w:rPr>
                <w:rFonts w:ascii="Times New Roman" w:eastAsia="Times New Roman" w:hAnsi="Times New Roman" w:cs="Times New Roman"/>
                <w:bCs/>
                <w:sz w:val="24"/>
                <w:szCs w:val="24"/>
                <w:lang w:eastAsia="lv-LV"/>
              </w:rPr>
              <w:t>2.</w:t>
            </w:r>
          </w:p>
        </w:tc>
        <w:tc>
          <w:tcPr>
            <w:tcW w:w="2952" w:type="dxa"/>
          </w:tcPr>
          <w:p w:rsidR="004D4104" w:rsidRPr="004D4104" w:rsidRDefault="004D4104" w:rsidP="004D4104">
            <w:pPr>
              <w:spacing w:after="0" w:line="240" w:lineRule="auto"/>
              <w:ind w:left="57" w:right="57"/>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 xml:space="preserve">Sabiedrības līdzdalība projekta izstrādē </w:t>
            </w:r>
          </w:p>
        </w:tc>
        <w:tc>
          <w:tcPr>
            <w:tcW w:w="5812" w:type="dxa"/>
          </w:tcPr>
          <w:p w:rsidR="004D4104" w:rsidRPr="004D4104" w:rsidRDefault="004D4104" w:rsidP="004D4104">
            <w:pPr>
              <w:spacing w:after="0" w:line="240" w:lineRule="auto"/>
              <w:ind w:firstLine="284"/>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 xml:space="preserve">Darba grupā tika iesniegti un izvērtēti iesaistīto pušu priekšlikumi. </w:t>
            </w:r>
          </w:p>
        </w:tc>
      </w:tr>
      <w:tr w:rsidR="004D4104" w:rsidRPr="004D4104" w:rsidTr="000831FE">
        <w:trPr>
          <w:trHeight w:val="268"/>
        </w:trPr>
        <w:tc>
          <w:tcPr>
            <w:tcW w:w="455" w:type="dxa"/>
          </w:tcPr>
          <w:p w:rsidR="004D4104" w:rsidRPr="004D4104" w:rsidRDefault="004D4104" w:rsidP="004D4104">
            <w:pPr>
              <w:spacing w:after="0" w:line="240" w:lineRule="auto"/>
              <w:ind w:left="57" w:right="57"/>
              <w:rPr>
                <w:rFonts w:ascii="Times New Roman" w:eastAsia="Times New Roman" w:hAnsi="Times New Roman" w:cs="Times New Roman"/>
                <w:bCs/>
                <w:sz w:val="24"/>
                <w:szCs w:val="24"/>
                <w:lang w:eastAsia="lv-LV"/>
              </w:rPr>
            </w:pPr>
            <w:r w:rsidRPr="004D4104">
              <w:rPr>
                <w:rFonts w:ascii="Times New Roman" w:eastAsia="Times New Roman" w:hAnsi="Times New Roman" w:cs="Times New Roman"/>
                <w:bCs/>
                <w:sz w:val="24"/>
                <w:szCs w:val="24"/>
                <w:lang w:eastAsia="lv-LV"/>
              </w:rPr>
              <w:t>3.</w:t>
            </w:r>
          </w:p>
        </w:tc>
        <w:tc>
          <w:tcPr>
            <w:tcW w:w="2952" w:type="dxa"/>
          </w:tcPr>
          <w:p w:rsidR="004D4104" w:rsidRPr="004D4104" w:rsidRDefault="004D4104" w:rsidP="004D4104">
            <w:pPr>
              <w:spacing w:after="0" w:line="240" w:lineRule="auto"/>
              <w:ind w:left="57" w:right="57"/>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 xml:space="preserve">Sabiedrības līdzdalības rezultāti </w:t>
            </w:r>
          </w:p>
        </w:tc>
        <w:tc>
          <w:tcPr>
            <w:tcW w:w="5812" w:type="dxa"/>
          </w:tcPr>
          <w:p w:rsidR="004D4104" w:rsidRPr="004D4104" w:rsidRDefault="004D4104" w:rsidP="004D4104">
            <w:pPr>
              <w:spacing w:after="0" w:line="240" w:lineRule="auto"/>
              <w:ind w:firstLine="272"/>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Iesaistīto pušu priekšlikumi iestrādāti likumprojektā.</w:t>
            </w:r>
          </w:p>
        </w:tc>
      </w:tr>
      <w:tr w:rsidR="004D4104" w:rsidRPr="004D4104" w:rsidTr="00D17078">
        <w:trPr>
          <w:trHeight w:val="299"/>
        </w:trPr>
        <w:tc>
          <w:tcPr>
            <w:tcW w:w="455" w:type="dxa"/>
          </w:tcPr>
          <w:p w:rsidR="004D4104" w:rsidRPr="004D4104" w:rsidRDefault="00651DEB" w:rsidP="004D4104">
            <w:pPr>
              <w:spacing w:after="0" w:line="240" w:lineRule="auto"/>
              <w:ind w:left="57" w:right="5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004D4104" w:rsidRPr="004D4104">
              <w:rPr>
                <w:rFonts w:ascii="Times New Roman" w:eastAsia="Times New Roman" w:hAnsi="Times New Roman" w:cs="Times New Roman"/>
                <w:bCs/>
                <w:sz w:val="24"/>
                <w:szCs w:val="24"/>
                <w:lang w:eastAsia="lv-LV"/>
              </w:rPr>
              <w:t>.</w:t>
            </w:r>
          </w:p>
        </w:tc>
        <w:tc>
          <w:tcPr>
            <w:tcW w:w="2952" w:type="dxa"/>
          </w:tcPr>
          <w:p w:rsidR="004D4104" w:rsidRPr="004D4104" w:rsidRDefault="004D4104" w:rsidP="00651DEB">
            <w:pPr>
              <w:spacing w:after="0" w:line="240" w:lineRule="auto"/>
              <w:ind w:left="57" w:right="57"/>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Cita informācija</w:t>
            </w:r>
          </w:p>
        </w:tc>
        <w:tc>
          <w:tcPr>
            <w:tcW w:w="5812" w:type="dxa"/>
          </w:tcPr>
          <w:p w:rsidR="004D4104" w:rsidRPr="004D4104" w:rsidRDefault="004D4104" w:rsidP="004D4104">
            <w:pPr>
              <w:spacing w:after="0" w:line="240" w:lineRule="auto"/>
              <w:ind w:firstLine="284"/>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Nav.</w:t>
            </w:r>
          </w:p>
        </w:tc>
      </w:tr>
    </w:tbl>
    <w:p w:rsidR="004D4104" w:rsidRPr="004D4104" w:rsidRDefault="004D4104" w:rsidP="004D4104">
      <w:pPr>
        <w:spacing w:after="0" w:line="240" w:lineRule="auto"/>
        <w:ind w:firstLine="375"/>
        <w:jc w:val="both"/>
        <w:rPr>
          <w:rFonts w:ascii="Times New Roman" w:eastAsia="Times New Roman" w:hAnsi="Times New Roman" w:cs="Times New Roman"/>
          <w:sz w:val="28"/>
          <w:szCs w:val="28"/>
          <w:lang w:eastAsia="lv-LV"/>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4"/>
        <w:gridCol w:w="3090"/>
        <w:gridCol w:w="5698"/>
      </w:tblGrid>
      <w:tr w:rsidR="004D4104" w:rsidRPr="004D4104" w:rsidTr="000831FE">
        <w:trPr>
          <w:trHeight w:val="169"/>
        </w:trPr>
        <w:tc>
          <w:tcPr>
            <w:tcW w:w="9242" w:type="dxa"/>
            <w:gridSpan w:val="3"/>
            <w:tcBorders>
              <w:top w:val="single" w:sz="4" w:space="0" w:color="auto"/>
            </w:tcBorders>
          </w:tcPr>
          <w:p w:rsidR="004D4104" w:rsidRPr="004D4104" w:rsidRDefault="004D4104" w:rsidP="004D4104">
            <w:pPr>
              <w:spacing w:after="0" w:line="240" w:lineRule="auto"/>
              <w:ind w:left="57" w:right="57"/>
              <w:jc w:val="center"/>
              <w:rPr>
                <w:rFonts w:ascii="Times New Roman" w:eastAsia="Times New Roman" w:hAnsi="Times New Roman" w:cs="Times New Roman"/>
                <w:b/>
                <w:bCs/>
                <w:sz w:val="24"/>
                <w:szCs w:val="24"/>
                <w:lang w:eastAsia="lv-LV"/>
              </w:rPr>
            </w:pPr>
            <w:r w:rsidRPr="004D4104">
              <w:rPr>
                <w:rFonts w:ascii="Times New Roman" w:eastAsia="Times New Roman" w:hAnsi="Times New Roman" w:cs="Times New Roman"/>
                <w:b/>
                <w:bCs/>
                <w:sz w:val="24"/>
                <w:szCs w:val="24"/>
                <w:lang w:eastAsia="lv-LV"/>
              </w:rPr>
              <w:t>VII. Tiesību akta projekta izpildes nodrošināšana un tās ietekme uz institūcijām</w:t>
            </w:r>
          </w:p>
        </w:tc>
      </w:tr>
      <w:tr w:rsidR="004D4104" w:rsidRPr="004D4104" w:rsidTr="00D17078">
        <w:trPr>
          <w:trHeight w:val="427"/>
        </w:trPr>
        <w:tc>
          <w:tcPr>
            <w:tcW w:w="454" w:type="dxa"/>
          </w:tcPr>
          <w:p w:rsidR="004D4104" w:rsidRPr="004D4104" w:rsidRDefault="004D4104" w:rsidP="004D4104">
            <w:pPr>
              <w:spacing w:after="0" w:line="240" w:lineRule="auto"/>
              <w:ind w:left="57" w:right="57"/>
              <w:jc w:val="both"/>
              <w:rPr>
                <w:rFonts w:ascii="Times New Roman" w:eastAsia="Times New Roman" w:hAnsi="Times New Roman" w:cs="Times New Roman"/>
                <w:bCs/>
                <w:sz w:val="24"/>
                <w:szCs w:val="24"/>
                <w:lang w:eastAsia="lv-LV"/>
              </w:rPr>
            </w:pPr>
            <w:r w:rsidRPr="004D4104">
              <w:rPr>
                <w:rFonts w:ascii="Times New Roman" w:eastAsia="Times New Roman" w:hAnsi="Times New Roman" w:cs="Times New Roman"/>
                <w:bCs/>
                <w:sz w:val="24"/>
                <w:szCs w:val="24"/>
                <w:lang w:eastAsia="lv-LV"/>
              </w:rPr>
              <w:t>1.</w:t>
            </w:r>
          </w:p>
        </w:tc>
        <w:tc>
          <w:tcPr>
            <w:tcW w:w="3090" w:type="dxa"/>
          </w:tcPr>
          <w:p w:rsidR="004D4104" w:rsidRPr="004D4104" w:rsidRDefault="004D4104" w:rsidP="004D4104">
            <w:pPr>
              <w:spacing w:after="0" w:line="240" w:lineRule="auto"/>
              <w:ind w:left="57" w:right="57"/>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 xml:space="preserve">Projekta izpildē iesaistītās institūcijas </w:t>
            </w:r>
          </w:p>
        </w:tc>
        <w:tc>
          <w:tcPr>
            <w:tcW w:w="5698" w:type="dxa"/>
          </w:tcPr>
          <w:p w:rsidR="004D4104" w:rsidRPr="004D4104" w:rsidRDefault="004D4104" w:rsidP="004D4104">
            <w:pPr>
              <w:spacing w:after="0" w:line="240" w:lineRule="auto"/>
              <w:ind w:left="-28" w:right="57" w:firstLine="284"/>
              <w:jc w:val="both"/>
              <w:rPr>
                <w:rFonts w:ascii="Times New Roman" w:eastAsia="Times New Roman" w:hAnsi="Times New Roman" w:cs="Times New Roman"/>
                <w:bCs/>
                <w:sz w:val="24"/>
                <w:szCs w:val="24"/>
                <w:lang w:eastAsia="lv-LV"/>
              </w:rPr>
            </w:pPr>
            <w:r w:rsidRPr="004D4104">
              <w:rPr>
                <w:rFonts w:ascii="Times New Roman" w:eastAsia="Times New Roman" w:hAnsi="Times New Roman" w:cs="Times New Roman"/>
                <w:bCs/>
                <w:sz w:val="24"/>
                <w:szCs w:val="24"/>
                <w:lang w:eastAsia="lv-LV"/>
              </w:rPr>
              <w:t>Likumprojekta izpildi atbilstoši ārējos normatīvajos aktos nostiprinātajai kompetencei nodrošinās zvērināti tiesu izpildītāji un zvērināti notāri.</w:t>
            </w:r>
          </w:p>
        </w:tc>
      </w:tr>
      <w:tr w:rsidR="004D4104" w:rsidRPr="004D4104" w:rsidTr="00D17078">
        <w:trPr>
          <w:trHeight w:val="463"/>
        </w:trPr>
        <w:tc>
          <w:tcPr>
            <w:tcW w:w="454" w:type="dxa"/>
          </w:tcPr>
          <w:p w:rsidR="004D4104" w:rsidRPr="004D4104" w:rsidRDefault="004D4104" w:rsidP="004D4104">
            <w:pPr>
              <w:spacing w:after="0" w:line="240" w:lineRule="auto"/>
              <w:ind w:left="57" w:right="57"/>
              <w:jc w:val="both"/>
              <w:rPr>
                <w:rFonts w:ascii="Times New Roman" w:eastAsia="Times New Roman" w:hAnsi="Times New Roman" w:cs="Times New Roman"/>
                <w:bCs/>
                <w:sz w:val="24"/>
                <w:szCs w:val="24"/>
                <w:lang w:eastAsia="lv-LV"/>
              </w:rPr>
            </w:pPr>
            <w:r w:rsidRPr="004D4104">
              <w:rPr>
                <w:rFonts w:ascii="Times New Roman" w:eastAsia="Times New Roman" w:hAnsi="Times New Roman" w:cs="Times New Roman"/>
                <w:bCs/>
                <w:sz w:val="24"/>
                <w:szCs w:val="24"/>
                <w:lang w:eastAsia="lv-LV"/>
              </w:rPr>
              <w:t>2.</w:t>
            </w:r>
          </w:p>
        </w:tc>
        <w:tc>
          <w:tcPr>
            <w:tcW w:w="3090" w:type="dxa"/>
          </w:tcPr>
          <w:p w:rsidR="004D4104" w:rsidRPr="004D4104" w:rsidRDefault="004D4104" w:rsidP="004D4104">
            <w:pPr>
              <w:spacing w:after="0" w:line="240" w:lineRule="auto"/>
              <w:ind w:left="57" w:right="57"/>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Projekta izpildes ietekme uz pārvaldes funkcijām un institucionālo struktūru.</w:t>
            </w:r>
          </w:p>
          <w:p w:rsidR="004D4104" w:rsidRPr="004D4104" w:rsidRDefault="004D4104" w:rsidP="004D4104">
            <w:pPr>
              <w:spacing w:after="0" w:line="240" w:lineRule="auto"/>
              <w:ind w:left="57" w:right="57"/>
              <w:jc w:val="both"/>
              <w:rPr>
                <w:rFonts w:ascii="Times New Roman" w:eastAsia="Times New Roman" w:hAnsi="Times New Roman" w:cs="Times New Roman"/>
                <w:sz w:val="24"/>
                <w:szCs w:val="24"/>
                <w:lang w:eastAsia="lv-LV"/>
              </w:rPr>
            </w:pPr>
          </w:p>
          <w:p w:rsidR="004D4104" w:rsidRPr="004D4104" w:rsidRDefault="004D4104" w:rsidP="004D4104">
            <w:pPr>
              <w:spacing w:after="0" w:line="240" w:lineRule="auto"/>
              <w:ind w:right="57"/>
              <w:jc w:val="both"/>
              <w:rPr>
                <w:rFonts w:ascii="Times New Roman" w:eastAsia="Times New Roman" w:hAnsi="Times New Roman" w:cs="Times New Roman"/>
                <w:sz w:val="24"/>
                <w:szCs w:val="24"/>
                <w:lang w:eastAsia="lv-LV"/>
              </w:rPr>
            </w:pPr>
          </w:p>
          <w:p w:rsidR="004D4104" w:rsidRPr="004D4104" w:rsidRDefault="004D4104" w:rsidP="004D4104">
            <w:pPr>
              <w:spacing w:after="0" w:line="240" w:lineRule="auto"/>
              <w:ind w:left="57" w:right="57"/>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5698" w:type="dxa"/>
          </w:tcPr>
          <w:p w:rsidR="004D4104" w:rsidRDefault="004D4104" w:rsidP="004D4104">
            <w:pPr>
              <w:spacing w:after="0" w:line="240" w:lineRule="auto"/>
              <w:ind w:firstLine="256"/>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 xml:space="preserve">Ar likumprojektu tiek paplašinātas zvērinātu tiesu izpildītāju funkcijas un uzdevumi. </w:t>
            </w:r>
          </w:p>
          <w:p w:rsidR="004D4104" w:rsidRPr="004D4104" w:rsidRDefault="004D4104" w:rsidP="004D4104">
            <w:pPr>
              <w:spacing w:after="0" w:line="240" w:lineRule="auto"/>
              <w:ind w:firstLine="256"/>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Jaunas institūcijas vai esošu institūciju likvidēšana vai reorganizācija ar šo likumprojektu netiek veikta.</w:t>
            </w:r>
          </w:p>
        </w:tc>
      </w:tr>
      <w:tr w:rsidR="004D4104" w:rsidRPr="004D4104" w:rsidTr="005E1C63">
        <w:trPr>
          <w:trHeight w:val="225"/>
        </w:trPr>
        <w:tc>
          <w:tcPr>
            <w:tcW w:w="454" w:type="dxa"/>
          </w:tcPr>
          <w:p w:rsidR="004D4104" w:rsidRPr="004D4104" w:rsidRDefault="004D4104" w:rsidP="004D4104">
            <w:pPr>
              <w:spacing w:after="0" w:line="240" w:lineRule="auto"/>
              <w:ind w:left="57" w:right="57"/>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3.</w:t>
            </w:r>
          </w:p>
        </w:tc>
        <w:tc>
          <w:tcPr>
            <w:tcW w:w="3090" w:type="dxa"/>
          </w:tcPr>
          <w:p w:rsidR="004D4104" w:rsidRPr="004D4104" w:rsidRDefault="004D4104" w:rsidP="004D4104">
            <w:pPr>
              <w:spacing w:after="0" w:line="240" w:lineRule="auto"/>
              <w:ind w:left="57" w:right="57"/>
              <w:jc w:val="both"/>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4"/>
                <w:szCs w:val="24"/>
                <w:lang w:eastAsia="lv-LV"/>
              </w:rPr>
              <w:t>Cita informācija</w:t>
            </w:r>
          </w:p>
        </w:tc>
        <w:tc>
          <w:tcPr>
            <w:tcW w:w="5698" w:type="dxa"/>
          </w:tcPr>
          <w:p w:rsidR="004D4104" w:rsidRPr="004D4104" w:rsidRDefault="004D4104" w:rsidP="004D4104">
            <w:pPr>
              <w:spacing w:after="0" w:line="240" w:lineRule="auto"/>
              <w:ind w:left="57" w:right="57"/>
              <w:rPr>
                <w:rFonts w:ascii="Times New Roman" w:eastAsia="Times New Roman" w:hAnsi="Times New Roman" w:cs="Times New Roman"/>
                <w:sz w:val="24"/>
                <w:szCs w:val="24"/>
                <w:lang w:eastAsia="lv-LV"/>
              </w:rPr>
            </w:pPr>
            <w:r w:rsidRPr="004D4104">
              <w:rPr>
                <w:rFonts w:ascii="Times New Roman" w:eastAsia="Times New Roman" w:hAnsi="Times New Roman" w:cs="Times New Roman"/>
                <w:lang w:eastAsia="lv-LV"/>
              </w:rPr>
              <w:t>Nav.</w:t>
            </w:r>
          </w:p>
        </w:tc>
      </w:tr>
    </w:tbl>
    <w:p w:rsidR="004D4104" w:rsidRPr="004D4104" w:rsidRDefault="004D4104" w:rsidP="004D4104">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4D4104" w:rsidRPr="004D4104" w:rsidRDefault="004D4104" w:rsidP="004D4104">
      <w:pPr>
        <w:spacing w:after="0" w:line="240" w:lineRule="auto"/>
        <w:jc w:val="both"/>
        <w:rPr>
          <w:rFonts w:ascii="Times New Roman" w:eastAsia="Times New Roman" w:hAnsi="Times New Roman" w:cs="Times New Roman"/>
          <w:bCs/>
          <w:sz w:val="24"/>
          <w:szCs w:val="24"/>
          <w:lang w:eastAsia="lv-LV"/>
        </w:rPr>
      </w:pPr>
      <w:r w:rsidRPr="004D4104">
        <w:rPr>
          <w:rFonts w:ascii="Times New Roman" w:eastAsia="Times New Roman" w:hAnsi="Times New Roman" w:cs="Times New Roman"/>
          <w:bCs/>
          <w:sz w:val="24"/>
          <w:szCs w:val="24"/>
          <w:lang w:eastAsia="lv-LV"/>
        </w:rPr>
        <w:t>Iesniedzējs:</w:t>
      </w:r>
    </w:p>
    <w:p w:rsidR="004D4104" w:rsidRPr="004D4104" w:rsidRDefault="000F61B7" w:rsidP="00651DEB">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w:t>
      </w:r>
      <w:r w:rsidR="00651DEB" w:rsidRPr="004D4104">
        <w:rPr>
          <w:rFonts w:ascii="Times New Roman" w:eastAsia="Times New Roman" w:hAnsi="Times New Roman" w:cs="Times New Roman"/>
          <w:bCs/>
          <w:sz w:val="24"/>
          <w:szCs w:val="24"/>
          <w:lang w:eastAsia="lv-LV"/>
        </w:rPr>
        <w:t xml:space="preserve">ieslietu </w:t>
      </w:r>
      <w:r w:rsidR="00E9090E">
        <w:rPr>
          <w:rFonts w:ascii="Times New Roman" w:eastAsia="Times New Roman" w:hAnsi="Times New Roman" w:cs="Times New Roman"/>
          <w:bCs/>
          <w:sz w:val="24"/>
          <w:szCs w:val="24"/>
          <w:lang w:eastAsia="lv-LV"/>
        </w:rPr>
        <w:t>ministr</w:t>
      </w:r>
      <w:r w:rsidR="005E1C63">
        <w:rPr>
          <w:rFonts w:ascii="Times New Roman" w:eastAsia="Times New Roman" w:hAnsi="Times New Roman" w:cs="Times New Roman"/>
          <w:bCs/>
          <w:sz w:val="24"/>
          <w:szCs w:val="24"/>
          <w:lang w:eastAsia="lv-LV"/>
        </w:rPr>
        <w:t>s</w:t>
      </w:r>
      <w:r w:rsidR="004D4104" w:rsidRPr="004D4104">
        <w:rPr>
          <w:rFonts w:ascii="Times New Roman" w:eastAsia="Times New Roman" w:hAnsi="Times New Roman" w:cs="Times New Roman"/>
          <w:bCs/>
          <w:sz w:val="24"/>
          <w:szCs w:val="24"/>
          <w:lang w:eastAsia="lv-LV"/>
        </w:rPr>
        <w:tab/>
      </w:r>
      <w:r w:rsidR="004D4104" w:rsidRPr="004D4104">
        <w:rPr>
          <w:rFonts w:ascii="Times New Roman" w:eastAsia="Times New Roman" w:hAnsi="Times New Roman" w:cs="Times New Roman"/>
          <w:bCs/>
          <w:sz w:val="24"/>
          <w:szCs w:val="24"/>
          <w:lang w:eastAsia="lv-LV"/>
        </w:rPr>
        <w:tab/>
      </w:r>
      <w:r w:rsidR="004D4104" w:rsidRPr="004D4104">
        <w:rPr>
          <w:rFonts w:ascii="Times New Roman" w:eastAsia="Times New Roman" w:hAnsi="Times New Roman" w:cs="Times New Roman"/>
          <w:bCs/>
          <w:sz w:val="24"/>
          <w:szCs w:val="24"/>
          <w:lang w:eastAsia="lv-LV"/>
        </w:rPr>
        <w:tab/>
      </w:r>
      <w:r w:rsidR="004D4104" w:rsidRPr="004D4104">
        <w:rPr>
          <w:rFonts w:ascii="Times New Roman" w:eastAsia="Times New Roman" w:hAnsi="Times New Roman" w:cs="Times New Roman"/>
          <w:bCs/>
          <w:sz w:val="24"/>
          <w:szCs w:val="24"/>
          <w:lang w:eastAsia="lv-LV"/>
        </w:rPr>
        <w:tab/>
      </w:r>
      <w:r w:rsidR="004D4104" w:rsidRPr="004D4104">
        <w:rPr>
          <w:rFonts w:ascii="Times New Roman" w:eastAsia="Times New Roman" w:hAnsi="Times New Roman" w:cs="Times New Roman"/>
          <w:bCs/>
          <w:sz w:val="24"/>
          <w:szCs w:val="24"/>
          <w:lang w:eastAsia="lv-LV"/>
        </w:rPr>
        <w:tab/>
      </w:r>
      <w:r w:rsidR="004D4104" w:rsidRPr="004D4104">
        <w:rPr>
          <w:rFonts w:ascii="Times New Roman" w:eastAsia="Times New Roman" w:hAnsi="Times New Roman" w:cs="Times New Roman"/>
          <w:bCs/>
          <w:sz w:val="24"/>
          <w:szCs w:val="24"/>
          <w:lang w:eastAsia="lv-LV"/>
        </w:rPr>
        <w:tab/>
      </w:r>
      <w:r w:rsidR="004D4104" w:rsidRPr="004D4104">
        <w:rPr>
          <w:rFonts w:ascii="Times New Roman" w:eastAsia="Times New Roman" w:hAnsi="Times New Roman" w:cs="Times New Roman"/>
          <w:bCs/>
          <w:sz w:val="24"/>
          <w:szCs w:val="24"/>
          <w:lang w:eastAsia="lv-LV"/>
        </w:rPr>
        <w:tab/>
      </w:r>
      <w:r w:rsidR="005E1C63">
        <w:rPr>
          <w:rFonts w:ascii="Times New Roman" w:eastAsia="Times New Roman" w:hAnsi="Times New Roman" w:cs="Times New Roman"/>
          <w:bCs/>
          <w:sz w:val="24"/>
          <w:szCs w:val="24"/>
          <w:lang w:eastAsia="lv-LV"/>
        </w:rPr>
        <w:t>Dzintars Rasnačs</w:t>
      </w:r>
    </w:p>
    <w:p w:rsidR="004D4104" w:rsidRPr="004D4104" w:rsidRDefault="004D4104" w:rsidP="004D4104">
      <w:pPr>
        <w:spacing w:after="0" w:line="240" w:lineRule="auto"/>
        <w:jc w:val="both"/>
        <w:rPr>
          <w:rFonts w:ascii="Times New Roman" w:eastAsia="Times New Roman" w:hAnsi="Times New Roman" w:cs="Times New Roman"/>
          <w:bCs/>
          <w:sz w:val="24"/>
          <w:szCs w:val="24"/>
          <w:lang w:eastAsia="lv-LV"/>
        </w:rPr>
      </w:pPr>
    </w:p>
    <w:p w:rsidR="005211C1" w:rsidRDefault="005211C1" w:rsidP="004F0AE1">
      <w:pPr>
        <w:spacing w:after="0" w:line="240" w:lineRule="auto"/>
        <w:jc w:val="center"/>
        <w:rPr>
          <w:rFonts w:ascii="Times New Roman" w:eastAsia="Times New Roman" w:hAnsi="Times New Roman" w:cs="Times New Roman"/>
          <w:sz w:val="20"/>
          <w:szCs w:val="20"/>
          <w:lang w:eastAsia="lv-LV"/>
        </w:rPr>
      </w:pPr>
    </w:p>
    <w:p w:rsidR="004D4104" w:rsidRPr="004D4104" w:rsidRDefault="00E9090E" w:rsidP="004D410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05.01.2015. 10:32</w:t>
      </w:r>
    </w:p>
    <w:p w:rsidR="004D4104" w:rsidRPr="004D4104" w:rsidRDefault="00651DEB" w:rsidP="004D410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3876</w:t>
      </w:r>
    </w:p>
    <w:p w:rsidR="004D4104" w:rsidRPr="004D4104" w:rsidRDefault="004D4104" w:rsidP="004D4104">
      <w:pPr>
        <w:tabs>
          <w:tab w:val="center" w:pos="4394"/>
        </w:tabs>
        <w:spacing w:after="0" w:line="240" w:lineRule="auto"/>
        <w:ind w:right="-483"/>
        <w:rPr>
          <w:rFonts w:ascii="Times New Roman" w:eastAsia="Times New Roman" w:hAnsi="Times New Roman" w:cs="Times New Roman"/>
          <w:sz w:val="20"/>
          <w:szCs w:val="20"/>
          <w:lang w:eastAsia="lv-LV"/>
        </w:rPr>
      </w:pPr>
      <w:proofErr w:type="spellStart"/>
      <w:r w:rsidRPr="004D4104">
        <w:rPr>
          <w:rFonts w:ascii="Times New Roman" w:eastAsia="Times New Roman" w:hAnsi="Times New Roman" w:cs="Times New Roman"/>
          <w:sz w:val="20"/>
          <w:szCs w:val="20"/>
          <w:lang w:eastAsia="lv-LV"/>
        </w:rPr>
        <w:t>G.Gūtmane</w:t>
      </w:r>
      <w:proofErr w:type="spellEnd"/>
      <w:r w:rsidRPr="004D4104">
        <w:rPr>
          <w:rFonts w:ascii="Times New Roman" w:eastAsia="Times New Roman" w:hAnsi="Times New Roman" w:cs="Times New Roman"/>
          <w:sz w:val="20"/>
          <w:szCs w:val="20"/>
          <w:lang w:eastAsia="lv-LV"/>
        </w:rPr>
        <w:tab/>
      </w:r>
    </w:p>
    <w:p w:rsidR="004D4104" w:rsidRPr="004D4104" w:rsidRDefault="004D4104" w:rsidP="004D4104">
      <w:pPr>
        <w:tabs>
          <w:tab w:val="left" w:pos="7560"/>
        </w:tabs>
        <w:spacing w:after="0" w:line="240" w:lineRule="auto"/>
        <w:ind w:right="-483"/>
        <w:rPr>
          <w:rFonts w:ascii="Times New Roman" w:eastAsia="Times New Roman" w:hAnsi="Times New Roman" w:cs="Times New Roman"/>
          <w:sz w:val="24"/>
          <w:szCs w:val="24"/>
          <w:lang w:eastAsia="lv-LV"/>
        </w:rPr>
      </w:pPr>
      <w:r w:rsidRPr="004D4104">
        <w:rPr>
          <w:rFonts w:ascii="Times New Roman" w:eastAsia="Times New Roman" w:hAnsi="Times New Roman" w:cs="Times New Roman"/>
          <w:sz w:val="20"/>
          <w:szCs w:val="20"/>
          <w:lang w:eastAsia="lv-LV"/>
        </w:rPr>
        <w:t xml:space="preserve">67036856, </w:t>
      </w:r>
      <w:hyperlink r:id="rId8" w:history="1">
        <w:r w:rsidRPr="004D4104">
          <w:rPr>
            <w:rFonts w:ascii="Times New Roman" w:eastAsia="Times New Roman" w:hAnsi="Times New Roman" w:cs="Times New Roman"/>
            <w:sz w:val="20"/>
            <w:szCs w:val="20"/>
            <w:u w:val="single"/>
            <w:lang w:eastAsia="lv-LV"/>
          </w:rPr>
          <w:t>gita.gutmane@tm.gov.lv</w:t>
        </w:r>
      </w:hyperlink>
      <w:r w:rsidRPr="004D4104">
        <w:rPr>
          <w:rFonts w:ascii="Times New Roman" w:eastAsia="Times New Roman" w:hAnsi="Times New Roman" w:cs="Times New Roman"/>
          <w:sz w:val="20"/>
          <w:szCs w:val="20"/>
          <w:lang w:eastAsia="lv-LV"/>
        </w:rPr>
        <w:t xml:space="preserve"> </w:t>
      </w:r>
    </w:p>
    <w:p w:rsidR="004D4104" w:rsidRPr="004D4104" w:rsidRDefault="004D4104" w:rsidP="004D4104">
      <w:pPr>
        <w:spacing w:after="0" w:line="240" w:lineRule="auto"/>
        <w:rPr>
          <w:rFonts w:ascii="Times New Roman" w:eastAsia="Times New Roman" w:hAnsi="Times New Roman" w:cs="Times New Roman"/>
          <w:sz w:val="24"/>
          <w:szCs w:val="24"/>
          <w:lang w:eastAsia="lv-LV"/>
        </w:rPr>
      </w:pPr>
    </w:p>
    <w:p w:rsidR="005C2576" w:rsidRDefault="005C2576" w:rsidP="00E54D29">
      <w:pPr>
        <w:jc w:val="center"/>
      </w:pPr>
    </w:p>
    <w:sectPr w:rsidR="005C2576" w:rsidSect="00D1707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04" w:rsidRDefault="004D4104" w:rsidP="004D4104">
      <w:pPr>
        <w:spacing w:after="0" w:line="240" w:lineRule="auto"/>
      </w:pPr>
      <w:r>
        <w:separator/>
      </w:r>
    </w:p>
  </w:endnote>
  <w:endnote w:type="continuationSeparator" w:id="0">
    <w:p w:rsidR="004D4104" w:rsidRDefault="004D4104" w:rsidP="004D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CD" w:rsidRPr="00EB2437" w:rsidRDefault="00E9090E" w:rsidP="0030654B">
    <w:pPr>
      <w:pStyle w:val="Kjene"/>
      <w:jc w:val="both"/>
      <w:rPr>
        <w:sz w:val="20"/>
        <w:szCs w:val="20"/>
      </w:rPr>
    </w:pPr>
    <w:r>
      <w:rPr>
        <w:sz w:val="20"/>
        <w:szCs w:val="20"/>
      </w:rPr>
      <w:t>TMAnot_050115</w:t>
    </w:r>
    <w:r w:rsidR="004D4104">
      <w:rPr>
        <w:sz w:val="20"/>
        <w:szCs w:val="20"/>
      </w:rPr>
      <w:t>_TIL</w:t>
    </w:r>
    <w:r w:rsidR="004D4104" w:rsidRPr="00026658">
      <w:rPr>
        <w:sz w:val="20"/>
        <w:szCs w:val="20"/>
      </w:rPr>
      <w:t xml:space="preserve">; Likumprojekta „Grozījumi </w:t>
    </w:r>
    <w:r w:rsidR="004D4104">
      <w:rPr>
        <w:sz w:val="20"/>
        <w:szCs w:val="20"/>
      </w:rPr>
      <w:t>Tiesu izpildītāju likumā</w:t>
    </w:r>
    <w:r w:rsidR="004D4104" w:rsidRPr="00026658">
      <w:rPr>
        <w:sz w:val="20"/>
        <w:szCs w:val="20"/>
      </w:rPr>
      <w:t>”</w:t>
    </w:r>
    <w:r w:rsidR="004D4104">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CD" w:rsidRPr="00EB2437" w:rsidRDefault="00E9090E" w:rsidP="00477160">
    <w:pPr>
      <w:pStyle w:val="Kjene"/>
      <w:jc w:val="both"/>
      <w:rPr>
        <w:sz w:val="20"/>
        <w:szCs w:val="20"/>
      </w:rPr>
    </w:pPr>
    <w:r>
      <w:rPr>
        <w:sz w:val="20"/>
        <w:szCs w:val="20"/>
      </w:rPr>
      <w:t>TMAnot_050115</w:t>
    </w:r>
    <w:r w:rsidR="004D4104">
      <w:rPr>
        <w:sz w:val="20"/>
        <w:szCs w:val="20"/>
      </w:rPr>
      <w:t>_TIL</w:t>
    </w:r>
    <w:r w:rsidR="004D4104" w:rsidRPr="00026658">
      <w:rPr>
        <w:sz w:val="20"/>
        <w:szCs w:val="20"/>
      </w:rPr>
      <w:t xml:space="preserve">; Likumprojekta „Grozījumi </w:t>
    </w:r>
    <w:r w:rsidR="004D4104">
      <w:rPr>
        <w:sz w:val="20"/>
        <w:szCs w:val="20"/>
      </w:rPr>
      <w:t>Tiesu izpildītāju likumā</w:t>
    </w:r>
    <w:r w:rsidR="004D4104" w:rsidRPr="00026658">
      <w:rPr>
        <w:sz w:val="20"/>
        <w:szCs w:val="20"/>
      </w:rPr>
      <w:t>”</w:t>
    </w:r>
    <w:r w:rsidR="004D4104">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04" w:rsidRDefault="004D4104" w:rsidP="004D4104">
      <w:pPr>
        <w:spacing w:after="0" w:line="240" w:lineRule="auto"/>
      </w:pPr>
      <w:r>
        <w:separator/>
      </w:r>
    </w:p>
  </w:footnote>
  <w:footnote w:type="continuationSeparator" w:id="0">
    <w:p w:rsidR="004D4104" w:rsidRDefault="004D4104" w:rsidP="004D4104">
      <w:pPr>
        <w:spacing w:after="0" w:line="240" w:lineRule="auto"/>
      </w:pPr>
      <w:r>
        <w:continuationSeparator/>
      </w:r>
    </w:p>
  </w:footnote>
  <w:footnote w:id="1">
    <w:p w:rsidR="004D4104" w:rsidRPr="00182D27" w:rsidRDefault="004D4104" w:rsidP="004D4104">
      <w:pPr>
        <w:pStyle w:val="Vresteksts"/>
        <w:rPr>
          <w:lang w:val="lv-LV"/>
        </w:rPr>
      </w:pPr>
      <w:r>
        <w:rPr>
          <w:rStyle w:val="Vresatsauce"/>
        </w:rPr>
        <w:footnoteRef/>
      </w:r>
      <w:r>
        <w:t xml:space="preserve"> </w:t>
      </w:r>
      <w:r>
        <w:rPr>
          <w:lang w:val="lv-LV"/>
        </w:rPr>
        <w:t xml:space="preserve">J. Neimanis „Ievads tiesībās”, Rīga, 2004, izmantoti teksta </w:t>
      </w:r>
      <w:r w:rsidR="00651DEB">
        <w:rPr>
          <w:lang w:val="lv-LV"/>
        </w:rPr>
        <w:t xml:space="preserve">izvilkumi </w:t>
      </w:r>
      <w:r>
        <w:rPr>
          <w:lang w:val="lv-LV"/>
        </w:rPr>
        <w:t>no 174.-178. lpp.</w:t>
      </w:r>
      <w:r w:rsidDel="00E46E2E">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CD" w:rsidRDefault="004D4104" w:rsidP="0030654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C1BCD" w:rsidRDefault="000831F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CD" w:rsidRDefault="004D4104" w:rsidP="0030654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831FE">
      <w:rPr>
        <w:rStyle w:val="Lappusesnumurs"/>
        <w:noProof/>
      </w:rPr>
      <w:t>12</w:t>
    </w:r>
    <w:r>
      <w:rPr>
        <w:rStyle w:val="Lappusesnumurs"/>
      </w:rPr>
      <w:fldChar w:fldCharType="end"/>
    </w:r>
  </w:p>
  <w:p w:rsidR="003C1BCD" w:rsidRDefault="000831FE" w:rsidP="00FF140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04"/>
    <w:rsid w:val="000025C4"/>
    <w:rsid w:val="00014258"/>
    <w:rsid w:val="00014304"/>
    <w:rsid w:val="0003196E"/>
    <w:rsid w:val="00046C8F"/>
    <w:rsid w:val="000547D4"/>
    <w:rsid w:val="000831FE"/>
    <w:rsid w:val="00093770"/>
    <w:rsid w:val="000A6FDF"/>
    <w:rsid w:val="000F61B7"/>
    <w:rsid w:val="00134B2C"/>
    <w:rsid w:val="001E12BD"/>
    <w:rsid w:val="002215F1"/>
    <w:rsid w:val="0029095E"/>
    <w:rsid w:val="002A1628"/>
    <w:rsid w:val="002C7C65"/>
    <w:rsid w:val="0030199E"/>
    <w:rsid w:val="00314367"/>
    <w:rsid w:val="0032093A"/>
    <w:rsid w:val="00340647"/>
    <w:rsid w:val="003A404E"/>
    <w:rsid w:val="003C65F4"/>
    <w:rsid w:val="00425FB0"/>
    <w:rsid w:val="00432B9B"/>
    <w:rsid w:val="004D4104"/>
    <w:rsid w:val="004F0AE1"/>
    <w:rsid w:val="004F5FCF"/>
    <w:rsid w:val="005211C1"/>
    <w:rsid w:val="005332B7"/>
    <w:rsid w:val="0058556A"/>
    <w:rsid w:val="005C2576"/>
    <w:rsid w:val="005C538D"/>
    <w:rsid w:val="005E1C63"/>
    <w:rsid w:val="00611833"/>
    <w:rsid w:val="00651DEB"/>
    <w:rsid w:val="00671ECC"/>
    <w:rsid w:val="006D565C"/>
    <w:rsid w:val="00707408"/>
    <w:rsid w:val="007346D3"/>
    <w:rsid w:val="00741BC9"/>
    <w:rsid w:val="007738ED"/>
    <w:rsid w:val="00782737"/>
    <w:rsid w:val="007E5216"/>
    <w:rsid w:val="00814F0E"/>
    <w:rsid w:val="00820513"/>
    <w:rsid w:val="008C5C94"/>
    <w:rsid w:val="008F42BA"/>
    <w:rsid w:val="0094276A"/>
    <w:rsid w:val="009A6F78"/>
    <w:rsid w:val="00A302AF"/>
    <w:rsid w:val="00A41F0B"/>
    <w:rsid w:val="00A81CF1"/>
    <w:rsid w:val="00AA1D78"/>
    <w:rsid w:val="00AB236A"/>
    <w:rsid w:val="00AD4A48"/>
    <w:rsid w:val="00AD5CA3"/>
    <w:rsid w:val="00B07F5C"/>
    <w:rsid w:val="00B151BA"/>
    <w:rsid w:val="00B16CD1"/>
    <w:rsid w:val="00B21FD7"/>
    <w:rsid w:val="00B9593D"/>
    <w:rsid w:val="00BA51B0"/>
    <w:rsid w:val="00BD4A44"/>
    <w:rsid w:val="00C738C8"/>
    <w:rsid w:val="00CB406F"/>
    <w:rsid w:val="00D17078"/>
    <w:rsid w:val="00D3658A"/>
    <w:rsid w:val="00D837B2"/>
    <w:rsid w:val="00DB009E"/>
    <w:rsid w:val="00E26F39"/>
    <w:rsid w:val="00E54D29"/>
    <w:rsid w:val="00E70BF8"/>
    <w:rsid w:val="00E9090E"/>
    <w:rsid w:val="00F55174"/>
    <w:rsid w:val="00F853E7"/>
    <w:rsid w:val="00FB1FB8"/>
    <w:rsid w:val="00FB6C33"/>
    <w:rsid w:val="00FF78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4D410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4D4104"/>
    <w:rPr>
      <w:rFonts w:ascii="Times New Roman" w:eastAsia="Times New Roman" w:hAnsi="Times New Roman" w:cs="Times New Roman"/>
      <w:sz w:val="24"/>
      <w:szCs w:val="24"/>
      <w:lang w:eastAsia="lv-LV"/>
    </w:rPr>
  </w:style>
  <w:style w:type="character" w:styleId="Lappusesnumurs">
    <w:name w:val="page number"/>
    <w:rsid w:val="004D4104"/>
  </w:style>
  <w:style w:type="paragraph" w:styleId="Kjene">
    <w:name w:val="footer"/>
    <w:basedOn w:val="Parasts"/>
    <w:link w:val="KjeneRakstz"/>
    <w:uiPriority w:val="99"/>
    <w:rsid w:val="004D410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4D4104"/>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4D4104"/>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rsid w:val="004D4104"/>
    <w:rPr>
      <w:rFonts w:ascii="Times New Roman" w:eastAsia="Times New Roman" w:hAnsi="Times New Roman" w:cs="Times New Roman"/>
      <w:sz w:val="20"/>
      <w:szCs w:val="20"/>
      <w:lang w:val="en-US"/>
    </w:rPr>
  </w:style>
  <w:style w:type="character" w:styleId="Vresatsauce">
    <w:name w:val="footnote reference"/>
    <w:uiPriority w:val="99"/>
    <w:semiHidden/>
    <w:unhideWhenUsed/>
    <w:rsid w:val="004D4104"/>
    <w:rPr>
      <w:vertAlign w:val="superscript"/>
    </w:rPr>
  </w:style>
  <w:style w:type="paragraph" w:styleId="Balonteksts">
    <w:name w:val="Balloon Text"/>
    <w:basedOn w:val="Parasts"/>
    <w:link w:val="BalontekstsRakstz"/>
    <w:uiPriority w:val="99"/>
    <w:semiHidden/>
    <w:unhideWhenUsed/>
    <w:rsid w:val="00651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1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4D410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4D4104"/>
    <w:rPr>
      <w:rFonts w:ascii="Times New Roman" w:eastAsia="Times New Roman" w:hAnsi="Times New Roman" w:cs="Times New Roman"/>
      <w:sz w:val="24"/>
      <w:szCs w:val="24"/>
      <w:lang w:eastAsia="lv-LV"/>
    </w:rPr>
  </w:style>
  <w:style w:type="character" w:styleId="Lappusesnumurs">
    <w:name w:val="page number"/>
    <w:rsid w:val="004D4104"/>
  </w:style>
  <w:style w:type="paragraph" w:styleId="Kjene">
    <w:name w:val="footer"/>
    <w:basedOn w:val="Parasts"/>
    <w:link w:val="KjeneRakstz"/>
    <w:uiPriority w:val="99"/>
    <w:rsid w:val="004D410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4D4104"/>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4D4104"/>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rsid w:val="004D4104"/>
    <w:rPr>
      <w:rFonts w:ascii="Times New Roman" w:eastAsia="Times New Roman" w:hAnsi="Times New Roman" w:cs="Times New Roman"/>
      <w:sz w:val="20"/>
      <w:szCs w:val="20"/>
      <w:lang w:val="en-US"/>
    </w:rPr>
  </w:style>
  <w:style w:type="character" w:styleId="Vresatsauce">
    <w:name w:val="footnote reference"/>
    <w:uiPriority w:val="99"/>
    <w:semiHidden/>
    <w:unhideWhenUsed/>
    <w:rsid w:val="004D4104"/>
    <w:rPr>
      <w:vertAlign w:val="superscript"/>
    </w:rPr>
  </w:style>
  <w:style w:type="paragraph" w:styleId="Balonteksts">
    <w:name w:val="Balloon Text"/>
    <w:basedOn w:val="Parasts"/>
    <w:link w:val="BalontekstsRakstz"/>
    <w:uiPriority w:val="99"/>
    <w:semiHidden/>
    <w:unhideWhenUsed/>
    <w:rsid w:val="00651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1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gutmane@t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907F-FFD5-4ABE-98F0-1F70ABAE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19763</Words>
  <Characters>11266</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Likumprojekta „Grozījumi Tiesu izpildītāju likumā” sākotnējās ietekmes novērtējuma ziņojums (anotācija)</vt:lpstr>
    </vt:vector>
  </TitlesOfParts>
  <Company>Tieslietu Sektors</Company>
  <LinksUpToDate>false</LinksUpToDate>
  <CharactersWithSpaces>30968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Tiesu izpildītāju likumā” sākotnējās ietekmes novērtējuma ziņojums (anotācija)</dc:title>
  <dc:creator>Gita Gutmane</dc:creator>
  <dc:description>G.Gūtmane 67036856, gita.gutmane@tm.gov.lv</dc:description>
  <cp:lastModifiedBy>Viesturs Lacis</cp:lastModifiedBy>
  <cp:revision>7</cp:revision>
  <dcterms:created xsi:type="dcterms:W3CDTF">2015-01-19T10:02:00Z</dcterms:created>
  <dcterms:modified xsi:type="dcterms:W3CDTF">2015-01-22T09:52:00Z</dcterms:modified>
</cp:coreProperties>
</file>