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76" w:rsidRPr="003A4959" w:rsidRDefault="001B7135" w:rsidP="00794DF8">
      <w:pPr>
        <w:pStyle w:val="naisf"/>
        <w:spacing w:before="0" w:beforeAutospacing="0" w:after="0" w:afterAutospacing="0"/>
        <w:jc w:val="center"/>
        <w:rPr>
          <w:b/>
        </w:rPr>
      </w:pPr>
      <w:r w:rsidRPr="003A4959">
        <w:rPr>
          <w:b/>
        </w:rPr>
        <w:t xml:space="preserve">Ministru kabineta noteikumu projekta </w:t>
      </w:r>
      <w:r w:rsidR="00CC1571" w:rsidRPr="003A4959">
        <w:rPr>
          <w:b/>
        </w:rPr>
        <w:t>„</w:t>
      </w:r>
      <w:r w:rsidR="00C01673" w:rsidRPr="003A4959">
        <w:rPr>
          <w:b/>
        </w:rPr>
        <w:t xml:space="preserve">Grozījums Ministru kabineta 2014.gada 20.maija noteikumos Nr.257 „Eiropas Ekonomikas zonas finanšu instrumenta 2009.–2014. gada perioda programmas </w:t>
      </w:r>
      <w:r w:rsidR="00E7500C" w:rsidRPr="003A4959">
        <w:rPr>
          <w:b/>
        </w:rPr>
        <w:t>„</w:t>
      </w:r>
      <w:r w:rsidR="00C01673" w:rsidRPr="003A4959">
        <w:rPr>
          <w:b/>
        </w:rPr>
        <w:t>Nacionālā klimata politika</w:t>
      </w:r>
      <w:r w:rsidR="00C66447" w:rsidRPr="003A4959">
        <w:rPr>
          <w:b/>
        </w:rPr>
        <w:t>”</w:t>
      </w:r>
      <w:r w:rsidR="00C01673" w:rsidRPr="003A4959">
        <w:rPr>
          <w:b/>
        </w:rPr>
        <w:t xml:space="preserve"> neliela apjoma grantu shēmas projektu iesniegumu atklāta konkursa </w:t>
      </w:r>
      <w:r w:rsidR="00C66447" w:rsidRPr="003A4959">
        <w:rPr>
          <w:b/>
        </w:rPr>
        <w:t>„</w:t>
      </w:r>
      <w:r w:rsidR="00C01673" w:rsidRPr="003A4959">
        <w:rPr>
          <w:b/>
        </w:rPr>
        <w:t>Kapacitātes celšana pētījumiem un pasākumiem sabiedrības zināšanu uzlabošanai par klimata pārmaiņām un to radītajām sekām</w:t>
      </w:r>
      <w:r w:rsidR="00C66447" w:rsidRPr="003A4959">
        <w:rPr>
          <w:b/>
        </w:rPr>
        <w:t>”</w:t>
      </w:r>
      <w:r w:rsidR="00C01673" w:rsidRPr="003A4959">
        <w:rPr>
          <w:b/>
        </w:rPr>
        <w:t xml:space="preserve"> nolikums”</w:t>
      </w:r>
      <w:r w:rsidR="00CC1571" w:rsidRPr="003A4959">
        <w:rPr>
          <w:b/>
        </w:rPr>
        <w:t xml:space="preserve">” </w:t>
      </w:r>
      <w:r w:rsidR="00CA1976" w:rsidRPr="003A4959">
        <w:rPr>
          <w:b/>
        </w:rPr>
        <w:t>sākotnējās ietekmes novērtējuma ziņojums (anotācija)</w:t>
      </w:r>
    </w:p>
    <w:p w:rsidR="00CA1976" w:rsidRPr="00546DBB" w:rsidRDefault="00CA1976" w:rsidP="00A262AF">
      <w:pPr>
        <w:pStyle w:val="naisf"/>
        <w:spacing w:before="0" w:beforeAutospacing="0" w:after="0" w:afterAutospacing="0"/>
        <w:jc w:val="right"/>
        <w:rPr>
          <w:sz w:val="28"/>
          <w:szCs w:val="28"/>
        </w:rPr>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2780"/>
        <w:gridCol w:w="6262"/>
      </w:tblGrid>
      <w:tr w:rsidR="00CA1976" w:rsidRPr="00546DBB" w:rsidTr="00F640B6">
        <w:trPr>
          <w:trHeight w:val="419"/>
        </w:trPr>
        <w:tc>
          <w:tcPr>
            <w:tcW w:w="5000" w:type="pct"/>
            <w:gridSpan w:val="3"/>
            <w:vAlign w:val="center"/>
          </w:tcPr>
          <w:p w:rsidR="00CA1976" w:rsidRPr="00546DBB" w:rsidRDefault="00CA1976" w:rsidP="00A262AF">
            <w:pPr>
              <w:pStyle w:val="naisnod"/>
              <w:spacing w:before="0" w:beforeAutospacing="0" w:after="0" w:afterAutospacing="0"/>
              <w:ind w:left="-535" w:right="57"/>
              <w:jc w:val="center"/>
              <w:rPr>
                <w:b/>
              </w:rPr>
            </w:pPr>
            <w:r w:rsidRPr="00546DBB">
              <w:rPr>
                <w:b/>
              </w:rPr>
              <w:t>I. Tiesību akta projekta izstrādes nepieciešamība</w:t>
            </w:r>
          </w:p>
        </w:tc>
      </w:tr>
      <w:tr w:rsidR="00CA1976" w:rsidRPr="00546DBB" w:rsidTr="007410D5">
        <w:trPr>
          <w:trHeight w:val="415"/>
        </w:trPr>
        <w:tc>
          <w:tcPr>
            <w:tcW w:w="482" w:type="pct"/>
          </w:tcPr>
          <w:p w:rsidR="00CA1976" w:rsidRPr="00546DBB" w:rsidRDefault="00CA1976" w:rsidP="000C3AEB">
            <w:pPr>
              <w:pStyle w:val="naiskr"/>
              <w:spacing w:before="0" w:beforeAutospacing="0" w:after="0" w:afterAutospacing="0"/>
              <w:ind w:left="57" w:right="57"/>
            </w:pPr>
            <w:r w:rsidRPr="00546DBB">
              <w:t>1.</w:t>
            </w:r>
          </w:p>
        </w:tc>
        <w:tc>
          <w:tcPr>
            <w:tcW w:w="1389" w:type="pct"/>
          </w:tcPr>
          <w:p w:rsidR="00CA1976" w:rsidRPr="00546DBB" w:rsidRDefault="00CA1976" w:rsidP="0061029D">
            <w:pPr>
              <w:pStyle w:val="naiskr"/>
              <w:spacing w:before="0" w:beforeAutospacing="0" w:after="200" w:afterAutospacing="0" w:line="360" w:lineRule="auto"/>
              <w:ind w:left="57" w:right="57"/>
            </w:pPr>
            <w:r w:rsidRPr="00546DBB">
              <w:t>Pamatojums</w:t>
            </w:r>
          </w:p>
        </w:tc>
        <w:tc>
          <w:tcPr>
            <w:tcW w:w="3129" w:type="pct"/>
            <w:tcBorders>
              <w:bottom w:val="nil"/>
            </w:tcBorders>
          </w:tcPr>
          <w:p w:rsidR="00CA1976" w:rsidRPr="00546DBB" w:rsidRDefault="00CA1976" w:rsidP="00F351D9">
            <w:pPr>
              <w:spacing w:after="0" w:line="240" w:lineRule="auto"/>
              <w:ind w:right="181"/>
              <w:jc w:val="both"/>
              <w:rPr>
                <w:rFonts w:ascii="Times New Roman" w:hAnsi="Times New Roman"/>
                <w:sz w:val="24"/>
                <w:szCs w:val="24"/>
              </w:rPr>
            </w:pPr>
            <w:r w:rsidRPr="00546DBB">
              <w:rPr>
                <w:rFonts w:ascii="Times New Roman" w:hAnsi="Times New Roman"/>
                <w:sz w:val="24"/>
                <w:szCs w:val="24"/>
              </w:rPr>
              <w:t>Ministru kabineta noteikumu projekts (turpmāk –</w:t>
            </w:r>
            <w:r w:rsidR="00F351D9">
              <w:rPr>
                <w:rFonts w:ascii="Times New Roman" w:hAnsi="Times New Roman"/>
                <w:sz w:val="24"/>
                <w:szCs w:val="24"/>
              </w:rPr>
              <w:t xml:space="preserve"> </w:t>
            </w:r>
            <w:r w:rsidRPr="00546DBB">
              <w:rPr>
                <w:rFonts w:ascii="Times New Roman" w:hAnsi="Times New Roman"/>
                <w:sz w:val="24"/>
                <w:szCs w:val="24"/>
              </w:rPr>
              <w:t xml:space="preserve">noteikumu projekts) izstrādāts </w:t>
            </w:r>
            <w:r w:rsidR="005870F0">
              <w:rPr>
                <w:rFonts w:ascii="Times New Roman" w:hAnsi="Times New Roman"/>
                <w:sz w:val="24"/>
                <w:szCs w:val="24"/>
              </w:rPr>
              <w:t>ņemot vērā</w:t>
            </w:r>
            <w:r w:rsidR="001F2652">
              <w:rPr>
                <w:rFonts w:ascii="Times New Roman" w:hAnsi="Times New Roman"/>
                <w:sz w:val="24"/>
                <w:szCs w:val="24"/>
              </w:rPr>
              <w:t xml:space="preserve">, ka </w:t>
            </w:r>
            <w:r w:rsidR="009E237D">
              <w:rPr>
                <w:rFonts w:ascii="Times New Roman" w:hAnsi="Times New Roman"/>
                <w:sz w:val="24"/>
                <w:szCs w:val="24"/>
              </w:rPr>
              <w:t xml:space="preserve">2015.gada 4.martā stājās spēkā </w:t>
            </w:r>
            <w:r w:rsidRPr="00546DBB">
              <w:rPr>
                <w:rFonts w:ascii="Times New Roman" w:hAnsi="Times New Roman"/>
                <w:sz w:val="24"/>
                <w:szCs w:val="24"/>
              </w:rPr>
              <w:t xml:space="preserve">Eiropas Ekonomikas zonas finanšu instrumenta </w:t>
            </w:r>
            <w:r w:rsidR="001F2652">
              <w:rPr>
                <w:rFonts w:ascii="Times New Roman" w:hAnsi="Times New Roman"/>
                <w:sz w:val="24"/>
                <w:szCs w:val="24"/>
              </w:rPr>
              <w:t>2009.</w:t>
            </w:r>
            <w:r w:rsidR="00AE6015">
              <w:rPr>
                <w:rFonts w:ascii="Times New Roman" w:hAnsi="Times New Roman"/>
                <w:sz w:val="24"/>
                <w:szCs w:val="24"/>
              </w:rPr>
              <w:t>-</w:t>
            </w:r>
            <w:r w:rsidR="001F2652">
              <w:rPr>
                <w:rFonts w:ascii="Times New Roman" w:hAnsi="Times New Roman"/>
                <w:sz w:val="24"/>
                <w:szCs w:val="24"/>
              </w:rPr>
              <w:t>2014.gada</w:t>
            </w:r>
            <w:r w:rsidR="00AE6015">
              <w:rPr>
                <w:rFonts w:ascii="Times New Roman" w:hAnsi="Times New Roman"/>
                <w:sz w:val="24"/>
                <w:szCs w:val="24"/>
              </w:rPr>
              <w:t xml:space="preserve"> </w:t>
            </w:r>
            <w:r w:rsidR="001F2652">
              <w:rPr>
                <w:rFonts w:ascii="Times New Roman" w:hAnsi="Times New Roman"/>
                <w:sz w:val="24"/>
                <w:szCs w:val="24"/>
              </w:rPr>
              <w:t xml:space="preserve">perioda programmas </w:t>
            </w:r>
            <w:r w:rsidR="00CE5509" w:rsidRPr="00CE5509">
              <w:rPr>
                <w:rFonts w:ascii="Times New Roman" w:hAnsi="Times New Roman"/>
                <w:sz w:val="24"/>
                <w:szCs w:val="24"/>
              </w:rPr>
              <w:t>„</w:t>
            </w:r>
            <w:r w:rsidR="001F2652">
              <w:rPr>
                <w:rFonts w:ascii="Times New Roman" w:hAnsi="Times New Roman"/>
                <w:sz w:val="24"/>
                <w:szCs w:val="24"/>
              </w:rPr>
              <w:t>Nacionālā</w:t>
            </w:r>
            <w:r w:rsidR="00AE6015">
              <w:rPr>
                <w:rFonts w:ascii="Times New Roman" w:hAnsi="Times New Roman"/>
                <w:sz w:val="24"/>
                <w:szCs w:val="24"/>
              </w:rPr>
              <w:t xml:space="preserve"> klimata politika” </w:t>
            </w:r>
            <w:r w:rsidR="002E0511">
              <w:rPr>
                <w:rFonts w:ascii="Times New Roman" w:hAnsi="Times New Roman"/>
                <w:sz w:val="24"/>
                <w:szCs w:val="24"/>
              </w:rPr>
              <w:t xml:space="preserve">(turpmāk – </w:t>
            </w:r>
            <w:r w:rsidR="005870F0">
              <w:rPr>
                <w:rFonts w:ascii="Times New Roman" w:hAnsi="Times New Roman"/>
                <w:sz w:val="24"/>
                <w:szCs w:val="24"/>
              </w:rPr>
              <w:t>P</w:t>
            </w:r>
            <w:r w:rsidR="002E0511">
              <w:rPr>
                <w:rFonts w:ascii="Times New Roman" w:hAnsi="Times New Roman"/>
                <w:sz w:val="24"/>
                <w:szCs w:val="24"/>
              </w:rPr>
              <w:t xml:space="preserve">rogramma) </w:t>
            </w:r>
            <w:r w:rsidR="009E237D">
              <w:rPr>
                <w:rFonts w:ascii="Times New Roman" w:hAnsi="Times New Roman"/>
                <w:sz w:val="24"/>
                <w:szCs w:val="24"/>
              </w:rPr>
              <w:t>līguma</w:t>
            </w:r>
            <w:r w:rsidR="00AE6015">
              <w:rPr>
                <w:rFonts w:ascii="Times New Roman" w:hAnsi="Times New Roman"/>
                <w:sz w:val="24"/>
                <w:szCs w:val="24"/>
              </w:rPr>
              <w:t xml:space="preserve"> </w:t>
            </w:r>
            <w:r w:rsidR="001F2652">
              <w:rPr>
                <w:rFonts w:ascii="Times New Roman" w:hAnsi="Times New Roman"/>
                <w:sz w:val="24"/>
                <w:szCs w:val="24"/>
              </w:rPr>
              <w:t xml:space="preserve">grozījumi, kas saistīti ar finansējuma pārdali </w:t>
            </w:r>
            <w:r w:rsidR="005870F0">
              <w:rPr>
                <w:rFonts w:ascii="Times New Roman" w:hAnsi="Times New Roman"/>
                <w:sz w:val="24"/>
                <w:szCs w:val="24"/>
              </w:rPr>
              <w:t>P</w:t>
            </w:r>
            <w:r w:rsidR="001F2652">
              <w:rPr>
                <w:rFonts w:ascii="Times New Roman" w:hAnsi="Times New Roman"/>
                <w:sz w:val="24"/>
                <w:szCs w:val="24"/>
              </w:rPr>
              <w:t>rogrammas ietvaros.</w:t>
            </w:r>
          </w:p>
        </w:tc>
      </w:tr>
      <w:tr w:rsidR="00CA1976" w:rsidRPr="00546DBB" w:rsidTr="00F640B6">
        <w:trPr>
          <w:trHeight w:val="472"/>
        </w:trPr>
        <w:tc>
          <w:tcPr>
            <w:tcW w:w="482" w:type="pct"/>
          </w:tcPr>
          <w:p w:rsidR="00CA1976" w:rsidRPr="00546DBB" w:rsidRDefault="00CA1976" w:rsidP="000C3AEB">
            <w:pPr>
              <w:pStyle w:val="naiskr"/>
              <w:spacing w:before="0" w:beforeAutospacing="0" w:after="0" w:afterAutospacing="0"/>
              <w:ind w:left="57" w:right="57"/>
            </w:pPr>
            <w:r w:rsidRPr="00546DBB">
              <w:t>2.</w:t>
            </w:r>
          </w:p>
        </w:tc>
        <w:tc>
          <w:tcPr>
            <w:tcW w:w="1389" w:type="pct"/>
          </w:tcPr>
          <w:p w:rsidR="00CA1976" w:rsidRPr="00546DBB" w:rsidRDefault="00CA1976" w:rsidP="001615B9">
            <w:pPr>
              <w:pStyle w:val="naiskr"/>
              <w:tabs>
                <w:tab w:val="left" w:pos="170"/>
              </w:tabs>
              <w:spacing w:before="0" w:beforeAutospacing="0" w:after="0" w:afterAutospacing="0"/>
              <w:ind w:left="57" w:right="57"/>
              <w:jc w:val="both"/>
            </w:pPr>
            <w:r w:rsidRPr="00546DBB">
              <w:t>Pašreizējā situācija un problēmas, kuru risināšanai tiesību akta projekts izstrādāts, tiesiskā regulējuma mērķis un būtība</w:t>
            </w:r>
          </w:p>
        </w:tc>
        <w:tc>
          <w:tcPr>
            <w:tcW w:w="3129" w:type="pct"/>
          </w:tcPr>
          <w:p w:rsidR="002E0511" w:rsidRDefault="005870F0" w:rsidP="002E0511">
            <w:pPr>
              <w:pStyle w:val="Heading3"/>
              <w:shd w:val="clear" w:color="auto" w:fill="FFFFFF"/>
              <w:spacing w:before="0" w:beforeAutospacing="0" w:after="0" w:afterAutospacing="0"/>
              <w:ind w:right="57"/>
              <w:jc w:val="both"/>
              <w:rPr>
                <w:b w:val="0"/>
                <w:bCs w:val="0"/>
                <w:sz w:val="24"/>
                <w:szCs w:val="24"/>
              </w:rPr>
            </w:pPr>
            <w:r>
              <w:rPr>
                <w:b w:val="0"/>
                <w:bCs w:val="0"/>
                <w:sz w:val="24"/>
                <w:szCs w:val="24"/>
              </w:rPr>
              <w:t>P</w:t>
            </w:r>
            <w:r w:rsidR="002E0511" w:rsidRPr="00546DBB">
              <w:rPr>
                <w:b w:val="0"/>
                <w:bCs w:val="0"/>
                <w:sz w:val="24"/>
                <w:szCs w:val="24"/>
              </w:rPr>
              <w:t xml:space="preserve">rogrammas </w:t>
            </w:r>
            <w:r w:rsidRPr="00546DBB">
              <w:rPr>
                <w:b w:val="0"/>
                <w:bCs w:val="0"/>
                <w:sz w:val="24"/>
                <w:szCs w:val="24"/>
              </w:rPr>
              <w:t>2013.gada 6.mart</w:t>
            </w:r>
            <w:r>
              <w:rPr>
                <w:b w:val="0"/>
                <w:bCs w:val="0"/>
                <w:sz w:val="24"/>
                <w:szCs w:val="24"/>
              </w:rPr>
              <w:t>a</w:t>
            </w:r>
            <w:r w:rsidRPr="00546DBB">
              <w:rPr>
                <w:b w:val="0"/>
                <w:bCs w:val="0"/>
                <w:sz w:val="24"/>
                <w:szCs w:val="24"/>
              </w:rPr>
              <w:t xml:space="preserve"> </w:t>
            </w:r>
            <w:r w:rsidR="002E0511" w:rsidRPr="00546DBB">
              <w:rPr>
                <w:b w:val="0"/>
                <w:bCs w:val="0"/>
                <w:sz w:val="24"/>
                <w:szCs w:val="24"/>
              </w:rPr>
              <w:t>līgum</w:t>
            </w:r>
            <w:r w:rsidR="002E0511">
              <w:rPr>
                <w:b w:val="0"/>
                <w:bCs w:val="0"/>
                <w:sz w:val="24"/>
                <w:szCs w:val="24"/>
              </w:rPr>
              <w:t>ā</w:t>
            </w:r>
            <w:r w:rsidR="00F94A91" w:rsidRPr="00546DBB">
              <w:rPr>
                <w:b w:val="0"/>
                <w:bCs w:val="0"/>
                <w:sz w:val="24"/>
                <w:szCs w:val="24"/>
              </w:rPr>
              <w:t xml:space="preserve"> </w:t>
            </w:r>
            <w:r w:rsidR="002E0511" w:rsidRPr="00546DBB">
              <w:rPr>
                <w:b w:val="0"/>
                <w:bCs w:val="0"/>
                <w:sz w:val="24"/>
                <w:szCs w:val="24"/>
              </w:rPr>
              <w:t>neliela apjoma grantu shēmas konkursam</w:t>
            </w:r>
            <w:r w:rsidR="002E0511">
              <w:rPr>
                <w:b w:val="0"/>
                <w:bCs w:val="0"/>
                <w:sz w:val="24"/>
                <w:szCs w:val="24"/>
              </w:rPr>
              <w:t xml:space="preserve"> </w:t>
            </w:r>
            <w:r w:rsidR="00CE5509" w:rsidRPr="00CE5509">
              <w:rPr>
                <w:b w:val="0"/>
                <w:bCs w:val="0"/>
                <w:sz w:val="24"/>
                <w:szCs w:val="24"/>
              </w:rPr>
              <w:t>„</w:t>
            </w:r>
            <w:r w:rsidR="002E0511" w:rsidRPr="001F2652">
              <w:rPr>
                <w:b w:val="0"/>
                <w:bCs w:val="0"/>
                <w:sz w:val="24"/>
                <w:szCs w:val="24"/>
              </w:rPr>
              <w:t>Kapacitātes celšana pētījumiem un pasākumiem sabiedrības zināšanu uzlabošanai par klimata pārmaiņām un to radītajām sekām</w:t>
            </w:r>
            <w:r w:rsidR="002E0511">
              <w:rPr>
                <w:b w:val="0"/>
                <w:bCs w:val="0"/>
                <w:sz w:val="24"/>
                <w:szCs w:val="24"/>
              </w:rPr>
              <w:t xml:space="preserve">” (turpmāk – grantu shēmas konkurss) </w:t>
            </w:r>
            <w:r w:rsidR="002E0511" w:rsidRPr="00546DBB">
              <w:rPr>
                <w:b w:val="0"/>
                <w:bCs w:val="0"/>
                <w:sz w:val="24"/>
                <w:szCs w:val="24"/>
              </w:rPr>
              <w:t>tik</w:t>
            </w:r>
            <w:r w:rsidR="002E0511">
              <w:rPr>
                <w:b w:val="0"/>
                <w:bCs w:val="0"/>
                <w:sz w:val="24"/>
                <w:szCs w:val="24"/>
              </w:rPr>
              <w:t>a</w:t>
            </w:r>
            <w:r w:rsidR="002E0511" w:rsidRPr="00546DBB">
              <w:rPr>
                <w:b w:val="0"/>
                <w:bCs w:val="0"/>
                <w:sz w:val="24"/>
                <w:szCs w:val="24"/>
              </w:rPr>
              <w:t xml:space="preserve"> paredzēti</w:t>
            </w:r>
            <w:r w:rsidR="002E0511">
              <w:rPr>
                <w:b w:val="0"/>
                <w:bCs w:val="0"/>
                <w:sz w:val="24"/>
                <w:szCs w:val="24"/>
              </w:rPr>
              <w:t xml:space="preserve"> </w:t>
            </w:r>
            <w:r w:rsidR="002E0511" w:rsidRPr="00546DBB">
              <w:rPr>
                <w:b w:val="0"/>
                <w:bCs w:val="0"/>
                <w:sz w:val="24"/>
                <w:szCs w:val="24"/>
              </w:rPr>
              <w:t xml:space="preserve">1 718 044 </w:t>
            </w:r>
            <w:r w:rsidR="002E0511" w:rsidRPr="00546DBB">
              <w:rPr>
                <w:b w:val="0"/>
                <w:bCs w:val="0"/>
                <w:i/>
                <w:sz w:val="24"/>
                <w:szCs w:val="24"/>
              </w:rPr>
              <w:t>euro</w:t>
            </w:r>
            <w:r w:rsidR="002E0511">
              <w:rPr>
                <w:b w:val="0"/>
                <w:bCs w:val="0"/>
                <w:i/>
                <w:sz w:val="24"/>
                <w:szCs w:val="24"/>
              </w:rPr>
              <w:t xml:space="preserve">, </w:t>
            </w:r>
            <w:r w:rsidR="002E0511" w:rsidRPr="00DB45AF">
              <w:rPr>
                <w:b w:val="0"/>
                <w:bCs w:val="0"/>
                <w:sz w:val="24"/>
                <w:szCs w:val="24"/>
              </w:rPr>
              <w:t>kā arī noteikti</w:t>
            </w:r>
            <w:r w:rsidR="002E0511">
              <w:rPr>
                <w:b w:val="0"/>
                <w:bCs w:val="0"/>
                <w:sz w:val="24"/>
                <w:szCs w:val="24"/>
              </w:rPr>
              <w:t xml:space="preserve"> šādi</w:t>
            </w:r>
            <w:r w:rsidR="00CE5509">
              <w:rPr>
                <w:b w:val="0"/>
                <w:bCs w:val="0"/>
                <w:sz w:val="24"/>
                <w:szCs w:val="24"/>
              </w:rPr>
              <w:t xml:space="preserve"> sasniedzamie iznākuma radītāji</w:t>
            </w:r>
            <w:r w:rsidR="002E0511">
              <w:rPr>
                <w:b w:val="0"/>
                <w:bCs w:val="0"/>
                <w:sz w:val="24"/>
                <w:szCs w:val="24"/>
              </w:rPr>
              <w:t>:</w:t>
            </w:r>
          </w:p>
          <w:p w:rsidR="002E0511" w:rsidRPr="00DB45AF" w:rsidRDefault="002E0511" w:rsidP="002E0511">
            <w:pPr>
              <w:pStyle w:val="naisf"/>
              <w:numPr>
                <w:ilvl w:val="0"/>
                <w:numId w:val="20"/>
              </w:numPr>
              <w:spacing w:before="0" w:beforeAutospacing="0" w:after="0" w:afterAutospacing="0"/>
              <w:jc w:val="both"/>
            </w:pPr>
            <w:r w:rsidRPr="00DB45AF">
              <w:t>organizēti 12 publicitātes un informācijas pasākumi (semināri un kampaņas);</w:t>
            </w:r>
          </w:p>
          <w:p w:rsidR="002E0511" w:rsidRDefault="002E0511" w:rsidP="002E0511">
            <w:pPr>
              <w:pStyle w:val="naisf"/>
              <w:numPr>
                <w:ilvl w:val="0"/>
                <w:numId w:val="20"/>
              </w:numPr>
              <w:spacing w:before="0" w:beforeAutospacing="0" w:after="0" w:afterAutospacing="0"/>
              <w:jc w:val="both"/>
            </w:pPr>
            <w:r w:rsidRPr="00DB45AF">
              <w:t>īstenoti septiņi pētījumi par klimata pārmaiņu pētījumu metodoloģijām, rādītāju sistēmām un horizontālajiem jautājumiem;</w:t>
            </w:r>
          </w:p>
          <w:p w:rsidR="002E0511" w:rsidRDefault="002E0511" w:rsidP="002E0511">
            <w:pPr>
              <w:pStyle w:val="naisf"/>
              <w:numPr>
                <w:ilvl w:val="0"/>
                <w:numId w:val="20"/>
              </w:numPr>
              <w:spacing w:before="0" w:beforeAutospacing="0" w:after="0" w:afterAutospacing="0"/>
              <w:jc w:val="both"/>
            </w:pPr>
            <w:r w:rsidRPr="00DB45AF">
              <w:t>izstrādāti četri profesionālās izglītības programmas moduļi klimat</w:t>
            </w:r>
            <w:r>
              <w:t>a pārmaiņu un pielāgošanās jomā.</w:t>
            </w:r>
          </w:p>
          <w:p w:rsidR="002E0511" w:rsidRPr="00546DBB" w:rsidRDefault="002E0511" w:rsidP="009D5BAB">
            <w:pPr>
              <w:pStyle w:val="Heading3"/>
              <w:shd w:val="clear" w:color="auto" w:fill="FFFFFF"/>
              <w:spacing w:before="0" w:beforeAutospacing="0" w:after="0" w:afterAutospacing="0"/>
              <w:ind w:right="57"/>
              <w:jc w:val="both"/>
              <w:rPr>
                <w:b w:val="0"/>
                <w:sz w:val="24"/>
                <w:szCs w:val="24"/>
              </w:rPr>
            </w:pPr>
          </w:p>
          <w:p w:rsidR="00C914E6" w:rsidRPr="00546DBB" w:rsidRDefault="00F94A91" w:rsidP="00C914E6">
            <w:pPr>
              <w:pStyle w:val="naisf"/>
              <w:spacing w:before="0" w:beforeAutospacing="0" w:after="0" w:afterAutospacing="0"/>
              <w:ind w:right="77"/>
              <w:jc w:val="both"/>
            </w:pPr>
            <w:r>
              <w:t xml:space="preserve">Pašreiz spēkā esošo </w:t>
            </w:r>
            <w:r w:rsidR="002E0511" w:rsidRPr="002E0511">
              <w:t>Ministru kabineta 2014.gada 20.maija noteikumos Nr.257 „Eiropas Ekonomikas zonas finanšu instrumenta 2009.–2014. gada perioda programmas „Nacionālā klimata politika” neliela apjoma grantu shēmas projektu iesniegumu atklāta konkursa „Kapacitātes celšana pētījumiem un pasākumiem sabiedrības zināšanu uzlabošanai par klimata pārmaiņām un to radītajām sekām” nolikums”</w:t>
            </w:r>
            <w:r w:rsidR="002E0511">
              <w:t xml:space="preserve"> (turpmāk</w:t>
            </w:r>
            <w:r w:rsidR="00F351D9">
              <w:t xml:space="preserve"> </w:t>
            </w:r>
            <w:r w:rsidR="005870F0" w:rsidRPr="00546DBB">
              <w:t>–</w:t>
            </w:r>
            <w:r w:rsidR="00F351D9" w:rsidRPr="00546DBB">
              <w:t xml:space="preserve"> </w:t>
            </w:r>
            <w:r w:rsidR="002E0511">
              <w:t xml:space="preserve">MK noteikumi Nr.257) </w:t>
            </w:r>
            <w:r>
              <w:t xml:space="preserve">6.punktā ir paredzēts, ka </w:t>
            </w:r>
            <w:r w:rsidR="002E0511">
              <w:t>p</w:t>
            </w:r>
            <w:r w:rsidR="00C914E6" w:rsidRPr="00546DBB">
              <w:t>ieejamais līdzfinansējums</w:t>
            </w:r>
            <w:r w:rsidR="00C914E6">
              <w:t xml:space="preserve"> grantu shēmas konkursa ietvaros</w:t>
            </w:r>
            <w:r w:rsidR="00C914E6" w:rsidRPr="00546DBB">
              <w:t xml:space="preserve"> ir noteikts pa atbalsta jomām:</w:t>
            </w:r>
          </w:p>
          <w:p w:rsidR="00C914E6" w:rsidRPr="00546DBB" w:rsidRDefault="00C914E6" w:rsidP="00C914E6">
            <w:pPr>
              <w:pStyle w:val="naisf"/>
              <w:numPr>
                <w:ilvl w:val="0"/>
                <w:numId w:val="19"/>
              </w:numPr>
              <w:spacing w:before="0" w:beforeAutospacing="0" w:after="0" w:afterAutospacing="0"/>
              <w:ind w:right="79"/>
              <w:jc w:val="both"/>
            </w:pPr>
            <w:r w:rsidRPr="00546DBB">
              <w:t>pasākumi, lai veicinātu sabiedrības izpratni un zināšanas par klimata pārmaiņām:</w:t>
            </w:r>
          </w:p>
          <w:p w:rsidR="00C914E6" w:rsidRPr="00546DBB" w:rsidRDefault="00C914E6" w:rsidP="00C914E6">
            <w:pPr>
              <w:pStyle w:val="naisf"/>
              <w:numPr>
                <w:ilvl w:val="1"/>
                <w:numId w:val="19"/>
              </w:numPr>
              <w:spacing w:before="0" w:beforeAutospacing="0" w:after="0" w:afterAutospacing="0"/>
              <w:ind w:left="939" w:right="79" w:hanging="579"/>
              <w:jc w:val="both"/>
            </w:pPr>
            <w:r w:rsidRPr="00546DBB">
              <w:t xml:space="preserve">izpratnes paaugstināšana klimata pārmaiņu jomā, izstrādājot un organizējot apmācības un izstrādājot izglītības un studiju programmu moduļus – 700 000 </w:t>
            </w:r>
            <w:r w:rsidRPr="00546DBB">
              <w:rPr>
                <w:i/>
              </w:rPr>
              <w:t>euro</w:t>
            </w:r>
            <w:r w:rsidRPr="00546DBB">
              <w:t>;</w:t>
            </w:r>
          </w:p>
          <w:p w:rsidR="00C914E6" w:rsidRPr="00546DBB" w:rsidRDefault="00C914E6" w:rsidP="00C914E6">
            <w:pPr>
              <w:pStyle w:val="naisf"/>
              <w:numPr>
                <w:ilvl w:val="1"/>
                <w:numId w:val="19"/>
              </w:numPr>
              <w:spacing w:before="0" w:beforeAutospacing="0" w:after="0" w:afterAutospacing="0"/>
              <w:ind w:left="939" w:right="79" w:hanging="579"/>
              <w:jc w:val="both"/>
            </w:pPr>
            <w:r w:rsidRPr="00546DBB">
              <w:t xml:space="preserve">izglītojošu projektu un informatīvu kampaņu </w:t>
            </w:r>
            <w:r w:rsidRPr="00546DBB">
              <w:lastRenderedPageBreak/>
              <w:t xml:space="preserve">organizēšana, lai veicinātu sabiedrības izpratni un zināšanas par klimata pārmaiņām - 540 000 </w:t>
            </w:r>
            <w:r w:rsidRPr="00546DBB">
              <w:rPr>
                <w:i/>
              </w:rPr>
              <w:t>euro</w:t>
            </w:r>
            <w:r w:rsidRPr="00546DBB">
              <w:t xml:space="preserve">; </w:t>
            </w:r>
          </w:p>
          <w:p w:rsidR="00C914E6" w:rsidRDefault="00C914E6" w:rsidP="00C914E6">
            <w:pPr>
              <w:pStyle w:val="naisf"/>
              <w:numPr>
                <w:ilvl w:val="0"/>
                <w:numId w:val="19"/>
              </w:numPr>
              <w:spacing w:before="0" w:beforeAutospacing="0" w:after="0" w:afterAutospacing="0"/>
              <w:ind w:right="79"/>
              <w:jc w:val="both"/>
            </w:pPr>
            <w:r w:rsidRPr="00546DBB">
              <w:t xml:space="preserve">kapacitātes paaugstināšana, izstrādājot pētījumus klimata pārmaiņu jomā - 478 044 </w:t>
            </w:r>
            <w:r w:rsidRPr="00546DBB">
              <w:rPr>
                <w:i/>
              </w:rPr>
              <w:t>euro</w:t>
            </w:r>
            <w:r w:rsidRPr="00546DBB">
              <w:t>.</w:t>
            </w:r>
          </w:p>
          <w:p w:rsidR="00CA1976" w:rsidRPr="00546DBB" w:rsidRDefault="00CA1976" w:rsidP="00304612">
            <w:pPr>
              <w:pStyle w:val="Heading3"/>
              <w:shd w:val="clear" w:color="auto" w:fill="FFFFFF"/>
              <w:spacing w:before="0" w:beforeAutospacing="0" w:after="0" w:afterAutospacing="0"/>
              <w:ind w:right="57"/>
              <w:rPr>
                <w:b w:val="0"/>
                <w:sz w:val="24"/>
                <w:szCs w:val="24"/>
              </w:rPr>
            </w:pPr>
          </w:p>
          <w:p w:rsidR="002E0511" w:rsidRDefault="002E0511" w:rsidP="002E0511">
            <w:pPr>
              <w:pStyle w:val="naisf"/>
              <w:spacing w:before="0" w:beforeAutospacing="0" w:after="0" w:afterAutospacing="0"/>
              <w:ind w:right="79"/>
              <w:jc w:val="both"/>
            </w:pPr>
            <w:r>
              <w:t>Grantu shēmas konkursa projektu iesniegumu vērtēšanas rezultātā tika konstatēts, ka uz atbalsta saņemšanu pētījumu izstrādei pretendē 10 projektu iesniedzēji, bet finansējums ir pietiekams tikai trīs projektu īstenošanas nodrošināšanai, līdz ar to, lai uzlabotu</w:t>
            </w:r>
            <w:r w:rsidR="00BF439E">
              <w:t xml:space="preserve"> </w:t>
            </w:r>
            <w:r w:rsidR="005870F0">
              <w:t xml:space="preserve">Grantu shēmas </w:t>
            </w:r>
            <w:r w:rsidR="009E237D">
              <w:t xml:space="preserve">konkursa </w:t>
            </w:r>
            <w:r>
              <w:t xml:space="preserve">sasniedzamo iznākuma rādītāju, un ņemot vērā, ka </w:t>
            </w:r>
            <w:r w:rsidR="005870F0">
              <w:t>P</w:t>
            </w:r>
            <w:r>
              <w:t xml:space="preserve">rogrammas </w:t>
            </w:r>
            <w:r w:rsidR="003D388E">
              <w:t>vadības funkciju nodrošināšanai</w:t>
            </w:r>
            <w:r>
              <w:t xml:space="preserve"> </w:t>
            </w:r>
            <w:r w:rsidR="003D388E">
              <w:t xml:space="preserve">plānotajā </w:t>
            </w:r>
            <w:r>
              <w:t xml:space="preserve">budžetā ir </w:t>
            </w:r>
            <w:r w:rsidR="003D388E">
              <w:t>līdzekļi, kas netiktu apgūti</w:t>
            </w:r>
            <w:r>
              <w:t xml:space="preserve">, </w:t>
            </w:r>
            <w:r w:rsidR="005870F0">
              <w:t>P</w:t>
            </w:r>
            <w:r w:rsidR="009E237D">
              <w:t xml:space="preserve">rogrammas līgumā tika veikti grozījumi, </w:t>
            </w:r>
            <w:r w:rsidR="005870F0">
              <w:t xml:space="preserve">kas stājās spēkā 2015.gada 4.martā. </w:t>
            </w:r>
            <w:r w:rsidR="00BF439E">
              <w:t>Programmas līguma grozījumi paredz</w:t>
            </w:r>
            <w:r w:rsidR="009E237D">
              <w:t xml:space="preserve"> veikt</w:t>
            </w:r>
            <w:r>
              <w:t xml:space="preserve"> </w:t>
            </w:r>
            <w:r w:rsidR="00BF439E">
              <w:t xml:space="preserve">Programmas finansējuma </w:t>
            </w:r>
            <w:r>
              <w:t>pārdal</w:t>
            </w:r>
            <w:r w:rsidR="00BF439E">
              <w:t>i</w:t>
            </w:r>
            <w:r>
              <w:t xml:space="preserve"> </w:t>
            </w:r>
            <w:r w:rsidR="00BF439E">
              <w:t>P</w:t>
            </w:r>
            <w:r>
              <w:t xml:space="preserve">rogrammas </w:t>
            </w:r>
            <w:r w:rsidR="009E237D">
              <w:t xml:space="preserve">budžeta </w:t>
            </w:r>
            <w:r>
              <w:t>ietvaros un palielināt grantu shēmas konkursam pieejam</w:t>
            </w:r>
            <w:r w:rsidR="00BF439E">
              <w:t>o</w:t>
            </w:r>
            <w:r>
              <w:t xml:space="preserve"> finansējum</w:t>
            </w:r>
            <w:r w:rsidR="00BF439E">
              <w:t>u</w:t>
            </w:r>
            <w:r>
              <w:t xml:space="preserve"> par 268 265 </w:t>
            </w:r>
            <w:r>
              <w:rPr>
                <w:i/>
              </w:rPr>
              <w:t>euro</w:t>
            </w:r>
            <w:r>
              <w:t xml:space="preserve">, vienlaikus samazinot </w:t>
            </w:r>
            <w:r w:rsidR="00BF439E">
              <w:t>P</w:t>
            </w:r>
            <w:r>
              <w:t xml:space="preserve">rogrammas </w:t>
            </w:r>
            <w:r w:rsidR="003D388E">
              <w:t>vadībai nepieciešamo</w:t>
            </w:r>
            <w:r>
              <w:t xml:space="preserve"> finansējuma apjomu. P</w:t>
            </w:r>
            <w:r w:rsidR="00BF439E">
              <w:t>rogrammas finansējuma p</w:t>
            </w:r>
            <w:r>
              <w:t xml:space="preserve">ārdales rezultātā grantu shēmas </w:t>
            </w:r>
            <w:r w:rsidR="009E237D">
              <w:t>konkursa ietvaros papildus būs iespējams finansēt trīs projektus</w:t>
            </w:r>
            <w:r>
              <w:t xml:space="preserve"> par pētījumu izstrādi.</w:t>
            </w:r>
          </w:p>
          <w:p w:rsidR="00CA1976" w:rsidRPr="002E0511" w:rsidRDefault="002E0511" w:rsidP="003D388E">
            <w:pPr>
              <w:pStyle w:val="tvhtml1"/>
              <w:spacing w:before="0" w:beforeAutospacing="0" w:line="240" w:lineRule="auto"/>
              <w:ind w:right="179"/>
              <w:jc w:val="both"/>
              <w:rPr>
                <w:rFonts w:ascii="Times New Roman" w:hAnsi="Times New Roman"/>
                <w:sz w:val="24"/>
                <w:szCs w:val="24"/>
                <w:lang w:val="lv-LV"/>
              </w:rPr>
            </w:pPr>
            <w:r>
              <w:rPr>
                <w:rFonts w:ascii="Times New Roman" w:hAnsi="Times New Roman"/>
                <w:sz w:val="24"/>
                <w:szCs w:val="24"/>
                <w:lang w:val="lv-LV"/>
              </w:rPr>
              <w:t>Pamatojoties uz iepriekš minēto</w:t>
            </w:r>
            <w:r w:rsidR="003D388E">
              <w:rPr>
                <w:rFonts w:ascii="Times New Roman" w:hAnsi="Times New Roman"/>
                <w:sz w:val="24"/>
                <w:szCs w:val="24"/>
                <w:lang w:val="lv-LV"/>
              </w:rPr>
              <w:t>,</w:t>
            </w:r>
            <w:r>
              <w:rPr>
                <w:rFonts w:ascii="Times New Roman" w:hAnsi="Times New Roman"/>
                <w:sz w:val="24"/>
                <w:szCs w:val="24"/>
                <w:lang w:val="lv-LV"/>
              </w:rPr>
              <w:t xml:space="preserve"> </w:t>
            </w:r>
            <w:r w:rsidR="009E237D">
              <w:rPr>
                <w:rFonts w:ascii="Times New Roman" w:hAnsi="Times New Roman"/>
                <w:sz w:val="24"/>
                <w:szCs w:val="24"/>
                <w:lang w:val="lv-LV"/>
              </w:rPr>
              <w:t>ir nepieciešams veikt grozījumu</w:t>
            </w:r>
            <w:r>
              <w:rPr>
                <w:rFonts w:ascii="Times New Roman" w:hAnsi="Times New Roman"/>
                <w:sz w:val="24"/>
                <w:szCs w:val="24"/>
                <w:lang w:val="lv-LV"/>
              </w:rPr>
              <w:t xml:space="preserve"> spēkā esoš</w:t>
            </w:r>
            <w:r w:rsidR="00BF439E">
              <w:rPr>
                <w:rFonts w:ascii="Times New Roman" w:hAnsi="Times New Roman"/>
                <w:sz w:val="24"/>
                <w:szCs w:val="24"/>
                <w:lang w:val="lv-LV"/>
              </w:rPr>
              <w:t>o</w:t>
            </w:r>
            <w:r>
              <w:rPr>
                <w:rFonts w:ascii="Times New Roman" w:hAnsi="Times New Roman"/>
                <w:sz w:val="24"/>
                <w:szCs w:val="24"/>
                <w:lang w:val="lv-LV"/>
              </w:rPr>
              <w:t xml:space="preserve"> </w:t>
            </w:r>
            <w:r w:rsidRPr="00344A5F">
              <w:rPr>
                <w:rFonts w:ascii="Times New Roman" w:hAnsi="Times New Roman"/>
                <w:sz w:val="24"/>
                <w:szCs w:val="24"/>
                <w:lang w:val="lv-LV"/>
              </w:rPr>
              <w:t>MK noteikumos Nr.257</w:t>
            </w:r>
            <w:r w:rsidR="00BF439E">
              <w:rPr>
                <w:rFonts w:ascii="Times New Roman" w:hAnsi="Times New Roman"/>
                <w:sz w:val="24"/>
                <w:szCs w:val="24"/>
                <w:lang w:val="lv-LV"/>
              </w:rPr>
              <w:t xml:space="preserve"> 6.punktā</w:t>
            </w:r>
            <w:r w:rsidR="005D2F46">
              <w:rPr>
                <w:rFonts w:ascii="Times New Roman" w:hAnsi="Times New Roman"/>
                <w:sz w:val="24"/>
                <w:szCs w:val="24"/>
                <w:lang w:val="lv-LV"/>
              </w:rPr>
              <w:t>, izsakot MK noteikumu Nr.257 6.punktu jaunā redakcijā</w:t>
            </w:r>
            <w:r w:rsidR="009E237D">
              <w:rPr>
                <w:rFonts w:ascii="Times New Roman" w:hAnsi="Times New Roman"/>
                <w:sz w:val="24"/>
                <w:szCs w:val="24"/>
                <w:lang w:val="lv-LV"/>
              </w:rPr>
              <w:t xml:space="preserve">, </w:t>
            </w:r>
            <w:r w:rsidR="005D2F46">
              <w:rPr>
                <w:rFonts w:ascii="Times New Roman" w:hAnsi="Times New Roman"/>
                <w:sz w:val="24"/>
                <w:szCs w:val="24"/>
                <w:lang w:val="lv-LV"/>
              </w:rPr>
              <w:t xml:space="preserve">tādējādi </w:t>
            </w:r>
            <w:r w:rsidR="009E237D">
              <w:rPr>
                <w:rFonts w:ascii="Times New Roman" w:hAnsi="Times New Roman"/>
                <w:sz w:val="24"/>
                <w:szCs w:val="24"/>
                <w:lang w:val="lv-LV"/>
              </w:rPr>
              <w:t>palielinot</w:t>
            </w:r>
            <w:r w:rsidR="00BE5D44">
              <w:rPr>
                <w:rFonts w:ascii="Times New Roman" w:hAnsi="Times New Roman"/>
                <w:sz w:val="24"/>
                <w:szCs w:val="24"/>
                <w:lang w:val="lv-LV"/>
              </w:rPr>
              <w:t xml:space="preserve"> grantu s</w:t>
            </w:r>
            <w:r w:rsidR="001F2652">
              <w:rPr>
                <w:rFonts w:ascii="Times New Roman" w:hAnsi="Times New Roman"/>
                <w:sz w:val="24"/>
                <w:szCs w:val="24"/>
                <w:lang w:val="lv-LV"/>
              </w:rPr>
              <w:t xml:space="preserve">hēmas konkursam piešķirto kopējo </w:t>
            </w:r>
            <w:r w:rsidR="00BF439E">
              <w:rPr>
                <w:rFonts w:ascii="Times New Roman" w:hAnsi="Times New Roman"/>
                <w:sz w:val="24"/>
                <w:szCs w:val="24"/>
                <w:lang w:val="lv-LV"/>
              </w:rPr>
              <w:t>P</w:t>
            </w:r>
            <w:r w:rsidR="00AE6015">
              <w:rPr>
                <w:rFonts w:ascii="Times New Roman" w:hAnsi="Times New Roman"/>
                <w:sz w:val="24"/>
                <w:szCs w:val="24"/>
                <w:lang w:val="lv-LV"/>
              </w:rPr>
              <w:t>rogrammas līdz</w:t>
            </w:r>
            <w:r w:rsidR="001F2652">
              <w:rPr>
                <w:rFonts w:ascii="Times New Roman" w:hAnsi="Times New Roman"/>
                <w:sz w:val="24"/>
                <w:szCs w:val="24"/>
                <w:lang w:val="lv-LV"/>
              </w:rPr>
              <w:t>finansējumu</w:t>
            </w:r>
            <w:r w:rsidR="00BE5D44">
              <w:rPr>
                <w:rFonts w:ascii="Times New Roman" w:hAnsi="Times New Roman"/>
                <w:sz w:val="24"/>
                <w:szCs w:val="24"/>
                <w:lang w:val="lv-LV"/>
              </w:rPr>
              <w:t xml:space="preserve"> no </w:t>
            </w:r>
            <w:r w:rsidR="00BE5D44" w:rsidRPr="00BE5D44">
              <w:rPr>
                <w:rFonts w:ascii="Times New Roman" w:hAnsi="Times New Roman"/>
                <w:sz w:val="24"/>
                <w:szCs w:val="24"/>
                <w:lang w:val="lv-LV"/>
              </w:rPr>
              <w:t xml:space="preserve">1 718 044 </w:t>
            </w:r>
            <w:r w:rsidR="00BE5D44" w:rsidRPr="00BE5D44">
              <w:rPr>
                <w:rFonts w:ascii="Times New Roman" w:hAnsi="Times New Roman"/>
                <w:i/>
                <w:sz w:val="24"/>
                <w:szCs w:val="24"/>
                <w:lang w:val="lv-LV"/>
              </w:rPr>
              <w:t>euro</w:t>
            </w:r>
            <w:r w:rsidR="00BE5D44" w:rsidRPr="00BE5D44">
              <w:rPr>
                <w:rFonts w:ascii="Times New Roman" w:hAnsi="Times New Roman"/>
                <w:sz w:val="24"/>
                <w:szCs w:val="24"/>
                <w:lang w:val="lv-LV"/>
              </w:rPr>
              <w:t xml:space="preserve"> uz 1 986 309 </w:t>
            </w:r>
            <w:r w:rsidR="00BE5D44" w:rsidRPr="00BE5D44">
              <w:rPr>
                <w:rFonts w:ascii="Times New Roman" w:hAnsi="Times New Roman"/>
                <w:i/>
                <w:sz w:val="24"/>
                <w:szCs w:val="24"/>
                <w:lang w:val="lv-LV"/>
              </w:rPr>
              <w:t>euro</w:t>
            </w:r>
            <w:r w:rsidR="00BE5D44" w:rsidRPr="00BE5D44">
              <w:rPr>
                <w:rFonts w:ascii="Times New Roman" w:hAnsi="Times New Roman"/>
                <w:sz w:val="24"/>
                <w:szCs w:val="24"/>
                <w:lang w:val="lv-LV"/>
              </w:rPr>
              <w:t xml:space="preserve"> </w:t>
            </w:r>
            <w:r w:rsidR="001F2652">
              <w:rPr>
                <w:rFonts w:ascii="Times New Roman" w:hAnsi="Times New Roman"/>
                <w:sz w:val="24"/>
                <w:szCs w:val="24"/>
                <w:lang w:val="lv-LV"/>
              </w:rPr>
              <w:t>un precizē</w:t>
            </w:r>
            <w:r w:rsidR="003D388E">
              <w:rPr>
                <w:rFonts w:ascii="Times New Roman" w:hAnsi="Times New Roman"/>
                <w:sz w:val="24"/>
                <w:szCs w:val="24"/>
                <w:lang w:val="lv-LV"/>
              </w:rPr>
              <w:t>jot</w:t>
            </w:r>
            <w:r w:rsidR="001F2652">
              <w:rPr>
                <w:rFonts w:ascii="Times New Roman" w:hAnsi="Times New Roman"/>
                <w:sz w:val="24"/>
                <w:szCs w:val="24"/>
                <w:lang w:val="lv-LV"/>
              </w:rPr>
              <w:t xml:space="preserve"> konkursa otrās atbalsta jomas </w:t>
            </w:r>
            <w:r w:rsidR="00565F05" w:rsidRPr="00565F05">
              <w:rPr>
                <w:rFonts w:ascii="Times New Roman" w:hAnsi="Times New Roman"/>
                <w:sz w:val="24"/>
                <w:szCs w:val="24"/>
                <w:lang w:val="lv-LV"/>
              </w:rPr>
              <w:t>„</w:t>
            </w:r>
            <w:r w:rsidR="001F2652" w:rsidRPr="001F2652">
              <w:rPr>
                <w:rFonts w:ascii="Times New Roman" w:hAnsi="Times New Roman"/>
                <w:sz w:val="24"/>
                <w:szCs w:val="24"/>
                <w:lang w:val="lv-LV"/>
              </w:rPr>
              <w:t>Kapacitātes paaugstināšana, izstrādājot pētījumus klimata pārmaiņu jomā</w:t>
            </w:r>
            <w:r w:rsidR="001F2652">
              <w:rPr>
                <w:rFonts w:ascii="Times New Roman" w:hAnsi="Times New Roman"/>
                <w:sz w:val="24"/>
                <w:szCs w:val="24"/>
                <w:lang w:val="lv-LV"/>
              </w:rPr>
              <w:t>” projektu īstenošanai piešķirto programmas līdzfinansējuma da</w:t>
            </w:r>
            <w:r w:rsidR="00BE5D44">
              <w:rPr>
                <w:rFonts w:ascii="Times New Roman" w:hAnsi="Times New Roman"/>
                <w:sz w:val="24"/>
                <w:szCs w:val="24"/>
                <w:lang w:val="lv-LV"/>
              </w:rPr>
              <w:t xml:space="preserve">ļu no </w:t>
            </w:r>
            <w:r w:rsidR="00BE5D44" w:rsidRPr="00BE5D44">
              <w:rPr>
                <w:rFonts w:ascii="Times New Roman" w:hAnsi="Times New Roman"/>
                <w:sz w:val="24"/>
                <w:szCs w:val="24"/>
                <w:lang w:val="lv-LV"/>
              </w:rPr>
              <w:t xml:space="preserve">478 044 </w:t>
            </w:r>
            <w:r w:rsidR="00BE5D44" w:rsidRPr="002E06D9">
              <w:rPr>
                <w:rFonts w:ascii="Times New Roman" w:hAnsi="Times New Roman"/>
                <w:i/>
                <w:sz w:val="24"/>
                <w:szCs w:val="24"/>
                <w:lang w:val="lv-LV"/>
              </w:rPr>
              <w:t xml:space="preserve">euro </w:t>
            </w:r>
            <w:r w:rsidR="00BE5D44" w:rsidRPr="00BE5D44">
              <w:rPr>
                <w:rFonts w:ascii="Times New Roman" w:hAnsi="Times New Roman"/>
                <w:sz w:val="24"/>
                <w:szCs w:val="24"/>
                <w:lang w:val="lv-LV"/>
              </w:rPr>
              <w:t xml:space="preserve">uz 746 309 </w:t>
            </w:r>
            <w:r w:rsidR="00BE5D44" w:rsidRPr="002E06D9">
              <w:rPr>
                <w:rFonts w:ascii="Times New Roman" w:hAnsi="Times New Roman"/>
                <w:i/>
                <w:sz w:val="24"/>
                <w:szCs w:val="24"/>
                <w:lang w:val="lv-LV"/>
              </w:rPr>
              <w:t>euro</w:t>
            </w:r>
            <w:r w:rsidR="00BE5D44">
              <w:rPr>
                <w:rFonts w:ascii="Times New Roman" w:hAnsi="Times New Roman"/>
                <w:sz w:val="24"/>
                <w:szCs w:val="24"/>
                <w:lang w:val="lv-LV"/>
              </w:rPr>
              <w:t>.</w:t>
            </w:r>
          </w:p>
        </w:tc>
      </w:tr>
      <w:tr w:rsidR="00CA1976" w:rsidRPr="00546DBB" w:rsidTr="00F640B6">
        <w:trPr>
          <w:trHeight w:val="476"/>
        </w:trPr>
        <w:tc>
          <w:tcPr>
            <w:tcW w:w="482" w:type="pct"/>
          </w:tcPr>
          <w:p w:rsidR="00CA1976" w:rsidRPr="00546DBB" w:rsidRDefault="00CA1976" w:rsidP="000C3AEB">
            <w:pPr>
              <w:pStyle w:val="naiskr"/>
              <w:spacing w:before="0" w:beforeAutospacing="0" w:after="0" w:afterAutospacing="0"/>
              <w:ind w:left="57" w:right="57"/>
            </w:pPr>
            <w:r w:rsidRPr="00546DBB">
              <w:lastRenderedPageBreak/>
              <w:t>3.</w:t>
            </w:r>
          </w:p>
        </w:tc>
        <w:tc>
          <w:tcPr>
            <w:tcW w:w="1389" w:type="pct"/>
          </w:tcPr>
          <w:p w:rsidR="00CA1976" w:rsidRPr="00546DBB" w:rsidRDefault="00CA1976" w:rsidP="00A262AF">
            <w:pPr>
              <w:pStyle w:val="naiskr"/>
              <w:spacing w:before="0" w:beforeAutospacing="0" w:after="0" w:afterAutospacing="0"/>
              <w:ind w:left="57" w:right="57"/>
            </w:pPr>
            <w:r w:rsidRPr="00546DBB">
              <w:t>Projekta izstrādē iesaistītās institūcijas</w:t>
            </w:r>
          </w:p>
        </w:tc>
        <w:tc>
          <w:tcPr>
            <w:tcW w:w="3129" w:type="pct"/>
          </w:tcPr>
          <w:p w:rsidR="00CA1976" w:rsidRPr="00546DBB" w:rsidRDefault="00F351D9" w:rsidP="00936D07">
            <w:pPr>
              <w:spacing w:after="0" w:line="240" w:lineRule="auto"/>
              <w:ind w:left="57" w:right="57"/>
              <w:jc w:val="both"/>
              <w:rPr>
                <w:rFonts w:ascii="Times New Roman" w:hAnsi="Times New Roman"/>
                <w:b/>
                <w:sz w:val="24"/>
                <w:szCs w:val="24"/>
              </w:rPr>
            </w:pPr>
            <w:r>
              <w:rPr>
                <w:rFonts w:ascii="Times New Roman" w:hAnsi="Times New Roman"/>
                <w:sz w:val="24"/>
                <w:szCs w:val="24"/>
              </w:rPr>
              <w:t>N</w:t>
            </w:r>
            <w:r w:rsidR="00CA1976" w:rsidRPr="00546DBB">
              <w:rPr>
                <w:rFonts w:ascii="Times New Roman" w:hAnsi="Times New Roman"/>
                <w:sz w:val="24"/>
                <w:szCs w:val="24"/>
              </w:rPr>
              <w:t xml:space="preserve">oteikumu projektu izstrādāja </w:t>
            </w:r>
            <w:r w:rsidR="006F4682">
              <w:rPr>
                <w:rFonts w:ascii="Times New Roman" w:hAnsi="Times New Roman"/>
                <w:sz w:val="24"/>
                <w:szCs w:val="24"/>
              </w:rPr>
              <w:t>Vides aizsardzības un reģionālās attīstības ministrija (turpmāk – VARAM)</w:t>
            </w:r>
            <w:r w:rsidR="00AD442F" w:rsidRPr="00546DBB">
              <w:rPr>
                <w:rFonts w:ascii="Times New Roman" w:hAnsi="Times New Roman"/>
                <w:sz w:val="24"/>
                <w:szCs w:val="24"/>
              </w:rPr>
              <w:t xml:space="preserve">, </w:t>
            </w:r>
            <w:r w:rsidR="00CA1976" w:rsidRPr="00546DBB">
              <w:rPr>
                <w:rFonts w:ascii="Times New Roman" w:hAnsi="Times New Roman"/>
                <w:sz w:val="24"/>
                <w:szCs w:val="24"/>
              </w:rPr>
              <w:t xml:space="preserve">pamatojoties uz </w:t>
            </w:r>
            <w:r w:rsidR="00BF439E">
              <w:rPr>
                <w:rFonts w:ascii="Times New Roman" w:hAnsi="Times New Roman"/>
                <w:sz w:val="24"/>
                <w:szCs w:val="24"/>
              </w:rPr>
              <w:t>P</w:t>
            </w:r>
            <w:r w:rsidR="00E21F4B">
              <w:rPr>
                <w:rFonts w:ascii="Times New Roman" w:hAnsi="Times New Roman"/>
                <w:bCs/>
                <w:sz w:val="24"/>
                <w:szCs w:val="24"/>
              </w:rPr>
              <w:t>rogrammas līguma grozījumiem</w:t>
            </w:r>
            <w:r w:rsidR="00200A5D">
              <w:rPr>
                <w:rFonts w:ascii="Times New Roman" w:hAnsi="Times New Roman"/>
                <w:bCs/>
                <w:sz w:val="24"/>
                <w:szCs w:val="24"/>
              </w:rPr>
              <w:t>, kas</w:t>
            </w:r>
            <w:r w:rsidR="00E21F4B">
              <w:rPr>
                <w:rFonts w:ascii="Times New Roman" w:hAnsi="Times New Roman"/>
                <w:iCs/>
                <w:sz w:val="24"/>
                <w:szCs w:val="24"/>
              </w:rPr>
              <w:t xml:space="preserve"> </w:t>
            </w:r>
            <w:r w:rsidR="00E21F4B">
              <w:rPr>
                <w:rFonts w:ascii="Times New Roman" w:hAnsi="Times New Roman"/>
                <w:bCs/>
                <w:sz w:val="24"/>
                <w:szCs w:val="24"/>
              </w:rPr>
              <w:t>stājās spēkā</w:t>
            </w:r>
            <w:r w:rsidR="00E21F4B">
              <w:rPr>
                <w:rFonts w:ascii="Times New Roman" w:hAnsi="Times New Roman"/>
                <w:sz w:val="24"/>
                <w:szCs w:val="24"/>
              </w:rPr>
              <w:t xml:space="preserve"> 2015.gada 4.martā</w:t>
            </w:r>
            <w:r w:rsidR="00FF622F">
              <w:rPr>
                <w:rFonts w:ascii="Times New Roman" w:hAnsi="Times New Roman"/>
                <w:sz w:val="24"/>
                <w:szCs w:val="24"/>
              </w:rPr>
              <w:t xml:space="preserve">. </w:t>
            </w:r>
            <w:r w:rsidR="00BF439E">
              <w:rPr>
                <w:rFonts w:ascii="Times New Roman" w:hAnsi="Times New Roman"/>
                <w:sz w:val="24"/>
                <w:szCs w:val="24"/>
              </w:rPr>
              <w:t>Programmas l</w:t>
            </w:r>
            <w:r w:rsidR="00FF622F">
              <w:rPr>
                <w:rFonts w:ascii="Times New Roman" w:hAnsi="Times New Roman"/>
                <w:sz w:val="24"/>
                <w:szCs w:val="24"/>
              </w:rPr>
              <w:t>īguma grozījumu priekšlikums</w:t>
            </w:r>
            <w:r w:rsidR="00E21F4B">
              <w:rPr>
                <w:rFonts w:ascii="Times New Roman" w:hAnsi="Times New Roman"/>
                <w:sz w:val="24"/>
                <w:szCs w:val="24"/>
              </w:rPr>
              <w:t xml:space="preserve"> </w:t>
            </w:r>
            <w:r w:rsidR="00E21F4B">
              <w:rPr>
                <w:rFonts w:ascii="Times New Roman" w:hAnsi="Times New Roman"/>
                <w:iCs/>
                <w:sz w:val="24"/>
                <w:szCs w:val="24"/>
              </w:rPr>
              <w:t xml:space="preserve">tika </w:t>
            </w:r>
            <w:r w:rsidR="00FF622F">
              <w:rPr>
                <w:rFonts w:ascii="Times New Roman" w:hAnsi="Times New Roman"/>
                <w:iCs/>
                <w:sz w:val="24"/>
                <w:szCs w:val="24"/>
              </w:rPr>
              <w:t>saskaņots</w:t>
            </w:r>
            <w:r w:rsidR="00936D07">
              <w:rPr>
                <w:rFonts w:ascii="Times New Roman" w:hAnsi="Times New Roman"/>
                <w:iCs/>
                <w:sz w:val="24"/>
                <w:szCs w:val="24"/>
              </w:rPr>
              <w:t xml:space="preserve"> ar </w:t>
            </w:r>
            <w:r w:rsidR="00BF439E">
              <w:rPr>
                <w:rFonts w:ascii="Times New Roman" w:hAnsi="Times New Roman"/>
                <w:iCs/>
                <w:sz w:val="24"/>
                <w:szCs w:val="24"/>
              </w:rPr>
              <w:t>P</w:t>
            </w:r>
            <w:r w:rsidR="00E21F4B" w:rsidRPr="00546DBB">
              <w:rPr>
                <w:rFonts w:ascii="Times New Roman" w:hAnsi="Times New Roman"/>
                <w:iCs/>
                <w:sz w:val="24"/>
                <w:szCs w:val="24"/>
              </w:rPr>
              <w:t xml:space="preserve">rogrammas donorvalstu partneriem - </w:t>
            </w:r>
            <w:r w:rsidR="00E21F4B" w:rsidRPr="00546DBB">
              <w:rPr>
                <w:rFonts w:ascii="Times New Roman" w:hAnsi="Times New Roman"/>
                <w:sz w:val="24"/>
                <w:szCs w:val="24"/>
              </w:rPr>
              <w:t xml:space="preserve">Norvēģijas Vides aģentūru un </w:t>
            </w:r>
            <w:r w:rsidR="00E21F4B" w:rsidRPr="00546DBB">
              <w:rPr>
                <w:rFonts w:ascii="Times New Roman" w:hAnsi="Times New Roman"/>
                <w:iCs/>
                <w:sz w:val="24"/>
                <w:szCs w:val="24"/>
              </w:rPr>
              <w:t>Norvēģijas Civilās aizsardzības</w:t>
            </w:r>
            <w:r w:rsidR="00E21F4B" w:rsidRPr="00546DBB">
              <w:rPr>
                <w:rFonts w:ascii="Times New Roman" w:hAnsi="Times New Roman"/>
                <w:sz w:val="24"/>
                <w:szCs w:val="24"/>
              </w:rPr>
              <w:t xml:space="preserve"> </w:t>
            </w:r>
            <w:r w:rsidR="00E21F4B">
              <w:rPr>
                <w:rFonts w:ascii="Times New Roman" w:hAnsi="Times New Roman"/>
                <w:iCs/>
                <w:sz w:val="24"/>
                <w:szCs w:val="24"/>
              </w:rPr>
              <w:t>direktorātu un Finanšu ministriju kā Vadošo iestādi</w:t>
            </w:r>
            <w:r w:rsidR="00936D07">
              <w:rPr>
                <w:rFonts w:ascii="Times New Roman" w:hAnsi="Times New Roman"/>
                <w:iCs/>
                <w:sz w:val="24"/>
                <w:szCs w:val="24"/>
              </w:rPr>
              <w:t xml:space="preserve"> 2015.gada 18.februāra </w:t>
            </w:r>
            <w:r w:rsidR="00200A5D">
              <w:rPr>
                <w:rFonts w:ascii="Times New Roman" w:hAnsi="Times New Roman"/>
                <w:iCs/>
                <w:sz w:val="24"/>
                <w:szCs w:val="24"/>
              </w:rPr>
              <w:t>Sadarbības ko</w:t>
            </w:r>
            <w:r w:rsidR="00936D07">
              <w:rPr>
                <w:rFonts w:ascii="Times New Roman" w:hAnsi="Times New Roman"/>
                <w:iCs/>
                <w:sz w:val="24"/>
                <w:szCs w:val="24"/>
              </w:rPr>
              <w:t>mitejas sēdes ietvaros.</w:t>
            </w:r>
          </w:p>
        </w:tc>
      </w:tr>
      <w:tr w:rsidR="00CA1976" w:rsidRPr="00546DBB" w:rsidTr="00F640B6">
        <w:tc>
          <w:tcPr>
            <w:tcW w:w="482" w:type="pct"/>
          </w:tcPr>
          <w:p w:rsidR="00CA1976" w:rsidRPr="00546DBB" w:rsidRDefault="00CA1976" w:rsidP="000C3AEB">
            <w:pPr>
              <w:pStyle w:val="naiskr"/>
              <w:spacing w:before="0" w:beforeAutospacing="0" w:after="0" w:afterAutospacing="0"/>
              <w:ind w:left="57" w:right="57"/>
            </w:pPr>
            <w:r w:rsidRPr="00546DBB">
              <w:t>4.</w:t>
            </w:r>
          </w:p>
        </w:tc>
        <w:tc>
          <w:tcPr>
            <w:tcW w:w="1389" w:type="pct"/>
          </w:tcPr>
          <w:p w:rsidR="00CA1976" w:rsidRPr="00546DBB" w:rsidRDefault="00CA1976" w:rsidP="00A262AF">
            <w:pPr>
              <w:pStyle w:val="naiskr"/>
              <w:spacing w:before="0" w:beforeAutospacing="0" w:after="0" w:afterAutospacing="0"/>
              <w:ind w:left="57" w:right="57"/>
            </w:pPr>
            <w:r w:rsidRPr="00546DBB">
              <w:t>Cita informācija</w:t>
            </w:r>
          </w:p>
        </w:tc>
        <w:tc>
          <w:tcPr>
            <w:tcW w:w="3129" w:type="pct"/>
          </w:tcPr>
          <w:p w:rsidR="00CA1976" w:rsidRPr="00546DBB" w:rsidRDefault="00CA1976" w:rsidP="00A262AF">
            <w:pPr>
              <w:pStyle w:val="naiskr"/>
              <w:spacing w:before="0" w:beforeAutospacing="0" w:after="0" w:afterAutospacing="0"/>
              <w:ind w:left="57" w:right="57"/>
            </w:pPr>
            <w:r w:rsidRPr="00546DBB">
              <w:t>Nav</w:t>
            </w:r>
          </w:p>
        </w:tc>
      </w:tr>
    </w:tbl>
    <w:p w:rsidR="00CA1976" w:rsidRPr="00546DBB" w:rsidRDefault="00CA1976" w:rsidP="00A262AF">
      <w:pPr>
        <w:spacing w:after="0" w:line="240" w:lineRule="auto"/>
        <w:rPr>
          <w:rFonts w:ascii="Times New Roman" w:hAnsi="Times New Roman"/>
          <w:sz w:val="24"/>
          <w:szCs w:val="24"/>
        </w:rPr>
      </w:pPr>
    </w:p>
    <w:p w:rsidR="00CA1976" w:rsidRPr="00546DBB" w:rsidRDefault="00CA1976" w:rsidP="00A262AF">
      <w:pPr>
        <w:spacing w:after="0" w:line="240" w:lineRule="auto"/>
        <w:rPr>
          <w:rFonts w:ascii="Times New Roman" w:hAnsi="Times New Roman"/>
          <w:sz w:val="24"/>
          <w:szCs w:val="24"/>
        </w:rPr>
      </w:pPr>
    </w:p>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7"/>
        <w:gridCol w:w="2976"/>
        <w:gridCol w:w="6389"/>
      </w:tblGrid>
      <w:tr w:rsidR="00CA1976" w:rsidRPr="00546DBB" w:rsidTr="006D0302">
        <w:trPr>
          <w:trHeight w:val="556"/>
        </w:trPr>
        <w:tc>
          <w:tcPr>
            <w:tcW w:w="10222" w:type="dxa"/>
            <w:gridSpan w:val="3"/>
            <w:vAlign w:val="center"/>
          </w:tcPr>
          <w:p w:rsidR="00CA1976" w:rsidRPr="00546DBB" w:rsidRDefault="00CA1976" w:rsidP="00A262AF">
            <w:pPr>
              <w:pStyle w:val="naisnod"/>
              <w:spacing w:before="0" w:beforeAutospacing="0" w:after="0" w:afterAutospacing="0"/>
              <w:ind w:left="57" w:right="57"/>
              <w:jc w:val="center"/>
              <w:rPr>
                <w:b/>
              </w:rPr>
            </w:pPr>
            <w:r w:rsidRPr="00546DBB">
              <w:rPr>
                <w:b/>
              </w:rPr>
              <w:t>II. Tiesību akta projekta ietekme uz sabiedrību, tautsaimniecības attīstību</w:t>
            </w:r>
          </w:p>
          <w:p w:rsidR="00CA1976" w:rsidRPr="00546DBB" w:rsidRDefault="00CA1976" w:rsidP="00A262AF">
            <w:pPr>
              <w:pStyle w:val="naisnod"/>
              <w:spacing w:before="0" w:beforeAutospacing="0" w:after="0" w:afterAutospacing="0"/>
              <w:ind w:left="57" w:right="57"/>
              <w:jc w:val="center"/>
              <w:rPr>
                <w:b/>
              </w:rPr>
            </w:pPr>
            <w:r w:rsidRPr="00546DBB">
              <w:rPr>
                <w:b/>
              </w:rPr>
              <w:t>un administratīvo slogu</w:t>
            </w:r>
          </w:p>
        </w:tc>
      </w:tr>
      <w:tr w:rsidR="00CA1976" w:rsidRPr="00546DBB" w:rsidTr="006D0302">
        <w:trPr>
          <w:trHeight w:val="467"/>
        </w:trPr>
        <w:tc>
          <w:tcPr>
            <w:tcW w:w="857" w:type="dxa"/>
          </w:tcPr>
          <w:p w:rsidR="00CA1976" w:rsidRPr="00546DBB" w:rsidRDefault="00CA1976" w:rsidP="00A262AF">
            <w:pPr>
              <w:pStyle w:val="naiskr"/>
              <w:spacing w:before="0" w:beforeAutospacing="0" w:after="0" w:afterAutospacing="0"/>
              <w:ind w:left="57" w:right="57"/>
              <w:jc w:val="both"/>
            </w:pPr>
            <w:r w:rsidRPr="00546DBB">
              <w:t>1.</w:t>
            </w:r>
          </w:p>
        </w:tc>
        <w:tc>
          <w:tcPr>
            <w:tcW w:w="2976" w:type="dxa"/>
          </w:tcPr>
          <w:p w:rsidR="00CA1976" w:rsidRPr="00546DBB" w:rsidRDefault="00CA1976" w:rsidP="001615B9">
            <w:pPr>
              <w:pStyle w:val="naiskr"/>
              <w:spacing w:before="0" w:beforeAutospacing="0" w:after="0" w:afterAutospacing="0"/>
              <w:ind w:left="57" w:right="57"/>
              <w:jc w:val="both"/>
            </w:pPr>
            <w:r w:rsidRPr="00546DBB">
              <w:t>Sabiedrības mērķgrupas, kuras tiesiskais regulējums ietekmē vai varētu ietekmēt</w:t>
            </w:r>
          </w:p>
        </w:tc>
        <w:tc>
          <w:tcPr>
            <w:tcW w:w="6389" w:type="dxa"/>
          </w:tcPr>
          <w:p w:rsidR="00CA1976" w:rsidRPr="00546DBB" w:rsidRDefault="00CA1976" w:rsidP="00990878">
            <w:pPr>
              <w:shd w:val="clear" w:color="auto" w:fill="FFFFFF"/>
              <w:spacing w:after="0" w:line="240" w:lineRule="auto"/>
              <w:ind w:left="57" w:right="57"/>
              <w:jc w:val="both"/>
              <w:rPr>
                <w:rFonts w:ascii="Times New Roman" w:hAnsi="Times New Roman"/>
                <w:sz w:val="24"/>
                <w:szCs w:val="24"/>
                <w:lang w:eastAsia="lv-LV"/>
              </w:rPr>
            </w:pPr>
            <w:bookmarkStart w:id="0" w:name="p21"/>
            <w:bookmarkEnd w:id="0"/>
            <w:r w:rsidRPr="00546DBB">
              <w:rPr>
                <w:rFonts w:ascii="Times New Roman" w:hAnsi="Times New Roman"/>
                <w:sz w:val="24"/>
                <w:szCs w:val="24"/>
                <w:lang w:eastAsia="lv-LV"/>
              </w:rPr>
              <w:t xml:space="preserve">Visa sabiedrība kopumā, kā arī </w:t>
            </w:r>
            <w:r w:rsidR="00990878">
              <w:rPr>
                <w:rFonts w:ascii="Times New Roman" w:hAnsi="Times New Roman"/>
                <w:sz w:val="24"/>
                <w:szCs w:val="24"/>
                <w:lang w:eastAsia="lv-LV"/>
              </w:rPr>
              <w:t xml:space="preserve">grantu shēmas konkursa projektu iesniedzēji, kuru projektus plānots atbalstīt </w:t>
            </w:r>
            <w:r w:rsidR="00F351D9">
              <w:rPr>
                <w:rFonts w:ascii="Times New Roman" w:hAnsi="Times New Roman"/>
                <w:sz w:val="24"/>
                <w:szCs w:val="24"/>
                <w:lang w:eastAsia="lv-LV"/>
              </w:rPr>
              <w:t xml:space="preserve">Programmas </w:t>
            </w:r>
            <w:r w:rsidR="00990878">
              <w:rPr>
                <w:rFonts w:ascii="Times New Roman" w:hAnsi="Times New Roman"/>
                <w:sz w:val="24"/>
                <w:szCs w:val="24"/>
                <w:lang w:eastAsia="lv-LV"/>
              </w:rPr>
              <w:t>finansējuma pārdales ietvaros</w:t>
            </w:r>
            <w:r w:rsidRPr="00546DBB">
              <w:rPr>
                <w:rFonts w:ascii="Times New Roman" w:hAnsi="Times New Roman"/>
                <w:sz w:val="24"/>
                <w:szCs w:val="24"/>
                <w:lang w:eastAsia="lv-LV"/>
              </w:rPr>
              <w:t>.</w:t>
            </w:r>
          </w:p>
        </w:tc>
      </w:tr>
      <w:tr w:rsidR="00CA1976" w:rsidRPr="00546DBB" w:rsidTr="006D0302">
        <w:trPr>
          <w:trHeight w:val="523"/>
        </w:trPr>
        <w:tc>
          <w:tcPr>
            <w:tcW w:w="857" w:type="dxa"/>
          </w:tcPr>
          <w:p w:rsidR="00CA1976" w:rsidRPr="00546DBB" w:rsidRDefault="00CA1976" w:rsidP="00A262AF">
            <w:pPr>
              <w:pStyle w:val="naiskr"/>
              <w:spacing w:before="0" w:beforeAutospacing="0" w:after="0" w:afterAutospacing="0"/>
              <w:ind w:left="57" w:right="57"/>
              <w:jc w:val="both"/>
            </w:pPr>
            <w:r w:rsidRPr="00546DBB">
              <w:t>2.</w:t>
            </w:r>
          </w:p>
        </w:tc>
        <w:tc>
          <w:tcPr>
            <w:tcW w:w="2976" w:type="dxa"/>
          </w:tcPr>
          <w:p w:rsidR="00CA1976" w:rsidRPr="00546DBB" w:rsidRDefault="00CA1976" w:rsidP="001615B9">
            <w:pPr>
              <w:pStyle w:val="naiskr"/>
              <w:spacing w:before="0" w:beforeAutospacing="0" w:after="0" w:afterAutospacing="0"/>
              <w:ind w:left="57" w:right="57"/>
              <w:jc w:val="both"/>
            </w:pPr>
            <w:r w:rsidRPr="00546DBB">
              <w:t xml:space="preserve">Tiesiskā regulējuma ietekme uz tautsaimniecību un </w:t>
            </w:r>
            <w:r w:rsidRPr="00546DBB">
              <w:lastRenderedPageBreak/>
              <w:t>administratīvo slogu</w:t>
            </w:r>
          </w:p>
          <w:p w:rsidR="00CA1976" w:rsidRPr="00546DBB" w:rsidRDefault="00CA1976" w:rsidP="00A262AF">
            <w:pPr>
              <w:pStyle w:val="naiskr"/>
              <w:spacing w:before="0" w:beforeAutospacing="0" w:after="0" w:afterAutospacing="0"/>
              <w:ind w:left="57" w:right="57"/>
            </w:pPr>
          </w:p>
        </w:tc>
        <w:tc>
          <w:tcPr>
            <w:tcW w:w="6389" w:type="dxa"/>
          </w:tcPr>
          <w:p w:rsidR="002E0511" w:rsidRDefault="00F351D9" w:rsidP="00F351D9">
            <w:pPr>
              <w:shd w:val="clear" w:color="auto" w:fill="FFFFFF"/>
              <w:spacing w:after="0" w:line="240" w:lineRule="auto"/>
              <w:ind w:right="57"/>
              <w:jc w:val="both"/>
              <w:rPr>
                <w:rFonts w:ascii="Times New Roman" w:hAnsi="Times New Roman"/>
                <w:sz w:val="24"/>
                <w:szCs w:val="24"/>
              </w:rPr>
            </w:pPr>
            <w:r>
              <w:rPr>
                <w:rFonts w:ascii="Times New Roman" w:hAnsi="Times New Roman"/>
                <w:sz w:val="24"/>
                <w:szCs w:val="24"/>
              </w:rPr>
              <w:lastRenderedPageBreak/>
              <w:t>N</w:t>
            </w:r>
            <w:r w:rsidR="002E0511" w:rsidRPr="00A52245">
              <w:rPr>
                <w:rFonts w:ascii="Times New Roman" w:hAnsi="Times New Roman"/>
                <w:sz w:val="24"/>
                <w:szCs w:val="24"/>
              </w:rPr>
              <w:t xml:space="preserve">oteikumu projekts neparedz mainīt MK noteikumos Nr.257 noteikto konkursa mērķi un īstenošanas nosacījumus, līdz ar to </w:t>
            </w:r>
            <w:r>
              <w:rPr>
                <w:rFonts w:ascii="Times New Roman" w:hAnsi="Times New Roman"/>
                <w:sz w:val="24"/>
                <w:szCs w:val="24"/>
              </w:rPr>
              <w:lastRenderedPageBreak/>
              <w:t xml:space="preserve">noteikumu projekta </w:t>
            </w:r>
            <w:r w:rsidR="002E0511" w:rsidRPr="00A52245">
              <w:rPr>
                <w:rFonts w:ascii="Times New Roman" w:hAnsi="Times New Roman"/>
                <w:sz w:val="24"/>
                <w:szCs w:val="24"/>
              </w:rPr>
              <w:t>tiesisk</w:t>
            </w:r>
            <w:r>
              <w:rPr>
                <w:rFonts w:ascii="Times New Roman" w:hAnsi="Times New Roman"/>
                <w:sz w:val="24"/>
                <w:szCs w:val="24"/>
              </w:rPr>
              <w:t>ais</w:t>
            </w:r>
            <w:r w:rsidR="002E0511" w:rsidRPr="00A52245">
              <w:rPr>
                <w:rFonts w:ascii="Times New Roman" w:hAnsi="Times New Roman"/>
                <w:sz w:val="24"/>
                <w:szCs w:val="24"/>
              </w:rPr>
              <w:t xml:space="preserve"> regulējum</w:t>
            </w:r>
            <w:r>
              <w:rPr>
                <w:rFonts w:ascii="Times New Roman" w:hAnsi="Times New Roman"/>
                <w:sz w:val="24"/>
                <w:szCs w:val="24"/>
              </w:rPr>
              <w:t>s</w:t>
            </w:r>
            <w:r w:rsidR="002E0511" w:rsidRPr="00A52245">
              <w:rPr>
                <w:rFonts w:ascii="Times New Roman" w:hAnsi="Times New Roman"/>
                <w:sz w:val="24"/>
                <w:szCs w:val="24"/>
              </w:rPr>
              <w:t xml:space="preserve"> </w:t>
            </w:r>
            <w:r>
              <w:rPr>
                <w:rFonts w:ascii="Times New Roman" w:hAnsi="Times New Roman"/>
                <w:sz w:val="24"/>
                <w:szCs w:val="24"/>
              </w:rPr>
              <w:t>ne</w:t>
            </w:r>
            <w:r w:rsidR="002E0511" w:rsidRPr="00A52245">
              <w:rPr>
                <w:rFonts w:ascii="Times New Roman" w:hAnsi="Times New Roman"/>
                <w:sz w:val="24"/>
                <w:szCs w:val="24"/>
              </w:rPr>
              <w:t>ietekm</w:t>
            </w:r>
            <w:r>
              <w:rPr>
                <w:rFonts w:ascii="Times New Roman" w:hAnsi="Times New Roman"/>
                <w:sz w:val="24"/>
                <w:szCs w:val="24"/>
              </w:rPr>
              <w:t>ēs</w:t>
            </w:r>
            <w:r w:rsidR="002E0511" w:rsidRPr="00A52245">
              <w:rPr>
                <w:rFonts w:ascii="Times New Roman" w:hAnsi="Times New Roman"/>
                <w:sz w:val="24"/>
                <w:szCs w:val="24"/>
              </w:rPr>
              <w:t xml:space="preserve"> </w:t>
            </w:r>
            <w:r>
              <w:rPr>
                <w:rFonts w:ascii="Times New Roman" w:hAnsi="Times New Roman"/>
                <w:sz w:val="24"/>
                <w:szCs w:val="24"/>
              </w:rPr>
              <w:t xml:space="preserve">tautsaimniecību. </w:t>
            </w:r>
          </w:p>
          <w:p w:rsidR="003B576F" w:rsidRPr="00990878" w:rsidRDefault="00F351D9" w:rsidP="00F351D9">
            <w:pPr>
              <w:shd w:val="clear" w:color="auto" w:fill="FFFFFF"/>
              <w:spacing w:after="0" w:line="240" w:lineRule="auto"/>
              <w:ind w:right="57"/>
              <w:jc w:val="both"/>
              <w:rPr>
                <w:rFonts w:ascii="Times New Roman" w:hAnsi="Times New Roman"/>
                <w:sz w:val="24"/>
                <w:szCs w:val="24"/>
                <w:lang w:eastAsia="lv-LV"/>
              </w:rPr>
            </w:pPr>
            <w:r>
              <w:rPr>
                <w:rFonts w:ascii="Times New Roman" w:hAnsi="Times New Roman"/>
                <w:sz w:val="24"/>
                <w:szCs w:val="24"/>
                <w:lang w:eastAsia="lv-LV"/>
              </w:rPr>
              <w:t>N</w:t>
            </w:r>
            <w:r w:rsidR="003B576F" w:rsidRPr="003B576F">
              <w:rPr>
                <w:rFonts w:ascii="Times New Roman" w:hAnsi="Times New Roman"/>
                <w:sz w:val="24"/>
                <w:szCs w:val="24"/>
                <w:lang w:eastAsia="lv-LV"/>
              </w:rPr>
              <w:t>oteikumu projekts neparedz tādas izmaiņa</w:t>
            </w:r>
            <w:r w:rsidR="003B576F">
              <w:rPr>
                <w:rFonts w:ascii="Times New Roman" w:hAnsi="Times New Roman"/>
                <w:sz w:val="24"/>
                <w:szCs w:val="24"/>
                <w:lang w:eastAsia="lv-LV"/>
              </w:rPr>
              <w:t xml:space="preserve">s spēkā esošo MK noteikumu Nr.257 regulējumā, kuru </w:t>
            </w:r>
            <w:r w:rsidR="003B576F" w:rsidRPr="003B576F">
              <w:rPr>
                <w:rFonts w:ascii="Times New Roman" w:hAnsi="Times New Roman"/>
                <w:sz w:val="24"/>
                <w:szCs w:val="24"/>
                <w:lang w:eastAsia="lv-LV"/>
              </w:rPr>
              <w:t>rezultātā paaugstinātos vai samazinātos administratīvais slogs projekta</w:t>
            </w:r>
            <w:r w:rsidR="003B576F">
              <w:rPr>
                <w:rFonts w:ascii="Times New Roman" w:hAnsi="Times New Roman"/>
                <w:sz w:val="24"/>
                <w:szCs w:val="24"/>
                <w:lang w:eastAsia="lv-LV"/>
              </w:rPr>
              <w:t xml:space="preserve"> īstenotājiem</w:t>
            </w:r>
            <w:r w:rsidR="003B576F" w:rsidRPr="003B576F">
              <w:rPr>
                <w:rFonts w:ascii="Times New Roman" w:hAnsi="Times New Roman"/>
                <w:sz w:val="24"/>
                <w:szCs w:val="24"/>
                <w:lang w:eastAsia="lv-LV"/>
              </w:rPr>
              <w:t>.</w:t>
            </w:r>
          </w:p>
          <w:p w:rsidR="00CA1976" w:rsidRPr="00546DBB" w:rsidRDefault="00F351D9" w:rsidP="00F351D9">
            <w:pPr>
              <w:shd w:val="clear" w:color="auto" w:fill="FFFFFF"/>
              <w:spacing w:after="0" w:line="240" w:lineRule="auto"/>
              <w:ind w:right="57"/>
              <w:jc w:val="both"/>
              <w:rPr>
                <w:rFonts w:ascii="Times New Roman" w:hAnsi="Times New Roman"/>
                <w:sz w:val="24"/>
                <w:szCs w:val="24"/>
                <w:lang w:eastAsia="lv-LV"/>
              </w:rPr>
            </w:pPr>
            <w:r>
              <w:rPr>
                <w:rFonts w:ascii="Times New Roman" w:hAnsi="Times New Roman"/>
                <w:sz w:val="24"/>
                <w:szCs w:val="24"/>
                <w:lang w:eastAsia="lv-LV"/>
              </w:rPr>
              <w:t>N</w:t>
            </w:r>
            <w:r w:rsidR="00CA1976" w:rsidRPr="00546DBB">
              <w:rPr>
                <w:rFonts w:ascii="Times New Roman" w:hAnsi="Times New Roman"/>
                <w:sz w:val="24"/>
                <w:szCs w:val="24"/>
                <w:lang w:eastAsia="lv-LV"/>
              </w:rPr>
              <w:t xml:space="preserve">oteikumu projekts tiešā veidā neietekmē uzņēmējdarbības vidi. Sabiedrības grupām un institūcijām </w:t>
            </w:r>
            <w:r w:rsidR="00EC638C" w:rsidRPr="00546DBB">
              <w:rPr>
                <w:rFonts w:ascii="Times New Roman" w:hAnsi="Times New Roman"/>
                <w:sz w:val="24"/>
                <w:szCs w:val="24"/>
                <w:lang w:eastAsia="lv-LV"/>
              </w:rPr>
              <w:t xml:space="preserve">noteikumu </w:t>
            </w:r>
            <w:r w:rsidR="00CA1976" w:rsidRPr="00546DBB">
              <w:rPr>
                <w:rFonts w:ascii="Times New Roman" w:hAnsi="Times New Roman"/>
                <w:sz w:val="24"/>
                <w:szCs w:val="24"/>
                <w:lang w:eastAsia="lv-LV"/>
              </w:rPr>
              <w:t>projekta tiesiskais regulējums nemaina tiesības un pienākumus, kā arī veicamās darbības.</w:t>
            </w:r>
          </w:p>
        </w:tc>
      </w:tr>
      <w:tr w:rsidR="00CA1976" w:rsidRPr="00546DBB" w:rsidTr="006D0302">
        <w:trPr>
          <w:trHeight w:val="523"/>
        </w:trPr>
        <w:tc>
          <w:tcPr>
            <w:tcW w:w="857" w:type="dxa"/>
          </w:tcPr>
          <w:p w:rsidR="00CA1976" w:rsidRPr="00546DBB" w:rsidRDefault="00CA1976" w:rsidP="00A262AF">
            <w:pPr>
              <w:pStyle w:val="naiskr"/>
              <w:spacing w:before="0" w:beforeAutospacing="0" w:after="0" w:afterAutospacing="0"/>
              <w:ind w:left="57" w:right="57"/>
              <w:jc w:val="both"/>
            </w:pPr>
            <w:r w:rsidRPr="00546DBB">
              <w:lastRenderedPageBreak/>
              <w:t>3.</w:t>
            </w:r>
          </w:p>
        </w:tc>
        <w:tc>
          <w:tcPr>
            <w:tcW w:w="2976" w:type="dxa"/>
          </w:tcPr>
          <w:p w:rsidR="00CA1976" w:rsidRPr="00546DBB" w:rsidRDefault="00CA1976" w:rsidP="001615B9">
            <w:pPr>
              <w:pStyle w:val="naiskr"/>
              <w:spacing w:before="0" w:beforeAutospacing="0" w:after="0" w:afterAutospacing="0"/>
              <w:ind w:left="57" w:right="57"/>
              <w:jc w:val="both"/>
            </w:pPr>
            <w:r w:rsidRPr="00546DBB">
              <w:t>Administratīvo izmaksu monetārs novērtējums</w:t>
            </w:r>
          </w:p>
        </w:tc>
        <w:tc>
          <w:tcPr>
            <w:tcW w:w="6389" w:type="dxa"/>
          </w:tcPr>
          <w:p w:rsidR="00CA1976" w:rsidRPr="00546DBB" w:rsidRDefault="0003345B" w:rsidP="00AE6015">
            <w:pPr>
              <w:shd w:val="clear" w:color="auto" w:fill="FFFFFF"/>
              <w:spacing w:after="0" w:line="240" w:lineRule="auto"/>
              <w:ind w:left="57" w:right="57"/>
              <w:jc w:val="both"/>
              <w:rPr>
                <w:rFonts w:ascii="Times New Roman" w:hAnsi="Times New Roman"/>
                <w:sz w:val="24"/>
                <w:szCs w:val="24"/>
                <w:lang w:eastAsia="lv-LV"/>
              </w:rPr>
            </w:pPr>
            <w:r w:rsidRPr="0003345B">
              <w:rPr>
                <w:rFonts w:ascii="Times New Roman" w:hAnsi="Times New Roman"/>
                <w:sz w:val="24"/>
                <w:szCs w:val="24"/>
                <w:lang w:eastAsia="lv-LV"/>
              </w:rPr>
              <w:t>Projekts šo jomu neskar.</w:t>
            </w:r>
          </w:p>
        </w:tc>
      </w:tr>
      <w:tr w:rsidR="00CA1976" w:rsidRPr="00546DBB" w:rsidTr="006D0302">
        <w:trPr>
          <w:trHeight w:val="357"/>
        </w:trPr>
        <w:tc>
          <w:tcPr>
            <w:tcW w:w="857" w:type="dxa"/>
          </w:tcPr>
          <w:p w:rsidR="00CA1976" w:rsidRPr="00546DBB" w:rsidRDefault="00CA1976" w:rsidP="00A262AF">
            <w:pPr>
              <w:pStyle w:val="naiskr"/>
              <w:spacing w:before="0" w:beforeAutospacing="0" w:after="0" w:afterAutospacing="0"/>
              <w:ind w:left="57" w:right="57"/>
              <w:jc w:val="both"/>
            </w:pPr>
            <w:r w:rsidRPr="00546DBB">
              <w:t>4.</w:t>
            </w:r>
          </w:p>
        </w:tc>
        <w:tc>
          <w:tcPr>
            <w:tcW w:w="2976" w:type="dxa"/>
          </w:tcPr>
          <w:p w:rsidR="00CA1976" w:rsidRPr="00546DBB" w:rsidRDefault="00CA1976" w:rsidP="00A262AF">
            <w:pPr>
              <w:pStyle w:val="naiskr"/>
              <w:spacing w:before="0" w:beforeAutospacing="0" w:after="0" w:afterAutospacing="0"/>
              <w:ind w:left="57" w:right="57"/>
            </w:pPr>
            <w:r w:rsidRPr="00546DBB">
              <w:t>Cita informācija</w:t>
            </w:r>
          </w:p>
        </w:tc>
        <w:tc>
          <w:tcPr>
            <w:tcW w:w="6389" w:type="dxa"/>
          </w:tcPr>
          <w:p w:rsidR="00CA1976" w:rsidRPr="00546DBB" w:rsidRDefault="00CA1976" w:rsidP="00A262AF">
            <w:pPr>
              <w:shd w:val="clear" w:color="auto" w:fill="FFFFFF"/>
              <w:spacing w:after="0" w:line="240" w:lineRule="auto"/>
              <w:ind w:left="57" w:right="57"/>
              <w:rPr>
                <w:rFonts w:ascii="Times New Roman" w:hAnsi="Times New Roman"/>
                <w:sz w:val="24"/>
                <w:szCs w:val="24"/>
                <w:lang w:eastAsia="lv-LV"/>
              </w:rPr>
            </w:pPr>
            <w:r w:rsidRPr="00546DBB">
              <w:rPr>
                <w:rFonts w:ascii="Times New Roman" w:hAnsi="Times New Roman"/>
                <w:sz w:val="24"/>
                <w:szCs w:val="24"/>
              </w:rPr>
              <w:t>Nav</w:t>
            </w:r>
          </w:p>
        </w:tc>
      </w:tr>
    </w:tbl>
    <w:p w:rsidR="00CA1976" w:rsidRPr="00546DBB" w:rsidRDefault="00CA1976" w:rsidP="00A262AF">
      <w:pPr>
        <w:spacing w:after="0" w:line="240" w:lineRule="auto"/>
        <w:rPr>
          <w:rFonts w:ascii="Times New Roman" w:hAnsi="Times New Roman"/>
          <w:sz w:val="24"/>
          <w:szCs w:val="24"/>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1056"/>
        <w:gridCol w:w="1667"/>
        <w:gridCol w:w="1150"/>
        <w:gridCol w:w="1190"/>
        <w:gridCol w:w="1809"/>
      </w:tblGrid>
      <w:tr w:rsidR="00AB2D5F" w:rsidRPr="00546DBB" w:rsidTr="008D41D2">
        <w:trPr>
          <w:trHeight w:val="361"/>
          <w:jc w:val="center"/>
        </w:trPr>
        <w:tc>
          <w:tcPr>
            <w:tcW w:w="10198" w:type="dxa"/>
            <w:gridSpan w:val="6"/>
            <w:vAlign w:val="center"/>
          </w:tcPr>
          <w:p w:rsidR="00AB2D5F" w:rsidRPr="007974C8" w:rsidRDefault="00AB2D5F" w:rsidP="008D41D2">
            <w:pPr>
              <w:pStyle w:val="naisnod"/>
              <w:spacing w:before="0" w:beforeAutospacing="0" w:after="0" w:afterAutospacing="0"/>
              <w:jc w:val="center"/>
              <w:rPr>
                <w:b/>
                <w:i/>
              </w:rPr>
            </w:pPr>
            <w:r w:rsidRPr="007974C8">
              <w:br w:type="page"/>
            </w:r>
            <w:r w:rsidRPr="007974C8">
              <w:rPr>
                <w:b/>
              </w:rPr>
              <w:t>III. Tiesību akta projekta ietekme uz valsts budžetu un pašvaldību budžetiem</w:t>
            </w:r>
          </w:p>
        </w:tc>
      </w:tr>
      <w:tr w:rsidR="00AB2D5F" w:rsidRPr="00546DBB" w:rsidTr="008D41D2">
        <w:trPr>
          <w:jc w:val="center"/>
        </w:trPr>
        <w:tc>
          <w:tcPr>
            <w:tcW w:w="3326" w:type="dxa"/>
            <w:vMerge w:val="restart"/>
            <w:vAlign w:val="center"/>
          </w:tcPr>
          <w:p w:rsidR="00AB2D5F" w:rsidRPr="007974C8" w:rsidRDefault="00AB2D5F" w:rsidP="008D41D2">
            <w:pPr>
              <w:pStyle w:val="naisf"/>
              <w:spacing w:before="0" w:beforeAutospacing="0" w:after="0" w:afterAutospacing="0"/>
              <w:jc w:val="center"/>
              <w:rPr>
                <w:b/>
              </w:rPr>
            </w:pPr>
            <w:r w:rsidRPr="007974C8">
              <w:rPr>
                <w:b/>
              </w:rPr>
              <w:t>Rādītāji</w:t>
            </w:r>
          </w:p>
        </w:tc>
        <w:tc>
          <w:tcPr>
            <w:tcW w:w="2723" w:type="dxa"/>
            <w:gridSpan w:val="2"/>
            <w:vMerge w:val="restart"/>
            <w:vAlign w:val="center"/>
          </w:tcPr>
          <w:p w:rsidR="00AB2D5F" w:rsidRPr="007974C8" w:rsidRDefault="00AF531B" w:rsidP="008D41D2">
            <w:pPr>
              <w:pStyle w:val="naisf"/>
              <w:spacing w:before="0" w:beforeAutospacing="0" w:after="0" w:afterAutospacing="0"/>
              <w:jc w:val="center"/>
              <w:rPr>
                <w:b/>
              </w:rPr>
            </w:pPr>
            <w:r w:rsidRPr="007974C8">
              <w:rPr>
                <w:b/>
              </w:rPr>
              <w:t>2015</w:t>
            </w:r>
            <w:r w:rsidR="00AB2D5F" w:rsidRPr="007974C8">
              <w:rPr>
                <w:b/>
              </w:rPr>
              <w:t>. gads</w:t>
            </w:r>
          </w:p>
        </w:tc>
        <w:tc>
          <w:tcPr>
            <w:tcW w:w="4149" w:type="dxa"/>
            <w:gridSpan w:val="3"/>
            <w:vAlign w:val="center"/>
          </w:tcPr>
          <w:p w:rsidR="00AB2D5F" w:rsidRPr="007974C8" w:rsidRDefault="00AB2D5F" w:rsidP="008D41D2">
            <w:pPr>
              <w:pStyle w:val="naisf"/>
              <w:spacing w:before="0" w:beforeAutospacing="0" w:after="0" w:afterAutospacing="0"/>
              <w:jc w:val="center"/>
              <w:rPr>
                <w:b/>
                <w:i/>
              </w:rPr>
            </w:pPr>
            <w:r w:rsidRPr="007974C8">
              <w:t>Turpmākie trīs gadi (</w:t>
            </w:r>
            <w:r w:rsidRPr="007974C8">
              <w:rPr>
                <w:i/>
              </w:rPr>
              <w:t>euro</w:t>
            </w:r>
            <w:r w:rsidRPr="007974C8">
              <w:t>)</w:t>
            </w:r>
          </w:p>
        </w:tc>
      </w:tr>
      <w:tr w:rsidR="00AB2D5F" w:rsidRPr="00546DBB" w:rsidTr="008D41D2">
        <w:trPr>
          <w:jc w:val="center"/>
        </w:trPr>
        <w:tc>
          <w:tcPr>
            <w:tcW w:w="3326" w:type="dxa"/>
            <w:vMerge/>
            <w:vAlign w:val="center"/>
          </w:tcPr>
          <w:p w:rsidR="00AB2D5F" w:rsidRPr="007974C8" w:rsidRDefault="00AB2D5F" w:rsidP="008D41D2">
            <w:pPr>
              <w:pStyle w:val="naisf"/>
              <w:spacing w:before="0" w:beforeAutospacing="0" w:after="0" w:afterAutospacing="0"/>
              <w:jc w:val="center"/>
              <w:rPr>
                <w:b/>
                <w:i/>
              </w:rPr>
            </w:pPr>
          </w:p>
        </w:tc>
        <w:tc>
          <w:tcPr>
            <w:tcW w:w="2723" w:type="dxa"/>
            <w:gridSpan w:val="2"/>
            <w:vMerge/>
            <w:vAlign w:val="center"/>
          </w:tcPr>
          <w:p w:rsidR="00AB2D5F" w:rsidRPr="007974C8" w:rsidRDefault="00AB2D5F" w:rsidP="008D41D2">
            <w:pPr>
              <w:pStyle w:val="naisf"/>
              <w:spacing w:before="0" w:beforeAutospacing="0" w:after="0" w:afterAutospacing="0"/>
              <w:jc w:val="center"/>
              <w:rPr>
                <w:b/>
                <w:i/>
              </w:rPr>
            </w:pPr>
          </w:p>
        </w:tc>
        <w:tc>
          <w:tcPr>
            <w:tcW w:w="1150" w:type="dxa"/>
            <w:vAlign w:val="center"/>
          </w:tcPr>
          <w:p w:rsidR="00AB2D5F" w:rsidRPr="007974C8" w:rsidRDefault="00AB2D5F" w:rsidP="00AF531B">
            <w:pPr>
              <w:pStyle w:val="naisf"/>
              <w:spacing w:before="0" w:beforeAutospacing="0" w:after="0" w:afterAutospacing="0"/>
              <w:jc w:val="center"/>
              <w:rPr>
                <w:b/>
                <w:i/>
              </w:rPr>
            </w:pPr>
            <w:r w:rsidRPr="007974C8">
              <w:rPr>
                <w:b/>
                <w:bCs/>
              </w:rPr>
              <w:t>201</w:t>
            </w:r>
            <w:r w:rsidR="00AF531B" w:rsidRPr="007974C8">
              <w:rPr>
                <w:b/>
                <w:bCs/>
              </w:rPr>
              <w:t>6</w:t>
            </w:r>
            <w:r w:rsidRPr="007974C8">
              <w:rPr>
                <w:b/>
                <w:bCs/>
              </w:rPr>
              <w:t>.g.</w:t>
            </w:r>
          </w:p>
        </w:tc>
        <w:tc>
          <w:tcPr>
            <w:tcW w:w="1190" w:type="dxa"/>
            <w:vAlign w:val="center"/>
          </w:tcPr>
          <w:p w:rsidR="00AB2D5F" w:rsidRPr="007974C8" w:rsidRDefault="00AB2D5F" w:rsidP="00AF531B">
            <w:pPr>
              <w:pStyle w:val="naisf"/>
              <w:spacing w:before="0" w:beforeAutospacing="0" w:after="0" w:afterAutospacing="0"/>
              <w:jc w:val="center"/>
              <w:rPr>
                <w:b/>
                <w:i/>
              </w:rPr>
            </w:pPr>
            <w:r w:rsidRPr="007974C8">
              <w:rPr>
                <w:b/>
                <w:bCs/>
              </w:rPr>
              <w:t>201</w:t>
            </w:r>
            <w:r w:rsidR="00AF531B" w:rsidRPr="007974C8">
              <w:rPr>
                <w:b/>
                <w:bCs/>
              </w:rPr>
              <w:t>7</w:t>
            </w:r>
            <w:r w:rsidRPr="007974C8">
              <w:rPr>
                <w:b/>
                <w:bCs/>
              </w:rPr>
              <w:t>.g.</w:t>
            </w:r>
          </w:p>
        </w:tc>
        <w:tc>
          <w:tcPr>
            <w:tcW w:w="1809" w:type="dxa"/>
            <w:vAlign w:val="center"/>
          </w:tcPr>
          <w:p w:rsidR="00AB2D5F" w:rsidRPr="007974C8" w:rsidRDefault="00AB2D5F" w:rsidP="00AF531B">
            <w:pPr>
              <w:pStyle w:val="naisf"/>
              <w:spacing w:before="0" w:beforeAutospacing="0" w:after="0" w:afterAutospacing="0"/>
              <w:jc w:val="center"/>
              <w:rPr>
                <w:b/>
                <w:i/>
              </w:rPr>
            </w:pPr>
            <w:r w:rsidRPr="007974C8">
              <w:rPr>
                <w:b/>
                <w:bCs/>
              </w:rPr>
              <w:t>201</w:t>
            </w:r>
            <w:r w:rsidR="00AF531B" w:rsidRPr="007974C8">
              <w:rPr>
                <w:b/>
                <w:bCs/>
              </w:rPr>
              <w:t>8</w:t>
            </w:r>
            <w:r w:rsidRPr="007974C8">
              <w:rPr>
                <w:b/>
                <w:bCs/>
              </w:rPr>
              <w:t>.g.</w:t>
            </w:r>
          </w:p>
        </w:tc>
      </w:tr>
      <w:tr w:rsidR="00AB2D5F" w:rsidRPr="00546DBB" w:rsidTr="008D41D2">
        <w:trPr>
          <w:jc w:val="center"/>
        </w:trPr>
        <w:tc>
          <w:tcPr>
            <w:tcW w:w="3326" w:type="dxa"/>
            <w:vMerge/>
            <w:vAlign w:val="center"/>
          </w:tcPr>
          <w:p w:rsidR="00AB2D5F" w:rsidRPr="007974C8" w:rsidRDefault="00AB2D5F" w:rsidP="008D41D2">
            <w:pPr>
              <w:pStyle w:val="naisf"/>
              <w:spacing w:before="0" w:beforeAutospacing="0" w:after="0" w:afterAutospacing="0"/>
              <w:jc w:val="center"/>
              <w:rPr>
                <w:b/>
                <w:i/>
              </w:rPr>
            </w:pPr>
          </w:p>
        </w:tc>
        <w:tc>
          <w:tcPr>
            <w:tcW w:w="1056" w:type="dxa"/>
            <w:vAlign w:val="center"/>
          </w:tcPr>
          <w:p w:rsidR="00AB2D5F" w:rsidRPr="007974C8" w:rsidRDefault="00AB2D5F" w:rsidP="008D41D2">
            <w:pPr>
              <w:pStyle w:val="naisf"/>
              <w:spacing w:before="0" w:beforeAutospacing="0" w:after="0" w:afterAutospacing="0"/>
              <w:jc w:val="center"/>
              <w:rPr>
                <w:b/>
                <w:i/>
              </w:rPr>
            </w:pPr>
            <w:r w:rsidRPr="007974C8">
              <w:t>saskaņā ar valsts budžetu kārtējam gadam</w:t>
            </w:r>
          </w:p>
        </w:tc>
        <w:tc>
          <w:tcPr>
            <w:tcW w:w="1667" w:type="dxa"/>
            <w:vAlign w:val="center"/>
          </w:tcPr>
          <w:p w:rsidR="00AB2D5F" w:rsidRPr="007974C8" w:rsidRDefault="00AB2D5F" w:rsidP="008D41D2">
            <w:pPr>
              <w:pStyle w:val="naisf"/>
              <w:spacing w:before="0" w:beforeAutospacing="0" w:after="0" w:afterAutospacing="0"/>
              <w:jc w:val="center"/>
              <w:rPr>
                <w:b/>
                <w:i/>
              </w:rPr>
            </w:pPr>
            <w:r w:rsidRPr="007974C8">
              <w:t>izmaiņas kārtējā gadā, salīdzinot ar budžetu kārtējam gadam</w:t>
            </w:r>
          </w:p>
        </w:tc>
        <w:tc>
          <w:tcPr>
            <w:tcW w:w="1150" w:type="dxa"/>
            <w:vAlign w:val="center"/>
          </w:tcPr>
          <w:p w:rsidR="00AB2D5F" w:rsidRPr="007974C8" w:rsidRDefault="00AB2D5F" w:rsidP="008D41D2">
            <w:pPr>
              <w:pStyle w:val="naisf"/>
              <w:spacing w:before="0" w:beforeAutospacing="0" w:after="0" w:afterAutospacing="0"/>
              <w:jc w:val="center"/>
              <w:rPr>
                <w:b/>
                <w:i/>
              </w:rPr>
            </w:pPr>
            <w:r w:rsidRPr="007974C8">
              <w:t>izmaiņas, salīdzinot ar kārtējo (n) gadu</w:t>
            </w:r>
          </w:p>
        </w:tc>
        <w:tc>
          <w:tcPr>
            <w:tcW w:w="1190" w:type="dxa"/>
            <w:vAlign w:val="center"/>
          </w:tcPr>
          <w:p w:rsidR="00AB2D5F" w:rsidRPr="007974C8" w:rsidRDefault="00AB2D5F" w:rsidP="008D41D2">
            <w:pPr>
              <w:pStyle w:val="naisf"/>
              <w:spacing w:before="0" w:beforeAutospacing="0" w:after="0" w:afterAutospacing="0"/>
              <w:jc w:val="center"/>
              <w:rPr>
                <w:b/>
                <w:i/>
              </w:rPr>
            </w:pPr>
            <w:r w:rsidRPr="007974C8">
              <w:t>izmaiņas, salīdzinot ar kārtējo (n) gadu</w:t>
            </w:r>
          </w:p>
        </w:tc>
        <w:tc>
          <w:tcPr>
            <w:tcW w:w="1809" w:type="dxa"/>
            <w:vAlign w:val="center"/>
          </w:tcPr>
          <w:p w:rsidR="00AB2D5F" w:rsidRPr="007974C8" w:rsidRDefault="00AB2D5F" w:rsidP="008D41D2">
            <w:pPr>
              <w:pStyle w:val="naisf"/>
              <w:spacing w:before="0" w:beforeAutospacing="0" w:after="0" w:afterAutospacing="0"/>
              <w:jc w:val="center"/>
              <w:rPr>
                <w:b/>
                <w:i/>
              </w:rPr>
            </w:pPr>
            <w:r w:rsidRPr="007974C8">
              <w:t>izmaiņas, salīdzinot ar kārtējo (n) gadu</w:t>
            </w:r>
          </w:p>
        </w:tc>
      </w:tr>
      <w:tr w:rsidR="00AB2D5F" w:rsidRPr="00546DBB" w:rsidTr="008D41D2">
        <w:trPr>
          <w:jc w:val="center"/>
        </w:trPr>
        <w:tc>
          <w:tcPr>
            <w:tcW w:w="3326" w:type="dxa"/>
            <w:vAlign w:val="center"/>
          </w:tcPr>
          <w:p w:rsidR="00AB2D5F" w:rsidRPr="007974C8" w:rsidRDefault="00AB2D5F" w:rsidP="008D41D2">
            <w:pPr>
              <w:pStyle w:val="naisf"/>
              <w:spacing w:before="0" w:beforeAutospacing="0" w:after="0" w:afterAutospacing="0"/>
              <w:jc w:val="center"/>
              <w:rPr>
                <w:bCs/>
              </w:rPr>
            </w:pPr>
            <w:r w:rsidRPr="007974C8">
              <w:rPr>
                <w:bCs/>
              </w:rPr>
              <w:t>1</w:t>
            </w:r>
          </w:p>
        </w:tc>
        <w:tc>
          <w:tcPr>
            <w:tcW w:w="1056" w:type="dxa"/>
            <w:vAlign w:val="center"/>
          </w:tcPr>
          <w:p w:rsidR="00AB2D5F" w:rsidRPr="007974C8" w:rsidRDefault="00AB2D5F" w:rsidP="008D41D2">
            <w:pPr>
              <w:pStyle w:val="naisf"/>
              <w:spacing w:before="0" w:beforeAutospacing="0" w:after="0" w:afterAutospacing="0"/>
              <w:jc w:val="center"/>
              <w:rPr>
                <w:bCs/>
              </w:rPr>
            </w:pPr>
            <w:r w:rsidRPr="007974C8">
              <w:rPr>
                <w:bCs/>
              </w:rPr>
              <w:t>2</w:t>
            </w:r>
          </w:p>
        </w:tc>
        <w:tc>
          <w:tcPr>
            <w:tcW w:w="1667" w:type="dxa"/>
            <w:vAlign w:val="center"/>
          </w:tcPr>
          <w:p w:rsidR="00AB2D5F" w:rsidRPr="007974C8" w:rsidRDefault="00AB2D5F" w:rsidP="008D41D2">
            <w:pPr>
              <w:pStyle w:val="naisf"/>
              <w:spacing w:before="0" w:beforeAutospacing="0" w:after="0" w:afterAutospacing="0"/>
              <w:jc w:val="center"/>
              <w:rPr>
                <w:bCs/>
              </w:rPr>
            </w:pPr>
            <w:r w:rsidRPr="007974C8">
              <w:rPr>
                <w:bCs/>
              </w:rPr>
              <w:t>3</w:t>
            </w:r>
          </w:p>
        </w:tc>
        <w:tc>
          <w:tcPr>
            <w:tcW w:w="1150" w:type="dxa"/>
            <w:vAlign w:val="center"/>
          </w:tcPr>
          <w:p w:rsidR="00AB2D5F" w:rsidRPr="007974C8" w:rsidRDefault="00AB2D5F" w:rsidP="008D41D2">
            <w:pPr>
              <w:pStyle w:val="naisf"/>
              <w:spacing w:before="0" w:beforeAutospacing="0" w:after="0" w:afterAutospacing="0"/>
              <w:jc w:val="center"/>
              <w:rPr>
                <w:bCs/>
              </w:rPr>
            </w:pPr>
            <w:r w:rsidRPr="007974C8">
              <w:rPr>
                <w:bCs/>
              </w:rPr>
              <w:t>4</w:t>
            </w:r>
          </w:p>
        </w:tc>
        <w:tc>
          <w:tcPr>
            <w:tcW w:w="1190" w:type="dxa"/>
            <w:vAlign w:val="center"/>
          </w:tcPr>
          <w:p w:rsidR="00AB2D5F" w:rsidRPr="007974C8" w:rsidRDefault="00AB2D5F" w:rsidP="008D41D2">
            <w:pPr>
              <w:pStyle w:val="naisf"/>
              <w:spacing w:before="0" w:beforeAutospacing="0" w:after="0" w:afterAutospacing="0"/>
              <w:jc w:val="center"/>
              <w:rPr>
                <w:bCs/>
              </w:rPr>
            </w:pPr>
            <w:r w:rsidRPr="007974C8">
              <w:rPr>
                <w:bCs/>
              </w:rPr>
              <w:t>5</w:t>
            </w:r>
          </w:p>
        </w:tc>
        <w:tc>
          <w:tcPr>
            <w:tcW w:w="1809" w:type="dxa"/>
            <w:vAlign w:val="center"/>
          </w:tcPr>
          <w:p w:rsidR="00AB2D5F" w:rsidRPr="007974C8" w:rsidRDefault="00AB2D5F" w:rsidP="008D41D2">
            <w:pPr>
              <w:pStyle w:val="naisf"/>
              <w:spacing w:before="0" w:beforeAutospacing="0" w:after="0" w:afterAutospacing="0"/>
              <w:jc w:val="center"/>
              <w:rPr>
                <w:bCs/>
              </w:rPr>
            </w:pPr>
            <w:r w:rsidRPr="007974C8">
              <w:rPr>
                <w:bCs/>
              </w:rPr>
              <w:t>6</w:t>
            </w:r>
          </w:p>
        </w:tc>
      </w:tr>
      <w:tr w:rsidR="00AB2D5F" w:rsidRPr="00546DBB" w:rsidTr="008D41D2">
        <w:trPr>
          <w:jc w:val="center"/>
        </w:trPr>
        <w:tc>
          <w:tcPr>
            <w:tcW w:w="3326" w:type="dxa"/>
          </w:tcPr>
          <w:p w:rsidR="00AB2D5F" w:rsidRPr="007974C8" w:rsidRDefault="00AB2D5F" w:rsidP="008D41D2">
            <w:pPr>
              <w:pStyle w:val="naisf"/>
              <w:spacing w:before="0" w:beforeAutospacing="0" w:after="0" w:afterAutospacing="0"/>
              <w:rPr>
                <w:b/>
                <w:i/>
              </w:rPr>
            </w:pPr>
            <w:r w:rsidRPr="007974C8">
              <w:rPr>
                <w:b/>
              </w:rPr>
              <w:t>1. Budžeta ieņēmumi:</w:t>
            </w:r>
          </w:p>
        </w:tc>
        <w:tc>
          <w:tcPr>
            <w:tcW w:w="1056" w:type="dxa"/>
          </w:tcPr>
          <w:p w:rsidR="00AB2D5F" w:rsidRPr="00F5306D" w:rsidRDefault="007974C8" w:rsidP="008D41D2">
            <w:pPr>
              <w:pStyle w:val="naisf"/>
              <w:spacing w:before="0" w:beforeAutospacing="0" w:after="0" w:afterAutospacing="0"/>
              <w:jc w:val="center"/>
            </w:pPr>
            <w:r w:rsidRPr="00F5306D">
              <w:t>-</w:t>
            </w:r>
          </w:p>
        </w:tc>
        <w:tc>
          <w:tcPr>
            <w:tcW w:w="1667" w:type="dxa"/>
          </w:tcPr>
          <w:p w:rsidR="00AB2D5F" w:rsidRPr="00F5306D" w:rsidRDefault="007974C8" w:rsidP="008D41D2">
            <w:pPr>
              <w:pStyle w:val="naisf"/>
              <w:spacing w:before="0" w:beforeAutospacing="0" w:after="0" w:afterAutospacing="0"/>
              <w:jc w:val="center"/>
            </w:pPr>
            <w:r w:rsidRPr="00F5306D">
              <w:t>-</w:t>
            </w:r>
          </w:p>
        </w:tc>
        <w:tc>
          <w:tcPr>
            <w:tcW w:w="1150" w:type="dxa"/>
          </w:tcPr>
          <w:p w:rsidR="00AB2D5F" w:rsidRPr="00F5306D" w:rsidRDefault="007974C8" w:rsidP="008D41D2">
            <w:pPr>
              <w:pStyle w:val="naisf"/>
              <w:spacing w:before="0" w:beforeAutospacing="0" w:after="0" w:afterAutospacing="0"/>
              <w:jc w:val="center"/>
            </w:pPr>
            <w:r w:rsidRPr="00F5306D">
              <w:t>-</w:t>
            </w:r>
          </w:p>
        </w:tc>
        <w:tc>
          <w:tcPr>
            <w:tcW w:w="1190" w:type="dxa"/>
          </w:tcPr>
          <w:p w:rsidR="00AB2D5F" w:rsidRPr="00F5306D" w:rsidRDefault="007974C8" w:rsidP="008D41D2">
            <w:pPr>
              <w:pStyle w:val="naisf"/>
              <w:spacing w:before="0" w:beforeAutospacing="0" w:after="0" w:afterAutospacing="0"/>
              <w:jc w:val="center"/>
            </w:pPr>
            <w:r w:rsidRPr="00F5306D">
              <w:t>-</w:t>
            </w:r>
          </w:p>
        </w:tc>
        <w:tc>
          <w:tcPr>
            <w:tcW w:w="1809" w:type="dxa"/>
          </w:tcPr>
          <w:p w:rsidR="00AB2D5F" w:rsidRPr="00F5306D" w:rsidRDefault="007974C8" w:rsidP="008D41D2">
            <w:pPr>
              <w:pStyle w:val="naisf"/>
              <w:spacing w:before="0" w:beforeAutospacing="0" w:after="0" w:afterAutospacing="0"/>
              <w:jc w:val="center"/>
            </w:pPr>
            <w:r w:rsidRPr="00F5306D">
              <w:t>-</w:t>
            </w:r>
          </w:p>
        </w:tc>
      </w:tr>
      <w:tr w:rsidR="00AB2D5F" w:rsidRPr="00546DBB" w:rsidTr="008D41D2">
        <w:trPr>
          <w:jc w:val="center"/>
        </w:trPr>
        <w:tc>
          <w:tcPr>
            <w:tcW w:w="3326" w:type="dxa"/>
          </w:tcPr>
          <w:p w:rsidR="00AB2D5F" w:rsidRPr="007974C8" w:rsidRDefault="00AB2D5F" w:rsidP="008D41D2">
            <w:pPr>
              <w:pStyle w:val="naisf"/>
              <w:spacing w:before="0" w:beforeAutospacing="0" w:after="0" w:afterAutospacing="0"/>
              <w:rPr>
                <w:i/>
              </w:rPr>
            </w:pPr>
            <w:r w:rsidRPr="007974C8">
              <w:t>1.1. valsts pamatbudžets, tai skaitā ieņēmumi no maksas pakalpojumiem un citi pašu ieņēmumi</w:t>
            </w:r>
          </w:p>
        </w:tc>
        <w:tc>
          <w:tcPr>
            <w:tcW w:w="1056" w:type="dxa"/>
          </w:tcPr>
          <w:p w:rsidR="00AB2D5F" w:rsidRPr="007974C8" w:rsidRDefault="00AB2D5F" w:rsidP="008D41D2">
            <w:pPr>
              <w:pStyle w:val="naisf"/>
              <w:spacing w:before="0" w:beforeAutospacing="0" w:after="0" w:afterAutospacing="0"/>
              <w:jc w:val="center"/>
            </w:pPr>
          </w:p>
        </w:tc>
        <w:tc>
          <w:tcPr>
            <w:tcW w:w="1667" w:type="dxa"/>
          </w:tcPr>
          <w:p w:rsidR="00AB2D5F" w:rsidRPr="007974C8" w:rsidRDefault="00AB2D5F" w:rsidP="008D41D2">
            <w:pPr>
              <w:pStyle w:val="naisf"/>
              <w:spacing w:before="0" w:beforeAutospacing="0" w:after="0" w:afterAutospacing="0"/>
              <w:jc w:val="center"/>
            </w:pPr>
          </w:p>
        </w:tc>
        <w:tc>
          <w:tcPr>
            <w:tcW w:w="1150" w:type="dxa"/>
          </w:tcPr>
          <w:p w:rsidR="00AB2D5F" w:rsidRPr="007974C8" w:rsidRDefault="00AB2D5F" w:rsidP="008D41D2">
            <w:pPr>
              <w:pStyle w:val="naisf"/>
              <w:spacing w:before="0" w:beforeAutospacing="0" w:after="0" w:afterAutospacing="0"/>
              <w:jc w:val="center"/>
            </w:pPr>
          </w:p>
        </w:tc>
        <w:tc>
          <w:tcPr>
            <w:tcW w:w="1190" w:type="dxa"/>
          </w:tcPr>
          <w:p w:rsidR="00AB2D5F" w:rsidRPr="007974C8" w:rsidRDefault="00AB2D5F" w:rsidP="008D41D2">
            <w:pPr>
              <w:pStyle w:val="naisf"/>
              <w:spacing w:before="0" w:beforeAutospacing="0" w:after="0" w:afterAutospacing="0"/>
              <w:jc w:val="center"/>
            </w:pPr>
          </w:p>
        </w:tc>
        <w:tc>
          <w:tcPr>
            <w:tcW w:w="1809" w:type="dxa"/>
          </w:tcPr>
          <w:p w:rsidR="00AB2D5F" w:rsidRPr="007974C8" w:rsidRDefault="00AB2D5F" w:rsidP="008D41D2">
            <w:pPr>
              <w:pStyle w:val="naisf"/>
              <w:spacing w:before="0" w:beforeAutospacing="0" w:after="0" w:afterAutospacing="0"/>
              <w:jc w:val="center"/>
            </w:pPr>
          </w:p>
        </w:tc>
      </w:tr>
      <w:tr w:rsidR="00AB2D5F" w:rsidRPr="00546DBB" w:rsidTr="008D41D2">
        <w:trPr>
          <w:jc w:val="center"/>
        </w:trPr>
        <w:tc>
          <w:tcPr>
            <w:tcW w:w="3326" w:type="dxa"/>
          </w:tcPr>
          <w:p w:rsidR="00AB2D5F" w:rsidRPr="007974C8" w:rsidRDefault="00AB2D5F" w:rsidP="008D41D2">
            <w:pPr>
              <w:pStyle w:val="naisf"/>
              <w:spacing w:before="0" w:beforeAutospacing="0" w:after="0" w:afterAutospacing="0"/>
              <w:rPr>
                <w:i/>
              </w:rPr>
            </w:pPr>
            <w:r w:rsidRPr="007974C8">
              <w:t>1.2. valsts speciālais budžets</w:t>
            </w:r>
          </w:p>
        </w:tc>
        <w:tc>
          <w:tcPr>
            <w:tcW w:w="1056"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667" w:type="dxa"/>
          </w:tcPr>
          <w:p w:rsidR="00AB2D5F" w:rsidRPr="007974C8" w:rsidRDefault="00AB2D5F" w:rsidP="008D41D2">
            <w:pPr>
              <w:pStyle w:val="naisf"/>
              <w:spacing w:before="0" w:beforeAutospacing="0" w:after="0" w:afterAutospacing="0"/>
              <w:jc w:val="cente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tcPr>
          <w:p w:rsidR="00AB2D5F" w:rsidRPr="007974C8" w:rsidRDefault="00AB2D5F" w:rsidP="008D41D2">
            <w:pPr>
              <w:pStyle w:val="naisf"/>
              <w:spacing w:before="0" w:beforeAutospacing="0" w:after="0" w:afterAutospacing="0"/>
              <w:rPr>
                <w:i/>
              </w:rPr>
            </w:pPr>
            <w:r w:rsidRPr="007974C8">
              <w:t>1.3. pašvaldību budžets</w:t>
            </w:r>
          </w:p>
        </w:tc>
        <w:tc>
          <w:tcPr>
            <w:tcW w:w="1056"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667" w:type="dxa"/>
          </w:tcPr>
          <w:p w:rsidR="00AB2D5F" w:rsidRPr="007974C8" w:rsidRDefault="00AB2D5F" w:rsidP="008D41D2">
            <w:pPr>
              <w:pStyle w:val="naisf"/>
              <w:spacing w:before="0" w:beforeAutospacing="0" w:after="0" w:afterAutospacing="0"/>
              <w:jc w:val="cente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b/>
                <w:sz w:val="24"/>
                <w:szCs w:val="24"/>
              </w:rPr>
            </w:pPr>
            <w:r w:rsidRPr="007974C8">
              <w:rPr>
                <w:rFonts w:ascii="Times New Roman" w:hAnsi="Times New Roman"/>
                <w:b/>
                <w:sz w:val="24"/>
                <w:szCs w:val="24"/>
              </w:rPr>
              <w:t>2. Budžeta izdevumi:</w:t>
            </w:r>
          </w:p>
        </w:tc>
        <w:tc>
          <w:tcPr>
            <w:tcW w:w="1056" w:type="dxa"/>
          </w:tcPr>
          <w:p w:rsidR="00AB2D5F" w:rsidRPr="00F5306D" w:rsidRDefault="007974C8" w:rsidP="008D41D2">
            <w:pPr>
              <w:pStyle w:val="naisf"/>
              <w:spacing w:before="0" w:beforeAutospacing="0" w:after="0" w:afterAutospacing="0"/>
              <w:jc w:val="center"/>
            </w:pPr>
            <w:r w:rsidRPr="00F5306D">
              <w:t>-</w:t>
            </w:r>
          </w:p>
        </w:tc>
        <w:tc>
          <w:tcPr>
            <w:tcW w:w="1667" w:type="dxa"/>
          </w:tcPr>
          <w:p w:rsidR="00AB2D5F" w:rsidRPr="00F5306D" w:rsidRDefault="007974C8" w:rsidP="008D41D2">
            <w:pPr>
              <w:pStyle w:val="naisf"/>
              <w:spacing w:before="0" w:beforeAutospacing="0" w:after="0" w:afterAutospacing="0"/>
              <w:jc w:val="center"/>
            </w:pPr>
            <w:r w:rsidRPr="00F5306D">
              <w:t>-</w:t>
            </w:r>
          </w:p>
        </w:tc>
        <w:tc>
          <w:tcPr>
            <w:tcW w:w="1150" w:type="dxa"/>
          </w:tcPr>
          <w:p w:rsidR="00AB2D5F" w:rsidRPr="00F5306D" w:rsidRDefault="007974C8" w:rsidP="008D41D2">
            <w:pPr>
              <w:pStyle w:val="naisf"/>
              <w:spacing w:before="0" w:beforeAutospacing="0" w:after="0" w:afterAutospacing="0"/>
              <w:jc w:val="center"/>
            </w:pPr>
            <w:r w:rsidRPr="00F5306D">
              <w:t>-</w:t>
            </w:r>
          </w:p>
        </w:tc>
        <w:tc>
          <w:tcPr>
            <w:tcW w:w="1190" w:type="dxa"/>
          </w:tcPr>
          <w:p w:rsidR="00AB2D5F" w:rsidRPr="00F5306D" w:rsidRDefault="007974C8" w:rsidP="008D41D2">
            <w:pPr>
              <w:pStyle w:val="naisf"/>
              <w:spacing w:before="0" w:beforeAutospacing="0" w:after="0" w:afterAutospacing="0"/>
              <w:jc w:val="center"/>
            </w:pPr>
            <w:r w:rsidRPr="00F5306D">
              <w:t>-</w:t>
            </w:r>
          </w:p>
        </w:tc>
        <w:tc>
          <w:tcPr>
            <w:tcW w:w="1809" w:type="dxa"/>
          </w:tcPr>
          <w:p w:rsidR="00AB2D5F" w:rsidRPr="00F5306D" w:rsidRDefault="007974C8" w:rsidP="008D41D2">
            <w:pPr>
              <w:pStyle w:val="naisf"/>
              <w:spacing w:before="0" w:beforeAutospacing="0" w:after="0" w:afterAutospacing="0"/>
              <w:jc w:val="center"/>
            </w:pPr>
            <w:r w:rsidRPr="00F5306D">
              <w:t>-</w:t>
            </w: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 xml:space="preserve">2.1. valsts pamatbudžets: </w:t>
            </w:r>
          </w:p>
        </w:tc>
        <w:tc>
          <w:tcPr>
            <w:tcW w:w="1056" w:type="dxa"/>
          </w:tcPr>
          <w:p w:rsidR="00AB2D5F" w:rsidRPr="007974C8" w:rsidRDefault="00AB2D5F" w:rsidP="008D41D2">
            <w:pPr>
              <w:pStyle w:val="naisf"/>
              <w:spacing w:before="0" w:beforeAutospacing="0" w:after="0" w:afterAutospacing="0"/>
              <w:jc w:val="center"/>
            </w:pPr>
          </w:p>
        </w:tc>
        <w:tc>
          <w:tcPr>
            <w:tcW w:w="1667" w:type="dxa"/>
          </w:tcPr>
          <w:p w:rsidR="00AB2D5F" w:rsidRPr="007974C8" w:rsidRDefault="00AB2D5F" w:rsidP="008D41D2">
            <w:pPr>
              <w:pStyle w:val="naisf"/>
              <w:spacing w:before="0" w:beforeAutospacing="0" w:after="0" w:afterAutospacing="0"/>
              <w:jc w:val="center"/>
            </w:pPr>
          </w:p>
        </w:tc>
        <w:tc>
          <w:tcPr>
            <w:tcW w:w="1150" w:type="dxa"/>
          </w:tcPr>
          <w:p w:rsidR="00AB2D5F" w:rsidRPr="007974C8" w:rsidRDefault="00AB2D5F" w:rsidP="008D41D2">
            <w:pPr>
              <w:pStyle w:val="naisf"/>
              <w:spacing w:before="0" w:beforeAutospacing="0" w:after="0" w:afterAutospacing="0"/>
              <w:jc w:val="center"/>
            </w:pPr>
          </w:p>
        </w:tc>
        <w:tc>
          <w:tcPr>
            <w:tcW w:w="1190" w:type="dxa"/>
          </w:tcPr>
          <w:p w:rsidR="00AB2D5F" w:rsidRPr="007974C8" w:rsidRDefault="00AB2D5F" w:rsidP="008D41D2">
            <w:pPr>
              <w:pStyle w:val="naisf"/>
              <w:spacing w:before="0" w:beforeAutospacing="0" w:after="0" w:afterAutospacing="0"/>
              <w:jc w:val="center"/>
            </w:pPr>
          </w:p>
        </w:tc>
        <w:tc>
          <w:tcPr>
            <w:tcW w:w="1809" w:type="dxa"/>
          </w:tcPr>
          <w:p w:rsidR="00AB2D5F" w:rsidRPr="007974C8" w:rsidRDefault="00AB2D5F" w:rsidP="008D41D2">
            <w:pPr>
              <w:pStyle w:val="naisf"/>
              <w:spacing w:before="0" w:beforeAutospacing="0" w:after="0" w:afterAutospacing="0"/>
              <w:jc w:val="cente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 xml:space="preserve">2.2. valsts speciālais budžets </w:t>
            </w:r>
          </w:p>
        </w:tc>
        <w:tc>
          <w:tcPr>
            <w:tcW w:w="1056" w:type="dxa"/>
          </w:tcPr>
          <w:p w:rsidR="00AB2D5F" w:rsidRPr="007974C8" w:rsidRDefault="00AB2D5F" w:rsidP="008D41D2">
            <w:pPr>
              <w:pStyle w:val="naisf"/>
              <w:spacing w:before="0" w:beforeAutospacing="0" w:after="0" w:afterAutospacing="0"/>
              <w:jc w:val="center"/>
            </w:pPr>
          </w:p>
        </w:tc>
        <w:tc>
          <w:tcPr>
            <w:tcW w:w="1667" w:type="dxa"/>
          </w:tcPr>
          <w:p w:rsidR="00AB2D5F" w:rsidRPr="007974C8" w:rsidRDefault="00AB2D5F" w:rsidP="008D41D2">
            <w:pPr>
              <w:pStyle w:val="naisf"/>
              <w:spacing w:before="0" w:beforeAutospacing="0" w:after="0" w:afterAutospacing="0"/>
              <w:jc w:val="center"/>
            </w:pPr>
          </w:p>
        </w:tc>
        <w:tc>
          <w:tcPr>
            <w:tcW w:w="1150" w:type="dxa"/>
          </w:tcPr>
          <w:p w:rsidR="00AB2D5F" w:rsidRPr="007974C8" w:rsidRDefault="00AB2D5F" w:rsidP="008D41D2">
            <w:pPr>
              <w:pStyle w:val="naisf"/>
              <w:spacing w:before="0" w:beforeAutospacing="0" w:after="0" w:afterAutospacing="0"/>
              <w:jc w:val="center"/>
            </w:pPr>
          </w:p>
        </w:tc>
        <w:tc>
          <w:tcPr>
            <w:tcW w:w="1190" w:type="dxa"/>
          </w:tcPr>
          <w:p w:rsidR="00AB2D5F" w:rsidRPr="007974C8" w:rsidRDefault="00AB2D5F" w:rsidP="008D41D2">
            <w:pPr>
              <w:pStyle w:val="naisf"/>
              <w:spacing w:before="0" w:beforeAutospacing="0" w:after="0" w:afterAutospacing="0"/>
              <w:jc w:val="center"/>
            </w:pPr>
          </w:p>
        </w:tc>
        <w:tc>
          <w:tcPr>
            <w:tcW w:w="1809" w:type="dxa"/>
          </w:tcPr>
          <w:p w:rsidR="00AB2D5F" w:rsidRPr="007974C8" w:rsidRDefault="00AB2D5F" w:rsidP="008D41D2">
            <w:pPr>
              <w:pStyle w:val="naisf"/>
              <w:spacing w:before="0" w:beforeAutospacing="0" w:after="0" w:afterAutospacing="0"/>
              <w:jc w:val="cente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 xml:space="preserve">2.3. pašvaldību budžets: </w:t>
            </w:r>
          </w:p>
        </w:tc>
        <w:tc>
          <w:tcPr>
            <w:tcW w:w="1056" w:type="dxa"/>
          </w:tcPr>
          <w:p w:rsidR="00AB2D5F" w:rsidRPr="007974C8" w:rsidRDefault="00AB2D5F" w:rsidP="008D41D2">
            <w:pPr>
              <w:pStyle w:val="naisf"/>
              <w:spacing w:before="0" w:beforeAutospacing="0" w:after="0" w:afterAutospacing="0"/>
              <w:jc w:val="center"/>
            </w:pPr>
          </w:p>
        </w:tc>
        <w:tc>
          <w:tcPr>
            <w:tcW w:w="1667" w:type="dxa"/>
          </w:tcPr>
          <w:p w:rsidR="00AB2D5F" w:rsidRPr="007974C8" w:rsidRDefault="00AB2D5F" w:rsidP="008D41D2">
            <w:pPr>
              <w:pStyle w:val="naisf"/>
              <w:spacing w:before="0" w:beforeAutospacing="0" w:after="0" w:afterAutospacing="0"/>
              <w:jc w:val="center"/>
            </w:pPr>
          </w:p>
        </w:tc>
        <w:tc>
          <w:tcPr>
            <w:tcW w:w="1150" w:type="dxa"/>
          </w:tcPr>
          <w:p w:rsidR="00AB2D5F" w:rsidRPr="007974C8" w:rsidRDefault="00AB2D5F" w:rsidP="008D41D2">
            <w:pPr>
              <w:spacing w:after="0" w:line="240" w:lineRule="auto"/>
              <w:jc w:val="center"/>
            </w:pPr>
          </w:p>
        </w:tc>
        <w:tc>
          <w:tcPr>
            <w:tcW w:w="1190" w:type="dxa"/>
          </w:tcPr>
          <w:p w:rsidR="00AB2D5F" w:rsidRPr="007974C8" w:rsidRDefault="00AB2D5F" w:rsidP="008D41D2">
            <w:pPr>
              <w:pStyle w:val="naisf"/>
              <w:spacing w:before="0" w:beforeAutospacing="0" w:after="0" w:afterAutospacing="0"/>
              <w:jc w:val="center"/>
            </w:pPr>
          </w:p>
        </w:tc>
        <w:tc>
          <w:tcPr>
            <w:tcW w:w="1809" w:type="dxa"/>
          </w:tcPr>
          <w:p w:rsidR="00AB2D5F" w:rsidRPr="007974C8" w:rsidRDefault="00AB2D5F" w:rsidP="008D41D2">
            <w:pPr>
              <w:pStyle w:val="naisf"/>
              <w:spacing w:before="0" w:beforeAutospacing="0" w:after="0" w:afterAutospacing="0"/>
              <w:jc w:val="cente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b/>
                <w:sz w:val="24"/>
                <w:szCs w:val="24"/>
              </w:rPr>
            </w:pPr>
            <w:r w:rsidRPr="007974C8">
              <w:rPr>
                <w:rFonts w:ascii="Times New Roman" w:hAnsi="Times New Roman"/>
                <w:b/>
                <w:sz w:val="24"/>
                <w:szCs w:val="24"/>
              </w:rPr>
              <w:t>3. Finansiālā ietekme:</w:t>
            </w:r>
          </w:p>
        </w:tc>
        <w:tc>
          <w:tcPr>
            <w:tcW w:w="1056" w:type="dxa"/>
          </w:tcPr>
          <w:p w:rsidR="00AB2D5F" w:rsidRPr="00F5306D" w:rsidRDefault="007974C8" w:rsidP="008D41D2">
            <w:pPr>
              <w:pStyle w:val="naisf"/>
              <w:spacing w:before="0" w:beforeAutospacing="0" w:after="0" w:afterAutospacing="0"/>
              <w:jc w:val="center"/>
            </w:pPr>
            <w:r w:rsidRPr="00F5306D">
              <w:t>-</w:t>
            </w:r>
          </w:p>
        </w:tc>
        <w:tc>
          <w:tcPr>
            <w:tcW w:w="1667" w:type="dxa"/>
          </w:tcPr>
          <w:p w:rsidR="00AB2D5F" w:rsidRPr="00F5306D" w:rsidRDefault="007974C8" w:rsidP="008D41D2">
            <w:pPr>
              <w:pStyle w:val="naisf"/>
              <w:spacing w:before="0" w:beforeAutospacing="0" w:after="0" w:afterAutospacing="0"/>
              <w:jc w:val="center"/>
            </w:pPr>
            <w:r w:rsidRPr="00F5306D">
              <w:t>-</w:t>
            </w:r>
          </w:p>
        </w:tc>
        <w:tc>
          <w:tcPr>
            <w:tcW w:w="1150" w:type="dxa"/>
          </w:tcPr>
          <w:p w:rsidR="00AB2D5F" w:rsidRPr="00F5306D" w:rsidRDefault="007974C8" w:rsidP="008D41D2">
            <w:pPr>
              <w:pStyle w:val="naisf"/>
              <w:spacing w:before="0" w:beforeAutospacing="0" w:after="0" w:afterAutospacing="0"/>
              <w:jc w:val="center"/>
            </w:pPr>
            <w:r w:rsidRPr="00F5306D">
              <w:t>-</w:t>
            </w:r>
          </w:p>
        </w:tc>
        <w:tc>
          <w:tcPr>
            <w:tcW w:w="1190" w:type="dxa"/>
          </w:tcPr>
          <w:p w:rsidR="00AB2D5F" w:rsidRPr="00F5306D" w:rsidRDefault="007974C8" w:rsidP="008D41D2">
            <w:pPr>
              <w:pStyle w:val="naisf"/>
              <w:spacing w:before="0" w:beforeAutospacing="0" w:after="0" w:afterAutospacing="0"/>
              <w:jc w:val="center"/>
            </w:pPr>
            <w:r w:rsidRPr="00F5306D">
              <w:t>-</w:t>
            </w:r>
          </w:p>
        </w:tc>
        <w:tc>
          <w:tcPr>
            <w:tcW w:w="1809" w:type="dxa"/>
          </w:tcPr>
          <w:p w:rsidR="00AB2D5F" w:rsidRPr="00F5306D" w:rsidRDefault="007974C8" w:rsidP="008D41D2">
            <w:pPr>
              <w:pStyle w:val="naisf"/>
              <w:spacing w:before="0" w:beforeAutospacing="0" w:after="0" w:afterAutospacing="0"/>
              <w:jc w:val="center"/>
            </w:pPr>
            <w:r w:rsidRPr="00F5306D">
              <w:t>-</w:t>
            </w:r>
          </w:p>
        </w:tc>
      </w:tr>
      <w:tr w:rsidR="00AB2D5F" w:rsidRPr="00546DBB" w:rsidTr="008D41D2">
        <w:trPr>
          <w:jc w:val="center"/>
        </w:trPr>
        <w:tc>
          <w:tcPr>
            <w:tcW w:w="3326" w:type="dxa"/>
          </w:tcPr>
          <w:p w:rsidR="00AB2D5F" w:rsidRPr="007974C8" w:rsidRDefault="00AB2D5F" w:rsidP="008D41D2">
            <w:pPr>
              <w:spacing w:after="0" w:line="240" w:lineRule="auto"/>
              <w:ind w:left="220"/>
              <w:rPr>
                <w:rFonts w:ascii="Times New Roman" w:hAnsi="Times New Roman"/>
                <w:sz w:val="24"/>
                <w:szCs w:val="24"/>
              </w:rPr>
            </w:pPr>
            <w:r w:rsidRPr="007974C8">
              <w:rPr>
                <w:rFonts w:ascii="Times New Roman" w:hAnsi="Times New Roman"/>
                <w:sz w:val="24"/>
                <w:szCs w:val="24"/>
              </w:rPr>
              <w:t>3.1. valsts pamatbudžets</w:t>
            </w:r>
          </w:p>
        </w:tc>
        <w:tc>
          <w:tcPr>
            <w:tcW w:w="1056" w:type="dxa"/>
          </w:tcPr>
          <w:p w:rsidR="00AB2D5F" w:rsidRPr="007974C8" w:rsidRDefault="00AB2D5F" w:rsidP="008D41D2">
            <w:pPr>
              <w:pStyle w:val="naisf"/>
              <w:spacing w:before="0" w:beforeAutospacing="0" w:after="0" w:afterAutospacing="0"/>
              <w:jc w:val="center"/>
            </w:pPr>
          </w:p>
        </w:tc>
        <w:tc>
          <w:tcPr>
            <w:tcW w:w="1667" w:type="dxa"/>
          </w:tcPr>
          <w:p w:rsidR="00AB2D5F" w:rsidRPr="007974C8" w:rsidRDefault="00AB2D5F" w:rsidP="008D41D2">
            <w:pPr>
              <w:pStyle w:val="naisf"/>
              <w:spacing w:before="0" w:beforeAutospacing="0" w:after="0" w:afterAutospacing="0"/>
              <w:jc w:val="center"/>
            </w:pPr>
          </w:p>
        </w:tc>
        <w:tc>
          <w:tcPr>
            <w:tcW w:w="1150" w:type="dxa"/>
          </w:tcPr>
          <w:p w:rsidR="00AB2D5F" w:rsidRPr="007974C8" w:rsidRDefault="00AB2D5F" w:rsidP="008D41D2">
            <w:pPr>
              <w:pStyle w:val="naisf"/>
              <w:spacing w:before="0" w:beforeAutospacing="0" w:after="0" w:afterAutospacing="0"/>
              <w:jc w:val="center"/>
            </w:pPr>
          </w:p>
        </w:tc>
        <w:tc>
          <w:tcPr>
            <w:tcW w:w="1190" w:type="dxa"/>
          </w:tcPr>
          <w:p w:rsidR="00AB2D5F" w:rsidRPr="007974C8" w:rsidRDefault="00AB2D5F" w:rsidP="008D41D2">
            <w:pPr>
              <w:pStyle w:val="naisf"/>
              <w:spacing w:before="0" w:beforeAutospacing="0" w:after="0" w:afterAutospacing="0"/>
              <w:jc w:val="center"/>
            </w:pPr>
          </w:p>
        </w:tc>
        <w:tc>
          <w:tcPr>
            <w:tcW w:w="1809" w:type="dxa"/>
          </w:tcPr>
          <w:p w:rsidR="00AB2D5F" w:rsidRPr="007974C8" w:rsidRDefault="00AB2D5F" w:rsidP="008D41D2">
            <w:pPr>
              <w:pStyle w:val="naisf"/>
              <w:spacing w:before="0" w:beforeAutospacing="0" w:after="0" w:afterAutospacing="0"/>
              <w:jc w:val="center"/>
            </w:pPr>
          </w:p>
        </w:tc>
      </w:tr>
      <w:tr w:rsidR="00AB2D5F" w:rsidRPr="00546DBB" w:rsidTr="008D41D2">
        <w:trPr>
          <w:trHeight w:val="85"/>
          <w:jc w:val="center"/>
        </w:trPr>
        <w:tc>
          <w:tcPr>
            <w:tcW w:w="3326" w:type="dxa"/>
          </w:tcPr>
          <w:p w:rsidR="00AB2D5F" w:rsidRPr="007974C8" w:rsidRDefault="00AB2D5F" w:rsidP="008D41D2">
            <w:pPr>
              <w:spacing w:after="0" w:line="240" w:lineRule="auto"/>
              <w:ind w:left="220"/>
              <w:rPr>
                <w:rFonts w:ascii="Times New Roman" w:hAnsi="Times New Roman"/>
                <w:sz w:val="24"/>
                <w:szCs w:val="24"/>
              </w:rPr>
            </w:pPr>
            <w:r w:rsidRPr="007974C8">
              <w:rPr>
                <w:rFonts w:ascii="Times New Roman" w:hAnsi="Times New Roman"/>
                <w:sz w:val="24"/>
                <w:szCs w:val="24"/>
              </w:rPr>
              <w:t>3.2. speciālais budžets</w:t>
            </w:r>
          </w:p>
        </w:tc>
        <w:tc>
          <w:tcPr>
            <w:tcW w:w="1056" w:type="dxa"/>
          </w:tcPr>
          <w:p w:rsidR="00AB2D5F" w:rsidRPr="007974C8" w:rsidRDefault="00AB2D5F" w:rsidP="008D41D2">
            <w:pPr>
              <w:pStyle w:val="naisf"/>
              <w:spacing w:before="0" w:beforeAutospacing="0" w:after="0" w:afterAutospacing="0"/>
              <w:jc w:val="center"/>
            </w:pPr>
          </w:p>
        </w:tc>
        <w:tc>
          <w:tcPr>
            <w:tcW w:w="1667" w:type="dxa"/>
          </w:tcPr>
          <w:p w:rsidR="00AB2D5F" w:rsidRPr="007974C8" w:rsidRDefault="00AB2D5F" w:rsidP="008D41D2">
            <w:pPr>
              <w:pStyle w:val="naisf"/>
              <w:spacing w:before="0" w:beforeAutospacing="0" w:after="0" w:afterAutospacing="0"/>
              <w:jc w:val="center"/>
            </w:pPr>
          </w:p>
        </w:tc>
        <w:tc>
          <w:tcPr>
            <w:tcW w:w="1150" w:type="dxa"/>
          </w:tcPr>
          <w:p w:rsidR="00AB2D5F" w:rsidRPr="007974C8" w:rsidRDefault="00AB2D5F" w:rsidP="008D41D2">
            <w:pPr>
              <w:pStyle w:val="naisf"/>
              <w:spacing w:before="0" w:beforeAutospacing="0" w:after="0" w:afterAutospacing="0"/>
              <w:jc w:val="center"/>
            </w:pPr>
          </w:p>
        </w:tc>
        <w:tc>
          <w:tcPr>
            <w:tcW w:w="1190" w:type="dxa"/>
          </w:tcPr>
          <w:p w:rsidR="00AB2D5F" w:rsidRPr="007974C8" w:rsidRDefault="00AB2D5F" w:rsidP="008D41D2">
            <w:pPr>
              <w:pStyle w:val="naisf"/>
              <w:spacing w:before="0" w:beforeAutospacing="0" w:after="0" w:afterAutospacing="0"/>
              <w:jc w:val="center"/>
            </w:pPr>
          </w:p>
        </w:tc>
        <w:tc>
          <w:tcPr>
            <w:tcW w:w="1809" w:type="dxa"/>
          </w:tcPr>
          <w:p w:rsidR="00AB2D5F" w:rsidRPr="007974C8" w:rsidRDefault="00AB2D5F" w:rsidP="008D41D2">
            <w:pPr>
              <w:pStyle w:val="naisf"/>
              <w:spacing w:before="0" w:beforeAutospacing="0" w:after="0" w:afterAutospacing="0"/>
              <w:jc w:val="center"/>
            </w:pPr>
          </w:p>
        </w:tc>
      </w:tr>
      <w:tr w:rsidR="00AB2D5F" w:rsidRPr="00546DBB" w:rsidTr="008D41D2">
        <w:trPr>
          <w:jc w:val="center"/>
        </w:trPr>
        <w:tc>
          <w:tcPr>
            <w:tcW w:w="3326" w:type="dxa"/>
          </w:tcPr>
          <w:p w:rsidR="00AB2D5F" w:rsidRPr="007974C8" w:rsidRDefault="00AB2D5F" w:rsidP="008D41D2">
            <w:pPr>
              <w:spacing w:after="0" w:line="240" w:lineRule="auto"/>
              <w:ind w:left="220"/>
              <w:rPr>
                <w:rFonts w:ascii="Times New Roman" w:hAnsi="Times New Roman"/>
                <w:sz w:val="24"/>
                <w:szCs w:val="24"/>
              </w:rPr>
            </w:pPr>
            <w:r w:rsidRPr="007974C8">
              <w:rPr>
                <w:rFonts w:ascii="Times New Roman" w:hAnsi="Times New Roman"/>
                <w:sz w:val="24"/>
                <w:szCs w:val="24"/>
              </w:rPr>
              <w:t xml:space="preserve">3.3. pašvaldību budžets </w:t>
            </w:r>
          </w:p>
        </w:tc>
        <w:tc>
          <w:tcPr>
            <w:tcW w:w="1056" w:type="dxa"/>
          </w:tcPr>
          <w:p w:rsidR="00AB2D5F" w:rsidRPr="007974C8" w:rsidRDefault="00AB2D5F" w:rsidP="008D41D2">
            <w:pPr>
              <w:pStyle w:val="naisf"/>
              <w:spacing w:before="0" w:beforeAutospacing="0" w:after="0" w:afterAutospacing="0"/>
              <w:jc w:val="center"/>
            </w:pPr>
          </w:p>
        </w:tc>
        <w:tc>
          <w:tcPr>
            <w:tcW w:w="1667" w:type="dxa"/>
          </w:tcPr>
          <w:p w:rsidR="00AB2D5F" w:rsidRPr="007974C8" w:rsidRDefault="00AB2D5F" w:rsidP="008D41D2">
            <w:pPr>
              <w:pStyle w:val="naisf"/>
              <w:spacing w:before="0" w:beforeAutospacing="0" w:after="0" w:afterAutospacing="0"/>
              <w:jc w:val="center"/>
            </w:pPr>
          </w:p>
        </w:tc>
        <w:tc>
          <w:tcPr>
            <w:tcW w:w="1150" w:type="dxa"/>
          </w:tcPr>
          <w:p w:rsidR="00AB2D5F" w:rsidRPr="007974C8" w:rsidRDefault="00AB2D5F" w:rsidP="008D41D2">
            <w:pPr>
              <w:pStyle w:val="naisf"/>
              <w:spacing w:before="0" w:beforeAutospacing="0" w:after="0" w:afterAutospacing="0"/>
              <w:jc w:val="center"/>
            </w:pPr>
          </w:p>
        </w:tc>
        <w:tc>
          <w:tcPr>
            <w:tcW w:w="1190" w:type="dxa"/>
          </w:tcPr>
          <w:p w:rsidR="00AB2D5F" w:rsidRPr="007974C8" w:rsidRDefault="00AB2D5F" w:rsidP="008D41D2">
            <w:pPr>
              <w:pStyle w:val="naisf"/>
              <w:spacing w:before="0" w:beforeAutospacing="0" w:after="0" w:afterAutospacing="0"/>
              <w:jc w:val="center"/>
            </w:pPr>
          </w:p>
        </w:tc>
        <w:tc>
          <w:tcPr>
            <w:tcW w:w="1809" w:type="dxa"/>
          </w:tcPr>
          <w:p w:rsidR="00AB2D5F" w:rsidRPr="007974C8" w:rsidRDefault="00AB2D5F" w:rsidP="008D41D2">
            <w:pPr>
              <w:pStyle w:val="naisf"/>
              <w:spacing w:before="0" w:beforeAutospacing="0" w:after="0" w:afterAutospacing="0"/>
              <w:jc w:val="center"/>
            </w:pPr>
          </w:p>
        </w:tc>
      </w:tr>
      <w:tr w:rsidR="00AB2D5F" w:rsidRPr="00546DBB" w:rsidTr="008D41D2">
        <w:trPr>
          <w:jc w:val="center"/>
        </w:trPr>
        <w:tc>
          <w:tcPr>
            <w:tcW w:w="3326" w:type="dxa"/>
            <w:vMerge w:val="restart"/>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4. Finanšu līdzekļi papildu izdevumu finansēšanai (kompensējošu izdevumu samazinājumu norāda ar "+" zīmi)</w:t>
            </w:r>
          </w:p>
        </w:tc>
        <w:tc>
          <w:tcPr>
            <w:tcW w:w="1056" w:type="dxa"/>
            <w:vMerge w:val="restart"/>
          </w:tcPr>
          <w:p w:rsidR="00AB2D5F" w:rsidRPr="00F5306D" w:rsidRDefault="00F5306D" w:rsidP="008D41D2">
            <w:pPr>
              <w:pStyle w:val="naisf"/>
              <w:spacing w:before="0" w:beforeAutospacing="0" w:after="0" w:afterAutospacing="0"/>
              <w:jc w:val="center"/>
            </w:pPr>
            <w:r w:rsidRPr="00F5306D">
              <w:t>X</w:t>
            </w:r>
          </w:p>
        </w:tc>
        <w:tc>
          <w:tcPr>
            <w:tcW w:w="1667"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vMerge/>
          </w:tcPr>
          <w:p w:rsidR="00AB2D5F" w:rsidRPr="007974C8" w:rsidRDefault="00AB2D5F" w:rsidP="008D41D2">
            <w:pPr>
              <w:spacing w:after="0" w:line="240" w:lineRule="auto"/>
              <w:rPr>
                <w:rFonts w:ascii="Times New Roman" w:hAnsi="Times New Roman"/>
                <w:sz w:val="24"/>
                <w:szCs w:val="24"/>
              </w:rPr>
            </w:pPr>
          </w:p>
        </w:tc>
        <w:tc>
          <w:tcPr>
            <w:tcW w:w="1056" w:type="dxa"/>
            <w:vMerge/>
          </w:tcPr>
          <w:p w:rsidR="00AB2D5F" w:rsidRPr="007974C8" w:rsidRDefault="00AB2D5F" w:rsidP="008D41D2">
            <w:pPr>
              <w:pStyle w:val="naisf"/>
              <w:spacing w:before="0" w:beforeAutospacing="0" w:after="0" w:afterAutospacing="0"/>
              <w:jc w:val="center"/>
              <w:rPr>
                <w:i/>
              </w:rPr>
            </w:pPr>
          </w:p>
        </w:tc>
        <w:tc>
          <w:tcPr>
            <w:tcW w:w="1667"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vMerge/>
          </w:tcPr>
          <w:p w:rsidR="00AB2D5F" w:rsidRPr="007974C8" w:rsidRDefault="00AB2D5F" w:rsidP="008D41D2">
            <w:pPr>
              <w:spacing w:after="0" w:line="240" w:lineRule="auto"/>
              <w:rPr>
                <w:rFonts w:ascii="Times New Roman" w:hAnsi="Times New Roman"/>
                <w:sz w:val="24"/>
                <w:szCs w:val="24"/>
              </w:rPr>
            </w:pPr>
          </w:p>
        </w:tc>
        <w:tc>
          <w:tcPr>
            <w:tcW w:w="1056" w:type="dxa"/>
            <w:vMerge/>
          </w:tcPr>
          <w:p w:rsidR="00AB2D5F" w:rsidRPr="007974C8" w:rsidRDefault="00AB2D5F" w:rsidP="008D41D2">
            <w:pPr>
              <w:pStyle w:val="naisf"/>
              <w:spacing w:before="0" w:beforeAutospacing="0" w:after="0" w:afterAutospacing="0"/>
              <w:jc w:val="center"/>
              <w:rPr>
                <w:i/>
              </w:rPr>
            </w:pPr>
          </w:p>
        </w:tc>
        <w:tc>
          <w:tcPr>
            <w:tcW w:w="1667"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5. Precizēta finansiālā ietekme:</w:t>
            </w:r>
          </w:p>
        </w:tc>
        <w:tc>
          <w:tcPr>
            <w:tcW w:w="1056" w:type="dxa"/>
            <w:vMerge w:val="restart"/>
          </w:tcPr>
          <w:p w:rsidR="00AB2D5F" w:rsidRPr="00F5306D" w:rsidRDefault="00F5306D" w:rsidP="008D41D2">
            <w:pPr>
              <w:pStyle w:val="naisf"/>
              <w:spacing w:before="0" w:beforeAutospacing="0" w:after="0" w:afterAutospacing="0"/>
              <w:jc w:val="center"/>
            </w:pPr>
            <w:r w:rsidRPr="00F5306D">
              <w:t>X</w:t>
            </w:r>
          </w:p>
        </w:tc>
        <w:tc>
          <w:tcPr>
            <w:tcW w:w="1667"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5.1. valsts pamatbudžets</w:t>
            </w:r>
          </w:p>
        </w:tc>
        <w:tc>
          <w:tcPr>
            <w:tcW w:w="1056" w:type="dxa"/>
            <w:vMerge/>
            <w:vAlign w:val="center"/>
          </w:tcPr>
          <w:p w:rsidR="00AB2D5F" w:rsidRPr="007974C8" w:rsidRDefault="00AB2D5F" w:rsidP="008D41D2">
            <w:pPr>
              <w:pStyle w:val="naisf"/>
              <w:spacing w:before="0" w:beforeAutospacing="0" w:after="0" w:afterAutospacing="0"/>
              <w:jc w:val="center"/>
              <w:rPr>
                <w:i/>
              </w:rPr>
            </w:pPr>
          </w:p>
        </w:tc>
        <w:tc>
          <w:tcPr>
            <w:tcW w:w="1667"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5.2. speciālais budžets</w:t>
            </w:r>
          </w:p>
        </w:tc>
        <w:tc>
          <w:tcPr>
            <w:tcW w:w="1056" w:type="dxa"/>
            <w:vMerge/>
            <w:vAlign w:val="center"/>
          </w:tcPr>
          <w:p w:rsidR="00AB2D5F" w:rsidRPr="007974C8" w:rsidRDefault="00AB2D5F" w:rsidP="008D41D2">
            <w:pPr>
              <w:pStyle w:val="naisf"/>
              <w:spacing w:before="0" w:beforeAutospacing="0" w:after="0" w:afterAutospacing="0"/>
              <w:jc w:val="center"/>
              <w:rPr>
                <w:i/>
              </w:rPr>
            </w:pPr>
          </w:p>
        </w:tc>
        <w:tc>
          <w:tcPr>
            <w:tcW w:w="1667"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lastRenderedPageBreak/>
              <w:t xml:space="preserve">5.3. pašvaldību budžets </w:t>
            </w:r>
          </w:p>
        </w:tc>
        <w:tc>
          <w:tcPr>
            <w:tcW w:w="1056" w:type="dxa"/>
            <w:vMerge/>
            <w:vAlign w:val="center"/>
          </w:tcPr>
          <w:p w:rsidR="00AB2D5F" w:rsidRPr="007974C8" w:rsidRDefault="00AB2D5F" w:rsidP="008D41D2">
            <w:pPr>
              <w:pStyle w:val="naisf"/>
              <w:spacing w:before="0" w:beforeAutospacing="0" w:after="0" w:afterAutospacing="0"/>
              <w:jc w:val="center"/>
              <w:rPr>
                <w:i/>
              </w:rPr>
            </w:pPr>
          </w:p>
        </w:tc>
        <w:tc>
          <w:tcPr>
            <w:tcW w:w="1667"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5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190" w:type="dxa"/>
            <w:vAlign w:val="center"/>
          </w:tcPr>
          <w:p w:rsidR="00AB2D5F" w:rsidRPr="007974C8" w:rsidRDefault="00AB2D5F" w:rsidP="008D41D2">
            <w:pPr>
              <w:spacing w:after="0" w:line="240" w:lineRule="auto"/>
              <w:jc w:val="center"/>
              <w:rPr>
                <w:rFonts w:ascii="Times New Roman" w:hAnsi="Times New Roman"/>
                <w:sz w:val="24"/>
                <w:szCs w:val="24"/>
              </w:rPr>
            </w:pPr>
          </w:p>
        </w:tc>
        <w:tc>
          <w:tcPr>
            <w:tcW w:w="1809" w:type="dxa"/>
            <w:vAlign w:val="center"/>
          </w:tcPr>
          <w:p w:rsidR="00AB2D5F" w:rsidRPr="007974C8" w:rsidRDefault="00AB2D5F" w:rsidP="008D41D2">
            <w:pPr>
              <w:spacing w:after="0" w:line="240" w:lineRule="auto"/>
              <w:jc w:val="center"/>
              <w:rPr>
                <w:rFonts w:ascii="Times New Roman" w:hAnsi="Times New Roman"/>
                <w:sz w:val="24"/>
                <w:szCs w:val="24"/>
              </w:rPr>
            </w:pPr>
          </w:p>
        </w:tc>
      </w:tr>
      <w:tr w:rsidR="00AB2D5F" w:rsidRPr="00546DBB" w:rsidTr="008D41D2">
        <w:trPr>
          <w:jc w:val="center"/>
        </w:trPr>
        <w:tc>
          <w:tcPr>
            <w:tcW w:w="3326" w:type="dxa"/>
          </w:tcPr>
          <w:p w:rsidR="00AB2D5F" w:rsidRPr="007974C8" w:rsidRDefault="00AB2D5F" w:rsidP="008D41D2">
            <w:pPr>
              <w:spacing w:after="0" w:line="240" w:lineRule="auto"/>
              <w:rPr>
                <w:rFonts w:ascii="Times New Roman" w:hAnsi="Times New Roman"/>
                <w:sz w:val="24"/>
                <w:szCs w:val="24"/>
              </w:rPr>
            </w:pPr>
            <w:r w:rsidRPr="007974C8">
              <w:rPr>
                <w:rFonts w:ascii="Times New Roman" w:hAnsi="Times New Roman"/>
                <w:sz w:val="24"/>
                <w:szCs w:val="24"/>
              </w:rPr>
              <w:t>6. Detalizēts ieņēmumu un izdevumu aprēķins (ja nepieciešams, detalizētu ieņēmumu un izdevumu aprēķinu var pievienot anotācijas pielikumā):</w:t>
            </w:r>
          </w:p>
        </w:tc>
        <w:tc>
          <w:tcPr>
            <w:tcW w:w="1056" w:type="dxa"/>
            <w:vAlign w:val="center"/>
          </w:tcPr>
          <w:p w:rsidR="00AB2D5F" w:rsidRPr="007974C8" w:rsidRDefault="007974C8" w:rsidP="008D41D2">
            <w:pPr>
              <w:jc w:val="center"/>
              <w:rPr>
                <w:rFonts w:ascii="Times New Roman" w:hAnsi="Times New Roman"/>
                <w:sz w:val="24"/>
                <w:szCs w:val="24"/>
              </w:rPr>
            </w:pPr>
            <w:r w:rsidRPr="007974C8">
              <w:rPr>
                <w:rFonts w:ascii="Times New Roman" w:hAnsi="Times New Roman"/>
                <w:sz w:val="24"/>
                <w:szCs w:val="24"/>
              </w:rPr>
              <w:t>-</w:t>
            </w:r>
          </w:p>
        </w:tc>
        <w:tc>
          <w:tcPr>
            <w:tcW w:w="1667" w:type="dxa"/>
            <w:vAlign w:val="center"/>
          </w:tcPr>
          <w:p w:rsidR="00AB2D5F" w:rsidRPr="007974C8" w:rsidRDefault="007974C8" w:rsidP="008D41D2">
            <w:pPr>
              <w:spacing w:after="0" w:line="240" w:lineRule="auto"/>
              <w:jc w:val="center"/>
              <w:rPr>
                <w:rFonts w:ascii="Times New Roman" w:hAnsi="Times New Roman"/>
                <w:sz w:val="24"/>
                <w:szCs w:val="24"/>
              </w:rPr>
            </w:pPr>
            <w:r w:rsidRPr="007974C8">
              <w:rPr>
                <w:rFonts w:ascii="Times New Roman" w:hAnsi="Times New Roman"/>
                <w:sz w:val="24"/>
                <w:szCs w:val="24"/>
              </w:rPr>
              <w:t>-</w:t>
            </w:r>
          </w:p>
        </w:tc>
        <w:tc>
          <w:tcPr>
            <w:tcW w:w="1150" w:type="dxa"/>
            <w:vAlign w:val="center"/>
          </w:tcPr>
          <w:p w:rsidR="00AB2D5F" w:rsidRPr="007974C8" w:rsidRDefault="007974C8" w:rsidP="008D41D2">
            <w:pPr>
              <w:spacing w:after="0" w:line="240" w:lineRule="auto"/>
              <w:jc w:val="center"/>
              <w:rPr>
                <w:rFonts w:ascii="Times New Roman" w:hAnsi="Times New Roman"/>
                <w:sz w:val="24"/>
                <w:szCs w:val="24"/>
              </w:rPr>
            </w:pPr>
            <w:r w:rsidRPr="007974C8">
              <w:rPr>
                <w:rFonts w:ascii="Times New Roman" w:hAnsi="Times New Roman"/>
                <w:sz w:val="24"/>
                <w:szCs w:val="24"/>
              </w:rPr>
              <w:t>-</w:t>
            </w:r>
          </w:p>
        </w:tc>
        <w:tc>
          <w:tcPr>
            <w:tcW w:w="1190" w:type="dxa"/>
            <w:vAlign w:val="center"/>
          </w:tcPr>
          <w:p w:rsidR="00AB2D5F" w:rsidRPr="007974C8" w:rsidRDefault="007974C8" w:rsidP="008D41D2">
            <w:pPr>
              <w:spacing w:after="0" w:line="240" w:lineRule="auto"/>
              <w:jc w:val="center"/>
              <w:rPr>
                <w:rFonts w:ascii="Times New Roman" w:hAnsi="Times New Roman"/>
                <w:sz w:val="24"/>
                <w:szCs w:val="24"/>
              </w:rPr>
            </w:pPr>
            <w:r w:rsidRPr="007974C8">
              <w:rPr>
                <w:rFonts w:ascii="Times New Roman" w:hAnsi="Times New Roman"/>
                <w:sz w:val="24"/>
                <w:szCs w:val="24"/>
              </w:rPr>
              <w:t>-</w:t>
            </w:r>
          </w:p>
        </w:tc>
        <w:tc>
          <w:tcPr>
            <w:tcW w:w="1809" w:type="dxa"/>
            <w:vAlign w:val="center"/>
          </w:tcPr>
          <w:p w:rsidR="00AB2D5F" w:rsidRPr="007974C8" w:rsidRDefault="007974C8" w:rsidP="008D41D2">
            <w:pPr>
              <w:spacing w:after="0" w:line="240" w:lineRule="auto"/>
              <w:jc w:val="center"/>
              <w:rPr>
                <w:rFonts w:ascii="Times New Roman" w:hAnsi="Times New Roman"/>
                <w:sz w:val="24"/>
                <w:szCs w:val="24"/>
              </w:rPr>
            </w:pPr>
            <w:r w:rsidRPr="007974C8">
              <w:rPr>
                <w:rFonts w:ascii="Times New Roman" w:hAnsi="Times New Roman"/>
                <w:sz w:val="24"/>
                <w:szCs w:val="24"/>
              </w:rPr>
              <w:t>-</w:t>
            </w:r>
          </w:p>
        </w:tc>
      </w:tr>
      <w:tr w:rsidR="00AB2D5F" w:rsidRPr="00546DBB" w:rsidTr="00C906FA">
        <w:trPr>
          <w:jc w:val="center"/>
        </w:trPr>
        <w:tc>
          <w:tcPr>
            <w:tcW w:w="3326" w:type="dxa"/>
            <w:shd w:val="clear" w:color="auto" w:fill="auto"/>
          </w:tcPr>
          <w:p w:rsidR="00AB2D5F" w:rsidRPr="00220881" w:rsidRDefault="00AB2D5F" w:rsidP="008D41D2">
            <w:pPr>
              <w:spacing w:after="0" w:line="240" w:lineRule="auto"/>
              <w:rPr>
                <w:rFonts w:ascii="Times New Roman" w:hAnsi="Times New Roman"/>
                <w:sz w:val="24"/>
                <w:szCs w:val="24"/>
                <w:highlight w:val="yellow"/>
              </w:rPr>
            </w:pPr>
            <w:r w:rsidRPr="00C906FA">
              <w:rPr>
                <w:rFonts w:ascii="Times New Roman" w:hAnsi="Times New Roman"/>
                <w:sz w:val="24"/>
                <w:szCs w:val="24"/>
              </w:rPr>
              <w:t>7. Cita informācija</w:t>
            </w:r>
          </w:p>
        </w:tc>
        <w:tc>
          <w:tcPr>
            <w:tcW w:w="6872" w:type="dxa"/>
            <w:gridSpan w:val="5"/>
            <w:vAlign w:val="center"/>
          </w:tcPr>
          <w:p w:rsidR="00F5306D" w:rsidRPr="009B2CCC" w:rsidRDefault="00F5306D" w:rsidP="00F5306D">
            <w:pPr>
              <w:spacing w:after="0" w:line="240" w:lineRule="auto"/>
              <w:ind w:right="181"/>
              <w:jc w:val="both"/>
              <w:rPr>
                <w:rFonts w:ascii="Times New Roman" w:hAnsi="Times New Roman"/>
                <w:bCs/>
                <w:sz w:val="24"/>
                <w:szCs w:val="24"/>
              </w:rPr>
            </w:pPr>
            <w:r w:rsidRPr="009B2CCC">
              <w:rPr>
                <w:rFonts w:ascii="Times New Roman" w:hAnsi="Times New Roman"/>
                <w:sz w:val="24"/>
                <w:szCs w:val="24"/>
              </w:rPr>
              <w:t>2011.gada 28.aprīlī tika parakstīts Saprašanās memorands st</w:t>
            </w:r>
            <w:r>
              <w:rPr>
                <w:rFonts w:ascii="Times New Roman" w:hAnsi="Times New Roman"/>
                <w:sz w:val="24"/>
                <w:szCs w:val="24"/>
              </w:rPr>
              <w:t>arp Latvijas Republiku, Īslandi</w:t>
            </w:r>
            <w:r w:rsidRPr="009B2CCC">
              <w:rPr>
                <w:rFonts w:ascii="Times New Roman" w:hAnsi="Times New Roman"/>
                <w:sz w:val="24"/>
                <w:szCs w:val="24"/>
              </w:rPr>
              <w:t>, Lihtenšteinas Firstisti un Norvēģijas Karalisti par Eiropas Ekonomikas zonas finanšu instru</w:t>
            </w:r>
            <w:r w:rsidR="00701216">
              <w:rPr>
                <w:rFonts w:ascii="Times New Roman" w:hAnsi="Times New Roman"/>
                <w:sz w:val="24"/>
                <w:szCs w:val="24"/>
              </w:rPr>
              <w:t>menta ieviešanu 2009.–2014.gadā</w:t>
            </w:r>
            <w:r w:rsidR="0057383B">
              <w:rPr>
                <w:rFonts w:ascii="Times New Roman" w:hAnsi="Times New Roman"/>
                <w:sz w:val="24"/>
                <w:szCs w:val="24"/>
              </w:rPr>
              <w:t xml:space="preserve"> (turpmāk – S</w:t>
            </w:r>
            <w:r w:rsidR="00DC1CBF">
              <w:rPr>
                <w:rFonts w:ascii="Times New Roman" w:hAnsi="Times New Roman"/>
                <w:sz w:val="24"/>
                <w:szCs w:val="24"/>
              </w:rPr>
              <w:t xml:space="preserve">aprašanās memorands), kas </w:t>
            </w:r>
            <w:r w:rsidR="00DC1CBF" w:rsidRPr="009B2CCC">
              <w:rPr>
                <w:rFonts w:ascii="Times New Roman" w:hAnsi="Times New Roman"/>
                <w:sz w:val="24"/>
                <w:szCs w:val="24"/>
              </w:rPr>
              <w:t>apstiprināts ar Ministru kabineta 2011.gada 29.marta noteikumiem Nr.251 „Par Latvijas Republikas un Īslandes, Lihtenšteinas Firstistes un Norvēģijas Karalistes saprašanās memorandu par Eiropas Ekonomikas zonas instrumenta ieviešanu 2009.–2014.ga</w:t>
            </w:r>
            <w:r w:rsidR="00DC1CBF">
              <w:rPr>
                <w:rFonts w:ascii="Times New Roman" w:hAnsi="Times New Roman"/>
                <w:sz w:val="24"/>
                <w:szCs w:val="24"/>
              </w:rPr>
              <w:t>dā”</w:t>
            </w:r>
            <w:r w:rsidR="00701216">
              <w:rPr>
                <w:rFonts w:ascii="Times New Roman" w:hAnsi="Times New Roman"/>
                <w:sz w:val="24"/>
                <w:szCs w:val="24"/>
              </w:rPr>
              <w:t>.</w:t>
            </w:r>
          </w:p>
          <w:p w:rsidR="00F5306D" w:rsidRPr="009B2CCC" w:rsidRDefault="00F5306D" w:rsidP="00F5306D">
            <w:pPr>
              <w:spacing w:after="0" w:line="240" w:lineRule="auto"/>
              <w:ind w:right="181"/>
              <w:jc w:val="both"/>
              <w:rPr>
                <w:rFonts w:ascii="Times New Roman" w:hAnsi="Times New Roman"/>
                <w:sz w:val="24"/>
                <w:szCs w:val="24"/>
              </w:rPr>
            </w:pPr>
            <w:r w:rsidRPr="009B2CCC">
              <w:rPr>
                <w:rFonts w:ascii="Times New Roman" w:hAnsi="Times New Roman"/>
                <w:sz w:val="24"/>
                <w:szCs w:val="24"/>
              </w:rPr>
              <w:t xml:space="preserve">Saskaņā ar Saprašanās memoranda B pielikuma 3. punktu, 10 365 000 </w:t>
            </w:r>
            <w:r w:rsidRPr="009B2CCC">
              <w:rPr>
                <w:rFonts w:ascii="Times New Roman" w:hAnsi="Times New Roman"/>
                <w:i/>
                <w:sz w:val="24"/>
                <w:szCs w:val="24"/>
              </w:rPr>
              <w:t>euro</w:t>
            </w:r>
            <w:r w:rsidRPr="009B2CCC">
              <w:rPr>
                <w:rFonts w:ascii="Times New Roman" w:hAnsi="Times New Roman"/>
                <w:sz w:val="24"/>
                <w:szCs w:val="24"/>
              </w:rPr>
              <w:t xml:space="preserve"> </w:t>
            </w:r>
            <w:r w:rsidR="00733BCB">
              <w:rPr>
                <w:rFonts w:ascii="Times New Roman" w:hAnsi="Times New Roman"/>
                <w:sz w:val="24"/>
                <w:szCs w:val="24"/>
              </w:rPr>
              <w:t>piešķirti</w:t>
            </w:r>
            <w:r w:rsidRPr="009B2CCC">
              <w:rPr>
                <w:rFonts w:ascii="Times New Roman" w:hAnsi="Times New Roman"/>
                <w:sz w:val="24"/>
                <w:szCs w:val="24"/>
              </w:rPr>
              <w:t xml:space="preserve"> programmas „Nacionālā klimata politika”</w:t>
            </w:r>
            <w:r w:rsidRPr="009B2CCC">
              <w:rPr>
                <w:rFonts w:ascii="Times New Roman" w:hAnsi="Times New Roman"/>
                <w:bCs/>
                <w:sz w:val="24"/>
                <w:szCs w:val="24"/>
              </w:rPr>
              <w:t xml:space="preserve"> ieviešanai</w:t>
            </w:r>
            <w:r w:rsidR="00733BCB">
              <w:rPr>
                <w:rFonts w:ascii="Times New Roman" w:hAnsi="Times New Roman"/>
                <w:bCs/>
                <w:sz w:val="24"/>
                <w:szCs w:val="24"/>
              </w:rPr>
              <w:t xml:space="preserve"> no Eiropas Ekonomikas zonas finanšu instrumenta</w:t>
            </w:r>
            <w:r w:rsidR="00733BCB">
              <w:rPr>
                <w:rFonts w:ascii="Times New Roman" w:hAnsi="Times New Roman"/>
                <w:sz w:val="24"/>
                <w:szCs w:val="24"/>
              </w:rPr>
              <w:t xml:space="preserve">. </w:t>
            </w:r>
          </w:p>
          <w:p w:rsidR="00F5306D" w:rsidRPr="00F5306D" w:rsidRDefault="00F5306D" w:rsidP="00CA70A8">
            <w:pPr>
              <w:spacing w:after="0"/>
              <w:jc w:val="both"/>
              <w:rPr>
                <w:rFonts w:ascii="Times New Roman" w:hAnsi="Times New Roman"/>
                <w:sz w:val="24"/>
                <w:szCs w:val="24"/>
              </w:rPr>
            </w:pPr>
            <w:r>
              <w:rPr>
                <w:rFonts w:ascii="Times New Roman" w:hAnsi="Times New Roman"/>
                <w:sz w:val="24"/>
                <w:szCs w:val="24"/>
              </w:rPr>
              <w:t>MK noteikumu p</w:t>
            </w:r>
            <w:r w:rsidRPr="00F5306D">
              <w:rPr>
                <w:rFonts w:ascii="Times New Roman" w:hAnsi="Times New Roman"/>
                <w:sz w:val="24"/>
                <w:szCs w:val="24"/>
              </w:rPr>
              <w:t xml:space="preserve">rojektam nav </w:t>
            </w:r>
            <w:r>
              <w:rPr>
                <w:rFonts w:ascii="Times New Roman" w:hAnsi="Times New Roman"/>
                <w:sz w:val="24"/>
                <w:szCs w:val="24"/>
              </w:rPr>
              <w:t xml:space="preserve">tiešas </w:t>
            </w:r>
            <w:r w:rsidRPr="00F5306D">
              <w:rPr>
                <w:rFonts w:ascii="Times New Roman" w:hAnsi="Times New Roman"/>
                <w:sz w:val="24"/>
                <w:szCs w:val="24"/>
              </w:rPr>
              <w:t xml:space="preserve">ietekmes uz valsts budžetu, jo finansējums tiek pārdalīts programmas </w:t>
            </w:r>
            <w:r>
              <w:rPr>
                <w:rFonts w:ascii="Times New Roman" w:hAnsi="Times New Roman"/>
                <w:sz w:val="24"/>
                <w:szCs w:val="24"/>
              </w:rPr>
              <w:t>apstiprinātā budžeta</w:t>
            </w:r>
            <w:r w:rsidRPr="00F5306D">
              <w:rPr>
                <w:rFonts w:ascii="Times New Roman" w:hAnsi="Times New Roman"/>
                <w:sz w:val="24"/>
                <w:szCs w:val="24"/>
              </w:rPr>
              <w:t xml:space="preserve"> ietvaros</w:t>
            </w:r>
            <w:r w:rsidR="00CA70A8">
              <w:rPr>
                <w:rFonts w:ascii="Times New Roman" w:hAnsi="Times New Roman"/>
                <w:sz w:val="24"/>
                <w:szCs w:val="24"/>
              </w:rPr>
              <w:t>.</w:t>
            </w:r>
          </w:p>
        </w:tc>
      </w:tr>
    </w:tbl>
    <w:p w:rsidR="00CA1976" w:rsidRPr="00546DBB" w:rsidRDefault="00CA1976" w:rsidP="00A262AF">
      <w:pPr>
        <w:spacing w:after="0" w:line="240" w:lineRule="auto"/>
        <w:rPr>
          <w:rFonts w:ascii="Times New Roman" w:hAnsi="Times New Roman"/>
          <w:sz w:val="24"/>
          <w:szCs w:val="24"/>
        </w:rPr>
      </w:pPr>
    </w:p>
    <w:p w:rsidR="00CA1976" w:rsidRPr="00546DBB" w:rsidRDefault="00CA1976" w:rsidP="00A262AF">
      <w:pPr>
        <w:spacing w:after="0" w:line="240" w:lineRule="auto"/>
        <w:rPr>
          <w:rFonts w:ascii="Times New Roman" w:hAnsi="Times New Roman"/>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728"/>
        <w:gridCol w:w="6655"/>
      </w:tblGrid>
      <w:tr w:rsidR="00CA1976" w:rsidRPr="00546DBB" w:rsidTr="001615B9">
        <w:trPr>
          <w:trHeight w:val="461"/>
          <w:jc w:val="center"/>
        </w:trPr>
        <w:tc>
          <w:tcPr>
            <w:tcW w:w="10164" w:type="dxa"/>
            <w:gridSpan w:val="3"/>
            <w:vAlign w:val="center"/>
          </w:tcPr>
          <w:p w:rsidR="00CA1976" w:rsidRPr="00546DBB" w:rsidRDefault="00CA1976" w:rsidP="00A262AF">
            <w:pPr>
              <w:pStyle w:val="naisnod"/>
              <w:spacing w:before="0" w:beforeAutospacing="0" w:after="0" w:afterAutospacing="0"/>
              <w:jc w:val="center"/>
              <w:rPr>
                <w:b/>
              </w:rPr>
            </w:pPr>
            <w:r w:rsidRPr="00546DBB">
              <w:br w:type="page"/>
            </w:r>
            <w:r w:rsidRPr="00546DBB">
              <w:rPr>
                <w:b/>
              </w:rPr>
              <w:t>IV. Tiesību akta projekta ietekme uz spēkā esošo tiesību normu sistēmu</w:t>
            </w:r>
          </w:p>
        </w:tc>
      </w:tr>
      <w:tr w:rsidR="00CA1976" w:rsidRPr="00546DBB" w:rsidTr="001615B9">
        <w:trPr>
          <w:jc w:val="center"/>
        </w:trPr>
        <w:tc>
          <w:tcPr>
            <w:tcW w:w="781" w:type="dxa"/>
          </w:tcPr>
          <w:p w:rsidR="00CA1976" w:rsidRPr="00546DBB" w:rsidRDefault="00CA1976" w:rsidP="00A262AF">
            <w:pPr>
              <w:pStyle w:val="naiskr"/>
              <w:tabs>
                <w:tab w:val="left" w:pos="2628"/>
              </w:tabs>
              <w:spacing w:before="0" w:beforeAutospacing="0" w:after="0" w:afterAutospacing="0"/>
              <w:jc w:val="both"/>
              <w:rPr>
                <w:iCs/>
              </w:rPr>
            </w:pPr>
            <w:r w:rsidRPr="00546DBB">
              <w:rPr>
                <w:iCs/>
              </w:rPr>
              <w:t>1.</w:t>
            </w:r>
          </w:p>
        </w:tc>
        <w:tc>
          <w:tcPr>
            <w:tcW w:w="2728" w:type="dxa"/>
          </w:tcPr>
          <w:p w:rsidR="00CA1976" w:rsidRPr="00546DBB" w:rsidRDefault="00CA1976" w:rsidP="00A262AF">
            <w:pPr>
              <w:pStyle w:val="naiskr"/>
              <w:tabs>
                <w:tab w:val="left" w:pos="2628"/>
              </w:tabs>
              <w:spacing w:before="0" w:beforeAutospacing="0" w:after="0" w:afterAutospacing="0"/>
              <w:jc w:val="both"/>
              <w:rPr>
                <w:iCs/>
              </w:rPr>
            </w:pPr>
            <w:r w:rsidRPr="00546DBB">
              <w:t>Nepieciešamie saistītie tiesību aktu projekti</w:t>
            </w:r>
          </w:p>
        </w:tc>
        <w:tc>
          <w:tcPr>
            <w:tcW w:w="6655" w:type="dxa"/>
          </w:tcPr>
          <w:p w:rsidR="00CA1976" w:rsidRPr="00546DBB" w:rsidRDefault="00220881" w:rsidP="003B751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Jāveic grozījum</w:t>
            </w:r>
            <w:r w:rsidR="003B7510">
              <w:rPr>
                <w:rFonts w:ascii="Times New Roman" w:hAnsi="Times New Roman"/>
                <w:sz w:val="24"/>
                <w:szCs w:val="24"/>
              </w:rPr>
              <w:t>s</w:t>
            </w:r>
            <w:r>
              <w:rPr>
                <w:rFonts w:ascii="Times New Roman" w:hAnsi="Times New Roman"/>
                <w:sz w:val="24"/>
                <w:szCs w:val="24"/>
              </w:rPr>
              <w:t xml:space="preserve"> Ministru kabineta </w:t>
            </w:r>
            <w:r w:rsidR="000831DE" w:rsidRPr="00220881">
              <w:rPr>
                <w:rFonts w:ascii="Times New Roman" w:hAnsi="Times New Roman"/>
                <w:sz w:val="24"/>
                <w:szCs w:val="24"/>
              </w:rPr>
              <w:t>2013.gada 10.septe</w:t>
            </w:r>
            <w:r w:rsidR="000831DE">
              <w:rPr>
                <w:rFonts w:ascii="Times New Roman" w:hAnsi="Times New Roman"/>
                <w:sz w:val="24"/>
                <w:szCs w:val="24"/>
              </w:rPr>
              <w:t xml:space="preserve">mbra </w:t>
            </w:r>
            <w:r>
              <w:rPr>
                <w:rFonts w:ascii="Times New Roman" w:hAnsi="Times New Roman"/>
                <w:sz w:val="24"/>
                <w:szCs w:val="24"/>
              </w:rPr>
              <w:t>noteikumos</w:t>
            </w:r>
            <w:r w:rsidRPr="00220881">
              <w:rPr>
                <w:rFonts w:ascii="Times New Roman" w:hAnsi="Times New Roman"/>
                <w:sz w:val="24"/>
                <w:szCs w:val="24"/>
              </w:rPr>
              <w:t xml:space="preserve"> Nr.815 </w:t>
            </w:r>
            <w:r w:rsidR="00565F05" w:rsidRPr="00565F05">
              <w:rPr>
                <w:rFonts w:ascii="Times New Roman" w:hAnsi="Times New Roman"/>
                <w:sz w:val="24"/>
                <w:szCs w:val="24"/>
              </w:rPr>
              <w:t>„</w:t>
            </w:r>
            <w:r w:rsidRPr="00220881">
              <w:rPr>
                <w:rFonts w:ascii="Times New Roman" w:hAnsi="Times New Roman"/>
                <w:sz w:val="24"/>
                <w:szCs w:val="24"/>
              </w:rPr>
              <w:t xml:space="preserve">Eiropas Ekonomikas zonas finanšu instrumenta 2009.-2014.gada perioda programmas </w:t>
            </w:r>
            <w:r w:rsidR="00C94BCE" w:rsidRPr="009B2CCC">
              <w:rPr>
                <w:rFonts w:ascii="Times New Roman" w:hAnsi="Times New Roman"/>
                <w:sz w:val="24"/>
                <w:szCs w:val="24"/>
              </w:rPr>
              <w:t>„</w:t>
            </w:r>
            <w:r w:rsidRPr="00220881">
              <w:rPr>
                <w:rFonts w:ascii="Times New Roman" w:hAnsi="Times New Roman"/>
                <w:sz w:val="24"/>
                <w:szCs w:val="24"/>
              </w:rPr>
              <w:t>Nacionālā klimata politika</w:t>
            </w:r>
            <w:r w:rsidR="00C94BCE" w:rsidRPr="009B2CCC">
              <w:rPr>
                <w:rFonts w:ascii="Times New Roman" w:hAnsi="Times New Roman"/>
                <w:sz w:val="24"/>
                <w:szCs w:val="24"/>
              </w:rPr>
              <w:t>”</w:t>
            </w:r>
            <w:r w:rsidRPr="00220881">
              <w:rPr>
                <w:rFonts w:ascii="Times New Roman" w:hAnsi="Times New Roman"/>
                <w:sz w:val="24"/>
                <w:szCs w:val="24"/>
              </w:rPr>
              <w:t xml:space="preserve"> īstenošanas kārtība”</w:t>
            </w:r>
            <w:r w:rsidR="005F72C4">
              <w:rPr>
                <w:rFonts w:ascii="Times New Roman" w:hAnsi="Times New Roman"/>
                <w:sz w:val="24"/>
                <w:szCs w:val="24"/>
              </w:rPr>
              <w:t xml:space="preserve"> (turpmāk – MK noteikumi Nr.815)</w:t>
            </w:r>
            <w:r>
              <w:rPr>
                <w:rFonts w:ascii="Times New Roman" w:hAnsi="Times New Roman"/>
                <w:sz w:val="24"/>
                <w:szCs w:val="24"/>
              </w:rPr>
              <w:t xml:space="preserve">, precizējot grantu shēmas konkursam </w:t>
            </w:r>
            <w:r w:rsidR="00CA70A8">
              <w:rPr>
                <w:rFonts w:ascii="Times New Roman" w:hAnsi="Times New Roman"/>
                <w:sz w:val="24"/>
                <w:szCs w:val="24"/>
              </w:rPr>
              <w:t xml:space="preserve">un </w:t>
            </w:r>
            <w:r w:rsidR="00CA70A8" w:rsidRPr="00CA70A8">
              <w:rPr>
                <w:rFonts w:ascii="Times New Roman" w:hAnsi="Times New Roman"/>
                <w:sz w:val="24"/>
                <w:szCs w:val="24"/>
              </w:rPr>
              <w:t>programmas vadības funkciju nodrošināšanai pieejamo kopējo programmas  līdzfinansējumu.</w:t>
            </w:r>
          </w:p>
        </w:tc>
      </w:tr>
      <w:tr w:rsidR="00CA1976" w:rsidRPr="00546DBB" w:rsidTr="001615B9">
        <w:trPr>
          <w:jc w:val="center"/>
        </w:trPr>
        <w:tc>
          <w:tcPr>
            <w:tcW w:w="781" w:type="dxa"/>
          </w:tcPr>
          <w:p w:rsidR="00CA1976" w:rsidRPr="00546DBB" w:rsidRDefault="00CA1976" w:rsidP="00A262AF">
            <w:pPr>
              <w:pStyle w:val="naiskr"/>
              <w:tabs>
                <w:tab w:val="left" w:pos="2628"/>
              </w:tabs>
              <w:spacing w:before="0" w:beforeAutospacing="0" w:after="0" w:afterAutospacing="0"/>
              <w:jc w:val="both"/>
              <w:rPr>
                <w:iCs/>
              </w:rPr>
            </w:pPr>
            <w:r w:rsidRPr="00546DBB">
              <w:rPr>
                <w:iCs/>
              </w:rPr>
              <w:t>2.</w:t>
            </w:r>
          </w:p>
        </w:tc>
        <w:tc>
          <w:tcPr>
            <w:tcW w:w="2728" w:type="dxa"/>
          </w:tcPr>
          <w:p w:rsidR="00CA1976" w:rsidRPr="00546DBB" w:rsidRDefault="00CA1976" w:rsidP="00A262AF">
            <w:pPr>
              <w:pStyle w:val="naiskr"/>
              <w:tabs>
                <w:tab w:val="left" w:pos="2628"/>
              </w:tabs>
              <w:spacing w:before="0" w:beforeAutospacing="0" w:after="0" w:afterAutospacing="0"/>
              <w:jc w:val="both"/>
            </w:pPr>
            <w:r w:rsidRPr="00546DBB">
              <w:t>Atbildīgā institūcija</w:t>
            </w:r>
          </w:p>
        </w:tc>
        <w:tc>
          <w:tcPr>
            <w:tcW w:w="6655" w:type="dxa"/>
          </w:tcPr>
          <w:p w:rsidR="00CA1976" w:rsidRPr="00546DBB" w:rsidRDefault="00CA1976" w:rsidP="00862235">
            <w:pPr>
              <w:shd w:val="clear" w:color="auto" w:fill="FFFFFF"/>
              <w:spacing w:after="0" w:line="240" w:lineRule="auto"/>
              <w:jc w:val="both"/>
              <w:rPr>
                <w:rFonts w:ascii="Times New Roman" w:hAnsi="Times New Roman"/>
                <w:color w:val="000000"/>
                <w:sz w:val="24"/>
                <w:szCs w:val="24"/>
                <w:lang w:eastAsia="lv-LV"/>
              </w:rPr>
            </w:pPr>
            <w:r w:rsidRPr="00546DBB">
              <w:rPr>
                <w:rFonts w:ascii="Times New Roman" w:hAnsi="Times New Roman"/>
                <w:sz w:val="24"/>
                <w:szCs w:val="24"/>
              </w:rPr>
              <w:t xml:space="preserve">Par MK noteikumu </w:t>
            </w:r>
            <w:r w:rsidR="00862235">
              <w:rPr>
                <w:rFonts w:ascii="Times New Roman" w:hAnsi="Times New Roman"/>
                <w:sz w:val="24"/>
                <w:szCs w:val="24"/>
              </w:rPr>
              <w:t xml:space="preserve">projekta </w:t>
            </w:r>
            <w:r w:rsidRPr="00546DBB">
              <w:rPr>
                <w:rFonts w:ascii="Times New Roman" w:hAnsi="Times New Roman"/>
                <w:sz w:val="24"/>
                <w:szCs w:val="24"/>
              </w:rPr>
              <w:t xml:space="preserve">izstrādi atbildīga </w:t>
            </w:r>
            <w:r w:rsidR="00AD442F" w:rsidRPr="00546DBB">
              <w:rPr>
                <w:rFonts w:ascii="Times New Roman" w:hAnsi="Times New Roman"/>
                <w:sz w:val="24"/>
                <w:szCs w:val="24"/>
              </w:rPr>
              <w:t>VARAM</w:t>
            </w:r>
            <w:r w:rsidRPr="00546DBB">
              <w:rPr>
                <w:rFonts w:ascii="Times New Roman" w:hAnsi="Times New Roman"/>
                <w:sz w:val="24"/>
                <w:szCs w:val="24"/>
              </w:rPr>
              <w:t>.</w:t>
            </w:r>
          </w:p>
        </w:tc>
      </w:tr>
      <w:tr w:rsidR="00CA1976" w:rsidRPr="00546DBB" w:rsidTr="003B7510">
        <w:trPr>
          <w:trHeight w:val="1169"/>
          <w:jc w:val="center"/>
        </w:trPr>
        <w:tc>
          <w:tcPr>
            <w:tcW w:w="781" w:type="dxa"/>
          </w:tcPr>
          <w:p w:rsidR="00CA1976" w:rsidRPr="00546DBB" w:rsidRDefault="00CA1976" w:rsidP="00A262AF">
            <w:pPr>
              <w:pStyle w:val="naiskr"/>
              <w:tabs>
                <w:tab w:val="left" w:pos="2628"/>
              </w:tabs>
              <w:spacing w:before="0" w:beforeAutospacing="0" w:after="0" w:afterAutospacing="0"/>
              <w:jc w:val="both"/>
              <w:rPr>
                <w:iCs/>
              </w:rPr>
            </w:pPr>
            <w:r w:rsidRPr="00546DBB">
              <w:rPr>
                <w:iCs/>
              </w:rPr>
              <w:t>3.</w:t>
            </w:r>
          </w:p>
        </w:tc>
        <w:tc>
          <w:tcPr>
            <w:tcW w:w="2728" w:type="dxa"/>
          </w:tcPr>
          <w:p w:rsidR="00CA1976" w:rsidRPr="00546DBB" w:rsidRDefault="00CA1976" w:rsidP="00A262AF">
            <w:pPr>
              <w:pStyle w:val="naiskr"/>
              <w:tabs>
                <w:tab w:val="left" w:pos="2628"/>
              </w:tabs>
              <w:spacing w:before="0" w:beforeAutospacing="0" w:after="0" w:afterAutospacing="0"/>
              <w:jc w:val="both"/>
              <w:rPr>
                <w:iCs/>
              </w:rPr>
            </w:pPr>
            <w:r w:rsidRPr="00546DBB">
              <w:t>Cita informācija</w:t>
            </w:r>
          </w:p>
        </w:tc>
        <w:tc>
          <w:tcPr>
            <w:tcW w:w="6655" w:type="dxa"/>
          </w:tcPr>
          <w:p w:rsidR="00CA1976" w:rsidRPr="00546DBB" w:rsidRDefault="003B7510" w:rsidP="003B7510">
            <w:pPr>
              <w:pStyle w:val="naiskr"/>
              <w:tabs>
                <w:tab w:val="left" w:pos="2628"/>
              </w:tabs>
              <w:spacing w:before="0" w:beforeAutospacing="0" w:after="0" w:afterAutospacing="0"/>
              <w:jc w:val="both"/>
              <w:rPr>
                <w:iCs/>
              </w:rPr>
            </w:pPr>
            <w:r>
              <w:t>MK noteikumos</w:t>
            </w:r>
            <w:r w:rsidR="00FC419F">
              <w:t xml:space="preserve"> Nr.815</w:t>
            </w:r>
            <w:r>
              <w:t xml:space="preserve"> tiks veikti vairāki grozījumi, kas saistīti ar programmas ieviešanas un uzraudzības jautājumiem, tādējādi vienlaicīgi uzsāktais normatīvo aktu grozījumu process</w:t>
            </w:r>
            <w:r w:rsidR="003D388E">
              <w:t xml:space="preserve"> </w:t>
            </w:r>
            <w:r>
              <w:t xml:space="preserve">ietver nelielu laika nobīdi. </w:t>
            </w:r>
          </w:p>
        </w:tc>
      </w:tr>
    </w:tbl>
    <w:p w:rsidR="00CA1976" w:rsidRPr="00546DBB" w:rsidRDefault="00CA1976" w:rsidP="00A262AF">
      <w:pPr>
        <w:spacing w:after="0" w:line="240" w:lineRule="auto"/>
        <w:rPr>
          <w:rFonts w:ascii="Times New Roman" w:hAnsi="Times New Roman"/>
          <w:sz w:val="24"/>
          <w:szCs w:val="24"/>
        </w:rPr>
      </w:pPr>
    </w:p>
    <w:tbl>
      <w:tblPr>
        <w:tblW w:w="1026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96"/>
        <w:gridCol w:w="1706"/>
        <w:gridCol w:w="267"/>
        <w:gridCol w:w="740"/>
        <w:gridCol w:w="1083"/>
        <w:gridCol w:w="1279"/>
        <w:gridCol w:w="1378"/>
        <w:gridCol w:w="3002"/>
        <w:gridCol w:w="14"/>
      </w:tblGrid>
      <w:tr w:rsidR="00CA1976" w:rsidRPr="00546DBB" w:rsidTr="006D0302">
        <w:trPr>
          <w:gridAfter w:val="1"/>
          <w:wAfter w:w="14" w:type="dxa"/>
          <w:jc w:val="center"/>
        </w:trPr>
        <w:tc>
          <w:tcPr>
            <w:tcW w:w="10251" w:type="dxa"/>
            <w:gridSpan w:val="8"/>
            <w:tcBorders>
              <w:top w:val="outset" w:sz="6" w:space="0" w:color="auto"/>
              <w:bottom w:val="outset" w:sz="6" w:space="0" w:color="auto"/>
            </w:tcBorders>
            <w:vAlign w:val="center"/>
          </w:tcPr>
          <w:p w:rsidR="00CA1976" w:rsidRPr="00546DBB" w:rsidRDefault="00CA1976" w:rsidP="00A262AF">
            <w:pPr>
              <w:spacing w:after="0" w:line="240" w:lineRule="auto"/>
              <w:jc w:val="center"/>
              <w:rPr>
                <w:rFonts w:ascii="Times New Roman" w:hAnsi="Times New Roman"/>
                <w:b/>
                <w:sz w:val="24"/>
                <w:szCs w:val="24"/>
              </w:rPr>
            </w:pPr>
            <w:r w:rsidRPr="00546DBB">
              <w:rPr>
                <w:rFonts w:ascii="Times New Roman" w:hAnsi="Times New Roman"/>
                <w:b/>
                <w:sz w:val="24"/>
                <w:szCs w:val="24"/>
              </w:rPr>
              <w:t>V. Tiesību akta projekta atbilstība Latvijas Republikas starptautiskajām saistībām</w:t>
            </w:r>
          </w:p>
        </w:tc>
      </w:tr>
      <w:tr w:rsidR="00CA1976" w:rsidRPr="00546DBB" w:rsidTr="006D0302">
        <w:trPr>
          <w:gridAfter w:val="1"/>
          <w:wAfter w:w="14" w:type="dxa"/>
          <w:jc w:val="center"/>
        </w:trPr>
        <w:tc>
          <w:tcPr>
            <w:tcW w:w="796" w:type="dxa"/>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Saistības pret Eiropas Savienību</w:t>
            </w:r>
          </w:p>
        </w:tc>
        <w:tc>
          <w:tcPr>
            <w:tcW w:w="6742" w:type="dxa"/>
            <w:gridSpan w:val="4"/>
            <w:tcBorders>
              <w:top w:val="outset" w:sz="6" w:space="0" w:color="auto"/>
              <w:left w:val="outset" w:sz="6" w:space="0" w:color="auto"/>
              <w:bottom w:val="outset" w:sz="6" w:space="0" w:color="auto"/>
            </w:tcBorders>
          </w:tcPr>
          <w:p w:rsidR="00CA1976" w:rsidRPr="00546DBB" w:rsidRDefault="000831DE" w:rsidP="000831DE">
            <w:pPr>
              <w:spacing w:after="0" w:line="240" w:lineRule="auto"/>
              <w:jc w:val="both"/>
              <w:rPr>
                <w:rFonts w:ascii="Times New Roman" w:hAnsi="Times New Roman"/>
                <w:sz w:val="24"/>
                <w:szCs w:val="24"/>
              </w:rPr>
            </w:pPr>
            <w:r>
              <w:rPr>
                <w:rFonts w:ascii="Times New Roman" w:hAnsi="Times New Roman"/>
                <w:sz w:val="24"/>
                <w:szCs w:val="24"/>
              </w:rPr>
              <w:t>N</w:t>
            </w:r>
            <w:r w:rsidR="00550EF9" w:rsidRPr="0094399E">
              <w:rPr>
                <w:rFonts w:ascii="Times New Roman" w:hAnsi="Times New Roman"/>
                <w:sz w:val="24"/>
                <w:szCs w:val="24"/>
              </w:rPr>
              <w:t>oteikumu projekts šo jomu neskar</w:t>
            </w:r>
          </w:p>
        </w:tc>
      </w:tr>
      <w:tr w:rsidR="00CA1976" w:rsidRPr="00546DBB" w:rsidTr="006D0302">
        <w:trPr>
          <w:jc w:val="center"/>
        </w:trPr>
        <w:tc>
          <w:tcPr>
            <w:tcW w:w="796" w:type="dxa"/>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Citas starptautiskās saistības</w:t>
            </w:r>
          </w:p>
        </w:tc>
        <w:tc>
          <w:tcPr>
            <w:tcW w:w="6756" w:type="dxa"/>
            <w:gridSpan w:val="5"/>
            <w:tcBorders>
              <w:top w:val="outset" w:sz="6" w:space="0" w:color="auto"/>
              <w:left w:val="outset" w:sz="6" w:space="0" w:color="auto"/>
              <w:bottom w:val="outset" w:sz="6" w:space="0" w:color="auto"/>
            </w:tcBorders>
          </w:tcPr>
          <w:p w:rsidR="00CA1976" w:rsidRPr="00546DBB" w:rsidRDefault="000831DE" w:rsidP="000831DE">
            <w:pPr>
              <w:spacing w:after="0" w:line="240" w:lineRule="auto"/>
              <w:jc w:val="both"/>
              <w:rPr>
                <w:rFonts w:ascii="Times New Roman" w:hAnsi="Times New Roman"/>
                <w:sz w:val="24"/>
                <w:szCs w:val="24"/>
              </w:rPr>
            </w:pPr>
            <w:r>
              <w:rPr>
                <w:rFonts w:ascii="Times New Roman" w:hAnsi="Times New Roman"/>
                <w:sz w:val="24"/>
                <w:szCs w:val="24"/>
              </w:rPr>
              <w:t>N</w:t>
            </w:r>
            <w:r w:rsidR="006A6DD7">
              <w:rPr>
                <w:rFonts w:ascii="Times New Roman" w:hAnsi="Times New Roman"/>
                <w:sz w:val="24"/>
                <w:szCs w:val="24"/>
              </w:rPr>
              <w:t xml:space="preserve">oteikumu projekts atbilst </w:t>
            </w:r>
            <w:r w:rsidR="00DC1CBF" w:rsidRPr="009B2CCC">
              <w:rPr>
                <w:rFonts w:ascii="Times New Roman" w:hAnsi="Times New Roman"/>
                <w:sz w:val="24"/>
                <w:szCs w:val="24"/>
              </w:rPr>
              <w:t>2011.gada 28.aprī</w:t>
            </w:r>
            <w:r w:rsidR="00B71151">
              <w:rPr>
                <w:rFonts w:ascii="Times New Roman" w:hAnsi="Times New Roman"/>
                <w:sz w:val="24"/>
                <w:szCs w:val="24"/>
              </w:rPr>
              <w:t>ļa S</w:t>
            </w:r>
            <w:r w:rsidR="00DC1CBF" w:rsidRPr="009B2CCC">
              <w:rPr>
                <w:rFonts w:ascii="Times New Roman" w:hAnsi="Times New Roman"/>
                <w:sz w:val="24"/>
                <w:szCs w:val="24"/>
              </w:rPr>
              <w:t>aprašanās memorand</w:t>
            </w:r>
            <w:r w:rsidR="006A6DD7">
              <w:rPr>
                <w:rFonts w:ascii="Times New Roman" w:hAnsi="Times New Roman"/>
                <w:sz w:val="24"/>
                <w:szCs w:val="24"/>
              </w:rPr>
              <w:t>ā noteiktajām</w:t>
            </w:r>
            <w:r w:rsidR="00B71151">
              <w:rPr>
                <w:rFonts w:ascii="Times New Roman" w:hAnsi="Times New Roman"/>
                <w:sz w:val="24"/>
                <w:szCs w:val="24"/>
              </w:rPr>
              <w:t xml:space="preserve"> saistīb</w:t>
            </w:r>
            <w:r w:rsidR="006A6DD7">
              <w:rPr>
                <w:rFonts w:ascii="Times New Roman" w:hAnsi="Times New Roman"/>
                <w:sz w:val="24"/>
                <w:szCs w:val="24"/>
              </w:rPr>
              <w:t>ām</w:t>
            </w:r>
            <w:r w:rsidR="00B71151">
              <w:rPr>
                <w:rFonts w:ascii="Times New Roman" w:hAnsi="Times New Roman"/>
                <w:sz w:val="24"/>
                <w:szCs w:val="24"/>
              </w:rPr>
              <w:t>.</w:t>
            </w:r>
          </w:p>
        </w:tc>
      </w:tr>
      <w:tr w:rsidR="00CA1976" w:rsidRPr="00546DBB" w:rsidTr="006D0302">
        <w:trPr>
          <w:gridAfter w:val="1"/>
          <w:wAfter w:w="14" w:type="dxa"/>
          <w:jc w:val="center"/>
        </w:trPr>
        <w:tc>
          <w:tcPr>
            <w:tcW w:w="796" w:type="dxa"/>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Cita informācija</w:t>
            </w:r>
          </w:p>
        </w:tc>
        <w:tc>
          <w:tcPr>
            <w:tcW w:w="6742" w:type="dxa"/>
            <w:gridSpan w:val="4"/>
            <w:tcBorders>
              <w:top w:val="outset" w:sz="6" w:space="0" w:color="auto"/>
              <w:left w:val="outset" w:sz="6" w:space="0" w:color="auto"/>
              <w:bottom w:val="outset" w:sz="6" w:space="0" w:color="auto"/>
            </w:tcBorders>
          </w:tcPr>
          <w:p w:rsidR="00CA1976" w:rsidRPr="00546DBB" w:rsidRDefault="00961CB8" w:rsidP="00AB3CD1">
            <w:pPr>
              <w:spacing w:after="0" w:line="240" w:lineRule="auto"/>
              <w:ind w:left="57"/>
              <w:jc w:val="both"/>
              <w:rPr>
                <w:rFonts w:ascii="Times New Roman" w:hAnsi="Times New Roman"/>
                <w:sz w:val="24"/>
                <w:szCs w:val="24"/>
              </w:rPr>
            </w:pPr>
            <w:r>
              <w:rPr>
                <w:rFonts w:ascii="Times New Roman" w:hAnsi="Times New Roman"/>
                <w:sz w:val="24"/>
                <w:szCs w:val="24"/>
              </w:rPr>
              <w:t>Nav</w:t>
            </w:r>
          </w:p>
        </w:tc>
      </w:tr>
      <w:tr w:rsidR="00CA1976" w:rsidRPr="00546DBB" w:rsidTr="006D0302">
        <w:trPr>
          <w:gridAfter w:val="1"/>
          <w:wAfter w:w="14" w:type="dxa"/>
          <w:jc w:val="center"/>
        </w:trPr>
        <w:tc>
          <w:tcPr>
            <w:tcW w:w="10251" w:type="dxa"/>
            <w:gridSpan w:val="8"/>
            <w:tcBorders>
              <w:top w:val="outset" w:sz="6" w:space="0" w:color="auto"/>
              <w:bottom w:val="outset" w:sz="6" w:space="0" w:color="auto"/>
            </w:tcBorders>
            <w:vAlign w:val="center"/>
          </w:tcPr>
          <w:p w:rsidR="00CA1976" w:rsidRPr="00546DBB" w:rsidRDefault="00CA1976" w:rsidP="00A26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t>1.tabula</w:t>
            </w:r>
          </w:p>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b/>
                <w:sz w:val="24"/>
                <w:szCs w:val="24"/>
              </w:rPr>
              <w:t>Tiesību akta projekta atbilstība ES tiesību aktiem</w:t>
            </w:r>
          </w:p>
        </w:tc>
      </w:tr>
      <w:tr w:rsidR="00CA1976" w:rsidRPr="00546DBB"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lastRenderedPageBreak/>
              <w:t>Attiecīgā ES tiesību akta datums, numurs un nosaukums</w:t>
            </w:r>
          </w:p>
        </w:tc>
        <w:tc>
          <w:tcPr>
            <w:tcW w:w="7749" w:type="dxa"/>
            <w:gridSpan w:val="6"/>
            <w:tcBorders>
              <w:top w:val="outset" w:sz="6" w:space="0" w:color="auto"/>
              <w:left w:val="outset" w:sz="6" w:space="0" w:color="auto"/>
              <w:bottom w:val="outset" w:sz="6" w:space="0" w:color="auto"/>
            </w:tcBorders>
          </w:tcPr>
          <w:p w:rsidR="00CA1976" w:rsidRPr="00546DBB" w:rsidRDefault="000831DE" w:rsidP="000831DE">
            <w:pPr>
              <w:spacing w:after="0" w:line="240" w:lineRule="auto"/>
              <w:rPr>
                <w:rFonts w:ascii="Times New Roman" w:hAnsi="Times New Roman"/>
                <w:sz w:val="24"/>
                <w:szCs w:val="24"/>
              </w:rPr>
            </w:pPr>
            <w:r>
              <w:rPr>
                <w:rFonts w:ascii="Times New Roman" w:hAnsi="Times New Roman"/>
                <w:sz w:val="24"/>
                <w:szCs w:val="24"/>
              </w:rPr>
              <w:t>N</w:t>
            </w:r>
            <w:r w:rsidR="00862235" w:rsidRPr="0094399E">
              <w:rPr>
                <w:rFonts w:ascii="Times New Roman" w:hAnsi="Times New Roman"/>
                <w:sz w:val="24"/>
                <w:szCs w:val="24"/>
              </w:rPr>
              <w:t>oteikumu projekts šo jomu neskar</w:t>
            </w:r>
          </w:p>
        </w:tc>
      </w:tr>
      <w:tr w:rsidR="00CA1976" w:rsidRPr="00546DBB" w:rsidTr="006D0302">
        <w:trPr>
          <w:gridAfter w:val="1"/>
          <w:wAfter w:w="14" w:type="dxa"/>
          <w:jc w:val="center"/>
        </w:trPr>
        <w:tc>
          <w:tcPr>
            <w:tcW w:w="2502" w:type="dxa"/>
            <w:gridSpan w:val="2"/>
            <w:tcBorders>
              <w:top w:val="outset" w:sz="6" w:space="0" w:color="auto"/>
              <w:bottom w:val="outset" w:sz="6" w:space="0" w:color="auto"/>
              <w:right w:val="outset" w:sz="6" w:space="0" w:color="auto"/>
            </w:tcBorders>
            <w:vAlign w:val="center"/>
          </w:tcPr>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sz w:val="24"/>
                <w:szCs w:val="24"/>
              </w:rPr>
              <w:t>C</w:t>
            </w:r>
          </w:p>
        </w:tc>
        <w:tc>
          <w:tcPr>
            <w:tcW w:w="3002" w:type="dxa"/>
            <w:tcBorders>
              <w:top w:val="outset" w:sz="6" w:space="0" w:color="auto"/>
              <w:left w:val="outset" w:sz="6" w:space="0" w:color="auto"/>
              <w:bottom w:val="outset" w:sz="6" w:space="0" w:color="auto"/>
            </w:tcBorders>
            <w:vAlign w:val="center"/>
          </w:tcPr>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sz w:val="24"/>
                <w:szCs w:val="24"/>
              </w:rPr>
              <w:t>D</w:t>
            </w:r>
          </w:p>
        </w:tc>
      </w:tr>
      <w:tr w:rsidR="00CA1976" w:rsidRPr="00546DBB"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Informācija par to, vai šīs tabulas A ailē minētās ES tiesību akta vienības tiek pārņemtas vai ieviestas pilnībā vai daļēji.</w:t>
            </w:r>
          </w:p>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Norāda institūciju, kas ir atbildīga par šo saistību izpildi pilnībā</w:t>
            </w:r>
          </w:p>
        </w:tc>
        <w:tc>
          <w:tcPr>
            <w:tcW w:w="3002" w:type="dxa"/>
            <w:tcBorders>
              <w:top w:val="outset" w:sz="6" w:space="0" w:color="auto"/>
              <w:left w:val="outset" w:sz="6" w:space="0" w:color="auto"/>
              <w:bottom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pacing w:val="-3"/>
                <w:sz w:val="24"/>
                <w:szCs w:val="24"/>
              </w:rPr>
              <w:t xml:space="preserve">Informācija par to, vai šīs </w:t>
            </w:r>
            <w:r w:rsidRPr="00546DBB">
              <w:rPr>
                <w:rFonts w:ascii="Times New Roman" w:hAnsi="Times New Roman"/>
                <w:sz w:val="24"/>
                <w:szCs w:val="24"/>
              </w:rPr>
              <w:t>tabulas B ailē minētās projekta vienības paredz stingrākas prasības nekā šīs tabulas A ailē minētās ES tiesību akta vienības.</w:t>
            </w:r>
          </w:p>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Ja projekts satur stingrā</w:t>
            </w:r>
            <w:r w:rsidRPr="00546DBB">
              <w:rPr>
                <w:rFonts w:ascii="Times New Roman" w:hAnsi="Times New Roman"/>
                <w:sz w:val="24"/>
                <w:szCs w:val="24"/>
              </w:rPr>
              <w:softHyphen/>
              <w:t>kas prasības nekā attie</w:t>
            </w:r>
            <w:r w:rsidRPr="00546DBB">
              <w:rPr>
                <w:rFonts w:ascii="Times New Roman" w:hAnsi="Times New Roman"/>
                <w:sz w:val="24"/>
                <w:szCs w:val="24"/>
              </w:rPr>
              <w:softHyphen/>
              <w:t>cīgais ES tiesību akts, norāda pamatojumu un samērīgumu.</w:t>
            </w:r>
          </w:p>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z w:val="24"/>
                <w:szCs w:val="24"/>
              </w:rPr>
              <w:t>Norāda iespējamās alternatīvas (t.sk. alternatīvas, kas neparedz tiesiskā regulējuma izstrādi) – kādos gadījumos būtu iespējams izvairīties no stingrāku prasību</w:t>
            </w:r>
            <w:r w:rsidRPr="00546DBB">
              <w:rPr>
                <w:rFonts w:ascii="Times New Roman" w:hAnsi="Times New Roman"/>
                <w:spacing w:val="-3"/>
                <w:sz w:val="24"/>
                <w:szCs w:val="24"/>
              </w:rPr>
              <w:t xml:space="preserve"> noteikšanas, nekā paredzēts attiecīgajos ES tiesību aktos</w:t>
            </w:r>
          </w:p>
        </w:tc>
      </w:tr>
      <w:tr w:rsidR="00CA1976" w:rsidRPr="00546DBB"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rsidR="00D66555" w:rsidRPr="00546DBB" w:rsidRDefault="008D41D2" w:rsidP="00A262AF">
            <w:pPr>
              <w:spacing w:after="0" w:line="240" w:lineRule="auto"/>
              <w:ind w:left="57"/>
              <w:rPr>
                <w:rFonts w:ascii="Times New Roman" w:hAnsi="Times New Roman"/>
                <w:spacing w:val="-2"/>
                <w:sz w:val="24"/>
                <w:szCs w:val="24"/>
              </w:rPr>
            </w:pPr>
            <w:r w:rsidRPr="0094399E">
              <w:rPr>
                <w:rFonts w:ascii="Times New Roman" w:hAnsi="Times New Roman"/>
                <w:sz w:val="24"/>
                <w:szCs w:val="24"/>
              </w:rPr>
              <w:t>MK noteikumu projekts šo jomu neskar</w:t>
            </w:r>
          </w:p>
        </w:tc>
        <w:tc>
          <w:tcPr>
            <w:tcW w:w="2090" w:type="dxa"/>
            <w:gridSpan w:val="3"/>
            <w:tcBorders>
              <w:top w:val="outset" w:sz="6" w:space="0" w:color="auto"/>
              <w:left w:val="outset" w:sz="6" w:space="0" w:color="auto"/>
              <w:bottom w:val="outset" w:sz="6" w:space="0" w:color="auto"/>
              <w:right w:val="outset" w:sz="6" w:space="0" w:color="auto"/>
            </w:tcBorders>
          </w:tcPr>
          <w:p w:rsidR="00CA1976" w:rsidRPr="00546DBB" w:rsidRDefault="0075652A" w:rsidP="0075652A">
            <w:pPr>
              <w:spacing w:after="0" w:line="240" w:lineRule="auto"/>
              <w:rPr>
                <w:rFonts w:ascii="Times New Roman" w:hAnsi="Times New Roman"/>
                <w:spacing w:val="-2"/>
                <w:sz w:val="24"/>
                <w:szCs w:val="24"/>
              </w:rPr>
            </w:pPr>
            <w:r>
              <w:rPr>
                <w:rFonts w:ascii="Times New Roman" w:hAnsi="Times New Roman"/>
                <w:sz w:val="24"/>
                <w:szCs w:val="24"/>
              </w:rPr>
              <w:t>N</w:t>
            </w:r>
            <w:r w:rsidR="008D41D2" w:rsidRPr="0094399E">
              <w:rPr>
                <w:rFonts w:ascii="Times New Roman" w:hAnsi="Times New Roman"/>
                <w:sz w:val="24"/>
                <w:szCs w:val="24"/>
              </w:rPr>
              <w:t>oteikumu projekts šo jomu neskar</w:t>
            </w:r>
          </w:p>
        </w:tc>
        <w:tc>
          <w:tcPr>
            <w:tcW w:w="2657" w:type="dxa"/>
            <w:gridSpan w:val="2"/>
            <w:tcBorders>
              <w:top w:val="outset" w:sz="6" w:space="0" w:color="auto"/>
              <w:left w:val="outset" w:sz="6" w:space="0" w:color="auto"/>
              <w:bottom w:val="outset" w:sz="6" w:space="0" w:color="auto"/>
              <w:right w:val="outset" w:sz="6" w:space="0" w:color="auto"/>
            </w:tcBorders>
          </w:tcPr>
          <w:p w:rsidR="00CA1976" w:rsidRPr="00546DBB" w:rsidRDefault="0075652A" w:rsidP="0075652A">
            <w:pPr>
              <w:spacing w:after="0" w:line="240" w:lineRule="auto"/>
              <w:rPr>
                <w:rFonts w:ascii="Times New Roman" w:hAnsi="Times New Roman"/>
                <w:spacing w:val="-2"/>
                <w:sz w:val="24"/>
                <w:szCs w:val="24"/>
              </w:rPr>
            </w:pPr>
            <w:r>
              <w:rPr>
                <w:rFonts w:ascii="Times New Roman" w:hAnsi="Times New Roman"/>
                <w:sz w:val="24"/>
                <w:szCs w:val="24"/>
              </w:rPr>
              <w:t>N</w:t>
            </w:r>
            <w:r w:rsidR="008D41D2" w:rsidRPr="0094399E">
              <w:rPr>
                <w:rFonts w:ascii="Times New Roman" w:hAnsi="Times New Roman"/>
                <w:sz w:val="24"/>
                <w:szCs w:val="24"/>
              </w:rPr>
              <w:t>oteikumu projekts šo jomu neskar</w:t>
            </w:r>
          </w:p>
        </w:tc>
        <w:tc>
          <w:tcPr>
            <w:tcW w:w="3002" w:type="dxa"/>
            <w:tcBorders>
              <w:top w:val="outset" w:sz="6" w:space="0" w:color="auto"/>
              <w:left w:val="outset" w:sz="6" w:space="0" w:color="auto"/>
              <w:bottom w:val="outset" w:sz="6" w:space="0" w:color="auto"/>
            </w:tcBorders>
          </w:tcPr>
          <w:p w:rsidR="00CA1976" w:rsidRPr="00546DBB" w:rsidRDefault="0075652A" w:rsidP="00BE49D4">
            <w:pPr>
              <w:spacing w:after="0" w:line="240" w:lineRule="auto"/>
              <w:ind w:left="57"/>
              <w:jc w:val="both"/>
              <w:rPr>
                <w:rFonts w:ascii="Times New Roman" w:hAnsi="Times New Roman"/>
                <w:spacing w:val="-2"/>
                <w:sz w:val="24"/>
                <w:szCs w:val="24"/>
              </w:rPr>
            </w:pPr>
            <w:r>
              <w:rPr>
                <w:rFonts w:ascii="Times New Roman" w:hAnsi="Times New Roman"/>
                <w:sz w:val="24"/>
                <w:szCs w:val="24"/>
              </w:rPr>
              <w:t>N</w:t>
            </w:r>
            <w:r w:rsidR="008D41D2" w:rsidRPr="0094399E">
              <w:rPr>
                <w:rFonts w:ascii="Times New Roman" w:hAnsi="Times New Roman"/>
                <w:sz w:val="24"/>
                <w:szCs w:val="24"/>
              </w:rPr>
              <w:t>oteikumu projekts šo jomu neskar</w:t>
            </w:r>
          </w:p>
        </w:tc>
      </w:tr>
      <w:tr w:rsidR="00CA1976" w:rsidRPr="00546DBB"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Kā ir izmantota ES tiesību aktā paredzētā rīcības brīvība dalīb</w:t>
            </w:r>
            <w:r w:rsidRPr="00546DBB">
              <w:rPr>
                <w:rFonts w:ascii="Times New Roman" w:hAnsi="Times New Roman"/>
                <w:spacing w:val="-3"/>
                <w:sz w:val="24"/>
                <w:szCs w:val="24"/>
              </w:rPr>
              <w:softHyphen/>
              <w:t>valstij pārņemt vai ieviest noteiktas ES tiesību akta normas?</w:t>
            </w:r>
          </w:p>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Kādēļ?</w:t>
            </w:r>
          </w:p>
        </w:tc>
        <w:tc>
          <w:tcPr>
            <w:tcW w:w="7749" w:type="dxa"/>
            <w:gridSpan w:val="6"/>
            <w:tcBorders>
              <w:top w:val="outset" w:sz="6" w:space="0" w:color="auto"/>
              <w:left w:val="outset" w:sz="6" w:space="0" w:color="auto"/>
              <w:bottom w:val="outset" w:sz="6" w:space="0" w:color="auto"/>
            </w:tcBorders>
          </w:tcPr>
          <w:p w:rsidR="00CA1976" w:rsidRPr="00546DBB" w:rsidRDefault="0075652A" w:rsidP="00C77819">
            <w:pPr>
              <w:spacing w:after="0" w:line="240" w:lineRule="auto"/>
              <w:jc w:val="both"/>
              <w:rPr>
                <w:rFonts w:ascii="Times New Roman" w:hAnsi="Times New Roman"/>
                <w:sz w:val="24"/>
                <w:szCs w:val="24"/>
              </w:rPr>
            </w:pPr>
            <w:r>
              <w:rPr>
                <w:rFonts w:ascii="Times New Roman" w:hAnsi="Times New Roman"/>
                <w:sz w:val="24"/>
                <w:szCs w:val="24"/>
              </w:rPr>
              <w:t>N</w:t>
            </w:r>
            <w:r w:rsidR="00EC638C" w:rsidRPr="00546DBB">
              <w:rPr>
                <w:rFonts w:ascii="Times New Roman" w:hAnsi="Times New Roman"/>
                <w:sz w:val="24"/>
                <w:szCs w:val="24"/>
              </w:rPr>
              <w:t>oteikumu p</w:t>
            </w:r>
            <w:r w:rsidR="0003054F" w:rsidRPr="00546DBB">
              <w:rPr>
                <w:rFonts w:ascii="Times New Roman" w:hAnsi="Times New Roman"/>
                <w:sz w:val="24"/>
                <w:szCs w:val="24"/>
              </w:rPr>
              <w:t>rojekts šo jomu neskar</w:t>
            </w:r>
          </w:p>
        </w:tc>
      </w:tr>
      <w:tr w:rsidR="00CA1976" w:rsidRPr="00546DBB"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pacing w:val="-3"/>
                <w:sz w:val="24"/>
                <w:szCs w:val="24"/>
              </w:rPr>
            </w:pPr>
            <w:r w:rsidRPr="00546DBB">
              <w:rPr>
                <w:rFonts w:ascii="Times New Roman" w:hAnsi="Times New Roman"/>
                <w:spacing w:val="-4"/>
                <w:sz w:val="24"/>
                <w:szCs w:val="24"/>
              </w:rPr>
              <w:t>Saistības sniegt paziņojumu ES insti</w:t>
            </w:r>
            <w:r w:rsidRPr="00546DBB">
              <w:rPr>
                <w:rFonts w:ascii="Times New Roman" w:hAnsi="Times New Roman"/>
                <w:spacing w:val="-4"/>
                <w:sz w:val="24"/>
                <w:szCs w:val="24"/>
              </w:rPr>
              <w:softHyphen/>
              <w:t>tūcijām un ES dalīb</w:t>
            </w:r>
            <w:r w:rsidRPr="00546DBB">
              <w:rPr>
                <w:rFonts w:ascii="Times New Roman" w:hAnsi="Times New Roman"/>
                <w:spacing w:val="-4"/>
                <w:sz w:val="24"/>
                <w:szCs w:val="24"/>
              </w:rPr>
              <w:softHyphen/>
              <w:t>valstīm atbilstoši normatīvajiem aktiem, kas regulē informā</w:t>
            </w:r>
            <w:r w:rsidRPr="00546DBB">
              <w:rPr>
                <w:rFonts w:ascii="Times New Roman" w:hAnsi="Times New Roman"/>
                <w:spacing w:val="-4"/>
                <w:sz w:val="24"/>
                <w:szCs w:val="24"/>
              </w:rPr>
              <w:softHyphen/>
              <w:t>cijas sniegšanu par tehnisko noteikumu, valsts atbalsta piešķir</w:t>
            </w:r>
            <w:r w:rsidRPr="00546DBB">
              <w:rPr>
                <w:rFonts w:ascii="Times New Roman" w:hAnsi="Times New Roman"/>
                <w:spacing w:val="-4"/>
                <w:sz w:val="24"/>
                <w:szCs w:val="24"/>
              </w:rPr>
              <w:softHyphen/>
              <w:t>šanas un finanšu noteikumu (attiecībā uz monetāro politiku) projektiem</w:t>
            </w:r>
          </w:p>
        </w:tc>
        <w:tc>
          <w:tcPr>
            <w:tcW w:w="7749" w:type="dxa"/>
            <w:gridSpan w:val="6"/>
            <w:tcBorders>
              <w:top w:val="outset" w:sz="6" w:space="0" w:color="auto"/>
              <w:left w:val="outset" w:sz="6" w:space="0" w:color="auto"/>
              <w:bottom w:val="outset" w:sz="6" w:space="0" w:color="auto"/>
            </w:tcBorders>
          </w:tcPr>
          <w:p w:rsidR="00CA1976" w:rsidRPr="00546DBB" w:rsidRDefault="0075652A" w:rsidP="0075652A">
            <w:pPr>
              <w:spacing w:after="0" w:line="240" w:lineRule="auto"/>
              <w:jc w:val="both"/>
              <w:rPr>
                <w:rFonts w:ascii="Times New Roman" w:hAnsi="Times New Roman"/>
                <w:sz w:val="24"/>
                <w:szCs w:val="24"/>
              </w:rPr>
            </w:pPr>
            <w:r>
              <w:rPr>
                <w:rFonts w:ascii="Times New Roman" w:hAnsi="Times New Roman"/>
                <w:sz w:val="24"/>
                <w:szCs w:val="24"/>
              </w:rPr>
              <w:t>N</w:t>
            </w:r>
            <w:r w:rsidR="008D41D2" w:rsidRPr="0094399E">
              <w:rPr>
                <w:rFonts w:ascii="Times New Roman" w:hAnsi="Times New Roman"/>
                <w:sz w:val="24"/>
                <w:szCs w:val="24"/>
              </w:rPr>
              <w:t>oteikumu projekts šo jomu neskar</w:t>
            </w:r>
          </w:p>
        </w:tc>
      </w:tr>
      <w:tr w:rsidR="00CA1976" w:rsidRPr="00546DBB"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Cita informācija</w:t>
            </w:r>
          </w:p>
        </w:tc>
        <w:tc>
          <w:tcPr>
            <w:tcW w:w="7749" w:type="dxa"/>
            <w:gridSpan w:val="6"/>
            <w:tcBorders>
              <w:top w:val="outset" w:sz="6" w:space="0" w:color="auto"/>
              <w:left w:val="outset" w:sz="6" w:space="0" w:color="auto"/>
              <w:bottom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Nav</w:t>
            </w:r>
          </w:p>
        </w:tc>
      </w:tr>
      <w:tr w:rsidR="00CA1976" w:rsidRPr="00546DBB" w:rsidTr="006D0302">
        <w:trPr>
          <w:gridAfter w:val="1"/>
          <w:wAfter w:w="14" w:type="dxa"/>
          <w:jc w:val="center"/>
        </w:trPr>
        <w:tc>
          <w:tcPr>
            <w:tcW w:w="10251" w:type="dxa"/>
            <w:gridSpan w:val="8"/>
            <w:tcBorders>
              <w:top w:val="outset" w:sz="6" w:space="0" w:color="auto"/>
              <w:bottom w:val="outset" w:sz="6" w:space="0" w:color="auto"/>
            </w:tcBorders>
            <w:vAlign w:val="center"/>
          </w:tcPr>
          <w:p w:rsidR="00CA1976" w:rsidRPr="00546DBB" w:rsidRDefault="00CA1976" w:rsidP="00A26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t>2.tabula</w:t>
            </w:r>
          </w:p>
          <w:p w:rsidR="00CA1976" w:rsidRPr="00546DBB" w:rsidRDefault="00CA1976" w:rsidP="00A26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lastRenderedPageBreak/>
              <w:t>Ar tiesību akta projektu izpildītās vai uzņemtās saistības, kas izriet no starptautiskajiem tiesību aktiem vai starptautiskas institūcijas vai organizācijas dokumentiem.</w:t>
            </w:r>
          </w:p>
          <w:p w:rsidR="00CA1976" w:rsidRPr="00546DBB" w:rsidRDefault="00CA1976" w:rsidP="00A26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t>Pasākumi šo saistību izpildei</w:t>
            </w:r>
          </w:p>
        </w:tc>
      </w:tr>
      <w:tr w:rsidR="00CA1976" w:rsidRPr="00546DBB" w:rsidTr="006D0302">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lastRenderedPageBreak/>
              <w:t>Attiecīgā starptautiskā tiesību akta vai starptautiskas institūcijas vai organizācijas dokumenta (turpmāk – starptautiskais dokuments) datums, numurs un nosaukums</w:t>
            </w:r>
          </w:p>
        </w:tc>
        <w:tc>
          <w:tcPr>
            <w:tcW w:w="7482" w:type="dxa"/>
            <w:gridSpan w:val="5"/>
            <w:tcBorders>
              <w:top w:val="outset" w:sz="6" w:space="0" w:color="auto"/>
              <w:left w:val="outset" w:sz="6" w:space="0" w:color="auto"/>
              <w:bottom w:val="outset" w:sz="6" w:space="0" w:color="auto"/>
            </w:tcBorders>
          </w:tcPr>
          <w:p w:rsidR="00CA1976" w:rsidRPr="00546DBB" w:rsidRDefault="009C5A13" w:rsidP="0075652A">
            <w:pPr>
              <w:spacing w:after="0" w:line="240" w:lineRule="auto"/>
              <w:ind w:left="57" w:right="230"/>
              <w:jc w:val="both"/>
              <w:rPr>
                <w:rFonts w:ascii="Times New Roman" w:hAnsi="Times New Roman"/>
                <w:sz w:val="24"/>
                <w:szCs w:val="24"/>
              </w:rPr>
            </w:pPr>
            <w:r>
              <w:rPr>
                <w:rFonts w:ascii="Times New Roman" w:hAnsi="Times New Roman"/>
                <w:sz w:val="24"/>
                <w:szCs w:val="24"/>
              </w:rPr>
              <w:t xml:space="preserve">Ar noteikumu projekta izstrādi tiek </w:t>
            </w:r>
            <w:r w:rsidR="0075652A">
              <w:rPr>
                <w:rFonts w:ascii="Times New Roman" w:hAnsi="Times New Roman"/>
                <w:sz w:val="24"/>
                <w:szCs w:val="24"/>
              </w:rPr>
              <w:t xml:space="preserve">īstenoti </w:t>
            </w:r>
            <w:r w:rsidR="008D41D2">
              <w:rPr>
                <w:rFonts w:ascii="Times New Roman" w:hAnsi="Times New Roman"/>
                <w:sz w:val="24"/>
                <w:szCs w:val="24"/>
              </w:rPr>
              <w:t>Fi</w:t>
            </w:r>
            <w:r>
              <w:rPr>
                <w:rFonts w:ascii="Times New Roman" w:hAnsi="Times New Roman"/>
                <w:sz w:val="24"/>
                <w:szCs w:val="24"/>
              </w:rPr>
              <w:t>nanšu instrumenta biroja veiktie</w:t>
            </w:r>
            <w:r w:rsidR="008D41D2">
              <w:rPr>
                <w:rFonts w:ascii="Times New Roman" w:hAnsi="Times New Roman"/>
                <w:sz w:val="24"/>
                <w:szCs w:val="24"/>
              </w:rPr>
              <w:t xml:space="preserve"> </w:t>
            </w:r>
            <w:r w:rsidR="0075652A">
              <w:rPr>
                <w:rFonts w:ascii="Times New Roman" w:hAnsi="Times New Roman"/>
                <w:sz w:val="24"/>
                <w:szCs w:val="24"/>
              </w:rPr>
              <w:t>P</w:t>
            </w:r>
            <w:r w:rsidR="008D41D2">
              <w:rPr>
                <w:rFonts w:ascii="Times New Roman" w:hAnsi="Times New Roman"/>
                <w:sz w:val="24"/>
                <w:szCs w:val="24"/>
              </w:rPr>
              <w:t xml:space="preserve">rogrammas līguma </w:t>
            </w:r>
            <w:r w:rsidR="0000249B">
              <w:rPr>
                <w:rFonts w:ascii="Times New Roman" w:hAnsi="Times New Roman"/>
                <w:sz w:val="24"/>
                <w:szCs w:val="24"/>
              </w:rPr>
              <w:t>grozījumi, kas stājās spēkā 2015</w:t>
            </w:r>
            <w:r w:rsidR="008D41D2">
              <w:rPr>
                <w:rFonts w:ascii="Times New Roman" w:hAnsi="Times New Roman"/>
                <w:sz w:val="24"/>
                <w:szCs w:val="24"/>
              </w:rPr>
              <w:t>.gada 4.martā.</w:t>
            </w:r>
          </w:p>
        </w:tc>
      </w:tr>
      <w:tr w:rsidR="00CA1976" w:rsidRPr="00546DBB" w:rsidTr="006D0302">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sz w:val="24"/>
                <w:szCs w:val="24"/>
              </w:rPr>
              <w:t>B</w:t>
            </w:r>
          </w:p>
        </w:tc>
        <w:tc>
          <w:tcPr>
            <w:tcW w:w="4380" w:type="dxa"/>
            <w:gridSpan w:val="2"/>
            <w:tcBorders>
              <w:top w:val="outset" w:sz="6" w:space="0" w:color="auto"/>
              <w:left w:val="outset" w:sz="6" w:space="0" w:color="auto"/>
              <w:bottom w:val="outset" w:sz="6" w:space="0" w:color="auto"/>
            </w:tcBorders>
            <w:vAlign w:val="center"/>
          </w:tcPr>
          <w:p w:rsidR="00CA1976" w:rsidRPr="00546DBB" w:rsidRDefault="00CA1976" w:rsidP="00A262AF">
            <w:pPr>
              <w:spacing w:after="0" w:line="240" w:lineRule="auto"/>
              <w:ind w:left="57"/>
              <w:jc w:val="center"/>
              <w:rPr>
                <w:rFonts w:ascii="Times New Roman" w:hAnsi="Times New Roman"/>
                <w:sz w:val="24"/>
                <w:szCs w:val="24"/>
              </w:rPr>
            </w:pPr>
            <w:r w:rsidRPr="00546DBB">
              <w:rPr>
                <w:rFonts w:ascii="Times New Roman" w:hAnsi="Times New Roman"/>
                <w:sz w:val="24"/>
                <w:szCs w:val="24"/>
              </w:rPr>
              <w:t>C</w:t>
            </w:r>
          </w:p>
        </w:tc>
      </w:tr>
      <w:tr w:rsidR="00CA1976" w:rsidRPr="00546DBB"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Starptautiskās saistības (pēc būtības), kas izriet no norādītā starptautis</w:t>
            </w:r>
            <w:r w:rsidRPr="00546DBB">
              <w:rPr>
                <w:rFonts w:ascii="Times New Roman" w:hAnsi="Times New Roman"/>
                <w:sz w:val="24"/>
                <w:szCs w:val="24"/>
              </w:rPr>
              <w:softHyphen/>
              <w:t>kā dokumenta.</w:t>
            </w:r>
          </w:p>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80" w:type="dxa"/>
            <w:gridSpan w:val="2"/>
            <w:tcBorders>
              <w:top w:val="outset" w:sz="6" w:space="0" w:color="auto"/>
              <w:left w:val="outset" w:sz="6" w:space="0" w:color="auto"/>
              <w:bottom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Informācija par to, vai starptautiskās saistības, kas minētas šīs tabulas A ailē, tiek izpildītas pilnībā vai daļēji.</w:t>
            </w:r>
          </w:p>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CA1976" w:rsidRPr="00546DBB" w:rsidRDefault="00CA1976" w:rsidP="00A262AF">
            <w:pPr>
              <w:spacing w:after="0" w:line="240" w:lineRule="auto"/>
              <w:ind w:left="57" w:right="57"/>
              <w:rPr>
                <w:rFonts w:ascii="Times New Roman" w:hAnsi="Times New Roman"/>
                <w:sz w:val="24"/>
                <w:szCs w:val="24"/>
              </w:rPr>
            </w:pPr>
            <w:r w:rsidRPr="00546DBB">
              <w:rPr>
                <w:rFonts w:ascii="Times New Roman" w:hAnsi="Times New Roman"/>
                <w:sz w:val="24"/>
                <w:szCs w:val="24"/>
              </w:rPr>
              <w:t>Norāda institūciju, kas ir atbildīga par šo saistību izpildi pilnībā</w:t>
            </w:r>
          </w:p>
        </w:tc>
      </w:tr>
      <w:tr w:rsidR="00CA1976" w:rsidRPr="00546DBB"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rsidR="00CA1976" w:rsidRPr="00546DBB" w:rsidRDefault="008D41D2" w:rsidP="00702E69">
            <w:pPr>
              <w:spacing w:after="0" w:line="240" w:lineRule="auto"/>
              <w:ind w:left="57"/>
              <w:rPr>
                <w:rFonts w:ascii="Times New Roman" w:hAnsi="Times New Roman"/>
                <w:sz w:val="24"/>
                <w:szCs w:val="24"/>
              </w:rPr>
            </w:pPr>
            <w:r>
              <w:rPr>
                <w:rFonts w:ascii="Times New Roman" w:hAnsi="Times New Roman"/>
                <w:sz w:val="24"/>
                <w:szCs w:val="24"/>
              </w:rPr>
              <w:t xml:space="preserve">Programmas līguma grozījumu ietvaros tika samazināts programmas vadības funkciju nodrošināšanai apstiprinātais finansējuma apjoms par 268 265 </w:t>
            </w:r>
            <w:r w:rsidRPr="00702E69">
              <w:rPr>
                <w:rFonts w:ascii="Times New Roman" w:hAnsi="Times New Roman"/>
                <w:i/>
                <w:sz w:val="24"/>
                <w:szCs w:val="24"/>
              </w:rPr>
              <w:t>euro</w:t>
            </w:r>
            <w:r>
              <w:rPr>
                <w:rFonts w:ascii="Times New Roman" w:hAnsi="Times New Roman"/>
                <w:sz w:val="24"/>
                <w:szCs w:val="24"/>
              </w:rPr>
              <w:t xml:space="preserve"> un pārdalīts programmas grantu shēmas konkursa</w:t>
            </w:r>
            <w:r w:rsidR="0090039B">
              <w:rPr>
                <w:rFonts w:ascii="Times New Roman" w:hAnsi="Times New Roman"/>
                <w:sz w:val="24"/>
                <w:szCs w:val="24"/>
              </w:rPr>
              <w:t>m papildus</w:t>
            </w:r>
            <w:r>
              <w:rPr>
                <w:rFonts w:ascii="Times New Roman" w:hAnsi="Times New Roman"/>
                <w:sz w:val="24"/>
                <w:szCs w:val="24"/>
              </w:rPr>
              <w:t xml:space="preserve"> projektu finansēšanai.</w:t>
            </w:r>
            <w:r w:rsidR="0090039B">
              <w:rPr>
                <w:rFonts w:ascii="Times New Roman" w:hAnsi="Times New Roman"/>
                <w:sz w:val="24"/>
                <w:szCs w:val="24"/>
              </w:rPr>
              <w:t xml:space="preserve"> Līdz ar to Valsts reģionālās attīstības aģentūrai kā grantu shēmas konkursa īstenotājam jānodrošina papildus projektu finansēšana konkursa ietvaros.</w:t>
            </w:r>
          </w:p>
        </w:tc>
        <w:tc>
          <w:tcPr>
            <w:tcW w:w="3102" w:type="dxa"/>
            <w:gridSpan w:val="3"/>
            <w:tcBorders>
              <w:top w:val="outset" w:sz="6" w:space="0" w:color="auto"/>
              <w:left w:val="outset" w:sz="6" w:space="0" w:color="auto"/>
              <w:bottom w:val="outset" w:sz="6" w:space="0" w:color="auto"/>
              <w:right w:val="outset" w:sz="6" w:space="0" w:color="auto"/>
            </w:tcBorders>
          </w:tcPr>
          <w:p w:rsidR="00CA1976" w:rsidRPr="00546DBB" w:rsidRDefault="0090039B" w:rsidP="008E18BB">
            <w:pPr>
              <w:spacing w:after="0" w:line="240" w:lineRule="auto"/>
              <w:ind w:left="57"/>
              <w:jc w:val="both"/>
              <w:rPr>
                <w:rFonts w:ascii="Times New Roman" w:hAnsi="Times New Roman"/>
                <w:sz w:val="24"/>
                <w:szCs w:val="24"/>
              </w:rPr>
            </w:pPr>
            <w:r>
              <w:rPr>
                <w:rFonts w:ascii="Times New Roman" w:hAnsi="Times New Roman"/>
                <w:sz w:val="24"/>
                <w:szCs w:val="24"/>
              </w:rPr>
              <w:t>Uzdevumu izpilde, kas aprakstīta</w:t>
            </w:r>
            <w:r w:rsidR="008D41D2">
              <w:rPr>
                <w:rFonts w:ascii="Times New Roman" w:hAnsi="Times New Roman"/>
                <w:sz w:val="24"/>
                <w:szCs w:val="24"/>
              </w:rPr>
              <w:t xml:space="preserve"> A ailē</w:t>
            </w:r>
            <w:r w:rsidR="00AE1A9A">
              <w:rPr>
                <w:rFonts w:ascii="Times New Roman" w:hAnsi="Times New Roman"/>
                <w:sz w:val="24"/>
                <w:szCs w:val="24"/>
              </w:rPr>
              <w:t>,</w:t>
            </w:r>
            <w:r w:rsidR="008D41D2">
              <w:rPr>
                <w:rFonts w:ascii="Times New Roman" w:hAnsi="Times New Roman"/>
                <w:sz w:val="24"/>
                <w:szCs w:val="24"/>
              </w:rPr>
              <w:t xml:space="preserve"> </w:t>
            </w:r>
            <w:r>
              <w:rPr>
                <w:rFonts w:ascii="Times New Roman" w:hAnsi="Times New Roman"/>
                <w:sz w:val="24"/>
                <w:szCs w:val="24"/>
              </w:rPr>
              <w:t>ir uzsākta.</w:t>
            </w:r>
          </w:p>
        </w:tc>
        <w:tc>
          <w:tcPr>
            <w:tcW w:w="4380" w:type="dxa"/>
            <w:gridSpan w:val="2"/>
            <w:tcBorders>
              <w:top w:val="outset" w:sz="6" w:space="0" w:color="auto"/>
              <w:left w:val="outset" w:sz="6" w:space="0" w:color="auto"/>
              <w:bottom w:val="outset" w:sz="6" w:space="0" w:color="auto"/>
            </w:tcBorders>
          </w:tcPr>
          <w:p w:rsidR="00CA1976" w:rsidRPr="00546DBB" w:rsidRDefault="0090039B" w:rsidP="007177BA">
            <w:pPr>
              <w:spacing w:after="0" w:line="240" w:lineRule="auto"/>
              <w:ind w:left="57"/>
              <w:jc w:val="both"/>
              <w:rPr>
                <w:rFonts w:ascii="Times New Roman" w:hAnsi="Times New Roman"/>
                <w:sz w:val="24"/>
                <w:szCs w:val="24"/>
              </w:rPr>
            </w:pPr>
            <w:r w:rsidRPr="0090039B">
              <w:rPr>
                <w:rFonts w:ascii="Times New Roman" w:hAnsi="Times New Roman"/>
                <w:sz w:val="24"/>
                <w:szCs w:val="24"/>
              </w:rPr>
              <w:t>Tiek plānots, ka paredzētās saistības tiks izpildītas pilnībā.</w:t>
            </w:r>
          </w:p>
        </w:tc>
      </w:tr>
      <w:tr w:rsidR="00CA1976" w:rsidRPr="00546DBB"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Vai starptautiskajā dokumentā paredzētās saistības nav pretrunā ar jau esošajām Latvijas Republikas starptautis</w:t>
            </w:r>
            <w:r w:rsidRPr="00546DBB">
              <w:rPr>
                <w:rFonts w:ascii="Times New Roman" w:hAnsi="Times New Roman"/>
                <w:sz w:val="24"/>
                <w:szCs w:val="24"/>
              </w:rPr>
              <w:softHyphen/>
              <w:t>kajām saistībām</w:t>
            </w:r>
          </w:p>
        </w:tc>
        <w:tc>
          <w:tcPr>
            <w:tcW w:w="7482" w:type="dxa"/>
            <w:gridSpan w:val="5"/>
            <w:tcBorders>
              <w:top w:val="outset" w:sz="6" w:space="0" w:color="auto"/>
              <w:left w:val="outset" w:sz="6" w:space="0" w:color="auto"/>
              <w:bottom w:val="outset" w:sz="6" w:space="0" w:color="auto"/>
            </w:tcBorders>
          </w:tcPr>
          <w:p w:rsidR="00CA1976" w:rsidRPr="00546DBB" w:rsidRDefault="00CA1976" w:rsidP="00A262AF">
            <w:pPr>
              <w:spacing w:after="0" w:line="240" w:lineRule="auto"/>
              <w:ind w:left="57"/>
              <w:jc w:val="both"/>
              <w:rPr>
                <w:rFonts w:ascii="Times New Roman" w:hAnsi="Times New Roman"/>
                <w:sz w:val="24"/>
                <w:szCs w:val="24"/>
              </w:rPr>
            </w:pPr>
            <w:r w:rsidRPr="00546DBB">
              <w:rPr>
                <w:rFonts w:ascii="Times New Roman" w:hAnsi="Times New Roman"/>
                <w:sz w:val="24"/>
                <w:szCs w:val="24"/>
              </w:rPr>
              <w:t>Saistības, kas norādītas A ailē nav pretrunā ar jau esošajām Latvijas Republikas starptautiskajām saistībām.</w:t>
            </w:r>
          </w:p>
        </w:tc>
      </w:tr>
      <w:tr w:rsidR="00CA1976" w:rsidRPr="00546DBB"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rsidR="00CA1976" w:rsidRPr="00546DBB" w:rsidRDefault="00CA1976" w:rsidP="00A262AF">
            <w:pPr>
              <w:spacing w:after="0" w:line="240" w:lineRule="auto"/>
              <w:ind w:left="57"/>
              <w:rPr>
                <w:rFonts w:ascii="Times New Roman" w:hAnsi="Times New Roman"/>
                <w:sz w:val="24"/>
                <w:szCs w:val="24"/>
              </w:rPr>
            </w:pPr>
            <w:r w:rsidRPr="00546DBB">
              <w:rPr>
                <w:rFonts w:ascii="Times New Roman" w:hAnsi="Times New Roman"/>
                <w:sz w:val="24"/>
                <w:szCs w:val="24"/>
              </w:rPr>
              <w:t>Cita informācija</w:t>
            </w:r>
          </w:p>
        </w:tc>
        <w:tc>
          <w:tcPr>
            <w:tcW w:w="7482" w:type="dxa"/>
            <w:gridSpan w:val="5"/>
            <w:tcBorders>
              <w:top w:val="outset" w:sz="6" w:space="0" w:color="auto"/>
              <w:left w:val="outset" w:sz="6" w:space="0" w:color="auto"/>
              <w:bottom w:val="outset" w:sz="6" w:space="0" w:color="auto"/>
            </w:tcBorders>
          </w:tcPr>
          <w:p w:rsidR="00CA1976" w:rsidRPr="00546DBB" w:rsidRDefault="00CA1976" w:rsidP="00A262AF">
            <w:pPr>
              <w:spacing w:after="0" w:line="240" w:lineRule="auto"/>
              <w:ind w:left="57"/>
              <w:jc w:val="both"/>
              <w:rPr>
                <w:rFonts w:ascii="Times New Roman" w:hAnsi="Times New Roman"/>
                <w:sz w:val="24"/>
                <w:szCs w:val="24"/>
              </w:rPr>
            </w:pPr>
            <w:r w:rsidRPr="00546DBB">
              <w:rPr>
                <w:rFonts w:ascii="Times New Roman" w:hAnsi="Times New Roman"/>
                <w:sz w:val="24"/>
                <w:szCs w:val="24"/>
              </w:rPr>
              <w:t>Nav</w:t>
            </w:r>
          </w:p>
        </w:tc>
      </w:tr>
    </w:tbl>
    <w:p w:rsidR="00CA1976" w:rsidRPr="00546DBB" w:rsidDel="009D1634" w:rsidRDefault="00CA1976" w:rsidP="00A262AF">
      <w:pPr>
        <w:spacing w:after="0" w:line="240" w:lineRule="auto"/>
        <w:rPr>
          <w:rFonts w:ascii="Times New Roman" w:hAnsi="Times New Roman"/>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6"/>
        <w:gridCol w:w="2842"/>
        <w:gridCol w:w="6206"/>
      </w:tblGrid>
      <w:tr w:rsidR="00CA1976" w:rsidRPr="00546DBB" w:rsidTr="006D0302">
        <w:trPr>
          <w:trHeight w:val="421"/>
          <w:jc w:val="center"/>
        </w:trPr>
        <w:tc>
          <w:tcPr>
            <w:tcW w:w="10194" w:type="dxa"/>
            <w:gridSpan w:val="3"/>
            <w:vAlign w:val="center"/>
          </w:tcPr>
          <w:p w:rsidR="00CA1976" w:rsidRPr="00546DBB" w:rsidRDefault="00CA1976" w:rsidP="00A262AF">
            <w:pPr>
              <w:pStyle w:val="naisnod"/>
              <w:spacing w:before="0" w:beforeAutospacing="0" w:after="0" w:afterAutospacing="0"/>
              <w:ind w:left="57" w:right="57"/>
              <w:jc w:val="center"/>
            </w:pPr>
            <w:r w:rsidRPr="00546DBB">
              <w:rPr>
                <w:b/>
              </w:rPr>
              <w:t>VI. Sabiedrības līdzdalība un komunikācijas aktivitātes</w:t>
            </w:r>
          </w:p>
        </w:tc>
      </w:tr>
      <w:tr w:rsidR="00CA1976" w:rsidRPr="00546DBB" w:rsidTr="006D0302">
        <w:trPr>
          <w:trHeight w:val="553"/>
          <w:jc w:val="center"/>
        </w:trPr>
        <w:tc>
          <w:tcPr>
            <w:tcW w:w="1146" w:type="dxa"/>
          </w:tcPr>
          <w:p w:rsidR="00CA1976" w:rsidRPr="00546DBB" w:rsidRDefault="00CA1976" w:rsidP="00A26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1.</w:t>
            </w:r>
          </w:p>
        </w:tc>
        <w:tc>
          <w:tcPr>
            <w:tcW w:w="2842" w:type="dxa"/>
          </w:tcPr>
          <w:p w:rsidR="00CA1976" w:rsidRPr="00546DBB" w:rsidRDefault="00CA1976" w:rsidP="00A262AF">
            <w:pPr>
              <w:tabs>
                <w:tab w:val="left" w:pos="170"/>
              </w:tabs>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Plānotās sabiedrības līdzdalības un komunikācijas aktivitātes saistībā ar projektu</w:t>
            </w:r>
          </w:p>
        </w:tc>
        <w:tc>
          <w:tcPr>
            <w:tcW w:w="6206" w:type="dxa"/>
          </w:tcPr>
          <w:p w:rsidR="00B04DAA" w:rsidRPr="00546DBB" w:rsidRDefault="00B04DAA" w:rsidP="006B2A5E">
            <w:pPr>
              <w:shd w:val="clear" w:color="auto" w:fill="FFFFFF"/>
              <w:spacing w:after="0" w:line="240" w:lineRule="auto"/>
              <w:ind w:left="169"/>
              <w:jc w:val="both"/>
              <w:rPr>
                <w:rFonts w:ascii="Times New Roman" w:hAnsi="Times New Roman"/>
                <w:sz w:val="24"/>
                <w:szCs w:val="24"/>
              </w:rPr>
            </w:pPr>
            <w:bookmarkStart w:id="1" w:name="p61"/>
            <w:bookmarkEnd w:id="1"/>
            <w:r>
              <w:rPr>
                <w:rFonts w:ascii="Times New Roman" w:hAnsi="Times New Roman"/>
                <w:sz w:val="24"/>
                <w:szCs w:val="24"/>
              </w:rPr>
              <w:t xml:space="preserve">Informācija par konkursa rezultātiem un apstiprinātajiem projektiem tiks publicēta Valsts reģionālās attīstības aģentūras </w:t>
            </w:r>
            <w:r w:rsidR="006B2A5E">
              <w:rPr>
                <w:rFonts w:ascii="Times New Roman" w:hAnsi="Times New Roman"/>
                <w:sz w:val="24"/>
                <w:szCs w:val="24"/>
              </w:rPr>
              <w:t xml:space="preserve"> tīmekļa vietnē (</w:t>
            </w:r>
            <w:hyperlink r:id="rId8" w:history="1">
              <w:r w:rsidR="006B2A5E" w:rsidRPr="008116AD">
                <w:rPr>
                  <w:rStyle w:val="Hyperlink"/>
                  <w:color w:val="auto"/>
                  <w:sz w:val="24"/>
                  <w:szCs w:val="24"/>
                </w:rPr>
                <w:t>http://www.vraa.gov.lv/lv/</w:t>
              </w:r>
            </w:hyperlink>
            <w:r w:rsidR="006B2A5E" w:rsidRPr="008116AD">
              <w:rPr>
                <w:rFonts w:ascii="Times New Roman" w:hAnsi="Times New Roman"/>
                <w:sz w:val="24"/>
                <w:szCs w:val="24"/>
              </w:rPr>
              <w:t xml:space="preserve">) </w:t>
            </w:r>
            <w:r w:rsidRPr="008116AD">
              <w:rPr>
                <w:rFonts w:ascii="Times New Roman" w:hAnsi="Times New Roman"/>
                <w:sz w:val="24"/>
                <w:szCs w:val="24"/>
              </w:rPr>
              <w:t xml:space="preserve">un VARAM </w:t>
            </w:r>
            <w:r w:rsidR="006B2A5E" w:rsidRPr="008116AD">
              <w:rPr>
                <w:rFonts w:ascii="Times New Roman" w:hAnsi="Times New Roman"/>
                <w:sz w:val="24"/>
                <w:szCs w:val="24"/>
              </w:rPr>
              <w:t>tīmekļa vietnē (</w:t>
            </w:r>
            <w:hyperlink r:id="rId9" w:history="1">
              <w:r w:rsidR="006B2A5E" w:rsidRPr="008116AD">
                <w:rPr>
                  <w:rStyle w:val="Hyperlink"/>
                  <w:color w:val="auto"/>
                  <w:sz w:val="24"/>
                  <w:szCs w:val="24"/>
                </w:rPr>
                <w:t>http://www.varam.gov.lv/</w:t>
              </w:r>
            </w:hyperlink>
            <w:r w:rsidR="006B2A5E" w:rsidRPr="008116AD">
              <w:rPr>
                <w:rFonts w:ascii="Times New Roman" w:hAnsi="Times New Roman"/>
                <w:sz w:val="24"/>
                <w:szCs w:val="24"/>
              </w:rPr>
              <w:t>).</w:t>
            </w:r>
            <w:r w:rsidR="006B2A5E">
              <w:rPr>
                <w:rFonts w:ascii="Times New Roman" w:hAnsi="Times New Roman"/>
                <w:sz w:val="24"/>
                <w:szCs w:val="24"/>
              </w:rPr>
              <w:t xml:space="preserve"> </w:t>
            </w:r>
            <w:r w:rsidR="00FD6D86">
              <w:rPr>
                <w:rFonts w:ascii="Times New Roman" w:hAnsi="Times New Roman"/>
                <w:sz w:val="24"/>
                <w:szCs w:val="24"/>
              </w:rPr>
              <w:t>Projektu iesniedzējiem 2014.gadā jūnij</w:t>
            </w:r>
            <w:r w:rsidR="0068350F">
              <w:rPr>
                <w:rFonts w:ascii="Times New Roman" w:hAnsi="Times New Roman"/>
                <w:sz w:val="24"/>
                <w:szCs w:val="24"/>
              </w:rPr>
              <w:t>ā</w:t>
            </w:r>
            <w:r w:rsidR="00FD6D86">
              <w:rPr>
                <w:rFonts w:ascii="Times New Roman" w:hAnsi="Times New Roman"/>
                <w:sz w:val="24"/>
                <w:szCs w:val="24"/>
              </w:rPr>
              <w:t xml:space="preserve">–septembrī </w:t>
            </w:r>
            <w:r w:rsidR="005470DC">
              <w:rPr>
                <w:rFonts w:ascii="Times New Roman" w:hAnsi="Times New Roman"/>
                <w:sz w:val="24"/>
                <w:szCs w:val="24"/>
              </w:rPr>
              <w:t xml:space="preserve">un 2015.gada martā </w:t>
            </w:r>
            <w:r w:rsidR="00FD6D86">
              <w:rPr>
                <w:rFonts w:ascii="Times New Roman" w:hAnsi="Times New Roman"/>
                <w:sz w:val="24"/>
                <w:szCs w:val="24"/>
              </w:rPr>
              <w:t xml:space="preserve">tika organizēti </w:t>
            </w:r>
            <w:r w:rsidR="005470DC">
              <w:rPr>
                <w:rFonts w:ascii="Times New Roman" w:hAnsi="Times New Roman"/>
                <w:sz w:val="24"/>
                <w:szCs w:val="24"/>
              </w:rPr>
              <w:t xml:space="preserve">pieci </w:t>
            </w:r>
            <w:r w:rsidR="00FD6D86">
              <w:rPr>
                <w:rFonts w:ascii="Times New Roman" w:hAnsi="Times New Roman"/>
                <w:sz w:val="24"/>
                <w:szCs w:val="24"/>
              </w:rPr>
              <w:t>info</w:t>
            </w:r>
            <w:r w:rsidR="005470DC">
              <w:rPr>
                <w:rFonts w:ascii="Times New Roman" w:hAnsi="Times New Roman"/>
                <w:sz w:val="24"/>
                <w:szCs w:val="24"/>
              </w:rPr>
              <w:t>rmatīvie semināri, kā arī 2015.</w:t>
            </w:r>
            <w:r w:rsidR="00FD6D86">
              <w:rPr>
                <w:rFonts w:ascii="Times New Roman" w:hAnsi="Times New Roman"/>
                <w:sz w:val="24"/>
                <w:szCs w:val="24"/>
              </w:rPr>
              <w:t xml:space="preserve">gada </w:t>
            </w:r>
            <w:r w:rsidR="005470DC">
              <w:rPr>
                <w:rFonts w:ascii="Times New Roman" w:hAnsi="Times New Roman"/>
                <w:sz w:val="24"/>
                <w:szCs w:val="24"/>
              </w:rPr>
              <w:t>16.aprīlī tiks organizēts informatīvais seminārs</w:t>
            </w:r>
            <w:r w:rsidR="00FD6D86">
              <w:rPr>
                <w:rFonts w:ascii="Times New Roman" w:hAnsi="Times New Roman"/>
                <w:sz w:val="24"/>
                <w:szCs w:val="24"/>
              </w:rPr>
              <w:t xml:space="preserve"> līdzfinansējuma saņēmējiem par projektu ieviešanas nosacījumiem.</w:t>
            </w:r>
          </w:p>
        </w:tc>
      </w:tr>
      <w:tr w:rsidR="00CA1976" w:rsidRPr="00546DBB" w:rsidTr="006D0302">
        <w:trPr>
          <w:trHeight w:val="339"/>
          <w:jc w:val="center"/>
        </w:trPr>
        <w:tc>
          <w:tcPr>
            <w:tcW w:w="1146" w:type="dxa"/>
          </w:tcPr>
          <w:p w:rsidR="00CA1976" w:rsidRPr="00546DBB" w:rsidRDefault="00CA1976" w:rsidP="00A26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2.</w:t>
            </w:r>
          </w:p>
        </w:tc>
        <w:tc>
          <w:tcPr>
            <w:tcW w:w="2842" w:type="dxa"/>
          </w:tcPr>
          <w:p w:rsidR="00CA1976" w:rsidRPr="00546DBB" w:rsidRDefault="00CA1976" w:rsidP="00A262AF">
            <w:pPr>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Sabiedrības līdzdalība projekta izstrādē</w:t>
            </w:r>
          </w:p>
        </w:tc>
        <w:tc>
          <w:tcPr>
            <w:tcW w:w="6206" w:type="dxa"/>
          </w:tcPr>
          <w:p w:rsidR="00CA1976" w:rsidRPr="00546DBB" w:rsidRDefault="00CA1976" w:rsidP="00A262AF">
            <w:pPr>
              <w:shd w:val="clear" w:color="auto" w:fill="FFFFFF"/>
              <w:spacing w:after="0" w:line="240" w:lineRule="auto"/>
              <w:ind w:left="169"/>
              <w:jc w:val="both"/>
              <w:rPr>
                <w:rFonts w:ascii="Times New Roman" w:hAnsi="Times New Roman"/>
                <w:sz w:val="24"/>
                <w:szCs w:val="24"/>
                <w:lang w:eastAsia="lv-LV"/>
              </w:rPr>
            </w:pPr>
            <w:bookmarkStart w:id="2" w:name="p62"/>
            <w:bookmarkEnd w:id="2"/>
            <w:r w:rsidRPr="00546DBB">
              <w:rPr>
                <w:rFonts w:ascii="Times New Roman" w:hAnsi="Times New Roman"/>
                <w:sz w:val="24"/>
                <w:szCs w:val="24"/>
              </w:rPr>
              <w:t>Nav</w:t>
            </w:r>
          </w:p>
        </w:tc>
      </w:tr>
      <w:tr w:rsidR="00CA1976" w:rsidRPr="00546DBB" w:rsidTr="006D0302">
        <w:trPr>
          <w:trHeight w:val="476"/>
          <w:jc w:val="center"/>
        </w:trPr>
        <w:tc>
          <w:tcPr>
            <w:tcW w:w="1146" w:type="dxa"/>
          </w:tcPr>
          <w:p w:rsidR="00CA1976" w:rsidRPr="00546DBB" w:rsidRDefault="00CA1976" w:rsidP="00A26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3.</w:t>
            </w:r>
          </w:p>
        </w:tc>
        <w:tc>
          <w:tcPr>
            <w:tcW w:w="2842" w:type="dxa"/>
          </w:tcPr>
          <w:p w:rsidR="00CA1976" w:rsidRPr="00546DBB" w:rsidRDefault="00CA1976" w:rsidP="00A262AF">
            <w:pPr>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Sabiedrības līdzdalības rezultāti</w:t>
            </w:r>
          </w:p>
        </w:tc>
        <w:tc>
          <w:tcPr>
            <w:tcW w:w="6206" w:type="dxa"/>
          </w:tcPr>
          <w:p w:rsidR="00CA1976" w:rsidRPr="00546DBB" w:rsidRDefault="00CA1976" w:rsidP="00A262AF">
            <w:pPr>
              <w:shd w:val="clear" w:color="auto" w:fill="FFFFFF"/>
              <w:spacing w:after="0" w:line="240" w:lineRule="auto"/>
              <w:ind w:left="169"/>
              <w:jc w:val="both"/>
              <w:rPr>
                <w:rFonts w:ascii="Times New Roman" w:hAnsi="Times New Roman"/>
                <w:sz w:val="24"/>
                <w:szCs w:val="24"/>
                <w:lang w:eastAsia="lv-LV"/>
              </w:rPr>
            </w:pPr>
            <w:r w:rsidRPr="00546DBB">
              <w:rPr>
                <w:rFonts w:ascii="Times New Roman" w:hAnsi="Times New Roman"/>
                <w:sz w:val="24"/>
                <w:szCs w:val="24"/>
              </w:rPr>
              <w:t>Nav</w:t>
            </w:r>
          </w:p>
        </w:tc>
      </w:tr>
      <w:tr w:rsidR="00CA1976" w:rsidRPr="00546DBB" w:rsidTr="006D0302">
        <w:trPr>
          <w:trHeight w:val="476"/>
          <w:jc w:val="center"/>
        </w:trPr>
        <w:tc>
          <w:tcPr>
            <w:tcW w:w="1146" w:type="dxa"/>
          </w:tcPr>
          <w:p w:rsidR="00CA1976" w:rsidRPr="00546DBB" w:rsidRDefault="00CA1976" w:rsidP="00A26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4.</w:t>
            </w:r>
          </w:p>
        </w:tc>
        <w:tc>
          <w:tcPr>
            <w:tcW w:w="2842" w:type="dxa"/>
          </w:tcPr>
          <w:p w:rsidR="00CA1976" w:rsidRPr="00546DBB" w:rsidRDefault="00CA1976" w:rsidP="00A262AF">
            <w:pPr>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Cita informācija</w:t>
            </w:r>
          </w:p>
        </w:tc>
        <w:tc>
          <w:tcPr>
            <w:tcW w:w="6206" w:type="dxa"/>
          </w:tcPr>
          <w:p w:rsidR="00CA1976" w:rsidRPr="00546DBB" w:rsidRDefault="00CA1976" w:rsidP="00A262AF">
            <w:pPr>
              <w:spacing w:after="0" w:line="240" w:lineRule="auto"/>
              <w:ind w:left="169" w:right="57"/>
              <w:jc w:val="both"/>
              <w:rPr>
                <w:rFonts w:ascii="Times New Roman" w:hAnsi="Times New Roman"/>
                <w:sz w:val="24"/>
                <w:szCs w:val="24"/>
                <w:lang w:eastAsia="lv-LV"/>
              </w:rPr>
            </w:pPr>
            <w:r w:rsidRPr="00546DBB">
              <w:rPr>
                <w:rFonts w:ascii="Times New Roman" w:hAnsi="Times New Roman"/>
                <w:sz w:val="24"/>
                <w:szCs w:val="24"/>
              </w:rPr>
              <w:t>Nav</w:t>
            </w:r>
          </w:p>
        </w:tc>
      </w:tr>
    </w:tbl>
    <w:p w:rsidR="00CA1976" w:rsidRPr="00546DBB" w:rsidRDefault="00CA1976" w:rsidP="00A262AF">
      <w:pPr>
        <w:spacing w:after="0" w:line="240" w:lineRule="auto"/>
        <w:rPr>
          <w:rFonts w:ascii="Times New Roman" w:hAnsi="Times New Roman"/>
          <w:sz w:val="24"/>
          <w:szCs w:val="24"/>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43"/>
        <w:gridCol w:w="3615"/>
        <w:gridCol w:w="5615"/>
      </w:tblGrid>
      <w:tr w:rsidR="00CA1976" w:rsidRPr="00546DBB" w:rsidTr="005A2804">
        <w:trPr>
          <w:trHeight w:val="381"/>
          <w:jc w:val="center"/>
        </w:trPr>
        <w:tc>
          <w:tcPr>
            <w:tcW w:w="10273" w:type="dxa"/>
            <w:gridSpan w:val="3"/>
            <w:vAlign w:val="center"/>
          </w:tcPr>
          <w:p w:rsidR="00CA1976" w:rsidRPr="00546DBB" w:rsidRDefault="00CA1976" w:rsidP="00A262AF">
            <w:pPr>
              <w:pStyle w:val="naisnod"/>
              <w:spacing w:before="0" w:beforeAutospacing="0" w:after="0" w:afterAutospacing="0"/>
              <w:ind w:left="57" w:right="57"/>
              <w:jc w:val="center"/>
            </w:pPr>
            <w:r w:rsidRPr="00546DBB">
              <w:rPr>
                <w:b/>
              </w:rPr>
              <w:t>VII. Tiesību akta projekta izpildes nodrošināšana un tās ietekme uz institūcijām</w:t>
            </w:r>
          </w:p>
        </w:tc>
      </w:tr>
      <w:tr w:rsidR="00CA1976" w:rsidRPr="00546DBB" w:rsidTr="005A2804">
        <w:trPr>
          <w:trHeight w:val="427"/>
          <w:jc w:val="center"/>
        </w:trPr>
        <w:tc>
          <w:tcPr>
            <w:tcW w:w="1043" w:type="dxa"/>
          </w:tcPr>
          <w:p w:rsidR="00CA1976" w:rsidRPr="00546DBB" w:rsidRDefault="00CA1976" w:rsidP="00A262AF">
            <w:pPr>
              <w:pStyle w:val="naisnod"/>
              <w:spacing w:before="0" w:beforeAutospacing="0" w:after="0" w:afterAutospacing="0"/>
              <w:ind w:left="57" w:right="57"/>
              <w:jc w:val="both"/>
            </w:pPr>
            <w:r w:rsidRPr="00546DBB">
              <w:t>1.</w:t>
            </w:r>
          </w:p>
        </w:tc>
        <w:tc>
          <w:tcPr>
            <w:tcW w:w="3615" w:type="dxa"/>
          </w:tcPr>
          <w:p w:rsidR="00CA1976" w:rsidRPr="00546DBB" w:rsidRDefault="00CA1976" w:rsidP="00A262AF">
            <w:pPr>
              <w:pStyle w:val="naisf"/>
              <w:spacing w:before="0" w:beforeAutospacing="0" w:after="0" w:afterAutospacing="0"/>
              <w:ind w:left="57" w:right="57"/>
            </w:pPr>
            <w:r w:rsidRPr="00546DBB">
              <w:t>Projekta izpildē iesaistītās institūcijas</w:t>
            </w:r>
          </w:p>
        </w:tc>
        <w:tc>
          <w:tcPr>
            <w:tcW w:w="5615" w:type="dxa"/>
          </w:tcPr>
          <w:p w:rsidR="00CA1976" w:rsidRPr="00546DBB" w:rsidRDefault="006B2A5E" w:rsidP="006B2A5E">
            <w:pPr>
              <w:shd w:val="clear" w:color="auto" w:fill="FFFFFF"/>
              <w:spacing w:after="0" w:line="240" w:lineRule="auto"/>
              <w:jc w:val="both"/>
              <w:rPr>
                <w:rFonts w:ascii="Times New Roman" w:hAnsi="Times New Roman"/>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hAnsi="Times New Roman"/>
                <w:sz w:val="24"/>
                <w:szCs w:val="24"/>
              </w:rPr>
              <w:t>N</w:t>
            </w:r>
            <w:r w:rsidR="00CA1976" w:rsidRPr="00546DBB">
              <w:rPr>
                <w:rFonts w:ascii="Times New Roman" w:hAnsi="Times New Roman"/>
                <w:sz w:val="24"/>
                <w:szCs w:val="24"/>
              </w:rPr>
              <w:t xml:space="preserve">oteikumu projekta </w:t>
            </w:r>
            <w:r w:rsidR="0068350F">
              <w:rPr>
                <w:rFonts w:ascii="Times New Roman" w:hAnsi="Times New Roman"/>
                <w:sz w:val="24"/>
                <w:szCs w:val="24"/>
              </w:rPr>
              <w:t>izstrādi nodrošina</w:t>
            </w:r>
            <w:r w:rsidR="00CA1976" w:rsidRPr="00546DBB">
              <w:rPr>
                <w:rFonts w:ascii="Times New Roman" w:hAnsi="Times New Roman"/>
                <w:sz w:val="24"/>
                <w:szCs w:val="24"/>
              </w:rPr>
              <w:t xml:space="preserve"> VARAM kā </w:t>
            </w:r>
            <w:r>
              <w:rPr>
                <w:rFonts w:ascii="Times New Roman" w:hAnsi="Times New Roman"/>
                <w:sz w:val="24"/>
                <w:szCs w:val="24"/>
              </w:rPr>
              <w:t>P</w:t>
            </w:r>
            <w:r w:rsidR="00CA1976" w:rsidRPr="00546DBB">
              <w:rPr>
                <w:rFonts w:ascii="Times New Roman" w:hAnsi="Times New Roman"/>
                <w:sz w:val="24"/>
                <w:szCs w:val="24"/>
              </w:rPr>
              <w:t>rogrammas apsaimniekotājs</w:t>
            </w:r>
            <w:r w:rsidR="0068350F">
              <w:rPr>
                <w:rFonts w:ascii="Times New Roman" w:hAnsi="Times New Roman"/>
                <w:sz w:val="24"/>
                <w:szCs w:val="24"/>
              </w:rPr>
              <w:t>.</w:t>
            </w:r>
            <w:r w:rsidR="00CA1976" w:rsidRPr="00546DBB">
              <w:rPr>
                <w:rFonts w:ascii="Times New Roman" w:hAnsi="Times New Roman"/>
                <w:sz w:val="24"/>
                <w:szCs w:val="24"/>
              </w:rPr>
              <w:t xml:space="preserve"> Valsts</w:t>
            </w:r>
            <w:r w:rsidR="0068350F">
              <w:rPr>
                <w:rFonts w:ascii="Times New Roman" w:hAnsi="Times New Roman"/>
                <w:sz w:val="24"/>
                <w:szCs w:val="24"/>
              </w:rPr>
              <w:t xml:space="preserve"> reģionālās attīstības aģentūra nodrošina noteikumu projekta nosacījumu ieviešanu.</w:t>
            </w:r>
            <w:r w:rsidR="00CA1976" w:rsidRPr="00546DBB">
              <w:rPr>
                <w:rFonts w:ascii="Times New Roman" w:hAnsi="Times New Roman"/>
                <w:sz w:val="24"/>
                <w:szCs w:val="24"/>
              </w:rPr>
              <w:t xml:space="preserve"> </w:t>
            </w:r>
          </w:p>
        </w:tc>
      </w:tr>
      <w:tr w:rsidR="00CA1976" w:rsidRPr="00546DBB" w:rsidTr="005A2804">
        <w:trPr>
          <w:trHeight w:val="463"/>
          <w:jc w:val="center"/>
        </w:trPr>
        <w:tc>
          <w:tcPr>
            <w:tcW w:w="1043" w:type="dxa"/>
          </w:tcPr>
          <w:p w:rsidR="00CA1976" w:rsidRPr="00546DBB" w:rsidRDefault="00CA1976" w:rsidP="00A262AF">
            <w:pPr>
              <w:pStyle w:val="naisnod"/>
              <w:spacing w:before="0" w:beforeAutospacing="0" w:after="0" w:afterAutospacing="0"/>
              <w:ind w:left="57" w:right="57"/>
              <w:jc w:val="both"/>
            </w:pPr>
            <w:r w:rsidRPr="00546DBB">
              <w:t>2.</w:t>
            </w:r>
          </w:p>
        </w:tc>
        <w:tc>
          <w:tcPr>
            <w:tcW w:w="3615" w:type="dxa"/>
          </w:tcPr>
          <w:p w:rsidR="00CA1976" w:rsidRPr="00546DBB" w:rsidRDefault="00CA1976" w:rsidP="00A262AF">
            <w:pPr>
              <w:pStyle w:val="naisf"/>
              <w:spacing w:before="0" w:beforeAutospacing="0" w:after="0" w:afterAutospacing="0"/>
              <w:ind w:left="57" w:right="57"/>
            </w:pPr>
            <w:r w:rsidRPr="00546DBB">
              <w:t>Projekta izpildes ietekme uz pār</w:t>
            </w:r>
            <w:r w:rsidRPr="00546DBB">
              <w:softHyphen/>
              <w:t>valdes funkcijām un institucionālo struktūru.</w:t>
            </w:r>
          </w:p>
          <w:p w:rsidR="00CA1976" w:rsidRPr="00546DBB" w:rsidRDefault="00CA1976" w:rsidP="00A262AF">
            <w:pPr>
              <w:pStyle w:val="naisf"/>
              <w:spacing w:before="0" w:beforeAutospacing="0" w:after="0" w:afterAutospacing="0"/>
              <w:ind w:left="57" w:right="57"/>
            </w:pPr>
            <w:r w:rsidRPr="00546DBB">
              <w:t>Jaunu institūciju izveide, esošu institūciju likvidācija vai reorga</w:t>
            </w:r>
            <w:r w:rsidRPr="00546DBB">
              <w:softHyphen/>
              <w:t>nizācija, to ietekme uz institūcijas cilvēkresursiem.</w:t>
            </w:r>
          </w:p>
        </w:tc>
        <w:tc>
          <w:tcPr>
            <w:tcW w:w="5615" w:type="dxa"/>
          </w:tcPr>
          <w:p w:rsidR="00CA1976" w:rsidRPr="00546DBB" w:rsidRDefault="006B2A5E" w:rsidP="00A262AF">
            <w:pPr>
              <w:shd w:val="clear" w:color="auto" w:fill="FFFFFF"/>
              <w:spacing w:after="0" w:line="240" w:lineRule="auto"/>
              <w:jc w:val="both"/>
              <w:rPr>
                <w:rFonts w:ascii="Times New Roman" w:hAnsi="Times New Roman"/>
                <w:sz w:val="24"/>
                <w:szCs w:val="24"/>
                <w:lang w:eastAsia="lv-LV"/>
              </w:rPr>
            </w:pPr>
            <w:r>
              <w:rPr>
                <w:rFonts w:ascii="Times New Roman" w:hAnsi="Times New Roman"/>
                <w:sz w:val="24"/>
                <w:szCs w:val="24"/>
              </w:rPr>
              <w:t>N</w:t>
            </w:r>
            <w:r w:rsidR="00EC638C" w:rsidRPr="00546DBB">
              <w:rPr>
                <w:rFonts w:ascii="Times New Roman" w:hAnsi="Times New Roman"/>
                <w:sz w:val="24"/>
                <w:szCs w:val="24"/>
              </w:rPr>
              <w:t>oteikumu p</w:t>
            </w:r>
            <w:r w:rsidR="00CA1976" w:rsidRPr="00546DBB">
              <w:rPr>
                <w:rFonts w:ascii="Times New Roman" w:hAnsi="Times New Roman"/>
                <w:sz w:val="24"/>
                <w:szCs w:val="24"/>
              </w:rPr>
              <w:t>rojekts šo jomu neskar</w:t>
            </w:r>
          </w:p>
        </w:tc>
      </w:tr>
      <w:tr w:rsidR="00CA1976" w:rsidRPr="00546DBB" w:rsidTr="005A2804">
        <w:trPr>
          <w:trHeight w:val="402"/>
          <w:jc w:val="center"/>
        </w:trPr>
        <w:tc>
          <w:tcPr>
            <w:tcW w:w="1043" w:type="dxa"/>
          </w:tcPr>
          <w:p w:rsidR="00CA1976" w:rsidRPr="00546DBB" w:rsidRDefault="00CA1976" w:rsidP="00A262AF">
            <w:pPr>
              <w:pStyle w:val="naisnod"/>
              <w:spacing w:before="0" w:beforeAutospacing="0" w:after="0" w:afterAutospacing="0"/>
              <w:ind w:left="57" w:right="57"/>
              <w:jc w:val="both"/>
            </w:pPr>
            <w:r w:rsidRPr="00546DBB">
              <w:t>3.</w:t>
            </w:r>
          </w:p>
        </w:tc>
        <w:tc>
          <w:tcPr>
            <w:tcW w:w="3615" w:type="dxa"/>
          </w:tcPr>
          <w:p w:rsidR="00CA1976" w:rsidRPr="00546DBB" w:rsidRDefault="00CA1976" w:rsidP="00A262AF">
            <w:pPr>
              <w:pStyle w:val="naisf"/>
              <w:spacing w:before="0" w:beforeAutospacing="0" w:after="0" w:afterAutospacing="0"/>
              <w:ind w:left="57" w:right="57"/>
            </w:pPr>
            <w:r w:rsidRPr="00546DBB">
              <w:t>Cita informācija</w:t>
            </w:r>
          </w:p>
        </w:tc>
        <w:tc>
          <w:tcPr>
            <w:tcW w:w="5615" w:type="dxa"/>
          </w:tcPr>
          <w:p w:rsidR="00CA1976" w:rsidRPr="00546DBB" w:rsidRDefault="00CA1976" w:rsidP="00A262AF">
            <w:pPr>
              <w:spacing w:after="0" w:line="240" w:lineRule="auto"/>
              <w:ind w:left="57" w:right="57"/>
              <w:jc w:val="both"/>
              <w:rPr>
                <w:rFonts w:ascii="Times New Roman" w:hAnsi="Times New Roman"/>
                <w:sz w:val="24"/>
                <w:szCs w:val="24"/>
                <w:lang w:eastAsia="lv-LV"/>
              </w:rPr>
            </w:pPr>
            <w:r w:rsidRPr="00546DBB">
              <w:rPr>
                <w:rFonts w:ascii="Times New Roman" w:hAnsi="Times New Roman"/>
                <w:sz w:val="24"/>
                <w:szCs w:val="24"/>
              </w:rPr>
              <w:t>Nav</w:t>
            </w:r>
          </w:p>
        </w:tc>
      </w:tr>
    </w:tbl>
    <w:p w:rsidR="00AD3C77" w:rsidRDefault="00AD3C77" w:rsidP="005F72C4">
      <w:pPr>
        <w:pStyle w:val="BodyTextIndent"/>
        <w:tabs>
          <w:tab w:val="num" w:pos="1090"/>
        </w:tabs>
        <w:spacing w:after="0"/>
        <w:ind w:left="0"/>
        <w:rPr>
          <w:sz w:val="28"/>
          <w:szCs w:val="28"/>
        </w:rPr>
      </w:pPr>
    </w:p>
    <w:p w:rsidR="00CA1976" w:rsidRPr="003A4959" w:rsidRDefault="00CA1976" w:rsidP="00182545">
      <w:pPr>
        <w:pStyle w:val="BodyTextIndent"/>
        <w:tabs>
          <w:tab w:val="num" w:pos="1090"/>
        </w:tabs>
        <w:spacing w:after="0"/>
        <w:ind w:left="-426"/>
      </w:pPr>
      <w:r w:rsidRPr="003A4959">
        <w:t xml:space="preserve">Iesniedzējs: </w:t>
      </w:r>
    </w:p>
    <w:p w:rsidR="00CA1976" w:rsidRPr="003A4959" w:rsidRDefault="00CA1976" w:rsidP="00182545">
      <w:pPr>
        <w:pStyle w:val="naislab"/>
        <w:spacing w:before="0" w:beforeAutospacing="0" w:after="0" w:afterAutospacing="0"/>
        <w:ind w:left="-426"/>
      </w:pPr>
    </w:p>
    <w:p w:rsidR="00C01673" w:rsidRPr="003A4959" w:rsidRDefault="00C01673" w:rsidP="00C01673">
      <w:pPr>
        <w:pStyle w:val="NoSpacing"/>
        <w:ind w:hanging="426"/>
        <w:jc w:val="both"/>
        <w:rPr>
          <w:rFonts w:ascii="Times New Roman" w:hAnsi="Times New Roman"/>
          <w:sz w:val="24"/>
          <w:szCs w:val="24"/>
          <w:lang w:eastAsia="lv-LV"/>
        </w:rPr>
      </w:pPr>
      <w:r w:rsidRPr="003A4959">
        <w:rPr>
          <w:rFonts w:ascii="Times New Roman" w:hAnsi="Times New Roman"/>
          <w:sz w:val="24"/>
          <w:szCs w:val="24"/>
          <w:lang w:eastAsia="lv-LV"/>
        </w:rPr>
        <w:t>Vides aizsardzības un reģionālās attīstības ministrs</w:t>
      </w:r>
      <w:r w:rsidRPr="003A4959">
        <w:rPr>
          <w:rFonts w:ascii="Times New Roman" w:hAnsi="Times New Roman"/>
          <w:sz w:val="24"/>
          <w:szCs w:val="24"/>
          <w:lang w:eastAsia="lv-LV"/>
        </w:rPr>
        <w:tab/>
      </w:r>
      <w:r w:rsidRPr="003A4959">
        <w:rPr>
          <w:rFonts w:ascii="Times New Roman" w:hAnsi="Times New Roman"/>
          <w:sz w:val="24"/>
          <w:szCs w:val="24"/>
          <w:lang w:eastAsia="lv-LV"/>
        </w:rPr>
        <w:tab/>
      </w:r>
      <w:r w:rsidR="00DE24B4">
        <w:rPr>
          <w:rFonts w:ascii="Times New Roman" w:hAnsi="Times New Roman"/>
          <w:sz w:val="24"/>
          <w:szCs w:val="24"/>
          <w:lang w:eastAsia="lv-LV"/>
        </w:rPr>
        <w:tab/>
      </w:r>
      <w:r w:rsidRPr="003A4959">
        <w:rPr>
          <w:rFonts w:ascii="Times New Roman" w:hAnsi="Times New Roman"/>
          <w:sz w:val="24"/>
          <w:szCs w:val="24"/>
          <w:lang w:eastAsia="lv-LV"/>
        </w:rPr>
        <w:t>Kaspars Gerhards</w:t>
      </w:r>
      <w:r w:rsidRPr="003A4959">
        <w:rPr>
          <w:rFonts w:ascii="Times New Roman" w:hAnsi="Times New Roman"/>
          <w:sz w:val="24"/>
          <w:szCs w:val="24"/>
          <w:lang w:eastAsia="lv-LV"/>
        </w:rPr>
        <w:tab/>
      </w:r>
    </w:p>
    <w:p w:rsidR="00C01673" w:rsidRPr="003A4959" w:rsidRDefault="00C01673" w:rsidP="00C01673">
      <w:pPr>
        <w:pStyle w:val="NoSpacing"/>
        <w:jc w:val="both"/>
        <w:rPr>
          <w:rFonts w:ascii="Times New Roman" w:hAnsi="Times New Roman"/>
          <w:sz w:val="24"/>
          <w:szCs w:val="24"/>
          <w:lang w:eastAsia="lv-LV"/>
        </w:rPr>
      </w:pPr>
    </w:p>
    <w:p w:rsidR="00C01673" w:rsidRPr="003A4959" w:rsidRDefault="00C01673" w:rsidP="00C01673">
      <w:pPr>
        <w:pStyle w:val="NoSpacing"/>
        <w:ind w:hanging="426"/>
        <w:jc w:val="both"/>
        <w:rPr>
          <w:rFonts w:ascii="Times New Roman" w:hAnsi="Times New Roman"/>
          <w:sz w:val="24"/>
          <w:szCs w:val="24"/>
          <w:lang w:eastAsia="lv-LV"/>
        </w:rPr>
      </w:pPr>
      <w:r w:rsidRPr="003A4959">
        <w:rPr>
          <w:rFonts w:ascii="Times New Roman" w:hAnsi="Times New Roman"/>
          <w:sz w:val="24"/>
          <w:szCs w:val="24"/>
          <w:lang w:eastAsia="lv-LV"/>
        </w:rPr>
        <w:t xml:space="preserve">Vīza: </w:t>
      </w:r>
      <w:r w:rsidRPr="003A4959">
        <w:rPr>
          <w:rFonts w:ascii="Times New Roman" w:hAnsi="Times New Roman"/>
          <w:sz w:val="24"/>
          <w:szCs w:val="24"/>
          <w:lang w:eastAsia="lv-LV"/>
        </w:rPr>
        <w:tab/>
      </w:r>
    </w:p>
    <w:p w:rsidR="000636C3" w:rsidRPr="00546DBB" w:rsidRDefault="00C01673" w:rsidP="00C01673">
      <w:pPr>
        <w:pStyle w:val="NoSpacing"/>
        <w:ind w:hanging="426"/>
        <w:jc w:val="both"/>
        <w:rPr>
          <w:rFonts w:ascii="Times New Roman" w:hAnsi="Times New Roman"/>
          <w:sz w:val="24"/>
          <w:szCs w:val="24"/>
        </w:rPr>
      </w:pPr>
      <w:r w:rsidRPr="003A4959">
        <w:rPr>
          <w:rFonts w:ascii="Times New Roman" w:hAnsi="Times New Roman"/>
          <w:sz w:val="24"/>
          <w:szCs w:val="24"/>
          <w:lang w:eastAsia="lv-LV"/>
        </w:rPr>
        <w:t>Valsts sekretārs</w:t>
      </w:r>
      <w:r w:rsidRPr="003A4959">
        <w:rPr>
          <w:rFonts w:ascii="Times New Roman" w:hAnsi="Times New Roman"/>
          <w:sz w:val="24"/>
          <w:szCs w:val="24"/>
          <w:lang w:eastAsia="lv-LV"/>
        </w:rPr>
        <w:tab/>
      </w:r>
      <w:r w:rsidR="00613DC0" w:rsidRPr="003A4959">
        <w:rPr>
          <w:rFonts w:ascii="Times New Roman" w:hAnsi="Times New Roman"/>
          <w:sz w:val="24"/>
          <w:szCs w:val="24"/>
          <w:lang w:eastAsia="lv-LV"/>
        </w:rPr>
        <w:tab/>
      </w:r>
      <w:r w:rsidR="00613DC0" w:rsidRPr="003A4959">
        <w:rPr>
          <w:rFonts w:ascii="Times New Roman" w:hAnsi="Times New Roman"/>
          <w:sz w:val="24"/>
          <w:szCs w:val="24"/>
          <w:lang w:eastAsia="lv-LV"/>
        </w:rPr>
        <w:tab/>
      </w:r>
      <w:r w:rsidR="00613DC0" w:rsidRPr="003A4959">
        <w:rPr>
          <w:rFonts w:ascii="Times New Roman" w:hAnsi="Times New Roman"/>
          <w:sz w:val="24"/>
          <w:szCs w:val="24"/>
          <w:lang w:eastAsia="lv-LV"/>
        </w:rPr>
        <w:tab/>
      </w:r>
      <w:r w:rsidR="00613DC0" w:rsidRPr="003A4959">
        <w:rPr>
          <w:rFonts w:ascii="Times New Roman" w:hAnsi="Times New Roman"/>
          <w:sz w:val="24"/>
          <w:szCs w:val="24"/>
          <w:lang w:eastAsia="lv-LV"/>
        </w:rPr>
        <w:tab/>
      </w:r>
      <w:r w:rsidR="00613DC0" w:rsidRPr="003A4959">
        <w:rPr>
          <w:rFonts w:ascii="Times New Roman" w:hAnsi="Times New Roman"/>
          <w:sz w:val="24"/>
          <w:szCs w:val="24"/>
          <w:lang w:eastAsia="lv-LV"/>
        </w:rPr>
        <w:tab/>
      </w:r>
      <w:r w:rsidR="00613DC0" w:rsidRPr="003A4959">
        <w:rPr>
          <w:rFonts w:ascii="Times New Roman" w:hAnsi="Times New Roman"/>
          <w:sz w:val="24"/>
          <w:szCs w:val="24"/>
          <w:lang w:eastAsia="lv-LV"/>
        </w:rPr>
        <w:tab/>
      </w:r>
      <w:r w:rsidR="00613DC0" w:rsidRPr="003A4959">
        <w:rPr>
          <w:rFonts w:ascii="Times New Roman" w:hAnsi="Times New Roman"/>
          <w:sz w:val="24"/>
          <w:szCs w:val="24"/>
          <w:lang w:eastAsia="lv-LV"/>
        </w:rPr>
        <w:tab/>
      </w:r>
      <w:r w:rsidRPr="003A4959">
        <w:rPr>
          <w:rFonts w:ascii="Times New Roman" w:hAnsi="Times New Roman"/>
          <w:sz w:val="24"/>
          <w:szCs w:val="24"/>
          <w:lang w:eastAsia="lv-LV"/>
        </w:rPr>
        <w:t>Guntis Puķītis</w:t>
      </w:r>
      <w:r w:rsidR="000636C3" w:rsidRPr="003A4959">
        <w:rPr>
          <w:rFonts w:ascii="Times New Roman" w:hAnsi="Times New Roman"/>
          <w:sz w:val="24"/>
          <w:szCs w:val="24"/>
        </w:rPr>
        <w:tab/>
      </w:r>
      <w:r w:rsidR="000636C3" w:rsidRPr="00546DBB">
        <w:rPr>
          <w:rFonts w:ascii="Times New Roman" w:hAnsi="Times New Roman"/>
          <w:sz w:val="24"/>
          <w:szCs w:val="24"/>
        </w:rPr>
        <w:tab/>
      </w:r>
      <w:r w:rsidR="000636C3" w:rsidRPr="00546DBB">
        <w:rPr>
          <w:rFonts w:ascii="Times New Roman" w:hAnsi="Times New Roman"/>
          <w:sz w:val="24"/>
          <w:szCs w:val="24"/>
        </w:rPr>
        <w:tab/>
      </w:r>
      <w:r w:rsidR="000636C3" w:rsidRPr="00546DBB">
        <w:rPr>
          <w:rFonts w:ascii="Times New Roman" w:hAnsi="Times New Roman"/>
          <w:sz w:val="24"/>
          <w:szCs w:val="24"/>
        </w:rPr>
        <w:tab/>
      </w:r>
      <w:r w:rsidR="000636C3" w:rsidRPr="00546DBB">
        <w:rPr>
          <w:rFonts w:ascii="Times New Roman" w:hAnsi="Times New Roman"/>
          <w:sz w:val="24"/>
          <w:szCs w:val="24"/>
        </w:rPr>
        <w:tab/>
      </w:r>
      <w:r w:rsidR="000636C3" w:rsidRPr="00546DBB">
        <w:rPr>
          <w:rFonts w:ascii="Times New Roman" w:hAnsi="Times New Roman"/>
          <w:sz w:val="24"/>
          <w:szCs w:val="24"/>
        </w:rPr>
        <w:tab/>
      </w:r>
      <w:r w:rsidR="000636C3" w:rsidRPr="00546DBB">
        <w:rPr>
          <w:rFonts w:ascii="Times New Roman" w:hAnsi="Times New Roman"/>
          <w:sz w:val="24"/>
          <w:szCs w:val="24"/>
        </w:rPr>
        <w:tab/>
        <w:t xml:space="preserve"> </w:t>
      </w:r>
    </w:p>
    <w:p w:rsidR="00CA1976" w:rsidRPr="00546DBB" w:rsidRDefault="0015304E" w:rsidP="001615B9">
      <w:pPr>
        <w:ind w:right="-33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1976" w:rsidRPr="003A4959" w:rsidRDefault="00AF2163" w:rsidP="001615B9">
      <w:pPr>
        <w:spacing w:after="0"/>
        <w:rPr>
          <w:rFonts w:ascii="Times New Roman" w:hAnsi="Times New Roman"/>
          <w:sz w:val="20"/>
          <w:szCs w:val="20"/>
        </w:rPr>
      </w:pPr>
      <w:r>
        <w:rPr>
          <w:rFonts w:ascii="Times New Roman" w:hAnsi="Times New Roman"/>
          <w:sz w:val="20"/>
          <w:szCs w:val="20"/>
        </w:rPr>
        <w:t>09</w:t>
      </w:r>
      <w:r w:rsidR="001777BC" w:rsidRPr="003A4959">
        <w:rPr>
          <w:rFonts w:ascii="Times New Roman" w:hAnsi="Times New Roman"/>
          <w:sz w:val="20"/>
          <w:szCs w:val="20"/>
        </w:rPr>
        <w:t>.</w:t>
      </w:r>
      <w:r w:rsidR="00CA1976" w:rsidRPr="003A4959">
        <w:rPr>
          <w:rFonts w:ascii="Times New Roman" w:hAnsi="Times New Roman"/>
          <w:sz w:val="20"/>
          <w:szCs w:val="20"/>
        </w:rPr>
        <w:t>0</w:t>
      </w:r>
      <w:r w:rsidR="006D6D21">
        <w:rPr>
          <w:rFonts w:ascii="Times New Roman" w:hAnsi="Times New Roman"/>
          <w:sz w:val="20"/>
          <w:szCs w:val="20"/>
        </w:rPr>
        <w:t>4</w:t>
      </w:r>
      <w:r w:rsidR="00C01673" w:rsidRPr="003A4959">
        <w:rPr>
          <w:rFonts w:ascii="Times New Roman" w:hAnsi="Times New Roman"/>
          <w:sz w:val="20"/>
          <w:szCs w:val="20"/>
        </w:rPr>
        <w:t>.2015</w:t>
      </w:r>
      <w:r w:rsidR="00CA1976" w:rsidRPr="003A4959">
        <w:rPr>
          <w:rFonts w:ascii="Times New Roman" w:hAnsi="Times New Roman"/>
          <w:sz w:val="20"/>
          <w:szCs w:val="20"/>
        </w:rPr>
        <w:t>., 1</w:t>
      </w:r>
      <w:r w:rsidR="003151B7">
        <w:rPr>
          <w:rFonts w:ascii="Times New Roman" w:hAnsi="Times New Roman"/>
          <w:sz w:val="20"/>
          <w:szCs w:val="20"/>
        </w:rPr>
        <w:t>4</w:t>
      </w:r>
      <w:r w:rsidR="00CA1976" w:rsidRPr="003A4959">
        <w:rPr>
          <w:rFonts w:ascii="Times New Roman" w:hAnsi="Times New Roman"/>
          <w:sz w:val="20"/>
          <w:szCs w:val="20"/>
        </w:rPr>
        <w:t>:0</w:t>
      </w:r>
      <w:r w:rsidR="008810F5" w:rsidRPr="003A4959">
        <w:rPr>
          <w:rFonts w:ascii="Times New Roman" w:hAnsi="Times New Roman"/>
          <w:sz w:val="20"/>
          <w:szCs w:val="20"/>
        </w:rPr>
        <w:t>0</w:t>
      </w:r>
      <w:bookmarkStart w:id="7" w:name="_GoBack"/>
      <w:bookmarkEnd w:id="7"/>
    </w:p>
    <w:p w:rsidR="00CA1976" w:rsidRPr="003A4959" w:rsidRDefault="00FC419F" w:rsidP="001615B9">
      <w:pPr>
        <w:pStyle w:val="naisf"/>
        <w:spacing w:before="0" w:beforeAutospacing="0" w:after="0" w:afterAutospacing="0"/>
        <w:rPr>
          <w:sz w:val="20"/>
          <w:szCs w:val="20"/>
        </w:rPr>
      </w:pPr>
      <w:r>
        <w:rPr>
          <w:sz w:val="20"/>
          <w:szCs w:val="20"/>
        </w:rPr>
        <w:t>17</w:t>
      </w:r>
      <w:r w:rsidR="007806F3">
        <w:rPr>
          <w:sz w:val="20"/>
          <w:szCs w:val="20"/>
        </w:rPr>
        <w:t>80</w:t>
      </w:r>
    </w:p>
    <w:p w:rsidR="00CA1976" w:rsidRPr="003A4959" w:rsidRDefault="00CA1976" w:rsidP="001615B9">
      <w:pPr>
        <w:pStyle w:val="naisf"/>
        <w:spacing w:before="0" w:beforeAutospacing="0" w:after="0" w:afterAutospacing="0"/>
        <w:rPr>
          <w:sz w:val="20"/>
          <w:szCs w:val="20"/>
        </w:rPr>
      </w:pPr>
      <w:r w:rsidRPr="003A4959">
        <w:rPr>
          <w:sz w:val="20"/>
          <w:szCs w:val="20"/>
        </w:rPr>
        <w:t>B. Eglīte, 67026522</w:t>
      </w:r>
    </w:p>
    <w:p w:rsidR="00CA1976" w:rsidRPr="003A4959" w:rsidRDefault="00CA1976" w:rsidP="001615B9">
      <w:pPr>
        <w:pStyle w:val="naisf"/>
        <w:spacing w:before="0" w:beforeAutospacing="0" w:after="0" w:afterAutospacing="0"/>
        <w:rPr>
          <w:sz w:val="20"/>
          <w:szCs w:val="20"/>
        </w:rPr>
      </w:pPr>
      <w:r w:rsidRPr="003A4959">
        <w:rPr>
          <w:sz w:val="20"/>
          <w:szCs w:val="20"/>
        </w:rPr>
        <w:t xml:space="preserve">baiba.eglite@varam.gov.lv </w:t>
      </w:r>
    </w:p>
    <w:p w:rsidR="00CA1976" w:rsidRPr="003A4959" w:rsidRDefault="00CA1976">
      <w:pPr>
        <w:rPr>
          <w:rFonts w:ascii="Times New Roman" w:hAnsi="Times New Roman"/>
          <w:sz w:val="20"/>
          <w:szCs w:val="20"/>
        </w:rPr>
      </w:pPr>
    </w:p>
    <w:sectPr w:rsidR="00CA1976" w:rsidRPr="003A4959" w:rsidSect="00C97F52">
      <w:headerReference w:type="default" r:id="rId10"/>
      <w:footerReference w:type="default" r:id="rId11"/>
      <w:footerReference w:type="first" r:id="rId12"/>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2C" w:rsidRDefault="003E402C" w:rsidP="001615B9">
      <w:pPr>
        <w:spacing w:after="0" w:line="240" w:lineRule="auto"/>
      </w:pPr>
      <w:r>
        <w:separator/>
      </w:r>
    </w:p>
  </w:endnote>
  <w:endnote w:type="continuationSeparator" w:id="0">
    <w:p w:rsidR="003E402C" w:rsidRDefault="003E402C"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4E" w:rsidRPr="001615B9" w:rsidRDefault="0015304E" w:rsidP="00503118">
    <w:pPr>
      <w:spacing w:after="0" w:line="240" w:lineRule="auto"/>
      <w:ind w:left="-709" w:right="-641"/>
      <w:jc w:val="both"/>
      <w:rPr>
        <w:rFonts w:ascii="Times New Roman" w:hAnsi="Times New Roman"/>
        <w:bCs/>
        <w:color w:val="000000"/>
        <w:sz w:val="20"/>
        <w:szCs w:val="20"/>
      </w:rPr>
    </w:pPr>
    <w:r w:rsidRPr="001615B9">
      <w:rPr>
        <w:rFonts w:ascii="Times New Roman" w:hAnsi="Times New Roman"/>
        <w:sz w:val="20"/>
        <w:szCs w:val="20"/>
      </w:rPr>
      <w:t>VARAMA</w:t>
    </w:r>
    <w:r w:rsidR="006D6D21">
      <w:rPr>
        <w:rFonts w:ascii="Times New Roman" w:hAnsi="Times New Roman"/>
        <w:sz w:val="20"/>
        <w:szCs w:val="20"/>
      </w:rPr>
      <w:t>NOT_groz</w:t>
    </w:r>
    <w:r w:rsidR="007131EF">
      <w:rPr>
        <w:rFonts w:ascii="Times New Roman" w:hAnsi="Times New Roman"/>
        <w:sz w:val="20"/>
        <w:szCs w:val="20"/>
      </w:rPr>
      <w:t>_</w:t>
    </w:r>
    <w:r w:rsidR="00AF2163">
      <w:rPr>
        <w:rFonts w:ascii="Times New Roman" w:hAnsi="Times New Roman"/>
        <w:sz w:val="20"/>
        <w:szCs w:val="20"/>
      </w:rPr>
      <w:t>257_09</w:t>
    </w:r>
    <w:r w:rsidR="006D6D21">
      <w:rPr>
        <w:rFonts w:ascii="Times New Roman" w:hAnsi="Times New Roman"/>
        <w:sz w:val="20"/>
        <w:szCs w:val="20"/>
      </w:rPr>
      <w:t>04</w:t>
    </w:r>
    <w:r>
      <w:rPr>
        <w:rFonts w:ascii="Times New Roman" w:hAnsi="Times New Roman"/>
        <w:sz w:val="20"/>
        <w:szCs w:val="20"/>
      </w:rPr>
      <w:t>2015</w:t>
    </w:r>
    <w:r w:rsidRPr="001615B9">
      <w:rPr>
        <w:rFonts w:ascii="Times New Roman" w:hAnsi="Times New Roman"/>
        <w:sz w:val="20"/>
        <w:szCs w:val="20"/>
      </w:rPr>
      <w:t xml:space="preserve">; </w:t>
    </w:r>
    <w:r w:rsidRPr="009377CF">
      <w:rPr>
        <w:rFonts w:ascii="Times New Roman" w:hAnsi="Times New Roman"/>
        <w:sz w:val="20"/>
      </w:rPr>
      <w:t>Mini</w:t>
    </w:r>
    <w:r>
      <w:rPr>
        <w:rFonts w:ascii="Times New Roman" w:hAnsi="Times New Roman"/>
        <w:sz w:val="20"/>
      </w:rPr>
      <w:t>stru kabineta noteikumu projekta</w:t>
    </w:r>
    <w:r w:rsidRPr="009377CF">
      <w:rPr>
        <w:rFonts w:ascii="Times New Roman" w:hAnsi="Times New Roman"/>
        <w:sz w:val="20"/>
      </w:rPr>
      <w:t xml:space="preserve"> </w:t>
    </w:r>
    <w:r w:rsidR="00565F05" w:rsidRPr="00565F05">
      <w:rPr>
        <w:rFonts w:ascii="Times New Roman" w:hAnsi="Times New Roman"/>
        <w:sz w:val="20"/>
      </w:rPr>
      <w:t>„</w:t>
    </w:r>
    <w:r w:rsidRPr="00C01673">
      <w:rPr>
        <w:rFonts w:ascii="Times New Roman" w:hAnsi="Times New Roman"/>
        <w:sz w:val="20"/>
      </w:rPr>
      <w:t xml:space="preserve">Grozījums Ministru kabineta 2014.gada 20.maija noteikumos Nr.257 „Eiropas Ekonomikas zonas </w:t>
    </w:r>
    <w:r w:rsidR="00565F05">
      <w:rPr>
        <w:rFonts w:ascii="Times New Roman" w:hAnsi="Times New Roman"/>
        <w:sz w:val="20"/>
      </w:rPr>
      <w:t>finanšu instrumenta 2009.–2014.</w:t>
    </w:r>
    <w:r w:rsidRPr="00C01673">
      <w:rPr>
        <w:rFonts w:ascii="Times New Roman" w:hAnsi="Times New Roman"/>
        <w:sz w:val="20"/>
      </w:rPr>
      <w:t xml:space="preserve">gada perioda programmas </w:t>
    </w:r>
    <w:r w:rsidR="00565F05" w:rsidRPr="00565F05">
      <w:rPr>
        <w:rFonts w:ascii="Times New Roman" w:hAnsi="Times New Roman"/>
        <w:sz w:val="20"/>
      </w:rPr>
      <w:t>„</w:t>
    </w:r>
    <w:r w:rsidR="00565F05">
      <w:rPr>
        <w:rFonts w:ascii="Times New Roman" w:hAnsi="Times New Roman"/>
        <w:sz w:val="20"/>
      </w:rPr>
      <w:t>Nacionālā klimata politika”</w:t>
    </w:r>
    <w:r w:rsidRPr="00C01673">
      <w:rPr>
        <w:rFonts w:ascii="Times New Roman" w:hAnsi="Times New Roman"/>
        <w:sz w:val="20"/>
      </w:rPr>
      <w:t xml:space="preserve"> neliela apjoma grantu shēmas projektu iesniegumu atklāta konkursa </w:t>
    </w:r>
    <w:r w:rsidR="00565F05" w:rsidRPr="00565F05">
      <w:rPr>
        <w:rFonts w:ascii="Times New Roman" w:hAnsi="Times New Roman"/>
        <w:sz w:val="20"/>
      </w:rPr>
      <w:t>„</w:t>
    </w:r>
    <w:r w:rsidRPr="00C01673">
      <w:rPr>
        <w:rFonts w:ascii="Times New Roman" w:hAnsi="Times New Roman"/>
        <w:sz w:val="20"/>
      </w:rPr>
      <w:t>Kapacitātes celšana pētījumiem un pasākumiem sabiedrības zināšanu uzlabošanai par klimata pārmaiņām un to radītajām sekām</w:t>
    </w:r>
    <w:r w:rsidR="001E2045" w:rsidRPr="001E2045">
      <w:rPr>
        <w:rFonts w:ascii="Times New Roman" w:hAnsi="Times New Roman"/>
        <w:sz w:val="20"/>
      </w:rPr>
      <w:t>”</w:t>
    </w:r>
    <w:r w:rsidRPr="00C01673">
      <w:rPr>
        <w:rFonts w:ascii="Times New Roman" w:hAnsi="Times New Roman"/>
        <w:sz w:val="20"/>
      </w:rPr>
      <w:t xml:space="preserve"> nolikums”</w:t>
    </w:r>
    <w:r w:rsidRPr="00CC1571">
      <w:rPr>
        <w:rFonts w:ascii="Times New Roman" w:hAnsi="Times New Roman"/>
        <w:sz w:val="20"/>
      </w:rPr>
      <w:t>”</w:t>
    </w:r>
    <w:r>
      <w:rPr>
        <w:rFonts w:ascii="Times New Roman" w:hAnsi="Times New Roman"/>
        <w:sz w:val="20"/>
      </w:rPr>
      <w:t xml:space="preserve"> </w:t>
    </w:r>
    <w:r w:rsidRPr="0015304E">
      <w:rPr>
        <w:rFonts w:ascii="Times New Roman" w:hAnsi="Times New Roman"/>
        <w:sz w:val="20"/>
      </w:rPr>
      <w:t xml:space="preserve">sākotnējās ietekmes novērtējuma ziņojums </w:t>
    </w:r>
    <w:r>
      <w:rPr>
        <w:rFonts w:ascii="Times New Roman" w:hAnsi="Times New Roman"/>
        <w:sz w:val="20"/>
      </w:rPr>
      <w:t>(anotācija)</w:t>
    </w:r>
  </w:p>
  <w:p w:rsidR="008D41D2" w:rsidRPr="007131EF" w:rsidRDefault="008D41D2" w:rsidP="002F03CA">
    <w:pPr>
      <w:pStyle w:val="Footer"/>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D2" w:rsidRPr="001615B9" w:rsidRDefault="008D41D2" w:rsidP="00503118">
    <w:pPr>
      <w:spacing w:after="0" w:line="240" w:lineRule="auto"/>
      <w:ind w:left="-709" w:right="-639"/>
      <w:jc w:val="both"/>
      <w:rPr>
        <w:rFonts w:ascii="Times New Roman" w:hAnsi="Times New Roman"/>
        <w:bCs/>
        <w:color w:val="000000"/>
        <w:sz w:val="20"/>
        <w:szCs w:val="20"/>
      </w:rPr>
    </w:pPr>
    <w:r w:rsidRPr="001615B9">
      <w:rPr>
        <w:rFonts w:ascii="Times New Roman" w:hAnsi="Times New Roman"/>
        <w:sz w:val="20"/>
        <w:szCs w:val="20"/>
      </w:rPr>
      <w:t>VARAMA</w:t>
    </w:r>
    <w:r w:rsidR="006D6D21">
      <w:rPr>
        <w:rFonts w:ascii="Times New Roman" w:hAnsi="Times New Roman"/>
        <w:sz w:val="20"/>
        <w:szCs w:val="20"/>
      </w:rPr>
      <w:t>NOT_groz</w:t>
    </w:r>
    <w:r w:rsidR="007131EF">
      <w:rPr>
        <w:rFonts w:ascii="Times New Roman" w:hAnsi="Times New Roman"/>
        <w:sz w:val="20"/>
        <w:szCs w:val="20"/>
      </w:rPr>
      <w:t>_</w:t>
    </w:r>
    <w:r w:rsidR="00AF2163">
      <w:rPr>
        <w:rFonts w:ascii="Times New Roman" w:hAnsi="Times New Roman"/>
        <w:sz w:val="20"/>
        <w:szCs w:val="20"/>
      </w:rPr>
      <w:t>257_09</w:t>
    </w:r>
    <w:r w:rsidR="006D6D21">
      <w:rPr>
        <w:rFonts w:ascii="Times New Roman" w:hAnsi="Times New Roman"/>
        <w:sz w:val="20"/>
        <w:szCs w:val="20"/>
      </w:rPr>
      <w:t>04</w:t>
    </w:r>
    <w:r>
      <w:rPr>
        <w:rFonts w:ascii="Times New Roman" w:hAnsi="Times New Roman"/>
        <w:sz w:val="20"/>
        <w:szCs w:val="20"/>
      </w:rPr>
      <w:t>2015</w:t>
    </w:r>
    <w:r w:rsidRPr="001615B9">
      <w:rPr>
        <w:rFonts w:ascii="Times New Roman" w:hAnsi="Times New Roman"/>
        <w:sz w:val="20"/>
        <w:szCs w:val="20"/>
      </w:rPr>
      <w:t xml:space="preserve">; </w:t>
    </w:r>
    <w:r w:rsidRPr="009377CF">
      <w:rPr>
        <w:rFonts w:ascii="Times New Roman" w:hAnsi="Times New Roman"/>
        <w:sz w:val="20"/>
      </w:rPr>
      <w:t>Mini</w:t>
    </w:r>
    <w:r>
      <w:rPr>
        <w:rFonts w:ascii="Times New Roman" w:hAnsi="Times New Roman"/>
        <w:sz w:val="20"/>
      </w:rPr>
      <w:t>stru kabineta noteikumu projekta</w:t>
    </w:r>
    <w:r w:rsidRPr="009377CF">
      <w:rPr>
        <w:rFonts w:ascii="Times New Roman" w:hAnsi="Times New Roman"/>
        <w:sz w:val="20"/>
      </w:rPr>
      <w:t xml:space="preserve"> </w:t>
    </w:r>
    <w:r w:rsidR="00565F05" w:rsidRPr="00565F05">
      <w:rPr>
        <w:rFonts w:ascii="Times New Roman" w:hAnsi="Times New Roman"/>
        <w:sz w:val="20"/>
      </w:rPr>
      <w:t>„</w:t>
    </w:r>
    <w:r w:rsidRPr="00C01673">
      <w:rPr>
        <w:rFonts w:ascii="Times New Roman" w:hAnsi="Times New Roman"/>
        <w:sz w:val="20"/>
      </w:rPr>
      <w:t xml:space="preserve">Grozījums Ministru kabineta 2014.gada 20.maija noteikumos Nr.257 „Eiropas Ekonomikas zonas finanšu instrumenta 2009.–2014. gada perioda programmas </w:t>
    </w:r>
    <w:r w:rsidR="00565F05" w:rsidRPr="00565F05">
      <w:rPr>
        <w:rFonts w:ascii="Times New Roman" w:hAnsi="Times New Roman"/>
        <w:sz w:val="20"/>
      </w:rPr>
      <w:t>„</w:t>
    </w:r>
    <w:r w:rsidRPr="00C01673">
      <w:rPr>
        <w:rFonts w:ascii="Times New Roman" w:hAnsi="Times New Roman"/>
        <w:sz w:val="20"/>
      </w:rPr>
      <w:t>Nacionālā klimata politika</w:t>
    </w:r>
    <w:r w:rsidR="00961CB8" w:rsidRPr="00CC1571">
      <w:rPr>
        <w:rFonts w:ascii="Times New Roman" w:hAnsi="Times New Roman"/>
        <w:sz w:val="20"/>
      </w:rPr>
      <w:t>”</w:t>
    </w:r>
    <w:r w:rsidRPr="00C01673">
      <w:rPr>
        <w:rFonts w:ascii="Times New Roman" w:hAnsi="Times New Roman"/>
        <w:sz w:val="20"/>
      </w:rPr>
      <w:t xml:space="preserve"> neliela apjoma grantu shēmas projektu iesniegumu atklāta konkursa </w:t>
    </w:r>
    <w:r w:rsidR="00565F05" w:rsidRPr="00565F05">
      <w:rPr>
        <w:rFonts w:ascii="Times New Roman" w:hAnsi="Times New Roman"/>
        <w:sz w:val="20"/>
      </w:rPr>
      <w:t>„</w:t>
    </w:r>
    <w:r w:rsidRPr="00C01673">
      <w:rPr>
        <w:rFonts w:ascii="Times New Roman" w:hAnsi="Times New Roman"/>
        <w:sz w:val="20"/>
      </w:rPr>
      <w:t>Kapacitātes celšana pētījumiem un pasākumiem sabiedrības zināšanu uzlabošanai par klimata pārmaiņām un to radītajām sekām</w:t>
    </w:r>
    <w:r w:rsidR="00961CB8" w:rsidRPr="00CC1571">
      <w:rPr>
        <w:rFonts w:ascii="Times New Roman" w:hAnsi="Times New Roman"/>
        <w:sz w:val="20"/>
      </w:rPr>
      <w:t>”</w:t>
    </w:r>
    <w:r w:rsidRPr="00C01673">
      <w:rPr>
        <w:rFonts w:ascii="Times New Roman" w:hAnsi="Times New Roman"/>
        <w:sz w:val="20"/>
      </w:rPr>
      <w:t xml:space="preserve"> nolikums”</w:t>
    </w:r>
    <w:r w:rsidRPr="00CC1571">
      <w:rPr>
        <w:rFonts w:ascii="Times New Roman" w:hAnsi="Times New Roman"/>
        <w:sz w:val="20"/>
      </w:rPr>
      <w:t>”</w:t>
    </w:r>
    <w:r>
      <w:rPr>
        <w:rFonts w:ascii="Times New Roman" w:hAnsi="Times New Roman"/>
        <w:sz w:val="20"/>
      </w:rPr>
      <w:t xml:space="preserve"> </w:t>
    </w:r>
    <w:r w:rsidR="0015304E" w:rsidRPr="0015304E">
      <w:rPr>
        <w:rFonts w:ascii="Times New Roman" w:hAnsi="Times New Roman"/>
        <w:sz w:val="20"/>
      </w:rPr>
      <w:t xml:space="preserve">sākotnējās ietekmes novērtējuma ziņojums </w:t>
    </w:r>
    <w:r w:rsidR="0015304E">
      <w:rPr>
        <w:rFonts w:ascii="Times New Roman" w:hAnsi="Times New Roman"/>
        <w:sz w:val="20"/>
      </w:rPr>
      <w:t>(</w:t>
    </w:r>
    <w:r>
      <w:rPr>
        <w:rFonts w:ascii="Times New Roman" w:hAnsi="Times New Roman"/>
        <w:sz w:val="20"/>
      </w:rPr>
      <w:t>anotācija</w:t>
    </w:r>
    <w:r w:rsidR="0015304E">
      <w:rPr>
        <w:rFonts w:ascii="Times New Roman" w:hAnsi="Times New Roman"/>
        <w:sz w:val="20"/>
      </w:rPr>
      <w:t>)</w:t>
    </w:r>
  </w:p>
  <w:p w:rsidR="008D41D2" w:rsidRDefault="008D4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2C" w:rsidRDefault="003E402C" w:rsidP="001615B9">
      <w:pPr>
        <w:spacing w:after="0" w:line="240" w:lineRule="auto"/>
      </w:pPr>
      <w:r>
        <w:separator/>
      </w:r>
    </w:p>
  </w:footnote>
  <w:footnote w:type="continuationSeparator" w:id="0">
    <w:p w:rsidR="003E402C" w:rsidRDefault="003E402C" w:rsidP="0016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691830"/>
      <w:docPartObj>
        <w:docPartGallery w:val="Page Numbers (Top of Page)"/>
        <w:docPartUnique/>
      </w:docPartObj>
    </w:sdtPr>
    <w:sdtEndPr>
      <w:rPr>
        <w:rFonts w:ascii="Times New Roman" w:hAnsi="Times New Roman"/>
        <w:noProof/>
      </w:rPr>
    </w:sdtEndPr>
    <w:sdtContent>
      <w:p w:rsidR="007131EF" w:rsidRPr="007131EF" w:rsidRDefault="00F01B7F">
        <w:pPr>
          <w:pStyle w:val="Header"/>
          <w:jc w:val="center"/>
          <w:rPr>
            <w:rFonts w:ascii="Times New Roman" w:hAnsi="Times New Roman"/>
          </w:rPr>
        </w:pPr>
        <w:r w:rsidRPr="007131EF">
          <w:rPr>
            <w:rFonts w:ascii="Times New Roman" w:hAnsi="Times New Roman"/>
          </w:rPr>
          <w:fldChar w:fldCharType="begin"/>
        </w:r>
        <w:r w:rsidR="007131EF" w:rsidRPr="007131EF">
          <w:rPr>
            <w:rFonts w:ascii="Times New Roman" w:hAnsi="Times New Roman"/>
          </w:rPr>
          <w:instrText xml:space="preserve"> PAGE   \* MERGEFORMAT </w:instrText>
        </w:r>
        <w:r w:rsidRPr="007131EF">
          <w:rPr>
            <w:rFonts w:ascii="Times New Roman" w:hAnsi="Times New Roman"/>
          </w:rPr>
          <w:fldChar w:fldCharType="separate"/>
        </w:r>
        <w:r w:rsidR="003151B7">
          <w:rPr>
            <w:rFonts w:ascii="Times New Roman" w:hAnsi="Times New Roman"/>
            <w:noProof/>
          </w:rPr>
          <w:t>7</w:t>
        </w:r>
        <w:r w:rsidRPr="007131EF">
          <w:rPr>
            <w:rFonts w:ascii="Times New Roman" w:hAnsi="Times New Roman"/>
            <w:noProof/>
          </w:rPr>
          <w:fldChar w:fldCharType="end"/>
        </w:r>
      </w:p>
    </w:sdtContent>
  </w:sdt>
  <w:p w:rsidR="007131EF" w:rsidRDefault="00713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B2E16F9"/>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0D036B7D"/>
    <w:multiLevelType w:val="hybridMultilevel"/>
    <w:tmpl w:val="4A90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5">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73031FB"/>
    <w:multiLevelType w:val="hybridMultilevel"/>
    <w:tmpl w:val="3C92F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8">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9">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10">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11">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3">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4">
    <w:nsid w:val="730563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7">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7"/>
  </w:num>
  <w:num w:numId="3">
    <w:abstractNumId w:val="17"/>
  </w:num>
  <w:num w:numId="4">
    <w:abstractNumId w:val="17"/>
  </w:num>
  <w:num w:numId="5">
    <w:abstractNumId w:val="0"/>
  </w:num>
  <w:num w:numId="6">
    <w:abstractNumId w:val="9"/>
  </w:num>
  <w:num w:numId="7">
    <w:abstractNumId w:val="8"/>
  </w:num>
  <w:num w:numId="8">
    <w:abstractNumId w:val="16"/>
  </w:num>
  <w:num w:numId="9">
    <w:abstractNumId w:val="15"/>
  </w:num>
  <w:num w:numId="10">
    <w:abstractNumId w:val="1"/>
  </w:num>
  <w:num w:numId="11">
    <w:abstractNumId w:val="11"/>
  </w:num>
  <w:num w:numId="12">
    <w:abstractNumId w:val="13"/>
  </w:num>
  <w:num w:numId="13">
    <w:abstractNumId w:val="12"/>
  </w:num>
  <w:num w:numId="14">
    <w:abstractNumId w:val="10"/>
  </w:num>
  <w:num w:numId="15">
    <w:abstractNumId w:val="5"/>
  </w:num>
  <w:num w:numId="16">
    <w:abstractNumId w:val="4"/>
  </w:num>
  <w:num w:numId="17">
    <w:abstractNumId w:val="6"/>
  </w:num>
  <w:num w:numId="18">
    <w:abstractNumId w:val="2"/>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62AF"/>
    <w:rsid w:val="0000249B"/>
    <w:rsid w:val="00002D58"/>
    <w:rsid w:val="00007C73"/>
    <w:rsid w:val="000101F3"/>
    <w:rsid w:val="00020679"/>
    <w:rsid w:val="00022A7F"/>
    <w:rsid w:val="0003054F"/>
    <w:rsid w:val="0003345B"/>
    <w:rsid w:val="000478A5"/>
    <w:rsid w:val="00057603"/>
    <w:rsid w:val="000618D3"/>
    <w:rsid w:val="00062DF9"/>
    <w:rsid w:val="000636C3"/>
    <w:rsid w:val="000831DE"/>
    <w:rsid w:val="00094153"/>
    <w:rsid w:val="00096686"/>
    <w:rsid w:val="00097FC8"/>
    <w:rsid w:val="000A022D"/>
    <w:rsid w:val="000A6D92"/>
    <w:rsid w:val="000C3AEB"/>
    <w:rsid w:val="000C68B4"/>
    <w:rsid w:val="000D018D"/>
    <w:rsid w:val="000D18CA"/>
    <w:rsid w:val="000D4423"/>
    <w:rsid w:val="000D64CC"/>
    <w:rsid w:val="000D7675"/>
    <w:rsid w:val="000E6F9F"/>
    <w:rsid w:val="000F0D21"/>
    <w:rsid w:val="000F11B2"/>
    <w:rsid w:val="000F2271"/>
    <w:rsid w:val="000F4F77"/>
    <w:rsid w:val="00106629"/>
    <w:rsid w:val="001164B0"/>
    <w:rsid w:val="00134F5A"/>
    <w:rsid w:val="0015304E"/>
    <w:rsid w:val="001615B9"/>
    <w:rsid w:val="00173299"/>
    <w:rsid w:val="001777BC"/>
    <w:rsid w:val="00182545"/>
    <w:rsid w:val="00184288"/>
    <w:rsid w:val="0019656B"/>
    <w:rsid w:val="001A5AD8"/>
    <w:rsid w:val="001B3E83"/>
    <w:rsid w:val="001B6149"/>
    <w:rsid w:val="001B7135"/>
    <w:rsid w:val="001C1801"/>
    <w:rsid w:val="001C7438"/>
    <w:rsid w:val="001D47C1"/>
    <w:rsid w:val="001D495A"/>
    <w:rsid w:val="001D7888"/>
    <w:rsid w:val="001E2045"/>
    <w:rsid w:val="001E3E9A"/>
    <w:rsid w:val="001E452A"/>
    <w:rsid w:val="001F2652"/>
    <w:rsid w:val="001F6DF9"/>
    <w:rsid w:val="00200A5D"/>
    <w:rsid w:val="00207C5D"/>
    <w:rsid w:val="00211F0E"/>
    <w:rsid w:val="00212040"/>
    <w:rsid w:val="002151AC"/>
    <w:rsid w:val="00216621"/>
    <w:rsid w:val="00220881"/>
    <w:rsid w:val="0022113F"/>
    <w:rsid w:val="00222D46"/>
    <w:rsid w:val="0022628D"/>
    <w:rsid w:val="002325BD"/>
    <w:rsid w:val="00237667"/>
    <w:rsid w:val="0025252D"/>
    <w:rsid w:val="00260537"/>
    <w:rsid w:val="0026425B"/>
    <w:rsid w:val="00272CD2"/>
    <w:rsid w:val="00276078"/>
    <w:rsid w:val="00277DC7"/>
    <w:rsid w:val="00277F0C"/>
    <w:rsid w:val="002951E5"/>
    <w:rsid w:val="00295D48"/>
    <w:rsid w:val="002A3C5B"/>
    <w:rsid w:val="002A4836"/>
    <w:rsid w:val="002B0F94"/>
    <w:rsid w:val="002B5F71"/>
    <w:rsid w:val="002D0DF3"/>
    <w:rsid w:val="002D4477"/>
    <w:rsid w:val="002E0511"/>
    <w:rsid w:val="002E06D9"/>
    <w:rsid w:val="002E63FA"/>
    <w:rsid w:val="002F03CA"/>
    <w:rsid w:val="00304612"/>
    <w:rsid w:val="00304631"/>
    <w:rsid w:val="003151B7"/>
    <w:rsid w:val="00332686"/>
    <w:rsid w:val="00337C70"/>
    <w:rsid w:val="00345BFD"/>
    <w:rsid w:val="003503EA"/>
    <w:rsid w:val="00353656"/>
    <w:rsid w:val="003731F1"/>
    <w:rsid w:val="00374754"/>
    <w:rsid w:val="00380082"/>
    <w:rsid w:val="0039265E"/>
    <w:rsid w:val="003A4959"/>
    <w:rsid w:val="003A5295"/>
    <w:rsid w:val="003A6AB0"/>
    <w:rsid w:val="003B576F"/>
    <w:rsid w:val="003B7510"/>
    <w:rsid w:val="003C18BA"/>
    <w:rsid w:val="003D388E"/>
    <w:rsid w:val="003E402C"/>
    <w:rsid w:val="003E5CEB"/>
    <w:rsid w:val="003F1315"/>
    <w:rsid w:val="003F2C11"/>
    <w:rsid w:val="0042014E"/>
    <w:rsid w:val="00420E33"/>
    <w:rsid w:val="00422252"/>
    <w:rsid w:val="00426F90"/>
    <w:rsid w:val="004328DE"/>
    <w:rsid w:val="00441C9C"/>
    <w:rsid w:val="00456469"/>
    <w:rsid w:val="00456AAD"/>
    <w:rsid w:val="00457B45"/>
    <w:rsid w:val="00461531"/>
    <w:rsid w:val="00462BAB"/>
    <w:rsid w:val="004661B1"/>
    <w:rsid w:val="004713C3"/>
    <w:rsid w:val="00473FE9"/>
    <w:rsid w:val="004751D6"/>
    <w:rsid w:val="00475D7D"/>
    <w:rsid w:val="0047678B"/>
    <w:rsid w:val="004848F7"/>
    <w:rsid w:val="004922C8"/>
    <w:rsid w:val="004A1B67"/>
    <w:rsid w:val="004A21FA"/>
    <w:rsid w:val="004D3509"/>
    <w:rsid w:val="004E0F41"/>
    <w:rsid w:val="004E7FA8"/>
    <w:rsid w:val="004F2237"/>
    <w:rsid w:val="004F77E2"/>
    <w:rsid w:val="005019A8"/>
    <w:rsid w:val="00503118"/>
    <w:rsid w:val="00507196"/>
    <w:rsid w:val="00511314"/>
    <w:rsid w:val="0051744A"/>
    <w:rsid w:val="00520A66"/>
    <w:rsid w:val="00521A27"/>
    <w:rsid w:val="005224CF"/>
    <w:rsid w:val="00523620"/>
    <w:rsid w:val="005236FF"/>
    <w:rsid w:val="00524C7C"/>
    <w:rsid w:val="00526ADB"/>
    <w:rsid w:val="00544D18"/>
    <w:rsid w:val="00546DBB"/>
    <w:rsid w:val="005470DC"/>
    <w:rsid w:val="00550EF9"/>
    <w:rsid w:val="005510E6"/>
    <w:rsid w:val="00565F05"/>
    <w:rsid w:val="00572A36"/>
    <w:rsid w:val="0057383B"/>
    <w:rsid w:val="00574783"/>
    <w:rsid w:val="005754AF"/>
    <w:rsid w:val="00577D3A"/>
    <w:rsid w:val="00581732"/>
    <w:rsid w:val="005870F0"/>
    <w:rsid w:val="00597457"/>
    <w:rsid w:val="005A2804"/>
    <w:rsid w:val="005A391C"/>
    <w:rsid w:val="005B49E5"/>
    <w:rsid w:val="005B4D3D"/>
    <w:rsid w:val="005C4A25"/>
    <w:rsid w:val="005C644C"/>
    <w:rsid w:val="005D2F46"/>
    <w:rsid w:val="005D48ED"/>
    <w:rsid w:val="005D5492"/>
    <w:rsid w:val="005D7AE3"/>
    <w:rsid w:val="005F26AC"/>
    <w:rsid w:val="005F72C4"/>
    <w:rsid w:val="006007DD"/>
    <w:rsid w:val="0061029D"/>
    <w:rsid w:val="00610EC6"/>
    <w:rsid w:val="00610F05"/>
    <w:rsid w:val="00613DC0"/>
    <w:rsid w:val="00616102"/>
    <w:rsid w:val="006161C1"/>
    <w:rsid w:val="00616EE1"/>
    <w:rsid w:val="006260CB"/>
    <w:rsid w:val="006274D6"/>
    <w:rsid w:val="00642020"/>
    <w:rsid w:val="00647764"/>
    <w:rsid w:val="00671CA0"/>
    <w:rsid w:val="0068350F"/>
    <w:rsid w:val="00684A22"/>
    <w:rsid w:val="006926E0"/>
    <w:rsid w:val="00692D38"/>
    <w:rsid w:val="00696CD5"/>
    <w:rsid w:val="006A29D0"/>
    <w:rsid w:val="006A55E2"/>
    <w:rsid w:val="006A5610"/>
    <w:rsid w:val="006A6DD7"/>
    <w:rsid w:val="006B2A5E"/>
    <w:rsid w:val="006B6ED4"/>
    <w:rsid w:val="006C38BD"/>
    <w:rsid w:val="006C5620"/>
    <w:rsid w:val="006C6D8A"/>
    <w:rsid w:val="006D0302"/>
    <w:rsid w:val="006D14C5"/>
    <w:rsid w:val="006D6D21"/>
    <w:rsid w:val="006E0EA5"/>
    <w:rsid w:val="006E69F9"/>
    <w:rsid w:val="006F4682"/>
    <w:rsid w:val="00701216"/>
    <w:rsid w:val="00702E69"/>
    <w:rsid w:val="00711E3B"/>
    <w:rsid w:val="007131EF"/>
    <w:rsid w:val="00713F60"/>
    <w:rsid w:val="00714FCC"/>
    <w:rsid w:val="007177BA"/>
    <w:rsid w:val="00721256"/>
    <w:rsid w:val="00733BCB"/>
    <w:rsid w:val="00740AA7"/>
    <w:rsid w:val="007410D5"/>
    <w:rsid w:val="00750A87"/>
    <w:rsid w:val="007531A8"/>
    <w:rsid w:val="0075652A"/>
    <w:rsid w:val="00757F5D"/>
    <w:rsid w:val="00761962"/>
    <w:rsid w:val="00763068"/>
    <w:rsid w:val="00771566"/>
    <w:rsid w:val="007738BE"/>
    <w:rsid w:val="007806F3"/>
    <w:rsid w:val="0078455F"/>
    <w:rsid w:val="007875D5"/>
    <w:rsid w:val="007910B0"/>
    <w:rsid w:val="00794DF8"/>
    <w:rsid w:val="00795978"/>
    <w:rsid w:val="007974C8"/>
    <w:rsid w:val="007A26DE"/>
    <w:rsid w:val="007A75A7"/>
    <w:rsid w:val="007B0C52"/>
    <w:rsid w:val="007B141F"/>
    <w:rsid w:val="007B4EDB"/>
    <w:rsid w:val="007B7AAC"/>
    <w:rsid w:val="007C278B"/>
    <w:rsid w:val="007D2BF2"/>
    <w:rsid w:val="007D387A"/>
    <w:rsid w:val="007D39F5"/>
    <w:rsid w:val="007E6017"/>
    <w:rsid w:val="00806E14"/>
    <w:rsid w:val="008116AD"/>
    <w:rsid w:val="00825F08"/>
    <w:rsid w:val="00832FD4"/>
    <w:rsid w:val="00835EC1"/>
    <w:rsid w:val="00842E7A"/>
    <w:rsid w:val="00855E48"/>
    <w:rsid w:val="008568A3"/>
    <w:rsid w:val="00862235"/>
    <w:rsid w:val="00870A31"/>
    <w:rsid w:val="00880DC2"/>
    <w:rsid w:val="008810F5"/>
    <w:rsid w:val="008872BF"/>
    <w:rsid w:val="00890520"/>
    <w:rsid w:val="00891741"/>
    <w:rsid w:val="008978AC"/>
    <w:rsid w:val="00897FB2"/>
    <w:rsid w:val="008A0837"/>
    <w:rsid w:val="008B32FB"/>
    <w:rsid w:val="008B6B20"/>
    <w:rsid w:val="008C4924"/>
    <w:rsid w:val="008D03EB"/>
    <w:rsid w:val="008D2178"/>
    <w:rsid w:val="008D2D4F"/>
    <w:rsid w:val="008D41D2"/>
    <w:rsid w:val="008D50AE"/>
    <w:rsid w:val="008E18BB"/>
    <w:rsid w:val="008E2C42"/>
    <w:rsid w:val="008E5C65"/>
    <w:rsid w:val="008E7F81"/>
    <w:rsid w:val="008F7FE8"/>
    <w:rsid w:val="0090039B"/>
    <w:rsid w:val="0090051C"/>
    <w:rsid w:val="00900773"/>
    <w:rsid w:val="009037F1"/>
    <w:rsid w:val="0091429F"/>
    <w:rsid w:val="009228F2"/>
    <w:rsid w:val="0092444B"/>
    <w:rsid w:val="00926526"/>
    <w:rsid w:val="00935341"/>
    <w:rsid w:val="009358F9"/>
    <w:rsid w:val="00936D07"/>
    <w:rsid w:val="009377CF"/>
    <w:rsid w:val="0094368F"/>
    <w:rsid w:val="0094399E"/>
    <w:rsid w:val="00945641"/>
    <w:rsid w:val="00951E80"/>
    <w:rsid w:val="009567E7"/>
    <w:rsid w:val="00961CB8"/>
    <w:rsid w:val="00971061"/>
    <w:rsid w:val="00986924"/>
    <w:rsid w:val="00987DD1"/>
    <w:rsid w:val="0099047F"/>
    <w:rsid w:val="00990878"/>
    <w:rsid w:val="0099286D"/>
    <w:rsid w:val="009A0844"/>
    <w:rsid w:val="009B2CCC"/>
    <w:rsid w:val="009C3C9A"/>
    <w:rsid w:val="009C5A13"/>
    <w:rsid w:val="009D1634"/>
    <w:rsid w:val="009D5BAB"/>
    <w:rsid w:val="009E237D"/>
    <w:rsid w:val="009E7A90"/>
    <w:rsid w:val="009F1135"/>
    <w:rsid w:val="00A12FAE"/>
    <w:rsid w:val="00A15A69"/>
    <w:rsid w:val="00A16658"/>
    <w:rsid w:val="00A22503"/>
    <w:rsid w:val="00A262AF"/>
    <w:rsid w:val="00A2644F"/>
    <w:rsid w:val="00A3182A"/>
    <w:rsid w:val="00A35067"/>
    <w:rsid w:val="00A51B42"/>
    <w:rsid w:val="00A529D3"/>
    <w:rsid w:val="00A559A7"/>
    <w:rsid w:val="00A5600D"/>
    <w:rsid w:val="00A5758B"/>
    <w:rsid w:val="00A62F2D"/>
    <w:rsid w:val="00A649CA"/>
    <w:rsid w:val="00A663C0"/>
    <w:rsid w:val="00A70FBB"/>
    <w:rsid w:val="00A80852"/>
    <w:rsid w:val="00A8251E"/>
    <w:rsid w:val="00A86652"/>
    <w:rsid w:val="00AB2D5F"/>
    <w:rsid w:val="00AB3CD1"/>
    <w:rsid w:val="00AD043A"/>
    <w:rsid w:val="00AD20E8"/>
    <w:rsid w:val="00AD2DC7"/>
    <w:rsid w:val="00AD3C77"/>
    <w:rsid w:val="00AD442F"/>
    <w:rsid w:val="00AD6A7C"/>
    <w:rsid w:val="00AE0E0D"/>
    <w:rsid w:val="00AE1A9A"/>
    <w:rsid w:val="00AE3DDC"/>
    <w:rsid w:val="00AE5865"/>
    <w:rsid w:val="00AE5D4C"/>
    <w:rsid w:val="00AE6015"/>
    <w:rsid w:val="00AE78A3"/>
    <w:rsid w:val="00AF2163"/>
    <w:rsid w:val="00AF33C2"/>
    <w:rsid w:val="00AF531B"/>
    <w:rsid w:val="00B04DAA"/>
    <w:rsid w:val="00B13CF4"/>
    <w:rsid w:val="00B157F8"/>
    <w:rsid w:val="00B22119"/>
    <w:rsid w:val="00B257FE"/>
    <w:rsid w:val="00B40AC5"/>
    <w:rsid w:val="00B447B4"/>
    <w:rsid w:val="00B53823"/>
    <w:rsid w:val="00B63301"/>
    <w:rsid w:val="00B70BB9"/>
    <w:rsid w:val="00B71151"/>
    <w:rsid w:val="00B80AC0"/>
    <w:rsid w:val="00B91E58"/>
    <w:rsid w:val="00B9457C"/>
    <w:rsid w:val="00BA48F1"/>
    <w:rsid w:val="00BB26BF"/>
    <w:rsid w:val="00BC20C5"/>
    <w:rsid w:val="00BC2BC6"/>
    <w:rsid w:val="00BD3243"/>
    <w:rsid w:val="00BE172E"/>
    <w:rsid w:val="00BE2116"/>
    <w:rsid w:val="00BE49D4"/>
    <w:rsid w:val="00BE5B65"/>
    <w:rsid w:val="00BE5D44"/>
    <w:rsid w:val="00BF0604"/>
    <w:rsid w:val="00BF439E"/>
    <w:rsid w:val="00C01673"/>
    <w:rsid w:val="00C03790"/>
    <w:rsid w:val="00C05491"/>
    <w:rsid w:val="00C17546"/>
    <w:rsid w:val="00C17B9F"/>
    <w:rsid w:val="00C33544"/>
    <w:rsid w:val="00C33733"/>
    <w:rsid w:val="00C52BB9"/>
    <w:rsid w:val="00C6216B"/>
    <w:rsid w:val="00C64802"/>
    <w:rsid w:val="00C66447"/>
    <w:rsid w:val="00C77819"/>
    <w:rsid w:val="00C86D98"/>
    <w:rsid w:val="00C87BB2"/>
    <w:rsid w:val="00C906FA"/>
    <w:rsid w:val="00C909D3"/>
    <w:rsid w:val="00C914E6"/>
    <w:rsid w:val="00C94BCE"/>
    <w:rsid w:val="00C97F52"/>
    <w:rsid w:val="00CA1976"/>
    <w:rsid w:val="00CA70A8"/>
    <w:rsid w:val="00CB2462"/>
    <w:rsid w:val="00CC1571"/>
    <w:rsid w:val="00CD3C35"/>
    <w:rsid w:val="00CD7C2C"/>
    <w:rsid w:val="00CE5509"/>
    <w:rsid w:val="00D05E86"/>
    <w:rsid w:val="00D11BD3"/>
    <w:rsid w:val="00D13B50"/>
    <w:rsid w:val="00D204EC"/>
    <w:rsid w:val="00D3181C"/>
    <w:rsid w:val="00D33F8E"/>
    <w:rsid w:val="00D354DA"/>
    <w:rsid w:val="00D43CFD"/>
    <w:rsid w:val="00D45B79"/>
    <w:rsid w:val="00D51D76"/>
    <w:rsid w:val="00D66555"/>
    <w:rsid w:val="00D74FF7"/>
    <w:rsid w:val="00D81823"/>
    <w:rsid w:val="00D845AD"/>
    <w:rsid w:val="00D96F80"/>
    <w:rsid w:val="00DB0704"/>
    <w:rsid w:val="00DB164F"/>
    <w:rsid w:val="00DC1CBF"/>
    <w:rsid w:val="00DD2A6D"/>
    <w:rsid w:val="00DE24B4"/>
    <w:rsid w:val="00DE456B"/>
    <w:rsid w:val="00DF03D1"/>
    <w:rsid w:val="00E1100C"/>
    <w:rsid w:val="00E21F4B"/>
    <w:rsid w:val="00E268DB"/>
    <w:rsid w:val="00E30BA1"/>
    <w:rsid w:val="00E32AD6"/>
    <w:rsid w:val="00E33FB4"/>
    <w:rsid w:val="00E36647"/>
    <w:rsid w:val="00E40FC1"/>
    <w:rsid w:val="00E4228A"/>
    <w:rsid w:val="00E602C1"/>
    <w:rsid w:val="00E60852"/>
    <w:rsid w:val="00E63124"/>
    <w:rsid w:val="00E64BDD"/>
    <w:rsid w:val="00E7071D"/>
    <w:rsid w:val="00E7358C"/>
    <w:rsid w:val="00E7500C"/>
    <w:rsid w:val="00E765EF"/>
    <w:rsid w:val="00E8445F"/>
    <w:rsid w:val="00E86214"/>
    <w:rsid w:val="00EA26D0"/>
    <w:rsid w:val="00EB061E"/>
    <w:rsid w:val="00EB3AE4"/>
    <w:rsid w:val="00EB4D14"/>
    <w:rsid w:val="00EC0538"/>
    <w:rsid w:val="00EC4080"/>
    <w:rsid w:val="00EC638C"/>
    <w:rsid w:val="00ED4C69"/>
    <w:rsid w:val="00ED5A55"/>
    <w:rsid w:val="00EF05BA"/>
    <w:rsid w:val="00EF2307"/>
    <w:rsid w:val="00EF6A45"/>
    <w:rsid w:val="00F00509"/>
    <w:rsid w:val="00F01B7F"/>
    <w:rsid w:val="00F031A6"/>
    <w:rsid w:val="00F07D81"/>
    <w:rsid w:val="00F14640"/>
    <w:rsid w:val="00F31F3D"/>
    <w:rsid w:val="00F351D9"/>
    <w:rsid w:val="00F3734A"/>
    <w:rsid w:val="00F4347E"/>
    <w:rsid w:val="00F5306D"/>
    <w:rsid w:val="00F559F5"/>
    <w:rsid w:val="00F60312"/>
    <w:rsid w:val="00F61994"/>
    <w:rsid w:val="00F640B6"/>
    <w:rsid w:val="00F761DA"/>
    <w:rsid w:val="00F83140"/>
    <w:rsid w:val="00F94A91"/>
    <w:rsid w:val="00F97C58"/>
    <w:rsid w:val="00FB34B3"/>
    <w:rsid w:val="00FB69D4"/>
    <w:rsid w:val="00FC419F"/>
    <w:rsid w:val="00FD0600"/>
    <w:rsid w:val="00FD4C4A"/>
    <w:rsid w:val="00FD6D86"/>
    <w:rsid w:val="00FF5864"/>
    <w:rsid w:val="00FF6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9E262F2-B0C9-4070-9375-60E2850A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AF"/>
    <w:pPr>
      <w:spacing w:after="200" w:line="276" w:lineRule="auto"/>
    </w:pPr>
    <w:rPr>
      <w:rFonts w:ascii="Calibri" w:hAnsi="Calibri"/>
      <w:sz w:val="22"/>
      <w:szCs w:val="22"/>
      <w:lang w:eastAsia="en-US"/>
    </w:rPr>
  </w:style>
  <w:style w:type="paragraph" w:styleId="Heading3">
    <w:name w:val="heading 3"/>
    <w:basedOn w:val="Normal"/>
    <w:link w:val="Heading3Char"/>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262AF"/>
    <w:rPr>
      <w:rFonts w:eastAsia="Times New Roman" w:cs="Times New Roman"/>
      <w:b/>
      <w:bCs/>
      <w:sz w:val="27"/>
      <w:szCs w:val="27"/>
      <w:lang w:val="lv-LV" w:eastAsia="lv-LV" w:bidi="ar-SA"/>
    </w:rPr>
  </w:style>
  <w:style w:type="paragraph" w:styleId="BalloonText">
    <w:name w:val="Balloon Text"/>
    <w:basedOn w:val="Normal"/>
    <w:link w:val="BalloonTextChar"/>
    <w:uiPriority w:val="99"/>
    <w:semiHidden/>
    <w:rsid w:val="00D96F80"/>
    <w:rPr>
      <w:rFonts w:ascii="Tahoma" w:hAnsi="Tahoma" w:cs="Tahoma"/>
      <w:sz w:val="16"/>
      <w:szCs w:val="16"/>
    </w:rPr>
  </w:style>
  <w:style w:type="character" w:customStyle="1" w:styleId="BalloonTextChar">
    <w:name w:val="Balloon Text Char"/>
    <w:link w:val="BalloonText"/>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Normal"/>
    <w:uiPriority w:val="99"/>
    <w:rsid w:val="00832FD4"/>
    <w:pPr>
      <w:numPr>
        <w:numId w:val="4"/>
      </w:numPr>
      <w:jc w:val="both"/>
    </w:pPr>
    <w:rPr>
      <w:sz w:val="28"/>
      <w:szCs w:val="28"/>
    </w:rPr>
  </w:style>
  <w:style w:type="paragraph" w:customStyle="1" w:styleId="naisf">
    <w:name w:val="naisf"/>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Normal"/>
    <w:uiPriority w:val="99"/>
    <w:rsid w:val="00304612"/>
    <w:pPr>
      <w:spacing w:before="100" w:beforeAutospacing="1" w:after="0" w:line="360" w:lineRule="auto"/>
    </w:pPr>
    <w:rPr>
      <w:rFonts w:ascii="Verdana" w:hAnsi="Verdana"/>
      <w:sz w:val="18"/>
      <w:szCs w:val="18"/>
      <w:lang w:val="en-US"/>
    </w:rPr>
  </w:style>
  <w:style w:type="paragraph" w:styleId="ListParagraph">
    <w:name w:val="List Paragraph"/>
    <w:basedOn w:val="Normal"/>
    <w:uiPriority w:val="99"/>
    <w:qFormat/>
    <w:rsid w:val="00304612"/>
    <w:pPr>
      <w:spacing w:after="0" w:line="240" w:lineRule="auto"/>
      <w:ind w:left="720"/>
      <w:contextualSpacing/>
    </w:pPr>
    <w:rPr>
      <w:rFonts w:ascii="Times New Roman" w:hAnsi="Times New Roman"/>
      <w:sz w:val="24"/>
      <w:szCs w:val="24"/>
      <w:lang w:eastAsia="lv-LV"/>
    </w:rPr>
  </w:style>
  <w:style w:type="character" w:styleId="CommentReference">
    <w:name w:val="annotation reference"/>
    <w:uiPriority w:val="99"/>
    <w:semiHidden/>
    <w:rsid w:val="00D96F80"/>
    <w:rPr>
      <w:rFonts w:cs="Times New Roman"/>
      <w:sz w:val="16"/>
      <w:szCs w:val="16"/>
    </w:rPr>
  </w:style>
  <w:style w:type="paragraph" w:styleId="CommentText">
    <w:name w:val="annotation text"/>
    <w:basedOn w:val="Normal"/>
    <w:link w:val="CommentTextChar"/>
    <w:uiPriority w:val="99"/>
    <w:semiHidden/>
    <w:rsid w:val="00D96F80"/>
    <w:rPr>
      <w:sz w:val="20"/>
      <w:szCs w:val="20"/>
    </w:rPr>
  </w:style>
  <w:style w:type="character" w:customStyle="1" w:styleId="CommentTextChar">
    <w:name w:val="Comment Text Char"/>
    <w:link w:val="CommentText"/>
    <w:uiPriority w:val="99"/>
    <w:semiHidden/>
    <w:locked/>
    <w:rsid w:val="007B141F"/>
    <w:rPr>
      <w:rFonts w:ascii="Calibri" w:hAnsi="Calibri" w:cs="Times New Roman"/>
      <w:lang w:val="lv-LV" w:eastAsia="en-US" w:bidi="ar-SA"/>
    </w:rPr>
  </w:style>
  <w:style w:type="paragraph" w:styleId="CommentSubject">
    <w:name w:val="annotation subject"/>
    <w:basedOn w:val="CommentText"/>
    <w:next w:val="CommentText"/>
    <w:link w:val="CommentSubjectChar"/>
    <w:uiPriority w:val="99"/>
    <w:semiHidden/>
    <w:rsid w:val="00D96F80"/>
    <w:rPr>
      <w:b/>
      <w:bCs/>
    </w:rPr>
  </w:style>
  <w:style w:type="character" w:customStyle="1" w:styleId="CommentSubjectChar">
    <w:name w:val="Comment Subject Char"/>
    <w:link w:val="CommentSubject"/>
    <w:uiPriority w:val="99"/>
    <w:semiHidden/>
    <w:locked/>
    <w:rsid w:val="00462BAB"/>
    <w:rPr>
      <w:rFonts w:ascii="Calibri" w:hAnsi="Calibri" w:cs="Times New Roman"/>
      <w:b/>
      <w:bCs/>
      <w:sz w:val="20"/>
      <w:szCs w:val="20"/>
      <w:lang w:val="lv-LV" w:eastAsia="en-US" w:bidi="ar-SA"/>
    </w:rPr>
  </w:style>
  <w:style w:type="paragraph" w:styleId="Header">
    <w:name w:val="header"/>
    <w:basedOn w:val="Normal"/>
    <w:link w:val="HeaderChar"/>
    <w:uiPriority w:val="99"/>
    <w:rsid w:val="001615B9"/>
    <w:pPr>
      <w:tabs>
        <w:tab w:val="center" w:pos="4320"/>
        <w:tab w:val="right" w:pos="8640"/>
      </w:tabs>
      <w:spacing w:after="0" w:line="240" w:lineRule="auto"/>
    </w:pPr>
  </w:style>
  <w:style w:type="character" w:customStyle="1" w:styleId="HeaderChar">
    <w:name w:val="Header Char"/>
    <w:link w:val="Header"/>
    <w:uiPriority w:val="99"/>
    <w:locked/>
    <w:rsid w:val="001615B9"/>
    <w:rPr>
      <w:rFonts w:ascii="Calibri" w:hAnsi="Calibri" w:cs="Times New Roman"/>
      <w:sz w:val="22"/>
      <w:szCs w:val="22"/>
      <w:lang w:val="lv-LV"/>
    </w:rPr>
  </w:style>
  <w:style w:type="paragraph" w:styleId="Footer">
    <w:name w:val="footer"/>
    <w:basedOn w:val="Normal"/>
    <w:link w:val="FooterChar"/>
    <w:uiPriority w:val="99"/>
    <w:rsid w:val="001615B9"/>
    <w:pPr>
      <w:tabs>
        <w:tab w:val="center" w:pos="4320"/>
        <w:tab w:val="right" w:pos="8640"/>
      </w:tabs>
      <w:spacing w:after="0" w:line="240" w:lineRule="auto"/>
    </w:pPr>
  </w:style>
  <w:style w:type="character" w:customStyle="1" w:styleId="FooterChar">
    <w:name w:val="Footer Char"/>
    <w:link w:val="Footer"/>
    <w:uiPriority w:val="99"/>
    <w:locked/>
    <w:rsid w:val="001615B9"/>
    <w:rPr>
      <w:rFonts w:ascii="Calibri" w:hAnsi="Calibri" w:cs="Times New Roman"/>
      <w:sz w:val="22"/>
      <w:szCs w:val="22"/>
      <w:lang w:val="lv-LV"/>
    </w:rPr>
  </w:style>
  <w:style w:type="character" w:styleId="Hyperlink">
    <w:name w:val="Hyperlink"/>
    <w:uiPriority w:val="99"/>
    <w:rsid w:val="001615B9"/>
    <w:rPr>
      <w:rFonts w:ascii="Times New Roman" w:hAnsi="Times New Roman" w:cs="Times New Roman"/>
      <w:color w:val="0000FF"/>
      <w:u w:val="single"/>
    </w:rPr>
  </w:style>
  <w:style w:type="paragraph" w:styleId="BodyTextIndent">
    <w:name w:val="Body Text Indent"/>
    <w:basedOn w:val="Normal"/>
    <w:link w:val="BodyTextIndentChar"/>
    <w:uiPriority w:val="99"/>
    <w:rsid w:val="001615B9"/>
    <w:pPr>
      <w:spacing w:after="120" w:line="240" w:lineRule="auto"/>
      <w:ind w:left="283"/>
    </w:pPr>
    <w:rPr>
      <w:rFonts w:ascii="Times New Roman" w:hAnsi="Times New Roman"/>
      <w:sz w:val="24"/>
      <w:szCs w:val="24"/>
      <w:lang w:eastAsia="lv-LV"/>
    </w:rPr>
  </w:style>
  <w:style w:type="character" w:customStyle="1" w:styleId="BodyTextIndentChar">
    <w:name w:val="Body Text Indent Char"/>
    <w:link w:val="BodyTextIndent"/>
    <w:uiPriority w:val="99"/>
    <w:locked/>
    <w:rsid w:val="001615B9"/>
    <w:rPr>
      <w:rFonts w:cs="Times New Roman"/>
      <w:sz w:val="24"/>
      <w:szCs w:val="24"/>
      <w:lang w:val="lv-LV" w:eastAsia="lv-LV"/>
    </w:rPr>
  </w:style>
  <w:style w:type="paragraph" w:styleId="NoSpacing">
    <w:name w:val="No Spacing"/>
    <w:uiPriority w:val="99"/>
    <w:qFormat/>
    <w:rsid w:val="001615B9"/>
    <w:rPr>
      <w:rFonts w:ascii="Calibri" w:hAnsi="Calibri"/>
      <w:sz w:val="22"/>
      <w:szCs w:val="22"/>
      <w:lang w:eastAsia="en-US"/>
    </w:rPr>
  </w:style>
  <w:style w:type="paragraph" w:customStyle="1" w:styleId="naislab">
    <w:name w:val="naislab"/>
    <w:basedOn w:val="Normal"/>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link w:val="2V"/>
    <w:uiPriority w:val="99"/>
    <w:locked/>
    <w:rsid w:val="00F83140"/>
    <w:rPr>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 w:type="character" w:styleId="FollowedHyperlink">
    <w:name w:val="FollowedHyperlink"/>
    <w:basedOn w:val="DefaultParagraphFont"/>
    <w:uiPriority w:val="99"/>
    <w:semiHidden/>
    <w:unhideWhenUsed/>
    <w:rsid w:val="00C77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7039">
      <w:bodyDiv w:val="1"/>
      <w:marLeft w:val="0"/>
      <w:marRight w:val="0"/>
      <w:marTop w:val="0"/>
      <w:marBottom w:val="0"/>
      <w:divBdr>
        <w:top w:val="none" w:sz="0" w:space="0" w:color="auto"/>
        <w:left w:val="none" w:sz="0" w:space="0" w:color="auto"/>
        <w:bottom w:val="none" w:sz="0" w:space="0" w:color="auto"/>
        <w:right w:val="none" w:sz="0" w:space="0" w:color="auto"/>
      </w:divBdr>
    </w:div>
    <w:div w:id="1031540172">
      <w:bodyDiv w:val="1"/>
      <w:marLeft w:val="0"/>
      <w:marRight w:val="0"/>
      <w:marTop w:val="0"/>
      <w:marBottom w:val="0"/>
      <w:divBdr>
        <w:top w:val="none" w:sz="0" w:space="0" w:color="auto"/>
        <w:left w:val="none" w:sz="0" w:space="0" w:color="auto"/>
        <w:bottom w:val="none" w:sz="0" w:space="0" w:color="auto"/>
        <w:right w:val="none" w:sz="0" w:space="0" w:color="auto"/>
      </w:divBdr>
    </w:div>
    <w:div w:id="1145395275">
      <w:marLeft w:val="0"/>
      <w:marRight w:val="0"/>
      <w:marTop w:val="0"/>
      <w:marBottom w:val="0"/>
      <w:divBdr>
        <w:top w:val="none" w:sz="0" w:space="0" w:color="auto"/>
        <w:left w:val="none" w:sz="0" w:space="0" w:color="auto"/>
        <w:bottom w:val="none" w:sz="0" w:space="0" w:color="auto"/>
        <w:right w:val="none" w:sz="0" w:space="0" w:color="auto"/>
      </w:divBdr>
    </w:div>
    <w:div w:id="1145395276">
      <w:marLeft w:val="0"/>
      <w:marRight w:val="0"/>
      <w:marTop w:val="0"/>
      <w:marBottom w:val="0"/>
      <w:divBdr>
        <w:top w:val="none" w:sz="0" w:space="0" w:color="auto"/>
        <w:left w:val="none" w:sz="0" w:space="0" w:color="auto"/>
        <w:bottom w:val="none" w:sz="0" w:space="0" w:color="auto"/>
        <w:right w:val="none" w:sz="0" w:space="0" w:color="auto"/>
      </w:divBdr>
    </w:div>
    <w:div w:id="1145395277">
      <w:marLeft w:val="0"/>
      <w:marRight w:val="0"/>
      <w:marTop w:val="0"/>
      <w:marBottom w:val="0"/>
      <w:divBdr>
        <w:top w:val="none" w:sz="0" w:space="0" w:color="auto"/>
        <w:left w:val="none" w:sz="0" w:space="0" w:color="auto"/>
        <w:bottom w:val="none" w:sz="0" w:space="0" w:color="auto"/>
        <w:right w:val="none" w:sz="0" w:space="0" w:color="auto"/>
      </w:divBdr>
    </w:div>
    <w:div w:id="17635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a.gov.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7F75-7051-4828-A930-7AEDFDA3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1817</Words>
  <Characters>12614</Characters>
  <Application>Microsoft Office Word</Application>
  <DocSecurity>0</DocSecurity>
  <Lines>600</Lines>
  <Paragraphs>232</Paragraphs>
  <ScaleCrop>false</ScaleCrop>
  <HeadingPairs>
    <vt:vector size="2" baseType="variant">
      <vt:variant>
        <vt:lpstr>Title</vt:lpstr>
      </vt:variant>
      <vt:variant>
        <vt:i4>1</vt:i4>
      </vt:variant>
    </vt:vector>
  </HeadingPairs>
  <TitlesOfParts>
    <vt:vector size="1" baseType="lpstr">
      <vt:lpstr>I</vt:lpstr>
    </vt:vector>
  </TitlesOfParts>
  <Company>IUMEPLS</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Baiba E</dc:creator>
  <cp:lastModifiedBy>Baiba Eglīte</cp:lastModifiedBy>
  <cp:revision>20</cp:revision>
  <cp:lastPrinted>2014-05-12T11:18:00Z</cp:lastPrinted>
  <dcterms:created xsi:type="dcterms:W3CDTF">2015-04-08T12:59:00Z</dcterms:created>
  <dcterms:modified xsi:type="dcterms:W3CDTF">2015-04-09T10:54:00Z</dcterms:modified>
</cp:coreProperties>
</file>