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1C" w:rsidRPr="004B1F82" w:rsidRDefault="00D9641C" w:rsidP="00E101BB">
      <w:pPr>
        <w:pStyle w:val="naisc"/>
        <w:spacing w:before="0" w:after="0"/>
        <w:rPr>
          <w:b/>
          <w:sz w:val="28"/>
          <w:szCs w:val="28"/>
        </w:rPr>
      </w:pPr>
      <w:bookmarkStart w:id="0" w:name="OLE_LINK1"/>
      <w:bookmarkStart w:id="1" w:name="OLE_LINK2"/>
      <w:r w:rsidRPr="004B1F82">
        <w:rPr>
          <w:b/>
          <w:bCs/>
          <w:sz w:val="28"/>
          <w:szCs w:val="28"/>
        </w:rPr>
        <w:t xml:space="preserve">Likumprojekta </w:t>
      </w:r>
      <w:r>
        <w:rPr>
          <w:b/>
          <w:sz w:val="28"/>
          <w:szCs w:val="28"/>
        </w:rPr>
        <w:t>,,Grozījums</w:t>
      </w:r>
      <w:r w:rsidRPr="004B1F82">
        <w:rPr>
          <w:b/>
          <w:sz w:val="28"/>
          <w:szCs w:val="28"/>
        </w:rPr>
        <w:t xml:space="preserve"> likumā ,,Par Krimināllikuma spēkā stāšanās un piemērošanas kārtību””</w:t>
      </w:r>
    </w:p>
    <w:p w:rsidR="00D9641C" w:rsidRPr="004B1F82" w:rsidRDefault="00D9641C" w:rsidP="00E101BB">
      <w:pPr>
        <w:pStyle w:val="naisc"/>
        <w:spacing w:before="0" w:after="0"/>
        <w:rPr>
          <w:b/>
          <w:sz w:val="28"/>
          <w:szCs w:val="28"/>
        </w:rPr>
      </w:pPr>
      <w:bookmarkStart w:id="2" w:name="OLE_LINK3"/>
      <w:bookmarkStart w:id="3" w:name="OLE_LINK4"/>
      <w:r w:rsidRPr="004B1F82">
        <w:rPr>
          <w:b/>
          <w:sz w:val="28"/>
          <w:szCs w:val="28"/>
        </w:rPr>
        <w:t xml:space="preserve">sākotnējās ietekmes novērtējuma </w:t>
      </w:r>
      <w:smartTag w:uri="schemas-tilde-lv/tildestengine" w:element="veidnes">
        <w:smartTagPr>
          <w:attr w:name="id" w:val="-1"/>
          <w:attr w:name="baseform" w:val="ziņojums"/>
          <w:attr w:name="text" w:val="ziņojums"/>
        </w:smartTagPr>
        <w:r w:rsidRPr="004B1F82">
          <w:rPr>
            <w:b/>
            <w:sz w:val="28"/>
            <w:szCs w:val="28"/>
          </w:rPr>
          <w:t>ziņojums</w:t>
        </w:r>
      </w:smartTag>
      <w:bookmarkEnd w:id="2"/>
      <w:bookmarkEnd w:id="3"/>
      <w:r w:rsidRPr="004B1F82">
        <w:rPr>
          <w:b/>
          <w:sz w:val="28"/>
          <w:szCs w:val="28"/>
        </w:rPr>
        <w:t xml:space="preserve"> (anotācija)</w:t>
      </w:r>
      <w:bookmarkEnd w:id="0"/>
      <w:bookmarkEnd w:id="1"/>
    </w:p>
    <w:p w:rsidR="00D9641C" w:rsidRPr="003F6FDC" w:rsidRDefault="00D9641C" w:rsidP="00E101BB">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D9641C" w:rsidRPr="00F86C26" w:rsidTr="001B3285">
        <w:trPr>
          <w:trHeight w:val="405"/>
        </w:trPr>
        <w:tc>
          <w:tcPr>
            <w:tcW w:w="0" w:type="auto"/>
            <w:gridSpan w:val="3"/>
            <w:tcBorders>
              <w:top w:val="outset" w:sz="6" w:space="0" w:color="414142"/>
              <w:bottom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I. Tiesību akta projekta izstrādes nepieciešamība</w:t>
            </w:r>
          </w:p>
        </w:tc>
      </w:tr>
      <w:tr w:rsidR="00D9641C" w:rsidRPr="00F86C26" w:rsidTr="00C17CFA">
        <w:trPr>
          <w:trHeight w:val="405"/>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Pamatojums</w:t>
            </w:r>
          </w:p>
        </w:tc>
        <w:tc>
          <w:tcPr>
            <w:tcW w:w="3586" w:type="pct"/>
            <w:tcBorders>
              <w:top w:val="outset" w:sz="6" w:space="0" w:color="414142"/>
              <w:left w:val="outset" w:sz="6" w:space="0" w:color="414142"/>
              <w:bottom w:val="outset" w:sz="6" w:space="0" w:color="414142"/>
            </w:tcBorders>
            <w:shd w:val="clear" w:color="auto" w:fill="FFFFFF"/>
          </w:tcPr>
          <w:p w:rsidR="00D9641C" w:rsidRDefault="00D9641C" w:rsidP="001C0354">
            <w:pPr>
              <w:pStyle w:val="NoSpacing"/>
              <w:jc w:val="both"/>
              <w:rPr>
                <w:sz w:val="28"/>
                <w:szCs w:val="28"/>
              </w:rPr>
            </w:pPr>
            <w:r w:rsidRPr="00D12F34">
              <w:rPr>
                <w:sz w:val="28"/>
                <w:szCs w:val="28"/>
              </w:rPr>
              <w:t>Grozījumi likumā „Par Krimināllikuma spēkā stāšanās un piemērošanas kārtību” (turpmāk – likumprojekts) izstrādāti saskaņā ar</w:t>
            </w:r>
            <w:r>
              <w:rPr>
                <w:sz w:val="28"/>
                <w:szCs w:val="28"/>
              </w:rPr>
              <w:t>:</w:t>
            </w:r>
            <w:r w:rsidRPr="00D12F34">
              <w:rPr>
                <w:sz w:val="28"/>
                <w:szCs w:val="28"/>
              </w:rPr>
              <w:t xml:space="preserve"> </w:t>
            </w:r>
          </w:p>
          <w:p w:rsidR="00D9641C" w:rsidRDefault="00D9641C" w:rsidP="00C45497">
            <w:pPr>
              <w:pStyle w:val="NoSpacing"/>
              <w:numPr>
                <w:ilvl w:val="0"/>
                <w:numId w:val="34"/>
              </w:numPr>
              <w:jc w:val="both"/>
              <w:rPr>
                <w:sz w:val="28"/>
                <w:szCs w:val="28"/>
              </w:rPr>
            </w:pPr>
            <w:r w:rsidRPr="00D12F34">
              <w:rPr>
                <w:sz w:val="28"/>
                <w:szCs w:val="28"/>
              </w:rPr>
              <w:t>Latvijas Republikas Augstākās Padomes 1993.</w:t>
            </w:r>
            <w:r>
              <w:rPr>
                <w:sz w:val="28"/>
                <w:szCs w:val="28"/>
              </w:rPr>
              <w:t xml:space="preserve"> </w:t>
            </w:r>
            <w:r w:rsidRPr="00D12F34">
              <w:rPr>
                <w:sz w:val="28"/>
                <w:szCs w:val="28"/>
              </w:rPr>
              <w:t>gada 11.</w:t>
            </w:r>
            <w:r>
              <w:rPr>
                <w:sz w:val="28"/>
                <w:szCs w:val="28"/>
              </w:rPr>
              <w:t xml:space="preserve"> </w:t>
            </w:r>
            <w:r w:rsidRPr="00D12F34">
              <w:rPr>
                <w:sz w:val="28"/>
                <w:szCs w:val="28"/>
              </w:rPr>
              <w:t xml:space="preserve">maija lēmumu </w:t>
            </w:r>
            <w:r>
              <w:rPr>
                <w:sz w:val="28"/>
                <w:szCs w:val="28"/>
              </w:rPr>
              <w:t xml:space="preserve">Par pievienošanos 1961. gada 30. marta Vienotajai konvencijai par narkotiskajām vielām un grozījumiem, kas izdarīti saskaņā ar 1972. gada Protokolu par grozījumiem 1961. gada 30. marta Vienotajā konvencijā par narkotiskajām vielām, </w:t>
            </w:r>
          </w:p>
          <w:p w:rsidR="00D9641C" w:rsidRDefault="00D9641C" w:rsidP="00C45497">
            <w:pPr>
              <w:pStyle w:val="NoSpacing"/>
              <w:numPr>
                <w:ilvl w:val="0"/>
                <w:numId w:val="34"/>
              </w:numPr>
              <w:jc w:val="both"/>
              <w:rPr>
                <w:sz w:val="28"/>
                <w:szCs w:val="28"/>
              </w:rPr>
            </w:pPr>
            <w:r w:rsidRPr="00D12F34">
              <w:rPr>
                <w:sz w:val="28"/>
                <w:szCs w:val="28"/>
              </w:rPr>
              <w:t>Latvijas Republikas Augstākās Padomes 1993.</w:t>
            </w:r>
            <w:r>
              <w:rPr>
                <w:sz w:val="28"/>
                <w:szCs w:val="28"/>
              </w:rPr>
              <w:t xml:space="preserve"> </w:t>
            </w:r>
            <w:r w:rsidRPr="00D12F34">
              <w:rPr>
                <w:sz w:val="28"/>
                <w:szCs w:val="28"/>
              </w:rPr>
              <w:t>gada 11.</w:t>
            </w:r>
            <w:r>
              <w:rPr>
                <w:sz w:val="28"/>
                <w:szCs w:val="28"/>
              </w:rPr>
              <w:t xml:space="preserve"> </w:t>
            </w:r>
            <w:r w:rsidRPr="00D12F34">
              <w:rPr>
                <w:sz w:val="28"/>
                <w:szCs w:val="28"/>
              </w:rPr>
              <w:t xml:space="preserve">maija lēmumu Par pievienošanos 1971. gada 21. februāra Konvencijai par psihotropām </w:t>
            </w:r>
            <w:r>
              <w:rPr>
                <w:sz w:val="28"/>
                <w:szCs w:val="28"/>
              </w:rPr>
              <w:t>vielām,</w:t>
            </w:r>
          </w:p>
          <w:p w:rsidR="00D9641C" w:rsidRDefault="00D9641C" w:rsidP="00C45497">
            <w:pPr>
              <w:pStyle w:val="NoSpacing"/>
              <w:numPr>
                <w:ilvl w:val="0"/>
                <w:numId w:val="34"/>
              </w:numPr>
              <w:jc w:val="both"/>
              <w:rPr>
                <w:sz w:val="28"/>
                <w:szCs w:val="28"/>
              </w:rPr>
            </w:pPr>
            <w:r>
              <w:rPr>
                <w:sz w:val="28"/>
                <w:szCs w:val="28"/>
              </w:rPr>
              <w:t xml:space="preserve">Latvijas Republikas Augtākās Padomes </w:t>
            </w:r>
            <w:r w:rsidRPr="00D12F34">
              <w:rPr>
                <w:sz w:val="28"/>
                <w:szCs w:val="28"/>
              </w:rPr>
              <w:t>1993.</w:t>
            </w:r>
            <w:r>
              <w:rPr>
                <w:sz w:val="28"/>
                <w:szCs w:val="28"/>
              </w:rPr>
              <w:t xml:space="preserve"> </w:t>
            </w:r>
            <w:r w:rsidRPr="00D12F34">
              <w:rPr>
                <w:sz w:val="28"/>
                <w:szCs w:val="28"/>
              </w:rPr>
              <w:t>gada 11.</w:t>
            </w:r>
            <w:r>
              <w:rPr>
                <w:sz w:val="28"/>
                <w:szCs w:val="28"/>
              </w:rPr>
              <w:t xml:space="preserve"> </w:t>
            </w:r>
            <w:r w:rsidRPr="00D12F34">
              <w:rPr>
                <w:sz w:val="28"/>
                <w:szCs w:val="28"/>
              </w:rPr>
              <w:t xml:space="preserve">maija lēmumu </w:t>
            </w:r>
            <w:r>
              <w:rPr>
                <w:sz w:val="28"/>
                <w:szCs w:val="28"/>
              </w:rPr>
              <w:t>Par pievienošanos 1988. gada 19. decembra Konvencijai pret narkotiku un psihotropo vielu nelegālu apgrozījumu,</w:t>
            </w:r>
          </w:p>
          <w:p w:rsidR="00D9641C" w:rsidRDefault="00D9641C" w:rsidP="00C45497">
            <w:pPr>
              <w:pStyle w:val="NoSpacing"/>
              <w:numPr>
                <w:ilvl w:val="0"/>
                <w:numId w:val="34"/>
              </w:numPr>
              <w:jc w:val="both"/>
              <w:rPr>
                <w:sz w:val="28"/>
                <w:szCs w:val="28"/>
              </w:rPr>
            </w:pPr>
            <w:r w:rsidRPr="00754FA7">
              <w:rPr>
                <w:sz w:val="28"/>
                <w:szCs w:val="28"/>
              </w:rPr>
              <w:t>Eiropas Sav</w:t>
            </w:r>
            <w:r>
              <w:rPr>
                <w:sz w:val="28"/>
                <w:szCs w:val="28"/>
              </w:rPr>
              <w:t>ienības Padomes 2014. gada 25. s</w:t>
            </w:r>
            <w:r w:rsidRPr="00754FA7">
              <w:rPr>
                <w:sz w:val="28"/>
                <w:szCs w:val="28"/>
              </w:rPr>
              <w:t xml:space="preserve">eptembra īstenošanas lēmumu Nr.2014/688/ES par kontroles pasākumu piemērošanu šādām vielām: 4-jod-2,5-dimetoksi-N-(2-metoksibenzil) fenetilamīns (25I-NBOMe), </w:t>
            </w:r>
          </w:p>
          <w:p w:rsidR="00D9641C" w:rsidRDefault="00D9641C" w:rsidP="002A0D64">
            <w:pPr>
              <w:pStyle w:val="NoSpacing"/>
              <w:ind w:left="435"/>
              <w:jc w:val="both"/>
              <w:rPr>
                <w:sz w:val="28"/>
                <w:szCs w:val="28"/>
              </w:rPr>
            </w:pPr>
            <w:r w:rsidRPr="00754FA7">
              <w:rPr>
                <w:sz w:val="28"/>
                <w:szCs w:val="28"/>
              </w:rPr>
              <w:t>3,4-dihlor-N-[[1-(dimetilamino)cikloheksil]</w:t>
            </w:r>
            <w:r>
              <w:rPr>
                <w:sz w:val="28"/>
                <w:szCs w:val="28"/>
              </w:rPr>
              <w:t xml:space="preserve"> </w:t>
            </w:r>
            <w:r w:rsidRPr="00754FA7">
              <w:rPr>
                <w:sz w:val="28"/>
                <w:szCs w:val="28"/>
              </w:rPr>
              <w:t xml:space="preserve">metil]benzamīds (AH-7921), </w:t>
            </w:r>
          </w:p>
          <w:p w:rsidR="00D9641C" w:rsidRDefault="00D9641C" w:rsidP="002A0D64">
            <w:pPr>
              <w:pStyle w:val="NoSpacing"/>
              <w:ind w:left="435"/>
              <w:jc w:val="both"/>
              <w:rPr>
                <w:sz w:val="28"/>
                <w:szCs w:val="28"/>
              </w:rPr>
            </w:pPr>
            <w:r w:rsidRPr="00754FA7">
              <w:rPr>
                <w:sz w:val="28"/>
                <w:szCs w:val="28"/>
              </w:rPr>
              <w:t xml:space="preserve">3,4-metilēndioksipirovalerons (MDPV) un </w:t>
            </w:r>
          </w:p>
          <w:p w:rsidR="00D9641C" w:rsidRPr="00D12F34" w:rsidRDefault="00D9641C" w:rsidP="002A0D64">
            <w:pPr>
              <w:pStyle w:val="NoSpacing"/>
              <w:ind w:left="435"/>
              <w:jc w:val="both"/>
              <w:rPr>
                <w:sz w:val="28"/>
                <w:szCs w:val="28"/>
              </w:rPr>
            </w:pPr>
            <w:r w:rsidRPr="00754FA7">
              <w:rPr>
                <w:sz w:val="28"/>
                <w:szCs w:val="28"/>
              </w:rPr>
              <w:t>2-(3-metoksifenil)-2-(etilamino)cikloheksanons (metoksetamīns).</w:t>
            </w:r>
          </w:p>
        </w:tc>
      </w:tr>
      <w:tr w:rsidR="00D9641C" w:rsidRPr="00F86C26" w:rsidTr="00C17CF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tcBorders>
            <w:shd w:val="clear" w:color="auto" w:fill="FFFFFF"/>
          </w:tcPr>
          <w:p w:rsidR="00D9641C" w:rsidRPr="001D5A54" w:rsidRDefault="00D9641C" w:rsidP="00031318">
            <w:pPr>
              <w:pStyle w:val="NoSpacing"/>
              <w:jc w:val="both"/>
              <w:rPr>
                <w:sz w:val="28"/>
                <w:szCs w:val="28"/>
              </w:rPr>
            </w:pPr>
            <w:r w:rsidRPr="001D5A54">
              <w:rPr>
                <w:sz w:val="28"/>
                <w:szCs w:val="28"/>
              </w:rPr>
              <w:t>Latvijā kontrolējamo narkotisko vielu un psihotropo vielu sarakstus nosaka Ministru kabineta 2005.</w:t>
            </w:r>
            <w:r>
              <w:rPr>
                <w:sz w:val="28"/>
                <w:szCs w:val="28"/>
              </w:rPr>
              <w:t xml:space="preserve"> </w:t>
            </w:r>
            <w:r w:rsidRPr="001D5A54">
              <w:rPr>
                <w:sz w:val="28"/>
                <w:szCs w:val="28"/>
              </w:rPr>
              <w:t>gada 8.</w:t>
            </w:r>
            <w:r>
              <w:rPr>
                <w:sz w:val="28"/>
                <w:szCs w:val="28"/>
              </w:rPr>
              <w:t xml:space="preserve"> </w:t>
            </w:r>
            <w:r w:rsidRPr="001D5A54">
              <w:rPr>
                <w:sz w:val="28"/>
                <w:szCs w:val="28"/>
              </w:rPr>
              <w:t>novembra noteikumi Nr.</w:t>
            </w:r>
            <w:r>
              <w:rPr>
                <w:sz w:val="28"/>
                <w:szCs w:val="28"/>
              </w:rPr>
              <w:t xml:space="preserve"> </w:t>
            </w:r>
            <w:r w:rsidRPr="001D5A54">
              <w:rPr>
                <w:sz w:val="28"/>
                <w:szCs w:val="28"/>
              </w:rPr>
              <w:t>847 „Noteikumi par Latvijā kontrolējamajām narkotiskajām vielām, psihotropajām vielām un prekursoriem” (turpmāk – MK noteikumi Nr.847), kas izstrādāti saskaņā ar Apvienoto Nāciju Organizācijas (turpmāk – ANO) 1961.</w:t>
            </w:r>
            <w:r>
              <w:rPr>
                <w:sz w:val="28"/>
                <w:szCs w:val="28"/>
              </w:rPr>
              <w:t xml:space="preserve"> </w:t>
            </w:r>
            <w:r w:rsidRPr="001D5A54">
              <w:rPr>
                <w:sz w:val="28"/>
                <w:szCs w:val="28"/>
              </w:rPr>
              <w:t xml:space="preserve">gada </w:t>
            </w:r>
            <w:bookmarkStart w:id="4" w:name="bkm54"/>
            <w:r w:rsidRPr="001D5A54">
              <w:rPr>
                <w:sz w:val="28"/>
                <w:szCs w:val="28"/>
              </w:rPr>
              <w:t>30.</w:t>
            </w:r>
            <w:r>
              <w:rPr>
                <w:sz w:val="28"/>
                <w:szCs w:val="28"/>
              </w:rPr>
              <w:t xml:space="preserve"> </w:t>
            </w:r>
            <w:r w:rsidRPr="001D5A54">
              <w:rPr>
                <w:sz w:val="28"/>
                <w:szCs w:val="28"/>
              </w:rPr>
              <w:t xml:space="preserve">marta </w:t>
            </w:r>
            <w:bookmarkEnd w:id="4"/>
            <w:r w:rsidRPr="001D5A54">
              <w:rPr>
                <w:sz w:val="28"/>
                <w:szCs w:val="28"/>
              </w:rPr>
              <w:t>Vienoto Konvenciju par narkotiskajām vielām (grozīta ar 1972.</w:t>
            </w:r>
            <w:r>
              <w:rPr>
                <w:sz w:val="28"/>
                <w:szCs w:val="28"/>
              </w:rPr>
              <w:t xml:space="preserve"> </w:t>
            </w:r>
            <w:r w:rsidRPr="001D5A54">
              <w:rPr>
                <w:sz w:val="28"/>
                <w:szCs w:val="28"/>
              </w:rPr>
              <w:t>gada Protokolu, ar ko groza 1961.</w:t>
            </w:r>
            <w:r>
              <w:rPr>
                <w:sz w:val="28"/>
                <w:szCs w:val="28"/>
              </w:rPr>
              <w:t xml:space="preserve"> </w:t>
            </w:r>
            <w:r w:rsidRPr="001D5A54">
              <w:rPr>
                <w:sz w:val="28"/>
                <w:szCs w:val="28"/>
              </w:rPr>
              <w:t>gada 30.</w:t>
            </w:r>
            <w:r>
              <w:rPr>
                <w:sz w:val="28"/>
                <w:szCs w:val="28"/>
              </w:rPr>
              <w:t xml:space="preserve"> </w:t>
            </w:r>
            <w:r w:rsidRPr="001D5A54">
              <w:rPr>
                <w:sz w:val="28"/>
                <w:szCs w:val="28"/>
              </w:rPr>
              <w:t>marta Vienoto Konvenciju par narkotiskajām vielām), 1971.</w:t>
            </w:r>
            <w:r>
              <w:rPr>
                <w:sz w:val="28"/>
                <w:szCs w:val="28"/>
              </w:rPr>
              <w:t xml:space="preserve"> </w:t>
            </w:r>
            <w:r w:rsidRPr="001D5A54">
              <w:rPr>
                <w:sz w:val="28"/>
                <w:szCs w:val="28"/>
              </w:rPr>
              <w:lastRenderedPageBreak/>
              <w:t>gada 21.</w:t>
            </w:r>
            <w:r>
              <w:rPr>
                <w:sz w:val="28"/>
                <w:szCs w:val="28"/>
              </w:rPr>
              <w:t xml:space="preserve"> </w:t>
            </w:r>
            <w:r w:rsidRPr="001D5A54">
              <w:rPr>
                <w:sz w:val="28"/>
                <w:szCs w:val="28"/>
              </w:rPr>
              <w:t>februāra Konvenciju par psihotropām vielām un 1988.</w:t>
            </w:r>
            <w:r>
              <w:rPr>
                <w:sz w:val="28"/>
                <w:szCs w:val="28"/>
              </w:rPr>
              <w:t xml:space="preserve"> gada 19</w:t>
            </w:r>
            <w:r w:rsidRPr="001D5A54">
              <w:rPr>
                <w:sz w:val="28"/>
                <w:szCs w:val="28"/>
              </w:rPr>
              <w:t>.</w:t>
            </w:r>
            <w:r>
              <w:rPr>
                <w:sz w:val="28"/>
                <w:szCs w:val="28"/>
              </w:rPr>
              <w:t xml:space="preserve"> </w:t>
            </w:r>
            <w:r w:rsidRPr="001D5A54">
              <w:rPr>
                <w:sz w:val="28"/>
                <w:szCs w:val="28"/>
              </w:rPr>
              <w:t>decembra Konvenciju pret narkotisko un psihotropo vielu nelegālu apriti. MK noteikumos Nr.</w:t>
            </w:r>
            <w:r>
              <w:rPr>
                <w:sz w:val="28"/>
                <w:szCs w:val="28"/>
              </w:rPr>
              <w:t xml:space="preserve"> </w:t>
            </w:r>
            <w:r w:rsidRPr="001D5A54">
              <w:rPr>
                <w:sz w:val="28"/>
                <w:szCs w:val="28"/>
              </w:rPr>
              <w:t xml:space="preserve">847 noteiktie kontroles pasākumi attiecas ne tikai uz sarakstos iekļautajām narkotiskajām un psihotropajām vielām, bet arī uz to atvasinājumiem, izomēriem, esteriem, ēteriem un sāļiem, kā arī zālēm, kas satur minētajos sarakstos iekļautās narkotiskās un psihotropās vielas. </w:t>
            </w:r>
          </w:p>
          <w:p w:rsidR="00D9641C" w:rsidRPr="001D5A54" w:rsidRDefault="00D9641C" w:rsidP="00031318">
            <w:pPr>
              <w:pStyle w:val="NoSpacing"/>
              <w:jc w:val="both"/>
              <w:rPr>
                <w:sz w:val="28"/>
                <w:szCs w:val="28"/>
              </w:rPr>
            </w:pPr>
            <w:r w:rsidRPr="001D5A54">
              <w:rPr>
                <w:sz w:val="28"/>
                <w:szCs w:val="28"/>
              </w:rPr>
              <w:t>Likuma „Par Krimināllikuma spēkā stāšanās un piemērošanas kārtību” 2.</w:t>
            </w:r>
            <w:r>
              <w:rPr>
                <w:sz w:val="28"/>
                <w:szCs w:val="28"/>
              </w:rPr>
              <w:t xml:space="preserve"> </w:t>
            </w:r>
            <w:r w:rsidRPr="001D5A54">
              <w:rPr>
                <w:sz w:val="28"/>
                <w:szCs w:val="28"/>
              </w:rPr>
              <w:t>pielikumā (turpmāk – likuma 2.</w:t>
            </w:r>
            <w:r>
              <w:rPr>
                <w:sz w:val="28"/>
                <w:szCs w:val="28"/>
              </w:rPr>
              <w:t xml:space="preserve"> </w:t>
            </w:r>
            <w:r w:rsidRPr="001D5A54">
              <w:rPr>
                <w:sz w:val="28"/>
                <w:szCs w:val="28"/>
              </w:rPr>
              <w:t xml:space="preserve">pielikums) noteikti kontrolējamo narkotisko vielu un psihotropo vielu apmēri, līdz kuriem vielu daudzumi atzīstami par nelieliem, un apmēri, sākot ar kuriem to daudzumi atzīstami par lieliem. </w:t>
            </w:r>
            <w:r>
              <w:rPr>
                <w:sz w:val="28"/>
                <w:szCs w:val="28"/>
              </w:rPr>
              <w:t>Tāpat kā MK noteikumos Nr. 847, arī likuma 2. pielikumā</w:t>
            </w:r>
            <w:r w:rsidRPr="007B03DE">
              <w:rPr>
                <w:sz w:val="28"/>
                <w:szCs w:val="28"/>
              </w:rPr>
              <w:t xml:space="preserve"> noteiktie kontroles pasākumi attiecas ne tikai uz sarakstos iekļautajām narkotiskajām un psihotropajām vielām, bet arī uz to atvasinājumiem, izomēriem, esteriem, ēteriem un sāļiem</w:t>
            </w:r>
            <w:r>
              <w:rPr>
                <w:sz w:val="28"/>
                <w:szCs w:val="28"/>
              </w:rPr>
              <w:t xml:space="preserve"> (arī atvasinājumu, izomēru, esteru, ēteru sāļiem)</w:t>
            </w:r>
            <w:r w:rsidRPr="007B03DE">
              <w:rPr>
                <w:sz w:val="28"/>
                <w:szCs w:val="28"/>
              </w:rPr>
              <w:t xml:space="preserve">, kā arī zālēm, kas satur minētajos sarakstos iekļautās narkotiskās un psihotropās vielas. Lai paplašinātu to vielu klāstu, kas atzīstamas par narkotiskajām un psihotropajām vielām, nepieciešams noteikt, ka kontroles pasākumi attiecas arī uz sarakstos iekļauto narkotisko un psihotropo vielu analogiem (arī uz šo vielu analogu sāļiem). </w:t>
            </w:r>
          </w:p>
          <w:p w:rsidR="00D9641C" w:rsidRDefault="00D9641C" w:rsidP="00031318">
            <w:pPr>
              <w:pStyle w:val="NoSpacing"/>
              <w:jc w:val="both"/>
              <w:rPr>
                <w:sz w:val="28"/>
                <w:szCs w:val="28"/>
              </w:rPr>
            </w:pPr>
          </w:p>
          <w:p w:rsidR="00D9641C" w:rsidRDefault="00D9641C" w:rsidP="00031318">
            <w:pPr>
              <w:pStyle w:val="NoSpacing"/>
              <w:jc w:val="both"/>
              <w:rPr>
                <w:sz w:val="28"/>
                <w:szCs w:val="28"/>
              </w:rPr>
            </w:pPr>
            <w:r w:rsidRPr="001D5A54">
              <w:rPr>
                <w:sz w:val="28"/>
                <w:szCs w:val="28"/>
              </w:rPr>
              <w:t>1988.</w:t>
            </w:r>
            <w:r>
              <w:rPr>
                <w:sz w:val="28"/>
                <w:szCs w:val="28"/>
              </w:rPr>
              <w:t xml:space="preserve"> gada 19</w:t>
            </w:r>
            <w:r w:rsidRPr="001D5A54">
              <w:rPr>
                <w:sz w:val="28"/>
                <w:szCs w:val="28"/>
              </w:rPr>
              <w:t>.</w:t>
            </w:r>
            <w:r>
              <w:rPr>
                <w:sz w:val="28"/>
                <w:szCs w:val="28"/>
              </w:rPr>
              <w:t xml:space="preserve"> </w:t>
            </w:r>
            <w:r w:rsidRPr="001D5A54">
              <w:rPr>
                <w:sz w:val="28"/>
                <w:szCs w:val="28"/>
              </w:rPr>
              <w:t>decembra Konvencijas pret narkotisko un psihotropo vielu nelegālu apriti 24.</w:t>
            </w:r>
            <w:r>
              <w:rPr>
                <w:sz w:val="28"/>
                <w:szCs w:val="28"/>
              </w:rPr>
              <w:t xml:space="preserve"> </w:t>
            </w:r>
            <w:r w:rsidRPr="001D5A54">
              <w:rPr>
                <w:sz w:val="28"/>
                <w:szCs w:val="28"/>
              </w:rPr>
              <w:t xml:space="preserve">pantā ir noteikts, ka valstīm ir tiesības pieņemt stingrākus pasākumus nekā noteikts šajā Konvencijā, ja tās uzskata šādus pasākumus par vēlamiem vai nepieciešamiem narkotisko un psihotropo vielu nelegālā apgrozījuma novēršanai vai likvidēšanai. Tāpēc kontrolējamo narkotisko vielu un </w:t>
            </w:r>
            <w:r>
              <w:rPr>
                <w:sz w:val="28"/>
                <w:szCs w:val="28"/>
              </w:rPr>
              <w:t>psihotropo vielu saraksti vairāk</w:t>
            </w:r>
            <w:r w:rsidRPr="001D5A54">
              <w:rPr>
                <w:sz w:val="28"/>
                <w:szCs w:val="28"/>
              </w:rPr>
              <w:t>kārt ir papildināti ar apritē esošām, iepriekš sarakstos neiekļautām psihoaktīvām vielām.</w:t>
            </w:r>
            <w:r>
              <w:rPr>
                <w:sz w:val="28"/>
                <w:szCs w:val="28"/>
              </w:rPr>
              <w:t xml:space="preserve"> Kopš </w:t>
            </w:r>
            <w:r w:rsidRPr="001D5A54">
              <w:rPr>
                <w:sz w:val="28"/>
                <w:szCs w:val="28"/>
              </w:rPr>
              <w:t>2013.</w:t>
            </w:r>
            <w:r>
              <w:rPr>
                <w:sz w:val="28"/>
                <w:szCs w:val="28"/>
              </w:rPr>
              <w:t xml:space="preserve"> </w:t>
            </w:r>
            <w:r w:rsidRPr="001D5A54">
              <w:rPr>
                <w:sz w:val="28"/>
                <w:szCs w:val="28"/>
              </w:rPr>
              <w:t>gada 23.</w:t>
            </w:r>
            <w:r>
              <w:rPr>
                <w:sz w:val="28"/>
                <w:szCs w:val="28"/>
              </w:rPr>
              <w:t xml:space="preserve"> februāra</w:t>
            </w:r>
            <w:r w:rsidRPr="001D5A54">
              <w:rPr>
                <w:sz w:val="28"/>
                <w:szCs w:val="28"/>
              </w:rPr>
              <w:t xml:space="preserve"> </w:t>
            </w:r>
            <w:r>
              <w:rPr>
                <w:sz w:val="28"/>
                <w:szCs w:val="28"/>
              </w:rPr>
              <w:t>MK noteikumu</w:t>
            </w:r>
            <w:r w:rsidRPr="001D5A54">
              <w:rPr>
                <w:sz w:val="28"/>
                <w:szCs w:val="28"/>
              </w:rPr>
              <w:t xml:space="preserve"> Nr.</w:t>
            </w:r>
            <w:r>
              <w:rPr>
                <w:sz w:val="28"/>
                <w:szCs w:val="28"/>
              </w:rPr>
              <w:t xml:space="preserve"> </w:t>
            </w:r>
            <w:r w:rsidRPr="001D5A54">
              <w:rPr>
                <w:sz w:val="28"/>
                <w:szCs w:val="28"/>
              </w:rPr>
              <w:t>847 un likuma 2.</w:t>
            </w:r>
            <w:r>
              <w:rPr>
                <w:sz w:val="28"/>
                <w:szCs w:val="28"/>
              </w:rPr>
              <w:t xml:space="preserve"> pielikumā vielas tiek iekļauta</w:t>
            </w:r>
            <w:r w:rsidRPr="001D5A54">
              <w:rPr>
                <w:sz w:val="28"/>
                <w:szCs w:val="28"/>
              </w:rPr>
              <w:t xml:space="preserve">s </w:t>
            </w:r>
            <w:r>
              <w:rPr>
                <w:sz w:val="28"/>
                <w:szCs w:val="28"/>
              </w:rPr>
              <w:t>ne tikai individuāli, bet arī pēc ģenēriskās sistēmas principa, t.i., kontrolei tiek pakļautas vielu ķīmisko grupu pamatformulas</w:t>
            </w:r>
            <w:r w:rsidRPr="001D5A54">
              <w:rPr>
                <w:sz w:val="28"/>
                <w:szCs w:val="28"/>
              </w:rPr>
              <w:t xml:space="preserve"> </w:t>
            </w:r>
            <w:r>
              <w:rPr>
                <w:sz w:val="28"/>
                <w:szCs w:val="28"/>
              </w:rPr>
              <w:t xml:space="preserve">ar </w:t>
            </w:r>
            <w:r w:rsidRPr="001D5A54">
              <w:rPr>
                <w:sz w:val="28"/>
                <w:szCs w:val="28"/>
              </w:rPr>
              <w:t>apraksti</w:t>
            </w:r>
            <w:r>
              <w:rPr>
                <w:sz w:val="28"/>
                <w:szCs w:val="28"/>
              </w:rPr>
              <w:t>em, kas nosaka grupā ietilpstošās vielas</w:t>
            </w:r>
            <w:r w:rsidRPr="001D5A54">
              <w:rPr>
                <w:sz w:val="28"/>
                <w:szCs w:val="28"/>
              </w:rPr>
              <w:t>.</w:t>
            </w:r>
          </w:p>
          <w:p w:rsidR="00D9641C" w:rsidRPr="00A731F1" w:rsidRDefault="00D9641C" w:rsidP="00A731F1">
            <w:pPr>
              <w:pStyle w:val="NoSpacing"/>
              <w:jc w:val="both"/>
              <w:rPr>
                <w:sz w:val="28"/>
                <w:szCs w:val="28"/>
              </w:rPr>
            </w:pPr>
            <w:r>
              <w:rPr>
                <w:sz w:val="28"/>
                <w:szCs w:val="28"/>
              </w:rPr>
              <w:t xml:space="preserve">Savukārt kopš </w:t>
            </w:r>
            <w:r w:rsidRPr="001D5A54">
              <w:rPr>
                <w:sz w:val="28"/>
                <w:szCs w:val="28"/>
              </w:rPr>
              <w:t>2013.</w:t>
            </w:r>
            <w:r>
              <w:rPr>
                <w:sz w:val="28"/>
                <w:szCs w:val="28"/>
              </w:rPr>
              <w:t xml:space="preserve"> </w:t>
            </w:r>
            <w:r w:rsidRPr="001D5A54">
              <w:rPr>
                <w:sz w:val="28"/>
                <w:szCs w:val="28"/>
              </w:rPr>
              <w:t>gada 14.</w:t>
            </w:r>
            <w:r>
              <w:rPr>
                <w:sz w:val="28"/>
                <w:szCs w:val="28"/>
              </w:rPr>
              <w:t xml:space="preserve"> novembra </w:t>
            </w:r>
            <w:r w:rsidRPr="001D5A54">
              <w:rPr>
                <w:sz w:val="28"/>
                <w:szCs w:val="28"/>
              </w:rPr>
              <w:t xml:space="preserve">spēkā </w:t>
            </w:r>
            <w:r>
              <w:rPr>
                <w:sz w:val="28"/>
                <w:szCs w:val="28"/>
              </w:rPr>
              <w:t>ir</w:t>
            </w:r>
            <w:r w:rsidRPr="001D5A54">
              <w:rPr>
                <w:sz w:val="28"/>
                <w:szCs w:val="28"/>
              </w:rPr>
              <w:t xml:space="preserve"> grozījumi likumā „Par narkotisko un psihotropo vielu un </w:t>
            </w:r>
            <w:r w:rsidRPr="001D5A54">
              <w:rPr>
                <w:sz w:val="28"/>
                <w:szCs w:val="28"/>
              </w:rPr>
              <w:lastRenderedPageBreak/>
              <w:t xml:space="preserve">zāļu likumīgās aprites kārtību”, </w:t>
            </w:r>
            <w:r>
              <w:rPr>
                <w:sz w:val="28"/>
                <w:szCs w:val="28"/>
              </w:rPr>
              <w:t xml:space="preserve">kas </w:t>
            </w:r>
            <w:r w:rsidRPr="001D5A54">
              <w:rPr>
                <w:sz w:val="28"/>
                <w:szCs w:val="28"/>
              </w:rPr>
              <w:t xml:space="preserve">paredz, ka ar Slimību profilakses un kontroles centra lēmumu uz laikposmu līdz 12 mēnešiem no lēmuma spēkā stāšanās dienas var aizliegt vai ierobežot tādu jaunu psihoaktīvu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w:t>
            </w:r>
            <w:r>
              <w:rPr>
                <w:sz w:val="28"/>
                <w:szCs w:val="28"/>
              </w:rPr>
              <w:t xml:space="preserve">Ņemot vērā to, ka vielas, </w:t>
            </w:r>
            <w:r w:rsidRPr="001D5A54">
              <w:rPr>
                <w:sz w:val="28"/>
                <w:szCs w:val="28"/>
              </w:rPr>
              <w:t xml:space="preserve">par kurām patlaban </w:t>
            </w:r>
            <w:r>
              <w:rPr>
                <w:sz w:val="28"/>
                <w:szCs w:val="28"/>
              </w:rPr>
              <w:t>pieņemti</w:t>
            </w:r>
            <w:r w:rsidRPr="001D5A54">
              <w:rPr>
                <w:sz w:val="28"/>
                <w:szCs w:val="28"/>
              </w:rPr>
              <w:t xml:space="preserve"> </w:t>
            </w:r>
            <w:r>
              <w:rPr>
                <w:sz w:val="28"/>
                <w:szCs w:val="28"/>
              </w:rPr>
              <w:t xml:space="preserve">Slimību profilakses un </w:t>
            </w:r>
            <w:r w:rsidRPr="00AE5EF3">
              <w:rPr>
                <w:sz w:val="28"/>
                <w:szCs w:val="28"/>
              </w:rPr>
              <w:t>kontroles c</w:t>
            </w:r>
            <w:r w:rsidR="007B0008">
              <w:rPr>
                <w:sz w:val="28"/>
                <w:szCs w:val="28"/>
              </w:rPr>
              <w:t>entra lēmumi par attiecīgo jaunu</w:t>
            </w:r>
            <w:r w:rsidRPr="00AE5EF3">
              <w:rPr>
                <w:sz w:val="28"/>
                <w:szCs w:val="28"/>
              </w:rPr>
              <w:t xml:space="preserve"> psihoaktīvu vielu vai to saturošu izstrādājumu izgatavošanas, iegādāšanās, glabāšanas, pārvadāšanas, pārsūtīšanas vai izplatīšanas aizliegumu, ir bīstamas sabiedrības veselībai un drošībai</w:t>
            </w:r>
            <w:r>
              <w:rPr>
                <w:sz w:val="28"/>
                <w:szCs w:val="28"/>
              </w:rPr>
              <w:t xml:space="preserve">, minētās vielas </w:t>
            </w:r>
            <w:r w:rsidRPr="001D5A54">
              <w:rPr>
                <w:sz w:val="28"/>
                <w:szCs w:val="28"/>
              </w:rPr>
              <w:t>12 mēnešu laikā no lēmumu spēkā stāšanās dienas nepieciešams iekļaut MK noteikumos Nr.</w:t>
            </w:r>
            <w:r>
              <w:rPr>
                <w:sz w:val="28"/>
                <w:szCs w:val="28"/>
              </w:rPr>
              <w:t xml:space="preserve"> </w:t>
            </w:r>
            <w:r w:rsidRPr="001D5A54">
              <w:rPr>
                <w:sz w:val="28"/>
                <w:szCs w:val="28"/>
              </w:rPr>
              <w:t>847 un likuma 2.</w:t>
            </w:r>
            <w:r>
              <w:rPr>
                <w:sz w:val="28"/>
                <w:szCs w:val="28"/>
              </w:rPr>
              <w:t xml:space="preserve"> pielikumā, lai nepieļautu šo vielu atgriešanos apritē.</w:t>
            </w:r>
          </w:p>
          <w:p w:rsidR="00D9641C" w:rsidRDefault="00D9641C" w:rsidP="00AC5345">
            <w:pPr>
              <w:pStyle w:val="NoSpacing"/>
              <w:jc w:val="both"/>
              <w:rPr>
                <w:sz w:val="28"/>
                <w:szCs w:val="28"/>
              </w:rPr>
            </w:pPr>
          </w:p>
          <w:p w:rsidR="00D9641C" w:rsidRDefault="00D9641C" w:rsidP="00AC5345">
            <w:pPr>
              <w:pStyle w:val="NoSpacing"/>
              <w:jc w:val="both"/>
              <w:rPr>
                <w:sz w:val="28"/>
                <w:szCs w:val="28"/>
              </w:rPr>
            </w:pPr>
            <w:r>
              <w:rPr>
                <w:sz w:val="28"/>
                <w:szCs w:val="28"/>
              </w:rPr>
              <w:t xml:space="preserve">Ņemot vērā minēto, </w:t>
            </w:r>
            <w:r w:rsidRPr="001D5A54">
              <w:rPr>
                <w:sz w:val="28"/>
                <w:szCs w:val="28"/>
              </w:rPr>
              <w:t>Veselības ministrija, sadarbojoties ar ķīmijas ekspertiem, likuma 2.</w:t>
            </w:r>
            <w:r>
              <w:rPr>
                <w:sz w:val="28"/>
                <w:szCs w:val="28"/>
              </w:rPr>
              <w:t xml:space="preserve"> </w:t>
            </w:r>
            <w:r w:rsidRPr="001D5A54">
              <w:rPr>
                <w:sz w:val="28"/>
                <w:szCs w:val="28"/>
              </w:rPr>
              <w:t>pielikum</w:t>
            </w:r>
            <w:r>
              <w:rPr>
                <w:sz w:val="28"/>
                <w:szCs w:val="28"/>
              </w:rPr>
              <w:t xml:space="preserve">am sagatavojusi papildinājumus: </w:t>
            </w:r>
          </w:p>
          <w:p w:rsidR="00D9641C" w:rsidRDefault="00D9641C" w:rsidP="00AC5345">
            <w:pPr>
              <w:pStyle w:val="NoSpacing"/>
              <w:numPr>
                <w:ilvl w:val="0"/>
                <w:numId w:val="34"/>
              </w:numPr>
              <w:jc w:val="both"/>
              <w:rPr>
                <w:sz w:val="28"/>
                <w:szCs w:val="28"/>
              </w:rPr>
            </w:pPr>
            <w:r w:rsidRPr="00331876">
              <w:rPr>
                <w:sz w:val="28"/>
                <w:szCs w:val="28"/>
              </w:rPr>
              <w:t>vien</w:t>
            </w:r>
            <w:r>
              <w:rPr>
                <w:sz w:val="28"/>
                <w:szCs w:val="28"/>
              </w:rPr>
              <w:t>a</w:t>
            </w:r>
            <w:r w:rsidRPr="00331876">
              <w:rPr>
                <w:sz w:val="28"/>
                <w:szCs w:val="28"/>
              </w:rPr>
              <w:t xml:space="preserve"> </w:t>
            </w:r>
            <w:r>
              <w:rPr>
                <w:sz w:val="28"/>
                <w:szCs w:val="28"/>
              </w:rPr>
              <w:t>jauna psihoaktīvo vielu ķīmiskā</w:t>
            </w:r>
            <w:r w:rsidRPr="00331876">
              <w:rPr>
                <w:sz w:val="28"/>
                <w:szCs w:val="28"/>
              </w:rPr>
              <w:t xml:space="preserve"> grup</w:t>
            </w:r>
            <w:r>
              <w:rPr>
                <w:sz w:val="28"/>
                <w:szCs w:val="28"/>
              </w:rPr>
              <w:t>a (pamatformula un vielu apraksti</w:t>
            </w:r>
            <w:r w:rsidRPr="00331876">
              <w:rPr>
                <w:sz w:val="28"/>
                <w:szCs w:val="28"/>
              </w:rPr>
              <w:t xml:space="preserve">) – </w:t>
            </w:r>
            <w:r w:rsidRPr="00331876">
              <w:rPr>
                <w:b/>
                <w:sz w:val="28"/>
                <w:szCs w:val="28"/>
              </w:rPr>
              <w:t>karbazola-3-karbonilatvasinājumi</w:t>
            </w:r>
            <w:r w:rsidRPr="00331876">
              <w:rPr>
                <w:sz w:val="28"/>
                <w:szCs w:val="28"/>
              </w:rPr>
              <w:t xml:space="preserve">, </w:t>
            </w:r>
          </w:p>
          <w:p w:rsidR="00D9641C" w:rsidRDefault="00D9641C" w:rsidP="00AC5345">
            <w:pPr>
              <w:pStyle w:val="NoSpacing"/>
              <w:numPr>
                <w:ilvl w:val="0"/>
                <w:numId w:val="34"/>
              </w:numPr>
              <w:jc w:val="both"/>
              <w:rPr>
                <w:sz w:val="28"/>
                <w:szCs w:val="28"/>
              </w:rPr>
            </w:pPr>
            <w:r w:rsidRPr="00331876">
              <w:rPr>
                <w:sz w:val="28"/>
                <w:szCs w:val="28"/>
              </w:rPr>
              <w:t>uzlabotas līdzšinējās vielu grupas</w:t>
            </w:r>
            <w:r>
              <w:rPr>
                <w:sz w:val="28"/>
                <w:szCs w:val="28"/>
              </w:rPr>
              <w:t xml:space="preserve"> un to apraksti: precizēta redakcija, paplašinot grupās aptverto vielu skaitu </w:t>
            </w:r>
            <w:r w:rsidRPr="00331876">
              <w:rPr>
                <w:sz w:val="28"/>
                <w:szCs w:val="28"/>
              </w:rPr>
              <w:t xml:space="preserve">(būtiskākās izmaiņas </w:t>
            </w:r>
            <w:r w:rsidRPr="00A627C6">
              <w:rPr>
                <w:b/>
                <w:sz w:val="28"/>
                <w:szCs w:val="28"/>
              </w:rPr>
              <w:t>amfetamīnu</w:t>
            </w:r>
            <w:r w:rsidRPr="00331876">
              <w:rPr>
                <w:b/>
                <w:sz w:val="28"/>
                <w:szCs w:val="28"/>
              </w:rPr>
              <w:t xml:space="preserve"> </w:t>
            </w:r>
            <w:r w:rsidRPr="00A627C6">
              <w:rPr>
                <w:sz w:val="28"/>
                <w:szCs w:val="28"/>
              </w:rPr>
              <w:t>un</w:t>
            </w:r>
            <w:r>
              <w:rPr>
                <w:b/>
                <w:sz w:val="28"/>
                <w:szCs w:val="28"/>
              </w:rPr>
              <w:t xml:space="preserve"> </w:t>
            </w:r>
            <w:r w:rsidRPr="00331876">
              <w:rPr>
                <w:b/>
                <w:sz w:val="28"/>
                <w:szCs w:val="28"/>
              </w:rPr>
              <w:t>katinonu</w:t>
            </w:r>
            <w:r w:rsidRPr="00331876">
              <w:rPr>
                <w:sz w:val="28"/>
                <w:szCs w:val="28"/>
              </w:rPr>
              <w:t xml:space="preserve"> grupā),</w:t>
            </w:r>
          </w:p>
          <w:p w:rsidR="00D9641C" w:rsidRPr="00331876" w:rsidRDefault="00D9641C" w:rsidP="00AC5345">
            <w:pPr>
              <w:pStyle w:val="NoSpacing"/>
              <w:numPr>
                <w:ilvl w:val="0"/>
                <w:numId w:val="34"/>
              </w:numPr>
              <w:jc w:val="both"/>
              <w:rPr>
                <w:sz w:val="28"/>
                <w:szCs w:val="28"/>
              </w:rPr>
            </w:pPr>
            <w:r w:rsidRPr="00331876">
              <w:rPr>
                <w:sz w:val="28"/>
                <w:szCs w:val="28"/>
              </w:rPr>
              <w:t xml:space="preserve">vairākas </w:t>
            </w:r>
            <w:r>
              <w:rPr>
                <w:sz w:val="28"/>
                <w:szCs w:val="28"/>
              </w:rPr>
              <w:t xml:space="preserve">jaunas </w:t>
            </w:r>
            <w:r w:rsidRPr="00331876">
              <w:rPr>
                <w:sz w:val="28"/>
                <w:szCs w:val="28"/>
              </w:rPr>
              <w:t xml:space="preserve">individuālas vielas: </w:t>
            </w:r>
            <w:r>
              <w:rPr>
                <w:b/>
                <w:sz w:val="28"/>
                <w:szCs w:val="28"/>
              </w:rPr>
              <w:t>acetilfentani</w:t>
            </w:r>
            <w:r w:rsidRPr="00331876">
              <w:rPr>
                <w:b/>
                <w:sz w:val="28"/>
                <w:szCs w:val="28"/>
              </w:rPr>
              <w:t>l</w:t>
            </w:r>
            <w:r>
              <w:rPr>
                <w:b/>
                <w:sz w:val="28"/>
                <w:szCs w:val="28"/>
              </w:rPr>
              <w:t>s</w:t>
            </w:r>
            <w:r w:rsidRPr="00331876">
              <w:rPr>
                <w:sz w:val="28"/>
                <w:szCs w:val="28"/>
              </w:rPr>
              <w:t>,</w:t>
            </w:r>
            <w:r w:rsidRPr="00331876">
              <w:rPr>
                <w:b/>
                <w:sz w:val="28"/>
                <w:szCs w:val="28"/>
              </w:rPr>
              <w:t xml:space="preserve"> B</w:t>
            </w:r>
            <w:r>
              <w:rPr>
                <w:b/>
                <w:sz w:val="28"/>
                <w:szCs w:val="28"/>
              </w:rPr>
              <w:t>-</w:t>
            </w:r>
            <w:r w:rsidRPr="00331876">
              <w:rPr>
                <w:b/>
                <w:sz w:val="28"/>
                <w:szCs w:val="28"/>
              </w:rPr>
              <w:t>F</w:t>
            </w:r>
            <w:r w:rsidRPr="00331876">
              <w:rPr>
                <w:sz w:val="28"/>
                <w:szCs w:val="28"/>
              </w:rPr>
              <w:t xml:space="preserve">, </w:t>
            </w:r>
            <w:r w:rsidRPr="00331876">
              <w:rPr>
                <w:b/>
                <w:sz w:val="28"/>
                <w:szCs w:val="28"/>
              </w:rPr>
              <w:t>5F-BF</w:t>
            </w:r>
            <w:r w:rsidRPr="00331876">
              <w:rPr>
                <w:sz w:val="28"/>
                <w:szCs w:val="28"/>
              </w:rPr>
              <w:t>,</w:t>
            </w:r>
            <w:r>
              <w:rPr>
                <w:b/>
                <w:sz w:val="28"/>
                <w:szCs w:val="28"/>
              </w:rPr>
              <w:t xml:space="preserve"> </w:t>
            </w:r>
            <w:r w:rsidRPr="00331876">
              <w:rPr>
                <w:b/>
                <w:sz w:val="28"/>
                <w:szCs w:val="28"/>
              </w:rPr>
              <w:t>AH-7192</w:t>
            </w:r>
            <w:r>
              <w:rPr>
                <w:b/>
                <w:sz w:val="28"/>
                <w:szCs w:val="28"/>
              </w:rPr>
              <w:t>, 4,</w:t>
            </w:r>
            <w:r w:rsidRPr="00331876">
              <w:rPr>
                <w:b/>
                <w:sz w:val="28"/>
                <w:szCs w:val="28"/>
              </w:rPr>
              <w:t>4</w:t>
            </w:r>
            <w:r>
              <w:rPr>
                <w:b/>
                <w:sz w:val="28"/>
                <w:szCs w:val="28"/>
              </w:rPr>
              <w:t>`</w:t>
            </w:r>
            <w:r w:rsidRPr="00331876">
              <w:rPr>
                <w:b/>
                <w:sz w:val="28"/>
                <w:szCs w:val="28"/>
              </w:rPr>
              <w:t>-DMAR</w:t>
            </w:r>
            <w:r w:rsidRPr="00331876">
              <w:rPr>
                <w:sz w:val="28"/>
                <w:szCs w:val="28"/>
              </w:rPr>
              <w:t xml:space="preserve">. </w:t>
            </w:r>
          </w:p>
          <w:p w:rsidR="00D9641C" w:rsidRPr="001D5A54" w:rsidRDefault="00D9641C" w:rsidP="00031318">
            <w:pPr>
              <w:pStyle w:val="NoSpacing"/>
              <w:jc w:val="both"/>
              <w:rPr>
                <w:sz w:val="28"/>
                <w:szCs w:val="28"/>
              </w:rPr>
            </w:pPr>
          </w:p>
          <w:p w:rsidR="00D9641C" w:rsidRDefault="00D9641C" w:rsidP="00031318">
            <w:pPr>
              <w:pStyle w:val="NoSpacing"/>
              <w:jc w:val="both"/>
              <w:rPr>
                <w:sz w:val="28"/>
                <w:szCs w:val="28"/>
              </w:rPr>
            </w:pPr>
            <w:r w:rsidRPr="001D5A54">
              <w:rPr>
                <w:sz w:val="28"/>
                <w:szCs w:val="28"/>
              </w:rPr>
              <w:t xml:space="preserve">1) </w:t>
            </w:r>
            <w:r>
              <w:rPr>
                <w:sz w:val="28"/>
                <w:szCs w:val="28"/>
              </w:rPr>
              <w:t xml:space="preserve">Grupa </w:t>
            </w:r>
            <w:r w:rsidRPr="00373DD6">
              <w:rPr>
                <w:b/>
                <w:sz w:val="28"/>
                <w:szCs w:val="28"/>
              </w:rPr>
              <w:t>karbazola-3-karbonilatvasinājumi</w:t>
            </w:r>
            <w:r>
              <w:rPr>
                <w:sz w:val="28"/>
                <w:szCs w:val="28"/>
              </w:rPr>
              <w:t xml:space="preserve"> </w:t>
            </w:r>
            <w:r w:rsidRPr="001D5A54">
              <w:rPr>
                <w:sz w:val="28"/>
                <w:szCs w:val="28"/>
              </w:rPr>
              <w:t>ir jauna</w:t>
            </w:r>
            <w:r w:rsidRPr="001D5A54">
              <w:rPr>
                <w:b/>
                <w:sz w:val="28"/>
                <w:szCs w:val="28"/>
              </w:rPr>
              <w:t xml:space="preserve"> </w:t>
            </w:r>
            <w:r w:rsidRPr="001D5A54">
              <w:rPr>
                <w:sz w:val="28"/>
                <w:szCs w:val="28"/>
              </w:rPr>
              <w:t xml:space="preserve">psihoaktīvo vielu grupa. </w:t>
            </w:r>
            <w:r>
              <w:rPr>
                <w:sz w:val="28"/>
                <w:szCs w:val="28"/>
              </w:rPr>
              <w:t xml:space="preserve">Šajā grupā ietilpst sintētiskais kanabinoīds </w:t>
            </w:r>
            <w:r w:rsidRPr="00373DD6">
              <w:rPr>
                <w:b/>
                <w:sz w:val="28"/>
                <w:szCs w:val="28"/>
              </w:rPr>
              <w:t>EG-018</w:t>
            </w:r>
            <w:r>
              <w:rPr>
                <w:sz w:val="28"/>
                <w:szCs w:val="28"/>
              </w:rPr>
              <w:t>, kura</w:t>
            </w:r>
            <w:r w:rsidRPr="001D5A54">
              <w:rPr>
                <w:sz w:val="28"/>
                <w:szCs w:val="28"/>
              </w:rPr>
              <w:t xml:space="preserve"> lietošana (smēķēšana, vaporizācija, intravenozi) </w:t>
            </w:r>
            <w:r>
              <w:rPr>
                <w:sz w:val="28"/>
                <w:szCs w:val="28"/>
              </w:rPr>
              <w:t xml:space="preserve">var </w:t>
            </w:r>
            <w:r w:rsidRPr="001D5A54">
              <w:rPr>
                <w:sz w:val="28"/>
                <w:szCs w:val="28"/>
              </w:rPr>
              <w:t>izrais</w:t>
            </w:r>
            <w:r>
              <w:rPr>
                <w:sz w:val="28"/>
                <w:szCs w:val="28"/>
              </w:rPr>
              <w:t>īt</w:t>
            </w:r>
            <w:r w:rsidRPr="001D5A54">
              <w:rPr>
                <w:sz w:val="28"/>
                <w:szCs w:val="28"/>
              </w:rPr>
              <w:t xml:space="preserve"> </w:t>
            </w:r>
            <w:r>
              <w:rPr>
                <w:sz w:val="28"/>
                <w:szCs w:val="28"/>
              </w:rPr>
              <w:t>kanabisam līdzīgu efektu (</w:t>
            </w:r>
            <w:r w:rsidRPr="001D5A54">
              <w:rPr>
                <w:sz w:val="28"/>
                <w:szCs w:val="28"/>
              </w:rPr>
              <w:t xml:space="preserve">eiforiju, reibumu, uzbudinājumu vai relaksāciju, satraukumu, vizuālās halucinācijas ar krāsu uztveres izmaiņām, paranoju, kā arī var izraisīt agresīvu un neprognozējamu rīcību, tahikardiju, sirds aritmiju, kas saistās ar palielinātu infarkta risku, paaugstinātu </w:t>
            </w:r>
            <w:r w:rsidRPr="001D5A54">
              <w:rPr>
                <w:sz w:val="28"/>
                <w:szCs w:val="28"/>
              </w:rPr>
              <w:lastRenderedPageBreak/>
              <w:t>asinsspiedienu, tremoru, psihozi un nieru nepietiekamības risku</w:t>
            </w:r>
            <w:r>
              <w:rPr>
                <w:sz w:val="28"/>
                <w:szCs w:val="28"/>
              </w:rPr>
              <w:t>)</w:t>
            </w:r>
            <w:r w:rsidRPr="001D5A54">
              <w:rPr>
                <w:sz w:val="28"/>
                <w:szCs w:val="28"/>
              </w:rPr>
              <w:t>.</w:t>
            </w:r>
            <w:r>
              <w:rPr>
                <w:sz w:val="28"/>
                <w:szCs w:val="28"/>
              </w:rPr>
              <w:t xml:space="preserve"> </w:t>
            </w:r>
            <w:r w:rsidRPr="00AF45D8">
              <w:rPr>
                <w:sz w:val="28"/>
                <w:szCs w:val="28"/>
              </w:rPr>
              <w:t xml:space="preserve">Saskaņā ar Valsts policijas Kriminālistikas pārvaldes datiem, </w:t>
            </w:r>
            <w:r w:rsidRPr="00AF45D8">
              <w:rPr>
                <w:color w:val="000000"/>
                <w:sz w:val="28"/>
                <w:szCs w:val="28"/>
              </w:rPr>
              <w:t xml:space="preserve">līdz šim Latvijā viela  </w:t>
            </w:r>
            <w:r w:rsidRPr="00A9594D">
              <w:rPr>
                <w:b/>
                <w:color w:val="000000"/>
                <w:sz w:val="28"/>
                <w:szCs w:val="28"/>
              </w:rPr>
              <w:t>EG-018</w:t>
            </w:r>
            <w:r w:rsidRPr="00AF45D8">
              <w:rPr>
                <w:color w:val="000000"/>
                <w:sz w:val="28"/>
                <w:szCs w:val="28"/>
              </w:rPr>
              <w:t xml:space="preserve"> izņemta</w:t>
            </w:r>
            <w:r>
              <w:rPr>
                <w:color w:val="000000"/>
                <w:sz w:val="28"/>
                <w:szCs w:val="28"/>
              </w:rPr>
              <w:t xml:space="preserve"> četros</w:t>
            </w:r>
            <w:r w:rsidRPr="00AF45D8">
              <w:rPr>
                <w:color w:val="000000"/>
                <w:sz w:val="28"/>
                <w:szCs w:val="28"/>
              </w:rPr>
              <w:t xml:space="preserve"> gadījumos augu maisījumos ar citiem sintē</w:t>
            </w:r>
            <w:r>
              <w:rPr>
                <w:color w:val="000000"/>
                <w:sz w:val="28"/>
                <w:szCs w:val="28"/>
              </w:rPr>
              <w:t>tiskajiem ka</w:t>
            </w:r>
            <w:r w:rsidRPr="00AF45D8">
              <w:rPr>
                <w:color w:val="000000"/>
                <w:sz w:val="28"/>
                <w:szCs w:val="28"/>
              </w:rPr>
              <w:t xml:space="preserve">nabinoīdiem ar kopējo svaru 7,7 g. </w:t>
            </w:r>
            <w:r>
              <w:rPr>
                <w:sz w:val="28"/>
                <w:szCs w:val="28"/>
              </w:rPr>
              <w:t xml:space="preserve">Eiropas Agrīnās brīdināšanas sistēmas ietvaros Latvija ir vielas </w:t>
            </w:r>
            <w:r w:rsidRPr="00373DD6">
              <w:rPr>
                <w:b/>
                <w:sz w:val="28"/>
                <w:szCs w:val="28"/>
              </w:rPr>
              <w:t>EG-018</w:t>
            </w:r>
            <w:r>
              <w:rPr>
                <w:b/>
                <w:sz w:val="28"/>
                <w:szCs w:val="28"/>
              </w:rPr>
              <w:t xml:space="preserve"> </w:t>
            </w:r>
            <w:r>
              <w:rPr>
                <w:sz w:val="28"/>
                <w:szCs w:val="28"/>
              </w:rPr>
              <w:t>pirmatklājēja – proti, līdz šim minētā viela konstatēta tikai Latvijā</w:t>
            </w:r>
            <w:r w:rsidRPr="008D056F">
              <w:rPr>
                <w:sz w:val="28"/>
                <w:szCs w:val="28"/>
              </w:rPr>
              <w:t xml:space="preserve">. </w:t>
            </w:r>
            <w:r>
              <w:rPr>
                <w:sz w:val="28"/>
                <w:szCs w:val="28"/>
              </w:rPr>
              <w:t xml:space="preserve">Vielai </w:t>
            </w:r>
            <w:r w:rsidRPr="00E8392A">
              <w:rPr>
                <w:b/>
                <w:sz w:val="28"/>
                <w:szCs w:val="28"/>
              </w:rPr>
              <w:t>EG-018</w:t>
            </w:r>
            <w:r>
              <w:rPr>
                <w:sz w:val="28"/>
                <w:szCs w:val="28"/>
              </w:rPr>
              <w:t xml:space="preserve"> Latvijā piemērots aizliegums uz laika posmu līdz 12 mēnešiem ar Slimību profilakses un kontroles centra 2014. gada 18. jūnija lēmumu Nr. 17</w:t>
            </w:r>
            <w:r>
              <w:rPr>
                <w:rStyle w:val="FootnoteReference"/>
                <w:sz w:val="28"/>
                <w:szCs w:val="28"/>
              </w:rPr>
              <w:footnoteReference w:id="1"/>
            </w:r>
            <w:r>
              <w:rPr>
                <w:sz w:val="28"/>
                <w:szCs w:val="28"/>
              </w:rPr>
              <w:t xml:space="preserve">. </w:t>
            </w:r>
          </w:p>
          <w:p w:rsidR="00D9641C" w:rsidRDefault="00D9641C" w:rsidP="00031318">
            <w:pPr>
              <w:pStyle w:val="NoSpacing"/>
              <w:jc w:val="both"/>
              <w:rPr>
                <w:sz w:val="28"/>
                <w:szCs w:val="28"/>
              </w:rPr>
            </w:pPr>
          </w:p>
          <w:p w:rsidR="00D9641C" w:rsidRDefault="00D9641C" w:rsidP="006B7EC7">
            <w:pPr>
              <w:pStyle w:val="NoSpacing"/>
              <w:jc w:val="both"/>
              <w:rPr>
                <w:sz w:val="28"/>
                <w:szCs w:val="28"/>
              </w:rPr>
            </w:pPr>
            <w:r w:rsidRPr="006B7EC7">
              <w:rPr>
                <w:sz w:val="28"/>
                <w:szCs w:val="28"/>
              </w:rPr>
              <w:t xml:space="preserve">2) Grupā </w:t>
            </w:r>
            <w:r w:rsidRPr="006B7EC7">
              <w:rPr>
                <w:b/>
                <w:sz w:val="28"/>
                <w:szCs w:val="28"/>
              </w:rPr>
              <w:t>katinoni</w:t>
            </w:r>
            <w:r w:rsidRPr="006B7EC7">
              <w:rPr>
                <w:sz w:val="28"/>
                <w:szCs w:val="28"/>
              </w:rPr>
              <w:t xml:space="preserve"> veiktas izmaiņas, </w:t>
            </w:r>
            <w:r>
              <w:rPr>
                <w:sz w:val="28"/>
                <w:szCs w:val="28"/>
              </w:rPr>
              <w:t xml:space="preserve">grupā </w:t>
            </w:r>
            <w:r w:rsidRPr="006B7EC7">
              <w:rPr>
                <w:sz w:val="28"/>
                <w:szCs w:val="28"/>
              </w:rPr>
              <w:t xml:space="preserve">iekļaujot vielu (2-(pirolidin-1-il)-1-(tiofēn-2-il)pentan-1-ons) jeb </w:t>
            </w:r>
            <w:r w:rsidRPr="006B7EC7">
              <w:rPr>
                <w:b/>
                <w:sz w:val="28"/>
                <w:szCs w:val="28"/>
              </w:rPr>
              <w:t>α-PVT</w:t>
            </w:r>
            <w:r w:rsidRPr="006B7EC7">
              <w:rPr>
                <w:sz w:val="28"/>
                <w:szCs w:val="28"/>
              </w:rPr>
              <w:t>.  Saskaņā ar Eiropas Agrīnās brīdināšanas sistēmas datiem Zviedrij</w:t>
            </w:r>
            <w:r>
              <w:rPr>
                <w:sz w:val="28"/>
                <w:szCs w:val="28"/>
              </w:rPr>
              <w:t>ā</w:t>
            </w:r>
            <w:r w:rsidRPr="006B7EC7">
              <w:rPr>
                <w:sz w:val="28"/>
                <w:szCs w:val="28"/>
              </w:rPr>
              <w:t xml:space="preserve"> </w:t>
            </w:r>
            <w:r>
              <w:rPr>
                <w:sz w:val="28"/>
                <w:szCs w:val="28"/>
              </w:rPr>
              <w:t xml:space="preserve">2014. gadā reģistrēts </w:t>
            </w:r>
            <w:r w:rsidRPr="006B7EC7">
              <w:rPr>
                <w:sz w:val="28"/>
                <w:szCs w:val="28"/>
              </w:rPr>
              <w:t>ar</w:t>
            </w:r>
            <w:r>
              <w:rPr>
                <w:sz w:val="28"/>
                <w:szCs w:val="28"/>
              </w:rPr>
              <w:t xml:space="preserve"> vielas </w:t>
            </w:r>
            <w:r w:rsidRPr="00415276">
              <w:rPr>
                <w:b/>
                <w:sz w:val="28"/>
                <w:szCs w:val="28"/>
              </w:rPr>
              <w:t>α-PVT</w:t>
            </w:r>
            <w:r>
              <w:rPr>
                <w:sz w:val="28"/>
                <w:szCs w:val="28"/>
              </w:rPr>
              <w:t xml:space="preserve"> lietošanu saistīts nāves gadījums</w:t>
            </w:r>
            <w:r w:rsidRPr="006B7EC7">
              <w:rPr>
                <w:sz w:val="28"/>
                <w:szCs w:val="28"/>
              </w:rPr>
              <w:t xml:space="preserve">. Viela </w:t>
            </w:r>
            <w:r w:rsidRPr="00415276">
              <w:rPr>
                <w:b/>
                <w:sz w:val="28"/>
                <w:szCs w:val="28"/>
              </w:rPr>
              <w:t>α-PVT</w:t>
            </w:r>
            <w:r w:rsidRPr="006B7EC7">
              <w:rPr>
                <w:sz w:val="28"/>
                <w:szCs w:val="28"/>
              </w:rPr>
              <w:t xml:space="preserve"> </w:t>
            </w:r>
            <w:r>
              <w:rPr>
                <w:sz w:val="28"/>
                <w:szCs w:val="28"/>
              </w:rPr>
              <w:t xml:space="preserve">līdz šim </w:t>
            </w:r>
            <w:r w:rsidRPr="006B7EC7">
              <w:rPr>
                <w:sz w:val="28"/>
                <w:szCs w:val="28"/>
              </w:rPr>
              <w:t xml:space="preserve">konstatēta arī Francijā, Horvātijā, Itālijā, Luksemburgā, Somijā, </w:t>
            </w:r>
            <w:r>
              <w:rPr>
                <w:sz w:val="28"/>
                <w:szCs w:val="28"/>
              </w:rPr>
              <w:t xml:space="preserve">Ungārijā un </w:t>
            </w:r>
            <w:r w:rsidRPr="006B7EC7">
              <w:rPr>
                <w:sz w:val="28"/>
                <w:szCs w:val="28"/>
              </w:rPr>
              <w:t>Vācijā.</w:t>
            </w:r>
            <w:r>
              <w:rPr>
                <w:sz w:val="28"/>
                <w:szCs w:val="28"/>
              </w:rPr>
              <w:t xml:space="preserve"> Latvijā vielai </w:t>
            </w:r>
            <w:r w:rsidRPr="00415276">
              <w:rPr>
                <w:b/>
                <w:sz w:val="28"/>
                <w:szCs w:val="28"/>
              </w:rPr>
              <w:t>α-PVT</w:t>
            </w:r>
            <w:r>
              <w:rPr>
                <w:sz w:val="28"/>
                <w:szCs w:val="28"/>
              </w:rPr>
              <w:t xml:space="preserve"> piemērots aizliegums uz laika posmu līdz 12 mēnešiem ar Slimību profilakses un kontroles centra 2014. gada 6. novembra lēmumu Nr. 21</w:t>
            </w:r>
            <w:r>
              <w:rPr>
                <w:rStyle w:val="FootnoteReference"/>
                <w:sz w:val="28"/>
                <w:szCs w:val="28"/>
              </w:rPr>
              <w:footnoteReference w:id="2"/>
            </w:r>
            <w:r>
              <w:rPr>
                <w:sz w:val="28"/>
                <w:szCs w:val="28"/>
              </w:rPr>
              <w:t xml:space="preserve">. </w:t>
            </w:r>
          </w:p>
          <w:p w:rsidR="00D9641C" w:rsidRDefault="00D9641C" w:rsidP="00031318">
            <w:pPr>
              <w:pStyle w:val="NoSpacing"/>
              <w:jc w:val="both"/>
              <w:rPr>
                <w:sz w:val="28"/>
                <w:szCs w:val="28"/>
              </w:rPr>
            </w:pPr>
          </w:p>
          <w:p w:rsidR="00D9641C" w:rsidRDefault="00D9641C" w:rsidP="00031318">
            <w:pPr>
              <w:pStyle w:val="NoSpacing"/>
              <w:jc w:val="both"/>
            </w:pPr>
            <w:r>
              <w:rPr>
                <w:sz w:val="28"/>
                <w:szCs w:val="28"/>
              </w:rPr>
              <w:t xml:space="preserve">3) </w:t>
            </w:r>
            <w:r w:rsidRPr="00287245">
              <w:rPr>
                <w:sz w:val="28"/>
                <w:szCs w:val="28"/>
              </w:rPr>
              <w:t xml:space="preserve">Grupā </w:t>
            </w:r>
            <w:r w:rsidRPr="00287245">
              <w:rPr>
                <w:b/>
                <w:sz w:val="28"/>
                <w:szCs w:val="28"/>
              </w:rPr>
              <w:t>amfetamīni</w:t>
            </w:r>
            <w:r w:rsidRPr="00287245">
              <w:rPr>
                <w:sz w:val="28"/>
                <w:szCs w:val="28"/>
              </w:rPr>
              <w:t xml:space="preserve"> veiktas izmaiņas, grupā iekļaujot </w:t>
            </w:r>
            <w:r>
              <w:rPr>
                <w:sz w:val="28"/>
                <w:szCs w:val="28"/>
              </w:rPr>
              <w:t xml:space="preserve">līdz šim Latvijā apritē nekonstatētu amfetamīna tiofēna analogu – </w:t>
            </w:r>
            <w:r w:rsidRPr="00287245">
              <w:rPr>
                <w:sz w:val="28"/>
                <w:szCs w:val="28"/>
              </w:rPr>
              <w:t xml:space="preserve">vielu </w:t>
            </w:r>
            <w:r>
              <w:rPr>
                <w:b/>
                <w:sz w:val="28"/>
                <w:szCs w:val="28"/>
              </w:rPr>
              <w:t>tienoamfetamīns</w:t>
            </w:r>
            <w:r w:rsidRPr="00287245">
              <w:rPr>
                <w:sz w:val="28"/>
                <w:szCs w:val="28"/>
              </w:rPr>
              <w:t xml:space="preserve">. Saskaņā ar Eiropas Agrīnās brīdināšanas sistēmas datiem </w:t>
            </w:r>
            <w:r>
              <w:rPr>
                <w:sz w:val="28"/>
                <w:szCs w:val="28"/>
              </w:rPr>
              <w:t xml:space="preserve">minētā </w:t>
            </w:r>
            <w:r w:rsidRPr="00287245">
              <w:rPr>
                <w:sz w:val="28"/>
                <w:szCs w:val="28"/>
              </w:rPr>
              <w:t xml:space="preserve">viela līdz šim konstatēta </w:t>
            </w:r>
            <w:r>
              <w:rPr>
                <w:sz w:val="28"/>
                <w:szCs w:val="28"/>
              </w:rPr>
              <w:t xml:space="preserve">arī </w:t>
            </w:r>
            <w:r w:rsidRPr="00287245">
              <w:rPr>
                <w:sz w:val="28"/>
                <w:szCs w:val="28"/>
              </w:rPr>
              <w:t>Apvienotajā Karalistē, Čehijā un Vācijā, savukārt kontrolei šī viela pakļauta Turcijā.</w:t>
            </w:r>
            <w:r>
              <w:rPr>
                <w:sz w:val="28"/>
                <w:szCs w:val="28"/>
              </w:rPr>
              <w:t xml:space="preserve"> Latvijā vielai </w:t>
            </w:r>
            <w:r>
              <w:rPr>
                <w:b/>
                <w:sz w:val="28"/>
                <w:szCs w:val="28"/>
              </w:rPr>
              <w:t>tienoamfetamīns</w:t>
            </w:r>
            <w:r>
              <w:rPr>
                <w:sz w:val="28"/>
                <w:szCs w:val="28"/>
              </w:rPr>
              <w:t xml:space="preserve"> piemērots aizliegums uz laika posmu līdz 12 mēnešiem ar Slimību profilakses un kontroles centra 2014. gada 3. decembra lēmumu Nr. 22</w:t>
            </w:r>
            <w:r>
              <w:rPr>
                <w:rStyle w:val="FootnoteReference"/>
                <w:sz w:val="28"/>
                <w:szCs w:val="28"/>
              </w:rPr>
              <w:footnoteReference w:id="3"/>
            </w:r>
            <w:r>
              <w:rPr>
                <w:sz w:val="28"/>
                <w:szCs w:val="28"/>
              </w:rPr>
              <w:t>.</w:t>
            </w:r>
          </w:p>
          <w:p w:rsidR="00D9641C" w:rsidRDefault="00D9641C" w:rsidP="00031318">
            <w:pPr>
              <w:pStyle w:val="NoSpacing"/>
              <w:jc w:val="both"/>
              <w:rPr>
                <w:sz w:val="28"/>
                <w:szCs w:val="28"/>
              </w:rPr>
            </w:pPr>
          </w:p>
          <w:p w:rsidR="00D9641C" w:rsidRDefault="00D9641C" w:rsidP="00031318">
            <w:pPr>
              <w:pStyle w:val="NoSpacing"/>
              <w:jc w:val="both"/>
              <w:rPr>
                <w:sz w:val="28"/>
                <w:szCs w:val="28"/>
              </w:rPr>
            </w:pPr>
            <w:r>
              <w:rPr>
                <w:sz w:val="28"/>
                <w:szCs w:val="28"/>
              </w:rPr>
              <w:t xml:space="preserve">3) Viela </w:t>
            </w:r>
            <w:r>
              <w:rPr>
                <w:b/>
                <w:sz w:val="28"/>
                <w:szCs w:val="28"/>
              </w:rPr>
              <w:t>acetilfentani</w:t>
            </w:r>
            <w:r w:rsidRPr="00E8392A">
              <w:rPr>
                <w:b/>
                <w:sz w:val="28"/>
                <w:szCs w:val="28"/>
              </w:rPr>
              <w:t>l</w:t>
            </w:r>
            <w:r>
              <w:rPr>
                <w:b/>
                <w:sz w:val="28"/>
                <w:szCs w:val="28"/>
              </w:rPr>
              <w:t>s</w:t>
            </w:r>
            <w:r>
              <w:rPr>
                <w:sz w:val="28"/>
                <w:szCs w:val="28"/>
              </w:rPr>
              <w:t xml:space="preserve"> pieder sintētisko opioīdu grupai, un minētā viela iedarbības ziņā ir aptuveni piecas reizes spēcīgāka nekā heroīns</w:t>
            </w:r>
            <w:r w:rsidRPr="00E8392A">
              <w:rPr>
                <w:sz w:val="28"/>
                <w:szCs w:val="28"/>
              </w:rPr>
              <w:t xml:space="preserve">. </w:t>
            </w:r>
            <w:r>
              <w:rPr>
                <w:sz w:val="28"/>
                <w:szCs w:val="28"/>
              </w:rPr>
              <w:t xml:space="preserve">Eiropas Agrīnās brīdināšanas sistēmas ietvaros par vielu </w:t>
            </w:r>
            <w:r>
              <w:rPr>
                <w:b/>
                <w:sz w:val="28"/>
                <w:szCs w:val="28"/>
              </w:rPr>
              <w:t>acetilfentani</w:t>
            </w:r>
            <w:r w:rsidRPr="00415276">
              <w:rPr>
                <w:b/>
                <w:sz w:val="28"/>
                <w:szCs w:val="28"/>
              </w:rPr>
              <w:t>l</w:t>
            </w:r>
            <w:r>
              <w:rPr>
                <w:b/>
                <w:sz w:val="28"/>
                <w:szCs w:val="28"/>
              </w:rPr>
              <w:t>s</w:t>
            </w:r>
            <w:r>
              <w:rPr>
                <w:sz w:val="28"/>
                <w:szCs w:val="28"/>
              </w:rPr>
              <w:t xml:space="preserve"> līdz šim ziņojusi Polija. Savukārt </w:t>
            </w:r>
            <w:r>
              <w:rPr>
                <w:sz w:val="28"/>
                <w:szCs w:val="28"/>
                <w:shd w:val="clear" w:color="auto" w:fill="FEFEFE"/>
                <w:lang w:eastAsia="en-US"/>
              </w:rPr>
              <w:t xml:space="preserve">Amerikas Savienotajās Valstīs </w:t>
            </w:r>
            <w:r>
              <w:rPr>
                <w:sz w:val="28"/>
                <w:szCs w:val="28"/>
                <w:shd w:val="clear" w:color="auto" w:fill="FEFEFE"/>
                <w:lang w:eastAsia="en-US"/>
              </w:rPr>
              <w:lastRenderedPageBreak/>
              <w:t>laika periodā</w:t>
            </w:r>
            <w:r w:rsidRPr="00E8392A">
              <w:rPr>
                <w:sz w:val="28"/>
                <w:szCs w:val="28"/>
                <w:shd w:val="clear" w:color="auto" w:fill="FEFEFE"/>
                <w:lang w:eastAsia="en-US"/>
              </w:rPr>
              <w:t xml:space="preserve"> no 2013.</w:t>
            </w:r>
            <w:r>
              <w:rPr>
                <w:sz w:val="28"/>
                <w:szCs w:val="28"/>
                <w:shd w:val="clear" w:color="auto" w:fill="FEFEFE"/>
                <w:lang w:eastAsia="en-US"/>
              </w:rPr>
              <w:t xml:space="preserve"> </w:t>
            </w:r>
            <w:r w:rsidRPr="00E8392A">
              <w:rPr>
                <w:sz w:val="28"/>
                <w:szCs w:val="28"/>
                <w:shd w:val="clear" w:color="auto" w:fill="FEFEFE"/>
                <w:lang w:eastAsia="en-US"/>
              </w:rPr>
              <w:t xml:space="preserve">gada </w:t>
            </w:r>
            <w:r>
              <w:rPr>
                <w:sz w:val="28"/>
                <w:szCs w:val="28"/>
                <w:shd w:val="clear" w:color="auto" w:fill="FEFEFE"/>
                <w:lang w:eastAsia="en-US"/>
              </w:rPr>
              <w:t>marta lī</w:t>
            </w:r>
            <w:r w:rsidRPr="00E8392A">
              <w:rPr>
                <w:sz w:val="28"/>
                <w:szCs w:val="28"/>
                <w:shd w:val="clear" w:color="auto" w:fill="FEFEFE"/>
                <w:lang w:eastAsia="en-US"/>
              </w:rPr>
              <w:t xml:space="preserve">dz maijam </w:t>
            </w:r>
            <w:r>
              <w:rPr>
                <w:sz w:val="28"/>
                <w:szCs w:val="28"/>
                <w:shd w:val="clear" w:color="auto" w:fill="FEFEFE"/>
                <w:lang w:eastAsia="en-US"/>
              </w:rPr>
              <w:t>reģistrēti</w:t>
            </w:r>
            <w:r w:rsidRPr="00E8392A">
              <w:rPr>
                <w:sz w:val="28"/>
                <w:szCs w:val="28"/>
                <w:shd w:val="clear" w:color="auto" w:fill="FEFEFE"/>
                <w:lang w:eastAsia="en-US"/>
              </w:rPr>
              <w:t xml:space="preserve"> 12 ar vielas </w:t>
            </w:r>
            <w:r>
              <w:rPr>
                <w:b/>
                <w:sz w:val="28"/>
                <w:szCs w:val="28"/>
                <w:shd w:val="clear" w:color="auto" w:fill="FEFEFE"/>
                <w:lang w:eastAsia="en-US"/>
              </w:rPr>
              <w:t>acetilfentani</w:t>
            </w:r>
            <w:r w:rsidRPr="00E8392A">
              <w:rPr>
                <w:b/>
                <w:sz w:val="28"/>
                <w:szCs w:val="28"/>
                <w:shd w:val="clear" w:color="auto" w:fill="FEFEFE"/>
                <w:lang w:eastAsia="en-US"/>
              </w:rPr>
              <w:t>l</w:t>
            </w:r>
            <w:r>
              <w:rPr>
                <w:b/>
                <w:sz w:val="28"/>
                <w:szCs w:val="28"/>
                <w:shd w:val="clear" w:color="auto" w:fill="FEFEFE"/>
                <w:lang w:eastAsia="en-US"/>
              </w:rPr>
              <w:t>s</w:t>
            </w:r>
            <w:r>
              <w:rPr>
                <w:sz w:val="28"/>
                <w:szCs w:val="28"/>
                <w:shd w:val="clear" w:color="auto" w:fill="FEFEFE"/>
                <w:lang w:eastAsia="en-US"/>
              </w:rPr>
              <w:t xml:space="preserve"> lietošanu saistīti nāves gadī</w:t>
            </w:r>
            <w:r w:rsidRPr="00E8392A">
              <w:rPr>
                <w:sz w:val="28"/>
                <w:szCs w:val="28"/>
                <w:shd w:val="clear" w:color="auto" w:fill="FEFEFE"/>
                <w:lang w:eastAsia="en-US"/>
              </w:rPr>
              <w:t>jumi.</w:t>
            </w:r>
            <w:r>
              <w:rPr>
                <w:sz w:val="28"/>
                <w:szCs w:val="28"/>
                <w:shd w:val="clear" w:color="auto" w:fill="FEFEFE"/>
                <w:lang w:eastAsia="en-US"/>
              </w:rPr>
              <w:t xml:space="preserve"> </w:t>
            </w:r>
            <w:r w:rsidRPr="00415276">
              <w:rPr>
                <w:sz w:val="28"/>
                <w:szCs w:val="28"/>
              </w:rPr>
              <w:t>Vielai</w:t>
            </w:r>
            <w:r>
              <w:rPr>
                <w:b/>
                <w:sz w:val="28"/>
                <w:szCs w:val="28"/>
              </w:rPr>
              <w:t xml:space="preserve"> acetilfentanils</w:t>
            </w:r>
            <w:r>
              <w:rPr>
                <w:sz w:val="28"/>
                <w:szCs w:val="28"/>
              </w:rPr>
              <w:t xml:space="preserve"> Latvijā piemērots aizliegums uz laika posmu līdz 12 mēnešiem ar Slimību profilakses un kontroles centra 2014. gada 25. septembra lēmumu Nr. 20</w:t>
            </w:r>
            <w:r>
              <w:rPr>
                <w:rStyle w:val="FootnoteReference"/>
                <w:sz w:val="28"/>
                <w:szCs w:val="28"/>
              </w:rPr>
              <w:footnoteReference w:id="4"/>
            </w:r>
            <w:r>
              <w:rPr>
                <w:sz w:val="28"/>
                <w:szCs w:val="28"/>
              </w:rPr>
              <w:t>.</w:t>
            </w:r>
          </w:p>
          <w:p w:rsidR="00D9641C" w:rsidRDefault="00D9641C" w:rsidP="00031318">
            <w:pPr>
              <w:pStyle w:val="NoSpacing"/>
              <w:jc w:val="both"/>
              <w:rPr>
                <w:sz w:val="28"/>
                <w:szCs w:val="28"/>
              </w:rPr>
            </w:pPr>
          </w:p>
          <w:p w:rsidR="00D9641C" w:rsidRPr="00E8392A" w:rsidRDefault="00D9641C" w:rsidP="008809A0">
            <w:pPr>
              <w:pStyle w:val="NoSpacing"/>
              <w:jc w:val="both"/>
              <w:rPr>
                <w:sz w:val="28"/>
                <w:szCs w:val="28"/>
              </w:rPr>
            </w:pPr>
            <w:r>
              <w:rPr>
                <w:sz w:val="28"/>
                <w:szCs w:val="28"/>
              </w:rPr>
              <w:t xml:space="preserve">4) Viela </w:t>
            </w:r>
            <w:r>
              <w:rPr>
                <w:b/>
                <w:sz w:val="28"/>
                <w:szCs w:val="28"/>
              </w:rPr>
              <w:t>B-F</w:t>
            </w:r>
            <w:r>
              <w:rPr>
                <w:sz w:val="28"/>
                <w:szCs w:val="28"/>
              </w:rPr>
              <w:t xml:space="preserve"> pieder sintētisko opioīdu grupai, un pēc tās iedarbības minētā viela ir aptuveni septiņas reizes spēcīgāka nekā morfīns. </w:t>
            </w:r>
            <w:r>
              <w:rPr>
                <w:sz w:val="28"/>
                <w:szCs w:val="28"/>
                <w:shd w:val="clear" w:color="auto" w:fill="FEFEFE"/>
                <w:lang w:eastAsia="en-US"/>
              </w:rPr>
              <w:t xml:space="preserve">Saskaņā ar Eiropas Agrīnās brīdināšanas sistēmas datiem viela </w:t>
            </w:r>
            <w:r w:rsidRPr="004A0D43">
              <w:rPr>
                <w:b/>
                <w:sz w:val="28"/>
                <w:szCs w:val="28"/>
                <w:shd w:val="clear" w:color="auto" w:fill="FEFEFE"/>
                <w:lang w:eastAsia="en-US"/>
              </w:rPr>
              <w:t>B-F</w:t>
            </w:r>
            <w:r>
              <w:rPr>
                <w:sz w:val="28"/>
                <w:szCs w:val="28"/>
                <w:shd w:val="clear" w:color="auto" w:fill="FEFEFE"/>
                <w:lang w:eastAsia="en-US"/>
              </w:rPr>
              <w:t xml:space="preserve"> līdz šim konstatēta Polijā un Zviedrijā – Zviedrijā reģistrēts nopietns saindēšanās gadījums ar vielu </w:t>
            </w:r>
            <w:r w:rsidRPr="00897620">
              <w:rPr>
                <w:b/>
                <w:sz w:val="28"/>
                <w:szCs w:val="28"/>
                <w:shd w:val="clear" w:color="auto" w:fill="FEFEFE"/>
                <w:lang w:eastAsia="en-US"/>
              </w:rPr>
              <w:t>B-F</w:t>
            </w:r>
            <w:r>
              <w:rPr>
                <w:sz w:val="28"/>
                <w:szCs w:val="28"/>
                <w:shd w:val="clear" w:color="auto" w:fill="FEFEFE"/>
                <w:lang w:eastAsia="en-US"/>
              </w:rPr>
              <w:t xml:space="preserve">, izraisot hipoventilāciju, sirdsdarbības apstāšanos. </w:t>
            </w:r>
            <w:r w:rsidRPr="00415276">
              <w:rPr>
                <w:sz w:val="28"/>
                <w:szCs w:val="28"/>
              </w:rPr>
              <w:t>Latvijā vielai</w:t>
            </w:r>
            <w:r>
              <w:rPr>
                <w:b/>
                <w:sz w:val="28"/>
                <w:szCs w:val="28"/>
              </w:rPr>
              <w:t xml:space="preserve"> B-F</w:t>
            </w:r>
            <w:r>
              <w:rPr>
                <w:sz w:val="28"/>
                <w:szCs w:val="28"/>
              </w:rPr>
              <w:t xml:space="preserve"> piemērots aizliegums uz laika posmu līdz 12 mēnešiem ar Slimību profilakses un kontroles centra 2014. gada 12. septembra lēmumu Nr. 19</w:t>
            </w:r>
            <w:r>
              <w:rPr>
                <w:rStyle w:val="FootnoteReference"/>
                <w:sz w:val="28"/>
                <w:szCs w:val="28"/>
              </w:rPr>
              <w:footnoteReference w:id="5"/>
            </w:r>
            <w:r>
              <w:rPr>
                <w:sz w:val="28"/>
                <w:szCs w:val="28"/>
              </w:rPr>
              <w:t>.</w:t>
            </w:r>
          </w:p>
          <w:p w:rsidR="00D9641C" w:rsidRDefault="00D9641C" w:rsidP="00031318">
            <w:pPr>
              <w:pStyle w:val="NoSpacing"/>
              <w:jc w:val="both"/>
              <w:rPr>
                <w:sz w:val="28"/>
                <w:szCs w:val="28"/>
              </w:rPr>
            </w:pPr>
          </w:p>
          <w:p w:rsidR="00D9641C" w:rsidRPr="00A9594D" w:rsidRDefault="00D9641C" w:rsidP="00031318">
            <w:pPr>
              <w:pStyle w:val="NoSpacing"/>
              <w:jc w:val="both"/>
              <w:rPr>
                <w:sz w:val="28"/>
                <w:szCs w:val="28"/>
              </w:rPr>
            </w:pPr>
            <w:r w:rsidRPr="00A9594D">
              <w:rPr>
                <w:sz w:val="28"/>
                <w:szCs w:val="28"/>
              </w:rPr>
              <w:t xml:space="preserve">5) Viela </w:t>
            </w:r>
            <w:r w:rsidRPr="00A9594D">
              <w:rPr>
                <w:b/>
                <w:sz w:val="28"/>
                <w:szCs w:val="28"/>
              </w:rPr>
              <w:t>5F-BF</w:t>
            </w:r>
            <w:r w:rsidRPr="00A9594D">
              <w:rPr>
                <w:sz w:val="28"/>
                <w:szCs w:val="28"/>
              </w:rPr>
              <w:t xml:space="preserve"> pieder sintētisko opioīdu grupai</w:t>
            </w:r>
            <w:r>
              <w:rPr>
                <w:sz w:val="28"/>
                <w:szCs w:val="28"/>
              </w:rPr>
              <w:t xml:space="preserve">, </w:t>
            </w:r>
            <w:r w:rsidRPr="00A9594D">
              <w:rPr>
                <w:sz w:val="28"/>
                <w:szCs w:val="28"/>
              </w:rPr>
              <w:t>un tās iedarbība var līdzināties spēcīgā sintētiskā opioīda fenta</w:t>
            </w:r>
            <w:r>
              <w:rPr>
                <w:sz w:val="28"/>
                <w:szCs w:val="28"/>
              </w:rPr>
              <w:t>nila izraisītai iedarbībai</w:t>
            </w:r>
            <w:r w:rsidRPr="00A9594D">
              <w:rPr>
                <w:sz w:val="28"/>
                <w:szCs w:val="28"/>
              </w:rPr>
              <w:t>. Minētā viela ir līdzīga kontrolei pakļautajai vielai 4F-B</w:t>
            </w:r>
            <w:r>
              <w:rPr>
                <w:sz w:val="28"/>
                <w:szCs w:val="28"/>
              </w:rPr>
              <w:t>F</w:t>
            </w:r>
            <w:r w:rsidRPr="00A9594D">
              <w:rPr>
                <w:sz w:val="28"/>
                <w:szCs w:val="28"/>
              </w:rPr>
              <w:t>.</w:t>
            </w:r>
          </w:p>
          <w:p w:rsidR="00D9641C" w:rsidRDefault="00D9641C" w:rsidP="00031318">
            <w:pPr>
              <w:pStyle w:val="NoSpacing"/>
              <w:jc w:val="both"/>
              <w:rPr>
                <w:sz w:val="28"/>
                <w:szCs w:val="28"/>
              </w:rPr>
            </w:pPr>
          </w:p>
          <w:p w:rsidR="00D9641C" w:rsidRPr="00AC11E2" w:rsidRDefault="00D9641C" w:rsidP="00794F1E">
            <w:pPr>
              <w:pStyle w:val="NoSpacing"/>
              <w:jc w:val="both"/>
              <w:rPr>
                <w:b/>
                <w:sz w:val="28"/>
                <w:szCs w:val="28"/>
                <w:highlight w:val="yellow"/>
              </w:rPr>
            </w:pPr>
            <w:r>
              <w:rPr>
                <w:sz w:val="28"/>
                <w:szCs w:val="28"/>
              </w:rPr>
              <w:t>6</w:t>
            </w:r>
            <w:r w:rsidRPr="001D5A54">
              <w:rPr>
                <w:sz w:val="28"/>
                <w:szCs w:val="28"/>
              </w:rPr>
              <w:t xml:space="preserve">) </w:t>
            </w:r>
            <w:r w:rsidRPr="004A0D43">
              <w:rPr>
                <w:sz w:val="28"/>
                <w:szCs w:val="28"/>
              </w:rPr>
              <w:t xml:space="preserve">Eiropas Savienības Padome 2014. gada 25. septembrī ir pieņēmusi īstenošanas lēmumu Nr.2014/688/ES par kontroles pasākumu piemērošanu šādām vielām: 4-jod-2,5-dimetoksi-N-(2-metoksibenzil) fenetilamīns (25I-NBOMe), </w:t>
            </w:r>
            <w:r w:rsidRPr="00553FAF">
              <w:rPr>
                <w:b/>
                <w:sz w:val="28"/>
                <w:szCs w:val="28"/>
              </w:rPr>
              <w:t>3,4-dihlor-N-[[1-</w:t>
            </w:r>
            <w:r w:rsidRPr="004A0D43">
              <w:rPr>
                <w:b/>
                <w:sz w:val="28"/>
                <w:szCs w:val="28"/>
              </w:rPr>
              <w:t>(dimetilamino)cikloheksil]metil]benzamīds (AH-7921)</w:t>
            </w:r>
            <w:r w:rsidRPr="004A0D43">
              <w:rPr>
                <w:sz w:val="28"/>
                <w:szCs w:val="28"/>
              </w:rPr>
              <w:t>, 3,4-metilēndioksipirovalerons (MDPV) un 2-(3-metoksifenil)-2-(etilamino)cikloheksanons (metoksetamīns) (turpmāk – ES Padomes īstenošanas lēmums Nr.2014/688/ES).</w:t>
            </w:r>
            <w:r>
              <w:rPr>
                <w:sz w:val="28"/>
                <w:szCs w:val="28"/>
              </w:rPr>
              <w:t xml:space="preserve"> S</w:t>
            </w:r>
            <w:r w:rsidRPr="001D5A54">
              <w:rPr>
                <w:sz w:val="28"/>
                <w:szCs w:val="28"/>
              </w:rPr>
              <w:t>askaņā ar minētā lēmuma 2.</w:t>
            </w:r>
            <w:r>
              <w:rPr>
                <w:sz w:val="28"/>
                <w:szCs w:val="28"/>
              </w:rPr>
              <w:t xml:space="preserve"> </w:t>
            </w:r>
            <w:r w:rsidRPr="001D5A54">
              <w:rPr>
                <w:sz w:val="28"/>
                <w:szCs w:val="28"/>
              </w:rPr>
              <w:t>pantā noteikto, Eiropas Savienības</w:t>
            </w:r>
            <w:r>
              <w:rPr>
                <w:sz w:val="28"/>
                <w:szCs w:val="28"/>
              </w:rPr>
              <w:t xml:space="preserve"> dalībvalstīm līdz 2015. gada 2</w:t>
            </w:r>
            <w:r w:rsidRPr="001D5A54">
              <w:rPr>
                <w:sz w:val="28"/>
                <w:szCs w:val="28"/>
              </w:rPr>
              <w:t xml:space="preserve">. oktobrim jāveic vajadzīgie pasākumi saskaņā ar saviem tiesību aktiem, lai </w:t>
            </w:r>
            <w:r>
              <w:rPr>
                <w:sz w:val="28"/>
                <w:szCs w:val="28"/>
              </w:rPr>
              <w:t>minētajām vielām</w:t>
            </w:r>
            <w:r w:rsidRPr="001D5A54">
              <w:rPr>
                <w:sz w:val="28"/>
                <w:szCs w:val="28"/>
              </w:rPr>
              <w:t xml:space="preserve"> piemērotu kontroles pasākumus un kriminālsodus, kas paredzēti to tiesību aktos atbilstīgi to saistībām saskaņā ar Apvienoto Nāciju Organizācijas 1971. gada Konvenciju </w:t>
            </w:r>
            <w:r w:rsidRPr="001D5A54">
              <w:rPr>
                <w:sz w:val="28"/>
                <w:szCs w:val="28"/>
              </w:rPr>
              <w:lastRenderedPageBreak/>
              <w:t xml:space="preserve">par psihotropām vielām. Ņemot vērā </w:t>
            </w:r>
            <w:r>
              <w:rPr>
                <w:sz w:val="28"/>
                <w:szCs w:val="28"/>
              </w:rPr>
              <w:t xml:space="preserve">to, ka </w:t>
            </w:r>
            <w:r w:rsidRPr="00AC11E2">
              <w:rPr>
                <w:sz w:val="28"/>
                <w:szCs w:val="28"/>
              </w:rPr>
              <w:t>25I-NBOMe, MDPV un metoksetamīns</w:t>
            </w:r>
            <w:r>
              <w:rPr>
                <w:sz w:val="28"/>
                <w:szCs w:val="28"/>
              </w:rPr>
              <w:t xml:space="preserve"> </w:t>
            </w:r>
            <w:r w:rsidRPr="00AC11E2">
              <w:rPr>
                <w:sz w:val="28"/>
                <w:szCs w:val="28"/>
              </w:rPr>
              <w:t>Latvijā jau ir pakļauts kontrolei</w:t>
            </w:r>
            <w:r>
              <w:rPr>
                <w:rStyle w:val="FootnoteReference"/>
                <w:sz w:val="28"/>
                <w:szCs w:val="28"/>
              </w:rPr>
              <w:footnoteReference w:id="6"/>
            </w:r>
            <w:r w:rsidRPr="00AC11E2">
              <w:rPr>
                <w:sz w:val="28"/>
                <w:szCs w:val="28"/>
              </w:rPr>
              <w:t>,</w:t>
            </w:r>
            <w:r w:rsidRPr="001D5A54">
              <w:rPr>
                <w:sz w:val="28"/>
                <w:szCs w:val="28"/>
              </w:rPr>
              <w:t xml:space="preserve"> </w:t>
            </w:r>
            <w:r>
              <w:rPr>
                <w:sz w:val="28"/>
                <w:szCs w:val="28"/>
              </w:rPr>
              <w:t xml:space="preserve">saskaņā ar </w:t>
            </w:r>
            <w:r>
              <w:rPr>
                <w:b/>
                <w:sz w:val="28"/>
                <w:szCs w:val="28"/>
              </w:rPr>
              <w:t xml:space="preserve">ES Padomes īstenošanas lēmumu </w:t>
            </w:r>
            <w:r w:rsidRPr="001D5A54">
              <w:rPr>
                <w:b/>
                <w:sz w:val="28"/>
                <w:szCs w:val="28"/>
              </w:rPr>
              <w:t>Nr.</w:t>
            </w:r>
            <w:r w:rsidRPr="005802CA">
              <w:rPr>
                <w:b/>
                <w:sz w:val="28"/>
                <w:szCs w:val="28"/>
              </w:rPr>
              <w:t>2014/688/ES</w:t>
            </w:r>
            <w:r w:rsidRPr="001D5A54">
              <w:rPr>
                <w:b/>
                <w:sz w:val="28"/>
                <w:szCs w:val="28"/>
              </w:rPr>
              <w:t xml:space="preserve"> </w:t>
            </w:r>
            <w:r w:rsidRPr="00CE27A8">
              <w:rPr>
                <w:sz w:val="28"/>
                <w:szCs w:val="28"/>
              </w:rPr>
              <w:t>likuma 2. pielikumā</w:t>
            </w:r>
            <w:r>
              <w:rPr>
                <w:b/>
                <w:sz w:val="28"/>
                <w:szCs w:val="28"/>
              </w:rPr>
              <w:t xml:space="preserve"> </w:t>
            </w:r>
            <w:r>
              <w:rPr>
                <w:sz w:val="28"/>
                <w:szCs w:val="28"/>
              </w:rPr>
              <w:t xml:space="preserve">iekļaujama </w:t>
            </w:r>
            <w:r w:rsidRPr="00415276">
              <w:rPr>
                <w:sz w:val="28"/>
                <w:szCs w:val="28"/>
              </w:rPr>
              <w:t>viela</w:t>
            </w:r>
            <w:r w:rsidRPr="00AC11E2">
              <w:rPr>
                <w:b/>
                <w:sz w:val="28"/>
                <w:szCs w:val="28"/>
              </w:rPr>
              <w:t xml:space="preserve"> AH-7921</w:t>
            </w:r>
            <w:r w:rsidRPr="005F4204">
              <w:rPr>
                <w:sz w:val="28"/>
                <w:szCs w:val="28"/>
              </w:rPr>
              <w:t xml:space="preserve">. </w:t>
            </w:r>
            <w:r>
              <w:rPr>
                <w:sz w:val="28"/>
                <w:szCs w:val="28"/>
              </w:rPr>
              <w:t xml:space="preserve">Minētā </w:t>
            </w:r>
            <w:r w:rsidRPr="005F4204">
              <w:rPr>
                <w:sz w:val="28"/>
                <w:szCs w:val="28"/>
              </w:rPr>
              <w:t xml:space="preserve">viela </w:t>
            </w:r>
            <w:r w:rsidRPr="00AC11E2">
              <w:rPr>
                <w:sz w:val="28"/>
                <w:szCs w:val="28"/>
              </w:rPr>
              <w:t>ir strukturāli netipisks sintētiskais opioīdu</w:t>
            </w:r>
            <w:r>
              <w:rPr>
                <w:sz w:val="28"/>
                <w:szCs w:val="28"/>
              </w:rPr>
              <w:t xml:space="preserve"> grupas analgētiskais līdzeklis</w:t>
            </w:r>
            <w:r w:rsidRPr="00AC11E2">
              <w:rPr>
                <w:sz w:val="28"/>
                <w:szCs w:val="28"/>
              </w:rPr>
              <w:t xml:space="preserve">. </w:t>
            </w:r>
            <w:r>
              <w:rPr>
                <w:sz w:val="28"/>
                <w:szCs w:val="28"/>
              </w:rPr>
              <w:t xml:space="preserve">Vielas </w:t>
            </w:r>
            <w:r w:rsidRPr="00AC11E2">
              <w:rPr>
                <w:b/>
                <w:sz w:val="28"/>
                <w:szCs w:val="28"/>
              </w:rPr>
              <w:t>AH-7921</w:t>
            </w:r>
            <w:r>
              <w:rPr>
                <w:sz w:val="28"/>
                <w:szCs w:val="28"/>
              </w:rPr>
              <w:t xml:space="preserve"> iedarbība</w:t>
            </w:r>
            <w:r w:rsidRPr="00AC11E2">
              <w:rPr>
                <w:sz w:val="28"/>
                <w:szCs w:val="28"/>
              </w:rPr>
              <w:t xml:space="preserve"> ir līdzīga klasisko opioīdu iedarbībai, radot vieglas eifori</w:t>
            </w:r>
            <w:r>
              <w:rPr>
                <w:sz w:val="28"/>
                <w:szCs w:val="28"/>
              </w:rPr>
              <w:t>jas, niezes un atslābuma sajūtu,</w:t>
            </w:r>
            <w:r w:rsidRPr="00AC11E2">
              <w:rPr>
                <w:sz w:val="28"/>
                <w:szCs w:val="28"/>
              </w:rPr>
              <w:t xml:space="preserve"> </w:t>
            </w:r>
            <w:r>
              <w:rPr>
                <w:sz w:val="28"/>
                <w:szCs w:val="28"/>
              </w:rPr>
              <w:t xml:space="preserve">un </w:t>
            </w:r>
            <w:r w:rsidRPr="00AC11E2">
              <w:rPr>
                <w:sz w:val="28"/>
                <w:szCs w:val="28"/>
              </w:rPr>
              <w:t>tipiska blakusparādība ir nelabums</w:t>
            </w:r>
            <w:r w:rsidRPr="005F4204">
              <w:rPr>
                <w:rStyle w:val="FootnoteReference"/>
                <w:b/>
                <w:sz w:val="28"/>
                <w:szCs w:val="28"/>
              </w:rPr>
              <w:footnoteReference w:id="7"/>
            </w:r>
            <w:r>
              <w:rPr>
                <w:sz w:val="28"/>
                <w:szCs w:val="28"/>
              </w:rPr>
              <w:t>.</w:t>
            </w:r>
            <w:r w:rsidRPr="00AC11E2">
              <w:rPr>
                <w:sz w:val="28"/>
                <w:szCs w:val="28"/>
              </w:rPr>
              <w:t xml:space="preserve"> Saskaņā ar agrīnās brīdināšanas sistēmas datiem, viela </w:t>
            </w:r>
            <w:r w:rsidRPr="00AC11E2">
              <w:rPr>
                <w:b/>
                <w:sz w:val="28"/>
                <w:szCs w:val="28"/>
              </w:rPr>
              <w:t>AH-7921</w:t>
            </w:r>
            <w:r w:rsidRPr="00AC11E2">
              <w:rPr>
                <w:sz w:val="28"/>
                <w:szCs w:val="28"/>
              </w:rPr>
              <w:t xml:space="preserve"> līdz šim ir konstatēta Apvienotajā Karalistē, Beļģijā, Dānijā, Francijā, Norvēģijā, Somijā, Vācijā un Zviedrijā, savukārt kontrolei pakļauta šī viela</w:t>
            </w:r>
            <w:r>
              <w:rPr>
                <w:sz w:val="28"/>
                <w:szCs w:val="28"/>
              </w:rPr>
              <w:t xml:space="preserve"> jau</w:t>
            </w:r>
            <w:r w:rsidRPr="00AC11E2">
              <w:rPr>
                <w:sz w:val="28"/>
                <w:szCs w:val="28"/>
              </w:rPr>
              <w:t xml:space="preserve"> ir Apvienotajā Karalistē, Slovēnijā, Turcijā un Zviedrijā. </w:t>
            </w:r>
          </w:p>
          <w:p w:rsidR="00D9641C" w:rsidRPr="006A1C76" w:rsidRDefault="00D9641C" w:rsidP="006A1C76">
            <w:pPr>
              <w:pStyle w:val="NoSpacing"/>
              <w:jc w:val="both"/>
              <w:rPr>
                <w:sz w:val="28"/>
                <w:szCs w:val="28"/>
              </w:rPr>
            </w:pPr>
          </w:p>
          <w:p w:rsidR="00D9641C" w:rsidRPr="006A1C76" w:rsidRDefault="00D9641C" w:rsidP="006A1C76">
            <w:pPr>
              <w:pStyle w:val="NoSpacing"/>
              <w:jc w:val="both"/>
              <w:rPr>
                <w:sz w:val="28"/>
                <w:szCs w:val="28"/>
              </w:rPr>
            </w:pPr>
            <w:r>
              <w:rPr>
                <w:sz w:val="28"/>
                <w:szCs w:val="28"/>
              </w:rPr>
              <w:t>7</w:t>
            </w:r>
            <w:r w:rsidRPr="006A1C76">
              <w:rPr>
                <w:sz w:val="28"/>
                <w:szCs w:val="28"/>
              </w:rPr>
              <w:t xml:space="preserve">) </w:t>
            </w:r>
            <w:r>
              <w:rPr>
                <w:sz w:val="28"/>
                <w:szCs w:val="28"/>
              </w:rPr>
              <w:t>V</w:t>
            </w:r>
            <w:r w:rsidRPr="006A1C76">
              <w:rPr>
                <w:sz w:val="28"/>
                <w:szCs w:val="28"/>
              </w:rPr>
              <w:t xml:space="preserve">iela </w:t>
            </w:r>
            <w:r>
              <w:rPr>
                <w:sz w:val="28"/>
                <w:szCs w:val="28"/>
              </w:rPr>
              <w:t>4-meti</w:t>
            </w:r>
            <w:r w:rsidRPr="006A1C76">
              <w:rPr>
                <w:sz w:val="28"/>
                <w:szCs w:val="28"/>
              </w:rPr>
              <w:t>l-5-(4-</w:t>
            </w:r>
          </w:p>
          <w:p w:rsidR="00D9641C" w:rsidRDefault="00D9641C" w:rsidP="00516BE1">
            <w:pPr>
              <w:pStyle w:val="NoSpacing"/>
              <w:jc w:val="both"/>
              <w:rPr>
                <w:sz w:val="28"/>
                <w:szCs w:val="28"/>
              </w:rPr>
            </w:pPr>
            <w:r>
              <w:rPr>
                <w:sz w:val="28"/>
                <w:szCs w:val="28"/>
              </w:rPr>
              <w:t xml:space="preserve">metilfenil)-4,5-dihidrooksazol-2-amīns jeb </w:t>
            </w:r>
            <w:r>
              <w:rPr>
                <w:b/>
                <w:sz w:val="28"/>
                <w:szCs w:val="28"/>
              </w:rPr>
              <w:t>4,</w:t>
            </w:r>
            <w:r w:rsidRPr="00CE27A8">
              <w:rPr>
                <w:b/>
                <w:sz w:val="28"/>
                <w:szCs w:val="28"/>
              </w:rPr>
              <w:t>4</w:t>
            </w:r>
            <w:r>
              <w:rPr>
                <w:b/>
                <w:sz w:val="28"/>
                <w:szCs w:val="28"/>
              </w:rPr>
              <w:t>`</w:t>
            </w:r>
            <w:r w:rsidRPr="00CE27A8">
              <w:rPr>
                <w:b/>
                <w:sz w:val="28"/>
                <w:szCs w:val="28"/>
              </w:rPr>
              <w:t>-DMAR</w:t>
            </w:r>
            <w:r>
              <w:rPr>
                <w:sz w:val="28"/>
                <w:szCs w:val="28"/>
              </w:rPr>
              <w:t xml:space="preserve"> ir stimulants, radot paaugstinātu sirdsdarbības frekvenci, paaugstinātu ķermeņa temperatūru, pastiprinātu svīšanu, psihozi, halucinācijas u.c. </w:t>
            </w:r>
            <w:r w:rsidRPr="00861F5A">
              <w:rPr>
                <w:sz w:val="28"/>
                <w:szCs w:val="28"/>
              </w:rPr>
              <w:t>Eiropas Agrīnās brīdināšanas sistēma ziņojusi par</w:t>
            </w:r>
            <w:r>
              <w:rPr>
                <w:sz w:val="28"/>
                <w:szCs w:val="28"/>
              </w:rPr>
              <w:t xml:space="preserve"> 27 ar šīs vielas lietošanu saistītiem nāves gadījumiem Eiropas Savienībā laika posmā no 2013. gada jūnija līdz 2014. gada februārim (astoņi gadījumi Ungārijā un 19 – Apvienotajā Karalistē)</w:t>
            </w:r>
            <w:r>
              <w:rPr>
                <w:rStyle w:val="FootnoteReference"/>
                <w:sz w:val="28"/>
                <w:szCs w:val="28"/>
              </w:rPr>
              <w:footnoteReference w:id="8"/>
            </w:r>
            <w:r>
              <w:rPr>
                <w:sz w:val="28"/>
                <w:szCs w:val="28"/>
              </w:rPr>
              <w:t>.</w:t>
            </w:r>
          </w:p>
          <w:p w:rsidR="00D9641C" w:rsidRDefault="00D9641C" w:rsidP="00861F5A">
            <w:pPr>
              <w:pStyle w:val="NoSpacing"/>
              <w:jc w:val="both"/>
              <w:rPr>
                <w:sz w:val="28"/>
                <w:szCs w:val="28"/>
              </w:rPr>
            </w:pPr>
            <w:r>
              <w:rPr>
                <w:sz w:val="28"/>
                <w:szCs w:val="28"/>
              </w:rPr>
              <w:t xml:space="preserve">Saskaņā ar Eiropas Agrīnās brīdināšanas sistēmas datiem, viela līdz šim konstatēta Apvienotajā Karalistē, Dānijā, Francijā, Nīderlandē, Rumānijā, Somijā, Ungārijā un Zviedrijā. Savukārt kontrolei šī viela pakļauta Dānijā, Slovēnijā un Ungārijā. </w:t>
            </w:r>
          </w:p>
          <w:p w:rsidR="00D9641C" w:rsidRDefault="00D9641C" w:rsidP="00861F5A">
            <w:pPr>
              <w:pStyle w:val="NoSpacing"/>
              <w:jc w:val="both"/>
              <w:rPr>
                <w:sz w:val="28"/>
                <w:szCs w:val="28"/>
              </w:rPr>
            </w:pPr>
          </w:p>
          <w:p w:rsidR="00D9641C" w:rsidRDefault="00D9641C" w:rsidP="00454137">
            <w:pPr>
              <w:pStyle w:val="NoSpacing"/>
              <w:jc w:val="both"/>
              <w:rPr>
                <w:sz w:val="28"/>
                <w:szCs w:val="28"/>
              </w:rPr>
            </w:pPr>
            <w:r>
              <w:rPr>
                <w:sz w:val="28"/>
                <w:szCs w:val="28"/>
              </w:rPr>
              <w:t>Papildus nepieciešams likuma 2. pielikumā iekļaut jaunas vielu formas, kam noteikti apmēri:</w:t>
            </w:r>
          </w:p>
          <w:p w:rsidR="00D9641C" w:rsidRDefault="00D9641C" w:rsidP="00454137">
            <w:pPr>
              <w:pStyle w:val="NoSpacing"/>
              <w:numPr>
                <w:ilvl w:val="0"/>
                <w:numId w:val="36"/>
              </w:numPr>
              <w:ind w:left="253" w:hanging="141"/>
              <w:jc w:val="both"/>
              <w:rPr>
                <w:sz w:val="28"/>
                <w:szCs w:val="28"/>
              </w:rPr>
            </w:pPr>
            <w:r>
              <w:rPr>
                <w:sz w:val="28"/>
                <w:szCs w:val="28"/>
              </w:rPr>
              <w:t>izžāvētu augu maisījumu, kas satur kanabisu (dažādās tā formās), kas netiek nodalīts no kopējā augu maisījuma daudzuma,</w:t>
            </w:r>
          </w:p>
          <w:p w:rsidR="00D9641C" w:rsidRDefault="00D9641C" w:rsidP="00454137">
            <w:pPr>
              <w:pStyle w:val="NoSpacing"/>
              <w:numPr>
                <w:ilvl w:val="0"/>
                <w:numId w:val="36"/>
              </w:numPr>
              <w:ind w:left="253" w:hanging="141"/>
              <w:jc w:val="both"/>
              <w:rPr>
                <w:sz w:val="28"/>
                <w:szCs w:val="28"/>
              </w:rPr>
            </w:pPr>
            <w:r>
              <w:rPr>
                <w:sz w:val="28"/>
                <w:szCs w:val="28"/>
              </w:rPr>
              <w:t xml:space="preserve">vielu maisījumu, kas satur dronabinolu, kas netiek </w:t>
            </w:r>
            <w:r>
              <w:rPr>
                <w:sz w:val="28"/>
                <w:szCs w:val="28"/>
              </w:rPr>
              <w:lastRenderedPageBreak/>
              <w:t>nodalīts no kopējā vielu maisījuma daudzuma,</w:t>
            </w:r>
          </w:p>
          <w:p w:rsidR="00D9641C" w:rsidRDefault="00D9641C" w:rsidP="00454137">
            <w:pPr>
              <w:pStyle w:val="NoSpacing"/>
              <w:numPr>
                <w:ilvl w:val="0"/>
                <w:numId w:val="36"/>
              </w:numPr>
              <w:ind w:left="253" w:hanging="141"/>
              <w:jc w:val="both"/>
              <w:rPr>
                <w:sz w:val="28"/>
                <w:szCs w:val="28"/>
              </w:rPr>
            </w:pPr>
            <w:r>
              <w:rPr>
                <w:sz w:val="28"/>
                <w:szCs w:val="28"/>
              </w:rPr>
              <w:t>vielu maisījumu, kas satur jebkuru vielu no psihoaktīvo vielu ģenēriskajām grupām (un individuālu vielu CRA-13), kas netiek nodalīta no kopējā vielu maisījuma daudzuma,</w:t>
            </w:r>
          </w:p>
          <w:p w:rsidR="00D9641C" w:rsidRDefault="00D9641C" w:rsidP="00454137">
            <w:pPr>
              <w:pStyle w:val="NoSpacing"/>
              <w:numPr>
                <w:ilvl w:val="0"/>
                <w:numId w:val="36"/>
              </w:numPr>
              <w:ind w:left="253" w:hanging="141"/>
              <w:jc w:val="both"/>
              <w:rPr>
                <w:sz w:val="28"/>
                <w:szCs w:val="28"/>
              </w:rPr>
            </w:pPr>
            <w:r>
              <w:rPr>
                <w:sz w:val="28"/>
                <w:szCs w:val="28"/>
              </w:rPr>
              <w:t xml:space="preserve">ar jebkuru vielu no psihoaktīvo vielu ģenēriskajām grupām (un individuālu vielu CRA-13) piesūcinātu papīru. </w:t>
            </w:r>
          </w:p>
          <w:p w:rsidR="00D9641C" w:rsidRPr="00B8065C" w:rsidRDefault="00D9641C" w:rsidP="00E879CB">
            <w:pPr>
              <w:pStyle w:val="NoSpacing"/>
              <w:jc w:val="both"/>
              <w:rPr>
                <w:sz w:val="28"/>
                <w:szCs w:val="28"/>
              </w:rPr>
            </w:pPr>
            <w:r>
              <w:rPr>
                <w:sz w:val="28"/>
                <w:szCs w:val="28"/>
              </w:rPr>
              <w:t xml:space="preserve">Jaunas vielu formas likuma 2. pielikumā nepieciešams iekļaut, jo apritē aizvien biežāk parādās augu un vielu maisījumi, no kuriem kontrolei pakļautās, maisījumam pievienotās vielas tīrās masas atdalīšana un aprēķināšana ir apgrūtināta – piemēram, tabakas un </w:t>
            </w:r>
            <w:r w:rsidRPr="00787E72">
              <w:rPr>
                <w:sz w:val="28"/>
                <w:szCs w:val="28"/>
              </w:rPr>
              <w:t>kanabisa</w:t>
            </w:r>
            <w:r>
              <w:rPr>
                <w:sz w:val="28"/>
                <w:szCs w:val="28"/>
              </w:rPr>
              <w:t xml:space="preserve"> maisījumi, pārtikas un higiēnas preces, kam pievienotas vielas, tajā skaitā, maizē iecepts hašiša pulveris vai medū iemaisīts kanabiss. </w:t>
            </w:r>
          </w:p>
        </w:tc>
      </w:tr>
      <w:tr w:rsidR="00D9641C" w:rsidRPr="00F86C26" w:rsidTr="00C17CF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lastRenderedPageBreak/>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Projekta izstrādē iesaistītās institūcijas</w:t>
            </w:r>
          </w:p>
        </w:tc>
        <w:tc>
          <w:tcPr>
            <w:tcW w:w="3586" w:type="pct"/>
            <w:tcBorders>
              <w:top w:val="outset" w:sz="6" w:space="0" w:color="414142"/>
              <w:left w:val="outset" w:sz="6" w:space="0" w:color="414142"/>
              <w:bottom w:val="outset" w:sz="6" w:space="0" w:color="414142"/>
            </w:tcBorders>
            <w:shd w:val="clear" w:color="auto" w:fill="FFFFFF"/>
          </w:tcPr>
          <w:p w:rsidR="00D9641C" w:rsidRPr="001D5A54" w:rsidRDefault="00D9641C" w:rsidP="00787E72">
            <w:pPr>
              <w:pStyle w:val="NoSpacing"/>
              <w:jc w:val="both"/>
              <w:rPr>
                <w:sz w:val="28"/>
                <w:szCs w:val="28"/>
              </w:rPr>
            </w:pPr>
            <w:r w:rsidRPr="001D5A54">
              <w:rPr>
                <w:sz w:val="28"/>
                <w:szCs w:val="28"/>
              </w:rPr>
              <w:t>Slimību profilakses un kontroles centrs, valsts sabiedrība ar ierobežotu atbildību „Rīgas psihiatrijas un narkoloģijas centrs”, Valsts pol</w:t>
            </w:r>
            <w:r>
              <w:rPr>
                <w:sz w:val="28"/>
                <w:szCs w:val="28"/>
              </w:rPr>
              <w:t>icijas Kriminālistikas pārvalde</w:t>
            </w:r>
            <w:r w:rsidRPr="001D5A54">
              <w:rPr>
                <w:sz w:val="28"/>
                <w:szCs w:val="28"/>
              </w:rPr>
              <w:t>.</w:t>
            </w:r>
          </w:p>
        </w:tc>
      </w:tr>
      <w:tr w:rsidR="00D9641C" w:rsidRPr="00F86C26" w:rsidTr="00C17CFA">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75325A" w:rsidRDefault="00D9641C" w:rsidP="00225E5D">
            <w:pPr>
              <w:pStyle w:val="ListParagraph"/>
              <w:shd w:val="clear" w:color="auto" w:fill="FFFFFF"/>
              <w:ind w:left="0"/>
              <w:jc w:val="both"/>
              <w:rPr>
                <w:sz w:val="28"/>
                <w:szCs w:val="28"/>
              </w:rPr>
            </w:pPr>
            <w:r>
              <w:rPr>
                <w:sz w:val="28"/>
                <w:szCs w:val="28"/>
              </w:rPr>
              <w:t>Nav</w:t>
            </w:r>
          </w:p>
        </w:tc>
      </w:tr>
    </w:tbl>
    <w:p w:rsidR="00D9641C" w:rsidRPr="000440D8"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D9641C" w:rsidRPr="00F86C26" w:rsidTr="00954912">
        <w:trPr>
          <w:trHeight w:val="555"/>
        </w:trPr>
        <w:tc>
          <w:tcPr>
            <w:tcW w:w="5000" w:type="pct"/>
            <w:gridSpan w:val="3"/>
            <w:tcBorders>
              <w:top w:val="outset" w:sz="6" w:space="0" w:color="414142"/>
              <w:bottom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II. Tiesību akta projekta ietekme uz sabiedrību, tautsaimniecības attīstību un administratīvo slogu</w:t>
            </w:r>
          </w:p>
        </w:tc>
      </w:tr>
      <w:tr w:rsidR="00D9641C" w:rsidRPr="00F86C26" w:rsidTr="00954912">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Sabiedrības mērķgrupas, kuras tiesiskais regulējums ietekmē vai varētu ietekmēt</w:t>
            </w:r>
          </w:p>
        </w:tc>
        <w:tc>
          <w:tcPr>
            <w:tcW w:w="3586" w:type="pct"/>
            <w:tcBorders>
              <w:top w:val="outset" w:sz="6" w:space="0" w:color="414142"/>
              <w:left w:val="outset" w:sz="6" w:space="0" w:color="414142"/>
              <w:bottom w:val="outset" w:sz="6" w:space="0" w:color="414142"/>
            </w:tcBorders>
            <w:shd w:val="clear" w:color="auto" w:fill="FFFFFF"/>
          </w:tcPr>
          <w:p w:rsidR="00D9641C" w:rsidRPr="0024265A" w:rsidRDefault="00D9641C" w:rsidP="001B3285">
            <w:pPr>
              <w:pStyle w:val="NoSpacing"/>
              <w:jc w:val="both"/>
              <w:rPr>
                <w:sz w:val="28"/>
                <w:szCs w:val="28"/>
              </w:rPr>
            </w:pPr>
            <w:r>
              <w:rPr>
                <w:sz w:val="28"/>
                <w:szCs w:val="28"/>
              </w:rPr>
              <w:t xml:space="preserve">Likumprojektam ir pozitīva ietekme uz sabiedrības veselību – </w:t>
            </w:r>
            <w:r w:rsidRPr="00353F44">
              <w:rPr>
                <w:sz w:val="28"/>
                <w:szCs w:val="28"/>
                <w:u w:val="single"/>
              </w:rPr>
              <w:t>tiek aizstāvētas sabiedrības intereses kopumā</w:t>
            </w:r>
            <w:r>
              <w:rPr>
                <w:sz w:val="28"/>
                <w:szCs w:val="28"/>
              </w:rPr>
              <w:t>, kavējot narkotisko un psihotropo vielu piedāvājuma un pieprasījuma pieaugumu Latvijā.</w:t>
            </w:r>
          </w:p>
          <w:p w:rsidR="00D9641C" w:rsidRPr="003D606E" w:rsidRDefault="00D9641C" w:rsidP="001B3285">
            <w:pPr>
              <w:pStyle w:val="NoSpacing"/>
              <w:jc w:val="both"/>
              <w:rPr>
                <w:color w:val="000000"/>
                <w:sz w:val="28"/>
                <w:szCs w:val="28"/>
              </w:rPr>
            </w:pPr>
            <w:r>
              <w:rPr>
                <w:sz w:val="28"/>
                <w:szCs w:val="28"/>
              </w:rPr>
              <w:t>Likum</w:t>
            </w:r>
            <w:r w:rsidRPr="003D606E">
              <w:rPr>
                <w:sz w:val="28"/>
                <w:szCs w:val="28"/>
              </w:rPr>
              <w:t xml:space="preserve">projekts </w:t>
            </w:r>
            <w:r w:rsidRPr="003D606E">
              <w:rPr>
                <w:color w:val="000000"/>
                <w:sz w:val="28"/>
                <w:szCs w:val="28"/>
              </w:rPr>
              <w:t>ietekmēs:</w:t>
            </w:r>
          </w:p>
          <w:p w:rsidR="00D9641C" w:rsidRPr="003D606E" w:rsidRDefault="00D9641C" w:rsidP="001B3285">
            <w:pPr>
              <w:pStyle w:val="NoSpacing"/>
              <w:jc w:val="both"/>
              <w:rPr>
                <w:sz w:val="28"/>
                <w:szCs w:val="28"/>
                <w:lang w:eastAsia="en-US"/>
              </w:rPr>
            </w:pPr>
            <w:r w:rsidRPr="003D606E">
              <w:rPr>
                <w:color w:val="000000"/>
                <w:sz w:val="28"/>
                <w:szCs w:val="28"/>
              </w:rPr>
              <w:t>1) </w:t>
            </w:r>
            <w:r>
              <w:rPr>
                <w:sz w:val="28"/>
                <w:szCs w:val="28"/>
                <w:lang w:eastAsia="en-US"/>
              </w:rPr>
              <w:t>tiesībsargājošās</w:t>
            </w:r>
            <w:r w:rsidRPr="003D606E">
              <w:rPr>
                <w:sz w:val="28"/>
                <w:szCs w:val="28"/>
                <w:lang w:eastAsia="en-US"/>
              </w:rPr>
              <w:t xml:space="preserve"> iestād</w:t>
            </w:r>
            <w:r>
              <w:rPr>
                <w:sz w:val="28"/>
                <w:szCs w:val="28"/>
                <w:lang w:eastAsia="en-US"/>
              </w:rPr>
              <w:t>ēs (Valsts policija, P</w:t>
            </w:r>
            <w:r w:rsidRPr="003D606E">
              <w:rPr>
                <w:sz w:val="28"/>
                <w:szCs w:val="28"/>
                <w:lang w:eastAsia="en-US"/>
              </w:rPr>
              <w:t>ašvaldību policija, Valsts ieņēmumu dienest</w:t>
            </w:r>
            <w:r>
              <w:rPr>
                <w:sz w:val="28"/>
                <w:szCs w:val="28"/>
                <w:lang w:eastAsia="en-US"/>
              </w:rPr>
              <w:t>a Muitas policijas pārvalde</w:t>
            </w:r>
            <w:r w:rsidRPr="003D606E">
              <w:rPr>
                <w:sz w:val="28"/>
                <w:szCs w:val="28"/>
                <w:lang w:eastAsia="en-US"/>
              </w:rPr>
              <w:t>)</w:t>
            </w:r>
            <w:r>
              <w:rPr>
                <w:sz w:val="28"/>
                <w:szCs w:val="28"/>
                <w:lang w:eastAsia="en-US"/>
              </w:rPr>
              <w:t xml:space="preserve"> nodarbinātos</w:t>
            </w:r>
            <w:r w:rsidRPr="003D606E">
              <w:rPr>
                <w:sz w:val="28"/>
                <w:szCs w:val="28"/>
                <w:lang w:eastAsia="en-US"/>
              </w:rPr>
              <w:t>;</w:t>
            </w:r>
          </w:p>
          <w:p w:rsidR="00D9641C" w:rsidRPr="003D606E" w:rsidRDefault="00D9641C" w:rsidP="001B3285">
            <w:pPr>
              <w:pStyle w:val="NoSpacing"/>
              <w:jc w:val="both"/>
              <w:rPr>
                <w:sz w:val="28"/>
                <w:szCs w:val="28"/>
                <w:lang w:eastAsia="en-US"/>
              </w:rPr>
            </w:pPr>
            <w:r w:rsidRPr="003D606E">
              <w:rPr>
                <w:sz w:val="28"/>
                <w:szCs w:val="28"/>
                <w:lang w:eastAsia="en-US"/>
              </w:rPr>
              <w:t>2) iestād</w:t>
            </w:r>
            <w:r>
              <w:rPr>
                <w:sz w:val="28"/>
                <w:szCs w:val="28"/>
                <w:lang w:eastAsia="en-US"/>
              </w:rPr>
              <w:t>ē</w:t>
            </w:r>
            <w:r w:rsidRPr="003D606E">
              <w:rPr>
                <w:sz w:val="28"/>
                <w:szCs w:val="28"/>
                <w:lang w:eastAsia="en-US"/>
              </w:rPr>
              <w:t>s, kurām ir tiesības veikt ekspertīzes (Valsts policijas Kriminālistikas pārvalde, Valsts robežsardzes Galvenās pārvaldes Ekspertīžu dienests, Valsts tiesu ekspertīžu birojs, Valsts tiesu medicīnas ekspertīzes centrs, valsts sabiedrība ar ierobežotu atbildību „Rīgas psihiatrijas un narkoloģijas centrs”</w:t>
            </w:r>
            <w:r w:rsidR="00F368A5">
              <w:rPr>
                <w:sz w:val="28"/>
                <w:szCs w:val="28"/>
                <w:lang w:eastAsia="en-US"/>
              </w:rPr>
              <w:t>, Valsts ieņēmumu dienesta Muitas pārvaldes Muitas laboratorija</w:t>
            </w:r>
            <w:r w:rsidRPr="003D606E">
              <w:rPr>
                <w:sz w:val="28"/>
                <w:szCs w:val="28"/>
                <w:lang w:eastAsia="en-US"/>
              </w:rPr>
              <w:t>)</w:t>
            </w:r>
            <w:r>
              <w:rPr>
                <w:sz w:val="28"/>
                <w:szCs w:val="28"/>
                <w:lang w:eastAsia="en-US"/>
              </w:rPr>
              <w:t xml:space="preserve"> nodarbinātos</w:t>
            </w:r>
            <w:r w:rsidRPr="003D606E">
              <w:rPr>
                <w:sz w:val="28"/>
                <w:szCs w:val="28"/>
                <w:lang w:eastAsia="en-US"/>
              </w:rPr>
              <w:t>;</w:t>
            </w:r>
          </w:p>
          <w:p w:rsidR="00D9641C" w:rsidRPr="003D606E" w:rsidRDefault="00D9641C" w:rsidP="001B3285">
            <w:pPr>
              <w:pStyle w:val="NoSpacing"/>
              <w:jc w:val="both"/>
              <w:rPr>
                <w:sz w:val="28"/>
                <w:szCs w:val="28"/>
                <w:lang w:eastAsia="en-US"/>
              </w:rPr>
            </w:pPr>
            <w:r>
              <w:rPr>
                <w:sz w:val="28"/>
                <w:szCs w:val="28"/>
                <w:lang w:eastAsia="en-US"/>
              </w:rPr>
              <w:t>3</w:t>
            </w:r>
            <w:r w:rsidRPr="003D606E">
              <w:rPr>
                <w:sz w:val="28"/>
                <w:szCs w:val="28"/>
                <w:lang w:eastAsia="en-US"/>
              </w:rPr>
              <w:t>) </w:t>
            </w:r>
            <w:r>
              <w:rPr>
                <w:sz w:val="28"/>
                <w:szCs w:val="28"/>
                <w:lang w:eastAsia="en-US"/>
              </w:rPr>
              <w:t>ārstniecīb</w:t>
            </w:r>
            <w:r w:rsidRPr="003D606E">
              <w:rPr>
                <w:sz w:val="28"/>
                <w:szCs w:val="28"/>
                <w:lang w:eastAsia="en-US"/>
              </w:rPr>
              <w:t>as iestād</w:t>
            </w:r>
            <w:r>
              <w:rPr>
                <w:sz w:val="28"/>
                <w:szCs w:val="28"/>
                <w:lang w:eastAsia="en-US"/>
              </w:rPr>
              <w:t>ē</w:t>
            </w:r>
            <w:r w:rsidRPr="003D606E">
              <w:rPr>
                <w:sz w:val="28"/>
                <w:szCs w:val="28"/>
                <w:lang w:eastAsia="en-US"/>
              </w:rPr>
              <w:t>s, kurās var atrasties pacients minēto psihoaktīvo vielu ietekmē vai iespaidā</w:t>
            </w:r>
            <w:r>
              <w:rPr>
                <w:sz w:val="28"/>
                <w:szCs w:val="28"/>
                <w:lang w:eastAsia="en-US"/>
              </w:rPr>
              <w:t>, nodarbinātos</w:t>
            </w:r>
            <w:r w:rsidRPr="003D606E">
              <w:rPr>
                <w:sz w:val="28"/>
                <w:szCs w:val="28"/>
                <w:lang w:eastAsia="en-US"/>
              </w:rPr>
              <w:t>;</w:t>
            </w:r>
          </w:p>
          <w:p w:rsidR="00D9641C" w:rsidRPr="00225E5D" w:rsidRDefault="00D9641C" w:rsidP="00BB6821">
            <w:pPr>
              <w:pStyle w:val="NoSpacing"/>
              <w:jc w:val="both"/>
              <w:rPr>
                <w:sz w:val="28"/>
                <w:szCs w:val="28"/>
                <w:lang w:eastAsia="en-US"/>
              </w:rPr>
            </w:pPr>
            <w:r>
              <w:rPr>
                <w:sz w:val="28"/>
                <w:szCs w:val="28"/>
                <w:lang w:eastAsia="en-US"/>
              </w:rPr>
              <w:lastRenderedPageBreak/>
              <w:t>4</w:t>
            </w:r>
            <w:r w:rsidRPr="003D606E">
              <w:rPr>
                <w:sz w:val="28"/>
                <w:szCs w:val="28"/>
                <w:lang w:eastAsia="en-US"/>
              </w:rPr>
              <w:t xml:space="preserve">) </w:t>
            </w:r>
            <w:r>
              <w:rPr>
                <w:sz w:val="28"/>
                <w:szCs w:val="28"/>
                <w:lang w:eastAsia="en-US"/>
              </w:rPr>
              <w:t>f</w:t>
            </w:r>
            <w:r w:rsidRPr="003D606E">
              <w:rPr>
                <w:sz w:val="28"/>
                <w:szCs w:val="28"/>
                <w:lang w:eastAsia="en-US"/>
              </w:rPr>
              <w:t>iziskas personas, kas lieto minētās vielas.</w:t>
            </w:r>
            <w:r w:rsidRPr="001D5A54">
              <w:rPr>
                <w:bCs/>
              </w:rPr>
              <w:t xml:space="preserve"> </w:t>
            </w:r>
          </w:p>
        </w:tc>
      </w:tr>
      <w:tr w:rsidR="00D9641C" w:rsidRPr="00F86C26" w:rsidTr="00954912">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lastRenderedPageBreak/>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Tiesiskā regulējuma ietekme uz tautsaimniecību un administratīvo slogu</w:t>
            </w:r>
          </w:p>
        </w:tc>
        <w:tc>
          <w:tcPr>
            <w:tcW w:w="3586" w:type="pct"/>
            <w:tcBorders>
              <w:top w:val="outset" w:sz="6" w:space="0" w:color="414142"/>
              <w:left w:val="outset" w:sz="6" w:space="0" w:color="414142"/>
              <w:bottom w:val="outset" w:sz="6" w:space="0" w:color="414142"/>
            </w:tcBorders>
            <w:shd w:val="clear" w:color="auto" w:fill="FFFFFF"/>
          </w:tcPr>
          <w:p w:rsidR="00D9641C" w:rsidRPr="00031318" w:rsidRDefault="00D9641C" w:rsidP="008D71D6">
            <w:pPr>
              <w:pStyle w:val="NoSpacing"/>
              <w:jc w:val="both"/>
              <w:rPr>
                <w:sz w:val="28"/>
                <w:szCs w:val="28"/>
              </w:rPr>
            </w:pPr>
            <w:r>
              <w:rPr>
                <w:sz w:val="28"/>
                <w:szCs w:val="28"/>
              </w:rPr>
              <w:t>Ņemot vērā to</w:t>
            </w:r>
            <w:r w:rsidRPr="00673B5B">
              <w:rPr>
                <w:sz w:val="28"/>
                <w:szCs w:val="28"/>
              </w:rPr>
              <w:t xml:space="preserve">, </w:t>
            </w:r>
            <w:r>
              <w:rPr>
                <w:sz w:val="28"/>
                <w:szCs w:val="28"/>
              </w:rPr>
              <w:t xml:space="preserve">ka, izņemot </w:t>
            </w:r>
            <w:r w:rsidRPr="00673B5B">
              <w:rPr>
                <w:sz w:val="28"/>
                <w:szCs w:val="28"/>
              </w:rPr>
              <w:t>zinātniskos pētījumus</w:t>
            </w:r>
            <w:r>
              <w:rPr>
                <w:sz w:val="28"/>
                <w:szCs w:val="28"/>
              </w:rPr>
              <w:t>,</w:t>
            </w:r>
            <w:r w:rsidRPr="00673B5B">
              <w:rPr>
                <w:sz w:val="28"/>
                <w:szCs w:val="28"/>
              </w:rPr>
              <w:t xml:space="preserve"> nav norāžu par kontrolei pakļaujamo vielu izmantošanu rūpniecībā vai saimnieciskajā darbībā, kā arī nav zināmas vispāratzītas vai apstiprinātas kontrolei pakļaujamo vielu ārstnieciskās vērtības vai pielietojums, </w:t>
            </w:r>
            <w:r>
              <w:rPr>
                <w:sz w:val="28"/>
                <w:szCs w:val="28"/>
              </w:rPr>
              <w:t>likumprojekta ietekme</w:t>
            </w:r>
            <w:r w:rsidRPr="00673B5B">
              <w:rPr>
                <w:sz w:val="28"/>
                <w:szCs w:val="28"/>
              </w:rPr>
              <w:t xml:space="preserve"> uz tautsaimniecību</w:t>
            </w:r>
            <w:r>
              <w:rPr>
                <w:sz w:val="28"/>
                <w:szCs w:val="28"/>
              </w:rPr>
              <w:t xml:space="preserve"> nav paredzama</w:t>
            </w:r>
            <w:r w:rsidRPr="00673B5B">
              <w:rPr>
                <w:sz w:val="28"/>
                <w:szCs w:val="28"/>
              </w:rPr>
              <w:t xml:space="preserve">. </w:t>
            </w:r>
          </w:p>
        </w:tc>
      </w:tr>
      <w:tr w:rsidR="00D9641C" w:rsidRPr="00F86C26" w:rsidTr="00954912">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Administratīvo izmaksu monetārs novērtējums</w:t>
            </w:r>
          </w:p>
        </w:tc>
        <w:tc>
          <w:tcPr>
            <w:tcW w:w="3586" w:type="pct"/>
            <w:tcBorders>
              <w:top w:val="outset" w:sz="6" w:space="0" w:color="414142"/>
              <w:left w:val="outset" w:sz="6" w:space="0" w:color="414142"/>
              <w:bottom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Nav</w:t>
            </w:r>
          </w:p>
        </w:tc>
      </w:tr>
      <w:tr w:rsidR="00D9641C" w:rsidRPr="00F86C26" w:rsidTr="00954912">
        <w:trPr>
          <w:trHeight w:val="345"/>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0440D8" w:rsidRDefault="00D9641C" w:rsidP="001B3285">
            <w:pPr>
              <w:pStyle w:val="NoSpacing"/>
              <w:jc w:val="both"/>
              <w:rPr>
                <w:sz w:val="28"/>
                <w:szCs w:val="28"/>
              </w:rPr>
            </w:pPr>
            <w:r>
              <w:rPr>
                <w:sz w:val="28"/>
                <w:szCs w:val="28"/>
              </w:rPr>
              <w:t>Nav</w:t>
            </w:r>
          </w:p>
        </w:tc>
      </w:tr>
    </w:tbl>
    <w:p w:rsidR="00D9641C" w:rsidRPr="000440D8"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D9641C" w:rsidRPr="00F86C26" w:rsidTr="001B3285">
        <w:trPr>
          <w:trHeight w:val="360"/>
        </w:trPr>
        <w:tc>
          <w:tcPr>
            <w:tcW w:w="0" w:type="auto"/>
            <w:tcBorders>
              <w:top w:val="outset" w:sz="6" w:space="0" w:color="414142"/>
              <w:bottom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III. Tiesību akta projekta ietekme uz valsts budžetu un pašvaldību budžetiem</w:t>
            </w:r>
          </w:p>
        </w:tc>
      </w:tr>
      <w:tr w:rsidR="00D9641C" w:rsidRPr="00F86C26" w:rsidTr="00031318">
        <w:tc>
          <w:tcPr>
            <w:tcW w:w="5000" w:type="pct"/>
            <w:tcBorders>
              <w:top w:val="outset" w:sz="6" w:space="0" w:color="414142"/>
              <w:bottom w:val="outset" w:sz="6" w:space="0" w:color="414142"/>
            </w:tcBorders>
            <w:shd w:val="clear" w:color="auto" w:fill="FFFFFF"/>
            <w:vAlign w:val="center"/>
          </w:tcPr>
          <w:p w:rsidR="00D9641C" w:rsidRPr="00031318" w:rsidRDefault="00D9641C" w:rsidP="00031318">
            <w:pPr>
              <w:pStyle w:val="NoSpacing"/>
              <w:jc w:val="center"/>
              <w:rPr>
                <w:i/>
                <w:sz w:val="28"/>
                <w:szCs w:val="28"/>
              </w:rPr>
            </w:pPr>
            <w:r w:rsidRPr="00031318">
              <w:rPr>
                <w:i/>
                <w:sz w:val="28"/>
                <w:szCs w:val="28"/>
              </w:rPr>
              <w:t>Projekts šo jomu neskar.</w:t>
            </w:r>
          </w:p>
        </w:tc>
      </w:tr>
    </w:tbl>
    <w:p w:rsidR="00D9641C" w:rsidRPr="000440D8"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2648"/>
        <w:gridCol w:w="6026"/>
      </w:tblGrid>
      <w:tr w:rsidR="00D9641C" w:rsidRPr="00F86C26" w:rsidTr="001B3285">
        <w:trPr>
          <w:trHeight w:val="450"/>
        </w:trPr>
        <w:tc>
          <w:tcPr>
            <w:tcW w:w="0" w:type="auto"/>
            <w:gridSpan w:val="3"/>
            <w:tcBorders>
              <w:top w:val="outset" w:sz="6" w:space="0" w:color="414142"/>
              <w:bottom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IV. Tiesību akta projekta ietekme uz spēkā esošo tiesību normu sistēmu</w:t>
            </w:r>
          </w:p>
        </w:tc>
      </w:tr>
      <w:tr w:rsidR="00D9641C" w:rsidRPr="00F86C26" w:rsidTr="001B3285">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Nepieciešamie saistītie tiesību aktu projekti</w:t>
            </w:r>
          </w:p>
        </w:tc>
        <w:tc>
          <w:tcPr>
            <w:tcW w:w="3300" w:type="pct"/>
            <w:tcBorders>
              <w:top w:val="outset" w:sz="6" w:space="0" w:color="414142"/>
              <w:left w:val="outset" w:sz="6" w:space="0" w:color="414142"/>
              <w:bottom w:val="outset" w:sz="6" w:space="0" w:color="414142"/>
            </w:tcBorders>
            <w:shd w:val="clear" w:color="auto" w:fill="FFFFFF"/>
          </w:tcPr>
          <w:p w:rsidR="00D9641C" w:rsidRPr="00557324" w:rsidRDefault="00D9641C" w:rsidP="00BB6821">
            <w:pPr>
              <w:pStyle w:val="NoSpacing"/>
              <w:jc w:val="both"/>
              <w:rPr>
                <w:sz w:val="28"/>
                <w:szCs w:val="28"/>
              </w:rPr>
            </w:pPr>
            <w:r w:rsidRPr="00557324">
              <w:rPr>
                <w:sz w:val="28"/>
                <w:szCs w:val="28"/>
              </w:rPr>
              <w:t xml:space="preserve">Vienlaicīgi ar šo Likumprojektu virzāms Ministru kabineta </w:t>
            </w:r>
            <w:r>
              <w:rPr>
                <w:sz w:val="28"/>
                <w:szCs w:val="28"/>
              </w:rPr>
              <w:t>noteikumu projekts „Grozījumi</w:t>
            </w:r>
            <w:r w:rsidRPr="00557324">
              <w:rPr>
                <w:sz w:val="28"/>
                <w:szCs w:val="28"/>
              </w:rPr>
              <w:t xml:space="preserve"> Ministru kabineta 2005.</w:t>
            </w:r>
            <w:r>
              <w:rPr>
                <w:sz w:val="28"/>
                <w:szCs w:val="28"/>
              </w:rPr>
              <w:t xml:space="preserve"> </w:t>
            </w:r>
            <w:r w:rsidRPr="00557324">
              <w:rPr>
                <w:sz w:val="28"/>
                <w:szCs w:val="28"/>
              </w:rPr>
              <w:t>gada 8.</w:t>
            </w:r>
            <w:r>
              <w:rPr>
                <w:sz w:val="28"/>
                <w:szCs w:val="28"/>
              </w:rPr>
              <w:t xml:space="preserve"> </w:t>
            </w:r>
            <w:r w:rsidRPr="00557324">
              <w:rPr>
                <w:sz w:val="28"/>
                <w:szCs w:val="28"/>
              </w:rPr>
              <w:t>novembra noteikumos Nr.</w:t>
            </w:r>
            <w:r>
              <w:rPr>
                <w:sz w:val="28"/>
                <w:szCs w:val="28"/>
              </w:rPr>
              <w:t xml:space="preserve"> </w:t>
            </w:r>
            <w:r w:rsidRPr="00557324">
              <w:rPr>
                <w:sz w:val="28"/>
                <w:szCs w:val="28"/>
              </w:rPr>
              <w:t xml:space="preserve">847 „Noteikumi par Latvijā kontrolējamajām narkotiskajām vielām, psihotropajām vielām un prekursoriem””, papildinot Latvijā kontrolējamo narkotisko vielu, psihotropo vielu un prekursoru I </w:t>
            </w:r>
            <w:r w:rsidRPr="00031318">
              <w:rPr>
                <w:sz w:val="28"/>
                <w:szCs w:val="28"/>
              </w:rPr>
              <w:t xml:space="preserve">sarakstu ar </w:t>
            </w:r>
            <w:r>
              <w:rPr>
                <w:sz w:val="28"/>
                <w:szCs w:val="28"/>
              </w:rPr>
              <w:t xml:space="preserve">jaunām vielām, kā arī nosakot, ka </w:t>
            </w:r>
            <w:r w:rsidRPr="007B03DE">
              <w:rPr>
                <w:sz w:val="28"/>
                <w:szCs w:val="28"/>
              </w:rPr>
              <w:t>kontroles pasākumi attiecas arī uz sarakstos iekļauto narkotisko un psihotropo vielu analogiem</w:t>
            </w:r>
            <w:r w:rsidRPr="00031318">
              <w:rPr>
                <w:sz w:val="28"/>
                <w:szCs w:val="28"/>
              </w:rPr>
              <w:t>.</w:t>
            </w:r>
          </w:p>
        </w:tc>
      </w:tr>
      <w:tr w:rsidR="00D9641C" w:rsidRPr="00F86C26" w:rsidTr="001B3285">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Atbildīgā institūcija</w:t>
            </w:r>
          </w:p>
        </w:tc>
        <w:tc>
          <w:tcPr>
            <w:tcW w:w="3300" w:type="pct"/>
            <w:tcBorders>
              <w:top w:val="outset" w:sz="6" w:space="0" w:color="414142"/>
              <w:left w:val="outset" w:sz="6" w:space="0" w:color="414142"/>
              <w:bottom w:val="outset" w:sz="6" w:space="0" w:color="414142"/>
            </w:tcBorders>
            <w:shd w:val="clear" w:color="auto" w:fill="FFFFFF"/>
          </w:tcPr>
          <w:p w:rsidR="00D9641C" w:rsidRPr="000440D8" w:rsidRDefault="00D9641C" w:rsidP="001B3285">
            <w:pPr>
              <w:pStyle w:val="NoSpacing"/>
              <w:jc w:val="both"/>
              <w:rPr>
                <w:sz w:val="28"/>
                <w:szCs w:val="28"/>
              </w:rPr>
            </w:pPr>
            <w:r>
              <w:rPr>
                <w:sz w:val="28"/>
                <w:szCs w:val="28"/>
              </w:rPr>
              <w:t>Veselības ministrija</w:t>
            </w:r>
          </w:p>
        </w:tc>
      </w:tr>
      <w:tr w:rsidR="00D9641C" w:rsidRPr="00F86C26" w:rsidTr="001B3285">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Cita informācija</w:t>
            </w:r>
          </w:p>
        </w:tc>
        <w:tc>
          <w:tcPr>
            <w:tcW w:w="3300" w:type="pct"/>
            <w:tcBorders>
              <w:top w:val="outset" w:sz="6" w:space="0" w:color="414142"/>
              <w:left w:val="outset" w:sz="6" w:space="0" w:color="414142"/>
              <w:bottom w:val="outset" w:sz="6" w:space="0" w:color="414142"/>
            </w:tcBorders>
            <w:shd w:val="clear" w:color="auto" w:fill="FFFFFF"/>
          </w:tcPr>
          <w:p w:rsidR="00D9641C" w:rsidRPr="00307AD9" w:rsidRDefault="00D9641C" w:rsidP="001B3285">
            <w:pPr>
              <w:pStyle w:val="NoSpacing"/>
              <w:jc w:val="both"/>
              <w:rPr>
                <w:sz w:val="28"/>
                <w:szCs w:val="28"/>
              </w:rPr>
            </w:pPr>
            <w:r w:rsidRPr="00307AD9">
              <w:rPr>
                <w:sz w:val="28"/>
                <w:szCs w:val="28"/>
              </w:rPr>
              <w:t>Nav</w:t>
            </w:r>
          </w:p>
        </w:tc>
      </w:tr>
    </w:tbl>
    <w:p w:rsidR="00D9641C" w:rsidRPr="000440D8"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2648"/>
        <w:gridCol w:w="6026"/>
      </w:tblGrid>
      <w:tr w:rsidR="00D9641C" w:rsidRPr="00F86C26" w:rsidTr="001B3285">
        <w:tc>
          <w:tcPr>
            <w:tcW w:w="0" w:type="auto"/>
            <w:gridSpan w:val="3"/>
            <w:tcBorders>
              <w:top w:val="outset" w:sz="6" w:space="0" w:color="414142"/>
              <w:bottom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V. Tiesību akta projekta atbilstība Latvijas Republikas starptautiskajām saistībām</w:t>
            </w:r>
          </w:p>
        </w:tc>
      </w:tr>
      <w:tr w:rsidR="00D9641C" w:rsidRPr="00F86C26" w:rsidTr="001B3285">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Saistības pret Eiropas Savienību</w:t>
            </w:r>
          </w:p>
        </w:tc>
        <w:tc>
          <w:tcPr>
            <w:tcW w:w="3300" w:type="pct"/>
            <w:tcBorders>
              <w:top w:val="outset" w:sz="6" w:space="0" w:color="414142"/>
              <w:left w:val="outset" w:sz="6" w:space="0" w:color="414142"/>
              <w:bottom w:val="outset" w:sz="6" w:space="0" w:color="414142"/>
            </w:tcBorders>
            <w:shd w:val="clear" w:color="auto" w:fill="FFFFFF"/>
          </w:tcPr>
          <w:p w:rsidR="00D9641C" w:rsidRPr="00861F5A" w:rsidRDefault="00D9641C" w:rsidP="001E1C1B">
            <w:pPr>
              <w:pStyle w:val="NoSpacing"/>
              <w:jc w:val="both"/>
              <w:rPr>
                <w:sz w:val="28"/>
                <w:szCs w:val="28"/>
              </w:rPr>
            </w:pPr>
            <w:r w:rsidRPr="002C011F">
              <w:rPr>
                <w:sz w:val="28"/>
                <w:szCs w:val="28"/>
              </w:rPr>
              <w:t xml:space="preserve">Ar </w:t>
            </w:r>
            <w:r>
              <w:rPr>
                <w:sz w:val="28"/>
                <w:szCs w:val="28"/>
              </w:rPr>
              <w:t>likum</w:t>
            </w:r>
            <w:r w:rsidRPr="002C011F">
              <w:rPr>
                <w:sz w:val="28"/>
                <w:szCs w:val="28"/>
              </w:rPr>
              <w:t xml:space="preserve">projektu tiek </w:t>
            </w:r>
            <w:r w:rsidRPr="00861F5A">
              <w:rPr>
                <w:sz w:val="28"/>
                <w:szCs w:val="28"/>
              </w:rPr>
              <w:t xml:space="preserve">ieviestas prasības attiecībā uz vielu </w:t>
            </w:r>
            <w:r w:rsidRPr="00BB6821">
              <w:rPr>
                <w:b/>
                <w:sz w:val="28"/>
                <w:szCs w:val="28"/>
              </w:rPr>
              <w:t>AH-7921</w:t>
            </w:r>
            <w:r w:rsidRPr="00861F5A">
              <w:rPr>
                <w:sz w:val="28"/>
                <w:szCs w:val="28"/>
              </w:rPr>
              <w:t xml:space="preserve"> saskaņā ar</w:t>
            </w:r>
            <w:r>
              <w:rPr>
                <w:b/>
                <w:sz w:val="28"/>
                <w:szCs w:val="28"/>
              </w:rPr>
              <w:t xml:space="preserve"> </w:t>
            </w:r>
            <w:r w:rsidRPr="00861F5A">
              <w:rPr>
                <w:sz w:val="28"/>
                <w:szCs w:val="28"/>
              </w:rPr>
              <w:t xml:space="preserve">Eiropas Savienības Padomes 2014. gada </w:t>
            </w:r>
            <w:r>
              <w:rPr>
                <w:sz w:val="28"/>
                <w:szCs w:val="28"/>
              </w:rPr>
              <w:t>25. septembra īstenošanas lēmumu</w:t>
            </w:r>
            <w:r w:rsidRPr="00861F5A">
              <w:rPr>
                <w:sz w:val="28"/>
                <w:szCs w:val="28"/>
              </w:rPr>
              <w:t xml:space="preserve"> Nr.2014/688/ES par kontroles pasākumu piemērošanu šādām vielām: 4-jod-2,5-dimetoksi-N-(2-metoksibenzil) fenetilamīns (25I-NBOMe), </w:t>
            </w:r>
          </w:p>
          <w:p w:rsidR="005A1917" w:rsidRPr="00673B5B" w:rsidRDefault="00D9641C" w:rsidP="00861F5A">
            <w:pPr>
              <w:pStyle w:val="NoSpacing"/>
              <w:jc w:val="both"/>
              <w:rPr>
                <w:sz w:val="28"/>
                <w:szCs w:val="28"/>
              </w:rPr>
            </w:pPr>
            <w:r w:rsidRPr="00861F5A">
              <w:rPr>
                <w:b/>
                <w:sz w:val="28"/>
                <w:szCs w:val="28"/>
              </w:rPr>
              <w:t>3,4-dihlor-N-[[1-(dimetilamino)cikloheksil]metil]benzamīds (AH-</w:t>
            </w:r>
            <w:r w:rsidRPr="00861F5A">
              <w:rPr>
                <w:b/>
                <w:sz w:val="28"/>
                <w:szCs w:val="28"/>
              </w:rPr>
              <w:lastRenderedPageBreak/>
              <w:t>7921)</w:t>
            </w:r>
            <w:r w:rsidRPr="00861F5A">
              <w:rPr>
                <w:sz w:val="28"/>
                <w:szCs w:val="28"/>
              </w:rPr>
              <w:t>, 3,4-metilēndioksipirovalerons (MDPV) un 2-(3-metoksifenil)-2-(etilamino)cikloheksanons (metoksetamīns)</w:t>
            </w:r>
            <w:r w:rsidRPr="002C011F">
              <w:rPr>
                <w:sz w:val="28"/>
                <w:szCs w:val="28"/>
              </w:rPr>
              <w:t>.</w:t>
            </w:r>
            <w:r>
              <w:rPr>
                <w:b/>
                <w:sz w:val="28"/>
                <w:szCs w:val="28"/>
              </w:rPr>
              <w:t xml:space="preserve"> </w:t>
            </w:r>
            <w:r w:rsidRPr="00673B5B">
              <w:rPr>
                <w:sz w:val="28"/>
                <w:szCs w:val="28"/>
              </w:rPr>
              <w:t>E</w:t>
            </w:r>
            <w:r>
              <w:rPr>
                <w:sz w:val="28"/>
                <w:szCs w:val="28"/>
              </w:rPr>
              <w:t xml:space="preserve">iropas </w:t>
            </w:r>
            <w:r w:rsidRPr="00673B5B">
              <w:rPr>
                <w:sz w:val="28"/>
                <w:szCs w:val="28"/>
              </w:rPr>
              <w:t>S</w:t>
            </w:r>
            <w:r>
              <w:rPr>
                <w:sz w:val="28"/>
                <w:szCs w:val="28"/>
              </w:rPr>
              <w:t>avienības</w:t>
            </w:r>
            <w:r w:rsidRPr="00673B5B">
              <w:rPr>
                <w:sz w:val="28"/>
                <w:szCs w:val="28"/>
              </w:rPr>
              <w:t xml:space="preserve"> dalībvalstīm </w:t>
            </w:r>
            <w:r>
              <w:rPr>
                <w:sz w:val="28"/>
                <w:szCs w:val="28"/>
              </w:rPr>
              <w:t xml:space="preserve">prasības attiecībā uz īstenošanas lēmumā norādītajām vielām jāievieš </w:t>
            </w:r>
            <w:r w:rsidRPr="00673B5B">
              <w:rPr>
                <w:sz w:val="28"/>
                <w:szCs w:val="28"/>
              </w:rPr>
              <w:t xml:space="preserve">līdz </w:t>
            </w:r>
            <w:r>
              <w:rPr>
                <w:b/>
                <w:sz w:val="28"/>
                <w:szCs w:val="28"/>
              </w:rPr>
              <w:t>2015</w:t>
            </w:r>
            <w:r w:rsidRPr="002C011F">
              <w:rPr>
                <w:b/>
                <w:sz w:val="28"/>
                <w:szCs w:val="28"/>
              </w:rPr>
              <w:t>.</w:t>
            </w:r>
            <w:r>
              <w:rPr>
                <w:b/>
                <w:sz w:val="28"/>
                <w:szCs w:val="28"/>
              </w:rPr>
              <w:t xml:space="preserve"> gada 2</w:t>
            </w:r>
            <w:r w:rsidRPr="002C011F">
              <w:rPr>
                <w:b/>
                <w:sz w:val="28"/>
                <w:szCs w:val="28"/>
              </w:rPr>
              <w:t>.</w:t>
            </w:r>
            <w:r>
              <w:rPr>
                <w:b/>
                <w:sz w:val="28"/>
                <w:szCs w:val="28"/>
              </w:rPr>
              <w:t xml:space="preserve"> </w:t>
            </w:r>
            <w:r w:rsidRPr="002C011F">
              <w:rPr>
                <w:b/>
                <w:sz w:val="28"/>
                <w:szCs w:val="28"/>
              </w:rPr>
              <w:t>oktobrim</w:t>
            </w:r>
            <w:r w:rsidRPr="00673B5B">
              <w:rPr>
                <w:sz w:val="28"/>
                <w:szCs w:val="28"/>
              </w:rPr>
              <w:t>.</w:t>
            </w:r>
          </w:p>
        </w:tc>
      </w:tr>
      <w:tr w:rsidR="00D9641C" w:rsidRPr="00F86C26" w:rsidTr="001B3285">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lastRenderedPageBreak/>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Citas starptautiskās saistības</w:t>
            </w:r>
          </w:p>
        </w:tc>
        <w:tc>
          <w:tcPr>
            <w:tcW w:w="3300" w:type="pct"/>
            <w:tcBorders>
              <w:top w:val="outset" w:sz="6" w:space="0" w:color="414142"/>
              <w:left w:val="outset" w:sz="6" w:space="0" w:color="414142"/>
              <w:bottom w:val="outset" w:sz="6" w:space="0" w:color="414142"/>
            </w:tcBorders>
            <w:shd w:val="clear" w:color="auto" w:fill="FFFFFF"/>
          </w:tcPr>
          <w:p w:rsidR="00D9641C" w:rsidRPr="00307AD9" w:rsidRDefault="00D9641C" w:rsidP="000709FD">
            <w:pPr>
              <w:pStyle w:val="NoSpacing"/>
              <w:jc w:val="both"/>
              <w:rPr>
                <w:sz w:val="28"/>
                <w:szCs w:val="28"/>
              </w:rPr>
            </w:pPr>
            <w:r>
              <w:rPr>
                <w:sz w:val="28"/>
                <w:szCs w:val="28"/>
              </w:rPr>
              <w:t>Nav</w:t>
            </w:r>
          </w:p>
        </w:tc>
      </w:tr>
      <w:tr w:rsidR="00D9641C" w:rsidRPr="00F86C26" w:rsidTr="001B3285">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tcPr>
          <w:p w:rsidR="00D9641C" w:rsidRPr="00307AD9" w:rsidRDefault="00D9641C" w:rsidP="001B3285">
            <w:pPr>
              <w:pStyle w:val="NoSpacing"/>
              <w:jc w:val="both"/>
              <w:rPr>
                <w:sz w:val="28"/>
                <w:szCs w:val="28"/>
              </w:rPr>
            </w:pPr>
            <w:r w:rsidRPr="00307AD9">
              <w:rPr>
                <w:sz w:val="28"/>
                <w:szCs w:val="28"/>
              </w:rPr>
              <w:t>Cita informācija</w:t>
            </w:r>
          </w:p>
        </w:tc>
        <w:tc>
          <w:tcPr>
            <w:tcW w:w="3300" w:type="pct"/>
            <w:tcBorders>
              <w:top w:val="outset" w:sz="6" w:space="0" w:color="414142"/>
              <w:left w:val="outset" w:sz="6" w:space="0" w:color="414142"/>
              <w:bottom w:val="outset" w:sz="6" w:space="0" w:color="414142"/>
            </w:tcBorders>
            <w:shd w:val="clear" w:color="auto" w:fill="FFFFFF"/>
          </w:tcPr>
          <w:p w:rsidR="00D9641C" w:rsidRPr="00307AD9" w:rsidRDefault="00D9641C" w:rsidP="001E1C1B">
            <w:pPr>
              <w:pStyle w:val="NoSpacing"/>
              <w:jc w:val="both"/>
              <w:rPr>
                <w:sz w:val="28"/>
                <w:szCs w:val="28"/>
              </w:rPr>
            </w:pPr>
            <w:r>
              <w:rPr>
                <w:sz w:val="28"/>
                <w:szCs w:val="28"/>
              </w:rPr>
              <w:t>Nav</w:t>
            </w:r>
          </w:p>
        </w:tc>
      </w:tr>
    </w:tbl>
    <w:p w:rsidR="00D9641C" w:rsidRPr="000440D8" w:rsidRDefault="00D9641C" w:rsidP="00E101BB">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3042"/>
        <w:gridCol w:w="1710"/>
        <w:gridCol w:w="1140"/>
        <w:gridCol w:w="989"/>
        <w:gridCol w:w="2330"/>
      </w:tblGrid>
      <w:tr w:rsidR="00D9641C" w:rsidRPr="00F86C26" w:rsidTr="00E206BA">
        <w:tc>
          <w:tcPr>
            <w:tcW w:w="0" w:type="auto"/>
            <w:gridSpan w:val="5"/>
            <w:tcBorders>
              <w:top w:val="outset" w:sz="6" w:space="0" w:color="414142"/>
              <w:bottom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1.tabula</w:t>
            </w:r>
            <w:r w:rsidRPr="000440D8">
              <w:rPr>
                <w:sz w:val="28"/>
                <w:szCs w:val="28"/>
              </w:rPr>
              <w:br/>
              <w:t>Tiesību akta projekta atbilstība ES tiesību aktiem</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Attiecīgā ES tiesību akta datums, numurs un nosaukums</w:t>
            </w:r>
          </w:p>
        </w:tc>
        <w:tc>
          <w:tcPr>
            <w:tcW w:w="3349" w:type="pct"/>
            <w:gridSpan w:val="4"/>
            <w:tcBorders>
              <w:top w:val="outset" w:sz="6" w:space="0" w:color="414142"/>
              <w:left w:val="outset" w:sz="6" w:space="0" w:color="414142"/>
              <w:bottom w:val="outset" w:sz="6" w:space="0" w:color="414142"/>
            </w:tcBorders>
            <w:shd w:val="clear" w:color="auto" w:fill="FFFFFF"/>
          </w:tcPr>
          <w:p w:rsidR="00D9641C" w:rsidRPr="00861F5A" w:rsidRDefault="00D9641C" w:rsidP="000C3EEB">
            <w:pPr>
              <w:pStyle w:val="NoSpacing"/>
              <w:jc w:val="both"/>
              <w:rPr>
                <w:sz w:val="28"/>
                <w:szCs w:val="28"/>
              </w:rPr>
            </w:pPr>
            <w:r w:rsidRPr="00861F5A">
              <w:rPr>
                <w:sz w:val="28"/>
                <w:szCs w:val="28"/>
              </w:rPr>
              <w:t xml:space="preserve">Eiropas Savienības Padomes 2014. gada 25. septembra īstenošanas lēmums Nr.2014/688/ES par kontroles pasākumu piemērošanu šādām vielām: 4-jod-2,5-dimetoksi-N-(2-metoksibenzil) fenetilamīns (25I-NBOMe), </w:t>
            </w:r>
          </w:p>
          <w:p w:rsidR="00D9641C" w:rsidRPr="000709FD" w:rsidRDefault="00D9641C" w:rsidP="000C3EEB">
            <w:pPr>
              <w:pStyle w:val="NoSpacing"/>
              <w:jc w:val="both"/>
              <w:rPr>
                <w:sz w:val="28"/>
                <w:szCs w:val="28"/>
              </w:rPr>
            </w:pPr>
            <w:r w:rsidRPr="00861F5A">
              <w:rPr>
                <w:sz w:val="28"/>
                <w:szCs w:val="28"/>
              </w:rPr>
              <w:t>3,4-dihlor-N-[[1-(dimetilamino)cikloheksil]metil]benzamīds (AH-7921), 3,4-metilēndioksipirovalerons (MDPV) un 2-(3-metoksifenil)-2-(etilamino)cikloheksanons (metoksetamīns)</w:t>
            </w:r>
            <w:r>
              <w:rPr>
                <w:sz w:val="28"/>
                <w:szCs w:val="28"/>
              </w:rPr>
              <w:t xml:space="preserve">. </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A</w:t>
            </w:r>
          </w:p>
        </w:tc>
        <w:tc>
          <w:tcPr>
            <w:tcW w:w="92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B</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C</w:t>
            </w:r>
          </w:p>
        </w:tc>
        <w:tc>
          <w:tcPr>
            <w:tcW w:w="1265" w:type="pct"/>
            <w:tcBorders>
              <w:top w:val="outset" w:sz="6" w:space="0" w:color="414142"/>
              <w:left w:val="outset" w:sz="6" w:space="0" w:color="414142"/>
              <w:bottom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D</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0C73E1" w:rsidRDefault="00D9641C" w:rsidP="001B3285">
            <w:pPr>
              <w:pStyle w:val="NoSpacing"/>
              <w:jc w:val="both"/>
              <w:rPr>
                <w:sz w:val="28"/>
                <w:szCs w:val="28"/>
              </w:rPr>
            </w:pPr>
            <w:r w:rsidRPr="000C73E1">
              <w:rPr>
                <w:sz w:val="28"/>
                <w:szCs w:val="28"/>
              </w:rPr>
              <w:t>Attiecīgā ES tiesību akta panta numurs (uzskaitot katru tiesību akta vienību - pantu, daļu, punktu, apakšpunktu)</w:t>
            </w:r>
          </w:p>
        </w:tc>
        <w:tc>
          <w:tcPr>
            <w:tcW w:w="928" w:type="pct"/>
            <w:tcBorders>
              <w:top w:val="outset" w:sz="6" w:space="0" w:color="414142"/>
              <w:left w:val="outset" w:sz="6" w:space="0" w:color="414142"/>
              <w:bottom w:val="outset" w:sz="6" w:space="0" w:color="414142"/>
              <w:right w:val="outset" w:sz="6" w:space="0" w:color="414142"/>
            </w:tcBorders>
            <w:shd w:val="clear" w:color="auto" w:fill="FFFFFF"/>
          </w:tcPr>
          <w:p w:rsidR="00D9641C" w:rsidRPr="000C73E1" w:rsidRDefault="00D9641C" w:rsidP="001B3285">
            <w:pPr>
              <w:pStyle w:val="NoSpacing"/>
              <w:jc w:val="both"/>
              <w:rPr>
                <w:sz w:val="28"/>
                <w:szCs w:val="28"/>
              </w:rPr>
            </w:pPr>
            <w:r w:rsidRPr="000C73E1">
              <w:rPr>
                <w:sz w:val="28"/>
                <w:szCs w:val="28"/>
              </w:rPr>
              <w:t>Projekta vienība, kas pārņem vai ievieš katru šīs tabulas A ailē minēto ES tiesību akta vienību, vai tiesību akts, kur attiecīgā ES tiesību akta vienība pārņemta vai ieviesta</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0C73E1" w:rsidRDefault="00D9641C" w:rsidP="001B3285">
            <w:pPr>
              <w:pStyle w:val="NoSpacing"/>
              <w:jc w:val="both"/>
              <w:rPr>
                <w:sz w:val="28"/>
                <w:szCs w:val="28"/>
              </w:rPr>
            </w:pPr>
            <w:r w:rsidRPr="000C73E1">
              <w:rPr>
                <w:sz w:val="28"/>
                <w:szCs w:val="28"/>
              </w:rPr>
              <w:t>Informācija par to, vai šīs tabulas A ailē minētās ES tiesību akta vienības tiek pārņemtas vai ieviestas pilnībā vai daļēji.</w:t>
            </w:r>
          </w:p>
          <w:p w:rsidR="00D9641C" w:rsidRPr="000C73E1" w:rsidRDefault="00D9641C" w:rsidP="001B3285">
            <w:pPr>
              <w:pStyle w:val="NoSpacing"/>
              <w:jc w:val="both"/>
              <w:rPr>
                <w:sz w:val="28"/>
                <w:szCs w:val="28"/>
              </w:rPr>
            </w:pPr>
            <w:r w:rsidRPr="000C73E1">
              <w:rPr>
                <w:sz w:val="28"/>
                <w:szCs w:val="28"/>
              </w:rPr>
              <w:t xml:space="preserve">Ja attiecīgā ES tiesību akta vienība tiek pārņemta vai ieviesta daļēji, sniedz attiecīgu skaidrojumu, kā arī precīzi norāda, kad un kādā veidā ES tiesību akta </w:t>
            </w:r>
            <w:r w:rsidRPr="000C73E1">
              <w:rPr>
                <w:sz w:val="28"/>
                <w:szCs w:val="28"/>
              </w:rPr>
              <w:lastRenderedPageBreak/>
              <w:t>vienība tiks pārņemta vai ieviesta pilnībā.</w:t>
            </w:r>
          </w:p>
          <w:p w:rsidR="00D9641C" w:rsidRPr="000C73E1" w:rsidRDefault="00D9641C" w:rsidP="001B3285">
            <w:pPr>
              <w:pStyle w:val="NoSpacing"/>
              <w:jc w:val="both"/>
              <w:rPr>
                <w:sz w:val="28"/>
                <w:szCs w:val="28"/>
              </w:rPr>
            </w:pPr>
            <w:r w:rsidRPr="000C73E1">
              <w:rPr>
                <w:sz w:val="28"/>
                <w:szCs w:val="28"/>
              </w:rPr>
              <w:t>Norāda institūciju, kas ir atbildīga par šo saistību izpildi pilnībā</w:t>
            </w:r>
          </w:p>
        </w:tc>
        <w:tc>
          <w:tcPr>
            <w:tcW w:w="1265" w:type="pct"/>
            <w:tcBorders>
              <w:top w:val="outset" w:sz="6" w:space="0" w:color="414142"/>
              <w:left w:val="outset" w:sz="6" w:space="0" w:color="414142"/>
              <w:bottom w:val="outset" w:sz="6" w:space="0" w:color="414142"/>
            </w:tcBorders>
            <w:shd w:val="clear" w:color="auto" w:fill="FFFFFF"/>
          </w:tcPr>
          <w:p w:rsidR="00D9641C" w:rsidRPr="000C73E1" w:rsidRDefault="00D9641C" w:rsidP="001B3285">
            <w:pPr>
              <w:pStyle w:val="NoSpacing"/>
              <w:jc w:val="both"/>
              <w:rPr>
                <w:sz w:val="28"/>
                <w:szCs w:val="28"/>
              </w:rPr>
            </w:pPr>
            <w:r w:rsidRPr="000C73E1">
              <w:rPr>
                <w:sz w:val="28"/>
                <w:szCs w:val="28"/>
              </w:rPr>
              <w:lastRenderedPageBreak/>
              <w:t>Informācija par to, vai šīs tabulas B ailē minētās projekta vienības paredz stingrākas prasības nekā šīs tabulas A ailē minētās ES tiesību akta vienības.</w:t>
            </w:r>
          </w:p>
          <w:p w:rsidR="00D9641C" w:rsidRPr="000C73E1" w:rsidRDefault="00D9641C" w:rsidP="001B3285">
            <w:pPr>
              <w:pStyle w:val="NoSpacing"/>
              <w:jc w:val="both"/>
              <w:rPr>
                <w:sz w:val="28"/>
                <w:szCs w:val="28"/>
              </w:rPr>
            </w:pPr>
            <w:r w:rsidRPr="000C73E1">
              <w:rPr>
                <w:sz w:val="28"/>
                <w:szCs w:val="28"/>
              </w:rPr>
              <w:t>Ja projekts satur stingrākas prasības nekā attiecīgais ES tiesību akts, norāda pamatojumu un samērīgumu.</w:t>
            </w:r>
          </w:p>
          <w:p w:rsidR="00D9641C" w:rsidRPr="000C73E1" w:rsidRDefault="00D9641C" w:rsidP="001B3285">
            <w:pPr>
              <w:pStyle w:val="NoSpacing"/>
              <w:jc w:val="both"/>
              <w:rPr>
                <w:sz w:val="28"/>
                <w:szCs w:val="28"/>
              </w:rPr>
            </w:pPr>
            <w:r w:rsidRPr="000C73E1">
              <w:rPr>
                <w:sz w:val="28"/>
                <w:szCs w:val="28"/>
              </w:rPr>
              <w:t xml:space="preserve">Norāda iespējamās alternatīvas (t.sk. alternatīvas, kas </w:t>
            </w:r>
            <w:r w:rsidRPr="000C73E1">
              <w:rPr>
                <w:sz w:val="28"/>
                <w:szCs w:val="28"/>
              </w:rPr>
              <w:lastRenderedPageBreak/>
              <w:t>neparedz tiesiskā regulējuma izstrādi) - kādos gadījumos būtu iespējams izvairīties no stingrāku prasību noteikšanas, nekā paredzēts attiecīgajos ES tiesību aktos</w:t>
            </w:r>
          </w:p>
        </w:tc>
      </w:tr>
      <w:tr w:rsidR="00D9641C" w:rsidRPr="00C6172C" w:rsidTr="00DE3F15">
        <w:tc>
          <w:tcPr>
            <w:tcW w:w="1651" w:type="pct"/>
            <w:tcBorders>
              <w:top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lastRenderedPageBreak/>
              <w:t>1. panta a) apakšpunkts</w:t>
            </w:r>
          </w:p>
        </w:tc>
        <w:tc>
          <w:tcPr>
            <w:tcW w:w="928" w:type="pct"/>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Likumprojekts (attiecībā uz likuma 2. pielikuma II nodaļas 8.5. punkta 1) apakšpunktu)</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Ieviestas pilnībā</w:t>
            </w:r>
          </w:p>
        </w:tc>
        <w:tc>
          <w:tcPr>
            <w:tcW w:w="1265" w:type="pct"/>
            <w:tcBorders>
              <w:top w:val="outset" w:sz="6" w:space="0" w:color="414142"/>
              <w:left w:val="outset" w:sz="6" w:space="0" w:color="414142"/>
              <w:bottom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Neparedz stingrākas prasības</w:t>
            </w:r>
          </w:p>
        </w:tc>
      </w:tr>
      <w:tr w:rsidR="00D9641C" w:rsidRPr="00C6172C" w:rsidTr="00DE3F15">
        <w:tc>
          <w:tcPr>
            <w:tcW w:w="1651" w:type="pct"/>
            <w:tcBorders>
              <w:top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1. panta b) apakšpunkts</w:t>
            </w:r>
          </w:p>
        </w:tc>
        <w:tc>
          <w:tcPr>
            <w:tcW w:w="928" w:type="pct"/>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Likumprojekts (attiecībā uz likuma 2. pielikuma II nodaļas 4. punkta 4) apakšpunktu)</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Ieviestas pilnībā</w:t>
            </w:r>
          </w:p>
        </w:tc>
        <w:tc>
          <w:tcPr>
            <w:tcW w:w="1265" w:type="pct"/>
            <w:tcBorders>
              <w:top w:val="outset" w:sz="6" w:space="0" w:color="414142"/>
              <w:left w:val="outset" w:sz="6" w:space="0" w:color="414142"/>
              <w:bottom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Neparedz stingrākas prasības</w:t>
            </w:r>
          </w:p>
        </w:tc>
      </w:tr>
      <w:tr w:rsidR="00D9641C" w:rsidRPr="00C6172C" w:rsidTr="00DE3F15">
        <w:tc>
          <w:tcPr>
            <w:tcW w:w="1651" w:type="pct"/>
            <w:tcBorders>
              <w:top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1.  panta c) apakšpunkts</w:t>
            </w:r>
          </w:p>
        </w:tc>
        <w:tc>
          <w:tcPr>
            <w:tcW w:w="928" w:type="pct"/>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Likumprojekts</w:t>
            </w:r>
          </w:p>
          <w:p w:rsidR="00D9641C" w:rsidRPr="00DE750A" w:rsidRDefault="00D9641C" w:rsidP="00A67BD5">
            <w:pPr>
              <w:pStyle w:val="NoSpacing"/>
              <w:jc w:val="both"/>
              <w:rPr>
                <w:sz w:val="28"/>
                <w:szCs w:val="28"/>
              </w:rPr>
            </w:pPr>
            <w:r w:rsidRPr="00DE750A">
              <w:rPr>
                <w:sz w:val="28"/>
                <w:szCs w:val="28"/>
              </w:rPr>
              <w:t>(attiecībā uz likuma 2. pielikuma II nodaļas 8.5. punkta 6) apakšpunktu)</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Ieviestas pilnībā</w:t>
            </w:r>
          </w:p>
        </w:tc>
        <w:tc>
          <w:tcPr>
            <w:tcW w:w="1265" w:type="pct"/>
            <w:tcBorders>
              <w:top w:val="outset" w:sz="6" w:space="0" w:color="414142"/>
              <w:left w:val="outset" w:sz="6" w:space="0" w:color="414142"/>
              <w:bottom w:val="outset" w:sz="6" w:space="0" w:color="414142"/>
            </w:tcBorders>
            <w:shd w:val="clear" w:color="auto" w:fill="FFFFFF"/>
          </w:tcPr>
          <w:p w:rsidR="00D9641C" w:rsidRPr="00DE750A" w:rsidRDefault="00D9641C" w:rsidP="00A67BD5">
            <w:pPr>
              <w:pStyle w:val="NoSpacing"/>
              <w:jc w:val="both"/>
              <w:rPr>
                <w:sz w:val="28"/>
                <w:szCs w:val="28"/>
              </w:rPr>
            </w:pPr>
            <w:r w:rsidRPr="00DE750A">
              <w:rPr>
                <w:sz w:val="28"/>
                <w:szCs w:val="28"/>
              </w:rPr>
              <w:t>Neparedz stingrākas prasības</w:t>
            </w:r>
          </w:p>
        </w:tc>
      </w:tr>
      <w:tr w:rsidR="00D9641C" w:rsidRPr="00C6172C" w:rsidTr="00DE3F15">
        <w:tc>
          <w:tcPr>
            <w:tcW w:w="1651" w:type="pct"/>
            <w:tcBorders>
              <w:top w:val="outset" w:sz="6" w:space="0" w:color="414142"/>
              <w:bottom w:val="outset" w:sz="6" w:space="0" w:color="414142"/>
              <w:right w:val="outset" w:sz="6" w:space="0" w:color="414142"/>
            </w:tcBorders>
            <w:shd w:val="clear" w:color="auto" w:fill="FFFFFF"/>
          </w:tcPr>
          <w:p w:rsidR="00D9641C" w:rsidRPr="00DE750A" w:rsidRDefault="00D9641C" w:rsidP="00A24790">
            <w:pPr>
              <w:pStyle w:val="NoSpacing"/>
              <w:jc w:val="both"/>
              <w:rPr>
                <w:sz w:val="28"/>
                <w:szCs w:val="28"/>
              </w:rPr>
            </w:pPr>
            <w:r w:rsidRPr="00DE750A">
              <w:rPr>
                <w:sz w:val="28"/>
                <w:szCs w:val="28"/>
              </w:rPr>
              <w:t>1. panta d) apakšpunkts</w:t>
            </w:r>
          </w:p>
        </w:tc>
        <w:tc>
          <w:tcPr>
            <w:tcW w:w="928" w:type="pct"/>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91779D">
            <w:pPr>
              <w:pStyle w:val="NoSpacing"/>
              <w:jc w:val="both"/>
              <w:rPr>
                <w:sz w:val="28"/>
                <w:szCs w:val="28"/>
              </w:rPr>
            </w:pPr>
            <w:r w:rsidRPr="00DE750A">
              <w:rPr>
                <w:sz w:val="28"/>
                <w:szCs w:val="28"/>
              </w:rPr>
              <w:t>Likumprojekts (attiecībā uz likuma 2. pielikuma II nodaļas 8.5. punkta 9) apakšpunktu)</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A24790">
            <w:pPr>
              <w:pStyle w:val="NoSpacing"/>
              <w:jc w:val="both"/>
              <w:rPr>
                <w:sz w:val="28"/>
                <w:szCs w:val="28"/>
              </w:rPr>
            </w:pPr>
            <w:r w:rsidRPr="00DE750A">
              <w:rPr>
                <w:sz w:val="28"/>
                <w:szCs w:val="28"/>
              </w:rPr>
              <w:t>Ieviestas pilnībā</w:t>
            </w:r>
          </w:p>
        </w:tc>
        <w:tc>
          <w:tcPr>
            <w:tcW w:w="1265" w:type="pct"/>
            <w:tcBorders>
              <w:top w:val="outset" w:sz="6" w:space="0" w:color="414142"/>
              <w:left w:val="outset" w:sz="6" w:space="0" w:color="414142"/>
              <w:bottom w:val="outset" w:sz="6" w:space="0" w:color="414142"/>
            </w:tcBorders>
            <w:shd w:val="clear" w:color="auto" w:fill="FFFFFF"/>
          </w:tcPr>
          <w:p w:rsidR="00D9641C" w:rsidRPr="00DE750A" w:rsidRDefault="00D9641C" w:rsidP="00A24790">
            <w:pPr>
              <w:pStyle w:val="NoSpacing"/>
              <w:jc w:val="both"/>
              <w:rPr>
                <w:sz w:val="28"/>
                <w:szCs w:val="28"/>
              </w:rPr>
            </w:pPr>
            <w:r w:rsidRPr="00DE750A">
              <w:rPr>
                <w:sz w:val="28"/>
                <w:szCs w:val="28"/>
              </w:rPr>
              <w:t>Neparedz stingrākas prasības</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DE750A" w:rsidRDefault="00D9641C" w:rsidP="00A24790">
            <w:pPr>
              <w:pStyle w:val="NoSpacing"/>
              <w:jc w:val="both"/>
              <w:rPr>
                <w:sz w:val="28"/>
                <w:szCs w:val="28"/>
              </w:rPr>
            </w:pPr>
            <w:r w:rsidRPr="00DE750A">
              <w:rPr>
                <w:sz w:val="28"/>
                <w:szCs w:val="28"/>
              </w:rPr>
              <w:t>2. pants</w:t>
            </w:r>
          </w:p>
        </w:tc>
        <w:tc>
          <w:tcPr>
            <w:tcW w:w="928" w:type="pct"/>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91779D">
            <w:pPr>
              <w:pStyle w:val="NoSpacing"/>
              <w:jc w:val="both"/>
              <w:rPr>
                <w:sz w:val="28"/>
                <w:szCs w:val="28"/>
              </w:rPr>
            </w:pPr>
            <w:r w:rsidRPr="00DE750A">
              <w:rPr>
                <w:sz w:val="28"/>
                <w:szCs w:val="28"/>
              </w:rPr>
              <w:t>Likumprojekts</w:t>
            </w:r>
          </w:p>
          <w:p w:rsidR="00D9641C" w:rsidRPr="00DE750A" w:rsidRDefault="00D9641C" w:rsidP="0091779D">
            <w:pPr>
              <w:pStyle w:val="NoSpacing"/>
              <w:jc w:val="both"/>
              <w:rPr>
                <w:b/>
                <w:color w:val="FF0000"/>
                <w:sz w:val="28"/>
                <w:szCs w:val="28"/>
              </w:rPr>
            </w:pPr>
            <w:r w:rsidRPr="00DE750A">
              <w:rPr>
                <w:sz w:val="28"/>
                <w:szCs w:val="28"/>
              </w:rPr>
              <w:t xml:space="preserve">(attiecībā uz likuma 2. pielikuma II </w:t>
            </w:r>
            <w:r w:rsidRPr="00DE750A">
              <w:rPr>
                <w:sz w:val="28"/>
                <w:szCs w:val="28"/>
              </w:rPr>
              <w:lastRenderedPageBreak/>
              <w:t>nodaļas 4. punkta 4) apakšpunktu un 8.5. punkta 1), 6) un 9) apakšpunktu)</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DE750A" w:rsidRDefault="00D9641C" w:rsidP="00A24790">
            <w:pPr>
              <w:pStyle w:val="NoSpacing"/>
              <w:jc w:val="both"/>
              <w:rPr>
                <w:sz w:val="28"/>
                <w:szCs w:val="28"/>
              </w:rPr>
            </w:pPr>
            <w:r w:rsidRPr="00DE750A">
              <w:rPr>
                <w:sz w:val="28"/>
                <w:szCs w:val="28"/>
              </w:rPr>
              <w:lastRenderedPageBreak/>
              <w:t>Ieviestas pilnībā</w:t>
            </w:r>
          </w:p>
        </w:tc>
        <w:tc>
          <w:tcPr>
            <w:tcW w:w="1265" w:type="pct"/>
            <w:tcBorders>
              <w:top w:val="outset" w:sz="6" w:space="0" w:color="414142"/>
              <w:left w:val="outset" w:sz="6" w:space="0" w:color="414142"/>
              <w:bottom w:val="outset" w:sz="6" w:space="0" w:color="414142"/>
            </w:tcBorders>
            <w:shd w:val="clear" w:color="auto" w:fill="FFFFFF"/>
          </w:tcPr>
          <w:p w:rsidR="00D9641C" w:rsidRPr="000C73E1" w:rsidRDefault="00D9641C" w:rsidP="00A24790">
            <w:pPr>
              <w:pStyle w:val="NoSpacing"/>
              <w:jc w:val="both"/>
              <w:rPr>
                <w:sz w:val="28"/>
                <w:szCs w:val="28"/>
              </w:rPr>
            </w:pPr>
            <w:r w:rsidRPr="00DE750A">
              <w:rPr>
                <w:sz w:val="28"/>
                <w:szCs w:val="28"/>
              </w:rPr>
              <w:t>Neparedz stingrākas prasības</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lastRenderedPageBreak/>
              <w:t>Kā ir izmantota ES tiesību aktā paredzētā rīcības brīvība dalībvalstij pārņemt vai ieviest noteiktas ES tiesību akta normas?</w:t>
            </w:r>
            <w:r w:rsidRPr="000440D8">
              <w:rPr>
                <w:sz w:val="28"/>
                <w:szCs w:val="28"/>
              </w:rPr>
              <w:br/>
              <w:t>Kādēļ?</w:t>
            </w:r>
          </w:p>
        </w:tc>
        <w:tc>
          <w:tcPr>
            <w:tcW w:w="3349" w:type="pct"/>
            <w:gridSpan w:val="4"/>
            <w:tcBorders>
              <w:top w:val="outset" w:sz="6" w:space="0" w:color="414142"/>
              <w:left w:val="outset" w:sz="6" w:space="0" w:color="414142"/>
              <w:bottom w:val="outset" w:sz="6" w:space="0" w:color="414142"/>
            </w:tcBorders>
            <w:shd w:val="clear" w:color="auto" w:fill="FFFFFF"/>
          </w:tcPr>
          <w:p w:rsidR="00D9641C" w:rsidRPr="000440D8" w:rsidRDefault="00D9641C" w:rsidP="001B3285">
            <w:pPr>
              <w:pStyle w:val="NoSpacing"/>
              <w:jc w:val="both"/>
              <w:rPr>
                <w:sz w:val="28"/>
                <w:szCs w:val="28"/>
              </w:rPr>
            </w:pPr>
            <w:r>
              <w:rPr>
                <w:sz w:val="28"/>
                <w:szCs w:val="28"/>
              </w:rPr>
              <w:t>Nav attiecināms</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49" w:type="pct"/>
            <w:gridSpan w:val="4"/>
            <w:tcBorders>
              <w:top w:val="outset" w:sz="6" w:space="0" w:color="414142"/>
              <w:left w:val="outset" w:sz="6" w:space="0" w:color="414142"/>
              <w:bottom w:val="outset" w:sz="6" w:space="0" w:color="414142"/>
            </w:tcBorders>
            <w:shd w:val="clear" w:color="auto" w:fill="FFFFFF"/>
          </w:tcPr>
          <w:p w:rsidR="00D9641C" w:rsidRPr="000440D8" w:rsidRDefault="005A1917" w:rsidP="005A1917">
            <w:pPr>
              <w:pStyle w:val="NoSpacing"/>
              <w:jc w:val="both"/>
              <w:rPr>
                <w:sz w:val="28"/>
                <w:szCs w:val="28"/>
              </w:rPr>
            </w:pPr>
            <w:r>
              <w:rPr>
                <w:sz w:val="28"/>
                <w:szCs w:val="28"/>
              </w:rPr>
              <w:t xml:space="preserve">Par likumprojektu nepieciešams sniegt paziņojumu Eiropas Komisijai saskaņā ar Ministru kabineta 2010. gada 23. februāra instrukcijas Nr. 1 „Kārtība, kādā valsts pārvaldes iestādes sniedz informāciju par tehnisko noteikumu projektiem” 2.3. un 2.4. apakšpunktiem, kā arī 7. punktu. </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Cita informācija</w:t>
            </w:r>
          </w:p>
        </w:tc>
        <w:tc>
          <w:tcPr>
            <w:tcW w:w="3349" w:type="pct"/>
            <w:gridSpan w:val="4"/>
            <w:tcBorders>
              <w:top w:val="outset" w:sz="6" w:space="0" w:color="414142"/>
              <w:left w:val="outset" w:sz="6" w:space="0" w:color="414142"/>
              <w:bottom w:val="outset" w:sz="6" w:space="0" w:color="414142"/>
            </w:tcBorders>
            <w:shd w:val="clear" w:color="auto" w:fill="FFFFFF"/>
          </w:tcPr>
          <w:p w:rsidR="00D9641C" w:rsidRPr="000440D8" w:rsidRDefault="00D9641C" w:rsidP="001B3285">
            <w:pPr>
              <w:pStyle w:val="NoSpacing"/>
              <w:jc w:val="both"/>
              <w:rPr>
                <w:sz w:val="28"/>
                <w:szCs w:val="28"/>
              </w:rPr>
            </w:pPr>
            <w:r>
              <w:rPr>
                <w:sz w:val="28"/>
                <w:szCs w:val="28"/>
              </w:rPr>
              <w:t>Nav</w:t>
            </w:r>
          </w:p>
        </w:tc>
      </w:tr>
      <w:tr w:rsidR="00D9641C" w:rsidRPr="00F86C26" w:rsidTr="00E206BA">
        <w:tc>
          <w:tcPr>
            <w:tcW w:w="5000" w:type="pct"/>
            <w:gridSpan w:val="5"/>
            <w:tcBorders>
              <w:top w:val="outset" w:sz="6" w:space="0" w:color="414142"/>
              <w:bottom w:val="outset" w:sz="6" w:space="0" w:color="414142"/>
            </w:tcBorders>
            <w:shd w:val="clear" w:color="auto" w:fill="FFFFFF"/>
            <w:vAlign w:val="center"/>
          </w:tcPr>
          <w:p w:rsidR="00D9641C" w:rsidRPr="00374F7D" w:rsidRDefault="00D9641C" w:rsidP="002E538B">
            <w:pPr>
              <w:pStyle w:val="NoSpacing"/>
              <w:jc w:val="both"/>
              <w:rPr>
                <w:sz w:val="28"/>
                <w:szCs w:val="28"/>
              </w:rPr>
            </w:pPr>
            <w:r w:rsidRPr="00374F7D">
              <w:rPr>
                <w:sz w:val="28"/>
                <w:szCs w:val="28"/>
              </w:rPr>
              <w:t>2.tabula</w:t>
            </w:r>
            <w:r w:rsidRPr="00374F7D">
              <w:rPr>
                <w:sz w:val="28"/>
                <w:szCs w:val="28"/>
              </w:rPr>
              <w:br/>
              <w:t>Ar tiesību akta projektu izpildītās vai uzņemtās saistības, kas izriet no starptautiskajiem tiesību aktiem vai starptautiskas institūcijas vai organizācijas dokumentiem.</w:t>
            </w:r>
            <w:r w:rsidRPr="00374F7D">
              <w:rPr>
                <w:sz w:val="28"/>
                <w:szCs w:val="28"/>
              </w:rPr>
              <w:br/>
              <w:t>Pasākumi šo saistību izpildei</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vAlign w:val="center"/>
          </w:tcPr>
          <w:p w:rsidR="00D9641C" w:rsidRPr="00374F7D" w:rsidRDefault="00D9641C" w:rsidP="002E538B">
            <w:pPr>
              <w:pStyle w:val="NoSpacing"/>
              <w:jc w:val="both"/>
              <w:rPr>
                <w:sz w:val="28"/>
                <w:szCs w:val="28"/>
              </w:rPr>
            </w:pPr>
            <w:r w:rsidRPr="00374F7D">
              <w:rPr>
                <w:sz w:val="28"/>
                <w:szCs w:val="28"/>
              </w:rPr>
              <w:t>Attiecīgā starptautiskā tiesību akta vai starptautiskas institūcijas vai organizācijas dokumenta (turpmāk - starptautiskais dokuments) datums, numurs un nosaukums</w:t>
            </w:r>
          </w:p>
        </w:tc>
        <w:tc>
          <w:tcPr>
            <w:tcW w:w="3349" w:type="pct"/>
            <w:gridSpan w:val="4"/>
            <w:tcBorders>
              <w:top w:val="outset" w:sz="6" w:space="0" w:color="414142"/>
              <w:left w:val="outset" w:sz="6" w:space="0" w:color="414142"/>
              <w:bottom w:val="outset" w:sz="6" w:space="0" w:color="414142"/>
            </w:tcBorders>
            <w:shd w:val="clear" w:color="auto" w:fill="FFFFFF"/>
          </w:tcPr>
          <w:p w:rsidR="00D9641C" w:rsidRPr="000709FD" w:rsidRDefault="00D9641C" w:rsidP="000709FD">
            <w:pPr>
              <w:pStyle w:val="NoSpacing"/>
              <w:jc w:val="both"/>
              <w:rPr>
                <w:sz w:val="28"/>
                <w:szCs w:val="28"/>
              </w:rPr>
            </w:pPr>
            <w:r>
              <w:rPr>
                <w:sz w:val="28"/>
                <w:szCs w:val="28"/>
              </w:rPr>
              <w:t>Nav</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vAlign w:val="center"/>
          </w:tcPr>
          <w:p w:rsidR="00D9641C" w:rsidRPr="00374F7D" w:rsidRDefault="00D9641C" w:rsidP="002E538B">
            <w:pPr>
              <w:pStyle w:val="NoSpacing"/>
              <w:jc w:val="both"/>
              <w:rPr>
                <w:sz w:val="28"/>
                <w:szCs w:val="28"/>
              </w:rPr>
            </w:pPr>
            <w:r w:rsidRPr="00374F7D">
              <w:rPr>
                <w:sz w:val="28"/>
                <w:szCs w:val="28"/>
              </w:rPr>
              <w:t>A</w:t>
            </w:r>
          </w:p>
        </w:tc>
        <w:tc>
          <w:tcPr>
            <w:tcW w:w="154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374F7D" w:rsidRDefault="00D9641C" w:rsidP="002E538B">
            <w:pPr>
              <w:pStyle w:val="NoSpacing"/>
              <w:jc w:val="both"/>
              <w:rPr>
                <w:sz w:val="28"/>
                <w:szCs w:val="28"/>
              </w:rPr>
            </w:pPr>
            <w:r w:rsidRPr="00374F7D">
              <w:rPr>
                <w:sz w:val="28"/>
                <w:szCs w:val="28"/>
              </w:rPr>
              <w:t>B</w:t>
            </w:r>
          </w:p>
        </w:tc>
        <w:tc>
          <w:tcPr>
            <w:tcW w:w="1802" w:type="pct"/>
            <w:gridSpan w:val="2"/>
            <w:tcBorders>
              <w:top w:val="outset" w:sz="6" w:space="0" w:color="414142"/>
              <w:left w:val="outset" w:sz="6" w:space="0" w:color="414142"/>
              <w:bottom w:val="outset" w:sz="6" w:space="0" w:color="414142"/>
            </w:tcBorders>
            <w:shd w:val="clear" w:color="auto" w:fill="FFFFFF"/>
            <w:vAlign w:val="center"/>
          </w:tcPr>
          <w:p w:rsidR="00D9641C" w:rsidRPr="00374F7D" w:rsidRDefault="00D9641C" w:rsidP="002E538B">
            <w:pPr>
              <w:pStyle w:val="NoSpacing"/>
              <w:jc w:val="both"/>
              <w:rPr>
                <w:sz w:val="28"/>
                <w:szCs w:val="28"/>
              </w:rPr>
            </w:pPr>
            <w:r w:rsidRPr="00374F7D">
              <w:rPr>
                <w:sz w:val="28"/>
                <w:szCs w:val="28"/>
              </w:rPr>
              <w:t>C</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374F7D" w:rsidRDefault="00D9641C" w:rsidP="002E538B">
            <w:pPr>
              <w:pStyle w:val="NoSpacing"/>
              <w:jc w:val="both"/>
              <w:rPr>
                <w:sz w:val="28"/>
                <w:szCs w:val="28"/>
              </w:rPr>
            </w:pPr>
            <w:r w:rsidRPr="00374F7D">
              <w:rPr>
                <w:sz w:val="28"/>
                <w:szCs w:val="28"/>
              </w:rPr>
              <w:t xml:space="preserve">Starptautiskās saistības </w:t>
            </w:r>
            <w:r w:rsidRPr="00374F7D">
              <w:rPr>
                <w:sz w:val="28"/>
                <w:szCs w:val="28"/>
              </w:rPr>
              <w:lastRenderedPageBreak/>
              <w:t>(pēc būtības), kas izriet no norādītā starptautiskā dokumenta.</w:t>
            </w:r>
          </w:p>
          <w:p w:rsidR="00D9641C" w:rsidRPr="00374F7D" w:rsidRDefault="00D9641C" w:rsidP="002E538B">
            <w:pPr>
              <w:pStyle w:val="NoSpacing"/>
              <w:jc w:val="both"/>
              <w:rPr>
                <w:sz w:val="28"/>
                <w:szCs w:val="28"/>
              </w:rPr>
            </w:pPr>
            <w:r w:rsidRPr="00374F7D">
              <w:rPr>
                <w:sz w:val="28"/>
                <w:szCs w:val="28"/>
              </w:rPr>
              <w:t>Konkrēti veicamie pasākumi vai uzdevumi, kas nepieciešami šo starptautisko saistību izpildei</w:t>
            </w:r>
          </w:p>
        </w:tc>
        <w:tc>
          <w:tcPr>
            <w:tcW w:w="1547"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3E31FC" w:rsidRDefault="00D9641C" w:rsidP="002E538B">
            <w:pPr>
              <w:pStyle w:val="NoSpacing"/>
              <w:jc w:val="both"/>
              <w:rPr>
                <w:sz w:val="28"/>
                <w:szCs w:val="28"/>
              </w:rPr>
            </w:pPr>
            <w:r w:rsidRPr="00374F7D">
              <w:rPr>
                <w:sz w:val="28"/>
                <w:szCs w:val="28"/>
              </w:rPr>
              <w:lastRenderedPageBreak/>
              <w:t xml:space="preserve">Ja pasākumi vai </w:t>
            </w:r>
            <w:r w:rsidRPr="00374F7D">
              <w:rPr>
                <w:sz w:val="28"/>
                <w:szCs w:val="28"/>
              </w:rPr>
              <w:lastRenderedPageBreak/>
              <w:t>uzdevumi, ar ko tiks izpildītas starptautiskās saistības, tiek noteikti projektā, norāda attiecīgo projekta vienību vai dokumentu, kurā sniegts izvērsts skaidrojums, kādā veidā tiks nodrošināta starptautisko saistību izpilde</w:t>
            </w:r>
          </w:p>
        </w:tc>
        <w:tc>
          <w:tcPr>
            <w:tcW w:w="1802" w:type="pct"/>
            <w:gridSpan w:val="2"/>
            <w:tcBorders>
              <w:top w:val="outset" w:sz="6" w:space="0" w:color="414142"/>
              <w:left w:val="outset" w:sz="6" w:space="0" w:color="414142"/>
              <w:bottom w:val="outset" w:sz="6" w:space="0" w:color="414142"/>
            </w:tcBorders>
            <w:shd w:val="clear" w:color="auto" w:fill="FFFFFF"/>
          </w:tcPr>
          <w:p w:rsidR="00D9641C" w:rsidRPr="00374F7D" w:rsidRDefault="00D9641C" w:rsidP="002E538B">
            <w:pPr>
              <w:pStyle w:val="NoSpacing"/>
              <w:jc w:val="both"/>
              <w:rPr>
                <w:sz w:val="28"/>
                <w:szCs w:val="28"/>
              </w:rPr>
            </w:pPr>
            <w:r w:rsidRPr="00374F7D">
              <w:rPr>
                <w:sz w:val="28"/>
                <w:szCs w:val="28"/>
              </w:rPr>
              <w:lastRenderedPageBreak/>
              <w:t xml:space="preserve">Informācija par to, vai </w:t>
            </w:r>
            <w:r w:rsidRPr="00374F7D">
              <w:rPr>
                <w:sz w:val="28"/>
                <w:szCs w:val="28"/>
              </w:rPr>
              <w:lastRenderedPageBreak/>
              <w:t>starptautiskās saistības, kas minētas šīs tabulas A ailē, tiek izpildītas pilnībā vai daļēji.</w:t>
            </w:r>
          </w:p>
          <w:p w:rsidR="00D9641C" w:rsidRPr="00374F7D" w:rsidRDefault="00D9641C" w:rsidP="002E538B">
            <w:pPr>
              <w:pStyle w:val="NoSpacing"/>
              <w:jc w:val="both"/>
              <w:rPr>
                <w:sz w:val="28"/>
                <w:szCs w:val="28"/>
              </w:rPr>
            </w:pPr>
            <w:r w:rsidRPr="00374F7D">
              <w:rPr>
                <w:sz w:val="28"/>
                <w:szCs w:val="28"/>
              </w:rPr>
              <w:t>Ja attiecīgās starptautiskās saistības tiek izpildītas daļēji, sniedz skaidrojumu, kā arī precīzi norāda, kad un kādā veidā starptautiskās saistības tiks izpildītas pilnībā.</w:t>
            </w:r>
          </w:p>
          <w:p w:rsidR="00D9641C" w:rsidRPr="00374F7D" w:rsidRDefault="00D9641C" w:rsidP="002E538B">
            <w:pPr>
              <w:pStyle w:val="NoSpacing"/>
              <w:jc w:val="both"/>
              <w:rPr>
                <w:sz w:val="28"/>
                <w:szCs w:val="28"/>
              </w:rPr>
            </w:pPr>
            <w:r w:rsidRPr="00374F7D">
              <w:rPr>
                <w:sz w:val="28"/>
                <w:szCs w:val="28"/>
              </w:rPr>
              <w:t>Norāda institūciju, kas ir atbildīga par šo saistību izpildi pilnībā</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242A19" w:rsidRDefault="00D9641C" w:rsidP="002E538B">
            <w:pPr>
              <w:pStyle w:val="NoSpacing"/>
              <w:jc w:val="both"/>
              <w:rPr>
                <w:sz w:val="28"/>
                <w:szCs w:val="28"/>
              </w:rPr>
            </w:pPr>
            <w:r>
              <w:rPr>
                <w:noProof/>
                <w:sz w:val="28"/>
                <w:szCs w:val="28"/>
              </w:rPr>
              <w:lastRenderedPageBreak/>
              <w:t>Nav</w:t>
            </w:r>
          </w:p>
        </w:tc>
        <w:tc>
          <w:tcPr>
            <w:tcW w:w="1547"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EE27EA" w:rsidRDefault="00D9641C" w:rsidP="0091779D">
            <w:pPr>
              <w:pStyle w:val="NoSpacing"/>
              <w:jc w:val="both"/>
              <w:rPr>
                <w:b/>
                <w:sz w:val="28"/>
                <w:szCs w:val="28"/>
              </w:rPr>
            </w:pPr>
            <w:r>
              <w:rPr>
                <w:sz w:val="28"/>
                <w:szCs w:val="28"/>
              </w:rPr>
              <w:t>Nav</w:t>
            </w:r>
          </w:p>
        </w:tc>
        <w:tc>
          <w:tcPr>
            <w:tcW w:w="1802" w:type="pct"/>
            <w:gridSpan w:val="2"/>
            <w:tcBorders>
              <w:top w:val="outset" w:sz="6" w:space="0" w:color="414142"/>
              <w:left w:val="outset" w:sz="6" w:space="0" w:color="414142"/>
              <w:bottom w:val="outset" w:sz="6" w:space="0" w:color="414142"/>
            </w:tcBorders>
            <w:shd w:val="clear" w:color="auto" w:fill="FFFFFF"/>
          </w:tcPr>
          <w:p w:rsidR="00D9641C" w:rsidRPr="00374F7D" w:rsidRDefault="00D9641C" w:rsidP="002E538B">
            <w:pPr>
              <w:pStyle w:val="NoSpacing"/>
              <w:jc w:val="both"/>
              <w:rPr>
                <w:b/>
                <w:sz w:val="28"/>
                <w:szCs w:val="28"/>
              </w:rPr>
            </w:pPr>
            <w:r>
              <w:rPr>
                <w:sz w:val="28"/>
                <w:szCs w:val="28"/>
              </w:rPr>
              <w:t>Nav</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374F7D" w:rsidRDefault="00D9641C" w:rsidP="002E538B">
            <w:pPr>
              <w:pStyle w:val="NoSpacing"/>
              <w:jc w:val="both"/>
              <w:rPr>
                <w:sz w:val="28"/>
                <w:szCs w:val="28"/>
              </w:rPr>
            </w:pPr>
            <w:r w:rsidRPr="00374F7D">
              <w:rPr>
                <w:sz w:val="28"/>
                <w:szCs w:val="28"/>
              </w:rPr>
              <w:t>Vai starptautiskajā dokumentā paredzētās saistības nav pretrunā ar jau esošajām Latvijas Republikas starptautiskajām saistībām</w:t>
            </w:r>
          </w:p>
        </w:tc>
        <w:tc>
          <w:tcPr>
            <w:tcW w:w="3349" w:type="pct"/>
            <w:gridSpan w:val="4"/>
            <w:tcBorders>
              <w:top w:val="outset" w:sz="6" w:space="0" w:color="414142"/>
              <w:left w:val="outset" w:sz="6" w:space="0" w:color="414142"/>
              <w:bottom w:val="outset" w:sz="6" w:space="0" w:color="414142"/>
            </w:tcBorders>
            <w:shd w:val="clear" w:color="auto" w:fill="FFFFFF"/>
          </w:tcPr>
          <w:p w:rsidR="00D9641C" w:rsidRPr="00374F7D" w:rsidRDefault="00D9641C" w:rsidP="002E538B">
            <w:pPr>
              <w:pStyle w:val="NoSpacing"/>
              <w:jc w:val="both"/>
              <w:rPr>
                <w:b/>
                <w:sz w:val="28"/>
                <w:szCs w:val="28"/>
              </w:rPr>
            </w:pPr>
            <w:r w:rsidRPr="00374F7D">
              <w:rPr>
                <w:sz w:val="28"/>
                <w:szCs w:val="28"/>
              </w:rPr>
              <w:t>Projekts neparedz jaunas starptautiskas saistības.</w:t>
            </w:r>
          </w:p>
        </w:tc>
      </w:tr>
      <w:tr w:rsidR="00D9641C" w:rsidRPr="00F86C26" w:rsidTr="00DE3F15">
        <w:tc>
          <w:tcPr>
            <w:tcW w:w="1651" w:type="pct"/>
            <w:tcBorders>
              <w:top w:val="outset" w:sz="6" w:space="0" w:color="414142"/>
              <w:bottom w:val="outset" w:sz="6" w:space="0" w:color="414142"/>
              <w:right w:val="outset" w:sz="6" w:space="0" w:color="414142"/>
            </w:tcBorders>
            <w:shd w:val="clear" w:color="auto" w:fill="FFFFFF"/>
          </w:tcPr>
          <w:p w:rsidR="00D9641C" w:rsidRPr="00374F7D" w:rsidRDefault="00D9641C" w:rsidP="002E538B">
            <w:pPr>
              <w:pStyle w:val="NoSpacing"/>
              <w:jc w:val="both"/>
              <w:rPr>
                <w:sz w:val="28"/>
                <w:szCs w:val="28"/>
              </w:rPr>
            </w:pPr>
            <w:r w:rsidRPr="00374F7D">
              <w:rPr>
                <w:sz w:val="28"/>
                <w:szCs w:val="28"/>
              </w:rPr>
              <w:t>Cita informācija</w:t>
            </w:r>
          </w:p>
        </w:tc>
        <w:tc>
          <w:tcPr>
            <w:tcW w:w="3349" w:type="pct"/>
            <w:gridSpan w:val="4"/>
            <w:tcBorders>
              <w:top w:val="outset" w:sz="6" w:space="0" w:color="414142"/>
              <w:left w:val="outset" w:sz="6" w:space="0" w:color="414142"/>
              <w:bottom w:val="outset" w:sz="6" w:space="0" w:color="414142"/>
            </w:tcBorders>
            <w:shd w:val="clear" w:color="auto" w:fill="FFFFFF"/>
          </w:tcPr>
          <w:p w:rsidR="00D9641C" w:rsidRPr="00374F7D" w:rsidRDefault="00D9641C" w:rsidP="002E538B">
            <w:pPr>
              <w:pStyle w:val="NoSpacing"/>
              <w:jc w:val="both"/>
              <w:rPr>
                <w:sz w:val="28"/>
                <w:szCs w:val="28"/>
              </w:rPr>
            </w:pPr>
            <w:r w:rsidRPr="00374F7D">
              <w:rPr>
                <w:sz w:val="28"/>
                <w:szCs w:val="28"/>
              </w:rPr>
              <w:t>Nav</w:t>
            </w:r>
          </w:p>
        </w:tc>
      </w:tr>
    </w:tbl>
    <w:p w:rsidR="00D9641C" w:rsidRPr="000440D8"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2739"/>
        <w:gridCol w:w="5935"/>
      </w:tblGrid>
      <w:tr w:rsidR="00D9641C" w:rsidRPr="00F86C26" w:rsidTr="001B3285">
        <w:trPr>
          <w:trHeight w:val="420"/>
        </w:trPr>
        <w:tc>
          <w:tcPr>
            <w:tcW w:w="0" w:type="auto"/>
            <w:gridSpan w:val="3"/>
            <w:tcBorders>
              <w:top w:val="outset" w:sz="6" w:space="0" w:color="414142"/>
              <w:bottom w:val="outset" w:sz="6" w:space="0" w:color="414142"/>
            </w:tcBorders>
            <w:shd w:val="clear" w:color="auto" w:fill="FFFFFF"/>
            <w:vAlign w:val="center"/>
          </w:tcPr>
          <w:p w:rsidR="00D9641C" w:rsidRPr="004112E3" w:rsidRDefault="00D9641C" w:rsidP="001B3285">
            <w:pPr>
              <w:pStyle w:val="NoSpacing"/>
              <w:jc w:val="both"/>
              <w:rPr>
                <w:sz w:val="28"/>
                <w:szCs w:val="28"/>
              </w:rPr>
            </w:pPr>
            <w:r w:rsidRPr="004112E3">
              <w:rPr>
                <w:sz w:val="28"/>
                <w:szCs w:val="28"/>
              </w:rPr>
              <w:t>VI. Sabiedrības līdzdalība un komunikācijas aktivitātes</w:t>
            </w:r>
          </w:p>
        </w:tc>
      </w:tr>
      <w:tr w:rsidR="00D9641C" w:rsidRPr="00F86C26" w:rsidTr="001B3285">
        <w:trPr>
          <w:trHeight w:val="540"/>
        </w:trPr>
        <w:tc>
          <w:tcPr>
            <w:tcW w:w="250" w:type="pct"/>
            <w:tcBorders>
              <w:top w:val="outset" w:sz="6" w:space="0" w:color="414142"/>
              <w:bottom w:val="outset" w:sz="6" w:space="0" w:color="414142"/>
              <w:right w:val="outset" w:sz="6" w:space="0" w:color="414142"/>
            </w:tcBorders>
            <w:shd w:val="clear" w:color="auto" w:fill="FFFFFF"/>
          </w:tcPr>
          <w:p w:rsidR="00D9641C" w:rsidRPr="004112E3" w:rsidRDefault="00D9641C" w:rsidP="001B3285">
            <w:pPr>
              <w:pStyle w:val="NoSpacing"/>
              <w:jc w:val="both"/>
              <w:rPr>
                <w:sz w:val="28"/>
                <w:szCs w:val="28"/>
              </w:rPr>
            </w:pPr>
            <w:r w:rsidRPr="004112E3">
              <w:rPr>
                <w:sz w:val="28"/>
                <w:szCs w:val="28"/>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9641C" w:rsidRPr="004112E3" w:rsidRDefault="00D9641C" w:rsidP="001B3285">
            <w:pPr>
              <w:pStyle w:val="NoSpacing"/>
              <w:jc w:val="both"/>
              <w:rPr>
                <w:sz w:val="28"/>
                <w:szCs w:val="28"/>
              </w:rPr>
            </w:pPr>
            <w:r w:rsidRPr="004112E3">
              <w:rPr>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rsidR="00D9641C" w:rsidRPr="004112E3" w:rsidRDefault="00D9641C" w:rsidP="004112E3">
            <w:pPr>
              <w:pStyle w:val="NoSpacing"/>
              <w:jc w:val="both"/>
              <w:rPr>
                <w:sz w:val="28"/>
                <w:szCs w:val="28"/>
              </w:rPr>
            </w:pPr>
            <w:r w:rsidRPr="00031318">
              <w:rPr>
                <w:i/>
                <w:sz w:val="28"/>
                <w:szCs w:val="28"/>
              </w:rPr>
              <w:t>Projekts šo jomu neskar.</w:t>
            </w:r>
          </w:p>
        </w:tc>
      </w:tr>
      <w:tr w:rsidR="00D9641C" w:rsidRPr="00F86C26" w:rsidTr="001B3285">
        <w:trPr>
          <w:trHeight w:val="330"/>
        </w:trPr>
        <w:tc>
          <w:tcPr>
            <w:tcW w:w="250" w:type="pct"/>
            <w:tcBorders>
              <w:top w:val="outset" w:sz="6" w:space="0" w:color="414142"/>
              <w:bottom w:val="outset" w:sz="6" w:space="0" w:color="414142"/>
              <w:right w:val="outset" w:sz="6" w:space="0" w:color="414142"/>
            </w:tcBorders>
            <w:shd w:val="clear" w:color="auto" w:fill="FFFFFF"/>
          </w:tcPr>
          <w:p w:rsidR="00D9641C" w:rsidRPr="004112E3" w:rsidRDefault="00D9641C" w:rsidP="001B3285">
            <w:pPr>
              <w:pStyle w:val="NoSpacing"/>
              <w:jc w:val="both"/>
              <w:rPr>
                <w:sz w:val="28"/>
                <w:szCs w:val="28"/>
              </w:rPr>
            </w:pPr>
            <w:r w:rsidRPr="004112E3">
              <w:rPr>
                <w:sz w:val="28"/>
                <w:szCs w:val="28"/>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9641C" w:rsidRPr="004112E3" w:rsidRDefault="00D9641C" w:rsidP="001B3285">
            <w:pPr>
              <w:pStyle w:val="NoSpacing"/>
              <w:jc w:val="both"/>
              <w:rPr>
                <w:sz w:val="28"/>
                <w:szCs w:val="28"/>
              </w:rPr>
            </w:pPr>
            <w:r w:rsidRPr="004112E3">
              <w:rPr>
                <w:sz w:val="28"/>
                <w:szCs w:val="28"/>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rsidR="00D9641C" w:rsidRPr="004112E3" w:rsidRDefault="00D9641C" w:rsidP="00557324">
            <w:pPr>
              <w:pStyle w:val="NoSpacing"/>
              <w:jc w:val="both"/>
              <w:rPr>
                <w:sz w:val="28"/>
                <w:szCs w:val="28"/>
              </w:rPr>
            </w:pPr>
            <w:r w:rsidRPr="00031318">
              <w:rPr>
                <w:i/>
                <w:sz w:val="28"/>
                <w:szCs w:val="28"/>
              </w:rPr>
              <w:t>Projekts šo jomu neskar.</w:t>
            </w:r>
          </w:p>
        </w:tc>
      </w:tr>
      <w:tr w:rsidR="00D9641C" w:rsidRPr="00F86C26" w:rsidTr="001B3285">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112E3" w:rsidRDefault="00D9641C" w:rsidP="001B3285">
            <w:pPr>
              <w:pStyle w:val="NoSpacing"/>
              <w:jc w:val="both"/>
              <w:rPr>
                <w:sz w:val="28"/>
                <w:szCs w:val="28"/>
              </w:rPr>
            </w:pPr>
            <w:r w:rsidRPr="004112E3">
              <w:rPr>
                <w:sz w:val="28"/>
                <w:szCs w:val="28"/>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9641C" w:rsidRPr="004112E3" w:rsidRDefault="00D9641C" w:rsidP="001B3285">
            <w:pPr>
              <w:pStyle w:val="NoSpacing"/>
              <w:jc w:val="both"/>
              <w:rPr>
                <w:sz w:val="28"/>
                <w:szCs w:val="28"/>
              </w:rPr>
            </w:pPr>
            <w:r w:rsidRPr="004112E3">
              <w:rPr>
                <w:sz w:val="28"/>
                <w:szCs w:val="28"/>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rsidR="00D9641C" w:rsidRPr="004112E3" w:rsidRDefault="00D9641C" w:rsidP="001B3285">
            <w:pPr>
              <w:pStyle w:val="NoSpacing"/>
              <w:jc w:val="both"/>
              <w:rPr>
                <w:sz w:val="28"/>
                <w:szCs w:val="28"/>
              </w:rPr>
            </w:pPr>
            <w:r w:rsidRPr="00031318">
              <w:rPr>
                <w:i/>
                <w:sz w:val="28"/>
                <w:szCs w:val="28"/>
              </w:rPr>
              <w:t>Projekts šo jomu neskar.</w:t>
            </w:r>
          </w:p>
        </w:tc>
      </w:tr>
      <w:tr w:rsidR="00D9641C" w:rsidRPr="00F86C26" w:rsidTr="001B3285">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112E3" w:rsidRDefault="00D9641C" w:rsidP="001B3285">
            <w:pPr>
              <w:pStyle w:val="NoSpacing"/>
              <w:jc w:val="both"/>
              <w:rPr>
                <w:sz w:val="28"/>
                <w:szCs w:val="28"/>
              </w:rPr>
            </w:pPr>
            <w:r w:rsidRPr="004112E3">
              <w:rPr>
                <w:sz w:val="28"/>
                <w:szCs w:val="28"/>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9641C" w:rsidRPr="004112E3" w:rsidRDefault="00D9641C" w:rsidP="001B3285">
            <w:pPr>
              <w:pStyle w:val="NoSpacing"/>
              <w:jc w:val="both"/>
              <w:rPr>
                <w:sz w:val="28"/>
                <w:szCs w:val="28"/>
              </w:rPr>
            </w:pPr>
            <w:r w:rsidRPr="004112E3">
              <w:rPr>
                <w:sz w:val="28"/>
                <w:szCs w:val="28"/>
              </w:rPr>
              <w:t>Cita informācija</w:t>
            </w:r>
          </w:p>
        </w:tc>
        <w:tc>
          <w:tcPr>
            <w:tcW w:w="3250" w:type="pct"/>
            <w:tcBorders>
              <w:top w:val="outset" w:sz="6" w:space="0" w:color="414142"/>
              <w:left w:val="outset" w:sz="6" w:space="0" w:color="414142"/>
              <w:bottom w:val="outset" w:sz="6" w:space="0" w:color="414142"/>
            </w:tcBorders>
            <w:shd w:val="clear" w:color="auto" w:fill="FFFFFF"/>
          </w:tcPr>
          <w:p w:rsidR="00D9641C" w:rsidRPr="008D3A5C" w:rsidRDefault="00D9641C" w:rsidP="00BB6821">
            <w:pPr>
              <w:pStyle w:val="NoSpacing"/>
              <w:jc w:val="both"/>
              <w:rPr>
                <w:sz w:val="28"/>
                <w:szCs w:val="28"/>
              </w:rPr>
            </w:pPr>
            <w:r w:rsidRPr="001660D0">
              <w:rPr>
                <w:sz w:val="28"/>
                <w:szCs w:val="28"/>
              </w:rPr>
              <w:t xml:space="preserve">Sabiedrības līdzdalība </w:t>
            </w:r>
            <w:r>
              <w:rPr>
                <w:sz w:val="28"/>
                <w:szCs w:val="28"/>
              </w:rPr>
              <w:t>likum</w:t>
            </w:r>
            <w:r w:rsidRPr="001660D0">
              <w:rPr>
                <w:sz w:val="28"/>
                <w:szCs w:val="28"/>
              </w:rPr>
              <w:t xml:space="preserve">projekta izstrādē </w:t>
            </w:r>
            <w:r>
              <w:rPr>
                <w:sz w:val="28"/>
                <w:szCs w:val="28"/>
              </w:rPr>
              <w:t>netika nodrošināta, jo</w:t>
            </w:r>
            <w:r w:rsidRPr="001660D0">
              <w:rPr>
                <w:sz w:val="28"/>
                <w:szCs w:val="28"/>
              </w:rPr>
              <w:t xml:space="preserve"> </w:t>
            </w:r>
            <w:r w:rsidR="007B0008">
              <w:rPr>
                <w:sz w:val="28"/>
                <w:szCs w:val="28"/>
              </w:rPr>
              <w:t>jaunu</w:t>
            </w:r>
            <w:r w:rsidRPr="00BB6821">
              <w:rPr>
                <w:sz w:val="28"/>
                <w:szCs w:val="28"/>
              </w:rPr>
              <w:t xml:space="preserve"> </w:t>
            </w:r>
            <w:r w:rsidR="007B0008">
              <w:rPr>
                <w:sz w:val="28"/>
                <w:szCs w:val="28"/>
              </w:rPr>
              <w:t>psihoaktīvu</w:t>
            </w:r>
            <w:r w:rsidRPr="00BB6821">
              <w:rPr>
                <w:sz w:val="28"/>
                <w:szCs w:val="28"/>
              </w:rPr>
              <w:t xml:space="preserve"> vielu</w:t>
            </w:r>
            <w:r w:rsidRPr="001660D0">
              <w:rPr>
                <w:sz w:val="28"/>
                <w:szCs w:val="28"/>
              </w:rPr>
              <w:t xml:space="preserve"> </w:t>
            </w:r>
            <w:r>
              <w:rPr>
                <w:sz w:val="28"/>
                <w:szCs w:val="28"/>
              </w:rPr>
              <w:t xml:space="preserve">pakļaušana kontrolei un iedalījumu apmēru noteikšana </w:t>
            </w:r>
            <w:r w:rsidRPr="001660D0">
              <w:rPr>
                <w:sz w:val="28"/>
                <w:szCs w:val="28"/>
              </w:rPr>
              <w:t>ir specifisks jautājums, ko risina attiecīgās jomas eksperti</w:t>
            </w:r>
            <w:r>
              <w:rPr>
                <w:sz w:val="28"/>
                <w:szCs w:val="28"/>
              </w:rPr>
              <w:t xml:space="preserve"> saskaņā ar Jauno psihoaktīvo vielu riska novērtējuma vadlīnijām, kas apstiprinātas ar Narkotiku kontroles un narkomānijas ierobežošanas </w:t>
            </w:r>
            <w:r>
              <w:rPr>
                <w:sz w:val="28"/>
                <w:szCs w:val="28"/>
              </w:rPr>
              <w:lastRenderedPageBreak/>
              <w:t>koordinācijas padomes 2012. gada 5. janvāra sēdes lēmumu (protokols Nr.17, 2.§., 4. punkts). S</w:t>
            </w:r>
            <w:r w:rsidRPr="001660D0">
              <w:rPr>
                <w:sz w:val="28"/>
                <w:szCs w:val="28"/>
              </w:rPr>
              <w:t xml:space="preserve">avukārt </w:t>
            </w:r>
            <w:r>
              <w:rPr>
                <w:sz w:val="28"/>
                <w:szCs w:val="28"/>
              </w:rPr>
              <w:t>Eiropas Savienības lēmumi</w:t>
            </w:r>
            <w:r w:rsidRPr="001660D0">
              <w:rPr>
                <w:sz w:val="28"/>
                <w:szCs w:val="28"/>
              </w:rPr>
              <w:t xml:space="preserve"> ir dalībvalstīm,</w:t>
            </w:r>
            <w:r>
              <w:rPr>
                <w:sz w:val="28"/>
                <w:szCs w:val="28"/>
              </w:rPr>
              <w:t xml:space="preserve"> tajā skaitā Latvijai, saistoši</w:t>
            </w:r>
            <w:r w:rsidRPr="001660D0">
              <w:rPr>
                <w:sz w:val="28"/>
                <w:szCs w:val="28"/>
              </w:rPr>
              <w:t xml:space="preserve">. </w:t>
            </w:r>
          </w:p>
        </w:tc>
      </w:tr>
    </w:tbl>
    <w:p w:rsidR="00D9641C" w:rsidRPr="000440D8" w:rsidRDefault="00D9641C" w:rsidP="00E101BB">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3470"/>
        <w:gridCol w:w="5205"/>
      </w:tblGrid>
      <w:tr w:rsidR="00D9641C" w:rsidRPr="00F86C26" w:rsidTr="001B3285">
        <w:trPr>
          <w:trHeight w:val="375"/>
        </w:trPr>
        <w:tc>
          <w:tcPr>
            <w:tcW w:w="0" w:type="auto"/>
            <w:gridSpan w:val="3"/>
            <w:tcBorders>
              <w:top w:val="outset" w:sz="6" w:space="0" w:color="414142"/>
              <w:bottom w:val="outset" w:sz="6" w:space="0" w:color="414142"/>
            </w:tcBorders>
            <w:shd w:val="clear" w:color="auto" w:fill="FFFFFF"/>
            <w:vAlign w:val="center"/>
          </w:tcPr>
          <w:p w:rsidR="00D9641C" w:rsidRPr="000440D8" w:rsidRDefault="00D9641C" w:rsidP="001B3285">
            <w:pPr>
              <w:pStyle w:val="NoSpacing"/>
              <w:jc w:val="both"/>
              <w:rPr>
                <w:sz w:val="28"/>
                <w:szCs w:val="28"/>
              </w:rPr>
            </w:pPr>
            <w:r w:rsidRPr="000440D8">
              <w:rPr>
                <w:sz w:val="28"/>
                <w:szCs w:val="28"/>
              </w:rPr>
              <w:t>VII. Tiesību akta projekta izpildes nodrošināšana un tās ietekme uz institūcijām</w:t>
            </w:r>
          </w:p>
        </w:tc>
      </w:tr>
      <w:tr w:rsidR="00D9641C" w:rsidRPr="00F86C26" w:rsidTr="001B3285">
        <w:trPr>
          <w:trHeight w:val="420"/>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D9641C" w:rsidRPr="000440D8" w:rsidRDefault="00D9641C" w:rsidP="0091009C">
            <w:pPr>
              <w:pStyle w:val="NoSpacing"/>
              <w:jc w:val="both"/>
              <w:rPr>
                <w:sz w:val="28"/>
                <w:szCs w:val="28"/>
              </w:rPr>
            </w:pPr>
            <w:r>
              <w:rPr>
                <w:sz w:val="28"/>
                <w:szCs w:val="28"/>
                <w:lang w:eastAsia="en-US"/>
              </w:rPr>
              <w:t>T</w:t>
            </w:r>
            <w:r w:rsidRPr="00926B1D">
              <w:rPr>
                <w:sz w:val="28"/>
                <w:szCs w:val="28"/>
                <w:lang w:eastAsia="en-US"/>
              </w:rPr>
              <w:t>iesīb</w:t>
            </w:r>
            <w:r>
              <w:rPr>
                <w:sz w:val="28"/>
                <w:szCs w:val="28"/>
                <w:lang w:eastAsia="en-US"/>
              </w:rPr>
              <w:t>sargājošās iestādes (Valsts policija, P</w:t>
            </w:r>
            <w:r w:rsidRPr="00926B1D">
              <w:rPr>
                <w:sz w:val="28"/>
                <w:szCs w:val="28"/>
                <w:lang w:eastAsia="en-US"/>
              </w:rPr>
              <w:t>ašvaldību policija, Valsts ieņēmumu dienest</w:t>
            </w:r>
            <w:r>
              <w:rPr>
                <w:sz w:val="28"/>
                <w:szCs w:val="28"/>
                <w:lang w:eastAsia="en-US"/>
              </w:rPr>
              <w:t>a Muitas policijas pārvalde</w:t>
            </w:r>
            <w:r w:rsidRPr="00926B1D">
              <w:rPr>
                <w:sz w:val="28"/>
                <w:szCs w:val="28"/>
                <w:lang w:eastAsia="en-US"/>
              </w:rPr>
              <w:t>), iestādes, kurām ir tiesības veikt ekspertīzes (Valsts policijas Kriminālistikas pārvalde, Valsts tiesu ekspertīžu birojs, Valsts tiesu medicīnas ekspertīzes centrs, valsts sabiedrība ar ierobežotu atbildību „Rīgas psihiatrijas un narkoloģijas centrs”</w:t>
            </w:r>
            <w:r w:rsidR="00F368A5">
              <w:rPr>
                <w:sz w:val="28"/>
                <w:szCs w:val="28"/>
                <w:lang w:eastAsia="en-US"/>
              </w:rPr>
              <w:t>, Valsts ieņēmumu dienesta Muitas pārvaldes Muitas laboratorija</w:t>
            </w:r>
            <w:r w:rsidRPr="00926B1D">
              <w:rPr>
                <w:sz w:val="28"/>
                <w:szCs w:val="28"/>
                <w:lang w:eastAsia="en-US"/>
              </w:rPr>
              <w:t>)</w:t>
            </w:r>
            <w:r>
              <w:rPr>
                <w:sz w:val="28"/>
                <w:szCs w:val="28"/>
                <w:lang w:eastAsia="en-US"/>
              </w:rPr>
              <w:t>.</w:t>
            </w:r>
          </w:p>
        </w:tc>
      </w:tr>
      <w:tr w:rsidR="00D9641C" w:rsidRPr="00F86C26" w:rsidTr="001B3285">
        <w:trPr>
          <w:trHeight w:val="450"/>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Projekta izpildes ietekme uz pārvaldes funkcijām un institucionālo struktūru.</w:t>
            </w:r>
          </w:p>
          <w:p w:rsidR="00D9641C" w:rsidRPr="000440D8" w:rsidRDefault="00D9641C" w:rsidP="001B3285">
            <w:pPr>
              <w:pStyle w:val="NoSpacing"/>
              <w:jc w:val="both"/>
              <w:rPr>
                <w:sz w:val="28"/>
                <w:szCs w:val="28"/>
              </w:rPr>
            </w:pPr>
            <w:r w:rsidRPr="000440D8">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D9641C" w:rsidRPr="000440D8" w:rsidRDefault="00D9641C" w:rsidP="001B3285">
            <w:pPr>
              <w:pStyle w:val="NoSpacing"/>
              <w:jc w:val="both"/>
              <w:rPr>
                <w:sz w:val="28"/>
                <w:szCs w:val="28"/>
              </w:rPr>
            </w:pPr>
            <w:r>
              <w:rPr>
                <w:sz w:val="28"/>
                <w:szCs w:val="28"/>
              </w:rPr>
              <w:t xml:space="preserve">Nav </w:t>
            </w:r>
          </w:p>
        </w:tc>
      </w:tr>
      <w:tr w:rsidR="00D9641C" w:rsidRPr="00F86C26" w:rsidTr="001B3285">
        <w:trPr>
          <w:trHeight w:val="390"/>
        </w:trPr>
        <w:tc>
          <w:tcPr>
            <w:tcW w:w="250" w:type="pct"/>
            <w:tcBorders>
              <w:top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D9641C" w:rsidRPr="000440D8" w:rsidRDefault="00D9641C" w:rsidP="001B3285">
            <w:pPr>
              <w:pStyle w:val="NoSpacing"/>
              <w:jc w:val="both"/>
              <w:rPr>
                <w:sz w:val="28"/>
                <w:szCs w:val="28"/>
              </w:rPr>
            </w:pPr>
            <w:r w:rsidRPr="000440D8">
              <w:rPr>
                <w:sz w:val="28"/>
                <w:szCs w:val="28"/>
              </w:rPr>
              <w:t>Cita informācija</w:t>
            </w:r>
          </w:p>
        </w:tc>
        <w:tc>
          <w:tcPr>
            <w:tcW w:w="2850" w:type="pct"/>
            <w:tcBorders>
              <w:top w:val="outset" w:sz="6" w:space="0" w:color="414142"/>
              <w:left w:val="outset" w:sz="6" w:space="0" w:color="414142"/>
              <w:bottom w:val="outset" w:sz="6" w:space="0" w:color="414142"/>
            </w:tcBorders>
            <w:shd w:val="clear" w:color="auto" w:fill="FFFFFF"/>
          </w:tcPr>
          <w:p w:rsidR="00D9641C" w:rsidRPr="000440D8" w:rsidRDefault="00D9641C" w:rsidP="001B3285">
            <w:pPr>
              <w:pStyle w:val="NoSpacing"/>
              <w:jc w:val="both"/>
              <w:rPr>
                <w:sz w:val="28"/>
                <w:szCs w:val="28"/>
              </w:rPr>
            </w:pPr>
            <w:r>
              <w:rPr>
                <w:sz w:val="28"/>
                <w:szCs w:val="28"/>
              </w:rPr>
              <w:t>Nav</w:t>
            </w:r>
          </w:p>
        </w:tc>
      </w:tr>
    </w:tbl>
    <w:p w:rsidR="00D9641C" w:rsidRPr="0002755D" w:rsidRDefault="00D9641C" w:rsidP="0002755D">
      <w:pPr>
        <w:pStyle w:val="NoSpacing"/>
        <w:rPr>
          <w:sz w:val="28"/>
          <w:szCs w:val="28"/>
        </w:rPr>
      </w:pPr>
    </w:p>
    <w:p w:rsidR="00D9641C" w:rsidRPr="0002755D" w:rsidRDefault="00D9641C" w:rsidP="0002755D">
      <w:pPr>
        <w:pStyle w:val="NoSpacing"/>
        <w:rPr>
          <w:sz w:val="28"/>
          <w:szCs w:val="28"/>
        </w:rPr>
      </w:pPr>
    </w:p>
    <w:p w:rsidR="00D9641C" w:rsidRPr="0038177D" w:rsidRDefault="00D9641C" w:rsidP="00BB6821">
      <w:pPr>
        <w:pStyle w:val="NoSpacing"/>
        <w:rPr>
          <w:sz w:val="28"/>
          <w:szCs w:val="28"/>
        </w:rPr>
      </w:pPr>
      <w:r w:rsidRPr="0038177D">
        <w:rPr>
          <w:sz w:val="28"/>
          <w:szCs w:val="28"/>
        </w:rPr>
        <w:t xml:space="preserve">Veselības </w:t>
      </w:r>
      <w:r>
        <w:rPr>
          <w:sz w:val="28"/>
          <w:szCs w:val="28"/>
        </w:rPr>
        <w:t>ministrs</w:t>
      </w:r>
      <w:r w:rsidRPr="0038177D">
        <w:rPr>
          <w:sz w:val="28"/>
          <w:szCs w:val="28"/>
        </w:rPr>
        <w:tab/>
      </w:r>
      <w:r w:rsidRPr="0038177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177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w:t>
      </w:r>
      <w:r w:rsidRPr="0038177D">
        <w:rPr>
          <w:sz w:val="28"/>
          <w:szCs w:val="28"/>
        </w:rPr>
        <w:t xml:space="preserve">. </w:t>
      </w:r>
      <w:r>
        <w:rPr>
          <w:sz w:val="28"/>
          <w:szCs w:val="28"/>
        </w:rPr>
        <w:t>Belēvičs</w:t>
      </w:r>
    </w:p>
    <w:p w:rsidR="00D9641C" w:rsidRPr="0002755D" w:rsidRDefault="00D9641C" w:rsidP="0002755D">
      <w:pPr>
        <w:pStyle w:val="NoSpacing"/>
      </w:pPr>
    </w:p>
    <w:p w:rsidR="00D9641C" w:rsidRPr="0002755D" w:rsidRDefault="00D9641C" w:rsidP="0002755D">
      <w:pPr>
        <w:pStyle w:val="NoSpacing"/>
      </w:pPr>
    </w:p>
    <w:p w:rsidR="00D9641C" w:rsidRPr="0002755D" w:rsidRDefault="00D9641C" w:rsidP="0002755D">
      <w:pPr>
        <w:pStyle w:val="NoSpacing"/>
      </w:pPr>
    </w:p>
    <w:p w:rsidR="00D9641C" w:rsidRPr="0002755D" w:rsidRDefault="00D9641C" w:rsidP="0002755D">
      <w:pPr>
        <w:pStyle w:val="NoSpacing"/>
      </w:pPr>
    </w:p>
    <w:p w:rsidR="00D9641C" w:rsidRDefault="00D9641C" w:rsidP="004112E3">
      <w:pPr>
        <w:pStyle w:val="ListParagraph"/>
        <w:tabs>
          <w:tab w:val="left" w:pos="3735"/>
        </w:tabs>
        <w:ind w:left="0"/>
        <w:jc w:val="both"/>
        <w:rPr>
          <w:sz w:val="20"/>
          <w:szCs w:val="20"/>
        </w:rPr>
      </w:pPr>
    </w:p>
    <w:p w:rsidR="00D9641C" w:rsidRDefault="00D9641C" w:rsidP="003D0BB8">
      <w:pPr>
        <w:pStyle w:val="ListParagraph"/>
        <w:tabs>
          <w:tab w:val="left" w:pos="3735"/>
        </w:tabs>
        <w:ind w:left="0"/>
        <w:jc w:val="both"/>
        <w:rPr>
          <w:sz w:val="20"/>
          <w:szCs w:val="20"/>
        </w:rPr>
      </w:pPr>
    </w:p>
    <w:p w:rsidR="00D9641C" w:rsidRDefault="00D9641C" w:rsidP="003D0BB8">
      <w:pPr>
        <w:pStyle w:val="ListParagraph"/>
        <w:tabs>
          <w:tab w:val="left" w:pos="3735"/>
        </w:tabs>
        <w:ind w:left="0"/>
        <w:jc w:val="both"/>
        <w:rPr>
          <w:sz w:val="20"/>
          <w:szCs w:val="20"/>
        </w:rPr>
      </w:pPr>
    </w:p>
    <w:p w:rsidR="00D9641C" w:rsidRDefault="00D9641C" w:rsidP="003D0BB8">
      <w:pPr>
        <w:pStyle w:val="ListParagraph"/>
        <w:tabs>
          <w:tab w:val="left" w:pos="3735"/>
        </w:tabs>
        <w:ind w:left="0"/>
        <w:jc w:val="both"/>
        <w:rPr>
          <w:sz w:val="20"/>
          <w:szCs w:val="20"/>
        </w:rPr>
      </w:pPr>
    </w:p>
    <w:p w:rsidR="00D9641C" w:rsidRDefault="00D9641C" w:rsidP="004112E3">
      <w:pPr>
        <w:pStyle w:val="ListParagraph"/>
        <w:tabs>
          <w:tab w:val="left" w:pos="3735"/>
        </w:tabs>
        <w:ind w:left="0"/>
        <w:jc w:val="both"/>
        <w:rPr>
          <w:sz w:val="20"/>
          <w:szCs w:val="20"/>
        </w:rPr>
      </w:pPr>
    </w:p>
    <w:p w:rsidR="00D9641C" w:rsidRPr="001660D0" w:rsidRDefault="00F368A5" w:rsidP="004112E3">
      <w:pPr>
        <w:pStyle w:val="ListParagraph"/>
        <w:tabs>
          <w:tab w:val="left" w:pos="3735"/>
        </w:tabs>
        <w:ind w:left="0"/>
        <w:jc w:val="both"/>
        <w:rPr>
          <w:sz w:val="20"/>
          <w:szCs w:val="20"/>
        </w:rPr>
      </w:pPr>
      <w:r>
        <w:rPr>
          <w:sz w:val="20"/>
          <w:szCs w:val="20"/>
        </w:rPr>
        <w:t>1</w:t>
      </w:r>
      <w:r w:rsidR="001C4FC5">
        <w:rPr>
          <w:sz w:val="20"/>
          <w:szCs w:val="20"/>
        </w:rPr>
        <w:t>1</w:t>
      </w:r>
      <w:r>
        <w:rPr>
          <w:sz w:val="20"/>
          <w:szCs w:val="20"/>
        </w:rPr>
        <w:t>.0</w:t>
      </w:r>
      <w:r w:rsidR="001C4FC5">
        <w:rPr>
          <w:sz w:val="20"/>
          <w:szCs w:val="20"/>
        </w:rPr>
        <w:t>3.2015. 1</w:t>
      </w:r>
      <w:r w:rsidR="00D13282">
        <w:rPr>
          <w:sz w:val="20"/>
          <w:szCs w:val="20"/>
        </w:rPr>
        <w:t>6</w:t>
      </w:r>
      <w:r>
        <w:rPr>
          <w:sz w:val="20"/>
          <w:szCs w:val="20"/>
        </w:rPr>
        <w:t>:</w:t>
      </w:r>
      <w:r w:rsidR="001C4FC5">
        <w:rPr>
          <w:sz w:val="20"/>
          <w:szCs w:val="20"/>
        </w:rPr>
        <w:t>0</w:t>
      </w:r>
      <w:r w:rsidR="00D13282">
        <w:rPr>
          <w:sz w:val="20"/>
          <w:szCs w:val="20"/>
        </w:rPr>
        <w:t>0</w:t>
      </w:r>
    </w:p>
    <w:p w:rsidR="00D9641C" w:rsidRPr="001660D0" w:rsidRDefault="00F368A5" w:rsidP="004112E3">
      <w:pPr>
        <w:pStyle w:val="ListParagraph"/>
        <w:ind w:left="0"/>
        <w:jc w:val="both"/>
        <w:rPr>
          <w:sz w:val="20"/>
          <w:szCs w:val="20"/>
        </w:rPr>
      </w:pPr>
      <w:r>
        <w:rPr>
          <w:sz w:val="20"/>
          <w:szCs w:val="20"/>
        </w:rPr>
        <w:t>27</w:t>
      </w:r>
      <w:r w:rsidR="002A6F88">
        <w:rPr>
          <w:sz w:val="20"/>
          <w:szCs w:val="20"/>
        </w:rPr>
        <w:t>51</w:t>
      </w:r>
    </w:p>
    <w:p w:rsidR="00D9641C" w:rsidRPr="001660D0" w:rsidRDefault="00D9641C" w:rsidP="003E5684">
      <w:pPr>
        <w:pStyle w:val="ListParagraph"/>
        <w:ind w:left="0"/>
        <w:jc w:val="both"/>
        <w:rPr>
          <w:sz w:val="20"/>
          <w:szCs w:val="20"/>
        </w:rPr>
      </w:pPr>
      <w:r w:rsidRPr="001660D0">
        <w:rPr>
          <w:sz w:val="20"/>
          <w:szCs w:val="20"/>
        </w:rPr>
        <w:t>V. Lūsa</w:t>
      </w:r>
    </w:p>
    <w:p w:rsidR="00D9641C" w:rsidRDefault="00D9641C" w:rsidP="003E5684">
      <w:pPr>
        <w:pStyle w:val="ListParagraph"/>
        <w:ind w:left="0"/>
        <w:rPr>
          <w:sz w:val="20"/>
          <w:szCs w:val="20"/>
        </w:rPr>
      </w:pPr>
      <w:r w:rsidRPr="001660D0">
        <w:rPr>
          <w:sz w:val="20"/>
          <w:szCs w:val="20"/>
        </w:rPr>
        <w:t>67876099; vieda.lusa@vm.gov.lv</w:t>
      </w:r>
    </w:p>
    <w:sectPr w:rsidR="00D9641C" w:rsidSect="006E481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1C" w:rsidRDefault="00D9641C" w:rsidP="00B44DB8">
      <w:pPr>
        <w:spacing w:after="0" w:line="240" w:lineRule="auto"/>
      </w:pPr>
      <w:r>
        <w:separator/>
      </w:r>
    </w:p>
  </w:endnote>
  <w:endnote w:type="continuationSeparator" w:id="0">
    <w:p w:rsidR="00D9641C" w:rsidRDefault="00D9641C"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CC" w:rsidRDefault="00F92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C" w:rsidRDefault="00F922CC" w:rsidP="00FE7D03">
    <w:pPr>
      <w:pStyle w:val="naisc"/>
      <w:spacing w:before="0" w:after="0"/>
      <w:jc w:val="both"/>
    </w:pPr>
    <w:r>
      <w:t>VManot_11</w:t>
    </w:r>
    <w:r w:rsidR="00D9641C">
      <w:t>0</w:t>
    </w:r>
    <w:r>
      <w:t>3</w:t>
    </w:r>
    <w:r w:rsidR="00D9641C">
      <w:t xml:space="preserve">15_nark; </w:t>
    </w:r>
    <w:r w:rsidR="00D9641C" w:rsidRPr="00FE7D03">
      <w:rPr>
        <w:bCs/>
      </w:rPr>
      <w:t xml:space="preserve">Likumprojekta </w:t>
    </w:r>
    <w:r w:rsidR="00D9641C">
      <w:t>,,Grozījums</w:t>
    </w:r>
    <w:r w:rsidR="00D9641C" w:rsidRPr="00FE7D03">
      <w:t xml:space="preserve"> likumā ,,Par Krimināllikuma spēkā stāšanās un piemērošanas kārtību””</w:t>
    </w:r>
    <w:r w:rsidR="00D9641C">
      <w:t xml:space="preserve"> </w:t>
    </w:r>
    <w:r w:rsidR="00D9641C" w:rsidRPr="00FE7D03">
      <w:t xml:space="preserve">sākotnējās ietekmes novērtējuma </w:t>
    </w:r>
    <w:smartTag w:uri="schemas-tilde-lv/tildestengine" w:element="veidnes">
      <w:smartTagPr>
        <w:attr w:name="id" w:val="-1"/>
        <w:attr w:name="baseform" w:val="ziņojums"/>
        <w:attr w:name="text" w:val="ziņojums"/>
      </w:smartTagPr>
      <w:r w:rsidR="00D9641C" w:rsidRPr="00FE7D03">
        <w:t>ziņojums</w:t>
      </w:r>
    </w:smartTag>
    <w:r w:rsidR="00D9641C" w:rsidRPr="00FE7D03">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C" w:rsidRDefault="00F922CC" w:rsidP="00FE7D03">
    <w:pPr>
      <w:pStyle w:val="naisc"/>
      <w:spacing w:before="0" w:after="0"/>
      <w:jc w:val="both"/>
    </w:pPr>
    <w:r>
      <w:t>VManot_1103</w:t>
    </w:r>
    <w:r w:rsidR="00D9641C">
      <w:t xml:space="preserve">15_nark; </w:t>
    </w:r>
    <w:r w:rsidR="00D9641C" w:rsidRPr="00FE7D03">
      <w:rPr>
        <w:bCs/>
      </w:rPr>
      <w:t xml:space="preserve">Likumprojekta </w:t>
    </w:r>
    <w:r w:rsidR="00D9641C" w:rsidRPr="00FE7D03">
      <w:t>,,Grozījum</w:t>
    </w:r>
    <w:r w:rsidR="00D9641C">
      <w:t>s</w:t>
    </w:r>
    <w:r w:rsidR="00D9641C" w:rsidRPr="00FE7D03">
      <w:t xml:space="preserve"> likumā ,,Par Krimināllikuma spēkā stāšanās un piemērošanas kārtību””</w:t>
    </w:r>
    <w:r w:rsidR="00D9641C">
      <w:t xml:space="preserve"> </w:t>
    </w:r>
    <w:r w:rsidR="00D9641C" w:rsidRPr="00FE7D03">
      <w:t xml:space="preserve">sākotnējās ietekmes novērtējuma </w:t>
    </w:r>
    <w:smartTag w:uri="schemas-tilde-lv/tildestengine" w:element="veidnes">
      <w:smartTagPr>
        <w:attr w:name="id" w:val="-1"/>
        <w:attr w:name="baseform" w:val="ziņojums"/>
        <w:attr w:name="text" w:val="ziņojums"/>
      </w:smartTagPr>
      <w:r w:rsidR="00D9641C" w:rsidRPr="00FE7D03">
        <w:t>ziņojums</w:t>
      </w:r>
    </w:smartTag>
    <w:r w:rsidR="00D9641C" w:rsidRPr="00FE7D03">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1C" w:rsidRDefault="00D9641C" w:rsidP="00B44DB8">
      <w:pPr>
        <w:spacing w:after="0" w:line="240" w:lineRule="auto"/>
      </w:pPr>
      <w:r>
        <w:separator/>
      </w:r>
    </w:p>
  </w:footnote>
  <w:footnote w:type="continuationSeparator" w:id="0">
    <w:p w:rsidR="00D9641C" w:rsidRDefault="00D9641C" w:rsidP="00B44DB8">
      <w:pPr>
        <w:spacing w:after="0" w:line="240" w:lineRule="auto"/>
      </w:pPr>
      <w:r>
        <w:continuationSeparator/>
      </w:r>
    </w:p>
  </w:footnote>
  <w:footnote w:id="1">
    <w:p w:rsidR="00D9641C" w:rsidRDefault="00D9641C" w:rsidP="00E8392A">
      <w:pPr>
        <w:pStyle w:val="FootnoteText"/>
        <w:jc w:val="both"/>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kses un kontroles centra 2014. gada 18. j</w:t>
      </w:r>
      <w:r w:rsidRPr="00E8392A">
        <w:rPr>
          <w:rFonts w:ascii="Times New Roman" w:hAnsi="Times New Roman"/>
        </w:rPr>
        <w:t>ūnija lēmums Nr. 17 „Par aizlieguma noteikšanu vielai EG-018 un tās saturošiem izstrādājumiem”</w:t>
      </w:r>
      <w:r>
        <w:rPr>
          <w:rFonts w:ascii="Times New Roman" w:hAnsi="Times New Roman"/>
        </w:rPr>
        <w:t xml:space="preserve">; </w:t>
      </w:r>
      <w:r w:rsidRPr="004D351F">
        <w:rPr>
          <w:rFonts w:ascii="Times New Roman" w:hAnsi="Times New Roman"/>
        </w:rPr>
        <w:t>https://www.vestnesis.lv/op/2014/119.42</w:t>
      </w:r>
    </w:p>
  </w:footnote>
  <w:footnote w:id="2">
    <w:p w:rsidR="00D9641C" w:rsidRDefault="00D9641C" w:rsidP="006B7EC7">
      <w:pPr>
        <w:pStyle w:val="FootnoteText"/>
        <w:jc w:val="both"/>
      </w:pPr>
      <w:r w:rsidRPr="00E8392A">
        <w:rPr>
          <w:rStyle w:val="FootnoteReference"/>
          <w:rFonts w:ascii="Times New Roman" w:hAnsi="Times New Roman"/>
        </w:rPr>
        <w:footnoteRef/>
      </w:r>
      <w:r w:rsidRPr="00E8392A">
        <w:rPr>
          <w:rFonts w:ascii="Times New Roman" w:hAnsi="Times New Roman"/>
        </w:rPr>
        <w:t xml:space="preserve"> </w:t>
      </w:r>
      <w:r w:rsidRPr="006B7EC7">
        <w:rPr>
          <w:rFonts w:ascii="Times New Roman" w:hAnsi="Times New Roman"/>
        </w:rPr>
        <w:t>Slimību profilakses un kontroles centra 2014. gada 6. novembra lēmums Nr. 21 „Par aizlieguma noteikšanu vielai α-PVT un tās saturošiem izstrādājumiem”;</w:t>
      </w:r>
      <w:r>
        <w:rPr>
          <w:rFonts w:ascii="Times New Roman" w:hAnsi="Times New Roman"/>
        </w:rPr>
        <w:t xml:space="preserve"> </w:t>
      </w:r>
      <w:r w:rsidRPr="004D351F">
        <w:rPr>
          <w:rFonts w:ascii="Times New Roman" w:hAnsi="Times New Roman"/>
        </w:rPr>
        <w:t>https://www.vestnesis.lv/op/2014/222.24</w:t>
      </w:r>
    </w:p>
  </w:footnote>
  <w:footnote w:id="3">
    <w:p w:rsidR="00D9641C" w:rsidRDefault="00D9641C" w:rsidP="004D351F">
      <w:pPr>
        <w:pStyle w:val="FootnoteText"/>
        <w:jc w:val="both"/>
      </w:pPr>
      <w:r w:rsidRPr="00E8392A">
        <w:rPr>
          <w:rStyle w:val="FootnoteReference"/>
          <w:rFonts w:ascii="Times New Roman" w:hAnsi="Times New Roman"/>
        </w:rPr>
        <w:footnoteRef/>
      </w:r>
      <w:r w:rsidRPr="00E8392A">
        <w:rPr>
          <w:rFonts w:ascii="Times New Roman" w:hAnsi="Times New Roman"/>
        </w:rPr>
        <w:t xml:space="preserve"> </w:t>
      </w:r>
      <w:r w:rsidRPr="006B7EC7">
        <w:rPr>
          <w:rFonts w:ascii="Times New Roman" w:hAnsi="Times New Roman"/>
        </w:rPr>
        <w:t>Slimību profilakses un kontroles centra 2014</w:t>
      </w:r>
      <w:r>
        <w:rPr>
          <w:rFonts w:ascii="Times New Roman" w:hAnsi="Times New Roman"/>
        </w:rPr>
        <w:t>. gada 3. decembra lēmums Nr. 22</w:t>
      </w:r>
      <w:r w:rsidRPr="006B7EC7">
        <w:rPr>
          <w:rFonts w:ascii="Times New Roman" w:hAnsi="Times New Roman"/>
        </w:rPr>
        <w:t xml:space="preserve"> „Par aizlieguma noteikšanu vielai </w:t>
      </w:r>
      <w:r>
        <w:rPr>
          <w:rFonts w:ascii="Times New Roman" w:hAnsi="Times New Roman"/>
        </w:rPr>
        <w:t>thienoamphetamine</w:t>
      </w:r>
      <w:r w:rsidRPr="006B7EC7">
        <w:rPr>
          <w:rFonts w:ascii="Times New Roman" w:hAnsi="Times New Roman"/>
        </w:rPr>
        <w:t xml:space="preserve"> un tās saturošiem izstrādājumiem”;</w:t>
      </w:r>
      <w:r>
        <w:rPr>
          <w:rFonts w:ascii="Times New Roman" w:hAnsi="Times New Roman"/>
        </w:rPr>
        <w:t xml:space="preserve"> </w:t>
      </w:r>
      <w:r w:rsidRPr="004D351F">
        <w:rPr>
          <w:rFonts w:ascii="Times New Roman" w:hAnsi="Times New Roman"/>
        </w:rPr>
        <w:t>https://www.vestnesis.lv/op/2014/241.21</w:t>
      </w:r>
    </w:p>
  </w:footnote>
  <w:footnote w:id="4">
    <w:p w:rsidR="00D9641C" w:rsidRDefault="00D9641C" w:rsidP="008809A0">
      <w:pPr>
        <w:pStyle w:val="FootnoteText"/>
        <w:jc w:val="both"/>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kses un kontroles centra 2014. gada 25</w:t>
      </w:r>
      <w:r w:rsidRPr="00E8392A">
        <w:rPr>
          <w:rFonts w:ascii="Times New Roman" w:hAnsi="Times New Roman"/>
        </w:rPr>
        <w:t xml:space="preserve">. </w:t>
      </w:r>
      <w:r>
        <w:rPr>
          <w:rFonts w:ascii="Times New Roman" w:hAnsi="Times New Roman"/>
        </w:rPr>
        <w:t>septembra lēmums Nr. 20</w:t>
      </w:r>
      <w:r w:rsidRPr="00E8392A">
        <w:rPr>
          <w:rFonts w:ascii="Times New Roman" w:hAnsi="Times New Roman"/>
        </w:rPr>
        <w:t xml:space="preserve"> „Par aizlieguma noteikšanu vielai </w:t>
      </w:r>
      <w:r>
        <w:rPr>
          <w:rFonts w:ascii="Times New Roman" w:hAnsi="Times New Roman"/>
        </w:rPr>
        <w:t>Acetylfentanyl</w:t>
      </w:r>
      <w:r w:rsidRPr="00E8392A">
        <w:rPr>
          <w:rFonts w:ascii="Times New Roman" w:hAnsi="Times New Roman"/>
        </w:rPr>
        <w:t xml:space="preserve"> un tās saturošiem izstrādājumiem”</w:t>
      </w:r>
      <w:r>
        <w:rPr>
          <w:rFonts w:ascii="Times New Roman" w:hAnsi="Times New Roman"/>
        </w:rPr>
        <w:t xml:space="preserve">; </w:t>
      </w:r>
      <w:r w:rsidRPr="004D351F">
        <w:rPr>
          <w:rFonts w:ascii="Times New Roman" w:hAnsi="Times New Roman"/>
        </w:rPr>
        <w:t>https://www.vestnesis.lv/op/2014/191.14</w:t>
      </w:r>
    </w:p>
  </w:footnote>
  <w:footnote w:id="5">
    <w:p w:rsidR="00D9641C" w:rsidRDefault="00D9641C" w:rsidP="005F4204">
      <w:pPr>
        <w:pStyle w:val="FootnoteText"/>
        <w:jc w:val="both"/>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kses un kontroles centra 2014. gada 12</w:t>
      </w:r>
      <w:r w:rsidRPr="00E8392A">
        <w:rPr>
          <w:rFonts w:ascii="Times New Roman" w:hAnsi="Times New Roman"/>
        </w:rPr>
        <w:t xml:space="preserve">. </w:t>
      </w:r>
      <w:r>
        <w:rPr>
          <w:rFonts w:ascii="Times New Roman" w:hAnsi="Times New Roman"/>
        </w:rPr>
        <w:t>septembra lēmums Nr. 19</w:t>
      </w:r>
      <w:r w:rsidRPr="00E8392A">
        <w:rPr>
          <w:rFonts w:ascii="Times New Roman" w:hAnsi="Times New Roman"/>
        </w:rPr>
        <w:t xml:space="preserve"> „Par aizlieguma noteikšanu </w:t>
      </w:r>
      <w:r w:rsidRPr="005F4204">
        <w:rPr>
          <w:rFonts w:ascii="Times New Roman" w:hAnsi="Times New Roman"/>
        </w:rPr>
        <w:t>vielai B-F un tās saturošiem izstrādājumiem”;</w:t>
      </w:r>
      <w:r>
        <w:rPr>
          <w:rFonts w:ascii="Times New Roman" w:hAnsi="Times New Roman"/>
        </w:rPr>
        <w:t xml:space="preserve"> </w:t>
      </w:r>
      <w:r w:rsidRPr="004D351F">
        <w:rPr>
          <w:rFonts w:ascii="Times New Roman" w:hAnsi="Times New Roman"/>
        </w:rPr>
        <w:t>https://www.vestnesis.lv/op/2014/182.6</w:t>
      </w:r>
    </w:p>
  </w:footnote>
  <w:footnote w:id="6">
    <w:p w:rsidR="00D9641C" w:rsidRDefault="00D9641C" w:rsidP="005F4204">
      <w:pPr>
        <w:pStyle w:val="FootnoteText"/>
      </w:pPr>
      <w:r w:rsidRPr="005F4204">
        <w:rPr>
          <w:rStyle w:val="FootnoteReference"/>
          <w:rFonts w:ascii="Times New Roman" w:hAnsi="Times New Roman"/>
        </w:rPr>
        <w:footnoteRef/>
      </w:r>
      <w:r w:rsidRPr="005F4204">
        <w:rPr>
          <w:rFonts w:ascii="Times New Roman" w:hAnsi="Times New Roman"/>
        </w:rPr>
        <w:t xml:space="preserve"> http://www.vm.gov.lv/lv/nozare/informativie_izdevumi_specialistiem/</w:t>
      </w:r>
      <w:r w:rsidRPr="005F4204">
        <w:rPr>
          <w:rFonts w:ascii="Times New Roman" w:hAnsi="Times New Roman"/>
        </w:rPr>
        <w:br/>
        <w:t>metodiskas_vadlinijas_latvija_kontrolejamajam_narkotiskajam_/</w:t>
      </w:r>
    </w:p>
  </w:footnote>
  <w:footnote w:id="7">
    <w:p w:rsidR="00D9641C" w:rsidRPr="005F4204" w:rsidRDefault="00D9641C" w:rsidP="005F4204">
      <w:pPr>
        <w:pStyle w:val="NoSpacing"/>
        <w:jc w:val="both"/>
        <w:rPr>
          <w:b/>
          <w:sz w:val="20"/>
          <w:szCs w:val="20"/>
        </w:rPr>
      </w:pPr>
      <w:r w:rsidRPr="005F4204">
        <w:rPr>
          <w:rStyle w:val="FootnoteReference"/>
          <w:sz w:val="20"/>
          <w:szCs w:val="20"/>
        </w:rPr>
        <w:footnoteRef/>
      </w:r>
      <w:r w:rsidRPr="005F4204">
        <w:rPr>
          <w:sz w:val="20"/>
          <w:szCs w:val="20"/>
          <w:vertAlign w:val="superscript"/>
        </w:rPr>
        <w:t xml:space="preserve"> </w:t>
      </w:r>
      <w:r w:rsidRPr="005F4204">
        <w:rPr>
          <w:sz w:val="20"/>
          <w:szCs w:val="20"/>
        </w:rPr>
        <w:t>Eiropas Savienības Padomes 2014. gada 25. s</w:t>
      </w:r>
      <w:r>
        <w:rPr>
          <w:sz w:val="20"/>
          <w:szCs w:val="20"/>
        </w:rPr>
        <w:t>eptembra īstenošanas lēmums</w:t>
      </w:r>
      <w:r w:rsidRPr="005F4204">
        <w:rPr>
          <w:sz w:val="20"/>
          <w:szCs w:val="20"/>
        </w:rPr>
        <w:t xml:space="preserve"> Nr.2014/688/ES par kontroles pasākumu piemērošanu šādām vielām: 4-jod-2,5-dimetoksi-N-(2-metoksibenzil) fenetilamīns (25I-NBOMe), 3,4-dihlor-N-[[1-(dimetilamino)cikloheksil]metil]benzamīds (AH-7921), 3,4-metilēndioksipirovalerons (MDPV) un 2-(3-metoksifenil)-2-(etilamino)cikloheksanons (metoksetamīns)</w:t>
      </w:r>
    </w:p>
    <w:p w:rsidR="00D9641C" w:rsidRDefault="00D9641C" w:rsidP="005F4204">
      <w:pPr>
        <w:pStyle w:val="FootnoteText"/>
      </w:pPr>
      <w:r w:rsidRPr="005F4204">
        <w:rPr>
          <w:rFonts w:ascii="Times New Roman" w:hAnsi="Times New Roman"/>
        </w:rPr>
        <w:t>http://eur-lex.europa.eu/legal-content/LV/TXT/PDF/?uri=CELEX:32014D0688&amp;from=EN</w:t>
      </w:r>
    </w:p>
  </w:footnote>
  <w:footnote w:id="8">
    <w:p w:rsidR="00D9641C" w:rsidRDefault="00D9641C">
      <w:pPr>
        <w:pStyle w:val="FootnoteText"/>
      </w:pPr>
      <w:r w:rsidRPr="00B8065C">
        <w:rPr>
          <w:rStyle w:val="FootnoteReference"/>
          <w:rFonts w:ascii="Times New Roman" w:hAnsi="Times New Roman"/>
        </w:rPr>
        <w:footnoteRef/>
      </w:r>
      <w:r w:rsidRPr="00B8065C">
        <w:rPr>
          <w:rFonts w:ascii="Times New Roman" w:hAnsi="Times New Roman"/>
        </w:rPr>
        <w:t xml:space="preserve"> http://www.emcdda.europa.eu/publications/joint-reports/4-4-DMAR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CC" w:rsidRDefault="00F92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C" w:rsidRPr="008B54F5" w:rsidRDefault="00B058EE">
    <w:pPr>
      <w:pStyle w:val="Header"/>
      <w:jc w:val="center"/>
      <w:rPr>
        <w:rFonts w:ascii="Times New Roman" w:hAnsi="Times New Roman"/>
        <w:sz w:val="24"/>
        <w:szCs w:val="24"/>
      </w:rPr>
    </w:pPr>
    <w:r w:rsidRPr="008B54F5">
      <w:rPr>
        <w:rFonts w:ascii="Times New Roman" w:hAnsi="Times New Roman"/>
        <w:sz w:val="24"/>
        <w:szCs w:val="24"/>
      </w:rPr>
      <w:fldChar w:fldCharType="begin"/>
    </w:r>
    <w:r w:rsidR="00D9641C"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D13282">
      <w:rPr>
        <w:rFonts w:ascii="Times New Roman" w:hAnsi="Times New Roman"/>
        <w:noProof/>
        <w:sz w:val="24"/>
        <w:szCs w:val="24"/>
      </w:rPr>
      <w:t>13</w:t>
    </w:r>
    <w:r w:rsidRPr="008B54F5">
      <w:rPr>
        <w:rFonts w:ascii="Times New Roman" w:hAnsi="Times New Roman"/>
        <w:sz w:val="24"/>
        <w:szCs w:val="24"/>
      </w:rPr>
      <w:fldChar w:fldCharType="end"/>
    </w:r>
  </w:p>
  <w:p w:rsidR="00D9641C" w:rsidRDefault="00D96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C" w:rsidRDefault="00D9641C">
    <w:pPr>
      <w:pStyle w:val="Header"/>
      <w:jc w:val="center"/>
    </w:pPr>
  </w:p>
  <w:p w:rsidR="00D9641C" w:rsidRDefault="00D964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C2A5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48C60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614B8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BD2BAB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0DCFE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A4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E8FF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E040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A262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BC21F2"/>
    <w:lvl w:ilvl="0">
      <w:start w:val="1"/>
      <w:numFmt w:val="bullet"/>
      <w:lvlText w:val=""/>
      <w:lvlJc w:val="left"/>
      <w:pPr>
        <w:tabs>
          <w:tab w:val="num" w:pos="360"/>
        </w:tabs>
        <w:ind w:left="360" w:hanging="360"/>
      </w:pPr>
      <w:rPr>
        <w:rFonts w:ascii="Symbol" w:hAnsi="Symbol" w:hint="default"/>
      </w:rPr>
    </w:lvl>
  </w:abstractNum>
  <w:abstractNum w:abstractNumId="1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1">
    <w:nsid w:val="0C901644"/>
    <w:multiLevelType w:val="hybridMultilevel"/>
    <w:tmpl w:val="D0C843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F37E19"/>
    <w:multiLevelType w:val="hybridMultilevel"/>
    <w:tmpl w:val="C778F8A6"/>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0F8F1F06"/>
    <w:multiLevelType w:val="hybridMultilevel"/>
    <w:tmpl w:val="9DD46C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CE0074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F2E566B"/>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25BA149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633F1B"/>
    <w:multiLevelType w:val="hybridMultilevel"/>
    <w:tmpl w:val="3B9C63B6"/>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28922EBF"/>
    <w:multiLevelType w:val="multilevel"/>
    <w:tmpl w:val="0409001F"/>
    <w:numStyleLink w:val="111111"/>
  </w:abstractNum>
  <w:abstractNum w:abstractNumId="19">
    <w:nsid w:val="2D2106FF"/>
    <w:multiLevelType w:val="hybridMultilevel"/>
    <w:tmpl w:val="3CB68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2355B2F"/>
    <w:multiLevelType w:val="hybridMultilevel"/>
    <w:tmpl w:val="CB0C263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4AF4FD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7D51E99"/>
    <w:multiLevelType w:val="hybridMultilevel"/>
    <w:tmpl w:val="2A74FA02"/>
    <w:lvl w:ilvl="0" w:tplc="D402DB96">
      <w:start w:val="1"/>
      <w:numFmt w:val="decimal"/>
      <w:lvlText w:val="%1)"/>
      <w:lvlJc w:val="left"/>
      <w:pPr>
        <w:ind w:left="720" w:hanging="360"/>
      </w:pPr>
      <w:rPr>
        <w:rFonts w:cs="Times New Roman" w:hint="default"/>
        <w:sz w:val="28"/>
        <w:szCs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49F178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4D7707D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7">
    <w:nsid w:val="571B00E9"/>
    <w:multiLevelType w:val="hybridMultilevel"/>
    <w:tmpl w:val="30741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5BCA1BE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5F255DE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166BD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D952B00"/>
    <w:multiLevelType w:val="hybridMultilevel"/>
    <w:tmpl w:val="3FA028E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701657F3"/>
    <w:multiLevelType w:val="hybridMultilevel"/>
    <w:tmpl w:val="8458BCB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4">
    <w:nsid w:val="720B5F25"/>
    <w:multiLevelType w:val="hybridMultilevel"/>
    <w:tmpl w:val="F18C1168"/>
    <w:lvl w:ilvl="0" w:tplc="B2F6FFF4">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95136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2B54DD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74151669"/>
    <w:multiLevelType w:val="hybridMultilevel"/>
    <w:tmpl w:val="DACA1732"/>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7A7D730E"/>
    <w:multiLevelType w:val="hybridMultilevel"/>
    <w:tmpl w:val="41B0712E"/>
    <w:lvl w:ilvl="0" w:tplc="4C70C418">
      <w:start w:val="1"/>
      <w:numFmt w:val="decimal"/>
      <w:lvlText w:val="%1)"/>
      <w:lvlJc w:val="left"/>
      <w:pPr>
        <w:ind w:left="810" w:hanging="450"/>
      </w:pPr>
      <w:rPr>
        <w:rFonts w:ascii="Times New Roman" w:hAnsi="Times New Roman" w:cs="Times New Roman" w:hint="default"/>
        <w:b w:val="0"/>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7CA775E6"/>
    <w:multiLevelType w:val="hybridMultilevel"/>
    <w:tmpl w:val="8722CDCC"/>
    <w:lvl w:ilvl="0" w:tplc="29C6159C">
      <w:numFmt w:val="bullet"/>
      <w:lvlText w:val="-"/>
      <w:lvlJc w:val="left"/>
      <w:pPr>
        <w:ind w:left="435" w:hanging="360"/>
      </w:pPr>
      <w:rPr>
        <w:rFonts w:ascii="Times New Roman" w:eastAsia="Times New Roman" w:hAnsi="Times New Roman"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26"/>
  </w:num>
  <w:num w:numId="2">
    <w:abstractNumId w:val="40"/>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9"/>
  </w:num>
  <w:num w:numId="8">
    <w:abstractNumId w:val="37"/>
  </w:num>
  <w:num w:numId="9">
    <w:abstractNumId w:val="12"/>
  </w:num>
  <w:num w:numId="10">
    <w:abstractNumId w:val="19"/>
  </w:num>
  <w:num w:numId="11">
    <w:abstractNumId w:val="17"/>
  </w:num>
  <w:num w:numId="12">
    <w:abstractNumId w:val="38"/>
  </w:num>
  <w:num w:numId="13">
    <w:abstractNumId w:val="28"/>
  </w:num>
  <w:num w:numId="14">
    <w:abstractNumId w:val="10"/>
  </w:num>
  <w:num w:numId="15">
    <w:abstractNumId w:val="15"/>
  </w:num>
  <w:num w:numId="16">
    <w:abstractNumId w:val="11"/>
  </w:num>
  <w:num w:numId="17">
    <w:abstractNumId w:val="13"/>
  </w:num>
  <w:num w:numId="18">
    <w:abstractNumId w:val="32"/>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8"/>
  </w:num>
  <w:num w:numId="32">
    <w:abstractNumId w:val="31"/>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7"/>
  </w:num>
  <w:num w:numId="36">
    <w:abstractNumId w:val="22"/>
  </w:num>
  <w:num w:numId="37">
    <w:abstractNumId w:val="21"/>
  </w:num>
  <w:num w:numId="38">
    <w:abstractNumId w:val="35"/>
  </w:num>
  <w:num w:numId="39">
    <w:abstractNumId w:val="36"/>
  </w:num>
  <w:num w:numId="40">
    <w:abstractNumId w:val="30"/>
  </w:num>
  <w:num w:numId="41">
    <w:abstractNumId w:val="14"/>
  </w:num>
  <w:num w:numId="42">
    <w:abstractNumId w:val="25"/>
  </w:num>
  <w:num w:numId="43">
    <w:abstractNumId w:val="29"/>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1BB"/>
    <w:rsid w:val="000124F2"/>
    <w:rsid w:val="00013197"/>
    <w:rsid w:val="0001469A"/>
    <w:rsid w:val="000149C9"/>
    <w:rsid w:val="000159D7"/>
    <w:rsid w:val="00020E21"/>
    <w:rsid w:val="0002138E"/>
    <w:rsid w:val="00023864"/>
    <w:rsid w:val="00023E39"/>
    <w:rsid w:val="0002755D"/>
    <w:rsid w:val="00031318"/>
    <w:rsid w:val="000440D8"/>
    <w:rsid w:val="00053FD4"/>
    <w:rsid w:val="00057B46"/>
    <w:rsid w:val="00063DEB"/>
    <w:rsid w:val="000709FD"/>
    <w:rsid w:val="000777C3"/>
    <w:rsid w:val="00084D10"/>
    <w:rsid w:val="00092CA8"/>
    <w:rsid w:val="000B0665"/>
    <w:rsid w:val="000B7B9D"/>
    <w:rsid w:val="000C3EEB"/>
    <w:rsid w:val="000C73E1"/>
    <w:rsid w:val="000E19A5"/>
    <w:rsid w:val="000F08E8"/>
    <w:rsid w:val="00103BA0"/>
    <w:rsid w:val="00110F6D"/>
    <w:rsid w:val="00111282"/>
    <w:rsid w:val="00120363"/>
    <w:rsid w:val="001210E3"/>
    <w:rsid w:val="001252B4"/>
    <w:rsid w:val="00134534"/>
    <w:rsid w:val="00134EE4"/>
    <w:rsid w:val="00135691"/>
    <w:rsid w:val="00137328"/>
    <w:rsid w:val="001416AC"/>
    <w:rsid w:val="001418D6"/>
    <w:rsid w:val="00156600"/>
    <w:rsid w:val="001625B6"/>
    <w:rsid w:val="00162F6D"/>
    <w:rsid w:val="00165572"/>
    <w:rsid w:val="001660D0"/>
    <w:rsid w:val="0016713E"/>
    <w:rsid w:val="00171740"/>
    <w:rsid w:val="00172FB9"/>
    <w:rsid w:val="001745D7"/>
    <w:rsid w:val="0017734C"/>
    <w:rsid w:val="00184F91"/>
    <w:rsid w:val="001870C4"/>
    <w:rsid w:val="00194909"/>
    <w:rsid w:val="00194E22"/>
    <w:rsid w:val="001974FA"/>
    <w:rsid w:val="001A55A7"/>
    <w:rsid w:val="001B1EA7"/>
    <w:rsid w:val="001B3285"/>
    <w:rsid w:val="001C0354"/>
    <w:rsid w:val="001C31D0"/>
    <w:rsid w:val="001C4FC5"/>
    <w:rsid w:val="001D5A54"/>
    <w:rsid w:val="001E00A8"/>
    <w:rsid w:val="001E07DF"/>
    <w:rsid w:val="001E1C1B"/>
    <w:rsid w:val="001E291A"/>
    <w:rsid w:val="001E2F02"/>
    <w:rsid w:val="001F3F27"/>
    <w:rsid w:val="001F6690"/>
    <w:rsid w:val="002010B7"/>
    <w:rsid w:val="00225E5D"/>
    <w:rsid w:val="0024265A"/>
    <w:rsid w:val="00242A19"/>
    <w:rsid w:val="0024394E"/>
    <w:rsid w:val="002574B9"/>
    <w:rsid w:val="00273324"/>
    <w:rsid w:val="00287245"/>
    <w:rsid w:val="0029006A"/>
    <w:rsid w:val="00293489"/>
    <w:rsid w:val="00293AB2"/>
    <w:rsid w:val="002A0D64"/>
    <w:rsid w:val="002A6B0C"/>
    <w:rsid w:val="002A6F88"/>
    <w:rsid w:val="002C011F"/>
    <w:rsid w:val="002C12F8"/>
    <w:rsid w:val="002C28A6"/>
    <w:rsid w:val="002D34BF"/>
    <w:rsid w:val="002E538B"/>
    <w:rsid w:val="00303700"/>
    <w:rsid w:val="00307AD9"/>
    <w:rsid w:val="00314E05"/>
    <w:rsid w:val="00321247"/>
    <w:rsid w:val="00326A1D"/>
    <w:rsid w:val="00327691"/>
    <w:rsid w:val="00331876"/>
    <w:rsid w:val="003373EF"/>
    <w:rsid w:val="00337B20"/>
    <w:rsid w:val="00345516"/>
    <w:rsid w:val="00353F44"/>
    <w:rsid w:val="0036760F"/>
    <w:rsid w:val="00373DD6"/>
    <w:rsid w:val="00374F7D"/>
    <w:rsid w:val="00377871"/>
    <w:rsid w:val="00380BAC"/>
    <w:rsid w:val="0038177D"/>
    <w:rsid w:val="003817D9"/>
    <w:rsid w:val="00382C8C"/>
    <w:rsid w:val="00397639"/>
    <w:rsid w:val="003A3A9F"/>
    <w:rsid w:val="003A3C01"/>
    <w:rsid w:val="003A6F78"/>
    <w:rsid w:val="003B3456"/>
    <w:rsid w:val="003D0BB8"/>
    <w:rsid w:val="003D606E"/>
    <w:rsid w:val="003E31FC"/>
    <w:rsid w:val="003E5684"/>
    <w:rsid w:val="003F6FDC"/>
    <w:rsid w:val="00410DA2"/>
    <w:rsid w:val="004112E3"/>
    <w:rsid w:val="00415276"/>
    <w:rsid w:val="00426C76"/>
    <w:rsid w:val="00432B27"/>
    <w:rsid w:val="00434CCF"/>
    <w:rsid w:val="00441F1B"/>
    <w:rsid w:val="00442D14"/>
    <w:rsid w:val="00454137"/>
    <w:rsid w:val="00460DFF"/>
    <w:rsid w:val="00464C81"/>
    <w:rsid w:val="00464D74"/>
    <w:rsid w:val="004802D7"/>
    <w:rsid w:val="00480637"/>
    <w:rsid w:val="00485C9C"/>
    <w:rsid w:val="00495F8F"/>
    <w:rsid w:val="004A0D43"/>
    <w:rsid w:val="004B138B"/>
    <w:rsid w:val="004B1F82"/>
    <w:rsid w:val="004B212C"/>
    <w:rsid w:val="004B3B89"/>
    <w:rsid w:val="004C6EC8"/>
    <w:rsid w:val="004D351F"/>
    <w:rsid w:val="004E294B"/>
    <w:rsid w:val="004E4F02"/>
    <w:rsid w:val="004F1436"/>
    <w:rsid w:val="004F7D97"/>
    <w:rsid w:val="005048BE"/>
    <w:rsid w:val="00504E2A"/>
    <w:rsid w:val="00507CB3"/>
    <w:rsid w:val="00507DE6"/>
    <w:rsid w:val="00510CA2"/>
    <w:rsid w:val="00511745"/>
    <w:rsid w:val="00512221"/>
    <w:rsid w:val="00516BE1"/>
    <w:rsid w:val="005229CD"/>
    <w:rsid w:val="00530067"/>
    <w:rsid w:val="00542951"/>
    <w:rsid w:val="00542A67"/>
    <w:rsid w:val="005443CD"/>
    <w:rsid w:val="00551A36"/>
    <w:rsid w:val="00553FAF"/>
    <w:rsid w:val="00557324"/>
    <w:rsid w:val="00560A7D"/>
    <w:rsid w:val="0057346C"/>
    <w:rsid w:val="00576C43"/>
    <w:rsid w:val="005802CA"/>
    <w:rsid w:val="00580438"/>
    <w:rsid w:val="00592DCD"/>
    <w:rsid w:val="0059392F"/>
    <w:rsid w:val="00596853"/>
    <w:rsid w:val="005A1917"/>
    <w:rsid w:val="005B4289"/>
    <w:rsid w:val="005B4BAD"/>
    <w:rsid w:val="005C6009"/>
    <w:rsid w:val="005D3652"/>
    <w:rsid w:val="005D46C2"/>
    <w:rsid w:val="005D7249"/>
    <w:rsid w:val="005D75D1"/>
    <w:rsid w:val="005E26A6"/>
    <w:rsid w:val="005E3D9F"/>
    <w:rsid w:val="005E3FBD"/>
    <w:rsid w:val="005E5593"/>
    <w:rsid w:val="005F0E3B"/>
    <w:rsid w:val="005F4204"/>
    <w:rsid w:val="0062321B"/>
    <w:rsid w:val="0063645C"/>
    <w:rsid w:val="00636D8D"/>
    <w:rsid w:val="00637DB3"/>
    <w:rsid w:val="006567B5"/>
    <w:rsid w:val="00660604"/>
    <w:rsid w:val="006649CC"/>
    <w:rsid w:val="00673B5B"/>
    <w:rsid w:val="00683476"/>
    <w:rsid w:val="00684DBF"/>
    <w:rsid w:val="006A1C76"/>
    <w:rsid w:val="006A593C"/>
    <w:rsid w:val="006B34A8"/>
    <w:rsid w:val="006B59A3"/>
    <w:rsid w:val="006B7EC7"/>
    <w:rsid w:val="006C3D0A"/>
    <w:rsid w:val="006D109B"/>
    <w:rsid w:val="006D4F4B"/>
    <w:rsid w:val="006E2568"/>
    <w:rsid w:val="006E35DB"/>
    <w:rsid w:val="006E481F"/>
    <w:rsid w:val="006E6093"/>
    <w:rsid w:val="006F1BFB"/>
    <w:rsid w:val="006F43B4"/>
    <w:rsid w:val="006F5BF2"/>
    <w:rsid w:val="007029FA"/>
    <w:rsid w:val="007153AC"/>
    <w:rsid w:val="0072012A"/>
    <w:rsid w:val="007325B0"/>
    <w:rsid w:val="00734372"/>
    <w:rsid w:val="00735447"/>
    <w:rsid w:val="007356FC"/>
    <w:rsid w:val="007365FF"/>
    <w:rsid w:val="007437AA"/>
    <w:rsid w:val="00746DF0"/>
    <w:rsid w:val="0075325A"/>
    <w:rsid w:val="00754FA7"/>
    <w:rsid w:val="00756BC9"/>
    <w:rsid w:val="00757359"/>
    <w:rsid w:val="00757DBB"/>
    <w:rsid w:val="00765E3F"/>
    <w:rsid w:val="00787E72"/>
    <w:rsid w:val="00794F1E"/>
    <w:rsid w:val="007A42CE"/>
    <w:rsid w:val="007A4F2D"/>
    <w:rsid w:val="007A5310"/>
    <w:rsid w:val="007B0008"/>
    <w:rsid w:val="007B012C"/>
    <w:rsid w:val="007B03DE"/>
    <w:rsid w:val="007B3FE5"/>
    <w:rsid w:val="007C1E60"/>
    <w:rsid w:val="007C445C"/>
    <w:rsid w:val="007C4E6D"/>
    <w:rsid w:val="007C7B41"/>
    <w:rsid w:val="007D4810"/>
    <w:rsid w:val="007E1DCD"/>
    <w:rsid w:val="007F0332"/>
    <w:rsid w:val="007F7814"/>
    <w:rsid w:val="00804734"/>
    <w:rsid w:val="008126B6"/>
    <w:rsid w:val="0081344A"/>
    <w:rsid w:val="00816CA0"/>
    <w:rsid w:val="00830E73"/>
    <w:rsid w:val="008351C2"/>
    <w:rsid w:val="00840117"/>
    <w:rsid w:val="008534CA"/>
    <w:rsid w:val="00860C43"/>
    <w:rsid w:val="00861F5A"/>
    <w:rsid w:val="008720A4"/>
    <w:rsid w:val="00872821"/>
    <w:rsid w:val="00877990"/>
    <w:rsid w:val="008809A0"/>
    <w:rsid w:val="0088384E"/>
    <w:rsid w:val="00891EEB"/>
    <w:rsid w:val="00897620"/>
    <w:rsid w:val="008A1FF1"/>
    <w:rsid w:val="008A4C09"/>
    <w:rsid w:val="008A6932"/>
    <w:rsid w:val="008B54F5"/>
    <w:rsid w:val="008C0533"/>
    <w:rsid w:val="008C6444"/>
    <w:rsid w:val="008D056F"/>
    <w:rsid w:val="008D3A5C"/>
    <w:rsid w:val="008D3C13"/>
    <w:rsid w:val="008D5856"/>
    <w:rsid w:val="008D5AE0"/>
    <w:rsid w:val="008D71D6"/>
    <w:rsid w:val="008E0AD3"/>
    <w:rsid w:val="008E1A54"/>
    <w:rsid w:val="008E3B68"/>
    <w:rsid w:val="008E5934"/>
    <w:rsid w:val="008F034C"/>
    <w:rsid w:val="008F480E"/>
    <w:rsid w:val="0091009C"/>
    <w:rsid w:val="009106D2"/>
    <w:rsid w:val="0091085E"/>
    <w:rsid w:val="0091779D"/>
    <w:rsid w:val="00921536"/>
    <w:rsid w:val="00921738"/>
    <w:rsid w:val="00926B1D"/>
    <w:rsid w:val="00932AEB"/>
    <w:rsid w:val="00932DAD"/>
    <w:rsid w:val="00954912"/>
    <w:rsid w:val="009562EC"/>
    <w:rsid w:val="009606B5"/>
    <w:rsid w:val="009618CC"/>
    <w:rsid w:val="00966B49"/>
    <w:rsid w:val="00972CFC"/>
    <w:rsid w:val="0098393A"/>
    <w:rsid w:val="009859D7"/>
    <w:rsid w:val="00986B43"/>
    <w:rsid w:val="009921E8"/>
    <w:rsid w:val="00994CF5"/>
    <w:rsid w:val="009A0510"/>
    <w:rsid w:val="009A6631"/>
    <w:rsid w:val="009A76E5"/>
    <w:rsid w:val="009B5566"/>
    <w:rsid w:val="009D2685"/>
    <w:rsid w:val="009D69E1"/>
    <w:rsid w:val="009D6D88"/>
    <w:rsid w:val="009E759E"/>
    <w:rsid w:val="009F6DDD"/>
    <w:rsid w:val="00A03138"/>
    <w:rsid w:val="00A0351B"/>
    <w:rsid w:val="00A111DC"/>
    <w:rsid w:val="00A11370"/>
    <w:rsid w:val="00A160C6"/>
    <w:rsid w:val="00A21351"/>
    <w:rsid w:val="00A23C80"/>
    <w:rsid w:val="00A24790"/>
    <w:rsid w:val="00A2692D"/>
    <w:rsid w:val="00A326B2"/>
    <w:rsid w:val="00A44996"/>
    <w:rsid w:val="00A46106"/>
    <w:rsid w:val="00A509CC"/>
    <w:rsid w:val="00A51E93"/>
    <w:rsid w:val="00A57FFD"/>
    <w:rsid w:val="00A61B5F"/>
    <w:rsid w:val="00A627C6"/>
    <w:rsid w:val="00A67BD5"/>
    <w:rsid w:val="00A731F1"/>
    <w:rsid w:val="00A74F61"/>
    <w:rsid w:val="00A7630E"/>
    <w:rsid w:val="00A84E04"/>
    <w:rsid w:val="00A9594D"/>
    <w:rsid w:val="00AA0694"/>
    <w:rsid w:val="00AA2D96"/>
    <w:rsid w:val="00AC01A3"/>
    <w:rsid w:val="00AC11E2"/>
    <w:rsid w:val="00AC3781"/>
    <w:rsid w:val="00AC5345"/>
    <w:rsid w:val="00AC5C1D"/>
    <w:rsid w:val="00AE0158"/>
    <w:rsid w:val="00AE2E49"/>
    <w:rsid w:val="00AE5EF3"/>
    <w:rsid w:val="00AE6612"/>
    <w:rsid w:val="00AF315F"/>
    <w:rsid w:val="00AF33DD"/>
    <w:rsid w:val="00AF45D8"/>
    <w:rsid w:val="00B058EE"/>
    <w:rsid w:val="00B20414"/>
    <w:rsid w:val="00B211AD"/>
    <w:rsid w:val="00B2493E"/>
    <w:rsid w:val="00B4122F"/>
    <w:rsid w:val="00B43706"/>
    <w:rsid w:val="00B44DB8"/>
    <w:rsid w:val="00B55AB0"/>
    <w:rsid w:val="00B61994"/>
    <w:rsid w:val="00B72406"/>
    <w:rsid w:val="00B746D5"/>
    <w:rsid w:val="00B760A6"/>
    <w:rsid w:val="00B8065C"/>
    <w:rsid w:val="00B858C6"/>
    <w:rsid w:val="00B868A4"/>
    <w:rsid w:val="00B87DB1"/>
    <w:rsid w:val="00B909D1"/>
    <w:rsid w:val="00B91FD8"/>
    <w:rsid w:val="00B94241"/>
    <w:rsid w:val="00BA2FD6"/>
    <w:rsid w:val="00BA67B3"/>
    <w:rsid w:val="00BB6821"/>
    <w:rsid w:val="00BB6CF7"/>
    <w:rsid w:val="00BB7DEF"/>
    <w:rsid w:val="00BC14B1"/>
    <w:rsid w:val="00BC415A"/>
    <w:rsid w:val="00BC626A"/>
    <w:rsid w:val="00BE3707"/>
    <w:rsid w:val="00BF3D8F"/>
    <w:rsid w:val="00C102FD"/>
    <w:rsid w:val="00C15772"/>
    <w:rsid w:val="00C17CFA"/>
    <w:rsid w:val="00C205ED"/>
    <w:rsid w:val="00C2599F"/>
    <w:rsid w:val="00C26386"/>
    <w:rsid w:val="00C3636B"/>
    <w:rsid w:val="00C4035B"/>
    <w:rsid w:val="00C45497"/>
    <w:rsid w:val="00C5125C"/>
    <w:rsid w:val="00C53BFA"/>
    <w:rsid w:val="00C6172C"/>
    <w:rsid w:val="00C63BB6"/>
    <w:rsid w:val="00C81DF9"/>
    <w:rsid w:val="00C94AA3"/>
    <w:rsid w:val="00C97784"/>
    <w:rsid w:val="00C97C37"/>
    <w:rsid w:val="00CA634C"/>
    <w:rsid w:val="00CB0A3D"/>
    <w:rsid w:val="00CB54D0"/>
    <w:rsid w:val="00CB74E4"/>
    <w:rsid w:val="00CC0482"/>
    <w:rsid w:val="00CC0D61"/>
    <w:rsid w:val="00CC5EDB"/>
    <w:rsid w:val="00CD631C"/>
    <w:rsid w:val="00CD6541"/>
    <w:rsid w:val="00CD6CFE"/>
    <w:rsid w:val="00CE0A91"/>
    <w:rsid w:val="00CE27A8"/>
    <w:rsid w:val="00CF0BD8"/>
    <w:rsid w:val="00D01B24"/>
    <w:rsid w:val="00D01C3D"/>
    <w:rsid w:val="00D12F34"/>
    <w:rsid w:val="00D13282"/>
    <w:rsid w:val="00D16518"/>
    <w:rsid w:val="00D47478"/>
    <w:rsid w:val="00D53AD1"/>
    <w:rsid w:val="00D56C8C"/>
    <w:rsid w:val="00D57677"/>
    <w:rsid w:val="00D643FF"/>
    <w:rsid w:val="00D74C8A"/>
    <w:rsid w:val="00D74D19"/>
    <w:rsid w:val="00D7530B"/>
    <w:rsid w:val="00D8014D"/>
    <w:rsid w:val="00D9641C"/>
    <w:rsid w:val="00DA5B76"/>
    <w:rsid w:val="00DB10C5"/>
    <w:rsid w:val="00DD2A23"/>
    <w:rsid w:val="00DE06CF"/>
    <w:rsid w:val="00DE06DD"/>
    <w:rsid w:val="00DE3F15"/>
    <w:rsid w:val="00DE750A"/>
    <w:rsid w:val="00DF3170"/>
    <w:rsid w:val="00DF61F4"/>
    <w:rsid w:val="00E0292C"/>
    <w:rsid w:val="00E0610A"/>
    <w:rsid w:val="00E101BB"/>
    <w:rsid w:val="00E16558"/>
    <w:rsid w:val="00E171E9"/>
    <w:rsid w:val="00E206BA"/>
    <w:rsid w:val="00E2251A"/>
    <w:rsid w:val="00E30527"/>
    <w:rsid w:val="00E352A2"/>
    <w:rsid w:val="00E510FA"/>
    <w:rsid w:val="00E64577"/>
    <w:rsid w:val="00E65E72"/>
    <w:rsid w:val="00E668ED"/>
    <w:rsid w:val="00E70894"/>
    <w:rsid w:val="00E7439B"/>
    <w:rsid w:val="00E74EE7"/>
    <w:rsid w:val="00E8392A"/>
    <w:rsid w:val="00E879CB"/>
    <w:rsid w:val="00E93A91"/>
    <w:rsid w:val="00EA16F6"/>
    <w:rsid w:val="00EB2B5C"/>
    <w:rsid w:val="00EB69CA"/>
    <w:rsid w:val="00EC170F"/>
    <w:rsid w:val="00EC5385"/>
    <w:rsid w:val="00ED3040"/>
    <w:rsid w:val="00ED394D"/>
    <w:rsid w:val="00ED3B50"/>
    <w:rsid w:val="00EE27EA"/>
    <w:rsid w:val="00F2041B"/>
    <w:rsid w:val="00F27679"/>
    <w:rsid w:val="00F368A5"/>
    <w:rsid w:val="00F52AED"/>
    <w:rsid w:val="00F549A2"/>
    <w:rsid w:val="00F712C1"/>
    <w:rsid w:val="00F71F84"/>
    <w:rsid w:val="00F776BC"/>
    <w:rsid w:val="00F8166A"/>
    <w:rsid w:val="00F83785"/>
    <w:rsid w:val="00F86C26"/>
    <w:rsid w:val="00F90EA5"/>
    <w:rsid w:val="00F922CC"/>
    <w:rsid w:val="00FA4A3A"/>
    <w:rsid w:val="00FB35D9"/>
    <w:rsid w:val="00FB406B"/>
    <w:rsid w:val="00FB747B"/>
    <w:rsid w:val="00FC0BE1"/>
    <w:rsid w:val="00FD14AE"/>
    <w:rsid w:val="00FD2807"/>
    <w:rsid w:val="00FD4051"/>
    <w:rsid w:val="00FE2661"/>
    <w:rsid w:val="00FE35F0"/>
    <w:rsid w:val="00FE7D03"/>
    <w:rsid w:val="00FF3F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B"/>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uiPriority w:val="99"/>
    <w:semiHidden/>
    <w:rsid w:val="00840117"/>
    <w:rPr>
      <w:rFonts w:cs="Times New Roman"/>
      <w:sz w:val="16"/>
      <w:szCs w:val="16"/>
    </w:rPr>
  </w:style>
  <w:style w:type="paragraph" w:styleId="CommentText">
    <w:name w:val="annotation text"/>
    <w:basedOn w:val="Normal"/>
    <w:link w:val="CommentTextChar"/>
    <w:uiPriority w:val="99"/>
    <w:semiHidden/>
    <w:rsid w:val="008401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b/>
      <w:bCs/>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17734C"/>
    <w:rPr>
      <w:rFonts w:cs="Times New Roman"/>
    </w:rPr>
  </w:style>
  <w:style w:type="paragraph" w:customStyle="1" w:styleId="tv213">
    <w:name w:val="tv213"/>
    <w:basedOn w:val="Normal"/>
    <w:uiPriority w:val="99"/>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rsid w:val="00FB35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B35D9"/>
    <w:rPr>
      <w:rFonts w:cs="Times New Roman"/>
      <w:sz w:val="20"/>
      <w:szCs w:val="20"/>
    </w:rPr>
  </w:style>
  <w:style w:type="character" w:styleId="FootnoteReference">
    <w:name w:val="footnote reference"/>
    <w:basedOn w:val="DefaultParagraphFont"/>
    <w:uiPriority w:val="99"/>
    <w:semiHidden/>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30"/>
      </w:numPr>
    </w:pPr>
  </w:style>
</w:styles>
</file>

<file path=word/webSettings.xml><?xml version="1.0" encoding="utf-8"?>
<w:webSettings xmlns:r="http://schemas.openxmlformats.org/officeDocument/2006/relationships" xmlns:w="http://schemas.openxmlformats.org/wordprocessingml/2006/main">
  <w:divs>
    <w:div w:id="1427843665">
      <w:marLeft w:val="0"/>
      <w:marRight w:val="0"/>
      <w:marTop w:val="0"/>
      <w:marBottom w:val="0"/>
      <w:divBdr>
        <w:top w:val="none" w:sz="0" w:space="0" w:color="auto"/>
        <w:left w:val="none" w:sz="0" w:space="0" w:color="auto"/>
        <w:bottom w:val="none" w:sz="0" w:space="0" w:color="auto"/>
        <w:right w:val="none" w:sz="0" w:space="0" w:color="auto"/>
      </w:divBdr>
    </w:div>
    <w:div w:id="1427843666">
      <w:marLeft w:val="0"/>
      <w:marRight w:val="0"/>
      <w:marTop w:val="0"/>
      <w:marBottom w:val="0"/>
      <w:divBdr>
        <w:top w:val="none" w:sz="0" w:space="0" w:color="auto"/>
        <w:left w:val="none" w:sz="0" w:space="0" w:color="auto"/>
        <w:bottom w:val="none" w:sz="0" w:space="0" w:color="auto"/>
        <w:right w:val="none" w:sz="0" w:space="0" w:color="auto"/>
      </w:divBdr>
      <w:divsChild>
        <w:div w:id="1427843667">
          <w:marLeft w:val="0"/>
          <w:marRight w:val="0"/>
          <w:marTop w:val="480"/>
          <w:marBottom w:val="240"/>
          <w:divBdr>
            <w:top w:val="none" w:sz="0" w:space="0" w:color="auto"/>
            <w:left w:val="none" w:sz="0" w:space="0" w:color="auto"/>
            <w:bottom w:val="none" w:sz="0" w:space="0" w:color="auto"/>
            <w:right w:val="none" w:sz="0" w:space="0" w:color="auto"/>
          </w:divBdr>
        </w:div>
        <w:div w:id="1427843668">
          <w:marLeft w:val="0"/>
          <w:marRight w:val="0"/>
          <w:marTop w:val="0"/>
          <w:marBottom w:val="567"/>
          <w:divBdr>
            <w:top w:val="none" w:sz="0" w:space="0" w:color="auto"/>
            <w:left w:val="none" w:sz="0" w:space="0" w:color="auto"/>
            <w:bottom w:val="none" w:sz="0" w:space="0" w:color="auto"/>
            <w:right w:val="none" w:sz="0" w:space="0" w:color="auto"/>
          </w:divBdr>
        </w:div>
      </w:divsChild>
    </w:div>
    <w:div w:id="1427843669">
      <w:marLeft w:val="0"/>
      <w:marRight w:val="0"/>
      <w:marTop w:val="0"/>
      <w:marBottom w:val="0"/>
      <w:divBdr>
        <w:top w:val="none" w:sz="0" w:space="0" w:color="auto"/>
        <w:left w:val="none" w:sz="0" w:space="0" w:color="auto"/>
        <w:bottom w:val="none" w:sz="0" w:space="0" w:color="auto"/>
        <w:right w:val="none" w:sz="0" w:space="0" w:color="auto"/>
      </w:divBdr>
    </w:div>
    <w:div w:id="1427843670">
      <w:marLeft w:val="0"/>
      <w:marRight w:val="0"/>
      <w:marTop w:val="0"/>
      <w:marBottom w:val="0"/>
      <w:divBdr>
        <w:top w:val="none" w:sz="0" w:space="0" w:color="auto"/>
        <w:left w:val="none" w:sz="0" w:space="0" w:color="auto"/>
        <w:bottom w:val="none" w:sz="0" w:space="0" w:color="auto"/>
        <w:right w:val="none" w:sz="0" w:space="0" w:color="auto"/>
      </w:divBdr>
    </w:div>
    <w:div w:id="1427843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14047</Words>
  <Characters>8007</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Likumprojekta ,,Grozījums likumā ,,Par Krimināllikuma spēkā stāšanās un piemērošanas kārtību”” sākotnējās ietekmes novērtējuma ziņojums (anotācija)</vt:lpstr>
    </vt:vector>
  </TitlesOfParts>
  <Company>Veselības ministrija</Company>
  <LinksUpToDate>false</LinksUpToDate>
  <CharactersWithSpaces>22010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Krimināllikuma spēkā stāšanās un piemērošanas kārtību”” sākotnējās ietekmes novērtējuma ziņojums (anotācija)</dc:title>
  <dc:subject>anotācija</dc:subject>
  <dc:creator>Vieda Lūsa</dc:creator>
  <cp:keywords/>
  <dc:description>vieda.lusa@vm.gov.lv, tālr. 67876099</dc:description>
  <cp:lastModifiedBy>vlusa</cp:lastModifiedBy>
  <cp:revision>18</cp:revision>
  <cp:lastPrinted>2014-12-03T06:57:00Z</cp:lastPrinted>
  <dcterms:created xsi:type="dcterms:W3CDTF">2014-12-10T11:58:00Z</dcterms:created>
  <dcterms:modified xsi:type="dcterms:W3CDTF">2015-03-11T14:00:00Z</dcterms:modified>
</cp:coreProperties>
</file>