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E1" w:rsidRPr="00207158" w:rsidRDefault="000A5253" w:rsidP="005306E1">
      <w:pPr>
        <w:spacing w:after="120"/>
        <w:jc w:val="both"/>
      </w:pPr>
      <w:r>
        <w:t>2015</w:t>
      </w:r>
      <w:r w:rsidR="005306E1" w:rsidRPr="00207158">
        <w:t>. gada ___._________</w:t>
      </w:r>
      <w:r w:rsidR="005306E1" w:rsidRPr="00207158">
        <w:tab/>
      </w:r>
      <w:r w:rsidR="005306E1" w:rsidRPr="00207158">
        <w:tab/>
      </w:r>
      <w:r w:rsidR="005306E1" w:rsidRPr="00207158">
        <w:tab/>
      </w:r>
      <w:r w:rsidR="005306E1" w:rsidRPr="00207158">
        <w:tab/>
      </w:r>
      <w:r w:rsidR="005306E1" w:rsidRPr="00207158">
        <w:tab/>
      </w:r>
      <w:r w:rsidR="005306E1" w:rsidRPr="00207158">
        <w:tab/>
      </w:r>
      <w:r w:rsidR="005306E1" w:rsidRPr="00207158">
        <w:tab/>
        <w:t>Noteikumi Nr.</w:t>
      </w:r>
    </w:p>
    <w:p w:rsidR="005306E1" w:rsidRPr="00207158" w:rsidRDefault="005306E1" w:rsidP="005306E1">
      <w:pPr>
        <w:spacing w:after="120"/>
        <w:jc w:val="both"/>
      </w:pPr>
      <w:r w:rsidRPr="00207158">
        <w:t>Rīgā</w:t>
      </w:r>
      <w:r w:rsidRPr="00207158">
        <w:tab/>
      </w:r>
      <w:r w:rsidRPr="00207158">
        <w:tab/>
      </w:r>
      <w:r w:rsidRPr="00207158">
        <w:tab/>
      </w:r>
      <w:r w:rsidRPr="00207158">
        <w:tab/>
      </w:r>
      <w:r w:rsidRPr="00207158">
        <w:tab/>
      </w:r>
      <w:r w:rsidRPr="00207158">
        <w:tab/>
      </w:r>
      <w:r w:rsidRPr="00207158">
        <w:tab/>
      </w:r>
      <w:r w:rsidRPr="00207158">
        <w:tab/>
      </w:r>
      <w:r w:rsidRPr="00207158">
        <w:tab/>
      </w:r>
      <w:r w:rsidRPr="00207158">
        <w:tab/>
        <w:t>(prot.   Nr.   .§)</w:t>
      </w:r>
    </w:p>
    <w:p w:rsidR="005306E1" w:rsidRPr="00207158" w:rsidRDefault="005306E1" w:rsidP="005306E1">
      <w:pPr>
        <w:spacing w:after="120"/>
        <w:jc w:val="center"/>
        <w:rPr>
          <w:b/>
          <w:sz w:val="28"/>
          <w:szCs w:val="28"/>
        </w:rPr>
      </w:pPr>
    </w:p>
    <w:p w:rsidR="005306E1" w:rsidRPr="00207158" w:rsidRDefault="005306E1" w:rsidP="005306E1">
      <w:pPr>
        <w:spacing w:after="120"/>
        <w:jc w:val="center"/>
        <w:rPr>
          <w:b/>
        </w:rPr>
      </w:pPr>
      <w:r w:rsidRPr="00207158">
        <w:rPr>
          <w:b/>
        </w:rPr>
        <w:t>Darbības programmas „Izaugsme un nodarbinātība”</w:t>
      </w:r>
      <w:r>
        <w:rPr>
          <w:b/>
        </w:rPr>
        <w:t xml:space="preserve"> 3.2.1.</w:t>
      </w:r>
      <w:r w:rsidRPr="00207158">
        <w:rPr>
          <w:b/>
        </w:rPr>
        <w:t xml:space="preserve"> specifiskā atbalsta mērķa „</w:t>
      </w:r>
      <w:r w:rsidRPr="005306E1">
        <w:rPr>
          <w:b/>
        </w:rPr>
        <w:t>Palielināt augstas pievienotās vērtības produktu un pakalpojumu eksporta proporciju</w:t>
      </w:r>
      <w:r w:rsidRPr="00207158">
        <w:rPr>
          <w:b/>
        </w:rPr>
        <w:t xml:space="preserve">” </w:t>
      </w:r>
      <w:r>
        <w:rPr>
          <w:b/>
        </w:rPr>
        <w:t xml:space="preserve">3.2.1.1. pasākuma </w:t>
      </w:r>
      <w:r w:rsidRPr="005306E1">
        <w:rPr>
          <w:b/>
        </w:rPr>
        <w:t>“Ārējo tirgu apgūšana</w:t>
      </w:r>
      <w:r w:rsidR="008407A8">
        <w:rPr>
          <w:b/>
        </w:rPr>
        <w:t>-ārējais mārketings</w:t>
      </w:r>
      <w:r w:rsidRPr="005306E1">
        <w:rPr>
          <w:b/>
        </w:rPr>
        <w:t>”</w:t>
      </w:r>
      <w:r>
        <w:rPr>
          <w:b/>
        </w:rPr>
        <w:t xml:space="preserve"> </w:t>
      </w:r>
      <w:r w:rsidRPr="00207158">
        <w:rPr>
          <w:b/>
        </w:rPr>
        <w:t>īstenošanas noteikumi</w:t>
      </w:r>
    </w:p>
    <w:p w:rsidR="005306E1" w:rsidRPr="00207158" w:rsidRDefault="005306E1" w:rsidP="005306E1">
      <w:pPr>
        <w:pStyle w:val="naislab"/>
        <w:spacing w:before="0" w:after="120"/>
        <w:ind w:left="5580" w:firstLine="1440"/>
      </w:pPr>
    </w:p>
    <w:p w:rsidR="005306E1" w:rsidRPr="00207158" w:rsidRDefault="005306E1" w:rsidP="00D1252C">
      <w:pPr>
        <w:pStyle w:val="naislab"/>
        <w:spacing w:before="0" w:after="120"/>
        <w:ind w:left="4395"/>
        <w:jc w:val="both"/>
        <w:rPr>
          <w:i/>
        </w:rPr>
      </w:pPr>
      <w:r w:rsidRPr="00207158">
        <w:rPr>
          <w:i/>
        </w:rPr>
        <w:t>Izdoti saskaņā ar Eiropas Savienības struktūrfondu un Kohēzijas fonda 2014.–2020. gada plānošanas perioda vadības likuma 20. panta 13. punktu</w:t>
      </w:r>
    </w:p>
    <w:p w:rsidR="005306E1" w:rsidRPr="00207158" w:rsidRDefault="005306E1" w:rsidP="005306E1">
      <w:pPr>
        <w:pStyle w:val="ListParagraph"/>
        <w:spacing w:before="40" w:after="40"/>
        <w:ind w:left="0"/>
        <w:jc w:val="center"/>
        <w:rPr>
          <w:rFonts w:eastAsiaTheme="minorHAnsi"/>
          <w:b/>
          <w:bCs/>
          <w:sz w:val="25"/>
          <w:szCs w:val="25"/>
          <w:lang w:eastAsia="en-US"/>
        </w:rPr>
      </w:pPr>
    </w:p>
    <w:p w:rsidR="005306E1" w:rsidRPr="00207158" w:rsidRDefault="005306E1" w:rsidP="005306E1">
      <w:pPr>
        <w:pStyle w:val="ListParagraph"/>
        <w:spacing w:before="40" w:after="40"/>
        <w:ind w:left="0"/>
        <w:jc w:val="center"/>
        <w:rPr>
          <w:rFonts w:eastAsiaTheme="minorHAnsi"/>
          <w:b/>
          <w:bCs/>
          <w:sz w:val="25"/>
          <w:szCs w:val="25"/>
          <w:lang w:eastAsia="en-US"/>
        </w:rPr>
      </w:pPr>
      <w:r w:rsidRPr="00207158">
        <w:rPr>
          <w:rFonts w:eastAsiaTheme="minorHAnsi"/>
          <w:b/>
          <w:bCs/>
          <w:sz w:val="25"/>
          <w:szCs w:val="25"/>
          <w:lang w:eastAsia="en-US"/>
        </w:rPr>
        <w:t>I. Vispārīgie jautājumi</w:t>
      </w:r>
    </w:p>
    <w:p w:rsidR="005306E1" w:rsidRPr="00207158" w:rsidRDefault="005306E1" w:rsidP="00547373">
      <w:pPr>
        <w:pStyle w:val="ListParagraph"/>
        <w:numPr>
          <w:ilvl w:val="0"/>
          <w:numId w:val="4"/>
        </w:numPr>
        <w:spacing w:before="120"/>
        <w:ind w:left="567" w:hanging="567"/>
        <w:jc w:val="both"/>
        <w:outlineLvl w:val="0"/>
      </w:pPr>
      <w:r w:rsidRPr="00207158">
        <w:t>Noteikumi nosaka:</w:t>
      </w:r>
    </w:p>
    <w:p w:rsidR="003730D1" w:rsidRDefault="00D1252C" w:rsidP="00547373">
      <w:pPr>
        <w:pStyle w:val="ListParagraph"/>
        <w:numPr>
          <w:ilvl w:val="1"/>
          <w:numId w:val="4"/>
        </w:numPr>
        <w:spacing w:before="120"/>
        <w:ind w:left="567" w:hanging="567"/>
        <w:jc w:val="both"/>
      </w:pPr>
      <w:r w:rsidRPr="00207158">
        <w:t xml:space="preserve">kārtību, kādā īsteno darbības programmas „Izaugsme un nodarbinātība” prioritārā virziena “Mazo un vidējo komersantu konkurētspēja” </w:t>
      </w:r>
      <w:r w:rsidRPr="00D1252C">
        <w:t>3.2.1. specifiskā atbalsta mērķa „Palielināt augstas pievienotās vērtības produktu un pakalpojumu eksporta proporciju” 3.2.1.1. pasākum</w:t>
      </w:r>
      <w:r>
        <w:t>u</w:t>
      </w:r>
      <w:r w:rsidRPr="00D1252C">
        <w:t xml:space="preserve"> “Ārējo tirgu apgūšana</w:t>
      </w:r>
      <w:r w:rsidR="008407A8">
        <w:t>-ārējais mārketings</w:t>
      </w:r>
      <w:r w:rsidRPr="00D1252C">
        <w:t>”</w:t>
      </w:r>
      <w:r w:rsidRPr="00207158">
        <w:t xml:space="preserve"> (turpmāk – </w:t>
      </w:r>
      <w:r w:rsidR="00C24888">
        <w:t>pasākums</w:t>
      </w:r>
      <w:r w:rsidRPr="00207158">
        <w:t>);</w:t>
      </w:r>
    </w:p>
    <w:p w:rsidR="001A1E2F" w:rsidRDefault="00DD4736" w:rsidP="00547373">
      <w:pPr>
        <w:pStyle w:val="ListParagraph"/>
        <w:numPr>
          <w:ilvl w:val="1"/>
          <w:numId w:val="4"/>
        </w:numPr>
        <w:spacing w:before="120"/>
        <w:ind w:left="567" w:hanging="567"/>
        <w:jc w:val="both"/>
        <w:outlineLvl w:val="0"/>
      </w:pPr>
      <w:r>
        <w:t xml:space="preserve">pasākuma </w:t>
      </w:r>
      <w:r w:rsidR="001A1E2F" w:rsidRPr="00207158">
        <w:t>mērķi;</w:t>
      </w:r>
    </w:p>
    <w:p w:rsidR="00DD4736" w:rsidRPr="00207158" w:rsidRDefault="00DD4736" w:rsidP="00547373">
      <w:pPr>
        <w:pStyle w:val="ListParagraph"/>
        <w:numPr>
          <w:ilvl w:val="1"/>
          <w:numId w:val="4"/>
        </w:numPr>
        <w:spacing w:before="120"/>
        <w:ind w:left="567" w:hanging="567"/>
        <w:jc w:val="both"/>
        <w:outlineLvl w:val="0"/>
      </w:pPr>
      <w:r>
        <w:t>pasākuma ietvaros sasniedzamos uzraudzības rādītājus;</w:t>
      </w:r>
    </w:p>
    <w:p w:rsidR="001A1E2F" w:rsidRPr="00207158" w:rsidRDefault="00547373" w:rsidP="00547373">
      <w:pPr>
        <w:pStyle w:val="ListParagraph"/>
        <w:numPr>
          <w:ilvl w:val="1"/>
          <w:numId w:val="4"/>
        </w:numPr>
        <w:spacing w:before="120"/>
        <w:ind w:left="567" w:hanging="567"/>
        <w:jc w:val="both"/>
        <w:outlineLvl w:val="0"/>
      </w:pPr>
      <w:r>
        <w:t xml:space="preserve">pasākumam </w:t>
      </w:r>
      <w:r w:rsidR="001A1E2F" w:rsidRPr="00207158">
        <w:t>pieejamo finansējumu;</w:t>
      </w:r>
    </w:p>
    <w:p w:rsidR="00DD4736" w:rsidRDefault="001A1E2F" w:rsidP="00547373">
      <w:pPr>
        <w:pStyle w:val="ListParagraph"/>
        <w:numPr>
          <w:ilvl w:val="1"/>
          <w:numId w:val="4"/>
        </w:numPr>
        <w:spacing w:before="120"/>
        <w:ind w:left="567" w:hanging="567"/>
        <w:jc w:val="both"/>
        <w:outlineLvl w:val="0"/>
      </w:pPr>
      <w:r w:rsidRPr="00207158">
        <w:t>prasības Eiropas Reģionālās attīstības fonda</w:t>
      </w:r>
      <w:r w:rsidR="00547373">
        <w:t xml:space="preserve"> (turpmāk - ERAF)</w:t>
      </w:r>
      <w:r w:rsidRPr="00207158">
        <w:t xml:space="preserve"> projekta (turpmāk – projekts) iesniedzējam </w:t>
      </w:r>
      <w:r w:rsidR="00DD4736">
        <w:t xml:space="preserve">(turpmāk – projekta iesniedzējs) </w:t>
      </w:r>
      <w:r w:rsidRPr="00207158">
        <w:t>un projekta sadarbības partnerim</w:t>
      </w:r>
      <w:r w:rsidR="00DD4736">
        <w:t>;</w:t>
      </w:r>
    </w:p>
    <w:p w:rsidR="001A1E2F" w:rsidRPr="00207158" w:rsidRDefault="001A1E2F" w:rsidP="00547373">
      <w:pPr>
        <w:pStyle w:val="ListParagraph"/>
        <w:numPr>
          <w:ilvl w:val="1"/>
          <w:numId w:val="4"/>
        </w:numPr>
        <w:spacing w:before="120"/>
        <w:ind w:left="567" w:hanging="567"/>
        <w:jc w:val="both"/>
        <w:outlineLvl w:val="0"/>
      </w:pPr>
      <w:r w:rsidRPr="00207158">
        <w:t>projekta īstenošanas nosacījumus;</w:t>
      </w:r>
    </w:p>
    <w:p w:rsidR="001A1E2F" w:rsidRDefault="001A1E2F" w:rsidP="00547373">
      <w:pPr>
        <w:pStyle w:val="ListParagraph"/>
        <w:numPr>
          <w:ilvl w:val="1"/>
          <w:numId w:val="4"/>
        </w:numPr>
        <w:spacing w:before="120"/>
        <w:ind w:left="567" w:hanging="567"/>
        <w:jc w:val="both"/>
        <w:outlineLvl w:val="0"/>
      </w:pPr>
      <w:r w:rsidRPr="00207158">
        <w:t xml:space="preserve">atbalstāmo darbību un izmaksu </w:t>
      </w:r>
      <w:proofErr w:type="spellStart"/>
      <w:r w:rsidRPr="00207158">
        <w:t>attiecināmības</w:t>
      </w:r>
      <w:proofErr w:type="spellEnd"/>
      <w:r w:rsidRPr="00207158">
        <w:t xml:space="preserve"> nosacījumus;</w:t>
      </w:r>
    </w:p>
    <w:p w:rsidR="0079760D" w:rsidRDefault="00DD4736" w:rsidP="00957103">
      <w:pPr>
        <w:pStyle w:val="ListParagraph"/>
        <w:numPr>
          <w:ilvl w:val="1"/>
          <w:numId w:val="4"/>
        </w:numPr>
        <w:spacing w:before="120"/>
        <w:ind w:left="567" w:hanging="567"/>
        <w:jc w:val="both"/>
        <w:outlineLvl w:val="0"/>
      </w:pPr>
      <w:r>
        <w:t>ar valsts atbalsta saņemšanu saistītos jautājumus.</w:t>
      </w:r>
    </w:p>
    <w:p w:rsidR="0079760D" w:rsidRDefault="0079760D" w:rsidP="00547373">
      <w:pPr>
        <w:pStyle w:val="ListParagraph"/>
        <w:numPr>
          <w:ilvl w:val="0"/>
          <w:numId w:val="4"/>
        </w:numPr>
        <w:spacing w:before="120"/>
        <w:ind w:left="567" w:hanging="567"/>
        <w:jc w:val="both"/>
      </w:pPr>
      <w:r>
        <w:t>Pasākumu</w:t>
      </w:r>
      <w:r w:rsidRPr="001A1E2F">
        <w:t xml:space="preserve"> īsteno </w:t>
      </w:r>
      <w:r>
        <w:t>atklātas</w:t>
      </w:r>
      <w:r w:rsidRPr="001A1E2F">
        <w:t xml:space="preserve"> projektu iesniegumu atlases v</w:t>
      </w:r>
      <w:r>
        <w:t>eidā un p</w:t>
      </w:r>
      <w:r w:rsidRPr="001A1E2F">
        <w:t xml:space="preserve">rojektu iesniegumu iesniegšanu izsludina vienu reizi par visu </w:t>
      </w:r>
      <w:r>
        <w:t xml:space="preserve">pasākumam </w:t>
      </w:r>
      <w:r w:rsidRPr="001A1E2F">
        <w:t>pieejamo finansējumu</w:t>
      </w:r>
      <w:r>
        <w:t xml:space="preserve">. Vērtējot projektu iesniegumus, </w:t>
      </w:r>
      <w:r w:rsidRPr="008E59C2">
        <w:t>savstarpēji salīdzina attiecīgā kalendāra mēneša ietvaros</w:t>
      </w:r>
      <w:r>
        <w:t xml:space="preserve"> iesniegtos projektu iesniegumus.</w:t>
      </w:r>
    </w:p>
    <w:p w:rsidR="007C12AE" w:rsidRDefault="00C24888" w:rsidP="00547373">
      <w:pPr>
        <w:pStyle w:val="ListParagraph"/>
        <w:numPr>
          <w:ilvl w:val="0"/>
          <w:numId w:val="4"/>
        </w:numPr>
        <w:spacing w:before="120"/>
        <w:ind w:left="567" w:hanging="567"/>
        <w:jc w:val="both"/>
      </w:pPr>
      <w:r w:rsidRPr="008E59C2">
        <w:t>Pasākuma</w:t>
      </w:r>
      <w:r w:rsidR="007C12AE" w:rsidRPr="008E59C2">
        <w:t xml:space="preserve"> īstenošanu nodrošina Ekonomikas ministrija kā atbildīgā iestāde </w:t>
      </w:r>
      <w:r w:rsidR="00BA4038" w:rsidRPr="008E59C2">
        <w:t xml:space="preserve">(turpmāk – atbildīgā iestāde) </w:t>
      </w:r>
      <w:r w:rsidR="007C12AE" w:rsidRPr="008E59C2">
        <w:t>un Centrālā finanšu un līgumu aģentūra kā sadarbības iestāde</w:t>
      </w:r>
      <w:r w:rsidR="00BA4038" w:rsidRPr="008E59C2">
        <w:t xml:space="preserve"> (turpmāk – sadarbības iestāde)</w:t>
      </w:r>
      <w:r w:rsidR="007C12AE" w:rsidRPr="008E59C2">
        <w:t>.</w:t>
      </w:r>
    </w:p>
    <w:p w:rsidR="00C24888" w:rsidRDefault="00C24888" w:rsidP="00547373">
      <w:pPr>
        <w:pStyle w:val="ListParagraph"/>
        <w:numPr>
          <w:ilvl w:val="0"/>
          <w:numId w:val="4"/>
        </w:numPr>
        <w:spacing w:before="120"/>
        <w:ind w:left="567" w:hanging="567"/>
        <w:jc w:val="both"/>
      </w:pPr>
      <w:r>
        <w:t xml:space="preserve">Pasākuma mērķis ir </w:t>
      </w:r>
      <w:r w:rsidR="00D43A91">
        <w:t xml:space="preserve">vecināt komersantu </w:t>
      </w:r>
      <w:r w:rsidRPr="00C24888">
        <w:t>ieiešanu ārvalstu tirgos</w:t>
      </w:r>
      <w:r w:rsidR="00D43A91">
        <w:t xml:space="preserve"> un </w:t>
      </w:r>
      <w:r w:rsidRPr="00C24888">
        <w:t>iekļaušanos</w:t>
      </w:r>
      <w:r w:rsidR="0032418E">
        <w:t xml:space="preserve"> starptautiskajās piegāžu ķēdēs</w:t>
      </w:r>
      <w:r w:rsidR="0079760D">
        <w:t xml:space="preserve">, piedaloties </w:t>
      </w:r>
      <w:r w:rsidR="0079760D" w:rsidRPr="00C24888">
        <w:t>ārēj</w:t>
      </w:r>
      <w:r w:rsidR="0079760D">
        <w:t>ā</w:t>
      </w:r>
      <w:r w:rsidR="0079760D" w:rsidRPr="00C24888">
        <w:t xml:space="preserve"> mārketing</w:t>
      </w:r>
      <w:r w:rsidR="0079760D">
        <w:t>a aktivitātēs</w:t>
      </w:r>
      <w:r w:rsidRPr="00C24888">
        <w:t>.</w:t>
      </w:r>
    </w:p>
    <w:p w:rsidR="00C24888" w:rsidRPr="006B48D8" w:rsidRDefault="00C24888" w:rsidP="006B48D8">
      <w:pPr>
        <w:pStyle w:val="ListParagraph"/>
        <w:numPr>
          <w:ilvl w:val="0"/>
          <w:numId w:val="4"/>
        </w:numPr>
        <w:spacing w:before="120"/>
        <w:ind w:left="567" w:hanging="567"/>
        <w:jc w:val="both"/>
      </w:pPr>
      <w:r w:rsidRPr="006B48D8">
        <w:t xml:space="preserve">Pasākuma mērķa grupa un gala labuma </w:t>
      </w:r>
      <w:r w:rsidR="00DD4736" w:rsidRPr="006B48D8">
        <w:t xml:space="preserve">guvēji </w:t>
      </w:r>
      <w:r w:rsidRPr="006B48D8">
        <w:t xml:space="preserve">ir </w:t>
      </w:r>
      <w:r w:rsidR="00694E9E" w:rsidRPr="006B48D8">
        <w:t xml:space="preserve">komersanti, </w:t>
      </w:r>
      <w:r w:rsidR="00DD4736" w:rsidRPr="006B48D8">
        <w:t xml:space="preserve">kuri </w:t>
      </w:r>
      <w:r w:rsidR="0032418E" w:rsidRPr="006B48D8">
        <w:t>atbilst sīko (</w:t>
      </w:r>
      <w:proofErr w:type="spellStart"/>
      <w:r w:rsidR="0032418E" w:rsidRPr="006B48D8">
        <w:t>mikro</w:t>
      </w:r>
      <w:proofErr w:type="spellEnd"/>
      <w:r w:rsidR="0032418E" w:rsidRPr="006B48D8">
        <w:t xml:space="preserve">), </w:t>
      </w:r>
      <w:r w:rsidR="0032418E" w:rsidRPr="00886B05">
        <w:t>mazo un vidējo komersantu statusam</w:t>
      </w:r>
      <w:r w:rsidR="00E66F50">
        <w:t xml:space="preserve"> (turpmāk – MVK)</w:t>
      </w:r>
      <w:r w:rsidR="00DD4736">
        <w:t xml:space="preserve"> saskaņā ar Komisijas 2014.gada 17.jūnija Regulas (ES) Nr.</w:t>
      </w:r>
      <w:r w:rsidR="00DD4736" w:rsidRPr="00DD4736">
        <w:t>651/2014, ar ko noteiktas atbalsta kategorijas atzīst par saderīgām ar iekšējo tirgu, piemērojot Līguma 107. un 108. pantu, 1.pielikuma 2.pantu (Eiropas Savienības Oficiālais Vēstnesis, 2014. gada 26. jūnijs, Nr. L 187) (turpmāk – Komisijas regula Nr. 651/2014)</w:t>
      </w:r>
      <w:r w:rsidR="00D43A91">
        <w:t xml:space="preserve">, </w:t>
      </w:r>
      <w:r w:rsidR="00D43A91" w:rsidRPr="00D43A91">
        <w:t>pašvaldības</w:t>
      </w:r>
      <w:r w:rsidR="00D43A91">
        <w:t>, biedrības</w:t>
      </w:r>
      <w:r w:rsidR="00D43A91" w:rsidRPr="00D43A91">
        <w:t xml:space="preserve"> vai nodibinājum</w:t>
      </w:r>
      <w:r w:rsidR="00D43A91">
        <w:t>i</w:t>
      </w:r>
      <w:r w:rsidRPr="006B48D8">
        <w:t>.</w:t>
      </w:r>
    </w:p>
    <w:p w:rsidR="007449EC" w:rsidRPr="0090634E" w:rsidRDefault="00C24888" w:rsidP="00547373">
      <w:pPr>
        <w:pStyle w:val="ListParagraph"/>
        <w:numPr>
          <w:ilvl w:val="0"/>
          <w:numId w:val="4"/>
        </w:numPr>
        <w:spacing w:before="120"/>
        <w:ind w:left="567" w:hanging="567"/>
        <w:jc w:val="both"/>
        <w:rPr>
          <w:sz w:val="25"/>
          <w:szCs w:val="25"/>
        </w:rPr>
      </w:pPr>
      <w:r w:rsidRPr="0090634E">
        <w:rPr>
          <w:sz w:val="25"/>
          <w:szCs w:val="25"/>
        </w:rPr>
        <w:t>Pasākuma ietvaros sasniedzamais uzraudzības rādītājs līdz 2023.gada 31.decembrim</w:t>
      </w:r>
      <w:r w:rsidR="007449EC" w:rsidRPr="0090634E">
        <w:rPr>
          <w:sz w:val="25"/>
          <w:szCs w:val="25"/>
        </w:rPr>
        <w:t xml:space="preserve"> ir vismaz</w:t>
      </w:r>
      <w:r w:rsidRPr="0090634E">
        <w:rPr>
          <w:sz w:val="25"/>
          <w:szCs w:val="25"/>
        </w:rPr>
        <w:t xml:space="preserve"> </w:t>
      </w:r>
      <w:r w:rsidR="0032418E" w:rsidRPr="0090634E">
        <w:rPr>
          <w:sz w:val="25"/>
          <w:szCs w:val="25"/>
        </w:rPr>
        <w:t>780</w:t>
      </w:r>
      <w:r w:rsidRPr="0090634E">
        <w:rPr>
          <w:sz w:val="25"/>
          <w:szCs w:val="25"/>
        </w:rPr>
        <w:t xml:space="preserve"> uz ārējo tirgu vērsto atbalstīto </w:t>
      </w:r>
      <w:r w:rsidR="007449EC" w:rsidRPr="0090634E">
        <w:rPr>
          <w:sz w:val="25"/>
          <w:szCs w:val="25"/>
        </w:rPr>
        <w:t>projektu.</w:t>
      </w:r>
      <w:bookmarkStart w:id="0" w:name="_Ref412533351"/>
    </w:p>
    <w:p w:rsidR="007449EC" w:rsidRPr="0090634E" w:rsidRDefault="007449EC" w:rsidP="00547373">
      <w:pPr>
        <w:pStyle w:val="ListParagraph"/>
        <w:numPr>
          <w:ilvl w:val="0"/>
          <w:numId w:val="4"/>
        </w:numPr>
        <w:spacing w:before="120"/>
        <w:ind w:left="567" w:hanging="567"/>
        <w:jc w:val="both"/>
        <w:rPr>
          <w:sz w:val="25"/>
          <w:szCs w:val="25"/>
        </w:rPr>
      </w:pPr>
      <w:r w:rsidRPr="0090634E">
        <w:rPr>
          <w:sz w:val="25"/>
          <w:szCs w:val="25"/>
        </w:rPr>
        <w:t xml:space="preserve">Pasākuma </w:t>
      </w:r>
      <w:bookmarkEnd w:id="0"/>
      <w:r w:rsidRPr="0090634E">
        <w:rPr>
          <w:sz w:val="25"/>
          <w:szCs w:val="25"/>
        </w:rPr>
        <w:t xml:space="preserve">ietvaros īstenotos projektus līdzfinansē no Eiropas Reģionālās attīstības fonda un finansējuma saņēmēja līdzekļiem. </w:t>
      </w:r>
      <w:r w:rsidR="00710091" w:rsidRPr="0090634E">
        <w:rPr>
          <w:sz w:val="25"/>
          <w:szCs w:val="25"/>
        </w:rPr>
        <w:t>Pasākuma</w:t>
      </w:r>
      <w:r w:rsidRPr="0090634E">
        <w:rPr>
          <w:sz w:val="25"/>
          <w:szCs w:val="25"/>
        </w:rPr>
        <w:t xml:space="preserve"> ietvaros pieejamais Eiropas Reģionālās attīstības fonda finansējums ir 19 000 000 </w:t>
      </w:r>
      <w:r w:rsidRPr="0090634E">
        <w:rPr>
          <w:i/>
          <w:sz w:val="25"/>
          <w:szCs w:val="25"/>
        </w:rPr>
        <w:t>euro</w:t>
      </w:r>
      <w:r w:rsidRPr="0090634E">
        <w:rPr>
          <w:sz w:val="25"/>
          <w:szCs w:val="25"/>
        </w:rPr>
        <w:t>.</w:t>
      </w:r>
    </w:p>
    <w:p w:rsidR="008407A8" w:rsidRPr="0090634E" w:rsidRDefault="00F7062D" w:rsidP="00547373">
      <w:pPr>
        <w:pStyle w:val="ListParagraph"/>
        <w:numPr>
          <w:ilvl w:val="0"/>
          <w:numId w:val="4"/>
        </w:numPr>
        <w:spacing w:before="120"/>
        <w:ind w:left="567" w:hanging="567"/>
        <w:jc w:val="both"/>
        <w:rPr>
          <w:sz w:val="25"/>
          <w:szCs w:val="25"/>
        </w:rPr>
      </w:pPr>
      <w:bookmarkStart w:id="1" w:name="_Ref417032639"/>
      <w:r w:rsidRPr="0090634E">
        <w:rPr>
          <w:sz w:val="25"/>
          <w:szCs w:val="25"/>
        </w:rPr>
        <w:lastRenderedPageBreak/>
        <w:t>Finansējumu šī</w:t>
      </w:r>
      <w:r w:rsidR="008407A8" w:rsidRPr="0090634E">
        <w:rPr>
          <w:sz w:val="25"/>
          <w:szCs w:val="25"/>
        </w:rPr>
        <w:t xml:space="preserve"> pasākuma ietvaros sniedz saskaņā ar Komisijas 2013.gada 18.decembra Regulas (ES) Nr.1407/2013 par Līguma par Eiropas Savienības darbību 107. un 108. panta piemērošanu </w:t>
      </w:r>
      <w:proofErr w:type="spellStart"/>
      <w:r w:rsidR="008407A8" w:rsidRPr="0090634E">
        <w:rPr>
          <w:i/>
          <w:sz w:val="25"/>
          <w:szCs w:val="25"/>
        </w:rPr>
        <w:t>de</w:t>
      </w:r>
      <w:proofErr w:type="spellEnd"/>
      <w:r w:rsidR="008407A8" w:rsidRPr="0090634E">
        <w:rPr>
          <w:i/>
          <w:sz w:val="25"/>
          <w:szCs w:val="25"/>
        </w:rPr>
        <w:t xml:space="preserve"> </w:t>
      </w:r>
      <w:proofErr w:type="spellStart"/>
      <w:r w:rsidR="008407A8" w:rsidRPr="0090634E">
        <w:rPr>
          <w:i/>
          <w:sz w:val="25"/>
          <w:szCs w:val="25"/>
        </w:rPr>
        <w:t>minimi</w:t>
      </w:r>
      <w:r w:rsidR="008407A8" w:rsidRPr="0090634E">
        <w:rPr>
          <w:sz w:val="25"/>
          <w:szCs w:val="25"/>
        </w:rPr>
        <w:t>s</w:t>
      </w:r>
      <w:proofErr w:type="spellEnd"/>
      <w:r w:rsidR="008407A8" w:rsidRPr="0090634E">
        <w:rPr>
          <w:sz w:val="25"/>
          <w:szCs w:val="25"/>
        </w:rPr>
        <w:t xml:space="preserve"> atbalstam (Eiropas Savienības Oficiālais Vēstnesis, 2013. gada 24. decembris, Nr. L 352) (turpmāk – Regula Nr. 1407/2013).</w:t>
      </w:r>
      <w:bookmarkEnd w:id="1"/>
    </w:p>
    <w:p w:rsidR="00BA4038" w:rsidRPr="0090634E" w:rsidRDefault="00E66F50" w:rsidP="00547373">
      <w:pPr>
        <w:pStyle w:val="ListParagraph"/>
        <w:numPr>
          <w:ilvl w:val="0"/>
          <w:numId w:val="4"/>
        </w:numPr>
        <w:spacing w:before="120"/>
        <w:ind w:left="567" w:hanging="567"/>
        <w:jc w:val="both"/>
        <w:rPr>
          <w:sz w:val="25"/>
          <w:szCs w:val="25"/>
        </w:rPr>
      </w:pPr>
      <w:r w:rsidRPr="0090634E">
        <w:rPr>
          <w:sz w:val="25"/>
          <w:szCs w:val="25"/>
        </w:rPr>
        <w:t xml:space="preserve">Šo noteikumu izpratnē </w:t>
      </w:r>
      <w:r w:rsidR="00BA4038" w:rsidRPr="0090634E">
        <w:rPr>
          <w:sz w:val="25"/>
          <w:szCs w:val="25"/>
        </w:rPr>
        <w:t>tirdzniecības misija</w:t>
      </w:r>
      <w:r w:rsidRPr="0090634E">
        <w:rPr>
          <w:sz w:val="25"/>
          <w:szCs w:val="25"/>
        </w:rPr>
        <w:t xml:space="preserve"> ir</w:t>
      </w:r>
      <w:r w:rsidR="00BA4038" w:rsidRPr="0090634E">
        <w:rPr>
          <w:sz w:val="25"/>
          <w:szCs w:val="25"/>
        </w:rPr>
        <w:t>:</w:t>
      </w:r>
    </w:p>
    <w:p w:rsidR="00BA4038" w:rsidRPr="0090634E" w:rsidRDefault="00BA4038" w:rsidP="00547373">
      <w:pPr>
        <w:pStyle w:val="ListParagraph"/>
        <w:numPr>
          <w:ilvl w:val="1"/>
          <w:numId w:val="4"/>
        </w:numPr>
        <w:spacing w:before="120"/>
        <w:ind w:left="567" w:hanging="567"/>
        <w:jc w:val="both"/>
        <w:rPr>
          <w:sz w:val="25"/>
          <w:szCs w:val="25"/>
        </w:rPr>
      </w:pPr>
      <w:r w:rsidRPr="0090634E">
        <w:rPr>
          <w:sz w:val="25"/>
          <w:szCs w:val="25"/>
        </w:rPr>
        <w:t xml:space="preserve">vismaz </w:t>
      </w:r>
      <w:r w:rsidR="00F319E2">
        <w:rPr>
          <w:sz w:val="25"/>
          <w:szCs w:val="25"/>
        </w:rPr>
        <w:t>trīs</w:t>
      </w:r>
      <w:r w:rsidR="00F319E2" w:rsidRPr="0090634E">
        <w:rPr>
          <w:sz w:val="25"/>
          <w:szCs w:val="25"/>
        </w:rPr>
        <w:t xml:space="preserve"> </w:t>
      </w:r>
      <w:r w:rsidRPr="0090634E">
        <w:rPr>
          <w:sz w:val="25"/>
          <w:szCs w:val="25"/>
        </w:rPr>
        <w:t>komersantu vienota vizīte ārvalstī ar iepriekš sagatavotu kopēju un katram komersantam atsevišķi izstrādātu programmu, lai tiktos ar potenciālajiem ārvalstu sadarbības partneriem</w:t>
      </w:r>
      <w:r w:rsidR="00DD4736">
        <w:rPr>
          <w:sz w:val="25"/>
          <w:szCs w:val="25"/>
        </w:rPr>
        <w:t>. Tirdzniecības misiju</w:t>
      </w:r>
      <w:r w:rsidRPr="0090634E">
        <w:rPr>
          <w:sz w:val="25"/>
          <w:szCs w:val="25"/>
        </w:rPr>
        <w:t xml:space="preserve"> organizē Latvijas Investīciju un attīstības aģentūra, pašvaldība, biedrība vai nodibinājums, </w:t>
      </w:r>
      <w:r w:rsidR="00DD4736">
        <w:rPr>
          <w:sz w:val="25"/>
          <w:szCs w:val="25"/>
        </w:rPr>
        <w:t>ja biedrībā vai nodibinājumā</w:t>
      </w:r>
      <w:r w:rsidR="00DD4736" w:rsidRPr="0090634E" w:rsidDel="00DD4736">
        <w:rPr>
          <w:sz w:val="25"/>
          <w:szCs w:val="25"/>
        </w:rPr>
        <w:t xml:space="preserve"> </w:t>
      </w:r>
      <w:r w:rsidRPr="0090634E">
        <w:rPr>
          <w:sz w:val="25"/>
          <w:szCs w:val="25"/>
        </w:rPr>
        <w:t>Latvij</w:t>
      </w:r>
      <w:r w:rsidR="00DD4736">
        <w:rPr>
          <w:sz w:val="25"/>
          <w:szCs w:val="25"/>
        </w:rPr>
        <w:t>as Republikā</w:t>
      </w:r>
      <w:r w:rsidRPr="0090634E">
        <w:rPr>
          <w:sz w:val="25"/>
          <w:szCs w:val="25"/>
        </w:rPr>
        <w:t xml:space="preserve"> reģistrēto biedru, dibinātāju vai dibinātāju biedru (komersantu) kopējais apgrozījums iepriekšējā gadā ir pārsniedzis 71 143 590 </w:t>
      </w:r>
      <w:proofErr w:type="spellStart"/>
      <w:r w:rsidRPr="0090634E">
        <w:rPr>
          <w:sz w:val="25"/>
          <w:szCs w:val="25"/>
        </w:rPr>
        <w:t>euro</w:t>
      </w:r>
      <w:proofErr w:type="spellEnd"/>
      <w:r w:rsidRPr="0090634E">
        <w:rPr>
          <w:sz w:val="25"/>
          <w:szCs w:val="25"/>
        </w:rPr>
        <w:t xml:space="preserve"> (ņem vērā arī to komersantu apgrozījums, kas nav projekta iesniedzēja biedri vai dibinātāji, bet ir biedri vai dibinātāji kādā no organizācijām, kas ir projekta iesniedzēja biedri) un </w:t>
      </w:r>
      <w:r w:rsidR="00DD4736">
        <w:rPr>
          <w:sz w:val="25"/>
          <w:szCs w:val="25"/>
        </w:rPr>
        <w:t xml:space="preserve">ja biedrība vai nodibinājums </w:t>
      </w:r>
      <w:r w:rsidRPr="0090634E">
        <w:rPr>
          <w:sz w:val="25"/>
          <w:szCs w:val="25"/>
        </w:rPr>
        <w:t>dibināts ne vēlāk kā trīs gadus pirms projekta iesnieguma iesniegšanas. Katra komersanta atsevišķo vizīšu programmas saturiski iekļaujas tirdzniecības misijas organizatora izstrādātajā kopējā grupas vizītes programmā, kurā ir atspoguļotas grupas kopējās un individuālās tikšanās ar potenciālajiem ārvalstu sadarbības partneriem;</w:t>
      </w:r>
    </w:p>
    <w:p w:rsidR="00BA4038" w:rsidRPr="0090634E" w:rsidRDefault="00BA4038" w:rsidP="00547373">
      <w:pPr>
        <w:pStyle w:val="ListParagraph"/>
        <w:numPr>
          <w:ilvl w:val="1"/>
          <w:numId w:val="4"/>
        </w:numPr>
        <w:spacing w:before="120"/>
        <w:ind w:left="567" w:hanging="567"/>
        <w:jc w:val="both"/>
        <w:rPr>
          <w:sz w:val="25"/>
          <w:szCs w:val="25"/>
        </w:rPr>
      </w:pPr>
      <w:bookmarkStart w:id="2" w:name="_Ref417367079"/>
      <w:r w:rsidRPr="0090634E">
        <w:rPr>
          <w:sz w:val="25"/>
          <w:szCs w:val="25"/>
        </w:rPr>
        <w:t>komersant</w:t>
      </w:r>
      <w:r w:rsidR="00DD4736">
        <w:rPr>
          <w:sz w:val="25"/>
          <w:szCs w:val="25"/>
        </w:rPr>
        <w:t>a</w:t>
      </w:r>
      <w:r w:rsidRPr="0090634E">
        <w:rPr>
          <w:sz w:val="25"/>
          <w:szCs w:val="25"/>
        </w:rPr>
        <w:t>, pašvaldīb</w:t>
      </w:r>
      <w:r w:rsidR="00DD4736">
        <w:rPr>
          <w:sz w:val="25"/>
          <w:szCs w:val="25"/>
        </w:rPr>
        <w:t>as</w:t>
      </w:r>
      <w:r w:rsidRPr="0090634E">
        <w:rPr>
          <w:sz w:val="25"/>
          <w:szCs w:val="25"/>
        </w:rPr>
        <w:t>, biedrīb</w:t>
      </w:r>
      <w:r w:rsidR="00DD4736">
        <w:rPr>
          <w:sz w:val="25"/>
          <w:szCs w:val="25"/>
        </w:rPr>
        <w:t>as</w:t>
      </w:r>
      <w:r w:rsidRPr="0090634E">
        <w:rPr>
          <w:sz w:val="25"/>
          <w:szCs w:val="25"/>
        </w:rPr>
        <w:t xml:space="preserve"> vai nodibinājum</w:t>
      </w:r>
      <w:r w:rsidR="00DD4736">
        <w:rPr>
          <w:sz w:val="25"/>
          <w:szCs w:val="25"/>
        </w:rPr>
        <w:t>a</w:t>
      </w:r>
      <w:r w:rsidRPr="0090634E">
        <w:rPr>
          <w:sz w:val="25"/>
          <w:szCs w:val="25"/>
        </w:rPr>
        <w:t xml:space="preserve"> dalība Latvijas </w:t>
      </w:r>
      <w:r w:rsidR="00DD4736">
        <w:rPr>
          <w:sz w:val="25"/>
          <w:szCs w:val="25"/>
        </w:rPr>
        <w:t xml:space="preserve">augsto </w:t>
      </w:r>
      <w:r w:rsidRPr="0090634E">
        <w:rPr>
          <w:sz w:val="25"/>
          <w:szCs w:val="25"/>
        </w:rPr>
        <w:t xml:space="preserve">valsts amatpersonu vizītē </w:t>
      </w:r>
      <w:r w:rsidR="00DD4736">
        <w:rPr>
          <w:sz w:val="25"/>
          <w:szCs w:val="25"/>
        </w:rPr>
        <w:t>valsts ārējo ekonomisko interešu kontekstā</w:t>
      </w:r>
      <w:r w:rsidRPr="0090634E">
        <w:rPr>
          <w:sz w:val="25"/>
          <w:szCs w:val="25"/>
        </w:rPr>
        <w:t>, lai tiktos ar potenciālajiem ārvalstu sadarbības partneriem, ko organizē Latvijas Investīciju un attīstības aģentūra.</w:t>
      </w:r>
      <w:bookmarkEnd w:id="2"/>
    </w:p>
    <w:p w:rsidR="00C24888" w:rsidRDefault="00C24888" w:rsidP="00547373">
      <w:pPr>
        <w:spacing w:before="120"/>
        <w:ind w:left="567" w:hanging="567"/>
        <w:jc w:val="both"/>
      </w:pPr>
    </w:p>
    <w:p w:rsidR="007449EC" w:rsidRPr="00A13AA0" w:rsidRDefault="007449EC" w:rsidP="00547373">
      <w:pPr>
        <w:ind w:left="567" w:hanging="567"/>
        <w:jc w:val="center"/>
        <w:rPr>
          <w:b/>
          <w:sz w:val="25"/>
          <w:szCs w:val="25"/>
        </w:rPr>
      </w:pPr>
      <w:r w:rsidRPr="00A13AA0">
        <w:rPr>
          <w:b/>
          <w:sz w:val="25"/>
          <w:szCs w:val="25"/>
        </w:rPr>
        <w:t>II. Prasības projekta iesniedzējam</w:t>
      </w:r>
    </w:p>
    <w:p w:rsidR="007C12AE" w:rsidRDefault="007449EC" w:rsidP="00547373">
      <w:pPr>
        <w:pStyle w:val="ListParagraph"/>
        <w:numPr>
          <w:ilvl w:val="0"/>
          <w:numId w:val="4"/>
        </w:numPr>
        <w:spacing w:before="120"/>
        <w:ind w:left="567" w:hanging="567"/>
        <w:jc w:val="both"/>
      </w:pPr>
      <w:r>
        <w:t>Pasākum</w:t>
      </w:r>
      <w:r w:rsidR="00474396">
        <w:t>a ietvaros finansējumu var saņemt</w:t>
      </w:r>
      <w:r>
        <w:t>:</w:t>
      </w:r>
    </w:p>
    <w:p w:rsidR="00474396" w:rsidRDefault="00474396" w:rsidP="00547373">
      <w:pPr>
        <w:pStyle w:val="ListParagraph"/>
        <w:numPr>
          <w:ilvl w:val="1"/>
          <w:numId w:val="4"/>
        </w:numPr>
        <w:spacing w:before="120"/>
        <w:ind w:left="567" w:hanging="567"/>
        <w:jc w:val="both"/>
      </w:pPr>
      <w:bookmarkStart w:id="3" w:name="_Ref417032199"/>
      <w:r>
        <w:t>komersants</w:t>
      </w:r>
      <w:r w:rsidR="00886B05">
        <w:t xml:space="preserve">, kurš atbilst </w:t>
      </w:r>
      <w:r w:rsidR="00BF4AEC">
        <w:t xml:space="preserve">MVK </w:t>
      </w:r>
      <w:r w:rsidR="00886B05" w:rsidRPr="00886B05">
        <w:t xml:space="preserve"> statusam</w:t>
      </w:r>
      <w:r w:rsidR="00621986">
        <w:t xml:space="preserve"> saskaņā ar </w:t>
      </w:r>
      <w:r w:rsidR="00621986" w:rsidRPr="00621986">
        <w:t xml:space="preserve">Komisijas </w:t>
      </w:r>
      <w:r w:rsidR="00BF4AEC" w:rsidRPr="00621986">
        <w:t>regul</w:t>
      </w:r>
      <w:r w:rsidR="00BF4AEC">
        <w:t>u</w:t>
      </w:r>
      <w:r w:rsidR="00BF4AEC" w:rsidRPr="00621986">
        <w:t xml:space="preserve"> </w:t>
      </w:r>
      <w:r w:rsidR="00621986" w:rsidRPr="00621986">
        <w:t>Nr.651/2014</w:t>
      </w:r>
      <w:r>
        <w:t>;</w:t>
      </w:r>
      <w:bookmarkEnd w:id="3"/>
    </w:p>
    <w:p w:rsidR="00474396" w:rsidRDefault="00474396" w:rsidP="00547373">
      <w:pPr>
        <w:pStyle w:val="ListParagraph"/>
        <w:numPr>
          <w:ilvl w:val="1"/>
          <w:numId w:val="4"/>
        </w:numPr>
        <w:spacing w:before="120"/>
        <w:ind w:left="567" w:hanging="567"/>
        <w:jc w:val="both"/>
      </w:pPr>
      <w:bookmarkStart w:id="4" w:name="_Ref417032252"/>
      <w:r>
        <w:t xml:space="preserve">biedrība, </w:t>
      </w:r>
      <w:r w:rsidRPr="00474396">
        <w:t xml:space="preserve">kurā apvienojušies vismaz pieci </w:t>
      </w:r>
      <w:r w:rsidR="00E66F50">
        <w:t>MVK</w:t>
      </w:r>
      <w:r>
        <w:t>;</w:t>
      </w:r>
      <w:bookmarkEnd w:id="4"/>
    </w:p>
    <w:p w:rsidR="00474396" w:rsidRDefault="00474396" w:rsidP="00547373">
      <w:pPr>
        <w:pStyle w:val="ListParagraph"/>
        <w:numPr>
          <w:ilvl w:val="1"/>
          <w:numId w:val="4"/>
        </w:numPr>
        <w:spacing w:before="120"/>
        <w:ind w:left="567" w:hanging="567"/>
        <w:jc w:val="both"/>
      </w:pPr>
      <w:bookmarkStart w:id="5" w:name="_Ref417032255"/>
      <w:r w:rsidRPr="00474396">
        <w:t xml:space="preserve">nodibinājums, kura dibinātāji vai dibinātāju biedri ir vismaz pieci </w:t>
      </w:r>
      <w:r w:rsidR="00E66F50">
        <w:t>MVK</w:t>
      </w:r>
      <w:r w:rsidRPr="00474396">
        <w:t>;</w:t>
      </w:r>
      <w:bookmarkEnd w:id="5"/>
    </w:p>
    <w:p w:rsidR="00474396" w:rsidRDefault="00474396" w:rsidP="00547373">
      <w:pPr>
        <w:pStyle w:val="ListParagraph"/>
        <w:numPr>
          <w:ilvl w:val="1"/>
          <w:numId w:val="4"/>
        </w:numPr>
        <w:spacing w:before="120"/>
        <w:ind w:left="567" w:hanging="567"/>
        <w:jc w:val="both"/>
      </w:pPr>
      <w:bookmarkStart w:id="6" w:name="_Ref417032260"/>
      <w:r w:rsidRPr="00474396">
        <w:t>pašvaldība</w:t>
      </w:r>
      <w:r>
        <w:t>.</w:t>
      </w:r>
      <w:bookmarkEnd w:id="6"/>
    </w:p>
    <w:p w:rsidR="00E55F35" w:rsidRDefault="00BA4038" w:rsidP="00547373">
      <w:pPr>
        <w:pStyle w:val="ListParagraph"/>
        <w:numPr>
          <w:ilvl w:val="0"/>
          <w:numId w:val="4"/>
        </w:numPr>
        <w:spacing w:before="120"/>
        <w:ind w:left="567" w:hanging="567"/>
        <w:jc w:val="both"/>
      </w:pPr>
      <w:r>
        <w:t xml:space="preserve">Šo noteikumu </w:t>
      </w:r>
      <w:r w:rsidR="0090634E">
        <w:fldChar w:fldCharType="begin"/>
      </w:r>
      <w:r w:rsidR="0090634E">
        <w:instrText xml:space="preserve"> REF _Ref417032199 \r \h </w:instrText>
      </w:r>
      <w:r w:rsidR="0090634E">
        <w:fldChar w:fldCharType="separate"/>
      </w:r>
      <w:r w:rsidR="00475E91">
        <w:t>10.1</w:t>
      </w:r>
      <w:r w:rsidR="0090634E">
        <w:fldChar w:fldCharType="end"/>
      </w:r>
      <w:r w:rsidR="00165616">
        <w:t>.apakš</w:t>
      </w:r>
      <w:r w:rsidR="00165616" w:rsidRPr="00C532B0">
        <w:t>punktā minēt</w:t>
      </w:r>
      <w:r w:rsidR="00C306AB">
        <w:t>ie projekta iesniedzēji</w:t>
      </w:r>
      <w:r w:rsidR="00165616" w:rsidRPr="00C532B0">
        <w:t xml:space="preserve"> var </w:t>
      </w:r>
      <w:r w:rsidR="00C306AB">
        <w:t xml:space="preserve">īstenot projektu </w:t>
      </w:r>
      <w:r w:rsidR="00165616" w:rsidRPr="00C532B0">
        <w:t>individuāli vai partnerībā</w:t>
      </w:r>
      <w:r w:rsidR="00E55F35">
        <w:t xml:space="preserve">. </w:t>
      </w:r>
    </w:p>
    <w:p w:rsidR="00A20019" w:rsidRDefault="00E55F35" w:rsidP="00547373">
      <w:pPr>
        <w:pStyle w:val="ListParagraph"/>
        <w:numPr>
          <w:ilvl w:val="0"/>
          <w:numId w:val="4"/>
        </w:numPr>
        <w:spacing w:before="120"/>
        <w:ind w:left="567" w:hanging="567"/>
        <w:jc w:val="both"/>
      </w:pPr>
      <w:r>
        <w:t xml:space="preserve">Šo </w:t>
      </w:r>
      <w:r w:rsidR="00BA4038">
        <w:t xml:space="preserve">noteikumu </w:t>
      </w:r>
      <w:r w:rsidR="0090634E">
        <w:fldChar w:fldCharType="begin"/>
      </w:r>
      <w:r w:rsidR="0090634E">
        <w:instrText xml:space="preserve"> REF _Ref417032252 \r \h </w:instrText>
      </w:r>
      <w:r w:rsidR="0090634E">
        <w:fldChar w:fldCharType="separate"/>
      </w:r>
      <w:r w:rsidR="00475E91">
        <w:t>10.2</w:t>
      </w:r>
      <w:r w:rsidR="0090634E">
        <w:fldChar w:fldCharType="end"/>
      </w:r>
      <w:r w:rsidR="0090634E">
        <w:t xml:space="preserve">., </w:t>
      </w:r>
      <w:r w:rsidR="0090634E">
        <w:fldChar w:fldCharType="begin"/>
      </w:r>
      <w:r w:rsidR="0090634E">
        <w:instrText xml:space="preserve"> REF _Ref417032255 \r \h </w:instrText>
      </w:r>
      <w:r w:rsidR="0090634E">
        <w:fldChar w:fldCharType="separate"/>
      </w:r>
      <w:r w:rsidR="00475E91">
        <w:t>10.3</w:t>
      </w:r>
      <w:r w:rsidR="0090634E">
        <w:fldChar w:fldCharType="end"/>
      </w:r>
      <w:r w:rsidR="0090634E">
        <w:t xml:space="preserve">. un </w:t>
      </w:r>
      <w:r w:rsidR="0090634E">
        <w:fldChar w:fldCharType="begin"/>
      </w:r>
      <w:r w:rsidR="0090634E">
        <w:instrText xml:space="preserve"> REF _Ref417032260 \r \h </w:instrText>
      </w:r>
      <w:r w:rsidR="0090634E">
        <w:fldChar w:fldCharType="separate"/>
      </w:r>
      <w:r w:rsidR="00475E91">
        <w:t>10.4</w:t>
      </w:r>
      <w:r w:rsidR="0090634E">
        <w:fldChar w:fldCharType="end"/>
      </w:r>
      <w:r w:rsidR="00A20019">
        <w:t>.</w:t>
      </w:r>
      <w:r w:rsidR="00C532B0">
        <w:t>apakš</w:t>
      </w:r>
      <w:r w:rsidR="00A20019">
        <w:t xml:space="preserve">punktā minētie projekta iesniedzēji </w:t>
      </w:r>
      <w:r w:rsidR="00B909DB">
        <w:t>var īstenot projektus tikai</w:t>
      </w:r>
      <w:r w:rsidR="00A20019">
        <w:t xml:space="preserve"> partnerībā, </w:t>
      </w:r>
      <w:r>
        <w:t xml:space="preserve">ja </w:t>
      </w:r>
      <w:r w:rsidR="00A20019">
        <w:t>partneris</w:t>
      </w:r>
      <w:r w:rsidR="00B909DB">
        <w:t xml:space="preserve"> un </w:t>
      </w:r>
      <w:proofErr w:type="spellStart"/>
      <w:r w:rsidR="008407A8" w:rsidRPr="0090634E">
        <w:rPr>
          <w:i/>
        </w:rPr>
        <w:t>de</w:t>
      </w:r>
      <w:proofErr w:type="spellEnd"/>
      <w:r w:rsidR="008407A8" w:rsidRPr="0090634E">
        <w:rPr>
          <w:i/>
        </w:rPr>
        <w:t xml:space="preserve"> </w:t>
      </w:r>
      <w:proofErr w:type="spellStart"/>
      <w:r w:rsidR="008407A8" w:rsidRPr="0090634E">
        <w:rPr>
          <w:i/>
        </w:rPr>
        <w:t>minimis</w:t>
      </w:r>
      <w:proofErr w:type="spellEnd"/>
      <w:r w:rsidR="008407A8" w:rsidRPr="0090634E">
        <w:rPr>
          <w:i/>
        </w:rPr>
        <w:t xml:space="preserve"> </w:t>
      </w:r>
      <w:r w:rsidR="00B909DB">
        <w:t>atbalsta saņēmējs</w:t>
      </w:r>
      <w:r w:rsidR="00165616">
        <w:t xml:space="preserve"> ir </w:t>
      </w:r>
      <w:r w:rsidR="00E66F50">
        <w:t>MVK</w:t>
      </w:r>
      <w:r w:rsidR="00C532B0" w:rsidRPr="00C532B0">
        <w:t>. Saistītās personas nevar iesniegt projektu iesniegumus partnerībā.</w:t>
      </w:r>
    </w:p>
    <w:p w:rsidR="007449EC" w:rsidRDefault="008407A8" w:rsidP="00547373">
      <w:pPr>
        <w:pStyle w:val="ListParagraph"/>
        <w:numPr>
          <w:ilvl w:val="0"/>
          <w:numId w:val="4"/>
        </w:numPr>
        <w:spacing w:before="120"/>
        <w:ind w:left="567" w:hanging="567"/>
        <w:jc w:val="both"/>
      </w:pPr>
      <w:r w:rsidRPr="008407A8">
        <w:t>Saistītās personas šo noteikumu izpratnē atbilst Regulas Nr.1407/2013 2.panta 2.punktā noteiktajai viena vienota uzņēmuma definīcijai.</w:t>
      </w:r>
    </w:p>
    <w:p w:rsidR="008407A8" w:rsidRDefault="00C4202B" w:rsidP="00547373">
      <w:pPr>
        <w:pStyle w:val="ListParagraph"/>
        <w:numPr>
          <w:ilvl w:val="0"/>
          <w:numId w:val="4"/>
        </w:numPr>
        <w:spacing w:before="120"/>
        <w:ind w:left="567" w:hanging="567"/>
        <w:jc w:val="both"/>
      </w:pPr>
      <w:r w:rsidRPr="00C4202B">
        <w:t xml:space="preserve">Projekta iesniedzējs var iesniegt projekta iesniegumu par šo noteikumu </w:t>
      </w:r>
      <w:r w:rsidR="003041D2">
        <w:fldChar w:fldCharType="begin"/>
      </w:r>
      <w:r w:rsidR="003041D2">
        <w:instrText xml:space="preserve"> REF _Ref417032306 \r \h </w:instrText>
      </w:r>
      <w:r w:rsidR="003041D2">
        <w:fldChar w:fldCharType="separate"/>
      </w:r>
      <w:r w:rsidR="00BF4AEC">
        <w:t>20</w:t>
      </w:r>
      <w:r w:rsidR="003041D2">
        <w:fldChar w:fldCharType="end"/>
      </w:r>
      <w:r w:rsidRPr="00C4202B">
        <w:t xml:space="preserve">.punktā noteiktajām atbalstāmajām darbībām, kurās plāno piedalīties, </w:t>
      </w:r>
      <w:r w:rsidR="00454EA6">
        <w:t xml:space="preserve">kā arī par šo noteikumu </w:t>
      </w:r>
      <w:r w:rsidR="00454EA6">
        <w:fldChar w:fldCharType="begin"/>
      </w:r>
      <w:r w:rsidR="00454EA6">
        <w:instrText xml:space="preserve"> REF _Ref417032306 \r \h </w:instrText>
      </w:r>
      <w:r w:rsidR="00454EA6">
        <w:fldChar w:fldCharType="separate"/>
      </w:r>
      <w:r w:rsidR="00475E91">
        <w:t>20</w:t>
      </w:r>
      <w:r w:rsidR="00454EA6">
        <w:fldChar w:fldCharType="end"/>
      </w:r>
      <w:r w:rsidR="00454EA6">
        <w:t xml:space="preserve">.punktā noteiktām </w:t>
      </w:r>
      <w:r w:rsidRPr="00C4202B">
        <w:t>darbībām, kurās ir jau piedalījies. Par jau veiktajām darbībām projekta iesniegums ir atbalstāms, ja tas iesniegts ne vēlāk kā triju mēnešu laikā pēc tam, kad noslēgusies konference</w:t>
      </w:r>
      <w:r>
        <w:t xml:space="preserve"> (seminārs)</w:t>
      </w:r>
      <w:r w:rsidRPr="00C4202B">
        <w:t xml:space="preserve">, </w:t>
      </w:r>
      <w:r>
        <w:t xml:space="preserve">tirdzniecības misija, izstāde </w:t>
      </w:r>
      <w:r w:rsidRPr="00C4202B">
        <w:t>vai ražotņu un produktu atbilstības novērtēšana.</w:t>
      </w:r>
    </w:p>
    <w:p w:rsidR="00C4202B" w:rsidRDefault="00C4202B" w:rsidP="00547373">
      <w:pPr>
        <w:pStyle w:val="ListParagraph"/>
        <w:numPr>
          <w:ilvl w:val="0"/>
          <w:numId w:val="4"/>
        </w:numPr>
        <w:spacing w:before="120"/>
        <w:ind w:left="567" w:hanging="567"/>
        <w:jc w:val="both"/>
      </w:pPr>
      <w:r>
        <w:t>Pasākuma</w:t>
      </w:r>
      <w:r w:rsidRPr="00C4202B">
        <w:t xml:space="preserve"> ietvaros projekta iesniedzējs nevar pretendēt uz finansējumu, ja projektu īsteno kādā no neatbalstāmajām nozarēm (neatbalstāmo nozaru saraksts iekļauts šo noteikumu 1.pielikumā).</w:t>
      </w:r>
    </w:p>
    <w:p w:rsidR="00C4202B" w:rsidRDefault="00C4202B" w:rsidP="00475E91">
      <w:pPr>
        <w:pStyle w:val="ListParagraph"/>
        <w:numPr>
          <w:ilvl w:val="0"/>
          <w:numId w:val="4"/>
        </w:numPr>
        <w:spacing w:before="120"/>
        <w:ind w:left="567" w:hanging="567"/>
        <w:jc w:val="both"/>
      </w:pPr>
      <w:r w:rsidRPr="00C4202B">
        <w:lastRenderedPageBreak/>
        <w:t>Ja kāda no nozarēm, kurā darbojas projekta iesniedzējs, ir neatbalstāma un projekta iesniedzējs pretendē uz projekta īstenošanu atbalstāmajā nozarē, projekta iesniedzējs nodrošina atbalstāmās nozares projekta īstenošanas finanšu plūsmas skaidru nodalīšanu no citu projekta iesniedzēja darbības nozaru finanšu plūsmām projekta īstenošanas laikā un piecus gadus pēc projekta īstenošanas pabeigšanas.</w:t>
      </w:r>
    </w:p>
    <w:p w:rsidR="006D2BF0" w:rsidRDefault="006D2BF0" w:rsidP="00547373">
      <w:pPr>
        <w:pStyle w:val="ListParagraph"/>
        <w:numPr>
          <w:ilvl w:val="0"/>
          <w:numId w:val="4"/>
        </w:numPr>
        <w:spacing w:before="120"/>
        <w:ind w:left="567" w:hanging="567"/>
        <w:jc w:val="both"/>
      </w:pPr>
      <w:r w:rsidRPr="006D2BF0">
        <w:t>Projekta iesniedzējs vai projekta iesniedzēja saistīto personu grupa viena kalendāra mēneša ietvaros drīkst iesniegt vienu projekta iesniegumu ar neierobežotu skaitu atbalstāmo darbību. Nā</w:t>
      </w:r>
      <w:r>
        <w:t>kamo projekta iesniegumu iesnie</w:t>
      </w:r>
      <w:r w:rsidRPr="006D2BF0">
        <w:t>dzējs var iesniegt pēc tam, kad ir noslēgts līgums par projekta īstenošanu vai pieņemts lēmums par projekta iesnieguma noraidīšanu, vai izdots atzinums par lēmumā par projekta iesnieguma apstiprināšanu ar nosacījumu ietverto nosacījumu neizpildi par iepriekšējā atlases kārtā iesniegto projekta iesniegumu.</w:t>
      </w:r>
    </w:p>
    <w:p w:rsidR="006D2BF0" w:rsidRDefault="006D2BF0" w:rsidP="00547373">
      <w:pPr>
        <w:pStyle w:val="ListParagraph"/>
        <w:numPr>
          <w:ilvl w:val="0"/>
          <w:numId w:val="4"/>
        </w:numPr>
        <w:spacing w:before="120"/>
        <w:ind w:left="567" w:hanging="567"/>
        <w:jc w:val="both"/>
      </w:pPr>
      <w:r w:rsidRPr="006D2BF0">
        <w:t>Maksimāli pieļaujamo finansējuma apjomu vienam projekta iesniedzējam vai projekta iesniedzēja saistīto personu grupai nosaka saskaņā ar šo noteikumu</w:t>
      </w:r>
      <w:r w:rsidR="003041D2">
        <w:t xml:space="preserve"> </w:t>
      </w:r>
      <w:r w:rsidR="003041D2">
        <w:fldChar w:fldCharType="begin"/>
      </w:r>
      <w:r w:rsidR="003041D2">
        <w:instrText xml:space="preserve"> REF _Ref417032639 \r \h </w:instrText>
      </w:r>
      <w:r w:rsidR="003041D2">
        <w:fldChar w:fldCharType="separate"/>
      </w:r>
      <w:r w:rsidR="00EC38D9">
        <w:t>8</w:t>
      </w:r>
      <w:r w:rsidR="003041D2">
        <w:fldChar w:fldCharType="end"/>
      </w:r>
      <w:r w:rsidRPr="006D2BF0">
        <w:t>.punktu. Ja projektu iesniedz partnerībā, maksimāli pieļaujamā finansējuma apjoma ierobežojumi attiecas uz katru partneri atsevišķi.</w:t>
      </w:r>
    </w:p>
    <w:p w:rsidR="00E15182" w:rsidRDefault="00E15182" w:rsidP="00547373">
      <w:pPr>
        <w:pStyle w:val="ListParagraph"/>
        <w:numPr>
          <w:ilvl w:val="0"/>
          <w:numId w:val="4"/>
        </w:numPr>
        <w:spacing w:before="120"/>
        <w:ind w:left="567" w:hanging="567"/>
        <w:jc w:val="both"/>
      </w:pPr>
      <w:r>
        <w:t xml:space="preserve">Atbalstu </w:t>
      </w:r>
      <w:r w:rsidR="00475E91">
        <w:t>ne</w:t>
      </w:r>
      <w:r>
        <w:t>var saņemt projekta iesniedzējs</w:t>
      </w:r>
      <w:r w:rsidR="00475E91">
        <w:t xml:space="preserve"> un projekta iesniedzēja partneris</w:t>
      </w:r>
      <w:r>
        <w:t>:</w:t>
      </w:r>
    </w:p>
    <w:p w:rsidR="00454EA6" w:rsidRDefault="00EC38D9" w:rsidP="00475E91">
      <w:pPr>
        <w:pStyle w:val="ListParagraph"/>
        <w:numPr>
          <w:ilvl w:val="1"/>
          <w:numId w:val="4"/>
        </w:numPr>
        <w:spacing w:before="120"/>
        <w:ind w:left="567" w:hanging="567"/>
        <w:jc w:val="both"/>
      </w:pPr>
      <w:r>
        <w:t xml:space="preserve">kas atbilst </w:t>
      </w:r>
      <w:r w:rsidR="00454EA6">
        <w:t>Eiropas Savienības struktūrfondu un Kohēzijas fonda 2014.-2020.gada plānošanas perioda vadības likuma 23.pantā noteiktiem projekta iesniedzēju izslēgšanas noteikumiem;</w:t>
      </w:r>
    </w:p>
    <w:p w:rsidR="00E15182" w:rsidRDefault="00EC38D9" w:rsidP="00D43A91">
      <w:pPr>
        <w:pStyle w:val="ListParagraph"/>
        <w:numPr>
          <w:ilvl w:val="1"/>
          <w:numId w:val="4"/>
        </w:numPr>
        <w:spacing w:before="120"/>
        <w:ind w:left="567" w:hanging="567"/>
        <w:jc w:val="both"/>
      </w:pPr>
      <w:r>
        <w:t xml:space="preserve">ja </w:t>
      </w:r>
      <w:r w:rsidR="00E15182">
        <w:t xml:space="preserve">projekta iesniedzējam ar tiesas spriedumu pasludināts maksātnespējas process vai ar tiesas spriedumu tiek īstenots tiesiskās aizsardzības process, ar tiesas lēmumu tiek īstenots ārpustiesas tiesiskās aizsardzības process, uzsākta bankrota procedūra, piemērota sanācija vai mierizlīgums vai tā saimnieciskā darbība </w:t>
      </w:r>
      <w:r>
        <w:t xml:space="preserve">ir </w:t>
      </w:r>
      <w:r w:rsidR="00E15182">
        <w:t>izbeigta;</w:t>
      </w:r>
    </w:p>
    <w:p w:rsidR="006D2BF0" w:rsidRDefault="00EC38D9" w:rsidP="00454EA6">
      <w:pPr>
        <w:pStyle w:val="ListParagraph"/>
        <w:numPr>
          <w:ilvl w:val="1"/>
          <w:numId w:val="4"/>
        </w:numPr>
        <w:spacing w:before="120"/>
        <w:ind w:left="567" w:hanging="567"/>
        <w:jc w:val="both"/>
      </w:pPr>
      <w:r>
        <w:t xml:space="preserve">kas </w:t>
      </w:r>
      <w:r w:rsidR="00E15182">
        <w:t xml:space="preserve">saņēmis vai paredz saņemt finansējumu par tām pašām attiecināmajām izmaksām citu </w:t>
      </w:r>
      <w:r w:rsidR="00710091">
        <w:t>pasākumu</w:t>
      </w:r>
      <w:r w:rsidR="00E15182">
        <w:t xml:space="preserve"> ietvaros no vietējiem, reģionālajiem, valsts vai Eiropas Savienības līdzekļiem</w:t>
      </w:r>
      <w:r w:rsidR="00454EA6">
        <w:t>.</w:t>
      </w:r>
    </w:p>
    <w:p w:rsidR="00D77082" w:rsidRDefault="00D77082" w:rsidP="00547373">
      <w:pPr>
        <w:spacing w:before="120"/>
        <w:ind w:left="567" w:hanging="567"/>
        <w:jc w:val="both"/>
      </w:pPr>
    </w:p>
    <w:p w:rsidR="00D77082" w:rsidRPr="00A13AA0" w:rsidRDefault="00D77082" w:rsidP="00547373">
      <w:pPr>
        <w:ind w:left="567" w:hanging="567"/>
        <w:jc w:val="center"/>
        <w:rPr>
          <w:b/>
          <w:sz w:val="25"/>
          <w:szCs w:val="25"/>
        </w:rPr>
      </w:pPr>
      <w:r>
        <w:rPr>
          <w:b/>
          <w:sz w:val="25"/>
          <w:szCs w:val="25"/>
        </w:rPr>
        <w:t>III</w:t>
      </w:r>
      <w:r w:rsidRPr="00A13AA0">
        <w:rPr>
          <w:b/>
          <w:sz w:val="25"/>
          <w:szCs w:val="25"/>
        </w:rPr>
        <w:t xml:space="preserve">. </w:t>
      </w:r>
      <w:r>
        <w:rPr>
          <w:b/>
          <w:sz w:val="25"/>
          <w:szCs w:val="25"/>
        </w:rPr>
        <w:t>Atbalstāmās un neatbalstāmās darbības</w:t>
      </w:r>
    </w:p>
    <w:p w:rsidR="00E15182" w:rsidRDefault="00D77082" w:rsidP="00547373">
      <w:pPr>
        <w:pStyle w:val="ListParagraph"/>
        <w:numPr>
          <w:ilvl w:val="0"/>
          <w:numId w:val="4"/>
        </w:numPr>
        <w:spacing w:before="120"/>
        <w:ind w:left="567" w:hanging="567"/>
        <w:jc w:val="both"/>
      </w:pPr>
      <w:bookmarkStart w:id="7" w:name="_Ref417032306"/>
      <w:r w:rsidRPr="00D77082">
        <w:t>Finansējumu var saņemt šādām darbībām:</w:t>
      </w:r>
      <w:bookmarkEnd w:id="7"/>
    </w:p>
    <w:p w:rsidR="00D77082" w:rsidRDefault="00D77082" w:rsidP="00547373">
      <w:pPr>
        <w:pStyle w:val="ListParagraph"/>
        <w:numPr>
          <w:ilvl w:val="1"/>
          <w:numId w:val="4"/>
        </w:numPr>
        <w:spacing w:before="120"/>
        <w:ind w:left="567" w:hanging="567"/>
        <w:jc w:val="both"/>
      </w:pPr>
      <w:bookmarkStart w:id="8" w:name="_Ref417032362"/>
      <w:r>
        <w:t>Latvij</w:t>
      </w:r>
      <w:r w:rsidR="00454EA6">
        <w:t>as Republikā</w:t>
      </w:r>
      <w:r>
        <w:t xml:space="preserve"> reģistrētu komersantu, pašvaldību, biedrību un nodibinājumu dalībai starptautiskajās izstādēs un konferencēs (semināros) ārvalstīs, kas ir saistītas ar to</w:t>
      </w:r>
      <w:r w:rsidR="00886B05">
        <w:t xml:space="preserve"> saimnieciskās darbības nozari. </w:t>
      </w:r>
      <w:r w:rsidR="00886B05" w:rsidRPr="00886B05">
        <w:t>Pašvaldība finansējumu dalībai starptautiskajās izstādēs un konferencēs (semināros) ārvalstīs var saņemt, ja dalība pasākumos veicina Latvijas kā tūrisma galamērķa starptautisko konkurētspēju;</w:t>
      </w:r>
      <w:bookmarkEnd w:id="8"/>
    </w:p>
    <w:p w:rsidR="00D77082" w:rsidRDefault="00D77082" w:rsidP="00547373">
      <w:pPr>
        <w:pStyle w:val="ListParagraph"/>
        <w:numPr>
          <w:ilvl w:val="1"/>
          <w:numId w:val="4"/>
        </w:numPr>
        <w:spacing w:before="120"/>
        <w:ind w:left="567" w:hanging="567"/>
        <w:jc w:val="both"/>
      </w:pPr>
      <w:bookmarkStart w:id="9" w:name="_Ref417032364"/>
      <w:r>
        <w:t>dalībai tirdzniecības misijās pie partneriem mērķa tirgos ārvalstīs, kas saistītas ar finansējuma saņēmēja saimnieciskās dar</w:t>
      </w:r>
      <w:r w:rsidR="00886B05">
        <w:t>bības nozari</w:t>
      </w:r>
      <w:r>
        <w:t>;</w:t>
      </w:r>
      <w:bookmarkEnd w:id="9"/>
    </w:p>
    <w:p w:rsidR="00E55F35" w:rsidRDefault="00D77082" w:rsidP="00547373">
      <w:pPr>
        <w:pStyle w:val="ListParagraph"/>
        <w:numPr>
          <w:ilvl w:val="1"/>
          <w:numId w:val="4"/>
        </w:numPr>
        <w:spacing w:before="120"/>
        <w:ind w:left="567" w:hanging="567"/>
        <w:jc w:val="both"/>
      </w:pPr>
      <w:bookmarkStart w:id="10" w:name="_Ref417032366"/>
      <w:r>
        <w:t xml:space="preserve">Latvijas </w:t>
      </w:r>
      <w:r w:rsidR="00454EA6">
        <w:t>Republik</w:t>
      </w:r>
      <w:r w:rsidR="00C306AB">
        <w:t>ā reģistrētu</w:t>
      </w:r>
      <w:r w:rsidR="00454EA6">
        <w:t xml:space="preserve"> </w:t>
      </w:r>
      <w:r>
        <w:t>komersantu</w:t>
      </w:r>
      <w:r w:rsidR="00073375">
        <w:t xml:space="preserve"> ražotņu</w:t>
      </w:r>
      <w:r>
        <w:t xml:space="preserve"> un</w:t>
      </w:r>
      <w:r w:rsidR="00963575">
        <w:t xml:space="preserve"> to</w:t>
      </w:r>
      <w:r>
        <w:t xml:space="preserve"> produktu atbilstības novērtēšanai, lai apliecinātu, ka attiecīgais produkts, process, pakalpojums vai persona atbilst</w:t>
      </w:r>
      <w:r w:rsidR="00C379F0">
        <w:t xml:space="preserve"> ārvalstu</w:t>
      </w:r>
      <w:r>
        <w:t xml:space="preserve"> mē</w:t>
      </w:r>
      <w:r w:rsidR="00073375">
        <w:t>rķa tirgos noteiktajām prasībām:</w:t>
      </w:r>
    </w:p>
    <w:p w:rsidR="00E55F35" w:rsidRDefault="00073375" w:rsidP="00957103">
      <w:pPr>
        <w:pStyle w:val="ListParagraph"/>
        <w:numPr>
          <w:ilvl w:val="2"/>
          <w:numId w:val="4"/>
        </w:numPr>
        <w:spacing w:before="120"/>
        <w:ind w:left="567" w:hanging="567"/>
        <w:jc w:val="both"/>
      </w:pPr>
      <w:r>
        <w:t xml:space="preserve"> j</w:t>
      </w:r>
      <w:r w:rsidR="00D77082">
        <w:t>a šāda atbilstības novērtēšana ir obligāts priekšnosacījums produktu tirdzniecībai</w:t>
      </w:r>
      <w:r w:rsidR="00C379F0">
        <w:t xml:space="preserve"> ārvalstīs</w:t>
      </w:r>
      <w:r w:rsidR="00710091">
        <w:t>,</w:t>
      </w:r>
      <w:r w:rsidR="00D77082">
        <w:t xml:space="preserve"> saskaņā ar ārvalstu normatīvajiem aktiem</w:t>
      </w:r>
      <w:r w:rsidR="00B51613">
        <w:t>, likumiem</w:t>
      </w:r>
      <w:r w:rsidR="00D77082">
        <w:t>, kompetento iestāžu vai to sadarbības partneru prasībām, kuru apgrozījums pārsniedz 1</w:t>
      </w:r>
      <w:r w:rsidR="00B51613">
        <w:t>5</w:t>
      </w:r>
      <w:r w:rsidR="00D77082">
        <w:t xml:space="preserve">0 miljonus </w:t>
      </w:r>
      <w:r w:rsidR="00D77082" w:rsidRPr="001E1219">
        <w:rPr>
          <w:i/>
        </w:rPr>
        <w:t>euro</w:t>
      </w:r>
      <w:r w:rsidR="00D77082">
        <w:t xml:space="preserve"> gadā. </w:t>
      </w:r>
    </w:p>
    <w:p w:rsidR="00D77082" w:rsidRDefault="00073375" w:rsidP="00957103">
      <w:pPr>
        <w:pStyle w:val="ListParagraph"/>
        <w:numPr>
          <w:ilvl w:val="2"/>
          <w:numId w:val="4"/>
        </w:numPr>
        <w:spacing w:before="120"/>
        <w:ind w:left="567" w:hanging="567"/>
        <w:jc w:val="both"/>
      </w:pPr>
      <w:r>
        <w:t>f</w:t>
      </w:r>
      <w:r w:rsidR="00D77082">
        <w:t xml:space="preserve">inansējumu nevar saņemt par atbilstības novērtēšanu, kura nav obligāts priekšnosacījums produktu tirdzniecībai </w:t>
      </w:r>
      <w:r w:rsidR="00C379F0">
        <w:t>ārvalstīs</w:t>
      </w:r>
      <w:r w:rsidR="00710091">
        <w:t>.</w:t>
      </w:r>
      <w:bookmarkEnd w:id="10"/>
    </w:p>
    <w:p w:rsidR="00D77082" w:rsidRDefault="00710091" w:rsidP="00547373">
      <w:pPr>
        <w:pStyle w:val="ListParagraph"/>
        <w:numPr>
          <w:ilvl w:val="0"/>
          <w:numId w:val="4"/>
        </w:numPr>
        <w:spacing w:before="120"/>
        <w:ind w:left="567" w:hanging="567"/>
        <w:jc w:val="both"/>
      </w:pPr>
      <w:r>
        <w:t>Pasākuma</w:t>
      </w:r>
      <w:r w:rsidRPr="00710091">
        <w:t xml:space="preserve"> ietvaros netiek atbalstītas darbības, kas uzsāktas pirms šo noteikumu stāšanās spēkā un ir saistītas ar komersanta importa apjomu palielināšanu, Latvijas tirgus apgūšanu vai nostip</w:t>
      </w:r>
      <w:r w:rsidR="00C27285">
        <w:t>rināšanos tajā, kā arī konkurēt</w:t>
      </w:r>
      <w:r w:rsidRPr="00710091">
        <w:t>spējas veicināšanu Latvijas tirgū.</w:t>
      </w:r>
    </w:p>
    <w:p w:rsidR="00710091" w:rsidRDefault="00710091" w:rsidP="00547373">
      <w:pPr>
        <w:pStyle w:val="ListParagraph"/>
        <w:numPr>
          <w:ilvl w:val="0"/>
          <w:numId w:val="4"/>
        </w:numPr>
        <w:spacing w:before="120"/>
        <w:ind w:left="567" w:hanging="567"/>
        <w:jc w:val="both"/>
      </w:pPr>
      <w:r>
        <w:lastRenderedPageBreak/>
        <w:t>Maksimāli pieļaujamā finansējuma intensitāte ir</w:t>
      </w:r>
      <w:r w:rsidR="00C379F0">
        <w:t xml:space="preserve"> </w:t>
      </w:r>
      <w:r w:rsidRPr="008E59C2">
        <w:t>80 % no</w:t>
      </w:r>
      <w:r>
        <w:t xml:space="preserve"> kopējām projekta attiecināmajā</w:t>
      </w:r>
      <w:r w:rsidR="00C379F0">
        <w:t>m izmaksām šo noteikumu</w:t>
      </w:r>
      <w:r w:rsidR="003041D2">
        <w:t xml:space="preserve"> </w:t>
      </w:r>
      <w:r w:rsidR="00454EA6">
        <w:fldChar w:fldCharType="begin"/>
      </w:r>
      <w:r w:rsidR="00454EA6">
        <w:instrText xml:space="preserve"> REF _Ref417032306 \r \h </w:instrText>
      </w:r>
      <w:r w:rsidR="00454EA6">
        <w:fldChar w:fldCharType="separate"/>
      </w:r>
      <w:r w:rsidR="00475E91">
        <w:t>20</w:t>
      </w:r>
      <w:r w:rsidR="00454EA6">
        <w:fldChar w:fldCharType="end"/>
      </w:r>
      <w:r w:rsidR="00AA113E">
        <w:t>.</w:t>
      </w:r>
      <w:r w:rsidR="00C379F0">
        <w:t>apakšpunktā minētajām darbībām</w:t>
      </w:r>
      <w:r w:rsidR="00AA113E">
        <w:t>.</w:t>
      </w:r>
    </w:p>
    <w:p w:rsidR="00547373" w:rsidRDefault="00547373" w:rsidP="00547373">
      <w:pPr>
        <w:ind w:left="567" w:hanging="567"/>
        <w:jc w:val="center"/>
        <w:rPr>
          <w:b/>
        </w:rPr>
      </w:pPr>
    </w:p>
    <w:p w:rsidR="00417684" w:rsidRPr="003C71CB" w:rsidRDefault="003C71CB" w:rsidP="00547373">
      <w:pPr>
        <w:ind w:left="567" w:hanging="567"/>
        <w:jc w:val="center"/>
        <w:rPr>
          <w:b/>
        </w:rPr>
      </w:pPr>
      <w:r w:rsidRPr="003C71CB">
        <w:rPr>
          <w:b/>
        </w:rPr>
        <w:t>IV. Attiecināmās un neattiecināmās izmaksas</w:t>
      </w:r>
    </w:p>
    <w:p w:rsidR="003C71CB" w:rsidRDefault="006824B2" w:rsidP="00547373">
      <w:pPr>
        <w:pStyle w:val="ListParagraph"/>
        <w:numPr>
          <w:ilvl w:val="0"/>
          <w:numId w:val="4"/>
        </w:numPr>
        <w:spacing w:before="120"/>
        <w:ind w:left="567" w:hanging="567"/>
        <w:jc w:val="both"/>
      </w:pPr>
      <w:bookmarkStart w:id="11" w:name="_Ref417032544"/>
      <w:r>
        <w:t>Šo noteikumu</w:t>
      </w:r>
      <w:r w:rsidR="00E55F35">
        <w:t xml:space="preserve"> </w:t>
      </w:r>
      <w:r w:rsidR="003041D2">
        <w:fldChar w:fldCharType="begin"/>
      </w:r>
      <w:r w:rsidR="003041D2">
        <w:instrText xml:space="preserve"> REF _Ref417032362 \r \h </w:instrText>
      </w:r>
      <w:r w:rsidR="003041D2">
        <w:fldChar w:fldCharType="separate"/>
      </w:r>
      <w:r w:rsidR="00475E91">
        <w:t>20.1</w:t>
      </w:r>
      <w:r w:rsidR="003041D2">
        <w:fldChar w:fldCharType="end"/>
      </w:r>
      <w:r w:rsidR="003041D2">
        <w:t xml:space="preserve">. un </w:t>
      </w:r>
      <w:r w:rsidR="003041D2">
        <w:fldChar w:fldCharType="begin"/>
      </w:r>
      <w:r w:rsidR="003041D2">
        <w:instrText xml:space="preserve"> REF _Ref417032364 \r \h </w:instrText>
      </w:r>
      <w:r w:rsidR="003041D2">
        <w:fldChar w:fldCharType="separate"/>
      </w:r>
      <w:r w:rsidR="00475E91">
        <w:t>20.2</w:t>
      </w:r>
      <w:r w:rsidR="003041D2">
        <w:fldChar w:fldCharType="end"/>
      </w:r>
      <w:r w:rsidRPr="006824B2">
        <w:t>.apakšpunktā minētajām darbībām attiecināmas ir šādas izmaksas:</w:t>
      </w:r>
      <w:bookmarkEnd w:id="11"/>
    </w:p>
    <w:p w:rsidR="00FF7DA3" w:rsidRDefault="00FF7DA3" w:rsidP="00547373">
      <w:pPr>
        <w:pStyle w:val="ListParagraph"/>
        <w:numPr>
          <w:ilvl w:val="1"/>
          <w:numId w:val="4"/>
        </w:numPr>
        <w:spacing w:before="120"/>
        <w:ind w:left="567" w:hanging="567"/>
        <w:jc w:val="both"/>
      </w:pPr>
      <w:r>
        <w:t>starptautiskās izstādes organizatora noteiktā reģistrācijas maksa;</w:t>
      </w:r>
    </w:p>
    <w:p w:rsidR="00FF7DA3" w:rsidRDefault="00FF7DA3" w:rsidP="00547373">
      <w:pPr>
        <w:pStyle w:val="ListParagraph"/>
        <w:numPr>
          <w:ilvl w:val="1"/>
          <w:numId w:val="4"/>
        </w:numPr>
        <w:spacing w:before="120"/>
        <w:ind w:left="567" w:hanging="567"/>
        <w:jc w:val="both"/>
      </w:pPr>
      <w:r>
        <w:t>tiešā organizatora noteiktā dalības maksa par piedalīšanos starptautiskajā izstādē vai tirdzniecības misijā, kura notiek ārpus Latvijas</w:t>
      </w:r>
      <w:r w:rsidR="00475E91">
        <w:t xml:space="preserve"> Republikas</w:t>
      </w:r>
      <w:r>
        <w:t xml:space="preserve"> teritorijas, tai skaitā tiešā organizatora noteiktā maksa par tirdzniecības misijas organizēšanu (Eiropas Savienības valstīs un Neatkarīgo Valstu Sadraudzības valstīs ne vairāk kā 3 500 </w:t>
      </w:r>
      <w:r w:rsidRPr="0090634E">
        <w:rPr>
          <w:i/>
        </w:rPr>
        <w:t>euro</w:t>
      </w:r>
      <w:r>
        <w:t xml:space="preserve">, bet ārpus Eiropas Savienības un Neatkarīgo Valstu Sadraudzības valstīm ne vairāk kā 5 000 </w:t>
      </w:r>
      <w:r w:rsidRPr="0090634E">
        <w:rPr>
          <w:i/>
        </w:rPr>
        <w:t>euro</w:t>
      </w:r>
      <w:r>
        <w:t xml:space="preserve"> vienai atbalstāmajai darbībai vienam finansējuma saņēmējam);</w:t>
      </w:r>
    </w:p>
    <w:p w:rsidR="00FF7DA3" w:rsidRDefault="00FF7DA3" w:rsidP="00547373">
      <w:pPr>
        <w:pStyle w:val="ListParagraph"/>
        <w:numPr>
          <w:ilvl w:val="1"/>
          <w:numId w:val="4"/>
        </w:numPr>
        <w:spacing w:before="120"/>
        <w:ind w:left="567" w:hanging="567"/>
        <w:jc w:val="both"/>
      </w:pPr>
      <w:r>
        <w:t xml:space="preserve">organizatora noteiktā dalības maksa par piedalīšanos konferencē (seminārā), kas notiek ārvalstīs, ja sniedz prezentāciju par projekta iesniedzēja Latvijā ražotajām precēm un pakalpojumiem (ne vairāk kā 1 423 </w:t>
      </w:r>
      <w:r w:rsidRPr="0090634E">
        <w:rPr>
          <w:i/>
        </w:rPr>
        <w:t>euro</w:t>
      </w:r>
      <w:r>
        <w:t xml:space="preserve"> vienai konferencei (semināram));</w:t>
      </w:r>
    </w:p>
    <w:p w:rsidR="00FF7DA3" w:rsidRDefault="00FF7DA3" w:rsidP="00547373">
      <w:pPr>
        <w:pStyle w:val="ListParagraph"/>
        <w:numPr>
          <w:ilvl w:val="1"/>
          <w:numId w:val="4"/>
        </w:numPr>
        <w:spacing w:before="120"/>
        <w:ind w:left="567" w:hanging="567"/>
        <w:jc w:val="both"/>
      </w:pPr>
      <w:r>
        <w:t>starptautiskās izstādes vai konferences (semināra) organizatora noteiktā nomas maksa par stenda konst</w:t>
      </w:r>
      <w:r w:rsidR="003D1C62">
        <w:t xml:space="preserve">rukciju un ekspozīcijas </w:t>
      </w:r>
      <w:r w:rsidR="003D1C62" w:rsidRPr="008E59C2">
        <w:t>laukumu, kā arī</w:t>
      </w:r>
      <w:r w:rsidR="00D52AAC" w:rsidRPr="008E59C2">
        <w:t xml:space="preserve"> papildpakalpojumu izmaksas no ar izstādi saistītā pakalpojuma sniedzēja </w:t>
      </w:r>
      <w:r w:rsidRPr="008E59C2">
        <w:t>(šo no</w:t>
      </w:r>
      <w:r>
        <w:t xml:space="preserve">teikumu </w:t>
      </w:r>
      <w:r w:rsidR="003041D2">
        <w:fldChar w:fldCharType="begin"/>
      </w:r>
      <w:r w:rsidR="003041D2">
        <w:instrText xml:space="preserve"> REF _Ref417032199 \r \h </w:instrText>
      </w:r>
      <w:r w:rsidR="003041D2">
        <w:fldChar w:fldCharType="separate"/>
      </w:r>
      <w:r w:rsidR="00475E91">
        <w:t>10.1</w:t>
      </w:r>
      <w:r w:rsidR="003041D2">
        <w:fldChar w:fldCharType="end"/>
      </w:r>
      <w:r>
        <w:t xml:space="preserve">.apakšpunktā minētajam </w:t>
      </w:r>
      <w:r w:rsidR="00B44B0D">
        <w:t>finansējuma saņēmējam</w:t>
      </w:r>
      <w:r>
        <w:t xml:space="preserve"> – ne vairāk kā 9 249 </w:t>
      </w:r>
      <w:r w:rsidRPr="001E1219">
        <w:rPr>
          <w:i/>
        </w:rPr>
        <w:t>euro</w:t>
      </w:r>
      <w:r>
        <w:t xml:space="preserve"> vienā izstādē vai konferencē (seminārā); partnerībā – ne vairāk kā 18 497 </w:t>
      </w:r>
      <w:r w:rsidRPr="001E1219">
        <w:rPr>
          <w:i/>
        </w:rPr>
        <w:t>euro</w:t>
      </w:r>
      <w:r>
        <w:t xml:space="preserve"> vienā izstādē vai konferencē (seminārā)). Šajā apakšpunktā attiecināmi ir tiešie maksājumi starptautiskās izstādes organizatoram;</w:t>
      </w:r>
    </w:p>
    <w:p w:rsidR="00FF7DA3" w:rsidRDefault="00FF7DA3" w:rsidP="006B48D8">
      <w:pPr>
        <w:pStyle w:val="ListParagraph"/>
        <w:numPr>
          <w:ilvl w:val="1"/>
          <w:numId w:val="4"/>
        </w:numPr>
        <w:spacing w:before="120"/>
        <w:ind w:left="567" w:hanging="567"/>
        <w:jc w:val="both"/>
      </w:pPr>
      <w:r>
        <w:t xml:space="preserve">komandējuma (darba brauciena) izmaksas ne vairāk kā </w:t>
      </w:r>
      <w:r w:rsidR="00287713">
        <w:t>trim</w:t>
      </w:r>
      <w:r>
        <w:t xml:space="preserve"> finansējuma saņēmēja darbiniekiem</w:t>
      </w:r>
      <w:r w:rsidR="00B44B0D">
        <w:t xml:space="preserve"> </w:t>
      </w:r>
      <w:r w:rsidR="00B44B0D" w:rsidRPr="00B44B0D">
        <w:t xml:space="preserve">vai citai fiziskai personai, kura nav darba attiecībās ar finansējuma saņēmēju, bet kas sūta to komandējumā, un kura savu darbu nepilda savas saimnieciskās darbības ietvaros (ja personas komandējums ir saistīts ar finansējuma saņēmēja mērķu sasniegšanu un uzdevumu veikšanu) (turpmāk – darbinieks).  </w:t>
      </w:r>
      <w:r>
        <w:t>Kopējā komandējuma dienu skaitā ieskaita darbības norises laiku un papildus ne vairāk kā trīs dienas. Ja projekta iesniegumu iesniedz partnerībā, kā arī š</w:t>
      </w:r>
      <w:r w:rsidR="00287713">
        <w:t>o noteikumu</w:t>
      </w:r>
      <w:r w:rsidR="003041D2">
        <w:t xml:space="preserve"> </w:t>
      </w:r>
      <w:r w:rsidR="003041D2">
        <w:fldChar w:fldCharType="begin"/>
      </w:r>
      <w:r w:rsidR="003041D2">
        <w:instrText xml:space="preserve"> REF _Ref417032252 \r \h </w:instrText>
      </w:r>
      <w:r w:rsidR="006B48D8">
        <w:instrText xml:space="preserve"> \* MERGEFORMAT </w:instrText>
      </w:r>
      <w:r w:rsidR="003041D2">
        <w:fldChar w:fldCharType="separate"/>
      </w:r>
      <w:r w:rsidR="00475E91">
        <w:t>10.2</w:t>
      </w:r>
      <w:r w:rsidR="003041D2">
        <w:fldChar w:fldCharType="end"/>
      </w:r>
      <w:r w:rsidR="003041D2">
        <w:t xml:space="preserve">., </w:t>
      </w:r>
      <w:r w:rsidR="003041D2">
        <w:fldChar w:fldCharType="begin"/>
      </w:r>
      <w:r w:rsidR="003041D2">
        <w:instrText xml:space="preserve"> REF _Ref417032255 \r \h </w:instrText>
      </w:r>
      <w:r w:rsidR="006B48D8">
        <w:instrText xml:space="preserve"> \* MERGEFORMAT </w:instrText>
      </w:r>
      <w:r w:rsidR="003041D2">
        <w:fldChar w:fldCharType="separate"/>
      </w:r>
      <w:r w:rsidR="00475E91">
        <w:t>10.3</w:t>
      </w:r>
      <w:r w:rsidR="003041D2">
        <w:fldChar w:fldCharType="end"/>
      </w:r>
      <w:r w:rsidR="003041D2">
        <w:t xml:space="preserve">. un </w:t>
      </w:r>
      <w:r w:rsidR="003041D2">
        <w:fldChar w:fldCharType="begin"/>
      </w:r>
      <w:r w:rsidR="003041D2">
        <w:instrText xml:space="preserve"> REF _Ref417032260 \r \h </w:instrText>
      </w:r>
      <w:r w:rsidR="006B48D8">
        <w:instrText xml:space="preserve"> \* MERGEFORMAT </w:instrText>
      </w:r>
      <w:r w:rsidR="003041D2">
        <w:fldChar w:fldCharType="separate"/>
      </w:r>
      <w:r w:rsidR="00475E91">
        <w:t>10.4</w:t>
      </w:r>
      <w:r w:rsidR="003041D2">
        <w:fldChar w:fldCharType="end"/>
      </w:r>
      <w:r w:rsidR="00287713">
        <w:t>.</w:t>
      </w:r>
      <w:r>
        <w:t xml:space="preserve"> apakšpunktā minētajā gadījumā, ierobežojums attiecas uz katru projektā iesaistīto partneri. Komandējuma (darba brauciena) attiecināmajās izmaksās ietilpst:</w:t>
      </w:r>
    </w:p>
    <w:p w:rsidR="00FF7DA3" w:rsidRDefault="00FF7DA3" w:rsidP="00547373">
      <w:pPr>
        <w:pStyle w:val="ListParagraph"/>
        <w:numPr>
          <w:ilvl w:val="2"/>
          <w:numId w:val="4"/>
        </w:numPr>
        <w:spacing w:before="120"/>
        <w:ind w:left="567" w:hanging="567"/>
        <w:jc w:val="both"/>
      </w:pPr>
      <w:bookmarkStart w:id="12" w:name="_Ref417401045"/>
      <w:r>
        <w:t xml:space="preserve">izmaksas, kas saistītas </w:t>
      </w:r>
      <w:r w:rsidRPr="008E59C2">
        <w:t xml:space="preserve">ar </w:t>
      </w:r>
      <w:r w:rsidR="00E22D74" w:rsidRPr="008E59C2">
        <w:t xml:space="preserve">starpvalstu </w:t>
      </w:r>
      <w:r w:rsidRPr="008E59C2">
        <w:t xml:space="preserve">ekonomiskās klases sabiedriskā transporta izmantošanu (tai skaitā pakalpojuma sniedzēja noteiktās papildu izmaksas, bez kurām pamatpakalpojumu nav iespējams iegādāties), līdz </w:t>
      </w:r>
      <w:r w:rsidR="00287713" w:rsidRPr="008E59C2">
        <w:t>izstādes, tirdzniecības misijas vai</w:t>
      </w:r>
      <w:r w:rsidRPr="008E59C2">
        <w:t xml:space="preserve"> konferences</w:t>
      </w:r>
      <w:r w:rsidR="00287713" w:rsidRPr="008E59C2">
        <w:t xml:space="preserve"> (semināra)</w:t>
      </w:r>
      <w:r w:rsidRPr="008E59C2">
        <w:t xml:space="preserve"> norises </w:t>
      </w:r>
      <w:r w:rsidR="00E22D74" w:rsidRPr="008E59C2">
        <w:t>valstij</w:t>
      </w:r>
      <w:r w:rsidRPr="008E59C2">
        <w:t xml:space="preserve"> un atpakaļ, kā arī maksa par pārbraucieniem</w:t>
      </w:r>
      <w:r w:rsidR="00E22D74" w:rsidRPr="008E59C2">
        <w:t xml:space="preserve"> uz citu valsti</w:t>
      </w:r>
      <w:r w:rsidRPr="008E59C2">
        <w:t>, ja projekta</w:t>
      </w:r>
      <w:r>
        <w:t xml:space="preserve"> ietvaros plānotas vairākas i</w:t>
      </w:r>
      <w:r w:rsidR="00287713">
        <w:t xml:space="preserve">zstādes, tirdzniecības misijas vai </w:t>
      </w:r>
      <w:r>
        <w:t>konferences</w:t>
      </w:r>
      <w:r w:rsidR="00287713">
        <w:t xml:space="preserve"> (semināri)</w:t>
      </w:r>
      <w:r>
        <w:t xml:space="preserve"> (</w:t>
      </w:r>
      <w:r w:rsidR="00E55F35">
        <w:t xml:space="preserve">turpmāk - </w:t>
      </w:r>
      <w:r>
        <w:t xml:space="preserve">ceļa (transporta) izdevumi). Ceļa (transporta) izdevumi ir attiecināmi, arī izmantojot starpnieku pakalpojumus, ja pakalpojumi neietver komisijas maksu. </w:t>
      </w:r>
      <w:bookmarkEnd w:id="12"/>
    </w:p>
    <w:p w:rsidR="00FF7DA3" w:rsidRDefault="00FF7DA3" w:rsidP="00547373">
      <w:pPr>
        <w:pStyle w:val="ListParagraph"/>
        <w:numPr>
          <w:ilvl w:val="1"/>
          <w:numId w:val="4"/>
        </w:numPr>
        <w:spacing w:before="120"/>
        <w:ind w:left="567" w:hanging="567"/>
        <w:jc w:val="both"/>
      </w:pPr>
      <w:r>
        <w:t>projekta attiecināmo izmaksu pievienotās vērtības nodoklis, ja projekta iesniedzējs to nevar atgūt atbilstoši normatīvajiem aktiem nodokļu politikas jomā</w:t>
      </w:r>
      <w:r w:rsidR="00450058">
        <w:t>.</w:t>
      </w:r>
    </w:p>
    <w:p w:rsidR="00C87D49" w:rsidRDefault="00C87D49" w:rsidP="00547373">
      <w:pPr>
        <w:pStyle w:val="ListParagraph"/>
        <w:numPr>
          <w:ilvl w:val="0"/>
          <w:numId w:val="4"/>
        </w:numPr>
        <w:spacing w:before="120"/>
        <w:ind w:left="567" w:hanging="567"/>
        <w:jc w:val="both"/>
      </w:pPr>
      <w:bookmarkStart w:id="13" w:name="_Ref417032548"/>
      <w:r>
        <w:t>Šo noteikumu</w:t>
      </w:r>
      <w:r w:rsidR="003041D2">
        <w:t xml:space="preserve"> </w:t>
      </w:r>
      <w:r w:rsidR="003041D2">
        <w:fldChar w:fldCharType="begin"/>
      </w:r>
      <w:r w:rsidR="003041D2">
        <w:instrText xml:space="preserve"> REF _Ref417032366 \r \h </w:instrText>
      </w:r>
      <w:r w:rsidR="003041D2">
        <w:fldChar w:fldCharType="separate"/>
      </w:r>
      <w:r w:rsidR="00475E91">
        <w:t>20.3</w:t>
      </w:r>
      <w:r w:rsidR="003041D2">
        <w:fldChar w:fldCharType="end"/>
      </w:r>
      <w:r>
        <w:t xml:space="preserve">.apakšpunktā minētajā atbilstības novērtēšanā attiecināmas ir šādas ārpakalpojumu izmaksas (ne vairāk kā 25 000 </w:t>
      </w:r>
      <w:r w:rsidRPr="0090634E">
        <w:rPr>
          <w:i/>
        </w:rPr>
        <w:t>euro</w:t>
      </w:r>
      <w:r>
        <w:t xml:space="preserve"> vienam komersantam gadā):</w:t>
      </w:r>
      <w:bookmarkEnd w:id="13"/>
    </w:p>
    <w:p w:rsidR="00C87D49" w:rsidRDefault="00C87D49" w:rsidP="00547373">
      <w:pPr>
        <w:pStyle w:val="ListParagraph"/>
        <w:numPr>
          <w:ilvl w:val="1"/>
          <w:numId w:val="4"/>
        </w:numPr>
        <w:spacing w:before="120"/>
        <w:ind w:left="567" w:hanging="567"/>
        <w:jc w:val="both"/>
      </w:pPr>
      <w:r>
        <w:t>neatkarīgas trešās personas vai kompetentās iestādes pakalpojumu izmaksas, lai apliecinātu, ka attiecīgais produkts, process, pakalpojums vai persona atbilst</w:t>
      </w:r>
      <w:r w:rsidR="00E22D74">
        <w:t xml:space="preserve"> ārvalstu</w:t>
      </w:r>
      <w:r>
        <w:t xml:space="preserve"> mērķa tirgos noteiktajām prasībām;</w:t>
      </w:r>
    </w:p>
    <w:p w:rsidR="00C87D49" w:rsidRDefault="00E22D74" w:rsidP="00547373">
      <w:pPr>
        <w:pStyle w:val="ListParagraph"/>
        <w:numPr>
          <w:ilvl w:val="1"/>
          <w:numId w:val="4"/>
        </w:numPr>
        <w:spacing w:before="120"/>
        <w:ind w:left="567" w:hanging="567"/>
        <w:jc w:val="both"/>
      </w:pPr>
      <w:r>
        <w:t>ārvalstu</w:t>
      </w:r>
      <w:r w:rsidR="00C87D49">
        <w:t xml:space="preserve"> potenciālo sadarbības partneru veikto Latvijas komersantu ražotņu un produktu atbilstības ekspertīžu izmaksas;</w:t>
      </w:r>
    </w:p>
    <w:p w:rsidR="00C87D49" w:rsidRDefault="00C87D49" w:rsidP="00547373">
      <w:pPr>
        <w:pStyle w:val="ListParagraph"/>
        <w:numPr>
          <w:ilvl w:val="1"/>
          <w:numId w:val="4"/>
        </w:numPr>
        <w:spacing w:before="120"/>
        <w:ind w:left="567" w:hanging="567"/>
        <w:jc w:val="both"/>
      </w:pPr>
      <w:r w:rsidRPr="008E59C2">
        <w:lastRenderedPageBreak/>
        <w:t>maksa par sertificēšanas centru un testēšanas laboratoriju pakalpojumiem</w:t>
      </w:r>
      <w:r w:rsidR="009D056C" w:rsidRPr="008E59C2">
        <w:t>, atbilstoši ārvalstu mērķa tirgos noteiktā</w:t>
      </w:r>
      <w:r w:rsidR="00475E91">
        <w:t>m</w:t>
      </w:r>
      <w:r w:rsidR="009D056C" w:rsidRPr="008E59C2">
        <w:t xml:space="preserve"> </w:t>
      </w:r>
      <w:r w:rsidR="00475E91">
        <w:t xml:space="preserve">normatīvo aktu </w:t>
      </w:r>
      <w:r w:rsidR="009D056C" w:rsidRPr="008E59C2">
        <w:t>prasībām</w:t>
      </w:r>
      <w:r w:rsidR="00E22D74" w:rsidRPr="008E59C2">
        <w:t xml:space="preserve"> (attiecināms, ja tiek sertificēta vai testēta vesela</w:t>
      </w:r>
      <w:r w:rsidR="001B4DB4" w:rsidRPr="008E59C2">
        <w:t xml:space="preserve"> vai viena</w:t>
      </w:r>
      <w:r w:rsidR="00E22D74" w:rsidRPr="008E59C2">
        <w:t xml:space="preserve"> </w:t>
      </w:r>
      <w:r w:rsidR="001B4DB4" w:rsidRPr="008E59C2">
        <w:t>produktu kategorija vai</w:t>
      </w:r>
      <w:r w:rsidR="00E22D74" w:rsidRPr="008E59C2">
        <w:t xml:space="preserve"> grupa, nevis viena atsevišķa </w:t>
      </w:r>
      <w:r w:rsidR="001B4DB4" w:rsidRPr="008E59C2">
        <w:t>produktu</w:t>
      </w:r>
      <w:r w:rsidR="00E22D74" w:rsidRPr="008E59C2">
        <w:t xml:space="preserve"> partija)</w:t>
      </w:r>
      <w:r w:rsidRPr="008E59C2">
        <w:t>;</w:t>
      </w:r>
    </w:p>
    <w:p w:rsidR="00C87D49" w:rsidRDefault="00C87D49" w:rsidP="00547373">
      <w:pPr>
        <w:pStyle w:val="ListParagraph"/>
        <w:numPr>
          <w:ilvl w:val="1"/>
          <w:numId w:val="4"/>
        </w:numPr>
        <w:spacing w:before="120"/>
        <w:ind w:left="567" w:hanging="567"/>
        <w:jc w:val="both"/>
      </w:pPr>
      <w:r>
        <w:t>ražotnes un katra produkta atzīšanas iz</w:t>
      </w:r>
      <w:r w:rsidR="00C27285">
        <w:t>maksas (nodeva par dokumentiem).</w:t>
      </w:r>
    </w:p>
    <w:p w:rsidR="005C1170" w:rsidRDefault="00BE1F37" w:rsidP="006B48D8">
      <w:pPr>
        <w:pStyle w:val="ListParagraph"/>
        <w:numPr>
          <w:ilvl w:val="0"/>
          <w:numId w:val="4"/>
        </w:numPr>
        <w:tabs>
          <w:tab w:val="left" w:pos="8300"/>
        </w:tabs>
        <w:spacing w:before="120"/>
        <w:ind w:left="567" w:hanging="567"/>
        <w:jc w:val="both"/>
      </w:pPr>
      <w:bookmarkStart w:id="14" w:name="_Ref417032527"/>
      <w:r w:rsidRPr="00267880">
        <w:t xml:space="preserve">Kopējās projekta attiecināmās izmaksas nedrīkst pārsniegt 30% no projekta iesniedzēja pēdējā noslēgtā </w:t>
      </w:r>
      <w:r w:rsidR="00B44B0D">
        <w:t xml:space="preserve">finanšu </w:t>
      </w:r>
      <w:r w:rsidRPr="00267880">
        <w:t>gada</w:t>
      </w:r>
      <w:r w:rsidR="00B44B0D">
        <w:t xml:space="preserve"> </w:t>
      </w:r>
      <w:r w:rsidR="00B44B0D" w:rsidRPr="00B44B0D">
        <w:t xml:space="preserve">finanšu pārskatā norādītā </w:t>
      </w:r>
      <w:r w:rsidRPr="00267880">
        <w:t xml:space="preserve">apgrozījuma. </w:t>
      </w:r>
      <w:r w:rsidR="00B44B0D" w:rsidRPr="00B44B0D">
        <w:t>Saistīto personu grupas gadījumā attiecināmās izmaksas nedrīkst pārsniegt 30% no saistīto personu grupas pārstāvju pēdējā finanšu gada finanšu pārskatos norādīto apgrozījumu kopsummas</w:t>
      </w:r>
      <w:r w:rsidR="00B44B0D">
        <w:t>.</w:t>
      </w:r>
    </w:p>
    <w:p w:rsidR="005C1170" w:rsidRDefault="00BE1F37" w:rsidP="00957103">
      <w:pPr>
        <w:pStyle w:val="ListParagraph"/>
        <w:numPr>
          <w:ilvl w:val="1"/>
          <w:numId w:val="4"/>
        </w:numPr>
        <w:spacing w:before="120"/>
        <w:ind w:left="567" w:hanging="567"/>
        <w:jc w:val="both"/>
      </w:pPr>
      <w:r w:rsidRPr="00267880">
        <w:t xml:space="preserve">Ja projekta iesniedzējs ir </w:t>
      </w:r>
      <w:r>
        <w:t>biedrība, nodibinājums vai</w:t>
      </w:r>
      <w:r w:rsidRPr="00267880">
        <w:t xml:space="preserve"> pašvaldība vai projekta iesniegums iesniegts partnerībā, šo ierobežojumu rēķina no visu projektā iesaistīto </w:t>
      </w:r>
      <w:r>
        <w:t>biedrību, nodibinājumu vai</w:t>
      </w:r>
      <w:r w:rsidRPr="00267880">
        <w:t xml:space="preserve"> pašvaldību vai komersantu pēdējā noslēgtā gada konsolidētā apgrozījuma summas. </w:t>
      </w:r>
    </w:p>
    <w:p w:rsidR="00BE1F37" w:rsidRDefault="00BE1F37" w:rsidP="00957103">
      <w:pPr>
        <w:pStyle w:val="ListParagraph"/>
        <w:numPr>
          <w:ilvl w:val="1"/>
          <w:numId w:val="4"/>
        </w:numPr>
        <w:spacing w:before="120"/>
        <w:ind w:left="567" w:hanging="567"/>
        <w:jc w:val="both"/>
      </w:pPr>
      <w:r w:rsidRPr="00267880">
        <w:t xml:space="preserve">Ja projekta iesniedzējs ir reģistrēts </w:t>
      </w:r>
      <w:r w:rsidR="00B44B0D">
        <w:t xml:space="preserve"> </w:t>
      </w:r>
      <w:r w:rsidRPr="00267880">
        <w:t>biedrību un nodibinājumu reģistrā vai komercreģistrā mazāk nekā trīs gadus</w:t>
      </w:r>
      <w:r w:rsidR="005C1170">
        <w:t xml:space="preserve"> pirms projekta iesniegšanas</w:t>
      </w:r>
      <w:r w:rsidRPr="00267880">
        <w:t xml:space="preserve">, projekta kopējās maksimāli attiecināmās izmaksas ir 5 692 </w:t>
      </w:r>
      <w:proofErr w:type="spellStart"/>
      <w:r w:rsidRPr="001E1219">
        <w:rPr>
          <w:i/>
        </w:rPr>
        <w:t>euro</w:t>
      </w:r>
      <w:proofErr w:type="spellEnd"/>
      <w:r w:rsidRPr="00267880">
        <w:t xml:space="preserve"> ar nosacījumu, </w:t>
      </w:r>
      <w:r w:rsidR="006B48D8">
        <w:t xml:space="preserve">ja </w:t>
      </w:r>
      <w:r w:rsidRPr="00267880">
        <w:t xml:space="preserve">30 % no projekta iesniedzēja konsolidētā apgrozījuma </w:t>
      </w:r>
      <w:r w:rsidR="006B48D8">
        <w:t xml:space="preserve">nepārsniedz </w:t>
      </w:r>
      <w:r w:rsidRPr="00267880">
        <w:t xml:space="preserve">5 692 </w:t>
      </w:r>
      <w:proofErr w:type="spellStart"/>
      <w:r w:rsidRPr="001E1219">
        <w:rPr>
          <w:i/>
        </w:rPr>
        <w:t>euro</w:t>
      </w:r>
      <w:proofErr w:type="spellEnd"/>
      <w:r w:rsidRPr="00267880">
        <w:t>.</w:t>
      </w:r>
      <w:bookmarkEnd w:id="14"/>
    </w:p>
    <w:p w:rsidR="00C27285" w:rsidRDefault="00C27285" w:rsidP="00547373">
      <w:pPr>
        <w:pStyle w:val="ListParagraph"/>
        <w:numPr>
          <w:ilvl w:val="0"/>
          <w:numId w:val="4"/>
        </w:numPr>
        <w:tabs>
          <w:tab w:val="left" w:pos="8300"/>
        </w:tabs>
        <w:spacing w:before="120"/>
        <w:ind w:left="567" w:hanging="567"/>
        <w:jc w:val="both"/>
      </w:pPr>
      <w:r>
        <w:t>Ja šo noteikumu</w:t>
      </w:r>
      <w:r w:rsidR="003041D2">
        <w:t xml:space="preserve"> </w:t>
      </w:r>
      <w:r w:rsidR="006B48D8">
        <w:fldChar w:fldCharType="begin"/>
      </w:r>
      <w:r w:rsidR="006B48D8">
        <w:instrText xml:space="preserve"> REF _Ref417401045 \r \h  \* MERGEFORMAT </w:instrText>
      </w:r>
      <w:r w:rsidR="006B48D8">
        <w:fldChar w:fldCharType="separate"/>
      </w:r>
      <w:r w:rsidR="00CA3B4B">
        <w:t>23.5.1</w:t>
      </w:r>
      <w:r w:rsidR="006B48D8">
        <w:fldChar w:fldCharType="end"/>
      </w:r>
      <w:r w:rsidR="00CA3B4B">
        <w:t>.apakš</w:t>
      </w:r>
      <w:r w:rsidRPr="00C27285">
        <w:t>punktā minētos pakalpojumus iegādājas, izmantojot ekonomiski izdevīgāka starpnieka pakalpojumus, lai pārliecinātos, ka netiek segta starpnieka komisijas maksa, sadarbības iestādē iesniedz starpnieka rēķinu, kurā atsevišķi norādīti tiešajiem pakalpojuma sniedzējiem veiktie maksājumi, starpnieka komisijas maksa, pievienotās vērtības nodoklis un cita sadarbības iestādes prasītā informācija.</w:t>
      </w:r>
    </w:p>
    <w:p w:rsidR="00C27285" w:rsidRDefault="00C27285" w:rsidP="00547373">
      <w:pPr>
        <w:pStyle w:val="ListParagraph"/>
        <w:numPr>
          <w:ilvl w:val="0"/>
          <w:numId w:val="4"/>
        </w:numPr>
        <w:tabs>
          <w:tab w:val="left" w:pos="8300"/>
        </w:tabs>
        <w:spacing w:before="120"/>
        <w:ind w:left="567" w:hanging="567"/>
        <w:jc w:val="both"/>
      </w:pPr>
      <w:r>
        <w:t>Pasākuma ietvaros neattiecināmas ir šādas izmaksu pozīcijas:</w:t>
      </w:r>
    </w:p>
    <w:p w:rsidR="00C27285" w:rsidRDefault="00C27285" w:rsidP="00547373">
      <w:pPr>
        <w:pStyle w:val="ListParagraph"/>
        <w:numPr>
          <w:ilvl w:val="1"/>
          <w:numId w:val="4"/>
        </w:numPr>
        <w:tabs>
          <w:tab w:val="left" w:pos="8300"/>
        </w:tabs>
        <w:spacing w:before="120"/>
        <w:ind w:left="567" w:hanging="567"/>
        <w:jc w:val="both"/>
      </w:pPr>
      <w:r>
        <w:t>šo noteikumu</w:t>
      </w:r>
      <w:r w:rsidR="003041D2">
        <w:t xml:space="preserve"> </w:t>
      </w:r>
      <w:r w:rsidR="003041D2">
        <w:fldChar w:fldCharType="begin"/>
      </w:r>
      <w:r w:rsidR="003041D2">
        <w:instrText xml:space="preserve"> REF _Ref417032544 \r \h </w:instrText>
      </w:r>
      <w:r w:rsidR="003041D2">
        <w:fldChar w:fldCharType="separate"/>
      </w:r>
      <w:r w:rsidR="00475E91">
        <w:t>23</w:t>
      </w:r>
      <w:r w:rsidR="003041D2">
        <w:fldChar w:fldCharType="end"/>
      </w:r>
      <w:r w:rsidR="003041D2">
        <w:t xml:space="preserve">. un </w:t>
      </w:r>
      <w:r w:rsidR="003041D2">
        <w:fldChar w:fldCharType="begin"/>
      </w:r>
      <w:r w:rsidR="003041D2">
        <w:instrText xml:space="preserve"> REF _Ref417032548 \r \h </w:instrText>
      </w:r>
      <w:r w:rsidR="003041D2">
        <w:fldChar w:fldCharType="separate"/>
      </w:r>
      <w:r w:rsidR="00475E91">
        <w:t>24</w:t>
      </w:r>
      <w:r w:rsidR="003041D2">
        <w:fldChar w:fldCharType="end"/>
      </w:r>
      <w:r w:rsidR="00BE1F37">
        <w:t>.</w:t>
      </w:r>
      <w:r>
        <w:t>punktā minētās izmaksas, ja tās radušās pirms šo noteikumu spēkā stāšanās dienas;</w:t>
      </w:r>
    </w:p>
    <w:p w:rsidR="00C27285" w:rsidRDefault="00C27285" w:rsidP="00547373">
      <w:pPr>
        <w:pStyle w:val="ListParagraph"/>
        <w:numPr>
          <w:ilvl w:val="1"/>
          <w:numId w:val="4"/>
        </w:numPr>
        <w:tabs>
          <w:tab w:val="left" w:pos="8300"/>
        </w:tabs>
        <w:spacing w:before="120"/>
        <w:ind w:left="567" w:hanging="567"/>
        <w:jc w:val="both"/>
      </w:pPr>
      <w:r>
        <w:t>pievienotās vērtības nodoklis</w:t>
      </w:r>
      <w:r w:rsidR="00CA3B4B">
        <w:t>, ja projekta iesniedzējs to var atgūt atbilstoši normatīvajiem aktiem nodokļu politikas jomā</w:t>
      </w:r>
      <w:r>
        <w:t>;</w:t>
      </w:r>
    </w:p>
    <w:p w:rsidR="00C27285" w:rsidRDefault="00C27285" w:rsidP="00547373">
      <w:pPr>
        <w:pStyle w:val="ListParagraph"/>
        <w:numPr>
          <w:ilvl w:val="1"/>
          <w:numId w:val="4"/>
        </w:numPr>
        <w:tabs>
          <w:tab w:val="left" w:pos="8300"/>
        </w:tabs>
        <w:spacing w:before="120"/>
        <w:ind w:left="567" w:hanging="567"/>
        <w:jc w:val="both"/>
      </w:pPr>
      <w:r>
        <w:t>izmaksas, par kurām nav iesniegti finanšu līdzekļu izlietojumu apliecinoši dokumenti;</w:t>
      </w:r>
    </w:p>
    <w:p w:rsidR="00C27285" w:rsidRDefault="00C27285" w:rsidP="00547373">
      <w:pPr>
        <w:pStyle w:val="ListParagraph"/>
        <w:numPr>
          <w:ilvl w:val="1"/>
          <w:numId w:val="4"/>
        </w:numPr>
        <w:tabs>
          <w:tab w:val="left" w:pos="8300"/>
        </w:tabs>
        <w:spacing w:before="120"/>
        <w:ind w:left="567" w:hanging="567"/>
        <w:jc w:val="both"/>
      </w:pPr>
      <w:r>
        <w:t>izmaksas, kas saistītas ar komersanta importa apjomiem, kā arī ar komersanta izdevumiem importa operācijām;</w:t>
      </w:r>
    </w:p>
    <w:p w:rsidR="00C27285" w:rsidRDefault="00C27285" w:rsidP="00547373">
      <w:pPr>
        <w:pStyle w:val="ListParagraph"/>
        <w:numPr>
          <w:ilvl w:val="1"/>
          <w:numId w:val="4"/>
        </w:numPr>
        <w:tabs>
          <w:tab w:val="left" w:pos="8300"/>
        </w:tabs>
        <w:spacing w:before="120"/>
        <w:ind w:left="567" w:hanging="567"/>
        <w:jc w:val="both"/>
      </w:pPr>
      <w:r>
        <w:t>projekta administratīvās izmaksas;</w:t>
      </w:r>
    </w:p>
    <w:p w:rsidR="00C27285" w:rsidRDefault="00C27285" w:rsidP="00547373">
      <w:pPr>
        <w:pStyle w:val="ListParagraph"/>
        <w:numPr>
          <w:ilvl w:val="1"/>
          <w:numId w:val="4"/>
        </w:numPr>
        <w:tabs>
          <w:tab w:val="left" w:pos="8300"/>
        </w:tabs>
        <w:spacing w:before="120"/>
        <w:ind w:left="567" w:hanging="567"/>
        <w:jc w:val="both"/>
      </w:pPr>
      <w:r>
        <w:t>eksporta subsīdijas;</w:t>
      </w:r>
    </w:p>
    <w:p w:rsidR="00C27285" w:rsidRDefault="00C27285" w:rsidP="00547373">
      <w:pPr>
        <w:pStyle w:val="ListParagraph"/>
        <w:numPr>
          <w:ilvl w:val="1"/>
          <w:numId w:val="4"/>
        </w:numPr>
        <w:tabs>
          <w:tab w:val="left" w:pos="8300"/>
        </w:tabs>
        <w:spacing w:before="120"/>
        <w:ind w:left="567" w:hanging="567"/>
        <w:jc w:val="both"/>
      </w:pPr>
      <w:r>
        <w:t>citas izmaksas, kas nav noteiktas kā attiecināmas.</w:t>
      </w:r>
    </w:p>
    <w:p w:rsidR="006515BA" w:rsidRDefault="0061593F" w:rsidP="00547373">
      <w:pPr>
        <w:pStyle w:val="ListParagraph"/>
        <w:numPr>
          <w:ilvl w:val="0"/>
          <w:numId w:val="4"/>
        </w:numPr>
        <w:tabs>
          <w:tab w:val="left" w:pos="8300"/>
        </w:tabs>
        <w:spacing w:before="120"/>
        <w:ind w:left="567" w:hanging="567"/>
        <w:jc w:val="both"/>
      </w:pPr>
      <w:r>
        <w:t>Pasākuma</w:t>
      </w:r>
      <w:r w:rsidR="006515BA" w:rsidRPr="006515BA">
        <w:t xml:space="preserve"> ietvaros finansē tikai tādas attiecināmās izmaksas, kuras ir tieši saistītas ar projekta ietvaros veiktajām darbībām, atbilst šajos noteikumos noteiktajiem izmaksu ierobežojumiem, ir samērīgas un pamatotas un atbilst pareizas finanšu vadības principiem.</w:t>
      </w:r>
    </w:p>
    <w:p w:rsidR="00C87D49" w:rsidRDefault="006515BA" w:rsidP="00547373">
      <w:pPr>
        <w:pStyle w:val="ListParagraph"/>
        <w:numPr>
          <w:ilvl w:val="0"/>
          <w:numId w:val="4"/>
        </w:numPr>
        <w:spacing w:before="120"/>
        <w:ind w:left="567" w:hanging="567"/>
        <w:jc w:val="both"/>
      </w:pPr>
      <w:r w:rsidRPr="006515BA">
        <w:t>Finansējumu projektiem, ko piešķir šo noteikumu ietvaros, neapvieno ar finansējumu projektiem citu finansējuma pr</w:t>
      </w:r>
      <w:r>
        <w:t>ogrammu vai individuālo finansē</w:t>
      </w:r>
      <w:r w:rsidRPr="006515BA">
        <w:t>juma projektu ietvaros.</w:t>
      </w:r>
    </w:p>
    <w:p w:rsidR="006515BA" w:rsidRDefault="006515BA" w:rsidP="00547373">
      <w:pPr>
        <w:pStyle w:val="ListParagraph"/>
        <w:numPr>
          <w:ilvl w:val="0"/>
          <w:numId w:val="4"/>
        </w:numPr>
        <w:spacing w:before="120"/>
        <w:ind w:left="567" w:hanging="567"/>
        <w:jc w:val="both"/>
      </w:pPr>
      <w:r w:rsidRPr="006515BA">
        <w:t>Projekta iesniegumā minētās darbības īsteno 12 mēnešu laikā pēc līguma noslēgšanas ar sadarbības iestādi par projekta īstenošanu.</w:t>
      </w:r>
    </w:p>
    <w:p w:rsidR="00547373" w:rsidRDefault="00547373" w:rsidP="00547373">
      <w:pPr>
        <w:pStyle w:val="ListParagraph"/>
        <w:spacing w:before="120"/>
        <w:ind w:left="567" w:hanging="567"/>
        <w:jc w:val="both"/>
      </w:pPr>
    </w:p>
    <w:p w:rsidR="006515BA" w:rsidRPr="002049F7" w:rsidRDefault="002049F7" w:rsidP="00547373">
      <w:pPr>
        <w:spacing w:before="120"/>
        <w:ind w:left="567" w:hanging="567"/>
        <w:jc w:val="center"/>
        <w:rPr>
          <w:b/>
        </w:rPr>
      </w:pPr>
      <w:r>
        <w:rPr>
          <w:b/>
        </w:rPr>
        <w:t>V</w:t>
      </w:r>
      <w:r w:rsidRPr="002049F7">
        <w:rPr>
          <w:b/>
        </w:rPr>
        <w:t>. Projekta īstenošanas un finansējuma saņemšanas nosacījumi</w:t>
      </w:r>
    </w:p>
    <w:p w:rsidR="002049F7" w:rsidRDefault="002049F7" w:rsidP="00547373">
      <w:pPr>
        <w:pStyle w:val="ListParagraph"/>
        <w:numPr>
          <w:ilvl w:val="0"/>
          <w:numId w:val="4"/>
        </w:numPr>
        <w:spacing w:before="120"/>
        <w:ind w:left="567" w:hanging="567"/>
        <w:jc w:val="both"/>
      </w:pPr>
      <w:r w:rsidRPr="002049F7">
        <w:t>Finansējuma saņēmēja pienākums ir mēneša laikā pēc sadarbības iestādes uzaicinājuma noslēgt līgumu par projekta īstenošanu.</w:t>
      </w:r>
    </w:p>
    <w:p w:rsidR="00B44B0D" w:rsidRPr="00B44B0D" w:rsidRDefault="00B44B0D" w:rsidP="00B44B0D">
      <w:pPr>
        <w:pStyle w:val="ListParagraph"/>
        <w:numPr>
          <w:ilvl w:val="0"/>
          <w:numId w:val="4"/>
        </w:numPr>
        <w:spacing w:before="120"/>
        <w:ind w:left="567" w:hanging="567"/>
        <w:jc w:val="both"/>
      </w:pPr>
      <w:r w:rsidRPr="00B44B0D">
        <w:lastRenderedPageBreak/>
        <w:t>Sadarbības iestāde var izbeigt līgumu par projekta īstenošanu, un finansējuma saņēmējam ir pienākums atmaksāt piešķirto finansējumu sadarbības iestādes norādītajā kontā līgumā par projekta īstenošanu noteiktajos gadījumos.</w:t>
      </w:r>
    </w:p>
    <w:p w:rsidR="002049F7" w:rsidRDefault="002049F7" w:rsidP="00547373">
      <w:pPr>
        <w:pStyle w:val="ListParagraph"/>
        <w:numPr>
          <w:ilvl w:val="0"/>
          <w:numId w:val="4"/>
        </w:numPr>
        <w:spacing w:before="120"/>
        <w:ind w:left="567" w:hanging="567"/>
        <w:jc w:val="both"/>
      </w:pPr>
      <w:r>
        <w:t>Finansējuma saņēmējs saņem finansējumu par jau veiktām atbalstāmām darbībām, ja ir izpildīti šādi nosacījumi:</w:t>
      </w:r>
    </w:p>
    <w:p w:rsidR="002049F7" w:rsidRDefault="002049F7" w:rsidP="00547373">
      <w:pPr>
        <w:pStyle w:val="ListParagraph"/>
        <w:numPr>
          <w:ilvl w:val="1"/>
          <w:numId w:val="4"/>
        </w:numPr>
        <w:spacing w:before="120"/>
        <w:ind w:left="567" w:hanging="567"/>
        <w:jc w:val="both"/>
      </w:pPr>
      <w:r>
        <w:t>finansējuma saņēmējs ar sadarbības iestādi noslēdz līgumu par projekta īstenošanu;</w:t>
      </w:r>
    </w:p>
    <w:p w:rsidR="002049F7" w:rsidRDefault="002049F7" w:rsidP="00547373">
      <w:pPr>
        <w:pStyle w:val="ListParagraph"/>
        <w:numPr>
          <w:ilvl w:val="1"/>
          <w:numId w:val="4"/>
        </w:numPr>
        <w:spacing w:before="120"/>
        <w:ind w:left="567" w:hanging="567"/>
        <w:jc w:val="both"/>
      </w:pPr>
      <w:r>
        <w:t>īstenojot projektu, ir nodrošināta atsevišķa ar projekta īstenošanu saistīto saimniecisko darījumu ieņēmumu un izdevumu grāmatvedības uzskaite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rsidR="002049F7" w:rsidRDefault="002049F7" w:rsidP="00547373">
      <w:pPr>
        <w:pStyle w:val="ListParagraph"/>
        <w:numPr>
          <w:ilvl w:val="1"/>
          <w:numId w:val="4"/>
        </w:numPr>
        <w:spacing w:before="120"/>
        <w:ind w:left="567" w:hanging="567"/>
        <w:jc w:val="both"/>
      </w:pPr>
      <w:r>
        <w:t>pēc sadarbības iestādes veiktās projekta īstenošanas pārbaudes un iesniegtā maksājuma pieprasījuma pārbaudes projekta īstenošanas izmaksas tiek atzītas par attiecināmām.</w:t>
      </w:r>
    </w:p>
    <w:p w:rsidR="00943A75" w:rsidRPr="008E59C2" w:rsidRDefault="00943A75" w:rsidP="00547373">
      <w:pPr>
        <w:pStyle w:val="ListParagraph"/>
        <w:numPr>
          <w:ilvl w:val="0"/>
          <w:numId w:val="4"/>
        </w:numPr>
        <w:spacing w:before="120"/>
        <w:ind w:left="567" w:hanging="567"/>
        <w:jc w:val="both"/>
      </w:pPr>
      <w:r w:rsidRPr="008E59C2">
        <w:t>Sadarbības iestādei ir tiesības starpposma un noslēguma maksājuma pieprasījuma vērtēšanas laikā, kā arī pēc maksājuma veikšanas pieprasīt no finansējuma saņēmēja papildu informāciju, kas saistīta ar starpposma un noslēguma pārskatu.</w:t>
      </w:r>
    </w:p>
    <w:p w:rsidR="00943A75" w:rsidRPr="008E59C2" w:rsidRDefault="00943A75" w:rsidP="00547373">
      <w:pPr>
        <w:pStyle w:val="ListParagraph"/>
        <w:numPr>
          <w:ilvl w:val="0"/>
          <w:numId w:val="4"/>
        </w:numPr>
        <w:spacing w:before="120"/>
        <w:ind w:left="567" w:hanging="567"/>
        <w:jc w:val="both"/>
      </w:pPr>
      <w:r w:rsidRPr="008E59C2">
        <w:t>Sadarbības iestādei ir tiesības starpposma un noslēguma maksājuma pieprasījuma vērtēšanas laikā pieaicināt ekspertu, lai pārbaudītu, vai projekta izmaksu tāmē norādītās attiecināmās izmaksas nav nepamatoti augstas.</w:t>
      </w:r>
    </w:p>
    <w:p w:rsidR="00211F96" w:rsidRDefault="00211F96" w:rsidP="00943A75">
      <w:pPr>
        <w:spacing w:before="120"/>
        <w:jc w:val="both"/>
      </w:pPr>
    </w:p>
    <w:p w:rsidR="00522E87" w:rsidRPr="00A2257C" w:rsidRDefault="00522E87" w:rsidP="00522E87">
      <w:pPr>
        <w:tabs>
          <w:tab w:val="left" w:pos="6521"/>
        </w:tabs>
        <w:jc w:val="both"/>
      </w:pPr>
      <w:r>
        <w:t>Ministru prezidente</w:t>
      </w:r>
      <w:r>
        <w:tab/>
      </w:r>
      <w:r w:rsidRPr="00A2257C">
        <w:t>L.Straujuma</w:t>
      </w:r>
    </w:p>
    <w:p w:rsidR="00211F96" w:rsidRDefault="00211F96" w:rsidP="00943A75">
      <w:pPr>
        <w:spacing w:before="120"/>
        <w:jc w:val="both"/>
      </w:pPr>
    </w:p>
    <w:p w:rsidR="00522E87" w:rsidRDefault="00522E87" w:rsidP="00211F96">
      <w:pPr>
        <w:jc w:val="both"/>
      </w:pPr>
    </w:p>
    <w:p w:rsidR="00211F96" w:rsidRDefault="00211F96" w:rsidP="00211F96">
      <w:pPr>
        <w:jc w:val="both"/>
      </w:pPr>
      <w:r>
        <w:t>Ekonomikas ministre</w:t>
      </w:r>
      <w:r>
        <w:tab/>
      </w:r>
      <w:r>
        <w:tab/>
      </w:r>
      <w:r>
        <w:tab/>
      </w:r>
      <w:r>
        <w:tab/>
      </w:r>
      <w:r>
        <w:tab/>
      </w:r>
      <w:r>
        <w:tab/>
      </w:r>
      <w:r>
        <w:tab/>
      </w:r>
      <w:proofErr w:type="spellStart"/>
      <w:r>
        <w:t>D.Reizniece-Ozolas</w:t>
      </w:r>
      <w:proofErr w:type="spellEnd"/>
      <w:r>
        <w:tab/>
      </w:r>
    </w:p>
    <w:p w:rsidR="00211F96" w:rsidRDefault="00211F96" w:rsidP="00211F96">
      <w:pPr>
        <w:jc w:val="both"/>
      </w:pPr>
    </w:p>
    <w:p w:rsidR="00522E87" w:rsidRDefault="00522E87" w:rsidP="00211F96">
      <w:pPr>
        <w:jc w:val="both"/>
      </w:pPr>
      <w:r>
        <w:t>Iesniedzējs:</w:t>
      </w:r>
    </w:p>
    <w:p w:rsidR="00211F96" w:rsidRDefault="00522E87" w:rsidP="00211F96">
      <w:pPr>
        <w:jc w:val="both"/>
      </w:pPr>
      <w:r>
        <w:t>Ekonomikas ministre</w:t>
      </w:r>
      <w:r>
        <w:tab/>
      </w:r>
      <w:r>
        <w:tab/>
      </w:r>
      <w:r>
        <w:tab/>
      </w:r>
      <w:r>
        <w:tab/>
      </w:r>
      <w:r>
        <w:tab/>
      </w:r>
      <w:r>
        <w:tab/>
      </w:r>
      <w:r>
        <w:tab/>
      </w:r>
      <w:proofErr w:type="spellStart"/>
      <w:r>
        <w:t>D.Reizniece-Ozolas</w:t>
      </w:r>
      <w:proofErr w:type="spellEnd"/>
    </w:p>
    <w:p w:rsidR="00522E87" w:rsidRDefault="00522E87" w:rsidP="00211F96">
      <w:pPr>
        <w:jc w:val="both"/>
      </w:pPr>
    </w:p>
    <w:p w:rsidR="00211F96" w:rsidRDefault="00211F96" w:rsidP="00211F96">
      <w:pPr>
        <w:jc w:val="both"/>
      </w:pPr>
      <w:r>
        <w:t>Vīza:</w:t>
      </w:r>
    </w:p>
    <w:p w:rsidR="00211F96" w:rsidRDefault="00211F96" w:rsidP="00211F96">
      <w:pPr>
        <w:jc w:val="both"/>
      </w:pPr>
      <w:r>
        <w:t xml:space="preserve">Valsts sekretāra </w:t>
      </w:r>
    </w:p>
    <w:p w:rsidR="00211F96" w:rsidRDefault="00211F96" w:rsidP="00211F96">
      <w:pPr>
        <w:jc w:val="both"/>
      </w:pPr>
      <w:r>
        <w:t xml:space="preserve">pienākumu izpildītājs, </w:t>
      </w:r>
    </w:p>
    <w:p w:rsidR="00211F96" w:rsidRDefault="00211F96" w:rsidP="00211F96">
      <w:pPr>
        <w:jc w:val="both"/>
      </w:pPr>
      <w:r>
        <w:t>valsts sekretāra vietnieks</w:t>
      </w:r>
      <w:r>
        <w:tab/>
      </w:r>
      <w:r>
        <w:tab/>
      </w:r>
      <w:r>
        <w:tab/>
      </w:r>
      <w:r>
        <w:tab/>
      </w:r>
      <w:r>
        <w:tab/>
      </w:r>
      <w:r>
        <w:tab/>
      </w:r>
      <w:proofErr w:type="spellStart"/>
      <w:r>
        <w:t>J.Spiridonovs</w:t>
      </w:r>
      <w:proofErr w:type="spellEnd"/>
    </w:p>
    <w:p w:rsidR="00211F96" w:rsidRDefault="00211F96" w:rsidP="00211F96">
      <w:pPr>
        <w:jc w:val="both"/>
      </w:pPr>
    </w:p>
    <w:p w:rsidR="00211F96" w:rsidRDefault="00211F96" w:rsidP="00211F96">
      <w:pPr>
        <w:jc w:val="both"/>
      </w:pPr>
    </w:p>
    <w:p w:rsidR="00211F96" w:rsidRDefault="00A25C75" w:rsidP="00211F96">
      <w:pPr>
        <w:jc w:val="both"/>
        <w:rPr>
          <w:sz w:val="20"/>
          <w:szCs w:val="20"/>
        </w:rPr>
      </w:pPr>
      <w:r>
        <w:rPr>
          <w:sz w:val="20"/>
          <w:szCs w:val="20"/>
        </w:rPr>
        <w:t>27.04.2015 10:20</w:t>
      </w:r>
      <w:bookmarkStart w:id="15" w:name="_GoBack"/>
      <w:bookmarkEnd w:id="15"/>
    </w:p>
    <w:p w:rsidR="00211F96" w:rsidRDefault="00211F96" w:rsidP="00211F96">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832451">
        <w:rPr>
          <w:noProof/>
          <w:sz w:val="20"/>
          <w:szCs w:val="20"/>
        </w:rPr>
        <w:t>2185</w:t>
      </w:r>
      <w:r>
        <w:rPr>
          <w:sz w:val="20"/>
          <w:szCs w:val="20"/>
        </w:rPr>
        <w:fldChar w:fldCharType="end"/>
      </w:r>
    </w:p>
    <w:p w:rsidR="00211F96" w:rsidRDefault="00211F96" w:rsidP="00211F96">
      <w:pPr>
        <w:jc w:val="both"/>
        <w:rPr>
          <w:sz w:val="20"/>
          <w:szCs w:val="20"/>
        </w:rPr>
      </w:pPr>
      <w:r>
        <w:rPr>
          <w:sz w:val="20"/>
          <w:szCs w:val="20"/>
        </w:rPr>
        <w:t>A.Jansons</w:t>
      </w:r>
    </w:p>
    <w:p w:rsidR="00211F96" w:rsidRDefault="00211F96" w:rsidP="00211F96">
      <w:pPr>
        <w:jc w:val="both"/>
        <w:rPr>
          <w:sz w:val="20"/>
          <w:szCs w:val="20"/>
        </w:rPr>
      </w:pPr>
      <w:r>
        <w:rPr>
          <w:sz w:val="20"/>
          <w:szCs w:val="20"/>
        </w:rPr>
        <w:t>Tel.: 67013062</w:t>
      </w:r>
    </w:p>
    <w:p w:rsidR="00211F96" w:rsidRDefault="00211F96" w:rsidP="00211F96">
      <w:pPr>
        <w:jc w:val="both"/>
        <w:rPr>
          <w:sz w:val="20"/>
          <w:szCs w:val="20"/>
        </w:rPr>
      </w:pPr>
      <w:r>
        <w:rPr>
          <w:sz w:val="20"/>
          <w:szCs w:val="20"/>
        </w:rPr>
        <w:t xml:space="preserve">e-pasts: </w:t>
      </w:r>
      <w:hyperlink r:id="rId9" w:history="1">
        <w:r>
          <w:rPr>
            <w:rStyle w:val="Hyperlink"/>
            <w:sz w:val="20"/>
            <w:szCs w:val="20"/>
          </w:rPr>
          <w:t>Austris.Jansons@em.gov.lv</w:t>
        </w:r>
      </w:hyperlink>
    </w:p>
    <w:p w:rsidR="00943A75" w:rsidRPr="001B4DB4" w:rsidRDefault="00943A75" w:rsidP="001B4DB4">
      <w:pPr>
        <w:spacing w:before="120"/>
        <w:jc w:val="both"/>
      </w:pPr>
    </w:p>
    <w:sectPr w:rsidR="00943A75" w:rsidRPr="001B4DB4" w:rsidSect="000A525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1C" w:rsidRDefault="0079621C" w:rsidP="005306E1">
      <w:r>
        <w:separator/>
      </w:r>
    </w:p>
  </w:endnote>
  <w:endnote w:type="continuationSeparator" w:id="0">
    <w:p w:rsidR="0079621C" w:rsidRDefault="0079621C" w:rsidP="005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73" w:rsidRDefault="00547373">
    <w:pPr>
      <w:pStyle w:val="Footer"/>
      <w:jc w:val="center"/>
    </w:pPr>
  </w:p>
  <w:p w:rsidR="00677943" w:rsidRPr="00677943" w:rsidRDefault="005D070A" w:rsidP="00677943">
    <w:pPr>
      <w:pStyle w:val="Footer"/>
      <w:jc w:val="both"/>
      <w:rPr>
        <w:sz w:val="20"/>
        <w:szCs w:val="20"/>
      </w:rPr>
    </w:pPr>
    <w:r>
      <w:rPr>
        <w:sz w:val="20"/>
        <w:szCs w:val="20"/>
      </w:rPr>
      <w:t>EMnot</w:t>
    </w:r>
    <w:r w:rsidR="00F16EEA">
      <w:rPr>
        <w:sz w:val="20"/>
        <w:szCs w:val="20"/>
      </w:rPr>
      <w:t>_27042015</w:t>
    </w:r>
    <w:r>
      <w:rPr>
        <w:sz w:val="20"/>
        <w:szCs w:val="20"/>
      </w:rPr>
      <w:t xml:space="preserve">_SAM3211; </w:t>
    </w:r>
    <w:r w:rsidRPr="005D070A">
      <w:rPr>
        <w:sz w:val="20"/>
        <w:szCs w:val="20"/>
      </w:rPr>
      <w:t>Darbības programmas „Izaugsme un nodarbinātība” 3.2.1. specifiskā atbalsta mērķa „Palielināt augstas pievienotās vērtības produktu un pakalpojumu eksporta proporciju” 3.2.1.1. pasākuma “Ārējo tirgu apgūšana-ārējais mārketings”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51" w:rsidRDefault="00832451" w:rsidP="00832451">
    <w:pPr>
      <w:pStyle w:val="Footer"/>
      <w:jc w:val="both"/>
    </w:pPr>
    <w:r>
      <w:rPr>
        <w:sz w:val="20"/>
        <w:szCs w:val="20"/>
      </w:rPr>
      <w:t>EMnot</w:t>
    </w:r>
    <w:r w:rsidR="00F16EEA">
      <w:rPr>
        <w:sz w:val="20"/>
        <w:szCs w:val="20"/>
      </w:rPr>
      <w:t>_27042015</w:t>
    </w:r>
    <w:r>
      <w:rPr>
        <w:sz w:val="20"/>
        <w:szCs w:val="20"/>
      </w:rPr>
      <w:t xml:space="preserve">_SAM3211; </w:t>
    </w:r>
    <w:r w:rsidRPr="005D070A">
      <w:rPr>
        <w:sz w:val="20"/>
        <w:szCs w:val="20"/>
      </w:rPr>
      <w:t>Darbības programmas „Izaugsme un nodarbinātība” 3.2.1. specifiskā atbalsta mērķa „Palielināt augstas pievienotās vērtības produktu un pakalpojumu eksporta proporciju” 3.2.1.1. pasākuma “Ārējo tirgu apgūšana-ārējais mārketings”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1C" w:rsidRDefault="0079621C" w:rsidP="005306E1">
      <w:r>
        <w:separator/>
      </w:r>
    </w:p>
  </w:footnote>
  <w:footnote w:type="continuationSeparator" w:id="0">
    <w:p w:rsidR="0079621C" w:rsidRDefault="0079621C" w:rsidP="0053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5303"/>
      <w:docPartObj>
        <w:docPartGallery w:val="Page Numbers (Top of Page)"/>
        <w:docPartUnique/>
      </w:docPartObj>
    </w:sdtPr>
    <w:sdtEndPr>
      <w:rPr>
        <w:noProof/>
      </w:rPr>
    </w:sdtEndPr>
    <w:sdtContent>
      <w:p w:rsidR="005D070A" w:rsidRDefault="005D070A">
        <w:pPr>
          <w:pStyle w:val="Header"/>
          <w:jc w:val="center"/>
        </w:pPr>
        <w:r>
          <w:fldChar w:fldCharType="begin"/>
        </w:r>
        <w:r>
          <w:instrText xml:space="preserve"> PAGE   \* MERGEFORMAT </w:instrText>
        </w:r>
        <w:r>
          <w:fldChar w:fldCharType="separate"/>
        </w:r>
        <w:r w:rsidR="00A25C75">
          <w:rPr>
            <w:noProof/>
          </w:rPr>
          <w:t>6</w:t>
        </w:r>
        <w:r>
          <w:rPr>
            <w:noProof/>
          </w:rPr>
          <w:fldChar w:fldCharType="end"/>
        </w:r>
      </w:p>
    </w:sdtContent>
  </w:sdt>
  <w:p w:rsidR="005306E1" w:rsidRPr="005306E1" w:rsidRDefault="005306E1" w:rsidP="005306E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383"/>
    <w:multiLevelType w:val="multilevel"/>
    <w:tmpl w:val="5A909E1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E511C5"/>
    <w:multiLevelType w:val="multilevel"/>
    <w:tmpl w:val="5A909E1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01304C"/>
    <w:multiLevelType w:val="multilevel"/>
    <w:tmpl w:val="5A909E1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A911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BE45B0F"/>
    <w:multiLevelType w:val="multilevel"/>
    <w:tmpl w:val="5A909E1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8E652A6"/>
    <w:multiLevelType w:val="multilevel"/>
    <w:tmpl w:val="5A909E1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E4C02A1"/>
    <w:multiLevelType w:val="hybridMultilevel"/>
    <w:tmpl w:val="2370C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E1"/>
    <w:rsid w:val="000421E2"/>
    <w:rsid w:val="000453CA"/>
    <w:rsid w:val="00073375"/>
    <w:rsid w:val="000A5253"/>
    <w:rsid w:val="000C21CD"/>
    <w:rsid w:val="001101F9"/>
    <w:rsid w:val="00165616"/>
    <w:rsid w:val="001A1E2F"/>
    <w:rsid w:val="001B33BE"/>
    <w:rsid w:val="001B484F"/>
    <w:rsid w:val="001B4DB4"/>
    <w:rsid w:val="001C155B"/>
    <w:rsid w:val="001E1219"/>
    <w:rsid w:val="001E7CCE"/>
    <w:rsid w:val="002049F7"/>
    <w:rsid w:val="00211943"/>
    <w:rsid w:val="00211F96"/>
    <w:rsid w:val="002248B1"/>
    <w:rsid w:val="00252CF2"/>
    <w:rsid w:val="00267880"/>
    <w:rsid w:val="00287713"/>
    <w:rsid w:val="002C361F"/>
    <w:rsid w:val="002F3D45"/>
    <w:rsid w:val="002F756C"/>
    <w:rsid w:val="003041D2"/>
    <w:rsid w:val="0032418E"/>
    <w:rsid w:val="003730D1"/>
    <w:rsid w:val="003759F9"/>
    <w:rsid w:val="003B6EFF"/>
    <w:rsid w:val="003C71CB"/>
    <w:rsid w:val="003D1C62"/>
    <w:rsid w:val="00417684"/>
    <w:rsid w:val="00450058"/>
    <w:rsid w:val="00454EA6"/>
    <w:rsid w:val="00474396"/>
    <w:rsid w:val="00475E91"/>
    <w:rsid w:val="00476B51"/>
    <w:rsid w:val="00522E87"/>
    <w:rsid w:val="005306E1"/>
    <w:rsid w:val="005472E9"/>
    <w:rsid w:val="00547373"/>
    <w:rsid w:val="005C1170"/>
    <w:rsid w:val="005D070A"/>
    <w:rsid w:val="005E1B1C"/>
    <w:rsid w:val="0061593F"/>
    <w:rsid w:val="00621986"/>
    <w:rsid w:val="006455D7"/>
    <w:rsid w:val="006515BA"/>
    <w:rsid w:val="00677943"/>
    <w:rsid w:val="006824B2"/>
    <w:rsid w:val="00694E9E"/>
    <w:rsid w:val="006A0E94"/>
    <w:rsid w:val="006B48D8"/>
    <w:rsid w:val="006C0EE2"/>
    <w:rsid w:val="006D2BF0"/>
    <w:rsid w:val="006D7732"/>
    <w:rsid w:val="00710091"/>
    <w:rsid w:val="007449EC"/>
    <w:rsid w:val="0079621C"/>
    <w:rsid w:val="0079760D"/>
    <w:rsid w:val="007C12AE"/>
    <w:rsid w:val="007E25D5"/>
    <w:rsid w:val="007F35EC"/>
    <w:rsid w:val="00832451"/>
    <w:rsid w:val="008407A8"/>
    <w:rsid w:val="00886B05"/>
    <w:rsid w:val="008E59C2"/>
    <w:rsid w:val="0090634E"/>
    <w:rsid w:val="00943A75"/>
    <w:rsid w:val="00957103"/>
    <w:rsid w:val="00963575"/>
    <w:rsid w:val="009D056C"/>
    <w:rsid w:val="00A0793A"/>
    <w:rsid w:val="00A20019"/>
    <w:rsid w:val="00A21E0C"/>
    <w:rsid w:val="00A25C75"/>
    <w:rsid w:val="00A73558"/>
    <w:rsid w:val="00AA113E"/>
    <w:rsid w:val="00B44B0D"/>
    <w:rsid w:val="00B51613"/>
    <w:rsid w:val="00B909DB"/>
    <w:rsid w:val="00BA4038"/>
    <w:rsid w:val="00BD1492"/>
    <w:rsid w:val="00BE1F37"/>
    <w:rsid w:val="00BF1C0B"/>
    <w:rsid w:val="00BF4AEC"/>
    <w:rsid w:val="00C02D54"/>
    <w:rsid w:val="00C13D5B"/>
    <w:rsid w:val="00C24888"/>
    <w:rsid w:val="00C27285"/>
    <w:rsid w:val="00C306AB"/>
    <w:rsid w:val="00C379F0"/>
    <w:rsid w:val="00C4202B"/>
    <w:rsid w:val="00C532B0"/>
    <w:rsid w:val="00C61570"/>
    <w:rsid w:val="00C87D49"/>
    <w:rsid w:val="00C96C03"/>
    <w:rsid w:val="00CA3B4B"/>
    <w:rsid w:val="00D1252C"/>
    <w:rsid w:val="00D43A91"/>
    <w:rsid w:val="00D52AAC"/>
    <w:rsid w:val="00D77082"/>
    <w:rsid w:val="00DD4736"/>
    <w:rsid w:val="00DF6C67"/>
    <w:rsid w:val="00E15182"/>
    <w:rsid w:val="00E22D74"/>
    <w:rsid w:val="00E361EA"/>
    <w:rsid w:val="00E55F35"/>
    <w:rsid w:val="00E66F50"/>
    <w:rsid w:val="00E74DEC"/>
    <w:rsid w:val="00E77CE7"/>
    <w:rsid w:val="00EC38D9"/>
    <w:rsid w:val="00EC74CC"/>
    <w:rsid w:val="00EF29D5"/>
    <w:rsid w:val="00F06D41"/>
    <w:rsid w:val="00F16EEA"/>
    <w:rsid w:val="00F319E2"/>
    <w:rsid w:val="00F7062D"/>
    <w:rsid w:val="00FF7D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E1"/>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306E1"/>
    <w:pPr>
      <w:spacing w:before="68" w:after="68"/>
      <w:jc w:val="right"/>
    </w:pPr>
  </w:style>
  <w:style w:type="paragraph" w:styleId="ListParagraph">
    <w:name w:val="List Paragraph"/>
    <w:basedOn w:val="Normal"/>
    <w:link w:val="ListParagraphChar"/>
    <w:uiPriority w:val="34"/>
    <w:qFormat/>
    <w:rsid w:val="005306E1"/>
    <w:pPr>
      <w:ind w:left="720"/>
      <w:contextualSpacing/>
    </w:pPr>
    <w:rPr>
      <w:rFonts w:eastAsia="Times New Roman"/>
    </w:rPr>
  </w:style>
  <w:style w:type="character" w:customStyle="1" w:styleId="ListParagraphChar">
    <w:name w:val="List Paragraph Char"/>
    <w:link w:val="ListParagraph"/>
    <w:uiPriority w:val="34"/>
    <w:locked/>
    <w:rsid w:val="005306E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306E1"/>
    <w:pPr>
      <w:tabs>
        <w:tab w:val="center" w:pos="4153"/>
        <w:tab w:val="right" w:pos="8306"/>
      </w:tabs>
    </w:pPr>
  </w:style>
  <w:style w:type="character" w:customStyle="1" w:styleId="HeaderChar">
    <w:name w:val="Header Char"/>
    <w:basedOn w:val="DefaultParagraphFont"/>
    <w:link w:val="Header"/>
    <w:uiPriority w:val="99"/>
    <w:rsid w:val="005306E1"/>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5306E1"/>
    <w:pPr>
      <w:tabs>
        <w:tab w:val="center" w:pos="4153"/>
        <w:tab w:val="right" w:pos="8306"/>
      </w:tabs>
    </w:pPr>
  </w:style>
  <w:style w:type="character" w:customStyle="1" w:styleId="FooterChar">
    <w:name w:val="Footer Char"/>
    <w:basedOn w:val="DefaultParagraphFont"/>
    <w:link w:val="Footer"/>
    <w:uiPriority w:val="99"/>
    <w:rsid w:val="005306E1"/>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C4202B"/>
    <w:rPr>
      <w:sz w:val="16"/>
      <w:szCs w:val="16"/>
    </w:rPr>
  </w:style>
  <w:style w:type="paragraph" w:styleId="CommentText">
    <w:name w:val="annotation text"/>
    <w:basedOn w:val="Normal"/>
    <w:link w:val="CommentTextChar"/>
    <w:uiPriority w:val="99"/>
    <w:semiHidden/>
    <w:unhideWhenUsed/>
    <w:rsid w:val="00C4202B"/>
    <w:rPr>
      <w:sz w:val="20"/>
      <w:szCs w:val="20"/>
    </w:rPr>
  </w:style>
  <w:style w:type="character" w:customStyle="1" w:styleId="CommentTextChar">
    <w:name w:val="Comment Text Char"/>
    <w:basedOn w:val="DefaultParagraphFont"/>
    <w:link w:val="CommentText"/>
    <w:uiPriority w:val="99"/>
    <w:semiHidden/>
    <w:rsid w:val="00C4202B"/>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4202B"/>
    <w:rPr>
      <w:b/>
      <w:bCs/>
    </w:rPr>
  </w:style>
  <w:style w:type="character" w:customStyle="1" w:styleId="CommentSubjectChar">
    <w:name w:val="Comment Subject Char"/>
    <w:basedOn w:val="CommentTextChar"/>
    <w:link w:val="CommentSubject"/>
    <w:uiPriority w:val="99"/>
    <w:semiHidden/>
    <w:rsid w:val="00C4202B"/>
    <w:rPr>
      <w:rFonts w:ascii="Times New Roman" w:eastAsia="Calibri" w:hAnsi="Times New Roman" w:cs="Times New Roman"/>
      <w:b/>
      <w:bCs/>
      <w:sz w:val="20"/>
      <w:szCs w:val="20"/>
      <w:lang w:eastAsia="lv-LV"/>
    </w:rPr>
  </w:style>
  <w:style w:type="paragraph" w:styleId="BalloonText">
    <w:name w:val="Balloon Text"/>
    <w:basedOn w:val="Normal"/>
    <w:link w:val="BalloonTextChar"/>
    <w:uiPriority w:val="99"/>
    <w:semiHidden/>
    <w:unhideWhenUsed/>
    <w:rsid w:val="00C4202B"/>
    <w:rPr>
      <w:rFonts w:ascii="Tahoma" w:hAnsi="Tahoma" w:cs="Tahoma"/>
      <w:sz w:val="16"/>
      <w:szCs w:val="16"/>
    </w:rPr>
  </w:style>
  <w:style w:type="character" w:customStyle="1" w:styleId="BalloonTextChar">
    <w:name w:val="Balloon Text Char"/>
    <w:basedOn w:val="DefaultParagraphFont"/>
    <w:link w:val="BalloonText"/>
    <w:uiPriority w:val="99"/>
    <w:semiHidden/>
    <w:rsid w:val="00C4202B"/>
    <w:rPr>
      <w:rFonts w:ascii="Tahoma" w:eastAsia="Calibri" w:hAnsi="Tahoma" w:cs="Tahoma"/>
      <w:sz w:val="16"/>
      <w:szCs w:val="16"/>
      <w:lang w:eastAsia="lv-LV"/>
    </w:rPr>
  </w:style>
  <w:style w:type="paragraph" w:customStyle="1" w:styleId="labojumupamats">
    <w:name w:val="labojumu_pamats"/>
    <w:basedOn w:val="Normal"/>
    <w:rsid w:val="001B4DB4"/>
    <w:pPr>
      <w:spacing w:before="100" w:beforeAutospacing="1" w:after="100" w:afterAutospacing="1"/>
    </w:pPr>
    <w:rPr>
      <w:rFonts w:eastAsia="Times New Roman"/>
    </w:rPr>
  </w:style>
  <w:style w:type="character" w:customStyle="1" w:styleId="apple-converted-space">
    <w:name w:val="apple-converted-space"/>
    <w:basedOn w:val="DefaultParagraphFont"/>
    <w:rsid w:val="001B4DB4"/>
  </w:style>
  <w:style w:type="character" w:styleId="Hyperlink">
    <w:name w:val="Hyperlink"/>
    <w:basedOn w:val="DefaultParagraphFont"/>
    <w:uiPriority w:val="99"/>
    <w:semiHidden/>
    <w:unhideWhenUsed/>
    <w:rsid w:val="001B4DB4"/>
    <w:rPr>
      <w:color w:val="0000FF"/>
      <w:u w:val="single"/>
    </w:rPr>
  </w:style>
  <w:style w:type="paragraph" w:customStyle="1" w:styleId="tvhtml">
    <w:name w:val="tv_html"/>
    <w:basedOn w:val="Normal"/>
    <w:rsid w:val="001B4DB4"/>
    <w:pPr>
      <w:spacing w:before="100" w:beforeAutospacing="1" w:after="100" w:afterAutospacing="1"/>
    </w:pPr>
    <w:rPr>
      <w:rFonts w:eastAsia="Times New Roman"/>
    </w:rPr>
  </w:style>
  <w:style w:type="character" w:customStyle="1" w:styleId="tvhtml1">
    <w:name w:val="tv_html1"/>
    <w:basedOn w:val="DefaultParagraphFont"/>
    <w:rsid w:val="001B4DB4"/>
  </w:style>
  <w:style w:type="paragraph" w:styleId="FootnoteText">
    <w:name w:val="footnote text"/>
    <w:basedOn w:val="Normal"/>
    <w:link w:val="FootnoteTextChar"/>
    <w:uiPriority w:val="99"/>
    <w:semiHidden/>
    <w:unhideWhenUsed/>
    <w:rsid w:val="005C1170"/>
    <w:rPr>
      <w:sz w:val="20"/>
      <w:szCs w:val="20"/>
    </w:rPr>
  </w:style>
  <w:style w:type="character" w:customStyle="1" w:styleId="FootnoteTextChar">
    <w:name w:val="Footnote Text Char"/>
    <w:basedOn w:val="DefaultParagraphFont"/>
    <w:link w:val="FootnoteText"/>
    <w:uiPriority w:val="99"/>
    <w:semiHidden/>
    <w:rsid w:val="005C1170"/>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5C11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E1"/>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306E1"/>
    <w:pPr>
      <w:spacing w:before="68" w:after="68"/>
      <w:jc w:val="right"/>
    </w:pPr>
  </w:style>
  <w:style w:type="paragraph" w:styleId="ListParagraph">
    <w:name w:val="List Paragraph"/>
    <w:basedOn w:val="Normal"/>
    <w:link w:val="ListParagraphChar"/>
    <w:uiPriority w:val="34"/>
    <w:qFormat/>
    <w:rsid w:val="005306E1"/>
    <w:pPr>
      <w:ind w:left="720"/>
      <w:contextualSpacing/>
    </w:pPr>
    <w:rPr>
      <w:rFonts w:eastAsia="Times New Roman"/>
    </w:rPr>
  </w:style>
  <w:style w:type="character" w:customStyle="1" w:styleId="ListParagraphChar">
    <w:name w:val="List Paragraph Char"/>
    <w:link w:val="ListParagraph"/>
    <w:uiPriority w:val="34"/>
    <w:locked/>
    <w:rsid w:val="005306E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306E1"/>
    <w:pPr>
      <w:tabs>
        <w:tab w:val="center" w:pos="4153"/>
        <w:tab w:val="right" w:pos="8306"/>
      </w:tabs>
    </w:pPr>
  </w:style>
  <w:style w:type="character" w:customStyle="1" w:styleId="HeaderChar">
    <w:name w:val="Header Char"/>
    <w:basedOn w:val="DefaultParagraphFont"/>
    <w:link w:val="Header"/>
    <w:uiPriority w:val="99"/>
    <w:rsid w:val="005306E1"/>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5306E1"/>
    <w:pPr>
      <w:tabs>
        <w:tab w:val="center" w:pos="4153"/>
        <w:tab w:val="right" w:pos="8306"/>
      </w:tabs>
    </w:pPr>
  </w:style>
  <w:style w:type="character" w:customStyle="1" w:styleId="FooterChar">
    <w:name w:val="Footer Char"/>
    <w:basedOn w:val="DefaultParagraphFont"/>
    <w:link w:val="Footer"/>
    <w:uiPriority w:val="99"/>
    <w:rsid w:val="005306E1"/>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C4202B"/>
    <w:rPr>
      <w:sz w:val="16"/>
      <w:szCs w:val="16"/>
    </w:rPr>
  </w:style>
  <w:style w:type="paragraph" w:styleId="CommentText">
    <w:name w:val="annotation text"/>
    <w:basedOn w:val="Normal"/>
    <w:link w:val="CommentTextChar"/>
    <w:uiPriority w:val="99"/>
    <w:semiHidden/>
    <w:unhideWhenUsed/>
    <w:rsid w:val="00C4202B"/>
    <w:rPr>
      <w:sz w:val="20"/>
      <w:szCs w:val="20"/>
    </w:rPr>
  </w:style>
  <w:style w:type="character" w:customStyle="1" w:styleId="CommentTextChar">
    <w:name w:val="Comment Text Char"/>
    <w:basedOn w:val="DefaultParagraphFont"/>
    <w:link w:val="CommentText"/>
    <w:uiPriority w:val="99"/>
    <w:semiHidden/>
    <w:rsid w:val="00C4202B"/>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4202B"/>
    <w:rPr>
      <w:b/>
      <w:bCs/>
    </w:rPr>
  </w:style>
  <w:style w:type="character" w:customStyle="1" w:styleId="CommentSubjectChar">
    <w:name w:val="Comment Subject Char"/>
    <w:basedOn w:val="CommentTextChar"/>
    <w:link w:val="CommentSubject"/>
    <w:uiPriority w:val="99"/>
    <w:semiHidden/>
    <w:rsid w:val="00C4202B"/>
    <w:rPr>
      <w:rFonts w:ascii="Times New Roman" w:eastAsia="Calibri" w:hAnsi="Times New Roman" w:cs="Times New Roman"/>
      <w:b/>
      <w:bCs/>
      <w:sz w:val="20"/>
      <w:szCs w:val="20"/>
      <w:lang w:eastAsia="lv-LV"/>
    </w:rPr>
  </w:style>
  <w:style w:type="paragraph" w:styleId="BalloonText">
    <w:name w:val="Balloon Text"/>
    <w:basedOn w:val="Normal"/>
    <w:link w:val="BalloonTextChar"/>
    <w:uiPriority w:val="99"/>
    <w:semiHidden/>
    <w:unhideWhenUsed/>
    <w:rsid w:val="00C4202B"/>
    <w:rPr>
      <w:rFonts w:ascii="Tahoma" w:hAnsi="Tahoma" w:cs="Tahoma"/>
      <w:sz w:val="16"/>
      <w:szCs w:val="16"/>
    </w:rPr>
  </w:style>
  <w:style w:type="character" w:customStyle="1" w:styleId="BalloonTextChar">
    <w:name w:val="Balloon Text Char"/>
    <w:basedOn w:val="DefaultParagraphFont"/>
    <w:link w:val="BalloonText"/>
    <w:uiPriority w:val="99"/>
    <w:semiHidden/>
    <w:rsid w:val="00C4202B"/>
    <w:rPr>
      <w:rFonts w:ascii="Tahoma" w:eastAsia="Calibri" w:hAnsi="Tahoma" w:cs="Tahoma"/>
      <w:sz w:val="16"/>
      <w:szCs w:val="16"/>
      <w:lang w:eastAsia="lv-LV"/>
    </w:rPr>
  </w:style>
  <w:style w:type="paragraph" w:customStyle="1" w:styleId="labojumupamats">
    <w:name w:val="labojumu_pamats"/>
    <w:basedOn w:val="Normal"/>
    <w:rsid w:val="001B4DB4"/>
    <w:pPr>
      <w:spacing w:before="100" w:beforeAutospacing="1" w:after="100" w:afterAutospacing="1"/>
    </w:pPr>
    <w:rPr>
      <w:rFonts w:eastAsia="Times New Roman"/>
    </w:rPr>
  </w:style>
  <w:style w:type="character" w:customStyle="1" w:styleId="apple-converted-space">
    <w:name w:val="apple-converted-space"/>
    <w:basedOn w:val="DefaultParagraphFont"/>
    <w:rsid w:val="001B4DB4"/>
  </w:style>
  <w:style w:type="character" w:styleId="Hyperlink">
    <w:name w:val="Hyperlink"/>
    <w:basedOn w:val="DefaultParagraphFont"/>
    <w:uiPriority w:val="99"/>
    <w:semiHidden/>
    <w:unhideWhenUsed/>
    <w:rsid w:val="001B4DB4"/>
    <w:rPr>
      <w:color w:val="0000FF"/>
      <w:u w:val="single"/>
    </w:rPr>
  </w:style>
  <w:style w:type="paragraph" w:customStyle="1" w:styleId="tvhtml">
    <w:name w:val="tv_html"/>
    <w:basedOn w:val="Normal"/>
    <w:rsid w:val="001B4DB4"/>
    <w:pPr>
      <w:spacing w:before="100" w:beforeAutospacing="1" w:after="100" w:afterAutospacing="1"/>
    </w:pPr>
    <w:rPr>
      <w:rFonts w:eastAsia="Times New Roman"/>
    </w:rPr>
  </w:style>
  <w:style w:type="character" w:customStyle="1" w:styleId="tvhtml1">
    <w:name w:val="tv_html1"/>
    <w:basedOn w:val="DefaultParagraphFont"/>
    <w:rsid w:val="001B4DB4"/>
  </w:style>
  <w:style w:type="paragraph" w:styleId="FootnoteText">
    <w:name w:val="footnote text"/>
    <w:basedOn w:val="Normal"/>
    <w:link w:val="FootnoteTextChar"/>
    <w:uiPriority w:val="99"/>
    <w:semiHidden/>
    <w:unhideWhenUsed/>
    <w:rsid w:val="005C1170"/>
    <w:rPr>
      <w:sz w:val="20"/>
      <w:szCs w:val="20"/>
    </w:rPr>
  </w:style>
  <w:style w:type="character" w:customStyle="1" w:styleId="FootnoteTextChar">
    <w:name w:val="Footnote Text Char"/>
    <w:basedOn w:val="DefaultParagraphFont"/>
    <w:link w:val="FootnoteText"/>
    <w:uiPriority w:val="99"/>
    <w:semiHidden/>
    <w:rsid w:val="005C1170"/>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5C1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377">
      <w:bodyDiv w:val="1"/>
      <w:marLeft w:val="0"/>
      <w:marRight w:val="0"/>
      <w:marTop w:val="0"/>
      <w:marBottom w:val="0"/>
      <w:divBdr>
        <w:top w:val="none" w:sz="0" w:space="0" w:color="auto"/>
        <w:left w:val="none" w:sz="0" w:space="0" w:color="auto"/>
        <w:bottom w:val="none" w:sz="0" w:space="0" w:color="auto"/>
        <w:right w:val="none" w:sz="0" w:space="0" w:color="auto"/>
      </w:divBdr>
    </w:div>
    <w:div w:id="1136295775">
      <w:bodyDiv w:val="1"/>
      <w:marLeft w:val="0"/>
      <w:marRight w:val="0"/>
      <w:marTop w:val="0"/>
      <w:marBottom w:val="0"/>
      <w:divBdr>
        <w:top w:val="none" w:sz="0" w:space="0" w:color="auto"/>
        <w:left w:val="none" w:sz="0" w:space="0" w:color="auto"/>
        <w:bottom w:val="none" w:sz="0" w:space="0" w:color="auto"/>
        <w:right w:val="none" w:sz="0" w:space="0" w:color="auto"/>
      </w:divBdr>
      <w:divsChild>
        <w:div w:id="2021348941">
          <w:marLeft w:val="0"/>
          <w:marRight w:val="0"/>
          <w:marTop w:val="400"/>
          <w:marBottom w:val="0"/>
          <w:divBdr>
            <w:top w:val="none" w:sz="0" w:space="0" w:color="auto"/>
            <w:left w:val="none" w:sz="0" w:space="0" w:color="auto"/>
            <w:bottom w:val="none" w:sz="0" w:space="0" w:color="auto"/>
            <w:right w:val="none" w:sz="0" w:space="0" w:color="auto"/>
          </w:divBdr>
        </w:div>
        <w:div w:id="1487550309">
          <w:marLeft w:val="0"/>
          <w:marRight w:val="0"/>
          <w:marTop w:val="240"/>
          <w:marBottom w:val="0"/>
          <w:divBdr>
            <w:top w:val="none" w:sz="0" w:space="0" w:color="auto"/>
            <w:left w:val="none" w:sz="0" w:space="0" w:color="auto"/>
            <w:bottom w:val="none" w:sz="0" w:space="0" w:color="auto"/>
            <w:right w:val="none" w:sz="0" w:space="0" w:color="auto"/>
          </w:divBdr>
        </w:div>
      </w:divsChild>
    </w:div>
    <w:div w:id="1661886356">
      <w:bodyDiv w:val="1"/>
      <w:marLeft w:val="0"/>
      <w:marRight w:val="0"/>
      <w:marTop w:val="0"/>
      <w:marBottom w:val="0"/>
      <w:divBdr>
        <w:top w:val="none" w:sz="0" w:space="0" w:color="auto"/>
        <w:left w:val="none" w:sz="0" w:space="0" w:color="auto"/>
        <w:bottom w:val="none" w:sz="0" w:space="0" w:color="auto"/>
        <w:right w:val="none" w:sz="0" w:space="0" w:color="auto"/>
      </w:divBdr>
    </w:div>
    <w:div w:id="20853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stris.Janson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E855-6D83-4AEB-8EDB-485C7924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2226</Words>
  <Characters>16053</Characters>
  <Application>Microsoft Office Word</Application>
  <DocSecurity>0</DocSecurity>
  <Lines>281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Austris Jansons</dc:creator>
  <cp:lastModifiedBy>Austris Jansons</cp:lastModifiedBy>
  <cp:revision>6</cp:revision>
  <dcterms:created xsi:type="dcterms:W3CDTF">2015-04-27T07:12:00Z</dcterms:created>
  <dcterms:modified xsi:type="dcterms:W3CDTF">2015-04-27T07:20:00Z</dcterms:modified>
</cp:coreProperties>
</file>