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B1" w:rsidRDefault="00B46CB1" w:rsidP="00B46CB1">
      <w:pPr>
        <w:pStyle w:val="Heading1"/>
        <w:spacing w:before="0" w:after="0"/>
        <w:ind w:right="-4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1.pielikums </w:t>
      </w:r>
    </w:p>
    <w:p w:rsidR="00B46CB1" w:rsidRDefault="00B46CB1" w:rsidP="00B46CB1">
      <w:pPr>
        <w:pStyle w:val="Heading1"/>
        <w:spacing w:before="0" w:after="0"/>
        <w:ind w:right="-4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Ministru kabineta </w:t>
      </w:r>
    </w:p>
    <w:p w:rsidR="00B46CB1" w:rsidRDefault="00B46CB1" w:rsidP="00B46CB1">
      <w:pPr>
        <w:pStyle w:val="Heading1"/>
        <w:spacing w:before="0" w:after="0"/>
        <w:ind w:right="-4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201_.gada __._________</w:t>
      </w:r>
    </w:p>
    <w:p w:rsidR="00B46CB1" w:rsidRDefault="00B46CB1" w:rsidP="00B46CB1">
      <w:pPr>
        <w:pStyle w:val="Heading1"/>
        <w:spacing w:before="0" w:after="0"/>
        <w:ind w:right="-4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noteikumiem Nr.______</w:t>
      </w:r>
    </w:p>
    <w:p w:rsidR="000423BF" w:rsidRDefault="000423BF" w:rsidP="00B46CB1">
      <w:pPr>
        <w:shd w:val="clear" w:color="auto" w:fill="FFFFFF"/>
        <w:spacing w:before="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Nozares, kurām nav paredzēts atbalsts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Neatbalstāmo nozaru ierobežojumi ir attiecināmi uz komercsabiedrību ražotajiem produktiem vai pakalpojumiem, kurus komercsabiedrības piedāvā tirgū, izņemot gadījumus, ja specifiski norādīts citādi.</w:t>
      </w:r>
    </w:p>
    <w:p w:rsidR="000423BF" w:rsidRDefault="000423BF" w:rsidP="00B46CB1">
      <w:pPr>
        <w:shd w:val="clear" w:color="auto" w:fill="FFFFFF"/>
        <w:spacing w:before="60"/>
        <w:ind w:firstLine="3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I. Lauksaimniecības produktu ražošanas nozare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Ierobežojums attiecas uz Līguma par Eiropas Savienības darbību I pielikumā minēto lauksaimniecības produktu primāro ražošanu.</w:t>
      </w:r>
    </w:p>
    <w:p w:rsidR="000423BF" w:rsidRDefault="000423BF" w:rsidP="00B46CB1">
      <w:pPr>
        <w:shd w:val="clear" w:color="auto" w:fill="FFFFFF"/>
        <w:spacing w:before="60"/>
        <w:ind w:firstLine="3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II. Zivsaimniecības un akvakultūras nozare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Zivsaimniecība un akvakultūra, uz ko attiecas Padomes 1999.gada 17.decembra Regula (EK) Nr. </w:t>
      </w:r>
      <w:hyperlink r:id="rId7" w:tgtFrame="_blank" w:history="1">
        <w:r>
          <w:rPr>
            <w:rStyle w:val="Hyperlink"/>
            <w:rFonts w:eastAsia="Times New Roman"/>
            <w:color w:val="auto"/>
            <w:u w:val="none"/>
          </w:rPr>
          <w:t>104/2000</w:t>
        </w:r>
      </w:hyperlink>
      <w:r>
        <w:rPr>
          <w:rFonts w:eastAsia="Times New Roman"/>
        </w:rPr>
        <w:t> par zivsaimniecības un akvakultūras produktu tirgu kopīgo organizāciju.</w:t>
      </w:r>
    </w:p>
    <w:p w:rsidR="000423BF" w:rsidRDefault="000423BF" w:rsidP="00B46CB1">
      <w:pPr>
        <w:shd w:val="clear" w:color="auto" w:fill="FFFFFF"/>
        <w:spacing w:before="60"/>
        <w:ind w:firstLine="3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III. Ogļu rūpniecības nozare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Ogļu rūpniecība, uz ko attiecas Komisijas 2014. gada 17. jūnija Regulas (ES) Nr. </w:t>
      </w:r>
      <w:hyperlink r:id="rId8" w:tgtFrame="_blank" w:history="1">
        <w:r>
          <w:rPr>
            <w:rStyle w:val="Hyperlink"/>
            <w:rFonts w:eastAsia="Times New Roman"/>
            <w:color w:val="auto"/>
            <w:u w:val="none"/>
          </w:rPr>
          <w:t>651/2014</w:t>
        </w:r>
      </w:hyperlink>
      <w:r>
        <w:rPr>
          <w:rFonts w:eastAsia="Times New Roman"/>
        </w:rPr>
        <w:t>, ar ko noteiktas atbalsta kategorijas atzīst par saderīgām ar iekšējo tirgu, piemērojot Līguma 107. un 108. pantu (Eiropas Savienības Oficiālais Vēstnesis, 2014. gada 26. jūnijs, Nr. L 187), 2. panta 13. punkts.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 xml:space="preserve">Ogļu rūpniecības nozare ietilpst NACE 2. </w:t>
      </w:r>
      <w:proofErr w:type="spellStart"/>
      <w:r>
        <w:rPr>
          <w:rFonts w:eastAsia="Times New Roman"/>
        </w:rPr>
        <w:t>red</w:t>
      </w:r>
      <w:proofErr w:type="spellEnd"/>
      <w:r>
        <w:rPr>
          <w:rFonts w:eastAsia="Times New Roman"/>
        </w:rPr>
        <w:t>. 05. nodaļā "Ogļu un brūnogļu (</w:t>
      </w:r>
      <w:proofErr w:type="spellStart"/>
      <w:r>
        <w:rPr>
          <w:rFonts w:eastAsia="Times New Roman"/>
        </w:rPr>
        <w:t>lignīta</w:t>
      </w:r>
      <w:proofErr w:type="spellEnd"/>
      <w:r>
        <w:rPr>
          <w:rFonts w:eastAsia="Times New Roman"/>
        </w:rPr>
        <w:t>) ieguve".</w:t>
      </w:r>
    </w:p>
    <w:p w:rsidR="000423BF" w:rsidRDefault="000423BF" w:rsidP="00B46CB1">
      <w:pPr>
        <w:shd w:val="clear" w:color="auto" w:fill="FFFFFF"/>
        <w:spacing w:before="60"/>
        <w:ind w:firstLine="3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IV. Tabakas izstrādājumu ražošanas nozare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Saskaņā ar NACE 2.red. 12.nodaļu “Tabakas izstrādājumu ražošana”.</w:t>
      </w:r>
    </w:p>
    <w:p w:rsidR="000423BF" w:rsidRDefault="000423BF" w:rsidP="00B46CB1">
      <w:pPr>
        <w:shd w:val="clear" w:color="auto" w:fill="FFFFFF"/>
        <w:spacing w:before="60"/>
        <w:ind w:firstLine="3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V. Tirdzniecības nozare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Saskaņā ar NACE 2.red. G sadaļu “Vairumtirdzniecība un mazumtirdzniecība; automobiļu un motociklu remonts”, izņemot grupu 45.2 “Automobiļu apkope un remonts”.</w:t>
      </w:r>
    </w:p>
    <w:p w:rsidR="000423BF" w:rsidRDefault="000423BF" w:rsidP="00B46CB1">
      <w:pPr>
        <w:shd w:val="clear" w:color="auto" w:fill="FFFFFF"/>
        <w:spacing w:before="60"/>
        <w:ind w:firstLine="3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VI. Finanšu starpniecības nozare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Saskaņā ar NACE 2.red. K sadaļu “Finanšu un apdrošināšanas darbības”.</w:t>
      </w:r>
    </w:p>
    <w:p w:rsidR="000423BF" w:rsidRDefault="000423BF" w:rsidP="00B46CB1">
      <w:pPr>
        <w:shd w:val="clear" w:color="auto" w:fill="FFFFFF"/>
        <w:spacing w:before="60"/>
        <w:ind w:firstLine="3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VII. Komercpakalpojumu nozare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Saskaņā ar NACE 2.red. L sadaļu “Operācijas ar nekustamo īpašumu” un 77.nodaļu “Iznomāšana un ekspluatācijas līzings”.</w:t>
      </w:r>
    </w:p>
    <w:p w:rsidR="000423BF" w:rsidRDefault="000423BF" w:rsidP="00B46CB1">
      <w:pPr>
        <w:shd w:val="clear" w:color="auto" w:fill="FFFFFF"/>
        <w:spacing w:before="60"/>
        <w:ind w:firstLine="30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VIII. Azartspēļu nozare</w:t>
      </w:r>
    </w:p>
    <w:p w:rsidR="000423BF" w:rsidRDefault="000423BF" w:rsidP="00B46CB1">
      <w:pPr>
        <w:shd w:val="clear" w:color="auto" w:fill="FFFFFF"/>
        <w:spacing w:before="60"/>
        <w:ind w:firstLine="300"/>
        <w:jc w:val="both"/>
        <w:rPr>
          <w:rFonts w:eastAsia="Times New Roman"/>
        </w:rPr>
      </w:pPr>
      <w:r>
        <w:rPr>
          <w:rFonts w:eastAsia="Times New Roman"/>
        </w:rPr>
        <w:t>Saskaņā ar NACE 2.red. 92.nodaļu “Azartspēles un derības.</w:t>
      </w:r>
    </w:p>
    <w:p w:rsidR="000423BF" w:rsidRDefault="000423BF" w:rsidP="000423BF">
      <w:pPr>
        <w:jc w:val="both"/>
      </w:pPr>
    </w:p>
    <w:p w:rsidR="00B46CB1" w:rsidRDefault="00B46CB1" w:rsidP="000423BF">
      <w:pPr>
        <w:jc w:val="both"/>
      </w:pPr>
    </w:p>
    <w:p w:rsidR="000423BF" w:rsidRDefault="000423BF" w:rsidP="000423BF">
      <w:pPr>
        <w:jc w:val="both"/>
      </w:pPr>
      <w:r>
        <w:t>Ekonomikas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D.Reizniece-Ozolas</w:t>
      </w:r>
      <w:proofErr w:type="spellEnd"/>
      <w:r>
        <w:tab/>
      </w:r>
    </w:p>
    <w:p w:rsidR="000423BF" w:rsidRDefault="000423BF" w:rsidP="000423BF">
      <w:pPr>
        <w:jc w:val="both"/>
      </w:pPr>
    </w:p>
    <w:p w:rsidR="00B46CB1" w:rsidRDefault="00B46CB1" w:rsidP="000423BF">
      <w:pPr>
        <w:jc w:val="both"/>
      </w:pPr>
    </w:p>
    <w:p w:rsidR="000423BF" w:rsidRDefault="000423BF" w:rsidP="000423BF">
      <w:pPr>
        <w:jc w:val="both"/>
      </w:pPr>
      <w:r>
        <w:t>Vīza:</w:t>
      </w:r>
    </w:p>
    <w:p w:rsidR="000423BF" w:rsidRDefault="000423BF" w:rsidP="000423BF">
      <w:pPr>
        <w:jc w:val="both"/>
      </w:pPr>
      <w:r>
        <w:t xml:space="preserve">Valsts sekretāra </w:t>
      </w:r>
    </w:p>
    <w:p w:rsidR="000423BF" w:rsidRDefault="000423BF" w:rsidP="000423BF">
      <w:pPr>
        <w:jc w:val="both"/>
      </w:pPr>
      <w:r>
        <w:t xml:space="preserve">pienākumu izpildītājs, </w:t>
      </w:r>
    </w:p>
    <w:p w:rsidR="000423BF" w:rsidRDefault="000423BF" w:rsidP="000423BF">
      <w:pPr>
        <w:jc w:val="both"/>
      </w:pPr>
      <w:r>
        <w:t>valsts sekretāra vietnieks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J.Spiridonovs</w:t>
      </w:r>
      <w:proofErr w:type="spellEnd"/>
    </w:p>
    <w:p w:rsidR="000423BF" w:rsidRDefault="000423BF" w:rsidP="000423BF">
      <w:pPr>
        <w:jc w:val="both"/>
      </w:pPr>
    </w:p>
    <w:p w:rsidR="000423BF" w:rsidRDefault="00D74058" w:rsidP="000423BF">
      <w:pPr>
        <w:jc w:val="both"/>
        <w:rPr>
          <w:sz w:val="20"/>
          <w:szCs w:val="20"/>
        </w:rPr>
      </w:pPr>
      <w:r>
        <w:rPr>
          <w:sz w:val="20"/>
          <w:szCs w:val="20"/>
        </w:rPr>
        <w:t>27.04.2015 13:50</w:t>
      </w:r>
      <w:bookmarkStart w:id="0" w:name="_GoBack"/>
      <w:bookmarkEnd w:id="0"/>
    </w:p>
    <w:p w:rsidR="000423BF" w:rsidRDefault="000423BF" w:rsidP="000423BF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1C643B">
        <w:rPr>
          <w:noProof/>
          <w:sz w:val="20"/>
          <w:szCs w:val="20"/>
        </w:rPr>
        <w:t>243</w:t>
      </w:r>
      <w:r>
        <w:rPr>
          <w:sz w:val="20"/>
          <w:szCs w:val="20"/>
        </w:rPr>
        <w:fldChar w:fldCharType="end"/>
      </w:r>
    </w:p>
    <w:p w:rsidR="000423BF" w:rsidRDefault="000423BF" w:rsidP="000423BF">
      <w:pPr>
        <w:jc w:val="both"/>
        <w:rPr>
          <w:sz w:val="20"/>
          <w:szCs w:val="20"/>
        </w:rPr>
      </w:pPr>
      <w:r>
        <w:rPr>
          <w:sz w:val="20"/>
          <w:szCs w:val="20"/>
        </w:rPr>
        <w:t>A.Jansons</w:t>
      </w:r>
    </w:p>
    <w:p w:rsidR="00093DDC" w:rsidRPr="000423BF" w:rsidRDefault="000423BF" w:rsidP="000423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67013062 e-pasts: </w:t>
      </w:r>
      <w:hyperlink r:id="rId9" w:history="1">
        <w:r>
          <w:rPr>
            <w:rStyle w:val="Hyperlink"/>
            <w:sz w:val="20"/>
            <w:szCs w:val="20"/>
          </w:rPr>
          <w:t>Austris.Jansons@em.gov.lv</w:t>
        </w:r>
      </w:hyperlink>
    </w:p>
    <w:sectPr w:rsidR="00093DDC" w:rsidRPr="000423BF" w:rsidSect="00B46CB1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66" w:rsidRDefault="006C1966" w:rsidP="000423BF">
      <w:r>
        <w:separator/>
      </w:r>
    </w:p>
  </w:endnote>
  <w:endnote w:type="continuationSeparator" w:id="0">
    <w:p w:rsidR="006C1966" w:rsidRDefault="006C1966" w:rsidP="0004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F" w:rsidRDefault="000423BF" w:rsidP="00376D9C">
    <w:pPr>
      <w:pStyle w:val="Footer"/>
      <w:jc w:val="both"/>
    </w:pPr>
    <w:r>
      <w:rPr>
        <w:sz w:val="20"/>
        <w:szCs w:val="20"/>
      </w:rPr>
      <w:t>EMnotP</w:t>
    </w:r>
    <w:r w:rsidR="001C643B">
      <w:rPr>
        <w:sz w:val="20"/>
        <w:szCs w:val="20"/>
      </w:rPr>
      <w:t>_27042015</w:t>
    </w:r>
    <w:r>
      <w:rPr>
        <w:sz w:val="20"/>
        <w:szCs w:val="20"/>
      </w:rPr>
      <w:t>_SAM3211; Darbības programmas „Izaugsme un nodarbinātība” 3.2.1. specifiskā atbalsta mērķa „Palielināt augstas pievienotās vērtības produktu un pakalpojumu eksporta proporciju” 3.2.1.1. pasākuma “Ārējo tirgu apgūšana-ārējais mārketings” īstenošanas noteikumu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66" w:rsidRDefault="006C1966" w:rsidP="000423BF">
      <w:r>
        <w:separator/>
      </w:r>
    </w:p>
  </w:footnote>
  <w:footnote w:type="continuationSeparator" w:id="0">
    <w:p w:rsidR="006C1966" w:rsidRDefault="006C1966" w:rsidP="0004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BF"/>
    <w:rsid w:val="000423BF"/>
    <w:rsid w:val="00093DDC"/>
    <w:rsid w:val="001C643B"/>
    <w:rsid w:val="00287E00"/>
    <w:rsid w:val="00376D9C"/>
    <w:rsid w:val="005136C4"/>
    <w:rsid w:val="006C1966"/>
    <w:rsid w:val="00B46CB1"/>
    <w:rsid w:val="00D74058"/>
    <w:rsid w:val="00D8635A"/>
    <w:rsid w:val="00F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46CB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42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B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23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BF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B46CB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46CB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42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B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23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BF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B46CB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651?locale=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00/104?locale=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stris.Janson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Austris Jansons</dc:creator>
  <cp:lastModifiedBy>Austris Jansons</cp:lastModifiedBy>
  <cp:revision>5</cp:revision>
  <dcterms:created xsi:type="dcterms:W3CDTF">2015-04-21T18:22:00Z</dcterms:created>
  <dcterms:modified xsi:type="dcterms:W3CDTF">2015-04-27T10:50:00Z</dcterms:modified>
</cp:coreProperties>
</file>