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D1" w:rsidRPr="008232D6" w:rsidRDefault="005B69D1" w:rsidP="008F033C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r w:rsidRPr="008232D6">
        <w:rPr>
          <w:rFonts w:cs="Times New Roman"/>
          <w:b/>
          <w:bCs/>
          <w:sz w:val="24"/>
          <w:szCs w:val="24"/>
          <w:lang w:val="lv-LV"/>
        </w:rPr>
        <w:t xml:space="preserve">Ministru kabineta </w:t>
      </w:r>
      <w:r w:rsidR="008232D6" w:rsidRPr="008232D6">
        <w:rPr>
          <w:rFonts w:cs="Times New Roman"/>
          <w:b/>
          <w:bCs/>
          <w:sz w:val="24"/>
          <w:szCs w:val="24"/>
          <w:lang w:val="lv-LV"/>
        </w:rPr>
        <w:t>rīkojuma</w:t>
      </w:r>
      <w:r w:rsidRPr="008232D6">
        <w:rPr>
          <w:rFonts w:cs="Times New Roman"/>
          <w:b/>
          <w:bCs/>
          <w:sz w:val="24"/>
          <w:szCs w:val="24"/>
          <w:lang w:val="lv-LV"/>
        </w:rPr>
        <w:t xml:space="preserve"> „</w:t>
      </w:r>
      <w:r w:rsidR="008232D6" w:rsidRPr="008232D6">
        <w:rPr>
          <w:b/>
          <w:sz w:val="24"/>
          <w:szCs w:val="24"/>
        </w:rPr>
        <w:t xml:space="preserve">Par </w:t>
      </w:r>
      <w:proofErr w:type="spellStart"/>
      <w:r w:rsidR="008232D6" w:rsidRPr="008232D6">
        <w:rPr>
          <w:b/>
          <w:bCs/>
          <w:iCs/>
          <w:sz w:val="24"/>
          <w:szCs w:val="24"/>
        </w:rPr>
        <w:t>Ministru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kabineta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2012.gada 17.maija </w:t>
      </w:r>
      <w:proofErr w:type="spellStart"/>
      <w:r w:rsidR="008232D6" w:rsidRPr="008232D6">
        <w:rPr>
          <w:b/>
          <w:bCs/>
          <w:iCs/>
          <w:sz w:val="24"/>
          <w:szCs w:val="24"/>
        </w:rPr>
        <w:t>rīkojuma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Nr.223</w:t>
      </w:r>
      <w:proofErr w:type="gramStart"/>
      <w:r w:rsidR="008232D6" w:rsidRPr="008232D6">
        <w:rPr>
          <w:b/>
          <w:bCs/>
          <w:iCs/>
          <w:sz w:val="24"/>
          <w:szCs w:val="24"/>
        </w:rPr>
        <w:t xml:space="preserve">  </w:t>
      </w:r>
      <w:proofErr w:type="gramEnd"/>
      <w:r w:rsidR="008232D6" w:rsidRPr="008232D6">
        <w:rPr>
          <w:b/>
          <w:bCs/>
          <w:iCs/>
          <w:sz w:val="24"/>
          <w:szCs w:val="24"/>
        </w:rPr>
        <w:t xml:space="preserve">„Par </w:t>
      </w:r>
      <w:proofErr w:type="spellStart"/>
      <w:r w:rsidR="008232D6" w:rsidRPr="008232D6">
        <w:rPr>
          <w:b/>
          <w:bCs/>
          <w:iCs/>
          <w:sz w:val="24"/>
          <w:szCs w:val="24"/>
        </w:rPr>
        <w:t>Valsts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rīcības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plānu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militārās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aviācijas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nelaimes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gadījumu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seku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novēršanai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” </w:t>
      </w:r>
      <w:proofErr w:type="spellStart"/>
      <w:r w:rsidR="008232D6" w:rsidRPr="008232D6">
        <w:rPr>
          <w:b/>
          <w:bCs/>
          <w:iCs/>
          <w:sz w:val="24"/>
          <w:szCs w:val="24"/>
        </w:rPr>
        <w:t>atzīšanu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par </w:t>
      </w:r>
      <w:proofErr w:type="spellStart"/>
      <w:r w:rsidR="008232D6" w:rsidRPr="008232D6">
        <w:rPr>
          <w:b/>
          <w:bCs/>
          <w:iCs/>
          <w:sz w:val="24"/>
          <w:szCs w:val="24"/>
        </w:rPr>
        <w:t>spēku</w:t>
      </w:r>
      <w:proofErr w:type="spellEnd"/>
      <w:r w:rsidR="008232D6" w:rsidRPr="008232D6">
        <w:rPr>
          <w:b/>
          <w:bCs/>
          <w:iCs/>
          <w:sz w:val="24"/>
          <w:szCs w:val="24"/>
        </w:rPr>
        <w:t xml:space="preserve"> </w:t>
      </w:r>
      <w:proofErr w:type="spellStart"/>
      <w:r w:rsidR="008232D6" w:rsidRPr="008232D6">
        <w:rPr>
          <w:b/>
          <w:bCs/>
          <w:iCs/>
          <w:sz w:val="24"/>
          <w:szCs w:val="24"/>
        </w:rPr>
        <w:t>zaudējušu</w:t>
      </w:r>
      <w:proofErr w:type="spellEnd"/>
      <w:r w:rsidRPr="008232D6">
        <w:rPr>
          <w:rFonts w:cs="Times New Roman"/>
          <w:b/>
          <w:bCs/>
          <w:sz w:val="24"/>
          <w:szCs w:val="24"/>
          <w:lang w:val="lv-LV"/>
        </w:rPr>
        <w:t xml:space="preserve">” </w:t>
      </w:r>
      <w:r w:rsidR="004C634C" w:rsidRPr="008232D6">
        <w:rPr>
          <w:rFonts w:cs="Times New Roman"/>
          <w:b/>
          <w:bCs/>
          <w:sz w:val="24"/>
          <w:szCs w:val="24"/>
          <w:lang w:val="lv-LV"/>
        </w:rPr>
        <w:t>s</w:t>
      </w:r>
      <w:r w:rsidRPr="008232D6">
        <w:rPr>
          <w:rFonts w:cs="Times New Roman"/>
          <w:b/>
          <w:sz w:val="24"/>
          <w:szCs w:val="24"/>
          <w:lang w:val="lv-LV" w:eastAsia="lv-LV" w:bidi="ar-SA"/>
        </w:rPr>
        <w:t>ākotnējās ietekmes novērtējuma ziņojums (anotācija)</w:t>
      </w:r>
    </w:p>
    <w:p w:rsidR="005B69D1" w:rsidRPr="008F033C" w:rsidRDefault="005B69D1" w:rsidP="008F033C">
      <w:pPr>
        <w:jc w:val="both"/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8232D6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8232D6" w:rsidRDefault="005B69D1" w:rsidP="008F033C">
            <w:pPr>
              <w:ind w:firstLine="300"/>
              <w:jc w:val="both"/>
              <w:rPr>
                <w:rFonts w:cs="Times New Roman"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bCs/>
                <w:color w:val="414142"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5B69D1" w:rsidRPr="00E81745" w:rsidTr="005B69D1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ind w:firstLine="142"/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ind w:firstLine="142"/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8F3200" w:rsidP="00CB0424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3200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2014. gada 1. novembrī ir stājušies spēkā grozījumi likumā „Par aviāciju”</w:t>
            </w:r>
            <w:r w:rsidR="00334A03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 xml:space="preserve">. Šī likuma 66.panta otrajā daļā Ministru kabinetam ir dots deleģējums noteikt kārtību, kādā </w:t>
            </w:r>
            <w:r w:rsidR="00334A03" w:rsidRPr="00CB0424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notiek aviācijas nelaimes gadījumos cietušo militārās aviācijas gaisa kuģu un cilvēku meklēšanas un glābšanas darbi, kā arī militārās aviācijas nelaimes gadījumu seku likvidēšanas kārtību un institūciju sadarbības kārtību.</w:t>
            </w:r>
            <w:r w:rsidR="00334A03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 xml:space="preserve"> Likuma pārejas noteikumu </w:t>
            </w:r>
            <w:r w:rsidRPr="008F3200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 xml:space="preserve">32. </w:t>
            </w:r>
            <w:r w:rsidR="00334A03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p</w:t>
            </w:r>
            <w:r w:rsidRPr="008F3200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unkt</w:t>
            </w:r>
            <w:r w:rsidR="00334A03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ā ir</w:t>
            </w:r>
            <w:r w:rsidRPr="008F3200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 xml:space="preserve"> </w:t>
            </w:r>
            <w:r w:rsidR="00334A03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noteikts</w:t>
            </w:r>
            <w:r w:rsidRPr="008F3200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, ka</w:t>
            </w:r>
            <w:r w:rsidR="00334A03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 xml:space="preserve"> Ministru kabinetam</w:t>
            </w:r>
            <w:r w:rsidRPr="008F3200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 xml:space="preserve"> līdz 2015. gada 30. martam ir jāizdod likum</w:t>
            </w:r>
            <w:r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a</w:t>
            </w:r>
            <w:r w:rsidRPr="008F3200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 xml:space="preserve"> „Par aviāciju” 66. pant</w:t>
            </w:r>
            <w:r w:rsidR="003E68B6">
              <w:rPr>
                <w:rFonts w:cs="Times New Roman"/>
                <w:bCs/>
                <w:iCs/>
                <w:color w:val="414142"/>
                <w:sz w:val="24"/>
                <w:szCs w:val="24"/>
                <w:lang w:val="lv-LV" w:eastAsia="lv-LV" w:bidi="ar-SA"/>
              </w:rPr>
              <w:t>a otrajā daļā minētie noteikumi</w:t>
            </w:r>
            <w:r w:rsidRPr="008F3200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B69D1" w:rsidRPr="00E81745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ind w:firstLine="142"/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200" w:rsidRDefault="008F3200" w:rsidP="008232D6">
            <w:pPr>
              <w:jc w:val="both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2012.gada 17.maijā Ministru kabinetā tika apstiprināts Ministru kabineta rīkojums Nr.223 „Par Valsts rīcības plānu militārās aviācijas nelaimes gadījumu sek</w:t>
            </w:r>
            <w:r w:rsidR="00334A0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u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novēršanai”, kas paredz par šī plāna pasākumu izpildi atbildīgās institūcijas, iesaistītās institūcijas un institūciju sadarbības principus.  </w:t>
            </w:r>
          </w:p>
          <w:p w:rsidR="00334A03" w:rsidRDefault="00334A03" w:rsidP="008232D6">
            <w:pPr>
              <w:jc w:val="both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Ņemot vērā grozījumus likumā „Par aviāciju” un Ministru kabinetam šī likuma 66.panta otrajā daļā doto deleģējumu, ir izstrādāts Ministru kabineta noteikumu projekts „K</w:t>
            </w:r>
            <w:r w:rsidRPr="00334A0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ārtīb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a</w:t>
            </w:r>
            <w:r w:rsidRPr="00334A0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, kādā notiek aviācijas nelaimes gadījumos cietušo militārās aviācijas gaisa kuģu un cilvēku meklēšanas un glābšanas darbi, kā arī militārās aviācijas nelaimes ga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dījumu seku likvidēšanas kārtība</w:t>
            </w:r>
            <w:r w:rsidRPr="00334A0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un institūciju sadarbības kārtīb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a”</w:t>
            </w:r>
            <w:r w:rsidR="003E68B6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.</w:t>
            </w:r>
          </w:p>
          <w:p w:rsidR="008232D6" w:rsidRPr="008232D6" w:rsidRDefault="008232D6" w:rsidP="00A27220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sz w:val="24"/>
                <w:szCs w:val="24"/>
                <w:lang w:val="lv-LV"/>
              </w:rPr>
              <w:t xml:space="preserve">Līdz </w:t>
            </w:r>
            <w:r w:rsidR="003E68B6">
              <w:rPr>
                <w:rFonts w:cs="Times New Roman"/>
                <w:sz w:val="24"/>
                <w:szCs w:val="24"/>
                <w:lang w:val="lv-LV"/>
              </w:rPr>
              <w:t xml:space="preserve">ar </w:t>
            </w:r>
            <w:r w:rsidRPr="008232D6">
              <w:rPr>
                <w:rFonts w:cs="Times New Roman"/>
                <w:sz w:val="24"/>
                <w:szCs w:val="24"/>
                <w:lang w:val="lv-LV"/>
              </w:rPr>
              <w:t>šo Ministru kabineta noteikumu spēkā stāšanos</w:t>
            </w:r>
            <w:proofErr w:type="gramStart"/>
            <w:r w:rsidR="003E68B6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Pr="008232D6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Pr="008232D6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Ministru kabineta 2012.gada 17.maija rīkojums Nr.223  „Par Valsts rīcības plānu militārās aviācijas nelaimes gadījumu seku novēršanai”</w:t>
            </w:r>
            <w:r w:rsidR="003E68B6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atzīstams par spēku zaudējušu, jo Ministru kabineta noteikumos tiek noregulēti un pilnveidoti jautājumi, kas tika atrunāti šajā </w:t>
            </w:r>
            <w:r w:rsidR="00A27220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rīkojumā</w:t>
            </w:r>
            <w:r w:rsidRPr="008232D6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</w:tr>
      <w:tr w:rsidR="005B69D1" w:rsidRPr="00E81745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3E68B6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Ministru kabineta rīkojuma projektu</w:t>
            </w:r>
            <w:r w:rsidR="0047186B" w:rsidRPr="00823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Pr="00CB0424"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>„</w:t>
            </w:r>
            <w:r w:rsidRPr="00CB042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Par </w:t>
            </w:r>
            <w:r w:rsidRPr="00CB0424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Ministru kabineta 201</w:t>
            </w:r>
            <w:r w:rsidR="00CB0424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2.gada 17.maija rīkojuma Nr.223</w:t>
            </w:r>
            <w:r w:rsidRPr="00CB0424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„Par Valsts rīcības plānu militārās aviācijas nelaimes gadījumu seku novēršanai” atzīšanu par spēku zaudējušu</w:t>
            </w:r>
            <w:r w:rsidRPr="00CB0424"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>”</w:t>
            </w:r>
            <w:r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 xml:space="preserve"> izstrādājusi Aizsardzības ministrija.</w:t>
            </w:r>
          </w:p>
        </w:tc>
      </w:tr>
      <w:tr w:rsidR="005B69D1" w:rsidRPr="008232D6" w:rsidTr="005B69D1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232D6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86B" w:rsidRPr="008232D6" w:rsidRDefault="008232D6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5B69D1" w:rsidRPr="008F033C" w:rsidRDefault="005B69D1" w:rsidP="008232D6">
      <w:pPr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2558"/>
        <w:gridCol w:w="5799"/>
      </w:tblGrid>
      <w:tr w:rsidR="005B69D1" w:rsidRPr="00E81745" w:rsidTr="005B69D1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8F033C" w:rsidRDefault="005B69D1" w:rsidP="008F033C">
            <w:pPr>
              <w:ind w:firstLine="300"/>
              <w:jc w:val="both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IV. Tiesību akta projekta ietekme uz spēkā esošo tiesību normu sistēmu</w:t>
            </w:r>
          </w:p>
        </w:tc>
      </w:tr>
      <w:tr w:rsidR="005B69D1" w:rsidRPr="00E81745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FA" w:rsidRPr="008232D6" w:rsidRDefault="00EA03EE" w:rsidP="008232D6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23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Vienlaicīgi ar </w:t>
            </w:r>
            <w:r w:rsidR="00DE08F8" w:rsidRPr="00823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šo projektu tiek virzīts Ministru kabineta </w:t>
            </w:r>
            <w:r w:rsidR="008232D6" w:rsidRPr="008232D6">
              <w:rPr>
                <w:rFonts w:cs="Times New Roman"/>
                <w:sz w:val="24"/>
                <w:szCs w:val="24"/>
                <w:lang w:val="lv-LV" w:eastAsia="lv-LV" w:bidi="ar-SA"/>
              </w:rPr>
              <w:t>noteikumu</w:t>
            </w:r>
            <w:r w:rsidR="00DE08F8" w:rsidRPr="00823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projekts „</w:t>
            </w:r>
            <w:r w:rsidR="003E68B6" w:rsidRPr="003E68B6">
              <w:rPr>
                <w:bCs/>
                <w:iCs/>
                <w:sz w:val="24"/>
                <w:szCs w:val="24"/>
                <w:lang w:val="lv-LV"/>
              </w:rPr>
              <w:t>Kārtība, kādā notiek aviācijas nelaimes gadījumos cietušo militārās aviācijas gaisa kuģu un cilvēku meklēšanas un glābšanas darbi, kā arī militārās aviācijas nelaimes gadījumu seku likvidēšanas kārtība un institūciju sadarbības kārtība</w:t>
            </w:r>
            <w:r w:rsidR="008232D6" w:rsidRPr="008232D6">
              <w:rPr>
                <w:sz w:val="24"/>
                <w:szCs w:val="24"/>
                <w:lang w:val="lv-LV"/>
              </w:rPr>
              <w:t>”</w:t>
            </w:r>
            <w:r w:rsidR="00ED6705" w:rsidRPr="008232D6">
              <w:rPr>
                <w:rFonts w:cs="Times New Roman"/>
                <w:bCs/>
                <w:sz w:val="24"/>
                <w:szCs w:val="24"/>
                <w:lang w:val="lv-LV"/>
              </w:rPr>
              <w:t>.</w:t>
            </w:r>
            <w:r w:rsidRPr="008232D6">
              <w:rPr>
                <w:rFonts w:cs="Times New Roman"/>
                <w:bCs/>
                <w:sz w:val="24"/>
                <w:szCs w:val="24"/>
                <w:lang w:val="lv-LV"/>
              </w:rPr>
              <w:t xml:space="preserve"> </w:t>
            </w:r>
          </w:p>
        </w:tc>
      </w:tr>
      <w:tr w:rsidR="005B69D1" w:rsidRPr="008F033C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  <w:r w:rsidR="000C0A94"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B69D1" w:rsidRPr="008F033C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0C0A94"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5B69D1" w:rsidRPr="008F033C" w:rsidRDefault="005B69D1" w:rsidP="008F033C">
      <w:pPr>
        <w:tabs>
          <w:tab w:val="right" w:pos="9074"/>
        </w:tabs>
        <w:jc w:val="both"/>
        <w:rPr>
          <w:rFonts w:cs="Times New Roman"/>
          <w:i/>
          <w:iCs/>
          <w:sz w:val="24"/>
          <w:szCs w:val="24"/>
          <w:lang w:val="lv-LV"/>
        </w:rPr>
      </w:pPr>
    </w:p>
    <w:p w:rsidR="00DE08F8" w:rsidRPr="008F033C" w:rsidRDefault="00DE08F8" w:rsidP="008F033C">
      <w:pPr>
        <w:pStyle w:val="naiskr"/>
        <w:tabs>
          <w:tab w:val="left" w:pos="2628"/>
        </w:tabs>
        <w:spacing w:before="0" w:beforeAutospacing="0" w:after="0" w:afterAutospacing="0"/>
        <w:jc w:val="both"/>
      </w:pPr>
      <w:r w:rsidRPr="008F033C">
        <w:t xml:space="preserve">Anotācijas II, </w:t>
      </w:r>
      <w:r w:rsidR="008232D6">
        <w:t xml:space="preserve">III, </w:t>
      </w:r>
      <w:r w:rsidR="00117119">
        <w:t>V, VI un VII</w:t>
      </w:r>
      <w:r w:rsidRPr="008F033C">
        <w:t xml:space="preserve"> sadaļa –</w:t>
      </w:r>
      <w:r w:rsidR="00653CB0">
        <w:t xml:space="preserve"> projekts šīs jomas neskar</w:t>
      </w:r>
      <w:r w:rsidRPr="008F033C">
        <w:t>.</w:t>
      </w:r>
    </w:p>
    <w:p w:rsidR="00372B31" w:rsidRDefault="00372B31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E81745" w:rsidRDefault="00E81745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E81745" w:rsidRPr="008F033C" w:rsidRDefault="00E81745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5B69D1" w:rsidRPr="008F033C" w:rsidRDefault="005B69D1" w:rsidP="008F033C">
      <w:pPr>
        <w:jc w:val="both"/>
        <w:rPr>
          <w:rFonts w:cs="Times New Roman"/>
          <w:sz w:val="24"/>
          <w:szCs w:val="24"/>
          <w:lang w:val="lv-LV"/>
        </w:rPr>
      </w:pPr>
      <w:r w:rsidRPr="008F033C">
        <w:rPr>
          <w:rFonts w:cs="Times New Roman"/>
          <w:sz w:val="24"/>
          <w:szCs w:val="24"/>
          <w:lang w:val="lv-LV"/>
        </w:rPr>
        <w:t>Aizsardzības ministrs</w:t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Pr="008F033C">
        <w:rPr>
          <w:rFonts w:cs="Times New Roman"/>
          <w:sz w:val="24"/>
          <w:szCs w:val="24"/>
          <w:lang w:val="lv-LV"/>
        </w:rPr>
        <w:tab/>
      </w:r>
      <w:proofErr w:type="gramStart"/>
      <w:r w:rsidR="008232D6">
        <w:rPr>
          <w:rFonts w:cs="Times New Roman"/>
          <w:sz w:val="24"/>
          <w:szCs w:val="24"/>
          <w:lang w:val="lv-LV"/>
        </w:rPr>
        <w:t xml:space="preserve">        </w:t>
      </w:r>
      <w:proofErr w:type="gramEnd"/>
      <w:r w:rsidRPr="008F033C">
        <w:rPr>
          <w:rFonts w:cs="Times New Roman"/>
          <w:sz w:val="24"/>
          <w:szCs w:val="24"/>
          <w:lang w:val="lv-LV"/>
        </w:rPr>
        <w:t>R.Vējonis</w:t>
      </w:r>
    </w:p>
    <w:p w:rsidR="00B1049B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E81745" w:rsidRDefault="00E81745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E81745" w:rsidRDefault="00E81745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E81745" w:rsidRPr="008F033C" w:rsidRDefault="00E81745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5B69D1" w:rsidRPr="008F033C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8F033C">
        <w:rPr>
          <w:rFonts w:cs="Times New Roman"/>
          <w:sz w:val="24"/>
          <w:szCs w:val="24"/>
          <w:lang w:val="lv-LV"/>
        </w:rPr>
        <w:t>Vīza: valsts sekretārs</w:t>
      </w:r>
      <w:proofErr w:type="gramStart"/>
      <w:r w:rsidRPr="008F033C">
        <w:rPr>
          <w:rFonts w:cs="Times New Roman"/>
          <w:sz w:val="24"/>
          <w:szCs w:val="24"/>
          <w:lang w:val="lv-LV"/>
        </w:rPr>
        <w:t xml:space="preserve">                                                                                          </w:t>
      </w:r>
      <w:proofErr w:type="gramEnd"/>
      <w:r w:rsidR="005B69D1" w:rsidRPr="008F033C">
        <w:rPr>
          <w:rFonts w:cs="Times New Roman"/>
          <w:sz w:val="24"/>
          <w:szCs w:val="24"/>
          <w:lang w:val="lv-LV"/>
        </w:rPr>
        <w:t>J.Sārts</w:t>
      </w:r>
      <w:bookmarkStart w:id="0" w:name="_GoBack"/>
      <w:bookmarkEnd w:id="0"/>
    </w:p>
    <w:p w:rsidR="00B1049B" w:rsidRPr="008F033C" w:rsidRDefault="00B1049B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0836FA" w:rsidRPr="008F033C" w:rsidRDefault="00E826FD" w:rsidP="008F033C">
      <w:pPr>
        <w:jc w:val="both"/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07</w:t>
      </w:r>
      <w:r w:rsidR="00ED6705" w:rsidRPr="008F033C">
        <w:rPr>
          <w:rFonts w:cs="Times New Roman"/>
          <w:bCs/>
          <w:sz w:val="16"/>
          <w:szCs w:val="16"/>
          <w:lang w:val="lv-LV" w:eastAsia="lv-LV"/>
        </w:rPr>
        <w:t>.</w:t>
      </w:r>
      <w:r>
        <w:rPr>
          <w:rFonts w:cs="Times New Roman"/>
          <w:bCs/>
          <w:sz w:val="16"/>
          <w:szCs w:val="16"/>
          <w:lang w:val="lv-LV" w:eastAsia="lv-LV"/>
        </w:rPr>
        <w:t>04</w:t>
      </w:r>
      <w:r w:rsidR="000836FA" w:rsidRPr="008F033C">
        <w:rPr>
          <w:rFonts w:cs="Times New Roman"/>
          <w:bCs/>
          <w:sz w:val="16"/>
          <w:szCs w:val="16"/>
          <w:lang w:val="lv-LV" w:eastAsia="lv-LV"/>
        </w:rPr>
        <w:t>.201</w:t>
      </w:r>
      <w:r w:rsidR="004C634C" w:rsidRPr="008F033C">
        <w:rPr>
          <w:rFonts w:cs="Times New Roman"/>
          <w:bCs/>
          <w:sz w:val="16"/>
          <w:szCs w:val="16"/>
          <w:lang w:val="lv-LV" w:eastAsia="lv-LV"/>
        </w:rPr>
        <w:t>5</w:t>
      </w:r>
      <w:r w:rsidR="000836FA" w:rsidRPr="008F033C">
        <w:rPr>
          <w:rFonts w:cs="Times New Roman"/>
          <w:bCs/>
          <w:sz w:val="16"/>
          <w:szCs w:val="16"/>
          <w:lang w:val="lv-LV" w:eastAsia="lv-LV"/>
        </w:rPr>
        <w:t>. 11:07</w:t>
      </w:r>
    </w:p>
    <w:p w:rsidR="000836FA" w:rsidRPr="008F033C" w:rsidRDefault="00915BA5" w:rsidP="008F033C">
      <w:pPr>
        <w:jc w:val="both"/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388</w:t>
      </w:r>
    </w:p>
    <w:p w:rsidR="000836FA" w:rsidRPr="008F033C" w:rsidRDefault="000836FA" w:rsidP="008F033C">
      <w:pPr>
        <w:jc w:val="both"/>
        <w:rPr>
          <w:rFonts w:cs="Times New Roman"/>
          <w:sz w:val="16"/>
          <w:szCs w:val="16"/>
          <w:lang w:val="lv-LV"/>
        </w:rPr>
      </w:pPr>
      <w:r w:rsidRPr="008F033C">
        <w:rPr>
          <w:rFonts w:cs="Times New Roman"/>
          <w:sz w:val="16"/>
          <w:szCs w:val="16"/>
          <w:lang w:val="lv-LV"/>
        </w:rPr>
        <w:t>E.Svarenieks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8F033C">
            <w:rPr>
              <w:rFonts w:cs="Times New Roman"/>
              <w:sz w:val="16"/>
              <w:szCs w:val="16"/>
              <w:lang w:val="lv-LV"/>
            </w:rPr>
            <w:t>7335029</w:t>
          </w:r>
        </w:smartTag>
      </w:smartTag>
    </w:p>
    <w:p w:rsidR="00E100BF" w:rsidRPr="008F033C" w:rsidRDefault="00E81745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  <w:hyperlink r:id="rId9" w:history="1">
        <w:r w:rsidR="000836FA" w:rsidRPr="008F033C">
          <w:rPr>
            <w:rStyle w:val="Hyperlink"/>
            <w:rFonts w:cs="Times New Roman"/>
            <w:sz w:val="16"/>
            <w:szCs w:val="16"/>
            <w:lang w:val="lv-LV"/>
          </w:rPr>
          <w:t>edgars.svarenieks@mod.gov.lv</w:t>
        </w:r>
      </w:hyperlink>
    </w:p>
    <w:sectPr w:rsidR="00E100BF" w:rsidRPr="008F033C" w:rsidSect="001444CD">
      <w:headerReference w:type="default" r:id="rId10"/>
      <w:footerReference w:type="default" r:id="rId11"/>
      <w:pgSz w:w="11906" w:h="16838"/>
      <w:pgMar w:top="1103" w:right="18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F8" w:rsidRDefault="00145EF8" w:rsidP="00B1049B">
      <w:r>
        <w:separator/>
      </w:r>
    </w:p>
  </w:endnote>
  <w:endnote w:type="continuationSeparator" w:id="0">
    <w:p w:rsidR="00145EF8" w:rsidRDefault="00145EF8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3EE" w:rsidRDefault="00EA0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2D6" w:rsidRPr="008232D6" w:rsidRDefault="00CB199C" w:rsidP="008232D6">
    <w:pPr>
      <w:jc w:val="both"/>
      <w:rPr>
        <w:rFonts w:cs="Times New Roman"/>
        <w:sz w:val="16"/>
        <w:szCs w:val="16"/>
        <w:lang w:val="lv-LV" w:eastAsia="lv-LV" w:bidi="ar-SA"/>
      </w:rPr>
    </w:pPr>
    <w:r w:rsidRPr="008232D6">
      <w:rPr>
        <w:sz w:val="16"/>
        <w:szCs w:val="16"/>
      </w:rPr>
      <w:t>AIManot_</w:t>
    </w:r>
    <w:r w:rsidR="004C634C" w:rsidRPr="008232D6">
      <w:rPr>
        <w:sz w:val="16"/>
        <w:szCs w:val="16"/>
      </w:rPr>
      <w:t>0</w:t>
    </w:r>
    <w:r w:rsidR="008232D6" w:rsidRPr="008232D6">
      <w:rPr>
        <w:sz w:val="16"/>
        <w:szCs w:val="16"/>
      </w:rPr>
      <w:t>6</w:t>
    </w:r>
    <w:r w:rsidR="004C634C" w:rsidRPr="008232D6">
      <w:rPr>
        <w:sz w:val="16"/>
        <w:szCs w:val="16"/>
      </w:rPr>
      <w:t>0115</w:t>
    </w:r>
    <w:r w:rsidRPr="008232D6">
      <w:rPr>
        <w:sz w:val="16"/>
        <w:szCs w:val="16"/>
      </w:rPr>
      <w:t xml:space="preserve">; </w:t>
    </w:r>
    <w:r w:rsidR="008232D6" w:rsidRPr="008232D6">
      <w:rPr>
        <w:rFonts w:cs="Times New Roman"/>
        <w:bCs/>
        <w:sz w:val="16"/>
        <w:szCs w:val="16"/>
        <w:lang w:val="lv-LV"/>
      </w:rPr>
      <w:t>Ministru kabineta rīkojuma „</w:t>
    </w:r>
    <w:r w:rsidR="008232D6" w:rsidRPr="008232D6">
      <w:rPr>
        <w:sz w:val="16"/>
        <w:szCs w:val="16"/>
      </w:rPr>
      <w:t xml:space="preserve">Par </w:t>
    </w:r>
    <w:proofErr w:type="spellStart"/>
    <w:r w:rsidR="008232D6" w:rsidRPr="008232D6">
      <w:rPr>
        <w:bCs/>
        <w:iCs/>
        <w:sz w:val="16"/>
        <w:szCs w:val="16"/>
      </w:rPr>
      <w:t>Ministru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kabineta</w:t>
    </w:r>
    <w:proofErr w:type="spellEnd"/>
    <w:r w:rsidR="008232D6" w:rsidRPr="008232D6">
      <w:rPr>
        <w:bCs/>
        <w:iCs/>
        <w:sz w:val="16"/>
        <w:szCs w:val="16"/>
      </w:rPr>
      <w:t xml:space="preserve"> 2012.gada 17.maija </w:t>
    </w:r>
    <w:proofErr w:type="spellStart"/>
    <w:r w:rsidR="008232D6" w:rsidRPr="008232D6">
      <w:rPr>
        <w:bCs/>
        <w:iCs/>
        <w:sz w:val="16"/>
        <w:szCs w:val="16"/>
      </w:rPr>
      <w:t>rīkojuma</w:t>
    </w:r>
    <w:proofErr w:type="spellEnd"/>
    <w:r w:rsidR="008232D6" w:rsidRPr="008232D6">
      <w:rPr>
        <w:bCs/>
        <w:iCs/>
        <w:sz w:val="16"/>
        <w:szCs w:val="16"/>
      </w:rPr>
      <w:t xml:space="preserve"> Nr.223 „Par </w:t>
    </w:r>
    <w:proofErr w:type="spellStart"/>
    <w:r w:rsidR="008232D6" w:rsidRPr="008232D6">
      <w:rPr>
        <w:bCs/>
        <w:iCs/>
        <w:sz w:val="16"/>
        <w:szCs w:val="16"/>
      </w:rPr>
      <w:t>Valsts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rīcības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plānu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militārās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aviācijas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nelaimes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gadījumu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seku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novēršanai</w:t>
    </w:r>
    <w:proofErr w:type="spellEnd"/>
    <w:r w:rsidR="008232D6" w:rsidRPr="008232D6">
      <w:rPr>
        <w:bCs/>
        <w:iCs/>
        <w:sz w:val="16"/>
        <w:szCs w:val="16"/>
      </w:rPr>
      <w:t xml:space="preserve">” </w:t>
    </w:r>
    <w:proofErr w:type="spellStart"/>
    <w:r w:rsidR="008232D6" w:rsidRPr="008232D6">
      <w:rPr>
        <w:bCs/>
        <w:iCs/>
        <w:sz w:val="16"/>
        <w:szCs w:val="16"/>
      </w:rPr>
      <w:t>atzīšanu</w:t>
    </w:r>
    <w:proofErr w:type="spellEnd"/>
    <w:r w:rsidR="008232D6" w:rsidRPr="008232D6">
      <w:rPr>
        <w:bCs/>
        <w:iCs/>
        <w:sz w:val="16"/>
        <w:szCs w:val="16"/>
      </w:rPr>
      <w:t xml:space="preserve"> par </w:t>
    </w:r>
    <w:proofErr w:type="spellStart"/>
    <w:r w:rsidR="008232D6" w:rsidRPr="008232D6">
      <w:rPr>
        <w:bCs/>
        <w:iCs/>
        <w:sz w:val="16"/>
        <w:szCs w:val="16"/>
      </w:rPr>
      <w:t>spēku</w:t>
    </w:r>
    <w:proofErr w:type="spellEnd"/>
    <w:r w:rsidR="008232D6" w:rsidRPr="008232D6">
      <w:rPr>
        <w:bCs/>
        <w:iCs/>
        <w:sz w:val="16"/>
        <w:szCs w:val="16"/>
      </w:rPr>
      <w:t xml:space="preserve"> </w:t>
    </w:r>
    <w:proofErr w:type="spellStart"/>
    <w:r w:rsidR="008232D6" w:rsidRPr="008232D6">
      <w:rPr>
        <w:bCs/>
        <w:iCs/>
        <w:sz w:val="16"/>
        <w:szCs w:val="16"/>
      </w:rPr>
      <w:t>zaudējušu</w:t>
    </w:r>
    <w:proofErr w:type="spellEnd"/>
    <w:r w:rsidR="008232D6" w:rsidRPr="008232D6">
      <w:rPr>
        <w:rFonts w:cs="Times New Roman"/>
        <w:bCs/>
        <w:sz w:val="16"/>
        <w:szCs w:val="16"/>
        <w:lang w:val="lv-LV"/>
      </w:rPr>
      <w:t>” s</w:t>
    </w:r>
    <w:r w:rsidR="008232D6" w:rsidRPr="008232D6">
      <w:rPr>
        <w:rFonts w:cs="Times New Roman"/>
        <w:sz w:val="16"/>
        <w:szCs w:val="16"/>
        <w:lang w:val="lv-LV" w:eastAsia="lv-LV" w:bidi="ar-SA"/>
      </w:rPr>
      <w:t>ākotnējās ietekmes novērtējuma ziņojums (anotācija)</w:t>
    </w:r>
  </w:p>
  <w:p w:rsidR="000B6A6D" w:rsidRPr="008232D6" w:rsidRDefault="000B6A6D" w:rsidP="004C634C">
    <w:pPr>
      <w:jc w:val="both"/>
      <w:rPr>
        <w:rFonts w:cs="Times New Roman"/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F8" w:rsidRDefault="00145EF8" w:rsidP="00B1049B">
      <w:r>
        <w:separator/>
      </w:r>
    </w:p>
  </w:footnote>
  <w:footnote w:type="continuationSeparator" w:id="0">
    <w:p w:rsidR="00145EF8" w:rsidRDefault="00145EF8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D" w:rsidRDefault="000B6A6D" w:rsidP="00BC5157">
    <w:pPr>
      <w:pStyle w:val="Header"/>
      <w:jc w:val="center"/>
      <w:rPr>
        <w:noProof/>
      </w:rPr>
    </w:pPr>
  </w:p>
  <w:p w:rsidR="000B6A6D" w:rsidRDefault="000B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836FA"/>
    <w:rsid w:val="000B6A6D"/>
    <w:rsid w:val="000C0A94"/>
    <w:rsid w:val="00112645"/>
    <w:rsid w:val="00117119"/>
    <w:rsid w:val="001444CD"/>
    <w:rsid w:val="00145EF8"/>
    <w:rsid w:val="00185297"/>
    <w:rsid w:val="001A37CB"/>
    <w:rsid w:val="001C25DB"/>
    <w:rsid w:val="00231DA1"/>
    <w:rsid w:val="00247195"/>
    <w:rsid w:val="0026236D"/>
    <w:rsid w:val="002C58AB"/>
    <w:rsid w:val="002E63D7"/>
    <w:rsid w:val="00304507"/>
    <w:rsid w:val="00321DE3"/>
    <w:rsid w:val="00334A03"/>
    <w:rsid w:val="00372B31"/>
    <w:rsid w:val="003E68B6"/>
    <w:rsid w:val="004661C8"/>
    <w:rsid w:val="0047186B"/>
    <w:rsid w:val="00490D1C"/>
    <w:rsid w:val="004B1D68"/>
    <w:rsid w:val="004C634C"/>
    <w:rsid w:val="0050553A"/>
    <w:rsid w:val="00563891"/>
    <w:rsid w:val="005B69D1"/>
    <w:rsid w:val="005F36C1"/>
    <w:rsid w:val="00653CB0"/>
    <w:rsid w:val="0074535A"/>
    <w:rsid w:val="007635F3"/>
    <w:rsid w:val="00796ED2"/>
    <w:rsid w:val="007C74D6"/>
    <w:rsid w:val="007D4BFB"/>
    <w:rsid w:val="007E4082"/>
    <w:rsid w:val="00801FB3"/>
    <w:rsid w:val="008232D6"/>
    <w:rsid w:val="00823E87"/>
    <w:rsid w:val="0083545B"/>
    <w:rsid w:val="008368C2"/>
    <w:rsid w:val="008804EF"/>
    <w:rsid w:val="00886DCA"/>
    <w:rsid w:val="008D27D8"/>
    <w:rsid w:val="008D46BF"/>
    <w:rsid w:val="008F033C"/>
    <w:rsid w:val="008F3200"/>
    <w:rsid w:val="00915BA5"/>
    <w:rsid w:val="00961EAA"/>
    <w:rsid w:val="009A48D6"/>
    <w:rsid w:val="009A7B2C"/>
    <w:rsid w:val="00A27220"/>
    <w:rsid w:val="00A5643C"/>
    <w:rsid w:val="00A70789"/>
    <w:rsid w:val="00A77736"/>
    <w:rsid w:val="00AE16BB"/>
    <w:rsid w:val="00AF3AC3"/>
    <w:rsid w:val="00AF77F0"/>
    <w:rsid w:val="00B1049B"/>
    <w:rsid w:val="00B12E2E"/>
    <w:rsid w:val="00B22D33"/>
    <w:rsid w:val="00B82F0F"/>
    <w:rsid w:val="00B97F54"/>
    <w:rsid w:val="00BC5157"/>
    <w:rsid w:val="00BD76A1"/>
    <w:rsid w:val="00C256F7"/>
    <w:rsid w:val="00C729FB"/>
    <w:rsid w:val="00C9608D"/>
    <w:rsid w:val="00CB0424"/>
    <w:rsid w:val="00CB199C"/>
    <w:rsid w:val="00D40237"/>
    <w:rsid w:val="00D90144"/>
    <w:rsid w:val="00D91F8F"/>
    <w:rsid w:val="00DE08F8"/>
    <w:rsid w:val="00DE34E1"/>
    <w:rsid w:val="00E100BF"/>
    <w:rsid w:val="00E73FBC"/>
    <w:rsid w:val="00E81745"/>
    <w:rsid w:val="00E826FD"/>
    <w:rsid w:val="00EA03EE"/>
    <w:rsid w:val="00EB5AD9"/>
    <w:rsid w:val="00ED6705"/>
    <w:rsid w:val="00F22346"/>
    <w:rsid w:val="00F550A0"/>
    <w:rsid w:val="00F61B6D"/>
    <w:rsid w:val="00F62C76"/>
    <w:rsid w:val="00F90665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599B-AEAA-4AB3-AB72-020D870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Ministru kabineta 2012.gada 17.maija rīkojuma Nr.223  „Par Valsts rīcības plānu militārās aviācijas nelaimes gadījumu seku novēršanai” atzīšanu par spēku zaudējušu” sākotnējās ietekmes novērtējuma ziņojums (anotācija)</dc:title>
  <dc:creator>Marina Baltā</dc:creator>
  <cp:lastModifiedBy>Irēna Kalna</cp:lastModifiedBy>
  <cp:revision>6</cp:revision>
  <cp:lastPrinted>2015-01-19T14:19:00Z</cp:lastPrinted>
  <dcterms:created xsi:type="dcterms:W3CDTF">2015-01-15T08:05:00Z</dcterms:created>
  <dcterms:modified xsi:type="dcterms:W3CDTF">2015-04-15T07:50:00Z</dcterms:modified>
</cp:coreProperties>
</file>