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CD" w:rsidRPr="00866E61" w:rsidRDefault="002074CD" w:rsidP="002074CD">
      <w:pPr>
        <w:keepNext/>
        <w:ind w:right="42"/>
        <w:jc w:val="right"/>
        <w:outlineLvl w:val="0"/>
        <w:rPr>
          <w:bCs/>
          <w:kern w:val="32"/>
          <w:sz w:val="28"/>
          <w:szCs w:val="28"/>
          <w:lang w:val="pl-PL"/>
        </w:rPr>
      </w:pPr>
      <w:r>
        <w:rPr>
          <w:bCs/>
          <w:kern w:val="32"/>
          <w:sz w:val="28"/>
          <w:szCs w:val="28"/>
          <w:lang w:val="pl-PL"/>
        </w:rPr>
        <w:t>3</w:t>
      </w:r>
      <w:r w:rsidRPr="00866E61">
        <w:rPr>
          <w:bCs/>
          <w:kern w:val="32"/>
          <w:sz w:val="28"/>
          <w:szCs w:val="28"/>
          <w:lang w:val="pl-PL"/>
        </w:rPr>
        <w:t>.</w:t>
      </w:r>
      <w:proofErr w:type="gramStart"/>
      <w:r w:rsidRPr="00866E61">
        <w:rPr>
          <w:bCs/>
          <w:kern w:val="32"/>
          <w:sz w:val="28"/>
          <w:szCs w:val="28"/>
          <w:lang w:val="pl-PL"/>
        </w:rPr>
        <w:t>pielikums</w:t>
      </w:r>
      <w:proofErr w:type="gramEnd"/>
    </w:p>
    <w:p w:rsidR="002074CD" w:rsidRPr="00866E61" w:rsidRDefault="002074CD" w:rsidP="002074CD">
      <w:pPr>
        <w:ind w:right="42"/>
        <w:jc w:val="right"/>
        <w:rPr>
          <w:sz w:val="28"/>
          <w:szCs w:val="28"/>
          <w:lang w:val="pl-PL"/>
        </w:rPr>
      </w:pPr>
      <w:proofErr w:type="spellStart"/>
      <w:r w:rsidRPr="00866E61">
        <w:rPr>
          <w:sz w:val="28"/>
          <w:szCs w:val="28"/>
          <w:lang w:val="pl-PL"/>
        </w:rPr>
        <w:t>Ministru</w:t>
      </w:r>
      <w:proofErr w:type="spellEnd"/>
      <w:r w:rsidRPr="00866E61">
        <w:rPr>
          <w:sz w:val="28"/>
          <w:szCs w:val="28"/>
          <w:lang w:val="pl-PL"/>
        </w:rPr>
        <w:t xml:space="preserve"> </w:t>
      </w:r>
      <w:proofErr w:type="spellStart"/>
      <w:r w:rsidRPr="00866E61">
        <w:rPr>
          <w:sz w:val="28"/>
          <w:szCs w:val="28"/>
          <w:lang w:val="pl-PL"/>
        </w:rPr>
        <w:t>kabineta</w:t>
      </w:r>
      <w:proofErr w:type="spellEnd"/>
    </w:p>
    <w:p w:rsidR="002074CD" w:rsidRPr="00866E61" w:rsidRDefault="002074CD" w:rsidP="00BB004C">
      <w:pPr>
        <w:ind w:right="42"/>
        <w:jc w:val="right"/>
        <w:rPr>
          <w:rFonts w:eastAsia="Calibri"/>
          <w:sz w:val="28"/>
          <w:szCs w:val="28"/>
          <w:lang w:eastAsia="en-US"/>
        </w:rPr>
      </w:pPr>
      <w:r w:rsidRPr="00866E61">
        <w:rPr>
          <w:rFonts w:eastAsia="Calibri"/>
          <w:sz w:val="28"/>
          <w:szCs w:val="28"/>
          <w:lang w:eastAsia="en-US"/>
        </w:rPr>
        <w:t>201</w:t>
      </w:r>
      <w:r w:rsidR="00BB004C">
        <w:rPr>
          <w:rFonts w:eastAsia="Calibri"/>
          <w:sz w:val="28"/>
          <w:szCs w:val="28"/>
          <w:lang w:eastAsia="en-US"/>
        </w:rPr>
        <w:t>5</w:t>
      </w:r>
      <w:r w:rsidRPr="00866E61">
        <w:rPr>
          <w:rFonts w:eastAsia="Calibri"/>
          <w:sz w:val="28"/>
          <w:szCs w:val="28"/>
          <w:lang w:eastAsia="en-US"/>
        </w:rPr>
        <w:t>.gada __._______</w:t>
      </w:r>
    </w:p>
    <w:p w:rsidR="002074CD" w:rsidRPr="00866E61" w:rsidRDefault="002074CD" w:rsidP="002074CD">
      <w:pPr>
        <w:spacing w:after="120"/>
        <w:ind w:right="40"/>
        <w:jc w:val="right"/>
        <w:rPr>
          <w:rFonts w:eastAsia="Calibri"/>
          <w:sz w:val="28"/>
          <w:szCs w:val="28"/>
          <w:lang w:eastAsia="en-US"/>
        </w:rPr>
      </w:pPr>
      <w:r w:rsidRPr="00866E61">
        <w:rPr>
          <w:rFonts w:eastAsia="Calibri"/>
          <w:sz w:val="28"/>
          <w:szCs w:val="28"/>
          <w:lang w:eastAsia="en-US"/>
        </w:rPr>
        <w:t>noteikumiem Nr.____</w:t>
      </w:r>
    </w:p>
    <w:p w:rsidR="00884716" w:rsidRDefault="00884716" w:rsidP="00D057F9">
      <w:pPr>
        <w:ind w:right="-766"/>
        <w:rPr>
          <w:sz w:val="28"/>
          <w:szCs w:val="28"/>
        </w:rPr>
      </w:pPr>
    </w:p>
    <w:p w:rsidR="00884716" w:rsidRDefault="00884716" w:rsidP="00D057F9">
      <w:pPr>
        <w:ind w:right="-765"/>
        <w:jc w:val="center"/>
        <w:rPr>
          <w:b/>
          <w:sz w:val="28"/>
          <w:szCs w:val="28"/>
        </w:rPr>
      </w:pPr>
      <w:r>
        <w:rPr>
          <w:b/>
          <w:sz w:val="28"/>
          <w:szCs w:val="28"/>
        </w:rPr>
        <w:t>Atbalstāmo investīciju projektu vērtēšanas kritēriji</w:t>
      </w:r>
    </w:p>
    <w:p w:rsidR="00884716" w:rsidRPr="00A1584C" w:rsidRDefault="00884716" w:rsidP="00D057F9">
      <w:pPr>
        <w:ind w:right="-765"/>
        <w:jc w:val="center"/>
        <w:rPr>
          <w:b/>
          <w:sz w:val="28"/>
          <w:szCs w:val="28"/>
        </w:rPr>
      </w:pPr>
    </w:p>
    <w:tbl>
      <w:tblPr>
        <w:tblW w:w="9280" w:type="dxa"/>
        <w:tblLayout w:type="fixed"/>
        <w:tblCellMar>
          <w:left w:w="0" w:type="dxa"/>
          <w:right w:w="0" w:type="dxa"/>
        </w:tblCellMar>
        <w:tblLook w:val="0000" w:firstRow="0" w:lastRow="0" w:firstColumn="0" w:lastColumn="0" w:noHBand="0" w:noVBand="0"/>
      </w:tblPr>
      <w:tblGrid>
        <w:gridCol w:w="702"/>
        <w:gridCol w:w="27"/>
        <w:gridCol w:w="6095"/>
        <w:gridCol w:w="1276"/>
        <w:gridCol w:w="200"/>
        <w:gridCol w:w="980"/>
      </w:tblGrid>
      <w:tr w:rsidR="00884716" w:rsidRPr="00A1584C" w:rsidTr="00D670D4">
        <w:trPr>
          <w:trHeight w:val="219"/>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
                <w:bCs/>
                <w:sz w:val="28"/>
                <w:szCs w:val="28"/>
              </w:rPr>
            </w:pPr>
            <w:r w:rsidRPr="00A1584C">
              <w:rPr>
                <w:b/>
                <w:bCs/>
                <w:sz w:val="28"/>
                <w:szCs w:val="28"/>
              </w:rPr>
              <w:t>1. Atbilstības kritēriji</w:t>
            </w:r>
          </w:p>
        </w:tc>
      </w:tr>
      <w:tr w:rsidR="00884716" w:rsidRPr="00A1584C" w:rsidTr="00D670D4">
        <w:trPr>
          <w:trHeight w:val="263"/>
        </w:trPr>
        <w:tc>
          <w:tcPr>
            <w:tcW w:w="702"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r w:rsidRPr="00A1584C">
              <w:rPr>
                <w:bCs/>
              </w:rPr>
              <w:t>Nr.</w:t>
            </w:r>
            <w:r w:rsidRPr="00A1584C">
              <w:rPr>
                <w:bCs/>
              </w:rPr>
              <w:br/>
              <w:t>p.k.</w:t>
            </w:r>
          </w:p>
        </w:tc>
        <w:tc>
          <w:tcPr>
            <w:tcW w:w="6122" w:type="dxa"/>
            <w:gridSpan w:val="2"/>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r w:rsidRPr="00A1584C">
              <w:rPr>
                <w:bCs/>
              </w:rPr>
              <w:t>Kritēriji</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Vērtēšanas sistēma</w:t>
            </w:r>
          </w:p>
        </w:tc>
        <w:tc>
          <w:tcPr>
            <w:tcW w:w="1180"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Cs/>
              </w:rPr>
            </w:pPr>
            <w:r w:rsidRPr="00A1584C">
              <w:rPr>
                <w:bCs/>
              </w:rPr>
              <w:t>Piezīmes*</w:t>
            </w:r>
          </w:p>
        </w:tc>
      </w:tr>
      <w:tr w:rsidR="00884716" w:rsidRPr="00A1584C" w:rsidTr="00D670D4">
        <w:trPr>
          <w:trHeight w:val="262"/>
        </w:trPr>
        <w:tc>
          <w:tcPr>
            <w:tcW w:w="702"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p>
        </w:tc>
        <w:tc>
          <w:tcPr>
            <w:tcW w:w="6122" w:type="dxa"/>
            <w:gridSpan w:val="2"/>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Jā/Nē</w:t>
            </w:r>
          </w:p>
        </w:tc>
        <w:tc>
          <w:tcPr>
            <w:tcW w:w="1180"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jc w:val="center"/>
              <w:rPr>
                <w:bCs/>
              </w:rPr>
            </w:pPr>
          </w:p>
        </w:tc>
      </w:tr>
      <w:tr w:rsidR="00884716" w:rsidRPr="00A1584C"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1.1.</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F75E94" w:rsidRDefault="00884716" w:rsidP="00526FAB">
            <w:pPr>
              <w:ind w:right="121"/>
              <w:jc w:val="both"/>
            </w:pPr>
            <w:r w:rsidRPr="00F75E94">
              <w:t xml:space="preserve">Projekta iesniedzējs </w:t>
            </w:r>
            <w:r w:rsidR="00526FAB" w:rsidRPr="00F75E94">
              <w:t>ir viens no likuma „Par uzņēmumu ienākuma nodokli” 2.panta pirmās daļas 1.punktā minētajiem saimnieciskās darbības veicējiem vai ārvalstu komercsabiedrība, kas reģistrētas Latvijā kā nodokļu maksātājs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1.2.</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0E3B5A">
            <w:pPr>
              <w:ind w:right="121"/>
              <w:jc w:val="both"/>
              <w:rPr>
                <w:b/>
                <w:bCs/>
              </w:rPr>
            </w:pPr>
            <w:r w:rsidRPr="00A1584C">
              <w:t xml:space="preserve">Projekta ietvaros ieguldījumi </w:t>
            </w:r>
            <w:r w:rsidR="000E3B5A">
              <w:t xml:space="preserve">tiks veikti </w:t>
            </w:r>
            <w:r w:rsidR="000E3B5A" w:rsidRPr="000E3B5A">
              <w:t xml:space="preserve">nelietotos (jaunos) pamatlīdzekļos </w:t>
            </w:r>
            <w:r w:rsidR="000E3B5A">
              <w:t>(jaunās ražošanas tehnoloģiskajās iekārtā</w:t>
            </w:r>
            <w:r w:rsidR="000E3B5A" w:rsidRPr="000E3B5A">
              <w:t>s un telekomunikācij</w:t>
            </w:r>
            <w:r w:rsidR="000E3B5A">
              <w:t xml:space="preserve">u un </w:t>
            </w:r>
            <w:proofErr w:type="spellStart"/>
            <w:r w:rsidR="000E3B5A">
              <w:t>datorprogrammēšanas</w:t>
            </w:r>
            <w:proofErr w:type="spellEnd"/>
            <w:r w:rsidR="000E3B5A">
              <w:t xml:space="preserve"> iekārtās, cauruļvados</w:t>
            </w:r>
            <w:r w:rsidR="000E3B5A" w:rsidRPr="000E3B5A">
              <w:t xml:space="preserve">, </w:t>
            </w:r>
            <w:r w:rsidR="000E3B5A">
              <w:t>sakaru un elektropārvades līnijā</w:t>
            </w:r>
            <w:r w:rsidR="000E3B5A" w:rsidRPr="000E3B5A">
              <w:t>s (būvju klasifikāc</w:t>
            </w:r>
            <w:r w:rsidR="000E3B5A">
              <w:t xml:space="preserve">ijas kods 22) un to </w:t>
            </w:r>
            <w:proofErr w:type="spellStart"/>
            <w:r w:rsidR="000E3B5A">
              <w:t>palīgiekārtā</w:t>
            </w:r>
            <w:r w:rsidR="000E3B5A" w:rsidRPr="000E3B5A">
              <w:t>s</w:t>
            </w:r>
            <w:proofErr w:type="spellEnd"/>
            <w:r w:rsidR="000E3B5A" w:rsidRPr="000E3B5A">
              <w:t>, kas nodrošina to pilna ražošanas vai pakalpojumu sniegšanas cikla tehnoloģisko operāciju kopum</w:t>
            </w:r>
            <w:r w:rsidR="000E3B5A">
              <w:t xml:space="preserve">u), kā arī </w:t>
            </w:r>
            <w:r w:rsidR="000E3B5A" w:rsidRPr="000E3B5A">
              <w:t>ēkās un būvēs, kuras saskaņā ar normatīvajiem aktiem, kas nosaka būvju klasifikāciju, klasificētas kā satiksmes un sakaru ēkas (būvju klasifikācijas kods 124), rūpnieciskās ražošanas ēkas un noliktavas (būvju klasifikācijas kods 125) un transporta būves (būvju klasifikācijas kods 21)</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EF50F4" w:rsidRPr="00A1584C" w:rsidTr="00D670D4">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F50F4" w:rsidRPr="00A1584C" w:rsidRDefault="00EF50F4" w:rsidP="00633C59">
            <w:pPr>
              <w:rPr>
                <w:bCs/>
              </w:rPr>
            </w:pPr>
            <w:r>
              <w:rPr>
                <w:bCs/>
              </w:rPr>
              <w:t>1.3.</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F50F4" w:rsidRPr="00A1584C" w:rsidRDefault="00EF50F4" w:rsidP="00EF50F4">
            <w:pPr>
              <w:ind w:right="121"/>
              <w:jc w:val="both"/>
            </w:pPr>
            <w:r w:rsidRPr="00EF50F4">
              <w:t xml:space="preserve">Sākotnējos ilgtermiņa ieguldījumos </w:t>
            </w:r>
            <w:r>
              <w:t>nav</w:t>
            </w:r>
            <w:r w:rsidRPr="00EF50F4">
              <w:t xml:space="preserve"> ietverti transportlīdzekļi, kuri saskaņā ar normatīvajiem aktiem satiksmes jomā ir paredzēti reģistrācijai Ceļu satiksmes drošības direkcijā vai Valsts tehniskās uzraudzības aģentūras Traktortehnikas reģistrā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EF50F4" w:rsidRPr="00A1584C" w:rsidRDefault="00EF50F4"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EF50F4" w:rsidRPr="00A1584C" w:rsidRDefault="007F40FD" w:rsidP="00D057F9">
            <w:pPr>
              <w:jc w:val="center"/>
            </w:pPr>
            <w:r>
              <w:t>N</w:t>
            </w:r>
          </w:p>
        </w:tc>
      </w:tr>
      <w:tr w:rsidR="00884716" w:rsidRPr="00A1584C" w:rsidTr="00D670D4">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EF50F4">
            <w:pPr>
              <w:rPr>
                <w:bCs/>
              </w:rPr>
            </w:pPr>
            <w:r w:rsidRPr="00A1584C">
              <w:rPr>
                <w:bCs/>
              </w:rPr>
              <w:t>1.</w:t>
            </w:r>
            <w:r w:rsidR="00EF50F4">
              <w:rPr>
                <w:bCs/>
              </w:rPr>
              <w:t>4</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ind w:right="121"/>
              <w:jc w:val="both"/>
              <w:rPr>
                <w:b/>
                <w:bCs/>
              </w:rPr>
            </w:pPr>
            <w:r w:rsidRPr="00A1584C">
              <w:t xml:space="preserve">Projekta ietvaros tiks veikti sākotnējie ilgtermiņa ieguldījumi, kuru kopējā summa pārsniedz </w:t>
            </w:r>
            <w:r w:rsidR="000E3B5A">
              <w:t>10</w:t>
            </w:r>
            <w:r w:rsidR="000E3B5A" w:rsidRPr="00A1584C">
              <w:t xml:space="preserve"> </w:t>
            </w:r>
            <w:r w:rsidRPr="00A1584C">
              <w:t xml:space="preserve">miljonus </w:t>
            </w:r>
            <w:proofErr w:type="spellStart"/>
            <w:r w:rsidR="002074CD" w:rsidRPr="002074CD">
              <w:rPr>
                <w:i/>
                <w:iCs/>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jc w:val="cente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884716" w:rsidRPr="00A1584C" w:rsidRDefault="00884716" w:rsidP="00D057F9">
            <w:pPr>
              <w:jc w:val="center"/>
            </w:pPr>
            <w:r w:rsidRPr="00A1584C">
              <w:t>N</w:t>
            </w:r>
          </w:p>
        </w:tc>
      </w:tr>
      <w:tr w:rsidR="00E735A4" w:rsidRPr="00A1584C" w:rsidTr="00D670D4">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735A4" w:rsidRPr="00A1584C" w:rsidRDefault="00E735A4" w:rsidP="00EF50F4">
            <w:pPr>
              <w:rPr>
                <w:bCs/>
              </w:rPr>
            </w:pPr>
            <w:r>
              <w:rPr>
                <w:bCs/>
              </w:rPr>
              <w:t>1.</w:t>
            </w:r>
            <w:r w:rsidR="00EF50F4">
              <w:rPr>
                <w:bCs/>
              </w:rPr>
              <w:t>5</w:t>
            </w:r>
            <w:r>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735A4" w:rsidRPr="00A1584C" w:rsidRDefault="00526FAB" w:rsidP="00526FAB">
            <w:pPr>
              <w:ind w:right="121"/>
              <w:jc w:val="both"/>
            </w:pPr>
            <w:r>
              <w:t>Sākotnējo ilgtermiņa i</w:t>
            </w:r>
            <w:r w:rsidR="00E735A4" w:rsidRPr="00E735A4">
              <w:t>eguldījum</w:t>
            </w:r>
            <w:r>
              <w:t>u attiecināmās izmaksas</w:t>
            </w:r>
            <w:r w:rsidR="00E735A4" w:rsidRPr="00E735A4">
              <w:t xml:space="preserve"> ēkās un būvēs nepārsniedz 40 procentus no kopējās sākotnējo ilgtermiņa ieguldījumu summas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E735A4" w:rsidRPr="00A1584C" w:rsidRDefault="00E735A4" w:rsidP="00D057F9">
            <w:pPr>
              <w:jc w:val="cente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735A4" w:rsidRPr="00A1584C" w:rsidRDefault="007F40FD" w:rsidP="00D057F9">
            <w:pPr>
              <w:jc w:val="center"/>
            </w:pPr>
            <w:r>
              <w:t>N</w:t>
            </w:r>
          </w:p>
        </w:tc>
      </w:tr>
      <w:tr w:rsidR="00884716" w:rsidRPr="00A1584C" w:rsidTr="00D670D4">
        <w:trPr>
          <w:trHeight w:val="817"/>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EF50F4">
            <w:pPr>
              <w:rPr>
                <w:bCs/>
              </w:rPr>
            </w:pPr>
            <w:r w:rsidRPr="00A1584C">
              <w:rPr>
                <w:bCs/>
              </w:rPr>
              <w:t>1.</w:t>
            </w:r>
            <w:r w:rsidR="00EF50F4">
              <w:rPr>
                <w:bCs/>
              </w:rPr>
              <w:t>6</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E735A4">
            <w:pPr>
              <w:ind w:right="121"/>
              <w:jc w:val="both"/>
              <w:rPr>
                <w:b/>
                <w:bCs/>
              </w:rPr>
            </w:pPr>
            <w:r w:rsidRPr="00A1584C">
              <w:t xml:space="preserve">Kopējā sākotnējo ilgtermiņa ieguldījumu summa tiks ieguldīta </w:t>
            </w:r>
            <w:r>
              <w:t>piecu</w:t>
            </w:r>
            <w:r w:rsidRPr="00A1584C">
              <w:t xml:space="preserve"> gadu laikā, sākot no dienas, </w:t>
            </w:r>
            <w:r w:rsidR="00E735A4" w:rsidRPr="00E735A4">
              <w:t xml:space="preserve">kurā Ekonomikas ministrijā ir saņemts atbalstāmo </w:t>
            </w:r>
            <w:r w:rsidR="00E735A4">
              <w:t>investīciju projekta pieteikums,</w:t>
            </w:r>
            <w:r w:rsidRPr="00A1584C">
              <w:t xml:space="preserve"> bet ne vēlāk kā līdz </w:t>
            </w:r>
            <w:r w:rsidR="00E735A4" w:rsidRPr="004E6C25">
              <w:t>20</w:t>
            </w:r>
            <w:r w:rsidR="00E735A4">
              <w:t>25</w:t>
            </w:r>
            <w:r w:rsidRPr="004E6C25">
              <w:t>.gada 31.decembrim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jc w:val="cente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953"/>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9D3971">
            <w:pPr>
              <w:rPr>
                <w:bCs/>
              </w:rPr>
            </w:pPr>
            <w:r w:rsidRPr="00A1584C">
              <w:rPr>
                <w:bCs/>
              </w:rPr>
              <w:t>1.</w:t>
            </w:r>
            <w:r w:rsidR="009D3971">
              <w:rPr>
                <w:bCs/>
              </w:rPr>
              <w:t>7</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84716" w:rsidRPr="00A1584C" w:rsidRDefault="00E735A4" w:rsidP="00526FAB">
            <w:pPr>
              <w:ind w:right="121"/>
              <w:jc w:val="both"/>
              <w:rPr>
                <w:b/>
                <w:bCs/>
              </w:rPr>
            </w:pPr>
            <w:r>
              <w:t>S</w:t>
            </w:r>
            <w:r w:rsidRPr="00E735A4">
              <w:t xml:space="preserve">ākotnējie ilgtermiņa ieguldījumi </w:t>
            </w:r>
            <w:r w:rsidR="00526FAB">
              <w:t xml:space="preserve">tiks </w:t>
            </w:r>
            <w:r w:rsidRPr="00E735A4">
              <w:t xml:space="preserve">veikti jaunas uzņēmējdarbības  vietas izveidei, vai lai palielinātu ražošanas vai pakalpojumu jaudu, uzsāktu tādas jaunas produkcijas ražošanu, kuru </w:t>
            </w:r>
            <w:r>
              <w:t>projekta iesniedzējs</w:t>
            </w:r>
            <w:r w:rsidRPr="00E735A4">
              <w:t xml:space="preserve"> iepriekš nav ražojis, vai būtiski mainītu ražošanas procesu</w:t>
            </w:r>
            <w:r w:rsidR="008A1C81">
              <w:t xml:space="preserve">. Ja sākotnējie ilgtermiņa ieguldījumi saistīti ar </w:t>
            </w:r>
            <w:r w:rsidR="008A1C81" w:rsidRPr="008A1C81">
              <w:t>būtisku ražošanas procesa maiņu</w:t>
            </w:r>
            <w:r w:rsidR="008A1C81">
              <w:t xml:space="preserve">, tie </w:t>
            </w:r>
            <w:r w:rsidR="002074CD">
              <w:lastRenderedPageBreak/>
              <w:t>atbilst Komisijas R</w:t>
            </w:r>
            <w:r w:rsidR="00EF50F4" w:rsidRPr="00EF50F4">
              <w:t>egulas Nr.651/2014 14.panta 7.punktā noteiktajām prasībām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486"/>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9D3971">
            <w:pPr>
              <w:rPr>
                <w:bCs/>
              </w:rPr>
            </w:pPr>
            <w:r w:rsidRPr="00A1584C">
              <w:rPr>
                <w:bCs/>
              </w:rPr>
              <w:lastRenderedPageBreak/>
              <w:t>1.</w:t>
            </w:r>
            <w:r w:rsidR="009D3971">
              <w:rPr>
                <w:bCs/>
              </w:rPr>
              <w:t>8</w:t>
            </w:r>
            <w:r w:rsidRPr="00A1584C">
              <w:rPr>
                <w:bCs/>
              </w:rPr>
              <w:t>.</w:t>
            </w:r>
          </w:p>
        </w:tc>
        <w:tc>
          <w:tcPr>
            <w:tcW w:w="612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F50F4" w:rsidRPr="002074CD" w:rsidRDefault="00884716" w:rsidP="00EF50F4">
            <w:pPr>
              <w:ind w:right="121"/>
              <w:jc w:val="both"/>
            </w:pPr>
            <w:r w:rsidRPr="00A1584C">
              <w:t>Nekustamais īpašums, kurā tiks veikti un izmantoti sākotnējie ilgtermiņa ieguldījumi, ir projekta iesniedzēja īpašums vai projekta iesniedzējam uz to ir ilgtermiņa nomas tiesības (vismaz vēl 13 gadu pēc projekta uzsākšanas), un tās ir nostiprinātas zemesgrāmatā</w:t>
            </w:r>
            <w:r w:rsidR="00EF50F4">
              <w:t xml:space="preserve">. </w:t>
            </w:r>
            <w:r w:rsidR="00EF50F4" w:rsidRPr="00EF50F4">
              <w:t>Ja nekustamais īpašums tiek nomāts no valsts vai pašvaldības, projekta iesniedzējam uz to ir ilgtermiņa nomas tiesības vismaz vēl 12 gadu pēc projekta uzsākšanas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B3045">
            <w:pPr>
              <w:rPr>
                <w:bCs/>
              </w:rPr>
            </w:pPr>
            <w:r w:rsidRPr="00A1584C">
              <w:rPr>
                <w:bCs/>
              </w:rPr>
              <w:t>1.</w:t>
            </w:r>
            <w:r w:rsidR="006B3045">
              <w:rPr>
                <w:bCs/>
              </w:rPr>
              <w:t>9</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9D3971" w:rsidP="0001257E">
            <w:pPr>
              <w:ind w:right="121"/>
              <w:jc w:val="both"/>
              <w:rPr>
                <w:b/>
                <w:bCs/>
              </w:rPr>
            </w:pPr>
            <w:r>
              <w:t xml:space="preserve">Projekta iesniedzējs neatbilst </w:t>
            </w:r>
            <w:r w:rsidRPr="009D3971">
              <w:t>grūt</w:t>
            </w:r>
            <w:r>
              <w:t>ībās nonākuš</w:t>
            </w:r>
            <w:r w:rsidR="0001257E">
              <w:t>as</w:t>
            </w:r>
            <w:r w:rsidRPr="009D3971">
              <w:t xml:space="preserve"> </w:t>
            </w:r>
            <w:r w:rsidR="0001257E">
              <w:t>komercsabiedrības</w:t>
            </w:r>
            <w:r w:rsidRPr="009D3971">
              <w:t xml:space="preserve"> </w:t>
            </w:r>
            <w:r w:rsidR="0001257E">
              <w:t xml:space="preserve">pazīmēm, kas noteiktas </w:t>
            </w:r>
            <w:r w:rsidRPr="009D3971">
              <w:t xml:space="preserve">Komisijas regulas Nr.651/2014 </w:t>
            </w:r>
            <w:r w:rsidR="006B3045">
              <w:t xml:space="preserve">otrā </w:t>
            </w:r>
            <w:r w:rsidRPr="009D3971">
              <w:t>panta 18.punktā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p>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B3045">
            <w:pPr>
              <w:rPr>
                <w:bCs/>
              </w:rPr>
            </w:pPr>
            <w:r w:rsidRPr="00A1584C">
              <w:rPr>
                <w:bCs/>
              </w:rPr>
              <w:t>1.</w:t>
            </w:r>
            <w:r w:rsidR="006B3045">
              <w:rPr>
                <w:bCs/>
              </w:rPr>
              <w:t>10</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6B3045" w:rsidP="005E0E8A">
            <w:pPr>
              <w:ind w:right="121"/>
              <w:jc w:val="both"/>
            </w:pPr>
            <w:r w:rsidRPr="006B3045">
              <w:t xml:space="preserve">Projekta iesniedzējam taksācijas perioda pēdējā dienā nodokļu parāda kopsumma nepārsniedz 150 </w:t>
            </w:r>
            <w:proofErr w:type="spellStart"/>
            <w:r w:rsidRPr="002074CD">
              <w:rPr>
                <w:i/>
                <w:iCs/>
              </w:rPr>
              <w:t>euro</w:t>
            </w:r>
            <w:proofErr w:type="spellEnd"/>
            <w:r w:rsidRPr="006B3045">
              <w:t>, izņemot nodokļu maksājumus, kuru maksāšanas termiņi ir pagarināti saskaņā ar likumu „Par nodokļiem un nodevām”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rPr>
                <w:bCs/>
              </w:rPr>
            </w:pPr>
            <w:r w:rsidRPr="00A1584C">
              <w:rPr>
                <w:bCs/>
              </w:rPr>
              <w:t>1.</w:t>
            </w:r>
            <w:r w:rsidR="007D684E" w:rsidRPr="00A1584C">
              <w:rPr>
                <w:bCs/>
              </w:rPr>
              <w:t>1</w:t>
            </w:r>
            <w:r w:rsidR="002074CD">
              <w:rPr>
                <w:bCs/>
              </w:rPr>
              <w:t>1</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BF3B68">
            <w:pPr>
              <w:ind w:right="121"/>
              <w:jc w:val="both"/>
            </w:pPr>
            <w:r w:rsidRPr="00A1584C">
              <w:t xml:space="preserve">Uz projekta iesniedzēju neattiecas </w:t>
            </w:r>
            <w:r w:rsidR="007D684E">
              <w:t xml:space="preserve">neizpildīts </w:t>
            </w:r>
            <w:r w:rsidRPr="00A1584C">
              <w:t xml:space="preserve">līdzekļu atgūšanas rīkojums saskaņā ar </w:t>
            </w:r>
            <w:r w:rsidR="007D684E">
              <w:t xml:space="preserve">iepriekšēju </w:t>
            </w:r>
            <w:r w:rsidRPr="00A1584C">
              <w:t>Eiropas Komisijas lēmumu, ar ko valsts vai Eiropas Savienības atbalsts tiek atzīts par nelikumīgu un nesaderīgu ar kopējo tirgu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rPr>
                <w:bCs/>
              </w:rPr>
            </w:pPr>
            <w:r w:rsidRPr="00A1584C">
              <w:rPr>
                <w:bCs/>
              </w:rPr>
              <w:t>1.</w:t>
            </w:r>
            <w:r w:rsidR="007D684E" w:rsidRPr="00A1584C">
              <w:rPr>
                <w:bCs/>
              </w:rPr>
              <w:t>1</w:t>
            </w:r>
            <w:r w:rsidR="002074CD">
              <w:rPr>
                <w:bCs/>
              </w:rPr>
              <w:t>2</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7D684E">
            <w:pPr>
              <w:ind w:right="121"/>
              <w:jc w:val="both"/>
            </w:pPr>
            <w:r w:rsidRPr="00A1584C">
              <w:t xml:space="preserve">Projekta ietvaros sākotnējie ilgtermiņa ieguldījumi tiks veikti atbalstāmās prioritārās nozarēs, kas minētas likuma </w:t>
            </w:r>
            <w:r w:rsidR="007D684E">
              <w:t>„</w:t>
            </w:r>
            <w:r w:rsidRPr="00A1584C">
              <w:t>Par uzņēmumu ienākuma nodokli</w:t>
            </w:r>
            <w:r w:rsidR="007D684E">
              <w:t>”</w:t>
            </w:r>
            <w:r w:rsidRPr="00A1584C">
              <w:t xml:space="preserve"> 17.</w:t>
            </w:r>
            <w:r w:rsidRPr="00A1584C">
              <w:rPr>
                <w:vertAlign w:val="superscript"/>
              </w:rPr>
              <w:t>2 </w:t>
            </w:r>
            <w:r w:rsidRPr="00A1584C">
              <w:t>panta astotajā daļā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2074CD">
            <w:pPr>
              <w:rPr>
                <w:bCs/>
              </w:rPr>
            </w:pPr>
            <w:r w:rsidRPr="00A1584C">
              <w:rPr>
                <w:bCs/>
              </w:rPr>
              <w:t>1.</w:t>
            </w:r>
            <w:r w:rsidR="007D684E" w:rsidRPr="00A1584C">
              <w:rPr>
                <w:bCs/>
              </w:rPr>
              <w:t>1</w:t>
            </w:r>
            <w:r w:rsidR="002074CD">
              <w:rPr>
                <w:bCs/>
              </w:rPr>
              <w:t>3</w:t>
            </w:r>
            <w:r w:rsidRPr="00A1584C">
              <w:rPr>
                <w:bCs/>
              </w:rPr>
              <w:t>.</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2074CD">
            <w:pPr>
              <w:ind w:right="121"/>
              <w:jc w:val="both"/>
            </w:pPr>
            <w:r w:rsidRPr="00A1584C">
              <w:t xml:space="preserve">Projekta īstenošana netiks uzsākta pirms </w:t>
            </w:r>
            <w:r w:rsidR="002074CD">
              <w:t>projekta iesniegšanas Ekonomikas ministrijā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678"/>
        </w:trPr>
        <w:tc>
          <w:tcPr>
            <w:tcW w:w="928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
                <w:sz w:val="28"/>
                <w:szCs w:val="28"/>
              </w:rPr>
            </w:pPr>
            <w:r w:rsidRPr="00A1584C">
              <w:rPr>
                <w:b/>
                <w:sz w:val="28"/>
                <w:szCs w:val="28"/>
              </w:rPr>
              <w:t>2. Administratīvie kritēriji</w:t>
            </w:r>
          </w:p>
        </w:tc>
      </w:tr>
      <w:tr w:rsidR="00884716" w:rsidRPr="00A1584C" w:rsidTr="00D670D4">
        <w:trPr>
          <w:trHeight w:val="338"/>
        </w:trPr>
        <w:tc>
          <w:tcPr>
            <w:tcW w:w="70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Cs/>
              </w:rPr>
            </w:pPr>
            <w:r w:rsidRPr="00A1584C">
              <w:rPr>
                <w:bCs/>
              </w:rPr>
              <w:t>Nr.</w:t>
            </w:r>
          </w:p>
          <w:p w:rsidR="00884716" w:rsidRPr="00A1584C" w:rsidRDefault="00884716" w:rsidP="00D057F9">
            <w:pPr>
              <w:jc w:val="center"/>
              <w:rPr>
                <w:bCs/>
              </w:rPr>
            </w:pPr>
            <w:r w:rsidRPr="00A1584C">
              <w:rPr>
                <w:bCs/>
              </w:rPr>
              <w:t>p.k.</w:t>
            </w:r>
          </w:p>
        </w:tc>
        <w:tc>
          <w:tcPr>
            <w:tcW w:w="6122" w:type="dxa"/>
            <w:gridSpan w:val="2"/>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Kritēriji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Vērtēšanas sistēma</w:t>
            </w:r>
          </w:p>
        </w:tc>
        <w:tc>
          <w:tcPr>
            <w:tcW w:w="1180" w:type="dxa"/>
            <w:gridSpan w:val="2"/>
            <w:vMerge w:val="restart"/>
            <w:tcBorders>
              <w:top w:val="single" w:sz="4" w:space="0" w:color="auto"/>
              <w:left w:val="nil"/>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Piezīmes*</w:t>
            </w:r>
          </w:p>
        </w:tc>
      </w:tr>
      <w:tr w:rsidR="00884716" w:rsidRPr="00A1584C" w:rsidTr="00D670D4">
        <w:trPr>
          <w:trHeight w:val="337"/>
        </w:trPr>
        <w:tc>
          <w:tcPr>
            <w:tcW w:w="702"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rPr>
                <w:bCs/>
              </w:rPr>
            </w:pPr>
          </w:p>
        </w:tc>
        <w:tc>
          <w:tcPr>
            <w:tcW w:w="6122" w:type="dxa"/>
            <w:gridSpan w:val="2"/>
            <w:vMerge/>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Jā/Nē</w:t>
            </w:r>
          </w:p>
        </w:tc>
        <w:tc>
          <w:tcPr>
            <w:tcW w:w="1180" w:type="dxa"/>
            <w:gridSpan w:val="2"/>
            <w:vMerge/>
            <w:tcBorders>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2.1.</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ind w:right="121"/>
              <w:jc w:val="both"/>
            </w:pPr>
            <w:r w:rsidRPr="00A1584C">
              <w:t>Projekta pieteikums ir sagatavots atbilstoši projekta pieteikuma veidlapai, ir pievienoti visi šajos noteikumos minētie dokumenti, un tie ir noformēti atbilstoši Latvijas Republikas normatīvo aktu prasībām dokumentu izstrādāšanas un noformēšanas jomā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2.2.</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84716" w:rsidRPr="00A1584C" w:rsidRDefault="00884716" w:rsidP="00D057F9">
            <w:pPr>
              <w:ind w:right="121"/>
              <w:jc w:val="both"/>
            </w:pPr>
            <w:r w:rsidRPr="00A1584C">
              <w:t>Projekta pieteikuma oriģinālam, tam pievienotajiem dokumentiem un dokumentu atvasinājumiem, kuri ir sagatavoti, ievērojot normatīvos aktus dokumentu izstrādāšanas un noformēšanas jomā, ir dokumenta juridiskais spēks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373"/>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2.3.</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pieteikuma veidlapa ir pilnībā aizpildīta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2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2.4.</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Ja projekta pieteikums ir iesniegts papīra formā, projekta pieteikuma oriģināls ir ar sanumurētām lapām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0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2.5.</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pieteikumā nav neatrunātu labojumu – dzēsumu, aizkrāsojumu, svītrojumu un papildinājumu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325"/>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lastRenderedPageBreak/>
              <w:t>2.6.</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2074CD">
            <w:pPr>
              <w:ind w:right="121"/>
              <w:jc w:val="both"/>
            </w:pPr>
            <w:r w:rsidRPr="00A1584C">
              <w:t xml:space="preserve">Projekta pieteikumā lietotā naudas vienība ir </w:t>
            </w:r>
            <w:proofErr w:type="spellStart"/>
            <w:r w:rsidR="002074CD" w:rsidRPr="002074CD">
              <w:rPr>
                <w:i/>
                <w:iCs/>
              </w:rPr>
              <w:t>euro</w:t>
            </w:r>
            <w:proofErr w:type="spellEnd"/>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02"/>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2.7.</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pieteikums iesniegts projektu pieteikumu iesniegšanas termiņā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N</w:t>
            </w:r>
          </w:p>
        </w:tc>
      </w:tr>
      <w:tr w:rsidR="00884716" w:rsidRPr="00A1584C" w:rsidTr="00D670D4">
        <w:trPr>
          <w:trHeight w:val="34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2.8.</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pieteikums ir aizpildīts latviešu valodā un datorrakstā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633C59">
            <w:pPr>
              <w:rPr>
                <w:bCs/>
              </w:rPr>
            </w:pPr>
            <w:r w:rsidRPr="00A1584C">
              <w:rPr>
                <w:bCs/>
              </w:rPr>
              <w:t>2.9.</w:t>
            </w:r>
          </w:p>
        </w:tc>
        <w:tc>
          <w:tcPr>
            <w:tcW w:w="6122"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Ja projekta pieteikums ir iesniegts papīra formā, projekta pieteikums ir iesniegts divos eksemplāros (oriģināls un kopija)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tc>
        <w:tc>
          <w:tcPr>
            <w:tcW w:w="11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r w:rsidRPr="00A1584C">
              <w:t>P</w:t>
            </w:r>
          </w:p>
        </w:tc>
      </w:tr>
      <w:tr w:rsidR="00884716" w:rsidRPr="00A1584C" w:rsidTr="00D670D4">
        <w:trPr>
          <w:trHeight w:val="525"/>
        </w:trPr>
        <w:tc>
          <w:tcPr>
            <w:tcW w:w="928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
                <w:bCs/>
                <w:sz w:val="28"/>
                <w:szCs w:val="28"/>
              </w:rPr>
            </w:pPr>
            <w:r w:rsidRPr="00A1584C">
              <w:rPr>
                <w:b/>
                <w:bCs/>
                <w:sz w:val="28"/>
                <w:szCs w:val="28"/>
              </w:rPr>
              <w:t>3. Kvalitātes kritēriji</w:t>
            </w:r>
          </w:p>
        </w:tc>
      </w:tr>
      <w:tr w:rsidR="00884716" w:rsidRPr="00A1584C" w:rsidTr="00D670D4">
        <w:trPr>
          <w:trHeight w:val="300"/>
        </w:trPr>
        <w:tc>
          <w:tcPr>
            <w:tcW w:w="729"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r w:rsidRPr="00A1584C">
              <w:rPr>
                <w:bCs/>
              </w:rPr>
              <w:t>Nr.</w:t>
            </w:r>
            <w:r w:rsidRPr="00A1584C">
              <w:rPr>
                <w:bCs/>
              </w:rPr>
              <w:br/>
              <w:t>p.k.</w:t>
            </w:r>
          </w:p>
        </w:tc>
        <w:tc>
          <w:tcPr>
            <w:tcW w:w="6095"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r w:rsidRPr="00A1584C">
              <w:rPr>
                <w:bCs/>
              </w:rPr>
              <w:t>Kritēriji</w:t>
            </w: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 xml:space="preserve">Vērtēšanas sistēma </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884716" w:rsidRPr="00A1584C" w:rsidRDefault="00884716" w:rsidP="00D057F9">
            <w:pPr>
              <w:jc w:val="center"/>
              <w:rPr>
                <w:bCs/>
              </w:rPr>
            </w:pPr>
            <w:r w:rsidRPr="00A1584C">
              <w:rPr>
                <w:bCs/>
              </w:rPr>
              <w:t>Piezīmes</w:t>
            </w:r>
          </w:p>
        </w:tc>
      </w:tr>
      <w:tr w:rsidR="00884716" w:rsidRPr="00A1584C" w:rsidTr="00D670D4">
        <w:trPr>
          <w:trHeight w:val="118"/>
        </w:trPr>
        <w:tc>
          <w:tcPr>
            <w:tcW w:w="729" w:type="dxa"/>
            <w:gridSpan w:val="2"/>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p>
        </w:tc>
        <w:tc>
          <w:tcPr>
            <w:tcW w:w="6095"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rPr>
                <w:bCs/>
              </w:rPr>
            </w:pPr>
          </w:p>
        </w:tc>
        <w:tc>
          <w:tcPr>
            <w:tcW w:w="1476"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84716" w:rsidRPr="00A1584C" w:rsidRDefault="00884716" w:rsidP="00D057F9">
            <w:pPr>
              <w:jc w:val="center"/>
              <w:rPr>
                <w:bCs/>
              </w:rPr>
            </w:pPr>
            <w:r w:rsidRPr="00A1584C">
              <w:rPr>
                <w:bCs/>
              </w:rPr>
              <w:t>Punkti</w:t>
            </w:r>
          </w:p>
        </w:tc>
        <w:tc>
          <w:tcPr>
            <w:tcW w:w="980" w:type="dxa"/>
            <w:vMerge/>
            <w:tcBorders>
              <w:top w:val="single" w:sz="8" w:space="0" w:color="auto"/>
              <w:left w:val="single" w:sz="4" w:space="0" w:color="auto"/>
              <w:bottom w:val="single" w:sz="4" w:space="0" w:color="auto"/>
              <w:right w:val="single" w:sz="4" w:space="0" w:color="auto"/>
            </w:tcBorders>
            <w:vAlign w:val="bottom"/>
          </w:tcPr>
          <w:p w:rsidR="00884716" w:rsidRPr="00A1584C" w:rsidRDefault="00884716" w:rsidP="00D057F9">
            <w:pPr>
              <w:jc w:val="center"/>
              <w:rPr>
                <w:bCs/>
              </w:rPr>
            </w:pPr>
          </w:p>
        </w:tc>
      </w:tr>
      <w:tr w:rsidR="00884716" w:rsidRPr="00A1584C" w:rsidTr="00D670D4">
        <w:trPr>
          <w:cantSplit/>
          <w:trHeight w:val="27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6F61C7" w:rsidP="006F61C7">
            <w:pPr>
              <w:jc w:val="both"/>
              <w:rPr>
                <w:bCs/>
              </w:rPr>
            </w:pPr>
            <w:r>
              <w:t>S</w:t>
            </w:r>
            <w:r w:rsidR="00884716" w:rsidRPr="00A1584C">
              <w:t>ākotnējo ilgtermiņa ieguldījumu apmērs</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20</w:t>
            </w:r>
          </w:p>
        </w:tc>
        <w:tc>
          <w:tcPr>
            <w:tcW w:w="980"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84716" w:rsidRPr="00A1584C" w:rsidRDefault="00884716" w:rsidP="00D057F9">
            <w:pPr>
              <w:jc w:val="center"/>
            </w:pPr>
          </w:p>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 xml:space="preserve">sākotnējo ilgtermiņa ieguldījumu apmērs pārsniedz </w:t>
            </w:r>
            <w:r w:rsidR="008E3FE8">
              <w:t>50</w:t>
            </w:r>
            <w:r w:rsidR="008E3FE8" w:rsidRPr="00A1584C">
              <w:t xml:space="preserve"> </w:t>
            </w:r>
            <w:r w:rsidRPr="00A1584C">
              <w:t xml:space="preserve">milj. </w:t>
            </w:r>
            <w:proofErr w:type="spellStart"/>
            <w:r w:rsidR="008E3FE8" w:rsidRPr="002074CD">
              <w:rPr>
                <w:i/>
                <w:iCs/>
              </w:rPr>
              <w:t>euro</w:t>
            </w:r>
            <w:proofErr w:type="spellEnd"/>
            <w:r w:rsidR="008E3FE8">
              <w:t xml:space="preserve"> </w:t>
            </w:r>
          </w:p>
        </w:tc>
        <w:tc>
          <w:tcPr>
            <w:tcW w:w="1476"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20 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sākotnējo ilgtermiņa ieguld</w:t>
            </w:r>
            <w:r>
              <w:t xml:space="preserve">ījumu apmērs pārsniedz </w:t>
            </w:r>
            <w:r w:rsidR="008E3FE8">
              <w:t xml:space="preserve">35 </w:t>
            </w:r>
            <w:r>
              <w:t>milj.</w:t>
            </w:r>
            <w:r w:rsidRPr="00A1584C">
              <w:t xml:space="preserve"> </w:t>
            </w:r>
            <w:proofErr w:type="spellStart"/>
            <w:r w:rsidR="008E3FE8" w:rsidRPr="002074CD">
              <w:rPr>
                <w:i/>
                <w:iCs/>
              </w:rPr>
              <w:t>euro</w:t>
            </w:r>
            <w:proofErr w:type="spellEnd"/>
            <w:r>
              <w:t xml:space="preserve">, </w:t>
            </w:r>
            <w:r w:rsidRPr="00A1584C">
              <w:t xml:space="preserve">bet nepārsniedz </w:t>
            </w:r>
            <w:r w:rsidR="008E3FE8">
              <w:t>50</w:t>
            </w:r>
            <w:r w:rsidR="008E3FE8" w:rsidRPr="00A1584C">
              <w:t xml:space="preserve"> </w:t>
            </w:r>
            <w:r w:rsidRPr="00A1584C">
              <w:t xml:space="preserve">milj. </w:t>
            </w:r>
            <w:proofErr w:type="spellStart"/>
            <w:r w:rsidR="008E3FE8" w:rsidRPr="002074CD">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15 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sākotnējo ilgtermiņa ieguld</w:t>
            </w:r>
            <w:r>
              <w:t xml:space="preserve">ījumu apmērs pārsniedz </w:t>
            </w:r>
            <w:r w:rsidR="008E3FE8">
              <w:t xml:space="preserve">20 </w:t>
            </w:r>
            <w:r>
              <w:t>milj.</w:t>
            </w:r>
            <w:r w:rsidRPr="00A1584C">
              <w:t xml:space="preserve"> </w:t>
            </w:r>
            <w:proofErr w:type="spellStart"/>
            <w:r w:rsidR="008E3FE8" w:rsidRPr="002074CD">
              <w:rPr>
                <w:i/>
                <w:iCs/>
              </w:rPr>
              <w:t>euro</w:t>
            </w:r>
            <w:proofErr w:type="spellEnd"/>
            <w:r>
              <w:t xml:space="preserve">, </w:t>
            </w:r>
            <w:r w:rsidRPr="00A1584C">
              <w:t xml:space="preserve">bet nepārsniedz </w:t>
            </w:r>
            <w:r w:rsidR="008E3FE8">
              <w:t>35</w:t>
            </w:r>
            <w:r w:rsidR="008E3FE8" w:rsidRPr="00A1584C">
              <w:t xml:space="preserve"> </w:t>
            </w:r>
            <w:r w:rsidRPr="00A1584C">
              <w:t xml:space="preserve">milj. </w:t>
            </w:r>
            <w:proofErr w:type="spellStart"/>
            <w:r w:rsidR="008E3FE8" w:rsidRPr="002074CD">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10 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7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3.1.</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8E3FE8">
            <w:pPr>
              <w:ind w:right="121"/>
              <w:jc w:val="both"/>
            </w:pPr>
            <w:r w:rsidRPr="00A1584C">
              <w:t xml:space="preserve">sākotnējo ilgtermiņa ieguldījumu apmērs pārsniedz </w:t>
            </w:r>
            <w:r w:rsidR="008E3FE8">
              <w:t xml:space="preserve">10 </w:t>
            </w:r>
            <w:r>
              <w:t>milj.</w:t>
            </w:r>
            <w:r w:rsidRPr="00A1584C">
              <w:t xml:space="preserve"> </w:t>
            </w:r>
            <w:proofErr w:type="spellStart"/>
            <w:r w:rsidR="008E3FE8" w:rsidRPr="002074CD">
              <w:rPr>
                <w:i/>
                <w:iCs/>
              </w:rPr>
              <w:t>euro</w:t>
            </w:r>
            <w:proofErr w:type="spellEnd"/>
            <w:r>
              <w:t xml:space="preserve">, </w:t>
            </w:r>
            <w:r w:rsidRPr="00A1584C">
              <w:t xml:space="preserve">bet nepārsniedz </w:t>
            </w:r>
            <w:r w:rsidR="008E3FE8">
              <w:t>2</w:t>
            </w:r>
            <w:r w:rsidR="008E3FE8" w:rsidRPr="00A1584C">
              <w:t xml:space="preserve">0 </w:t>
            </w:r>
            <w:r w:rsidRPr="00A1584C">
              <w:t xml:space="preserve">milj. </w:t>
            </w:r>
            <w:proofErr w:type="spellStart"/>
            <w:r w:rsidR="008E3FE8" w:rsidRPr="002074CD">
              <w:rPr>
                <w:i/>
                <w:iCs/>
              </w:rPr>
              <w:t>euro</w:t>
            </w:r>
            <w:proofErr w:type="spellEnd"/>
          </w:p>
        </w:tc>
        <w:tc>
          <w:tcPr>
            <w:tcW w:w="1476" w:type="dxa"/>
            <w:gridSpan w:val="2"/>
            <w:tcBorders>
              <w:left w:val="nil"/>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5 </w:t>
            </w: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8534DC" w:rsidRDefault="006F61C7" w:rsidP="006F61C7">
            <w:pPr>
              <w:ind w:right="121"/>
              <w:jc w:val="both"/>
            </w:pPr>
            <w:r>
              <w:t>P</w:t>
            </w:r>
            <w:r w:rsidR="00884716" w:rsidRPr="00A1584C">
              <w:t xml:space="preserve">rojekta </w:t>
            </w:r>
            <w:r w:rsidR="00227B3E">
              <w:t xml:space="preserve">iesniedzēja </w:t>
            </w:r>
            <w:r w:rsidR="00884716" w:rsidRPr="00A1584C">
              <w:t xml:space="preserve">pievienotās vērtības pieaugums </w:t>
            </w:r>
            <w:r w:rsidR="004878DF" w:rsidRPr="008534DC">
              <w:t xml:space="preserve">uz vienu strādājošo </w:t>
            </w:r>
            <w:r w:rsidRPr="008534DC">
              <w:t xml:space="preserve">projekta īstenošanas laikā un </w:t>
            </w:r>
            <w:r w:rsidR="00227B3E" w:rsidRPr="008534DC">
              <w:t xml:space="preserve">nākamajos </w:t>
            </w:r>
            <w:r w:rsidRPr="008534DC">
              <w:t xml:space="preserve">divos </w:t>
            </w:r>
            <w:r w:rsidR="003E4B39" w:rsidRPr="008534DC">
              <w:t>gados</w:t>
            </w:r>
            <w:r w:rsidR="00227B3E" w:rsidRPr="008534DC">
              <w:t xml:space="preserve"> pēc projekta īstenošanas</w:t>
            </w:r>
            <w:r w:rsidR="00884716" w:rsidRPr="008534DC">
              <w:t xml:space="preserve">. Pievienotā vērtība </w:t>
            </w:r>
            <w:r w:rsidR="007E600C" w:rsidRPr="008534DC">
              <w:t xml:space="preserve">uz vienu strādājošo </w:t>
            </w:r>
            <w:r w:rsidR="00884716" w:rsidRPr="008534DC">
              <w:t>tiek rēķināta, izmantojot šādu formulu:</w:t>
            </w:r>
          </w:p>
          <w:p w:rsidR="0052245C" w:rsidRPr="008534DC" w:rsidRDefault="00884716" w:rsidP="0094433D">
            <w:pPr>
              <w:ind w:right="121"/>
              <w:jc w:val="both"/>
            </w:pPr>
            <w:r w:rsidRPr="008534DC">
              <w:t xml:space="preserve">(bruto peļņa + </w:t>
            </w:r>
            <w:r w:rsidR="00FE0A27" w:rsidRPr="008534DC">
              <w:t xml:space="preserve">kopējā </w:t>
            </w:r>
            <w:r w:rsidR="0088702D" w:rsidRPr="008534DC">
              <w:t xml:space="preserve">bruto darba alga </w:t>
            </w:r>
            <w:r w:rsidRPr="008534DC">
              <w:t>+ amortizācijas atskaitījumi)/darbinieku skaits</w:t>
            </w:r>
          </w:p>
          <w:p w:rsidR="0052245C" w:rsidRPr="008534DC" w:rsidRDefault="0052245C" w:rsidP="00D057F9">
            <w:pPr>
              <w:ind w:right="121"/>
              <w:jc w:val="both"/>
            </w:pPr>
          </w:p>
          <w:p w:rsidR="00A43755" w:rsidRPr="008534DC" w:rsidRDefault="00A43755" w:rsidP="007E600C">
            <w:pPr>
              <w:ind w:right="121"/>
              <w:jc w:val="both"/>
            </w:pPr>
            <w:r w:rsidRPr="008534DC">
              <w:t xml:space="preserve">Pievienotās vērtības pieaugums </w:t>
            </w:r>
            <w:r w:rsidR="007E600C" w:rsidRPr="008534DC">
              <w:t xml:space="preserve">uz vienu strādājošo </w:t>
            </w:r>
            <w:r w:rsidRPr="008534DC">
              <w:t>tiek rēķināts pēc formulas:</w:t>
            </w:r>
          </w:p>
          <w:p w:rsidR="00A43755" w:rsidRPr="008534DC" w:rsidRDefault="00A43755" w:rsidP="00BD6DF9">
            <w:pPr>
              <w:ind w:right="121"/>
              <w:jc w:val="both"/>
            </w:pPr>
            <w:r w:rsidRPr="008534DC">
              <w:t xml:space="preserve">P = </w:t>
            </w:r>
            <w:r w:rsidR="00956E2C" w:rsidRPr="008534DC">
              <w:t>T</w:t>
            </w:r>
            <w:r w:rsidR="00956E2C" w:rsidRPr="008534DC">
              <w:rPr>
                <w:vertAlign w:val="subscript"/>
              </w:rPr>
              <w:t>b+</w:t>
            </w:r>
            <w:r w:rsidR="00BD6DF9" w:rsidRPr="008534DC">
              <w:rPr>
                <w:vertAlign w:val="subscript"/>
              </w:rPr>
              <w:t>2</w:t>
            </w:r>
            <w:r w:rsidR="00956E2C" w:rsidRPr="008534DC">
              <w:t>/</w:t>
            </w:r>
            <w:proofErr w:type="spellStart"/>
            <w:r w:rsidR="00956E2C" w:rsidRPr="008534DC">
              <w:t>T</w:t>
            </w:r>
            <w:r w:rsidR="00BD6DF9" w:rsidRPr="008534DC">
              <w:rPr>
                <w:vertAlign w:val="subscript"/>
              </w:rPr>
              <w:t>s</w:t>
            </w:r>
            <w:proofErr w:type="spellEnd"/>
            <w:r w:rsidR="00577AC9" w:rsidRPr="008534DC">
              <w:rPr>
                <w:vertAlign w:val="subscript"/>
              </w:rPr>
              <w:t xml:space="preserve"> </w:t>
            </w:r>
            <w:r w:rsidR="00956E2C" w:rsidRPr="008534DC">
              <w:t>x</w:t>
            </w:r>
            <w:r w:rsidR="00577AC9" w:rsidRPr="008534DC">
              <w:t xml:space="preserve"> </w:t>
            </w:r>
            <w:r w:rsidR="00956E2C" w:rsidRPr="008534DC">
              <w:t>100-100, kur</w:t>
            </w:r>
          </w:p>
          <w:p w:rsidR="00956E2C" w:rsidRPr="008534DC" w:rsidRDefault="00956E2C" w:rsidP="00D057F9">
            <w:pPr>
              <w:ind w:right="121"/>
              <w:jc w:val="both"/>
            </w:pPr>
            <w:r w:rsidRPr="008534DC">
              <w:t>P – pievienotās vērtības pieaugums</w:t>
            </w:r>
            <w:r w:rsidR="007E600C" w:rsidRPr="008534DC">
              <w:t xml:space="preserve"> uz vienu strādājošo</w:t>
            </w:r>
            <w:r w:rsidRPr="008534DC">
              <w:t>;</w:t>
            </w:r>
          </w:p>
          <w:p w:rsidR="00956E2C" w:rsidRPr="008534DC" w:rsidRDefault="00BD6DF9" w:rsidP="00BD6DF9">
            <w:pPr>
              <w:ind w:right="121"/>
              <w:jc w:val="both"/>
            </w:pPr>
            <w:proofErr w:type="spellStart"/>
            <w:r w:rsidRPr="008534DC">
              <w:t>T</w:t>
            </w:r>
            <w:r w:rsidRPr="008534DC">
              <w:rPr>
                <w:vertAlign w:val="subscript"/>
              </w:rPr>
              <w:t>s</w:t>
            </w:r>
            <w:proofErr w:type="spellEnd"/>
            <w:r w:rsidRPr="008534DC">
              <w:t xml:space="preserve"> </w:t>
            </w:r>
            <w:r w:rsidR="00956E2C" w:rsidRPr="008534DC">
              <w:t xml:space="preserve">– pievienotā vērtība </w:t>
            </w:r>
            <w:r w:rsidR="007E600C" w:rsidRPr="008534DC">
              <w:t xml:space="preserve">uz vienu strādājošo </w:t>
            </w:r>
            <w:r w:rsidR="00E87657" w:rsidRPr="008534DC">
              <w:t xml:space="preserve">gadā, kad </w:t>
            </w:r>
            <w:r w:rsidRPr="008534DC">
              <w:t xml:space="preserve">uzsākta </w:t>
            </w:r>
            <w:r w:rsidR="00956E2C" w:rsidRPr="008534DC">
              <w:t xml:space="preserve">projekta </w:t>
            </w:r>
            <w:r w:rsidR="00E87657" w:rsidRPr="008534DC">
              <w:t>īstenošana</w:t>
            </w:r>
            <w:r w:rsidR="00956E2C" w:rsidRPr="008534DC">
              <w:t>;</w:t>
            </w:r>
          </w:p>
          <w:p w:rsidR="00956E2C" w:rsidRPr="00956E2C" w:rsidRDefault="00BD6DF9" w:rsidP="00934AE2">
            <w:pPr>
              <w:ind w:right="121"/>
              <w:jc w:val="both"/>
            </w:pPr>
            <w:r w:rsidRPr="008534DC">
              <w:t>T</w:t>
            </w:r>
            <w:r w:rsidR="00934AE2" w:rsidRPr="008534DC">
              <w:rPr>
                <w:vertAlign w:val="subscript"/>
              </w:rPr>
              <w:t>b</w:t>
            </w:r>
            <w:r w:rsidR="00956E2C" w:rsidRPr="008534DC">
              <w:rPr>
                <w:vertAlign w:val="subscript"/>
              </w:rPr>
              <w:t>+</w:t>
            </w:r>
            <w:r w:rsidRPr="008534DC">
              <w:rPr>
                <w:vertAlign w:val="subscript"/>
              </w:rPr>
              <w:t>2</w:t>
            </w:r>
            <w:r w:rsidRPr="008534DC">
              <w:t xml:space="preserve"> </w:t>
            </w:r>
            <w:r w:rsidR="00577AC9" w:rsidRPr="008534DC">
              <w:t>–</w:t>
            </w:r>
            <w:r w:rsidR="00956E2C" w:rsidRPr="008534DC">
              <w:t xml:space="preserve"> </w:t>
            </w:r>
            <w:r w:rsidR="00577AC9" w:rsidRPr="008534DC">
              <w:t xml:space="preserve">pievienotā vērtība </w:t>
            </w:r>
            <w:r w:rsidR="007E600C" w:rsidRPr="008534DC">
              <w:t xml:space="preserve">uz vienu strādājošo </w:t>
            </w:r>
            <w:r w:rsidRPr="008534DC">
              <w:t xml:space="preserve">otrajā </w:t>
            </w:r>
            <w:r w:rsidR="00577AC9" w:rsidRPr="008534DC">
              <w:t xml:space="preserve">gadā pēc projekta </w:t>
            </w:r>
            <w:r w:rsidR="00E87657" w:rsidRPr="008534DC">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20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8534DC" w:rsidRDefault="00884716" w:rsidP="00BD6DF9">
            <w:pPr>
              <w:ind w:right="121"/>
              <w:jc w:val="both"/>
            </w:pPr>
            <w:r w:rsidRPr="008534DC">
              <w:t xml:space="preserve">pievienotās vērtības pieaugums </w:t>
            </w:r>
            <w:r w:rsidR="007E600C" w:rsidRPr="008534DC">
              <w:t xml:space="preserve">uz vienu strādājošo </w:t>
            </w:r>
            <w:r w:rsidR="00BD6DF9" w:rsidRPr="008534DC">
              <w:t xml:space="preserve">projekta īstenošanas laikā un nākamajos divos </w:t>
            </w:r>
            <w:r w:rsidR="003E4B39" w:rsidRPr="008534DC">
              <w:t>gados</w:t>
            </w:r>
            <w:r w:rsidR="00227B3E" w:rsidRPr="008534DC">
              <w:t xml:space="preserve"> pēc projekta īstenošanas </w:t>
            </w:r>
            <w:r w:rsidRPr="008534DC">
              <w:t xml:space="preserve">pārsniedz </w:t>
            </w:r>
            <w:r w:rsidR="00AF50F7" w:rsidRPr="008534DC">
              <w:t>2</w:t>
            </w:r>
            <w:r w:rsidR="00227B3E" w:rsidRPr="008534DC">
              <w:t>0 </w:t>
            </w:r>
            <w:r w:rsidRPr="008534DC">
              <w:t xml:space="preserve">% attiecībā pret gadu, kurā </w:t>
            </w:r>
            <w:r w:rsidR="00BD6DF9" w:rsidRPr="008534DC">
              <w:t xml:space="preserve">uzsākta </w:t>
            </w:r>
            <w:r w:rsidRPr="008534DC">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20 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8534DC" w:rsidRDefault="00884716" w:rsidP="00934AE2">
            <w:pPr>
              <w:ind w:right="121"/>
              <w:jc w:val="both"/>
            </w:pPr>
            <w:r w:rsidRPr="008534DC">
              <w:t xml:space="preserve">pievienotās vērtības pieaugums </w:t>
            </w:r>
            <w:r w:rsidR="00AD0C91" w:rsidRPr="008534DC">
              <w:t xml:space="preserve">uz vienu strādājošo </w:t>
            </w:r>
            <w:r w:rsidR="00934AE2" w:rsidRPr="008534DC">
              <w:t>projekta īstenošanas laikā un nākamajos divos</w:t>
            </w:r>
            <w:r w:rsidR="003E4B39" w:rsidRPr="008534DC">
              <w:t xml:space="preserve"> gados pēc projekta īstenošanas</w:t>
            </w:r>
            <w:r w:rsidRPr="008534DC">
              <w:t xml:space="preserve"> pārsniedz </w:t>
            </w:r>
            <w:r w:rsidR="00AF50F7" w:rsidRPr="008534DC">
              <w:t>1</w:t>
            </w:r>
            <w:r w:rsidR="003E4B39" w:rsidRPr="008534DC">
              <w:t>0 </w:t>
            </w:r>
            <w:r w:rsidRPr="008534DC">
              <w:t xml:space="preserve">%, bet nepārsniedz </w:t>
            </w:r>
            <w:r w:rsidR="00AF50F7" w:rsidRPr="008534DC">
              <w:t>2</w:t>
            </w:r>
            <w:r w:rsidR="003E4B39" w:rsidRPr="008534DC">
              <w:t>0 </w:t>
            </w:r>
            <w:r w:rsidRPr="008534DC">
              <w:t xml:space="preserve">% attiecībā pret gadu, kurā </w:t>
            </w:r>
            <w:r w:rsidR="00934AE2" w:rsidRPr="008534DC">
              <w:t xml:space="preserve">uzsākta </w:t>
            </w:r>
            <w:r w:rsidRPr="008534D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lastRenderedPageBreak/>
              <w:t>3.2.</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8534DC" w:rsidRDefault="00884716" w:rsidP="00934AE2">
            <w:pPr>
              <w:ind w:right="121"/>
              <w:jc w:val="both"/>
            </w:pPr>
            <w:r w:rsidRPr="008534DC">
              <w:t xml:space="preserve">pievienotās vērtības pieaugums </w:t>
            </w:r>
            <w:r w:rsidR="00AD0C91" w:rsidRPr="008534DC">
              <w:t xml:space="preserve">uz vienu strādājošo </w:t>
            </w:r>
            <w:r w:rsidR="00934AE2" w:rsidRPr="008534DC">
              <w:t xml:space="preserve">projekta īstenošanas laikā un nākamajos divos </w:t>
            </w:r>
            <w:r w:rsidR="003E4B39" w:rsidRPr="008534DC">
              <w:t>gados pēc projekta īstenošanas</w:t>
            </w:r>
            <w:r w:rsidRPr="008534DC">
              <w:t xml:space="preserve"> pārsniedz </w:t>
            </w:r>
            <w:r w:rsidR="00AF50F7" w:rsidRPr="008534DC">
              <w:t>5</w:t>
            </w:r>
            <w:r w:rsidR="003E4B39" w:rsidRPr="008534DC">
              <w:t> </w:t>
            </w:r>
            <w:r w:rsidRPr="008534DC">
              <w:t xml:space="preserve">%, bet nepārsniedz </w:t>
            </w:r>
            <w:r w:rsidR="00AF50F7" w:rsidRPr="008534DC">
              <w:t>10</w:t>
            </w:r>
            <w:r w:rsidR="003E4B39" w:rsidRPr="008534DC">
              <w:t> </w:t>
            </w:r>
            <w:r w:rsidRPr="008534DC">
              <w:t xml:space="preserve">% attiecībā pret gadu, kurā </w:t>
            </w:r>
            <w:r w:rsidR="00934AE2" w:rsidRPr="008534DC">
              <w:t xml:space="preserve">uzsākta </w:t>
            </w:r>
            <w:r w:rsidRPr="008534D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10 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8534DC" w:rsidRDefault="00884716" w:rsidP="00934AE2">
            <w:pPr>
              <w:ind w:right="121"/>
              <w:jc w:val="both"/>
            </w:pPr>
            <w:r w:rsidRPr="008534DC">
              <w:t xml:space="preserve">pievienotās vērtības pieaugums </w:t>
            </w:r>
            <w:r w:rsidR="00AD0C91" w:rsidRPr="008534DC">
              <w:t xml:space="preserve">uz vienu strādājošo </w:t>
            </w:r>
            <w:r w:rsidR="00934AE2" w:rsidRPr="008534DC">
              <w:t xml:space="preserve">projekta īstenošanas laikā un nākamajos divos </w:t>
            </w:r>
            <w:r w:rsidR="003E4B39" w:rsidRPr="008534DC">
              <w:t>gados pēc projekta īstenošanas</w:t>
            </w:r>
            <w:r w:rsidRPr="008534DC">
              <w:t xml:space="preserve"> </w:t>
            </w:r>
            <w:r w:rsidR="00AD0C91" w:rsidRPr="008534DC">
              <w:t xml:space="preserve">pārsniedz 3%, bet </w:t>
            </w:r>
            <w:r w:rsidRPr="008534DC">
              <w:t xml:space="preserve">nepārsniedz </w:t>
            </w:r>
            <w:r w:rsidR="00AF50F7" w:rsidRPr="008534DC">
              <w:t>5</w:t>
            </w:r>
            <w:r w:rsidR="003E4B39" w:rsidRPr="008534DC">
              <w:t> </w:t>
            </w:r>
            <w:r w:rsidRPr="008534DC">
              <w:t xml:space="preserve">% attiecībā pret gadu, kurā </w:t>
            </w:r>
            <w:r w:rsidR="00934AE2" w:rsidRPr="008534DC">
              <w:t xml:space="preserve">uzsākta </w:t>
            </w:r>
            <w:r w:rsidRPr="008534D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5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3.2.</w:t>
            </w:r>
            <w:r>
              <w:rPr>
                <w:bCs/>
              </w:rPr>
              <w:t>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8534DC" w:rsidRDefault="00AD0C91" w:rsidP="00934AE2">
            <w:pPr>
              <w:ind w:right="121"/>
              <w:jc w:val="both"/>
            </w:pPr>
            <w:r w:rsidRPr="008534DC">
              <w:t xml:space="preserve">pievienotās vērtības pieaugums uz vienu strādājošo </w:t>
            </w:r>
            <w:r w:rsidR="00934AE2" w:rsidRPr="008534DC">
              <w:t xml:space="preserve">projekta īstenošanas laikā un nākamajos divos </w:t>
            </w:r>
            <w:r w:rsidRPr="008534DC">
              <w:t xml:space="preserve">gados pēc projekta īstenošanas nepārsniedz 3% </w:t>
            </w:r>
            <w:r w:rsidR="00884716" w:rsidRPr="008534DC">
              <w:t xml:space="preserve">attiecībā pret gadu, kurā </w:t>
            </w:r>
            <w:r w:rsidR="00934AE2" w:rsidRPr="008534DC">
              <w:t xml:space="preserve">uzsākta </w:t>
            </w:r>
            <w:r w:rsidR="00884716" w:rsidRPr="008534DC">
              <w:t>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670D4">
            <w:pPr>
              <w:jc w:val="center"/>
            </w:pPr>
            <w:r w:rsidRPr="00A1584C">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135"/>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84716" w:rsidP="00D057F9">
            <w:pPr>
              <w:ind w:right="121"/>
              <w:jc w:val="both"/>
            </w:pPr>
            <w:r w:rsidRPr="00A1584C">
              <w:t>Projekta īstenošanas vieta un tās ietekme uz reģionālo attīstību</w:t>
            </w:r>
            <w:r w:rsidR="002074CD">
              <w:t>.</w:t>
            </w:r>
            <w:r w:rsidR="002074CD" w:rsidRPr="00A1584C">
              <w:t xml:space="preserve"> Par projekta īstenošanas vietu uzskata vietu, kurā projekta iesniedzējs veic sākotnējos ilgtermiņa ieguldījumus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2F5B2A">
            <w:pPr>
              <w:jc w:val="center"/>
            </w:pPr>
            <w:r w:rsidRPr="00A1584C">
              <w:t xml:space="preserve">maksimālais skaits – </w:t>
            </w:r>
            <w:r w:rsidR="002F5B2A">
              <w:t>15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2F5B2A" w:rsidRPr="004B33B3" w:rsidTr="005E3DAB">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2F5B2A" w:rsidRPr="00A1584C" w:rsidRDefault="002F5B2A" w:rsidP="00633C59">
            <w:pPr>
              <w:rPr>
                <w:bCs/>
              </w:rPr>
            </w:pPr>
            <w:r>
              <w:rPr>
                <w:bCs/>
              </w:rPr>
              <w:t>3.3.1.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F5B2A" w:rsidRPr="00F75E94" w:rsidRDefault="002F5B2A" w:rsidP="002F5B2A">
            <w:pPr>
              <w:pStyle w:val="tvhtml"/>
              <w:spacing w:before="0" w:beforeAutospacing="0" w:after="0" w:afterAutospacing="0"/>
              <w:ind w:right="121"/>
              <w:jc w:val="both"/>
              <w:rPr>
                <w:rFonts w:ascii="Times New Roman" w:hAnsi="Times New Roman"/>
                <w:sz w:val="24"/>
                <w:szCs w:val="24"/>
              </w:rPr>
            </w:pPr>
            <w:r w:rsidRPr="00F75E94">
              <w:rPr>
                <w:rFonts w:ascii="Times New Roman" w:hAnsi="Times New Roman"/>
                <w:sz w:val="24"/>
                <w:szCs w:val="24"/>
              </w:rPr>
              <w:t>projekta īstenošanas vieta atrodas Latgales plānošanas reģionā (atbilstoši normatīvajiem aktiem par plānošanas reģionu teritorijām)</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F5B2A" w:rsidRDefault="002F5B2A" w:rsidP="00D670D4">
            <w:pPr>
              <w:jc w:val="center"/>
            </w:pPr>
            <w:r>
              <w:t>15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2F5B2A" w:rsidRPr="00A1584C" w:rsidRDefault="002F5B2A" w:rsidP="00D057F9"/>
        </w:tc>
      </w:tr>
      <w:tr w:rsidR="00884716" w:rsidRPr="004B33B3" w:rsidTr="005E3DAB">
        <w:trPr>
          <w:cantSplit/>
          <w:trHeight w:val="135"/>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2F5B2A">
            <w:pPr>
              <w:rPr>
                <w:b/>
                <w:bCs/>
              </w:rPr>
            </w:pPr>
            <w:r w:rsidRPr="00A1584C">
              <w:rPr>
                <w:bCs/>
              </w:rPr>
              <w:t>3.3</w:t>
            </w:r>
            <w:r>
              <w:rPr>
                <w:bCs/>
              </w:rPr>
              <w:t>.</w:t>
            </w:r>
            <w:r w:rsidR="002F5B2A">
              <w:rPr>
                <w:bCs/>
              </w:rPr>
              <w:t>2</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F75E94" w:rsidRDefault="00884716" w:rsidP="002074CD">
            <w:pPr>
              <w:pStyle w:val="tvhtml"/>
              <w:spacing w:before="0" w:beforeAutospacing="0" w:after="0" w:afterAutospacing="0"/>
              <w:ind w:right="121"/>
              <w:jc w:val="both"/>
              <w:rPr>
                <w:rFonts w:ascii="Times New Roman" w:hAnsi="Times New Roman"/>
                <w:sz w:val="24"/>
                <w:szCs w:val="24"/>
              </w:rPr>
            </w:pPr>
            <w:r w:rsidRPr="00F75E94">
              <w:rPr>
                <w:rFonts w:ascii="Times New Roman" w:hAnsi="Times New Roman"/>
                <w:sz w:val="24"/>
                <w:szCs w:val="24"/>
              </w:rPr>
              <w:t xml:space="preserve">projekta īstenošanas vieta atrodas </w:t>
            </w:r>
            <w:r w:rsidR="00CC1113" w:rsidRPr="00F75E94">
              <w:rPr>
                <w:rFonts w:ascii="Times New Roman" w:hAnsi="Times New Roman"/>
                <w:sz w:val="24"/>
                <w:szCs w:val="24"/>
              </w:rPr>
              <w:t xml:space="preserve">ārpus </w:t>
            </w:r>
            <w:r w:rsidR="00BB1D56" w:rsidRPr="00F75E94">
              <w:rPr>
                <w:rFonts w:ascii="Times New Roman" w:hAnsi="Times New Roman"/>
                <w:sz w:val="24"/>
                <w:szCs w:val="24"/>
              </w:rPr>
              <w:t>republikas nozīmes pilsētām saskaņā ar Administratīvo teritoriju un apdzīvoto vietu likumu</w:t>
            </w:r>
            <w:r w:rsidR="002F5B2A" w:rsidRPr="00F75E94">
              <w:rPr>
                <w:rFonts w:ascii="Times New Roman" w:hAnsi="Times New Roman"/>
                <w:sz w:val="24"/>
                <w:szCs w:val="24"/>
              </w:rPr>
              <w:t xml:space="preserve"> un Latgales plānošanas reģiona (atbilstoši normatīvajiem aktiem par plānošanas reģionu teritorijām)</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CC1113" w:rsidP="00D670D4">
            <w:pPr>
              <w:jc w:val="center"/>
            </w:pPr>
            <w:r>
              <w:t>10</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5E3DAB">
        <w:trPr>
          <w:cantSplit/>
          <w:trHeight w:val="90"/>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2F5B2A">
            <w:pPr>
              <w:rPr>
                <w:b/>
                <w:bCs/>
              </w:rPr>
            </w:pPr>
            <w:r w:rsidRPr="00A1584C">
              <w:rPr>
                <w:bCs/>
              </w:rPr>
              <w:t>3.3</w:t>
            </w:r>
            <w:r>
              <w:rPr>
                <w:bCs/>
              </w:rPr>
              <w:t>.</w:t>
            </w:r>
            <w:r w:rsidR="002F5B2A">
              <w:rPr>
                <w:bCs/>
              </w:rPr>
              <w:t>3</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F75E94" w:rsidRDefault="00884716" w:rsidP="00BB1D56">
            <w:pPr>
              <w:ind w:right="121"/>
              <w:jc w:val="both"/>
            </w:pPr>
            <w:r w:rsidRPr="00F75E94">
              <w:t xml:space="preserve">projekta īstenošanas vieta atrodas </w:t>
            </w:r>
            <w:r w:rsidR="00BB1D56" w:rsidRPr="00F75E94">
              <w:t xml:space="preserve">republikas nozīmes pilsētā saskaņā ar Administratīvo teritoriju un apdzīvoto vietu likumu, bet ārpus </w:t>
            </w:r>
            <w:r w:rsidR="00375F66" w:rsidRPr="00F75E94">
              <w:t xml:space="preserve">Daugavpils, Rēzeknes un </w:t>
            </w:r>
            <w:r w:rsidR="00BB1D56" w:rsidRPr="00F75E94">
              <w:t>Rīgas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CC1113" w:rsidP="005E3DAB">
            <w:pPr>
              <w:jc w:val="center"/>
            </w:pPr>
            <w:r>
              <w:t>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90"/>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2F5B2A">
            <w:pPr>
              <w:rPr>
                <w:b/>
                <w:bCs/>
              </w:rPr>
            </w:pPr>
            <w:r w:rsidRPr="00A1584C">
              <w:rPr>
                <w:bCs/>
              </w:rPr>
              <w:t>3.3</w:t>
            </w:r>
            <w:r>
              <w:rPr>
                <w:bCs/>
              </w:rPr>
              <w:t>.</w:t>
            </w:r>
            <w:r w:rsidR="002F5B2A">
              <w:rPr>
                <w:bCs/>
              </w:rPr>
              <w:t>4</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CC1113" w:rsidP="00D057F9">
            <w:pPr>
              <w:ind w:right="121"/>
              <w:jc w:val="both"/>
            </w:pPr>
            <w:r w:rsidRPr="00CC1113">
              <w:t>projekta īstenošanas vieta atrodas Rīgā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CC1113" w:rsidP="005E3DAB">
            <w:pPr>
              <w:jc w:val="center"/>
            </w:pPr>
            <w:r>
              <w:t>0</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934AE2" w:rsidP="00934AE2">
            <w:pPr>
              <w:ind w:right="121"/>
              <w:jc w:val="both"/>
            </w:pPr>
            <w:r>
              <w:t>D</w:t>
            </w:r>
            <w:r w:rsidR="00F73835">
              <w:t xml:space="preserve">arba vietu skaita izmaiņas </w:t>
            </w:r>
            <w:r w:rsidR="00115C4F">
              <w:t xml:space="preserve">projekta īstenošanas laikā un nākamajos </w:t>
            </w:r>
            <w:r w:rsidRPr="008534DC">
              <w:t xml:space="preserve">divos </w:t>
            </w:r>
            <w:r w:rsidR="00F73835" w:rsidRPr="008534DC">
              <w:t>gad</w:t>
            </w:r>
            <w:r w:rsidR="00115C4F" w:rsidRPr="008534DC">
              <w:t>os</w:t>
            </w:r>
            <w:r w:rsidR="00F73835">
              <w:t xml:space="preserve"> pēc projekta 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A253A4">
            <w:pPr>
              <w:jc w:val="center"/>
            </w:pPr>
            <w:r w:rsidRPr="00A1584C">
              <w:t xml:space="preserve">maksimālais skaits – </w:t>
            </w:r>
            <w:r w:rsidR="00A253A4">
              <w:t>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90"/>
        </w:trPr>
        <w:tc>
          <w:tcPr>
            <w:tcW w:w="729" w:type="dxa"/>
            <w:gridSpan w:val="2"/>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3.4.</w:t>
            </w:r>
            <w:r w:rsidR="00222CE8">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F73835" w:rsidP="00934AE2">
            <w:pPr>
              <w:ind w:right="121"/>
              <w:jc w:val="both"/>
            </w:pPr>
            <w:r>
              <w:t xml:space="preserve">no projekta uzsākšanas gada līdz </w:t>
            </w:r>
            <w:r w:rsidR="00934AE2" w:rsidRPr="008534DC">
              <w:t>otrajam</w:t>
            </w:r>
            <w:r w:rsidR="00934AE2">
              <w:t xml:space="preserve"> </w:t>
            </w:r>
            <w:r>
              <w:t xml:space="preserve">gadam (ieskaitot) pēc projekta īstenošanas </w:t>
            </w:r>
            <w:r w:rsidR="00222CE8">
              <w:t>izveidot</w:t>
            </w:r>
            <w:r w:rsidR="00934AE2">
              <w:t>as</w:t>
            </w:r>
            <w:r w:rsidR="00884716" w:rsidRPr="00A1584C">
              <w:t xml:space="preserve"> vairāk nekā </w:t>
            </w:r>
            <w:r>
              <w:t>80</w:t>
            </w:r>
            <w:r w:rsidRPr="00A1584C">
              <w:t xml:space="preserve"> </w:t>
            </w:r>
            <w:r w:rsidR="00884716" w:rsidRPr="00A1584C">
              <w:t>jaunas darba vietas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20</w:t>
            </w:r>
            <w:r w:rsidRPr="00A1584C">
              <w:t xml:space="preserve"> </w:t>
            </w:r>
          </w:p>
        </w:tc>
        <w:tc>
          <w:tcPr>
            <w:tcW w:w="980" w:type="dxa"/>
            <w:vMerge/>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90"/>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2</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F73835" w:rsidP="00934AE2">
            <w:pPr>
              <w:ind w:right="121"/>
              <w:jc w:val="both"/>
            </w:pPr>
            <w:r>
              <w:t xml:space="preserve">no projekta uzsākšanas gada līdz </w:t>
            </w:r>
            <w:r w:rsidR="00934AE2" w:rsidRPr="008534DC">
              <w:t>otrajam</w:t>
            </w:r>
            <w:r w:rsidR="00934AE2">
              <w:t xml:space="preserve"> </w:t>
            </w:r>
            <w:r>
              <w:t xml:space="preserve">gadam (ieskaitot) pēc projekta īstenošanas </w:t>
            </w:r>
            <w:r w:rsidR="00222CE8">
              <w:t>izveidot</w:t>
            </w:r>
            <w:r w:rsidR="00934AE2">
              <w:t>as</w:t>
            </w:r>
            <w:r w:rsidR="00222CE8" w:rsidRPr="00A1584C">
              <w:t xml:space="preserve"> </w:t>
            </w:r>
            <w:r w:rsidR="00884716" w:rsidRPr="00A1584C">
              <w:t xml:space="preserve">no </w:t>
            </w:r>
            <w:r w:rsidR="00222CE8">
              <w:t>51</w:t>
            </w:r>
            <w:r w:rsidR="00222CE8" w:rsidRPr="00A1584C">
              <w:t xml:space="preserve"> </w:t>
            </w:r>
            <w:r w:rsidR="00884716" w:rsidRPr="00A1584C">
              <w:t xml:space="preserve">līdz </w:t>
            </w:r>
            <w:r w:rsidR="00222CE8">
              <w:t>80</w:t>
            </w:r>
            <w:r w:rsidR="00222CE8" w:rsidRPr="00A1584C">
              <w:t xml:space="preserve"> </w:t>
            </w:r>
            <w:r w:rsidR="00222CE8">
              <w:t>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15</w:t>
            </w:r>
            <w:r w:rsidRPr="00A1584C">
              <w:t xml:space="preserve">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3</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2CE8" w:rsidP="00934AE2">
            <w:pPr>
              <w:ind w:right="121"/>
              <w:jc w:val="both"/>
            </w:pPr>
            <w:r>
              <w:t xml:space="preserve">no projekta uzsākšanas gada līdz </w:t>
            </w:r>
            <w:r w:rsidR="00934AE2" w:rsidRPr="008534DC">
              <w:t>otrajam</w:t>
            </w:r>
            <w:r w:rsidR="00934AE2">
              <w:t xml:space="preserve"> </w:t>
            </w:r>
            <w:r>
              <w:t>gadam (ieskaitot) pēc projekta īstenošanas izveidot</w:t>
            </w:r>
            <w:r w:rsidR="00934AE2">
              <w:t>as</w:t>
            </w:r>
            <w:r w:rsidR="00884716" w:rsidRPr="00A1584C">
              <w:t xml:space="preserve"> no </w:t>
            </w:r>
            <w:r w:rsidR="00723D02">
              <w:t>3</w:t>
            </w:r>
            <w:r>
              <w:t>1</w:t>
            </w:r>
            <w:r w:rsidRPr="00A1584C">
              <w:t xml:space="preserve"> </w:t>
            </w:r>
            <w:r w:rsidR="00884716" w:rsidRPr="00A1584C">
              <w:t xml:space="preserve">līdz </w:t>
            </w:r>
            <w:r>
              <w:t>50</w:t>
            </w:r>
            <w:r w:rsidRPr="00A1584C">
              <w:t xml:space="preserve"> </w:t>
            </w:r>
            <w:r>
              <w:t>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10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4</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2CE8" w:rsidP="00934AE2">
            <w:pPr>
              <w:ind w:right="121"/>
              <w:jc w:val="both"/>
            </w:pPr>
            <w:r>
              <w:t xml:space="preserve">no projekta uzsākšanas gada līdz </w:t>
            </w:r>
            <w:r w:rsidR="00934AE2" w:rsidRPr="008534DC">
              <w:t>otrajam</w:t>
            </w:r>
            <w:r w:rsidR="00934AE2">
              <w:t xml:space="preserve"> </w:t>
            </w:r>
            <w:r>
              <w:t>gadam (ieskaitot) pēc projekta īstenošanas izveidot</w:t>
            </w:r>
            <w:r w:rsidR="00934AE2">
              <w:t>as</w:t>
            </w:r>
            <w:r w:rsidR="00884716" w:rsidRPr="00A1584C">
              <w:t xml:space="preserve"> no </w:t>
            </w:r>
            <w:r>
              <w:t>1</w:t>
            </w:r>
            <w:r w:rsidRPr="00A1584C">
              <w:t xml:space="preserve"> </w:t>
            </w:r>
            <w:r w:rsidR="00884716" w:rsidRPr="00A1584C">
              <w:t xml:space="preserve">līdz </w:t>
            </w:r>
            <w:r>
              <w:t>30</w:t>
            </w:r>
            <w:r w:rsidRPr="00A1584C">
              <w:t xml:space="preserve"> </w:t>
            </w:r>
            <w:r>
              <w:t>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45"/>
        </w:trPr>
        <w:tc>
          <w:tcPr>
            <w:tcW w:w="729" w:type="dxa"/>
            <w:gridSpan w:val="2"/>
            <w:tcBorders>
              <w:top w:val="single" w:sz="8"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222CE8">
            <w:pPr>
              <w:rPr>
                <w:bCs/>
              </w:rPr>
            </w:pPr>
            <w:r w:rsidRPr="00A1584C">
              <w:rPr>
                <w:bCs/>
              </w:rPr>
              <w:t>3.4.</w:t>
            </w:r>
            <w:r w:rsidR="00222CE8">
              <w:rPr>
                <w:bCs/>
              </w:rPr>
              <w:t>5</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222CE8" w:rsidP="00934AE2">
            <w:pPr>
              <w:jc w:val="both"/>
            </w:pPr>
            <w:r>
              <w:t xml:space="preserve">no projekta uzsākšanas gada līdz </w:t>
            </w:r>
            <w:r w:rsidR="00934AE2" w:rsidRPr="008534DC">
              <w:t>otrajam</w:t>
            </w:r>
            <w:r w:rsidR="00934AE2">
              <w:t xml:space="preserve"> </w:t>
            </w:r>
            <w:r>
              <w:t>gadam (ieskaitot) pēc projekta īstenošanas nav izveidot</w:t>
            </w:r>
            <w:r w:rsidR="00934AE2">
              <w:t>as</w:t>
            </w:r>
            <w:r>
              <w:t xml:space="preserve"> jaunas darba vietas</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222CE8" w:rsidP="005E3DAB">
            <w:pPr>
              <w:jc w:val="center"/>
            </w:pPr>
            <w:r>
              <w:t>0</w:t>
            </w:r>
            <w:r w:rsidRPr="00A1584C">
              <w:t xml:space="preserve">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177"/>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7635A3" w:rsidP="000A070C">
            <w:pPr>
              <w:ind w:right="121"/>
              <w:jc w:val="both"/>
            </w:pPr>
            <w:r>
              <w:t>Projekta iesniedzēja v</w:t>
            </w:r>
            <w:r w:rsidR="00884716" w:rsidRPr="00A1584C">
              <w:t xml:space="preserve">idējais bruto darba algu līmenis (par pēdējo noslēgto finanšu gadu) attiecībā pret </w:t>
            </w:r>
            <w:r w:rsidR="000A070C">
              <w:t xml:space="preserve">tā </w:t>
            </w:r>
            <w:r w:rsidR="00884716">
              <w:t xml:space="preserve">pamatdarbības </w:t>
            </w:r>
            <w:r w:rsidR="00884716" w:rsidRPr="00A1584C">
              <w:t xml:space="preserve">nozares </w:t>
            </w:r>
            <w:r w:rsidR="0080251E">
              <w:t xml:space="preserve">(pēc NACE 2.red.) </w:t>
            </w:r>
            <w:r w:rsidR="00884716" w:rsidRPr="00A1584C">
              <w:t xml:space="preserve">vidējo rādītāju (tiek attiecināts pret </w:t>
            </w:r>
            <w:r w:rsidR="00222CE8">
              <w:t xml:space="preserve">Centrālās statistikas pārvaldes </w:t>
            </w:r>
            <w:r w:rsidR="00884716" w:rsidRPr="00A1584C">
              <w:t>datiem par pēdējo pieejamo gadu)</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D057F9">
            <w:pPr>
              <w:jc w:val="center"/>
            </w:pPr>
            <w:r w:rsidRPr="00A1584C">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lastRenderedPageBreak/>
              <w:t>3.5.</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0A070C" w:rsidP="00730C38">
            <w:pPr>
              <w:ind w:right="121"/>
              <w:jc w:val="both"/>
            </w:pPr>
            <w:r w:rsidRPr="005D0507">
              <w:t xml:space="preserve">projekta iesniedzēja </w:t>
            </w:r>
            <w:r w:rsidR="00884716" w:rsidRPr="005D0507">
              <w:t xml:space="preserve">vidējais bruto darba algu līmenis pārsniedz </w:t>
            </w:r>
            <w:r w:rsidRPr="005D0507">
              <w:t xml:space="preserve">tā </w:t>
            </w:r>
            <w:r w:rsidR="00884716" w:rsidRPr="005D0507">
              <w:t xml:space="preserve">pamatdarbības nozares </w:t>
            </w:r>
            <w:r w:rsidR="00730C38" w:rsidRPr="005D0507">
              <w:t>vidējo rādītāju vairāk kā par 20%</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0A070C" w:rsidP="00730C38">
            <w:pPr>
              <w:ind w:right="121"/>
              <w:jc w:val="both"/>
            </w:pPr>
            <w:r w:rsidRPr="005D0507">
              <w:t xml:space="preserve">projekta iesniedzēja </w:t>
            </w:r>
            <w:r w:rsidR="00884716" w:rsidRPr="005D0507">
              <w:t xml:space="preserve">vidējais bruto darba algu līmenis pārsniedz </w:t>
            </w:r>
            <w:r w:rsidR="00730C38" w:rsidRPr="005D0507">
              <w:t>tā pamatdarbības nozares vidējo rādītāju mazāk kā par 20%</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3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177"/>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3.5.</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0A070C" w:rsidP="00263D18">
            <w:pPr>
              <w:ind w:right="121"/>
              <w:jc w:val="both"/>
            </w:pPr>
            <w:r w:rsidRPr="005D0507">
              <w:t xml:space="preserve">projekta iesniedzēja </w:t>
            </w:r>
            <w:r w:rsidR="00884716" w:rsidRPr="005D0507">
              <w:t xml:space="preserve">vidējais bruto darba algu līmenis nepārsniedz </w:t>
            </w:r>
            <w:r w:rsidRPr="005D0507">
              <w:t xml:space="preserve">tā </w:t>
            </w:r>
            <w:r w:rsidR="00884716" w:rsidRPr="005D0507">
              <w:t xml:space="preserve">pamatdarbības nozares </w:t>
            </w:r>
            <w:r w:rsidR="00263D18" w:rsidRPr="005D0507">
              <w:t xml:space="preserve">vidējo </w:t>
            </w:r>
            <w:r w:rsidR="00884716" w:rsidRPr="005D0507">
              <w:t>rādītāj</w:t>
            </w:r>
            <w:r w:rsidR="00730C38" w:rsidRPr="005D0507">
              <w:t>u</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 xml:space="preserve">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D670D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3.6.</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Default="00263D18" w:rsidP="00263D18">
            <w:pPr>
              <w:ind w:right="121"/>
              <w:jc w:val="both"/>
            </w:pPr>
            <w:r>
              <w:t>D</w:t>
            </w:r>
            <w:r w:rsidR="000A070C">
              <w:t xml:space="preserve">arbaspēka </w:t>
            </w:r>
            <w:r w:rsidR="00884716" w:rsidRPr="00A1584C">
              <w:t xml:space="preserve">nodokļu </w:t>
            </w:r>
            <w:r w:rsidR="00697BC5" w:rsidRPr="00A1584C">
              <w:t>(IIN un VSAOI)</w:t>
            </w:r>
            <w:r w:rsidR="00697BC5">
              <w:t xml:space="preserve"> </w:t>
            </w:r>
            <w:r w:rsidR="00577AC9">
              <w:t xml:space="preserve">maksājumu </w:t>
            </w:r>
            <w:r w:rsidR="00697BC5">
              <w:t>pieaugums</w:t>
            </w:r>
            <w:r w:rsidR="000A070C">
              <w:t xml:space="preserve"> </w:t>
            </w:r>
            <w:r w:rsidR="00115C4F">
              <w:t xml:space="preserve">projekta īstenošanas laikā un nākamajos </w:t>
            </w:r>
            <w:r w:rsidRPr="00560429">
              <w:rPr>
                <w:b/>
                <w:bCs/>
              </w:rPr>
              <w:t>divos</w:t>
            </w:r>
            <w:r>
              <w:t xml:space="preserve"> </w:t>
            </w:r>
            <w:r w:rsidR="00115C4F">
              <w:t>gado</w:t>
            </w:r>
            <w:r w:rsidR="000A070C">
              <w:t>s pēc projekta īstenošanas</w:t>
            </w:r>
            <w:r w:rsidR="00DB74AD">
              <w:t>.</w:t>
            </w:r>
          </w:p>
          <w:p w:rsidR="00577AC9" w:rsidRDefault="00577AC9" w:rsidP="00697BC5">
            <w:pPr>
              <w:ind w:right="121"/>
              <w:jc w:val="both"/>
            </w:pPr>
          </w:p>
          <w:p w:rsidR="00577AC9" w:rsidRDefault="00577AC9" w:rsidP="00577AC9">
            <w:pPr>
              <w:ind w:right="121"/>
              <w:jc w:val="both"/>
            </w:pPr>
            <w:r>
              <w:t>Darbaspēka nodokļu maksājumu pieaugums tiek rēķināts pēc formulas:</w:t>
            </w:r>
          </w:p>
          <w:p w:rsidR="00577AC9" w:rsidRDefault="00577AC9" w:rsidP="00263D18">
            <w:pPr>
              <w:ind w:right="121"/>
              <w:jc w:val="both"/>
            </w:pPr>
            <w:r>
              <w:t>P = T</w:t>
            </w:r>
            <w:r w:rsidRPr="00E44B9D">
              <w:rPr>
                <w:vertAlign w:val="subscript"/>
              </w:rPr>
              <w:t>b+</w:t>
            </w:r>
            <w:r w:rsidR="00263D18">
              <w:rPr>
                <w:vertAlign w:val="subscript"/>
              </w:rPr>
              <w:t>2</w:t>
            </w:r>
            <w:r>
              <w:t>/</w:t>
            </w:r>
            <w:proofErr w:type="spellStart"/>
            <w:r>
              <w:t>T</w:t>
            </w:r>
            <w:r w:rsidR="00263D18">
              <w:t>s</w:t>
            </w:r>
            <w:proofErr w:type="spellEnd"/>
            <w:r>
              <w:rPr>
                <w:vertAlign w:val="subscript"/>
              </w:rPr>
              <w:t xml:space="preserve"> </w:t>
            </w:r>
            <w:r>
              <w:t>x 100-100, kur</w:t>
            </w:r>
          </w:p>
          <w:p w:rsidR="00577AC9" w:rsidRDefault="00577AC9" w:rsidP="00577AC9">
            <w:pPr>
              <w:ind w:right="121"/>
              <w:jc w:val="both"/>
            </w:pPr>
            <w:r>
              <w:t>P – darbaspēka nodokļu maksājumu pieaugums;</w:t>
            </w:r>
          </w:p>
          <w:p w:rsidR="00577AC9" w:rsidRDefault="00F06A3C" w:rsidP="00263D18">
            <w:pPr>
              <w:ind w:right="121"/>
              <w:jc w:val="both"/>
            </w:pPr>
            <w:proofErr w:type="spellStart"/>
            <w:r>
              <w:t>T</w:t>
            </w:r>
            <w:r w:rsidR="00263D18">
              <w:rPr>
                <w:vertAlign w:val="subscript"/>
              </w:rPr>
              <w:t>s</w:t>
            </w:r>
            <w:proofErr w:type="spellEnd"/>
            <w:r>
              <w:t xml:space="preserve"> </w:t>
            </w:r>
            <w:r w:rsidR="00577AC9">
              <w:t xml:space="preserve">– darbaspēka nodokļu maksājumu apjoms </w:t>
            </w:r>
            <w:r w:rsidR="00263D18">
              <w:t>gadā, kad uzsākta</w:t>
            </w:r>
            <w:r>
              <w:t xml:space="preserve"> </w:t>
            </w:r>
            <w:r w:rsidR="00577AC9">
              <w:t xml:space="preserve">projekta </w:t>
            </w:r>
            <w:r>
              <w:t>īstenošana</w:t>
            </w:r>
            <w:r w:rsidR="00577AC9">
              <w:t>;</w:t>
            </w:r>
          </w:p>
          <w:p w:rsidR="00577AC9" w:rsidRPr="00A1584C" w:rsidRDefault="00577AC9" w:rsidP="00263D18">
            <w:pPr>
              <w:ind w:right="121"/>
              <w:jc w:val="both"/>
            </w:pPr>
            <w:r>
              <w:t>T</w:t>
            </w:r>
            <w:r>
              <w:rPr>
                <w:vertAlign w:val="subscript"/>
              </w:rPr>
              <w:t>b+</w:t>
            </w:r>
            <w:r w:rsidR="00263D18">
              <w:rPr>
                <w:vertAlign w:val="subscript"/>
              </w:rPr>
              <w:t>2</w:t>
            </w:r>
            <w:r w:rsidR="00263D18">
              <w:t xml:space="preserve"> </w:t>
            </w:r>
            <w:r>
              <w:t xml:space="preserve">– darbaspēka nodokļu maksājumu apjoms </w:t>
            </w:r>
            <w:r w:rsidR="00263D18">
              <w:t xml:space="preserve">otrajā </w:t>
            </w:r>
            <w:r>
              <w:t xml:space="preserve">gadā pēc projekta </w:t>
            </w:r>
            <w:r w:rsidR="00263D18">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884716" w:rsidP="00D057F9">
            <w:pPr>
              <w:jc w:val="center"/>
            </w:pPr>
            <w:r w:rsidRPr="005D0507">
              <w:t xml:space="preserve">maksimālais skaits – </w:t>
            </w:r>
            <w:r w:rsidR="00F06A3C" w:rsidRPr="005D0507">
              <w:t>1</w:t>
            </w:r>
            <w:r w:rsidRPr="005D0507">
              <w:t>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3.6.</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97BC5" w:rsidRPr="00A1584C" w:rsidRDefault="00697BC5" w:rsidP="00263D18">
            <w:pPr>
              <w:ind w:right="121"/>
              <w:jc w:val="both"/>
            </w:pPr>
            <w:r>
              <w:t xml:space="preserve">darbaspēka </w:t>
            </w:r>
            <w:r w:rsidR="00884716" w:rsidRPr="00A1584C">
              <w:t xml:space="preserve">nodokļu maksājumu pieaugums </w:t>
            </w:r>
            <w:r w:rsidR="005E55F7">
              <w:t xml:space="preserve">projekta īstenošanas laikā un nākamajos </w:t>
            </w:r>
            <w:r w:rsidR="00263D18">
              <w:t xml:space="preserve">divos </w:t>
            </w:r>
            <w:r>
              <w:t xml:space="preserve">gados pēc projekta īstenošanas </w:t>
            </w:r>
            <w:r w:rsidR="00884716" w:rsidRPr="00A1584C">
              <w:t>pārsniedz 20 %</w:t>
            </w:r>
            <w:r w:rsidR="005E55F7">
              <w:t xml:space="preserve"> attiecībā pret </w:t>
            </w:r>
            <w:r w:rsidR="00884716" w:rsidRPr="00A1584C">
              <w:t xml:space="preserve">gadu, kurā </w:t>
            </w:r>
            <w:r w:rsidR="00263D18">
              <w:t>uzsākta</w:t>
            </w:r>
            <w:r w:rsidR="00F06A3C" w:rsidRPr="00A1584C">
              <w:t xml:space="preserve"> </w:t>
            </w:r>
            <w:r w:rsidR="00884716" w:rsidRPr="00A1584C">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F06A3C" w:rsidP="005E3DAB">
            <w:pPr>
              <w:jc w:val="center"/>
            </w:pPr>
            <w:r w:rsidRPr="005D0507">
              <w:t>1</w:t>
            </w:r>
            <w:r w:rsidR="00884716" w:rsidRPr="005D0507">
              <w:t xml:space="preserve">5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3.6.</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277BC5">
            <w:pPr>
              <w:ind w:right="121"/>
              <w:jc w:val="both"/>
            </w:pPr>
            <w:r>
              <w:t xml:space="preserve">darbaspēka </w:t>
            </w:r>
            <w:r w:rsidR="00884716" w:rsidRPr="00A1584C">
              <w:t xml:space="preserve">nodokļu maksājumu pieaugums </w:t>
            </w:r>
            <w:r>
              <w:t xml:space="preserve">projekta īstenošanas laikā un </w:t>
            </w:r>
            <w:r w:rsidR="00884716" w:rsidRPr="00A1584C">
              <w:t xml:space="preserve">nākamajos </w:t>
            </w:r>
            <w:r w:rsidR="00263D18">
              <w:t xml:space="preserve">divos </w:t>
            </w:r>
            <w:r>
              <w:t>gados</w:t>
            </w:r>
            <w:r w:rsidR="00884716" w:rsidRPr="00A1584C">
              <w:t xml:space="preserve"> pēc </w:t>
            </w:r>
            <w:r>
              <w:t xml:space="preserve">projekta īstenošanas </w:t>
            </w:r>
            <w:r w:rsidR="00F06A3C" w:rsidRPr="005D0507">
              <w:t xml:space="preserve">pārsniedz </w:t>
            </w:r>
            <w:r w:rsidR="00277BC5" w:rsidRPr="005D0507">
              <w:t>8</w:t>
            </w:r>
            <w:r w:rsidR="00F06A3C" w:rsidRPr="005D0507">
              <w:t>%, bet nepārsniedz</w:t>
            </w:r>
            <w:r w:rsidR="00884716" w:rsidRPr="005D0507">
              <w:t xml:space="preserve"> 20 %</w:t>
            </w:r>
            <w:r>
              <w:t xml:space="preserve"> attiecībā pret gadu</w:t>
            </w:r>
            <w:r w:rsidR="00884716" w:rsidRPr="00A1584C">
              <w:t>, kurā 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F06A3C" w:rsidP="005E3DAB">
            <w:pPr>
              <w:jc w:val="center"/>
            </w:pPr>
            <w:r w:rsidRPr="005D0507">
              <w:t xml:space="preserve">10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F06A3C"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F06A3C" w:rsidRPr="00A1584C" w:rsidRDefault="00F06A3C" w:rsidP="00633C59">
            <w:pPr>
              <w:rPr>
                <w:bCs/>
              </w:rPr>
            </w:pPr>
            <w:r>
              <w:rPr>
                <w:bCs/>
              </w:rPr>
              <w:t>3.6.3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06A3C" w:rsidRDefault="00F06A3C" w:rsidP="00277BC5">
            <w:pPr>
              <w:ind w:right="121"/>
              <w:jc w:val="both"/>
            </w:pPr>
            <w:r>
              <w:t xml:space="preserve">darbaspēka nodokļu maksājumu pieaugums </w:t>
            </w:r>
            <w:r w:rsidR="00263D18">
              <w:t xml:space="preserve">projekta īstenošanas laikā un </w:t>
            </w:r>
            <w:r>
              <w:t xml:space="preserve">nākamajos </w:t>
            </w:r>
            <w:r w:rsidR="00263D18">
              <w:t>divos</w:t>
            </w:r>
            <w:r>
              <w:t xml:space="preserve"> gados pēc projekta īstenošanas </w:t>
            </w:r>
            <w:r w:rsidRPr="005D0507">
              <w:t xml:space="preserve">nepārsniedz </w:t>
            </w:r>
            <w:r w:rsidR="00277BC5" w:rsidRPr="005D0507">
              <w:t>8</w:t>
            </w:r>
            <w:r w:rsidRPr="005D0507">
              <w:t>%</w:t>
            </w:r>
            <w:r>
              <w:t xml:space="preserve"> attiecībā pret gadu, kurā </w:t>
            </w:r>
            <w:r w:rsidR="00263D18">
              <w:t>uzsākta</w:t>
            </w:r>
            <w:r>
              <w:t xml:space="preserve">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06A3C" w:rsidRPr="005D0507" w:rsidDel="00F06A3C" w:rsidRDefault="00F06A3C" w:rsidP="005E3DAB">
            <w:pPr>
              <w:jc w:val="center"/>
            </w:pPr>
            <w:r w:rsidRPr="005D0507">
              <w:t>5</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F06A3C" w:rsidRPr="00A1584C" w:rsidRDefault="00F06A3C" w:rsidP="00D057F9"/>
        </w:tc>
      </w:tr>
      <w:tr w:rsidR="00884716" w:rsidRPr="004B33B3" w:rsidTr="00D670D4">
        <w:trPr>
          <w:cantSplit/>
          <w:trHeight w:val="221"/>
        </w:trPr>
        <w:tc>
          <w:tcPr>
            <w:tcW w:w="729" w:type="dxa"/>
            <w:gridSpan w:val="2"/>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F06A3C">
            <w:pPr>
              <w:rPr>
                <w:bCs/>
              </w:rPr>
            </w:pPr>
            <w:r w:rsidRPr="00A1584C">
              <w:rPr>
                <w:bCs/>
              </w:rPr>
              <w:t>3.6.</w:t>
            </w:r>
            <w:r w:rsidR="00F06A3C">
              <w:rPr>
                <w:bCs/>
              </w:rPr>
              <w:t>4</w:t>
            </w:r>
            <w:r>
              <w:rPr>
                <w:bCs/>
              </w:rPr>
              <w:t>.</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263D18">
            <w:pPr>
              <w:ind w:right="121"/>
              <w:jc w:val="both"/>
            </w:pPr>
            <w:r>
              <w:t xml:space="preserve">projekta īstenošanas laikā un </w:t>
            </w:r>
            <w:r w:rsidR="00F06A3C">
              <w:t>nākamajos</w:t>
            </w:r>
            <w:r>
              <w:t xml:space="preserve"> </w:t>
            </w:r>
            <w:r w:rsidR="00263D18">
              <w:t xml:space="preserve">divos </w:t>
            </w:r>
            <w:r>
              <w:t xml:space="preserve">gados pēc projekta īstenošanas </w:t>
            </w:r>
            <w:r w:rsidR="00F06A3C">
              <w:t xml:space="preserve">nav </w:t>
            </w:r>
            <w:r>
              <w:t>plānots darbaspēka</w:t>
            </w:r>
            <w:r w:rsidRPr="00A1584C">
              <w:t xml:space="preserve"> </w:t>
            </w:r>
            <w:r w:rsidR="00884716" w:rsidRPr="00A1584C">
              <w:t xml:space="preserve">nodokļu maksājumu </w:t>
            </w:r>
            <w:r w:rsidR="00F06A3C">
              <w:t>pieaugums</w:t>
            </w:r>
            <w:r w:rsidR="00F06A3C" w:rsidRPr="00A1584C">
              <w:t xml:space="preserve"> </w:t>
            </w:r>
            <w:r>
              <w:t xml:space="preserve">attiecībā pret gadu, kurā </w:t>
            </w:r>
            <w:r w:rsidR="00884716" w:rsidRPr="00A1584C">
              <w:t>uzsākta projekta īstenošana</w:t>
            </w:r>
          </w:p>
        </w:tc>
        <w:tc>
          <w:tcPr>
            <w:tcW w:w="147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5E3DAB">
            <w:pPr>
              <w:jc w:val="center"/>
            </w:pPr>
            <w:r w:rsidRPr="00A1584C">
              <w:t>0 </w:t>
            </w: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78159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3.7.</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4E091C" w:rsidP="00D057F9">
            <w:pPr>
              <w:ind w:right="121"/>
              <w:jc w:val="both"/>
            </w:pPr>
            <w:r w:rsidRPr="005D0507">
              <w:t>Projekta īstenošanas nozares tehnoloģiskais līmenis</w:t>
            </w:r>
            <w:r w:rsidR="00884716" w:rsidRPr="00A1584C">
              <w:t xml:space="preserve"> (pēc NACE 2.red.)</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4E091C">
            <w:pPr>
              <w:jc w:val="center"/>
            </w:pPr>
            <w:r w:rsidRPr="00A1584C">
              <w:t>maksimālais skaits – 1</w:t>
            </w:r>
            <w:r w:rsidR="004E091C">
              <w:t>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rsidRPr="00A1584C">
              <w:rPr>
                <w:bCs/>
              </w:rPr>
              <w:t>3.7.</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D057F9">
            <w:pPr>
              <w:pStyle w:val="tvhtml"/>
              <w:spacing w:before="0" w:beforeAutospacing="0" w:after="0" w:afterAutospacing="0"/>
              <w:ind w:right="121"/>
              <w:jc w:val="both"/>
              <w:rPr>
                <w:rFonts w:ascii="Times New Roman" w:hAnsi="Times New Roman"/>
                <w:sz w:val="24"/>
                <w:szCs w:val="24"/>
              </w:rPr>
            </w:pPr>
            <w:r>
              <w:rPr>
                <w:rFonts w:ascii="Times New Roman" w:hAnsi="Times New Roman"/>
                <w:sz w:val="24"/>
                <w:szCs w:val="24"/>
              </w:rPr>
              <w:t>projekts tiks īstenots</w:t>
            </w:r>
            <w:r w:rsidR="00884716" w:rsidRPr="00A1584C">
              <w:rPr>
                <w:rFonts w:ascii="Times New Roman" w:hAnsi="Times New Roman"/>
                <w:sz w:val="24"/>
                <w:szCs w:val="24"/>
              </w:rPr>
              <w:t xml:space="preserve"> vienā no šādām augsti tehnoloģiskām </w:t>
            </w:r>
            <w:r w:rsidR="004E091C" w:rsidRPr="005D0507">
              <w:rPr>
                <w:rFonts w:ascii="Times New Roman" w:hAnsi="Times New Roman"/>
                <w:sz w:val="24"/>
                <w:szCs w:val="24"/>
              </w:rPr>
              <w:t>apstrādes rūpniecības</w:t>
            </w:r>
            <w:r w:rsidR="004E091C">
              <w:rPr>
                <w:rFonts w:ascii="Times New Roman" w:hAnsi="Times New Roman"/>
                <w:sz w:val="24"/>
                <w:szCs w:val="24"/>
              </w:rPr>
              <w:t xml:space="preserve"> </w:t>
            </w:r>
            <w:r w:rsidR="00884716" w:rsidRPr="00A1584C">
              <w:rPr>
                <w:rFonts w:ascii="Times New Roman" w:hAnsi="Times New Roman"/>
                <w:sz w:val="24"/>
                <w:szCs w:val="24"/>
              </w:rPr>
              <w:t>nozarēm:</w:t>
            </w:r>
          </w:p>
          <w:p w:rsidR="00884716" w:rsidRPr="00A1584C" w:rsidRDefault="00884716" w:rsidP="004E091C">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f</w:t>
            </w:r>
            <w:r w:rsidRPr="00A1584C">
              <w:rPr>
                <w:rStyle w:val="cspklasifikatorscodename"/>
                <w:rFonts w:ascii="Times New Roman" w:hAnsi="Times New Roman"/>
                <w:sz w:val="24"/>
                <w:szCs w:val="24"/>
              </w:rPr>
              <w:t>armaceitisko pamatvielu un farmaceitisko preparātu ražošana</w:t>
            </w:r>
            <w:r w:rsidRPr="00A1584C">
              <w:rPr>
                <w:rFonts w:ascii="Times New Roman" w:hAnsi="Times New Roman"/>
                <w:sz w:val="24"/>
                <w:szCs w:val="24"/>
              </w:rPr>
              <w:t xml:space="preserve"> (C21), datoru, elektronisko un optisko iekārtu ražošana (C26), l</w:t>
            </w:r>
            <w:r w:rsidRPr="00A1584C">
              <w:rPr>
                <w:rStyle w:val="cspklasifikatorscodename"/>
                <w:rFonts w:ascii="Times New Roman" w:hAnsi="Times New Roman"/>
                <w:sz w:val="24"/>
                <w:szCs w:val="24"/>
              </w:rPr>
              <w:t>idaparātu, kosmisko aparātu un to iekārtu ražošana</w:t>
            </w:r>
            <w:r w:rsidRPr="00A1584C">
              <w:rPr>
                <w:rFonts w:ascii="Times New Roman" w:hAnsi="Times New Roman"/>
                <w:sz w:val="24"/>
                <w:szCs w:val="24"/>
              </w:rPr>
              <w:t xml:space="preserve"> (C30.3)</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4E091C">
            <w:pPr>
              <w:jc w:val="center"/>
            </w:pPr>
            <w:r w:rsidRPr="00A1584C">
              <w:t>1</w:t>
            </w:r>
            <w:r w:rsidR="004E091C">
              <w:t>5</w:t>
            </w:r>
            <w:r w:rsidRPr="00A1584C">
              <w:t xml:space="preserve">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D670D4">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lastRenderedPageBreak/>
              <w:t>3.7.2.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80251E" w:rsidP="00D057F9">
            <w:pPr>
              <w:pStyle w:val="tvhtml"/>
              <w:spacing w:before="0" w:beforeAutospacing="0" w:after="0" w:afterAutospacing="0"/>
              <w:ind w:right="119"/>
              <w:jc w:val="both"/>
              <w:rPr>
                <w:rFonts w:ascii="Times New Roman" w:hAnsi="Times New Roman"/>
                <w:sz w:val="24"/>
                <w:szCs w:val="24"/>
              </w:rPr>
            </w:pPr>
            <w:r>
              <w:rPr>
                <w:rFonts w:ascii="Times New Roman" w:hAnsi="Times New Roman"/>
                <w:sz w:val="24"/>
                <w:szCs w:val="24"/>
              </w:rPr>
              <w:t>projekts tiks īstenots</w:t>
            </w:r>
            <w:r w:rsidR="00884716" w:rsidRPr="00A1584C">
              <w:rPr>
                <w:rFonts w:ascii="Times New Roman" w:hAnsi="Times New Roman"/>
                <w:sz w:val="24"/>
                <w:szCs w:val="24"/>
              </w:rPr>
              <w:t xml:space="preserve"> vienā no šādām vidēji augsti tehnoloģiskām </w:t>
            </w:r>
            <w:r w:rsidR="004E091C" w:rsidRPr="005D0507">
              <w:rPr>
                <w:rFonts w:ascii="Times New Roman" w:hAnsi="Times New Roman"/>
                <w:sz w:val="24"/>
                <w:szCs w:val="24"/>
              </w:rPr>
              <w:t>apstrādes rūpniecības</w:t>
            </w:r>
            <w:r w:rsidR="004E091C">
              <w:rPr>
                <w:rFonts w:ascii="Times New Roman" w:hAnsi="Times New Roman"/>
                <w:sz w:val="24"/>
                <w:szCs w:val="24"/>
              </w:rPr>
              <w:t xml:space="preserve"> </w:t>
            </w:r>
            <w:r w:rsidR="00884716" w:rsidRPr="00A1584C">
              <w:rPr>
                <w:rFonts w:ascii="Times New Roman" w:hAnsi="Times New Roman"/>
                <w:sz w:val="24"/>
                <w:szCs w:val="24"/>
              </w:rPr>
              <w:t>nozarēm:</w:t>
            </w:r>
          </w:p>
          <w:p w:rsidR="00884716" w:rsidRPr="00A1584C" w:rsidRDefault="00884716" w:rsidP="00DB74AD">
            <w:pPr>
              <w:pStyle w:val="tvhtml"/>
              <w:spacing w:before="0" w:beforeAutospacing="0" w:after="0" w:afterAutospacing="0"/>
              <w:ind w:right="119"/>
              <w:jc w:val="both"/>
              <w:rPr>
                <w:rFonts w:ascii="Times New Roman" w:hAnsi="Times New Roman"/>
                <w:sz w:val="24"/>
                <w:szCs w:val="24"/>
              </w:rPr>
            </w:pPr>
            <w:r w:rsidRPr="00A1584C">
              <w:rPr>
                <w:rFonts w:ascii="Times New Roman" w:hAnsi="Times New Roman"/>
                <w:sz w:val="24"/>
                <w:szCs w:val="24"/>
              </w:rPr>
              <w:t>ķīmisko vielu un ķīmisko produktu ražošana (C20), izņemot s</w:t>
            </w:r>
            <w:r w:rsidRPr="00A1584C">
              <w:rPr>
                <w:rFonts w:ascii="Times New Roman" w:hAnsi="Times New Roman"/>
                <w:iCs/>
                <w:sz w:val="24"/>
                <w:szCs w:val="24"/>
              </w:rPr>
              <w:t xml:space="preserve">intētisko šķiedru ražošanu </w:t>
            </w:r>
            <w:r w:rsidRPr="00A1584C">
              <w:rPr>
                <w:rFonts w:ascii="Times New Roman" w:hAnsi="Times New Roman"/>
                <w:sz w:val="24"/>
                <w:szCs w:val="24"/>
              </w:rPr>
              <w:t>(C20.6),</w:t>
            </w:r>
            <w:r w:rsidRPr="00A1584C">
              <w:rPr>
                <w:rFonts w:ascii="Korinna LRS" w:hAnsi="Korinna LRS"/>
              </w:rPr>
              <w:t xml:space="preserve"> </w:t>
            </w:r>
            <w:r w:rsidRPr="00A1584C">
              <w:rPr>
                <w:rStyle w:val="cspklasifikatorscodename"/>
                <w:rFonts w:ascii="Times New Roman" w:hAnsi="Times New Roman"/>
                <w:sz w:val="24"/>
                <w:szCs w:val="24"/>
              </w:rPr>
              <w:t xml:space="preserve">, elektrisko iekārtu ražošana (C27), citur nekvalificētu iekārtu, mehānismu un darba mašīnu ražošana (C28), automobiļu, piekabju un puspiekabju ražošana (C29), citu transportlīdzekļu ražošana (C30), </w:t>
            </w:r>
            <w:r w:rsidRPr="00A1584C">
              <w:rPr>
                <w:rFonts w:ascii="Times New Roman" w:hAnsi="Times New Roman"/>
                <w:sz w:val="24"/>
                <w:szCs w:val="24"/>
              </w:rPr>
              <w:t xml:space="preserve">izņemot kuģu un </w:t>
            </w:r>
            <w:r>
              <w:rPr>
                <w:rFonts w:ascii="Times New Roman" w:hAnsi="Times New Roman"/>
                <w:sz w:val="24"/>
                <w:szCs w:val="24"/>
              </w:rPr>
              <w:t>peldošo</w:t>
            </w:r>
            <w:r w:rsidRPr="00A1584C">
              <w:rPr>
                <w:rFonts w:ascii="Times New Roman" w:hAnsi="Times New Roman"/>
                <w:sz w:val="24"/>
                <w:szCs w:val="24"/>
              </w:rPr>
              <w:t xml:space="preserve"> </w:t>
            </w:r>
            <w:r>
              <w:rPr>
                <w:rFonts w:ascii="Times New Roman" w:hAnsi="Times New Roman"/>
                <w:sz w:val="24"/>
                <w:szCs w:val="24"/>
              </w:rPr>
              <w:t xml:space="preserve">iekārtu </w:t>
            </w:r>
            <w:r w:rsidRPr="00A1584C">
              <w:rPr>
                <w:rFonts w:ascii="Times New Roman" w:hAnsi="Times New Roman"/>
                <w:sz w:val="24"/>
                <w:szCs w:val="24"/>
              </w:rPr>
              <w:t>būvi (C30.1</w:t>
            </w:r>
            <w:r>
              <w:rPr>
                <w:rFonts w:ascii="Times New Roman" w:hAnsi="Times New Roman"/>
                <w:sz w:val="24"/>
                <w:szCs w:val="24"/>
              </w:rPr>
              <w:t>1</w:t>
            </w:r>
            <w:r w:rsidRPr="00A1584C">
              <w:rPr>
                <w:rFonts w:ascii="Times New Roman" w:hAnsi="Times New Roman"/>
                <w:sz w:val="24"/>
                <w:szCs w:val="24"/>
              </w:rPr>
              <w:t xml:space="preserve">) </w:t>
            </w:r>
            <w:r>
              <w:rPr>
                <w:rFonts w:ascii="Times New Roman" w:hAnsi="Times New Roman"/>
                <w:sz w:val="24"/>
                <w:szCs w:val="24"/>
              </w:rPr>
              <w:t xml:space="preserve">un </w:t>
            </w:r>
            <w:r w:rsidRPr="00A1584C">
              <w:rPr>
                <w:rStyle w:val="cspklasifikatorscodename"/>
                <w:rFonts w:ascii="Times New Roman" w:hAnsi="Times New Roman"/>
                <w:sz w:val="24"/>
                <w:szCs w:val="24"/>
              </w:rPr>
              <w:t>lidaparātu, kosmisko aparātu un to iekārtu ražošanu (C30.3)</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4E091C" w:rsidP="00F8473E">
            <w:pPr>
              <w:jc w:val="center"/>
            </w:pPr>
            <w:r>
              <w:t>10</w:t>
            </w:r>
            <w:r w:rsidR="00884716" w:rsidRPr="00A1584C">
              <w:t xml:space="preserve"> </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221"/>
        </w:trPr>
        <w:tc>
          <w:tcPr>
            <w:tcW w:w="729" w:type="dxa"/>
            <w:gridSpan w:val="2"/>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
                <w:bCs/>
              </w:rPr>
            </w:pPr>
            <w:r>
              <w:t>3.7.3.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DB74AD" w:rsidP="00781594">
            <w:pPr>
              <w:ind w:right="121"/>
              <w:jc w:val="both"/>
              <w:rPr>
                <w:sz w:val="20"/>
                <w:szCs w:val="20"/>
              </w:rPr>
            </w:pPr>
            <w:r>
              <w:t>projekts tiks īstenots</w:t>
            </w:r>
            <w:r w:rsidR="00884716" w:rsidRPr="00A1584C">
              <w:t xml:space="preserve"> nozarēs, kas nav minētas </w:t>
            </w:r>
            <w:r w:rsidR="00884716">
              <w:t>3.7.1. un 3.7.2.apakšpunktā</w:t>
            </w:r>
          </w:p>
        </w:tc>
        <w:tc>
          <w:tcPr>
            <w:tcW w:w="1476" w:type="dxa"/>
            <w:gridSpan w:val="2"/>
            <w:tcBorders>
              <w:top w:val="single" w:sz="8"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F8473E">
            <w:pPr>
              <w:jc w:val="center"/>
            </w:pPr>
            <w:r w:rsidRPr="00A1584C">
              <w:t xml:space="preserve">0 </w:t>
            </w: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A1584C" w:rsidTr="00633C59">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Default="00263D18" w:rsidP="00560429">
            <w:pPr>
              <w:ind w:right="121"/>
              <w:jc w:val="both"/>
            </w:pPr>
            <w:r>
              <w:t>P</w:t>
            </w:r>
            <w:r w:rsidR="00884716" w:rsidRPr="00A1584C">
              <w:t xml:space="preserve">rojekta iesniedzēja neto apgrozījuma pieaugums </w:t>
            </w:r>
            <w:r w:rsidRPr="005D0507">
              <w:t xml:space="preserve">projekta īstenošanas laikā un </w:t>
            </w:r>
            <w:r w:rsidR="00884716" w:rsidRPr="005D0507">
              <w:t xml:space="preserve">nākamajos </w:t>
            </w:r>
            <w:r w:rsidRPr="005D0507">
              <w:t xml:space="preserve">divos </w:t>
            </w:r>
            <w:r w:rsidR="00DB74AD" w:rsidRPr="005D0507">
              <w:t>gados</w:t>
            </w:r>
            <w:r w:rsidR="00DB74AD">
              <w:t xml:space="preserve"> </w:t>
            </w:r>
            <w:r w:rsidR="00884716" w:rsidRPr="00A1584C">
              <w:t>pēc projekta īstenošanas</w:t>
            </w:r>
            <w:r w:rsidR="00DB74AD">
              <w:t>.</w:t>
            </w:r>
          </w:p>
          <w:p w:rsidR="00DB74AD" w:rsidRDefault="00DB74AD" w:rsidP="00DB74AD">
            <w:pPr>
              <w:ind w:right="121"/>
              <w:jc w:val="both"/>
            </w:pPr>
          </w:p>
          <w:p w:rsidR="00DB74AD" w:rsidRPr="005D0507" w:rsidRDefault="00DB74AD" w:rsidP="00DB74AD">
            <w:pPr>
              <w:ind w:right="121"/>
              <w:jc w:val="both"/>
            </w:pPr>
            <w:r w:rsidRPr="005D0507">
              <w:t>Neto apgrozījuma pieaugums tiek rēķināts pēc formulas:</w:t>
            </w:r>
          </w:p>
          <w:p w:rsidR="00DB74AD" w:rsidRPr="005D0507" w:rsidRDefault="00DB74AD" w:rsidP="00263D18">
            <w:pPr>
              <w:ind w:right="121"/>
              <w:jc w:val="both"/>
            </w:pPr>
            <w:r w:rsidRPr="005D0507">
              <w:t>P = T</w:t>
            </w:r>
            <w:r w:rsidRPr="005D0507">
              <w:rPr>
                <w:vertAlign w:val="subscript"/>
              </w:rPr>
              <w:t>b+</w:t>
            </w:r>
            <w:r w:rsidR="00263D18" w:rsidRPr="005D0507">
              <w:rPr>
                <w:vertAlign w:val="subscript"/>
              </w:rPr>
              <w:t>2</w:t>
            </w:r>
            <w:r w:rsidRPr="005D0507">
              <w:t>/</w:t>
            </w:r>
            <w:proofErr w:type="spellStart"/>
            <w:r w:rsidR="00263D18" w:rsidRPr="005D0507">
              <w:t>T</w:t>
            </w:r>
            <w:r w:rsidR="00263D18" w:rsidRPr="005D0507">
              <w:rPr>
                <w:vertAlign w:val="subscript"/>
              </w:rPr>
              <w:t>s</w:t>
            </w:r>
            <w:proofErr w:type="spellEnd"/>
            <w:r w:rsidR="00263D18" w:rsidRPr="005D0507">
              <w:rPr>
                <w:vertAlign w:val="subscript"/>
              </w:rPr>
              <w:t xml:space="preserve"> </w:t>
            </w:r>
            <w:r w:rsidRPr="005D0507">
              <w:t>x 100-100, kur</w:t>
            </w:r>
          </w:p>
          <w:p w:rsidR="00DB74AD" w:rsidRPr="005D0507" w:rsidRDefault="00DB74AD" w:rsidP="00DB74AD">
            <w:pPr>
              <w:ind w:right="121"/>
              <w:jc w:val="both"/>
            </w:pPr>
            <w:r w:rsidRPr="005D0507">
              <w:t>P – neto apgrozījuma pieaugums;</w:t>
            </w:r>
          </w:p>
          <w:p w:rsidR="00DB74AD" w:rsidRPr="005D0507" w:rsidRDefault="00263D18" w:rsidP="008A5350">
            <w:pPr>
              <w:ind w:right="121"/>
              <w:jc w:val="both"/>
            </w:pPr>
            <w:proofErr w:type="spellStart"/>
            <w:r w:rsidRPr="005D0507">
              <w:t>T</w:t>
            </w:r>
            <w:r w:rsidRPr="005D0507">
              <w:rPr>
                <w:vertAlign w:val="subscript"/>
              </w:rPr>
              <w:t>s</w:t>
            </w:r>
            <w:proofErr w:type="spellEnd"/>
            <w:r w:rsidRPr="005D0507">
              <w:t xml:space="preserve"> </w:t>
            </w:r>
            <w:r w:rsidR="00DB74AD" w:rsidRPr="005D0507">
              <w:t xml:space="preserve">– neto apgrozījums </w:t>
            </w:r>
            <w:r w:rsidR="00E87657" w:rsidRPr="005D0507">
              <w:t xml:space="preserve">gadā, kad </w:t>
            </w:r>
            <w:r w:rsidR="008A5350" w:rsidRPr="005D0507">
              <w:t xml:space="preserve">uzsākta </w:t>
            </w:r>
            <w:r w:rsidR="00DB74AD" w:rsidRPr="005D0507">
              <w:t xml:space="preserve">projekta </w:t>
            </w:r>
            <w:r w:rsidR="00E87657" w:rsidRPr="005D0507">
              <w:t>īstenošana</w:t>
            </w:r>
            <w:r w:rsidR="00DB74AD" w:rsidRPr="005D0507">
              <w:t>;</w:t>
            </w:r>
          </w:p>
          <w:p w:rsidR="00DB74AD" w:rsidRPr="00A1584C" w:rsidRDefault="00DB74AD" w:rsidP="008A5350">
            <w:pPr>
              <w:ind w:right="121"/>
              <w:jc w:val="both"/>
            </w:pPr>
            <w:r w:rsidRPr="005D0507">
              <w:t>T</w:t>
            </w:r>
            <w:r w:rsidRPr="005D0507">
              <w:rPr>
                <w:vertAlign w:val="subscript"/>
              </w:rPr>
              <w:t>b+</w:t>
            </w:r>
            <w:r w:rsidR="008A5350" w:rsidRPr="005D0507">
              <w:rPr>
                <w:vertAlign w:val="subscript"/>
              </w:rPr>
              <w:t>2</w:t>
            </w:r>
            <w:r w:rsidR="008A5350" w:rsidRPr="005D0507">
              <w:t xml:space="preserve"> </w:t>
            </w:r>
            <w:r w:rsidRPr="005D0507">
              <w:t xml:space="preserve">– neto apgrozījums </w:t>
            </w:r>
            <w:r w:rsidR="008A5350" w:rsidRPr="005D0507">
              <w:t xml:space="preserve">otrajā </w:t>
            </w:r>
            <w:r w:rsidRPr="005D0507">
              <w:t xml:space="preserve">gadā pēc projekta </w:t>
            </w:r>
            <w:r w:rsidR="00E87657" w:rsidRPr="005D0507">
              <w:t>īstenošanas</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884716" w:rsidP="00982A9E">
            <w:pPr>
              <w:jc w:val="center"/>
            </w:pPr>
            <w:r w:rsidRPr="005D0507">
              <w:t xml:space="preserve">maksimālais skaits – </w:t>
            </w:r>
            <w:r w:rsidR="00982A9E" w:rsidRPr="005D0507">
              <w:t>10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A1584C" w:rsidRDefault="00DB74AD" w:rsidP="00D11BE9">
            <w:pPr>
              <w:ind w:right="121"/>
              <w:jc w:val="both"/>
            </w:pPr>
            <w:r>
              <w:t xml:space="preserve">neto apgrozījums </w:t>
            </w:r>
            <w:r w:rsidR="00884716" w:rsidRPr="00A1584C">
              <w:t xml:space="preserve">pieaugums </w:t>
            </w:r>
            <w:r w:rsidR="00D11BE9" w:rsidRPr="005D0507">
              <w:t xml:space="preserve">projekta īstenošanas laikā un nākamajos divos </w:t>
            </w:r>
            <w:r w:rsidRPr="005D0507">
              <w:t xml:space="preserve">gados pēc projekta īstenošanas </w:t>
            </w:r>
            <w:r w:rsidR="00884716" w:rsidRPr="005D0507">
              <w:t xml:space="preserve">pārsniedz </w:t>
            </w:r>
            <w:r w:rsidRPr="005D0507">
              <w:t>2</w:t>
            </w:r>
            <w:r w:rsidR="00884716" w:rsidRPr="005D0507">
              <w:t xml:space="preserve">0 % attiecībā pret gadu, kurā </w:t>
            </w:r>
            <w:r w:rsidR="00D11BE9" w:rsidRPr="005D0507">
              <w:t xml:space="preserve">uzsākta </w:t>
            </w:r>
            <w:r w:rsidR="00884716" w:rsidRPr="005D0507">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982A9E" w:rsidP="00633C59">
            <w:pPr>
              <w:jc w:val="center"/>
            </w:pPr>
            <w:r w:rsidRPr="005D0507">
              <w:t>10</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2A7E00" w:rsidP="00277BC5">
            <w:pPr>
              <w:ind w:right="121"/>
              <w:jc w:val="both"/>
            </w:pPr>
            <w:r w:rsidRPr="005D0507">
              <w:t xml:space="preserve">neto apgrozījuma </w:t>
            </w:r>
            <w:r w:rsidR="00884716" w:rsidRPr="005D0507">
              <w:t xml:space="preserve">pieaugums </w:t>
            </w:r>
            <w:r w:rsidR="00D11BE9" w:rsidRPr="005D0507">
              <w:t>projekta īstenošanas laikā un nākamajos divos</w:t>
            </w:r>
            <w:r w:rsidRPr="005D0507">
              <w:t xml:space="preserve"> gados pēc projekta īstenošanas </w:t>
            </w:r>
            <w:r w:rsidR="00884716" w:rsidRPr="005D0507">
              <w:t xml:space="preserve">pārsniedz </w:t>
            </w:r>
            <w:r w:rsidR="00982A9E" w:rsidRPr="005D0507">
              <w:t>1</w:t>
            </w:r>
            <w:r w:rsidR="00277BC5" w:rsidRPr="005D0507">
              <w:t>2</w:t>
            </w:r>
            <w:r w:rsidR="00982A9E" w:rsidRPr="005D0507">
              <w:t> </w:t>
            </w:r>
            <w:r w:rsidR="00884716" w:rsidRPr="005D0507">
              <w:t xml:space="preserve">%, bet nepārsniedz </w:t>
            </w:r>
            <w:r w:rsidRPr="005D0507">
              <w:t>20 </w:t>
            </w:r>
            <w:r w:rsidR="00884716" w:rsidRPr="005D0507">
              <w:t xml:space="preserve">% attiecībā pret gadu, kurā </w:t>
            </w:r>
            <w:r w:rsidR="00D11BE9" w:rsidRPr="005D0507">
              <w:t xml:space="preserve">uzsākta </w:t>
            </w:r>
            <w:r w:rsidR="00884716" w:rsidRPr="005D0507">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982A9E" w:rsidP="00633C59">
            <w:pPr>
              <w:jc w:val="center"/>
            </w:pPr>
            <w:r w:rsidRPr="005D0507">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2A7E00" w:rsidP="00277BC5">
            <w:pPr>
              <w:ind w:right="121"/>
              <w:jc w:val="both"/>
            </w:pPr>
            <w:r w:rsidRPr="005D0507">
              <w:t xml:space="preserve">neto apgrozījuma </w:t>
            </w:r>
            <w:r w:rsidR="00884716" w:rsidRPr="005D0507">
              <w:t xml:space="preserve">pieaugums </w:t>
            </w:r>
            <w:r w:rsidR="00D11BE9" w:rsidRPr="005D0507">
              <w:t>projekta īstenošanas laikā un nākamajos divos</w:t>
            </w:r>
            <w:r w:rsidRPr="005D0507">
              <w:t xml:space="preserve"> gados pēc projekta īstenošanas pārsniedz </w:t>
            </w:r>
            <w:r w:rsidR="00982A9E" w:rsidRPr="005D0507">
              <w:t>3</w:t>
            </w:r>
            <w:r w:rsidRPr="005D0507">
              <w:t xml:space="preserve">%, bet </w:t>
            </w:r>
            <w:r w:rsidR="00884716" w:rsidRPr="005D0507">
              <w:t xml:space="preserve">nepārsniedz </w:t>
            </w:r>
            <w:r w:rsidR="00982A9E" w:rsidRPr="005D0507">
              <w:t>1</w:t>
            </w:r>
            <w:r w:rsidR="00277BC5" w:rsidRPr="005D0507">
              <w:t>2</w:t>
            </w:r>
            <w:r w:rsidR="00982A9E" w:rsidRPr="005D0507">
              <w:t> </w:t>
            </w:r>
            <w:r w:rsidR="00884716" w:rsidRPr="005D0507">
              <w:t xml:space="preserve">% attiecībā pret gadu, kurā </w:t>
            </w:r>
            <w:r w:rsidR="00D11BE9" w:rsidRPr="005D0507">
              <w:t xml:space="preserve">uzsākta </w:t>
            </w:r>
            <w:r w:rsidR="00884716" w:rsidRPr="005D0507">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5D0507" w:rsidRDefault="00982A9E" w:rsidP="00633C59">
            <w:pPr>
              <w:jc w:val="center"/>
            </w:pPr>
            <w:r w:rsidRPr="005D0507">
              <w:t>3</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3.8.</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2A7E00" w:rsidP="00D11BE9">
            <w:pPr>
              <w:ind w:right="121"/>
              <w:jc w:val="both"/>
            </w:pPr>
            <w:r w:rsidRPr="005D0507">
              <w:t xml:space="preserve">neto apgrozījuma pieaugums </w:t>
            </w:r>
            <w:r w:rsidR="00D11BE9" w:rsidRPr="005D0507">
              <w:t xml:space="preserve">projekta īstenošanas laikā un nākamajos divos </w:t>
            </w:r>
            <w:r w:rsidRPr="005D0507">
              <w:t xml:space="preserve">gados pēc projekta īstenošanas nepārsniedz </w:t>
            </w:r>
            <w:r w:rsidR="00982A9E" w:rsidRPr="005D0507">
              <w:t>3</w:t>
            </w:r>
            <w:r w:rsidRPr="005D0507">
              <w:t xml:space="preserve">% attiecībā pret gadu, kurā </w:t>
            </w:r>
            <w:r w:rsidR="00D11BE9" w:rsidRPr="005D0507">
              <w:t xml:space="preserve">uzsākta </w:t>
            </w:r>
            <w:r w:rsidRPr="005D0507">
              <w:t>projekta īstenošana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982A9E" w:rsidP="00633C59">
            <w:pPr>
              <w:jc w:val="center"/>
            </w:pPr>
            <w:r>
              <w:t>0</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2A7E00" w:rsidRPr="004B33B3" w:rsidTr="00633C59">
        <w:trPr>
          <w:cantSplit/>
          <w:trHeight w:val="22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A7E00" w:rsidRPr="00A1584C" w:rsidRDefault="002A7E00" w:rsidP="00633C59">
            <w:pP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A7E00" w:rsidRDefault="002A7E00" w:rsidP="002A7E00">
            <w:pPr>
              <w:ind w:right="121"/>
              <w:jc w:val="both"/>
            </w:pP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A7E00" w:rsidRPr="00A1584C" w:rsidRDefault="002A7E00" w:rsidP="00633C59">
            <w:pPr>
              <w:jc w:val="center"/>
            </w:pPr>
          </w:p>
        </w:tc>
        <w:tc>
          <w:tcPr>
            <w:tcW w:w="980" w:type="dxa"/>
            <w:tcBorders>
              <w:left w:val="single" w:sz="4" w:space="0" w:color="auto"/>
              <w:right w:val="single" w:sz="4" w:space="0" w:color="auto"/>
            </w:tcBorders>
            <w:noWrap/>
            <w:tcMar>
              <w:top w:w="20" w:type="dxa"/>
              <w:left w:w="20" w:type="dxa"/>
              <w:bottom w:w="0" w:type="dxa"/>
              <w:right w:w="20" w:type="dxa"/>
            </w:tcMar>
          </w:tcPr>
          <w:p w:rsidR="002A7E00" w:rsidRPr="00A1584C" w:rsidRDefault="002A7E00" w:rsidP="00D057F9"/>
        </w:tc>
      </w:tr>
      <w:tr w:rsidR="00884716" w:rsidRPr="00A1584C" w:rsidTr="00633C59">
        <w:trPr>
          <w:cantSplit/>
          <w:trHeight w:val="141"/>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D11BE9" w:rsidP="00D11BE9">
            <w:pPr>
              <w:ind w:right="121"/>
              <w:jc w:val="both"/>
            </w:pPr>
            <w:r w:rsidRPr="005D0507">
              <w:t xml:space="preserve">Projekta </w:t>
            </w:r>
            <w:r w:rsidR="00884716" w:rsidRPr="005D0507">
              <w:t xml:space="preserve">iesniedzēja </w:t>
            </w:r>
            <w:r w:rsidR="002A7E00" w:rsidRPr="005D0507">
              <w:t xml:space="preserve">eksporta īpatsvars no </w:t>
            </w:r>
            <w:r w:rsidR="005E0F00" w:rsidRPr="005D0507">
              <w:t xml:space="preserve">kopējā </w:t>
            </w:r>
            <w:r w:rsidR="002A7E00" w:rsidRPr="005D0507">
              <w:t xml:space="preserve">neto apgrozījuma </w:t>
            </w:r>
            <w:r w:rsidR="00982A9E" w:rsidRPr="005D0507">
              <w:t xml:space="preserve">vidēji nākamajos </w:t>
            </w:r>
            <w:r w:rsidRPr="005D0507">
              <w:t>divos</w:t>
            </w:r>
            <w:r w:rsidR="00982A9E" w:rsidRPr="005D0507">
              <w:t xml:space="preserve"> gados </w:t>
            </w:r>
            <w:r w:rsidR="005E0F00" w:rsidRPr="005D0507">
              <w:t xml:space="preserve">pēc projekta īstenošanas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633C59">
            <w:pPr>
              <w:jc w:val="center"/>
            </w:pPr>
            <w:r w:rsidRPr="00A1584C">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E87657" w:rsidP="00D11BE9">
            <w:pPr>
              <w:ind w:right="121"/>
              <w:jc w:val="both"/>
            </w:pPr>
            <w:r w:rsidRPr="005D0507">
              <w:t xml:space="preserve">eksporta īpatsvars </w:t>
            </w:r>
            <w:r w:rsidR="00982A9E" w:rsidRPr="005D0507">
              <w:t xml:space="preserve">vidēji nākamajos </w:t>
            </w:r>
            <w:r w:rsidR="00D11BE9" w:rsidRPr="005D0507">
              <w:t>divos</w:t>
            </w:r>
            <w:r w:rsidR="00982A9E" w:rsidRPr="005D0507">
              <w:t xml:space="preserve"> gados </w:t>
            </w:r>
            <w:r w:rsidRPr="005D0507">
              <w:t>pēc projekta īstenošanas pārsniedz 95%</w:t>
            </w:r>
            <w:r w:rsidR="00A253A4" w:rsidRPr="005D0507">
              <w:t xml:space="preserve"> no kopējā neto apgrozījuma </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884716" w:rsidP="00781594">
            <w:pPr>
              <w:jc w:val="center"/>
            </w:pPr>
            <w:r w:rsidRPr="00A1584C">
              <w:t xml:space="preserve">20 </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A253A4" w:rsidP="00D11BE9">
            <w:pPr>
              <w:ind w:right="121"/>
              <w:jc w:val="both"/>
            </w:pPr>
            <w:r w:rsidRPr="005D0507">
              <w:t xml:space="preserve">eksporta īpatsvars </w:t>
            </w:r>
            <w:r w:rsidR="00982A9E" w:rsidRPr="005D0507">
              <w:t xml:space="preserve">vidēji nākamajos </w:t>
            </w:r>
            <w:r w:rsidR="00D11BE9" w:rsidRPr="005D0507">
              <w:t>divos</w:t>
            </w:r>
            <w:r w:rsidR="00982A9E" w:rsidRPr="005D0507">
              <w:t xml:space="preserve"> gados </w:t>
            </w:r>
            <w:r w:rsidRPr="005D0507">
              <w:t>pēc projekta īstenošanas pārsniedz 75%, bet nepārsniedz 95%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A253A4" w:rsidP="00781594">
            <w:pPr>
              <w:jc w:val="center"/>
            </w:pPr>
            <w:r>
              <w:t>15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A253A4" w:rsidP="00D11BE9">
            <w:pPr>
              <w:ind w:right="121"/>
              <w:jc w:val="both"/>
            </w:pPr>
            <w:r w:rsidRPr="005D0507">
              <w:t xml:space="preserve">eksporta īpatsvars </w:t>
            </w:r>
            <w:r w:rsidR="00982A9E" w:rsidRPr="005D0507">
              <w:t xml:space="preserve">vidēji nākamajos </w:t>
            </w:r>
            <w:r w:rsidR="00D11BE9" w:rsidRPr="005D0507">
              <w:t>divos</w:t>
            </w:r>
            <w:r w:rsidR="00982A9E" w:rsidRPr="005D0507">
              <w:t xml:space="preserve"> gados </w:t>
            </w:r>
            <w:r w:rsidRPr="005D0507">
              <w:t>pēc projekta īstenošanas pārsniedz 50%, bet nepārsniedz 75%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A253A4" w:rsidP="00781594">
            <w:pPr>
              <w:jc w:val="center"/>
            </w:pPr>
            <w:r>
              <w:t>10</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884716"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84716" w:rsidRPr="00A1584C" w:rsidRDefault="00884716" w:rsidP="00633C59">
            <w:pPr>
              <w:rPr>
                <w:bCs/>
              </w:rPr>
            </w:pPr>
            <w:r w:rsidRPr="00A1584C">
              <w:rPr>
                <w:bCs/>
              </w:rPr>
              <w:t>3.9.</w:t>
            </w:r>
            <w:r>
              <w:rPr>
                <w:bCs/>
              </w:rPr>
              <w:t>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4716" w:rsidRPr="005D0507" w:rsidRDefault="00A253A4" w:rsidP="00D11BE9">
            <w:pPr>
              <w:ind w:right="121"/>
              <w:jc w:val="both"/>
            </w:pPr>
            <w:r w:rsidRPr="005D0507">
              <w:t xml:space="preserve">eksporta īpatsvars </w:t>
            </w:r>
            <w:r w:rsidR="00982A9E" w:rsidRPr="005D0507">
              <w:t xml:space="preserve">vidēji nākamajos </w:t>
            </w:r>
            <w:r w:rsidR="00D11BE9" w:rsidRPr="005D0507">
              <w:t>divos</w:t>
            </w:r>
            <w:r w:rsidR="00982A9E" w:rsidRPr="005D0507">
              <w:t xml:space="preserve"> gados </w:t>
            </w:r>
            <w:r w:rsidRPr="005D0507">
              <w:t xml:space="preserve">pēc projekta īstenošanas pārsniedz </w:t>
            </w:r>
            <w:r w:rsidR="00982A9E" w:rsidRPr="005D0507">
              <w:t>30</w:t>
            </w:r>
            <w:r w:rsidRPr="005D0507">
              <w:t>%, bet nepārsniedz 50%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4716" w:rsidRPr="00A1584C" w:rsidRDefault="00A253A4" w:rsidP="00781594">
            <w:pPr>
              <w:jc w:val="center"/>
            </w:pPr>
            <w:r>
              <w:t>5</w:t>
            </w:r>
          </w:p>
        </w:tc>
        <w:tc>
          <w:tcPr>
            <w:tcW w:w="980" w:type="dxa"/>
            <w:vMerge/>
            <w:tcBorders>
              <w:left w:val="single" w:sz="4" w:space="0" w:color="auto"/>
              <w:right w:val="single" w:sz="4" w:space="0" w:color="auto"/>
            </w:tcBorders>
            <w:noWrap/>
            <w:tcMar>
              <w:top w:w="20" w:type="dxa"/>
              <w:left w:w="20" w:type="dxa"/>
              <w:bottom w:w="0" w:type="dxa"/>
              <w:right w:w="20" w:type="dxa"/>
            </w:tcMar>
          </w:tcPr>
          <w:p w:rsidR="00884716" w:rsidRPr="00A1584C" w:rsidRDefault="00884716" w:rsidP="00D057F9"/>
        </w:tc>
      </w:tr>
      <w:tr w:rsidR="00A253A4"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253A4" w:rsidRPr="00A1584C" w:rsidRDefault="00A253A4" w:rsidP="00633C59">
            <w:pPr>
              <w:rPr>
                <w:bCs/>
              </w:rPr>
            </w:pPr>
            <w:r>
              <w:rPr>
                <w:bCs/>
              </w:rPr>
              <w:lastRenderedPageBreak/>
              <w:t>3.9.5.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253A4" w:rsidRPr="005D0507" w:rsidDel="00A253A4" w:rsidRDefault="00A253A4" w:rsidP="00D11BE9">
            <w:pPr>
              <w:ind w:right="121"/>
              <w:jc w:val="both"/>
            </w:pPr>
            <w:r w:rsidRPr="005D0507">
              <w:t xml:space="preserve">eksporta īpatsvars </w:t>
            </w:r>
            <w:r w:rsidR="00982A9E" w:rsidRPr="005D0507">
              <w:t xml:space="preserve">vidēji nākamajos </w:t>
            </w:r>
            <w:r w:rsidR="00D11BE9" w:rsidRPr="005D0507">
              <w:t>divos</w:t>
            </w:r>
            <w:r w:rsidR="00982A9E" w:rsidRPr="005D0507">
              <w:t xml:space="preserve"> gados </w:t>
            </w:r>
            <w:r w:rsidRPr="005D0507">
              <w:t xml:space="preserve">pēc projekta īstenošanas nepārsniedz </w:t>
            </w:r>
            <w:r w:rsidR="00982A9E" w:rsidRPr="005D0507">
              <w:t>30</w:t>
            </w:r>
            <w:r w:rsidRPr="005D0507">
              <w:t>% no kopējā neto apgrozījuma</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253A4" w:rsidRPr="00A1584C" w:rsidDel="00A253A4" w:rsidRDefault="00A253A4" w:rsidP="00781594">
            <w:pPr>
              <w:jc w:val="center"/>
            </w:pPr>
            <w:r>
              <w:t>0</w:t>
            </w:r>
          </w:p>
        </w:tc>
        <w:tc>
          <w:tcPr>
            <w:tcW w:w="980" w:type="dxa"/>
            <w:tcBorders>
              <w:left w:val="single" w:sz="4" w:space="0" w:color="auto"/>
              <w:right w:val="single" w:sz="4" w:space="0" w:color="auto"/>
            </w:tcBorders>
            <w:noWrap/>
            <w:tcMar>
              <w:top w:w="20" w:type="dxa"/>
              <w:left w:w="20" w:type="dxa"/>
              <w:bottom w:w="0" w:type="dxa"/>
              <w:right w:w="20" w:type="dxa"/>
            </w:tcMar>
          </w:tcPr>
          <w:p w:rsidR="00A253A4" w:rsidRPr="00A1584C" w:rsidRDefault="00A253A4" w:rsidP="00D057F9"/>
        </w:tc>
      </w:tr>
      <w:tr w:rsidR="004239E8" w:rsidRPr="004B33B3" w:rsidTr="00C43AC2">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239E8" w:rsidRPr="00A1584C" w:rsidRDefault="004239E8" w:rsidP="00BD1969">
            <w:pPr>
              <w:rPr>
                <w:bCs/>
              </w:rPr>
            </w:pPr>
            <w:r w:rsidRPr="00A1584C">
              <w:rPr>
                <w:bCs/>
              </w:rPr>
              <w:t>3.10.</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239E8" w:rsidRPr="00A1584C" w:rsidRDefault="004239E8" w:rsidP="00BD1969">
            <w:pPr>
              <w:ind w:right="121"/>
              <w:jc w:val="both"/>
            </w:pPr>
            <w:r w:rsidRPr="00A1584C">
              <w:t>Projekta paredzamā ietekme uz vidi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239E8" w:rsidRPr="00A1584C" w:rsidRDefault="004239E8" w:rsidP="00BD1969">
            <w:pPr>
              <w:jc w:val="center"/>
            </w:pPr>
            <w:r w:rsidRPr="00A1584C">
              <w:t>maksimālais skaits – 5</w:t>
            </w:r>
          </w:p>
        </w:tc>
        <w:tc>
          <w:tcPr>
            <w:tcW w:w="980" w:type="dxa"/>
            <w:tcBorders>
              <w:left w:val="single" w:sz="4" w:space="0" w:color="auto"/>
              <w:right w:val="single" w:sz="4" w:space="0" w:color="auto"/>
            </w:tcBorders>
            <w:noWrap/>
            <w:tcMar>
              <w:top w:w="20" w:type="dxa"/>
              <w:left w:w="20" w:type="dxa"/>
              <w:bottom w:w="0" w:type="dxa"/>
              <w:right w:w="20" w:type="dxa"/>
            </w:tcMar>
          </w:tcPr>
          <w:p w:rsidR="004239E8" w:rsidRPr="00A1584C" w:rsidRDefault="004239E8" w:rsidP="00D057F9"/>
        </w:tc>
      </w:tr>
      <w:tr w:rsidR="004239E8"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239E8" w:rsidRPr="00A1584C" w:rsidRDefault="004239E8" w:rsidP="00BD1969">
            <w:pPr>
              <w:rPr>
                <w:b/>
                <w:bCs/>
              </w:rPr>
            </w:pPr>
            <w:r w:rsidRPr="00A1584C">
              <w:rPr>
                <w:bCs/>
              </w:rPr>
              <w:t>3.10.</w:t>
            </w:r>
            <w:r>
              <w:rPr>
                <w:bCs/>
              </w:rPr>
              <w:t>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239E8" w:rsidRPr="00A1584C" w:rsidRDefault="004239E8" w:rsidP="00BD1969">
            <w:pPr>
              <w:pStyle w:val="tvhtml"/>
              <w:spacing w:before="0" w:beforeAutospacing="0" w:after="0" w:afterAutospacing="0"/>
              <w:ind w:right="121"/>
              <w:rPr>
                <w:rFonts w:ascii="Times New Roman" w:hAnsi="Times New Roman"/>
                <w:sz w:val="24"/>
                <w:szCs w:val="24"/>
              </w:rPr>
            </w:pPr>
            <w:r w:rsidRPr="00A1584C">
              <w:rPr>
                <w:rFonts w:ascii="Times New Roman" w:hAnsi="Times New Roman"/>
                <w:sz w:val="24"/>
                <w:szCs w:val="24"/>
              </w:rPr>
              <w:t>īstenojot projektu, tiek sasniegti vismaz divi no šādiem mērķiem:</w:t>
            </w:r>
          </w:p>
          <w:p w:rsidR="004239E8" w:rsidRPr="00A1584C" w:rsidRDefault="004239E8" w:rsidP="00BD1969">
            <w:pPr>
              <w:ind w:left="264" w:right="121"/>
              <w:jc w:val="both"/>
            </w:pPr>
            <w:r w:rsidRPr="00A1584C">
              <w:t>1) vides piesārņojuma samazināšana un kontrole;</w:t>
            </w:r>
          </w:p>
          <w:p w:rsidR="004239E8" w:rsidRPr="00A1584C" w:rsidRDefault="004239E8" w:rsidP="00BD1969">
            <w:pPr>
              <w:ind w:left="284" w:right="121"/>
              <w:jc w:val="both"/>
            </w:pPr>
            <w:r w:rsidRPr="00A1584C">
              <w:t>2) kvalitatīvas dzīves vides nodrošināšana;</w:t>
            </w:r>
          </w:p>
          <w:p w:rsidR="004239E8" w:rsidRPr="00A1584C" w:rsidRDefault="004239E8" w:rsidP="00BD1969">
            <w:pPr>
              <w:ind w:left="284" w:right="121"/>
              <w:jc w:val="both"/>
            </w:pPr>
            <w:r w:rsidRPr="00A1584C">
              <w:t>3) dabas un energoresursu racionāla izmantošana;</w:t>
            </w:r>
          </w:p>
          <w:p w:rsidR="004239E8" w:rsidRPr="00A1584C" w:rsidRDefault="004239E8" w:rsidP="00BD1969">
            <w:pPr>
              <w:ind w:left="284" w:right="121"/>
              <w:jc w:val="both"/>
            </w:pPr>
            <w:r w:rsidRPr="00A1584C">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239E8" w:rsidRPr="00A1584C" w:rsidRDefault="004239E8" w:rsidP="00BD1969">
            <w:pPr>
              <w:jc w:val="center"/>
            </w:pPr>
            <w:r w:rsidRPr="00A1584C">
              <w:t xml:space="preserve">5 </w:t>
            </w:r>
          </w:p>
        </w:tc>
        <w:tc>
          <w:tcPr>
            <w:tcW w:w="980" w:type="dxa"/>
            <w:tcBorders>
              <w:left w:val="single" w:sz="4" w:space="0" w:color="auto"/>
              <w:right w:val="single" w:sz="4" w:space="0" w:color="auto"/>
            </w:tcBorders>
            <w:noWrap/>
            <w:tcMar>
              <w:top w:w="20" w:type="dxa"/>
              <w:left w:w="20" w:type="dxa"/>
              <w:bottom w:w="0" w:type="dxa"/>
              <w:right w:w="20" w:type="dxa"/>
            </w:tcMar>
          </w:tcPr>
          <w:p w:rsidR="004239E8" w:rsidRPr="00A1584C" w:rsidRDefault="004239E8" w:rsidP="00D057F9"/>
        </w:tc>
      </w:tr>
      <w:tr w:rsidR="004239E8" w:rsidRPr="004B33B3" w:rsidTr="00781594">
        <w:trPr>
          <w:cantSplit/>
          <w:trHeight w:val="138"/>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239E8" w:rsidRPr="00A1584C" w:rsidRDefault="004239E8" w:rsidP="00BD1969">
            <w:pPr>
              <w:rPr>
                <w:b/>
                <w:bCs/>
              </w:rPr>
            </w:pPr>
            <w:r w:rsidRPr="00A1584C">
              <w:rPr>
                <w:bCs/>
              </w:rPr>
              <w:t>3.10.</w:t>
            </w:r>
            <w:r>
              <w:rPr>
                <w:bCs/>
              </w:rPr>
              <w:t>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239E8" w:rsidRPr="00A1584C" w:rsidRDefault="004239E8" w:rsidP="00BD1969">
            <w:pPr>
              <w:pStyle w:val="tvhtml"/>
              <w:spacing w:before="0" w:beforeAutospacing="0" w:after="0" w:afterAutospacing="0"/>
              <w:ind w:right="121"/>
              <w:rPr>
                <w:rFonts w:ascii="Times New Roman" w:hAnsi="Times New Roman"/>
                <w:sz w:val="24"/>
                <w:szCs w:val="24"/>
              </w:rPr>
            </w:pPr>
            <w:r w:rsidRPr="00A1584C">
              <w:rPr>
                <w:rFonts w:ascii="Times New Roman" w:hAnsi="Times New Roman"/>
                <w:sz w:val="24"/>
                <w:szCs w:val="24"/>
              </w:rPr>
              <w:t>īstenojot projektu, netiks sasniegti vismaz divi no šādiem mērķiem:</w:t>
            </w:r>
          </w:p>
          <w:p w:rsidR="004239E8" w:rsidRPr="00A1584C" w:rsidRDefault="004239E8" w:rsidP="00BD1969">
            <w:pPr>
              <w:ind w:left="264" w:right="121"/>
              <w:jc w:val="both"/>
            </w:pPr>
            <w:r w:rsidRPr="00A1584C">
              <w:t>1) vides piesārņojuma samazināšana un kontrole;</w:t>
            </w:r>
          </w:p>
          <w:p w:rsidR="004239E8" w:rsidRPr="00A1584C" w:rsidRDefault="004239E8" w:rsidP="00BD1969">
            <w:pPr>
              <w:ind w:left="284" w:right="121"/>
              <w:jc w:val="both"/>
            </w:pPr>
            <w:r w:rsidRPr="00A1584C">
              <w:t>2) kvalitatīvas dzīves vides nodrošināšana;</w:t>
            </w:r>
          </w:p>
          <w:p w:rsidR="004239E8" w:rsidRPr="00A1584C" w:rsidRDefault="004239E8" w:rsidP="00BD1969">
            <w:pPr>
              <w:ind w:left="284" w:right="121"/>
              <w:jc w:val="both"/>
            </w:pPr>
            <w:r w:rsidRPr="00A1584C">
              <w:t>3) dabas un energoresursu racionāla izmantošana;</w:t>
            </w:r>
          </w:p>
          <w:p w:rsidR="004239E8" w:rsidRPr="00A1584C" w:rsidRDefault="004239E8" w:rsidP="00BD1969">
            <w:pPr>
              <w:ind w:left="284" w:right="121"/>
              <w:jc w:val="both"/>
            </w:pPr>
            <w:r w:rsidRPr="00A1584C">
              <w:t>4) draudu novēršana iedzīvotāju veselībai</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239E8" w:rsidRPr="00A1584C" w:rsidRDefault="004239E8" w:rsidP="00BD1969">
            <w:pPr>
              <w:jc w:val="center"/>
            </w:pPr>
            <w:r w:rsidRPr="00A1584C">
              <w:t xml:space="preserve">0 </w:t>
            </w:r>
          </w:p>
        </w:tc>
        <w:tc>
          <w:tcPr>
            <w:tcW w:w="980" w:type="dxa"/>
            <w:tcBorders>
              <w:left w:val="single" w:sz="4" w:space="0" w:color="auto"/>
              <w:right w:val="single" w:sz="4" w:space="0" w:color="auto"/>
            </w:tcBorders>
            <w:noWrap/>
            <w:tcMar>
              <w:top w:w="20" w:type="dxa"/>
              <w:left w:w="20" w:type="dxa"/>
              <w:bottom w:w="0" w:type="dxa"/>
              <w:right w:w="20" w:type="dxa"/>
            </w:tcMar>
          </w:tcPr>
          <w:p w:rsidR="004239E8" w:rsidRPr="00A1584C" w:rsidRDefault="004239E8" w:rsidP="00D057F9"/>
        </w:tc>
      </w:tr>
      <w:tr w:rsidR="004239E8" w:rsidRPr="00A1584C" w:rsidTr="00D670D4">
        <w:trPr>
          <w:cantSplit/>
          <w:trHeight w:val="222"/>
        </w:trPr>
        <w:tc>
          <w:tcPr>
            <w:tcW w:w="729"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239E8" w:rsidRPr="00A1584C" w:rsidRDefault="004239E8" w:rsidP="00D057F9">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239E8" w:rsidRPr="00A1584C" w:rsidRDefault="004239E8" w:rsidP="00D057F9">
            <w:pPr>
              <w:ind w:left="5083"/>
              <w:jc w:val="center"/>
            </w:pPr>
            <w:r w:rsidRPr="00A1584C">
              <w:t>Kopā</w:t>
            </w:r>
          </w:p>
        </w:tc>
        <w:tc>
          <w:tcPr>
            <w:tcW w:w="14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239E8" w:rsidRPr="005D0507" w:rsidRDefault="004239E8" w:rsidP="004239E8">
            <w:pPr>
              <w:jc w:val="center"/>
            </w:pPr>
            <w:r w:rsidRPr="005D0507">
              <w:t>maksimālais skaits – 145</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239E8" w:rsidRPr="005D0507" w:rsidRDefault="004239E8" w:rsidP="00277BC5">
            <w:pPr>
              <w:jc w:val="center"/>
            </w:pPr>
            <w:r w:rsidRPr="005D0507">
              <w:t>mini</w:t>
            </w:r>
            <w:r w:rsidRPr="005D0507">
              <w:softHyphen/>
              <w:t>mālais skaits – 45</w:t>
            </w:r>
          </w:p>
        </w:tc>
      </w:tr>
    </w:tbl>
    <w:p w:rsidR="00884716" w:rsidRPr="00A1584C" w:rsidRDefault="00884716" w:rsidP="00D057F9">
      <w:pPr>
        <w:pStyle w:val="tvhtml"/>
        <w:spacing w:before="0" w:beforeAutospacing="0" w:after="0" w:afterAutospacing="0"/>
        <w:rPr>
          <w:rFonts w:ascii="Times New Roman" w:hAnsi="Times New Roman"/>
          <w:sz w:val="24"/>
          <w:szCs w:val="24"/>
        </w:rPr>
      </w:pPr>
      <w:r w:rsidRPr="00A1584C">
        <w:rPr>
          <w:rFonts w:ascii="Times New Roman" w:hAnsi="Times New Roman"/>
          <w:sz w:val="24"/>
          <w:szCs w:val="24"/>
        </w:rPr>
        <w:t>* Piezīmes.</w:t>
      </w:r>
    </w:p>
    <w:p w:rsidR="00884716" w:rsidRPr="00A1584C" w:rsidRDefault="00884716" w:rsidP="00D057F9">
      <w:pPr>
        <w:pStyle w:val="tvhtml"/>
        <w:spacing w:before="0" w:beforeAutospacing="0" w:after="0" w:afterAutospacing="0"/>
        <w:rPr>
          <w:rFonts w:ascii="Times New Roman" w:hAnsi="Times New Roman"/>
          <w:sz w:val="24"/>
          <w:szCs w:val="24"/>
        </w:rPr>
      </w:pPr>
      <w:r w:rsidRPr="00A1584C">
        <w:rPr>
          <w:rFonts w:ascii="Times New Roman" w:hAnsi="Times New Roman"/>
          <w:sz w:val="24"/>
          <w:szCs w:val="24"/>
        </w:rPr>
        <w:t>1. N – negatīvs vērtējums (projekta pieteikumu noraida).</w:t>
      </w:r>
    </w:p>
    <w:p w:rsidR="00884716" w:rsidRPr="00A1584C" w:rsidRDefault="00884716" w:rsidP="00D057F9">
      <w:pPr>
        <w:pStyle w:val="tvhtml"/>
        <w:spacing w:before="0" w:beforeAutospacing="0" w:after="0" w:afterAutospacing="0"/>
        <w:jc w:val="both"/>
        <w:rPr>
          <w:rFonts w:ascii="Times New Roman" w:hAnsi="Times New Roman"/>
          <w:sz w:val="24"/>
          <w:szCs w:val="24"/>
        </w:rPr>
      </w:pPr>
      <w:r w:rsidRPr="00A1584C">
        <w:rPr>
          <w:rFonts w:ascii="Times New Roman" w:hAnsi="Times New Roman"/>
          <w:sz w:val="24"/>
          <w:szCs w:val="24"/>
        </w:rPr>
        <w:t>2. P – ja vērtējums ir negatīvs, komisija var lūgt precizēt projekta pieteikumu vai papildus iesniegt nepieciešamos dokumentus.</w:t>
      </w:r>
    </w:p>
    <w:p w:rsidR="00884716" w:rsidRDefault="00884716" w:rsidP="00D057F9">
      <w:pPr>
        <w:rPr>
          <w:sz w:val="28"/>
          <w:szCs w:val="28"/>
        </w:rPr>
      </w:pPr>
    </w:p>
    <w:p w:rsidR="00884716" w:rsidRDefault="00884716" w:rsidP="00D057F9">
      <w:pPr>
        <w:rPr>
          <w:sz w:val="28"/>
          <w:szCs w:val="28"/>
        </w:rPr>
      </w:pPr>
    </w:p>
    <w:p w:rsidR="002074CD" w:rsidRDefault="002074CD" w:rsidP="002074CD">
      <w:pPr>
        <w:spacing w:after="120"/>
        <w:ind w:right="42"/>
        <w:jc w:val="both"/>
        <w:rPr>
          <w:sz w:val="28"/>
          <w:szCs w:val="28"/>
        </w:rPr>
      </w:pPr>
      <w:r>
        <w:rPr>
          <w:sz w:val="28"/>
          <w:szCs w:val="28"/>
        </w:rPr>
        <w:t>Ekonomikas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D</w:t>
      </w:r>
      <w:r w:rsidRPr="0064216D">
        <w:rPr>
          <w:sz w:val="28"/>
          <w:szCs w:val="28"/>
        </w:rPr>
        <w:t>.</w:t>
      </w:r>
      <w:r>
        <w:rPr>
          <w:sz w:val="28"/>
          <w:szCs w:val="28"/>
        </w:rPr>
        <w:t>Reizniece-Ozola</w:t>
      </w:r>
      <w:proofErr w:type="spellEnd"/>
    </w:p>
    <w:p w:rsidR="002074CD" w:rsidRDefault="002074CD" w:rsidP="002074CD">
      <w:pPr>
        <w:ind w:right="40"/>
        <w:jc w:val="both"/>
        <w:rPr>
          <w:sz w:val="28"/>
          <w:szCs w:val="28"/>
        </w:rPr>
      </w:pPr>
    </w:p>
    <w:p w:rsidR="002074CD" w:rsidRDefault="002074CD" w:rsidP="002074CD">
      <w:pPr>
        <w:ind w:right="40"/>
        <w:jc w:val="both"/>
        <w:rPr>
          <w:sz w:val="28"/>
          <w:szCs w:val="28"/>
        </w:rPr>
      </w:pPr>
    </w:p>
    <w:p w:rsidR="002074CD" w:rsidRDefault="002074CD" w:rsidP="002074CD">
      <w:pPr>
        <w:ind w:right="40"/>
        <w:jc w:val="both"/>
        <w:rPr>
          <w:sz w:val="28"/>
          <w:szCs w:val="28"/>
        </w:rPr>
      </w:pPr>
    </w:p>
    <w:p w:rsidR="008620F9" w:rsidRDefault="008620F9" w:rsidP="008620F9">
      <w:pPr>
        <w:spacing w:after="120"/>
        <w:ind w:right="40"/>
        <w:rPr>
          <w:sz w:val="28"/>
          <w:szCs w:val="28"/>
        </w:rPr>
      </w:pPr>
      <w:r>
        <w:rPr>
          <w:sz w:val="28"/>
          <w:szCs w:val="28"/>
        </w:rPr>
        <w:t>Vīza:</w:t>
      </w:r>
    </w:p>
    <w:p w:rsidR="008620F9" w:rsidRDefault="008620F9" w:rsidP="008620F9">
      <w:pPr>
        <w:ind w:right="42"/>
        <w:rPr>
          <w:sz w:val="28"/>
          <w:szCs w:val="28"/>
        </w:rPr>
      </w:pPr>
      <w:r>
        <w:rPr>
          <w:sz w:val="28"/>
          <w:szCs w:val="28"/>
        </w:rPr>
        <w:t>Valsts sekretāra</w:t>
      </w:r>
    </w:p>
    <w:p w:rsidR="008620F9" w:rsidRDefault="008620F9" w:rsidP="008620F9">
      <w:pPr>
        <w:ind w:right="42"/>
        <w:rPr>
          <w:sz w:val="28"/>
          <w:szCs w:val="28"/>
        </w:rPr>
      </w:pPr>
      <w:r>
        <w:rPr>
          <w:sz w:val="28"/>
          <w:szCs w:val="28"/>
        </w:rPr>
        <w:t>pienākumu izpildītājs,</w:t>
      </w:r>
    </w:p>
    <w:p w:rsidR="008620F9" w:rsidRPr="002162AF" w:rsidRDefault="008620F9" w:rsidP="008620F9">
      <w:pPr>
        <w:ind w:right="42"/>
        <w:rPr>
          <w:sz w:val="28"/>
          <w:szCs w:val="28"/>
        </w:rPr>
      </w:pPr>
      <w:r>
        <w:rPr>
          <w:sz w:val="28"/>
          <w:szCs w:val="28"/>
        </w:rPr>
        <w:t>valsts sekretāra vietnieks</w:t>
      </w:r>
      <w:r w:rsidRPr="002162AF">
        <w:rPr>
          <w:sz w:val="28"/>
          <w:szCs w:val="28"/>
        </w:rPr>
        <w:tab/>
      </w:r>
      <w:r w:rsidRPr="002162AF">
        <w:rPr>
          <w:sz w:val="28"/>
          <w:szCs w:val="28"/>
        </w:rPr>
        <w:tab/>
      </w:r>
      <w:r w:rsidRPr="002162AF">
        <w:rPr>
          <w:sz w:val="28"/>
          <w:szCs w:val="28"/>
        </w:rPr>
        <w:tab/>
      </w:r>
      <w:r w:rsidRPr="002162AF">
        <w:rPr>
          <w:sz w:val="28"/>
          <w:szCs w:val="28"/>
        </w:rPr>
        <w:tab/>
      </w:r>
      <w:r w:rsidRPr="002162AF">
        <w:rPr>
          <w:sz w:val="28"/>
          <w:szCs w:val="28"/>
        </w:rPr>
        <w:tab/>
      </w:r>
      <w:r w:rsidRPr="002162AF">
        <w:rPr>
          <w:sz w:val="28"/>
          <w:szCs w:val="28"/>
        </w:rPr>
        <w:tab/>
      </w:r>
      <w:r>
        <w:rPr>
          <w:sz w:val="28"/>
          <w:szCs w:val="28"/>
        </w:rPr>
        <w:tab/>
        <w:t xml:space="preserve">    J</w:t>
      </w:r>
      <w:r w:rsidRPr="002162AF">
        <w:rPr>
          <w:sz w:val="28"/>
          <w:szCs w:val="28"/>
        </w:rPr>
        <w:t>.</w:t>
      </w:r>
      <w:r>
        <w:rPr>
          <w:sz w:val="28"/>
          <w:szCs w:val="28"/>
        </w:rPr>
        <w:t>Spiridonovs</w:t>
      </w: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Default="002074CD" w:rsidP="002074CD">
      <w:pPr>
        <w:jc w:val="both"/>
        <w:rPr>
          <w:sz w:val="28"/>
          <w:szCs w:val="28"/>
        </w:rPr>
      </w:pPr>
    </w:p>
    <w:p w:rsidR="002074CD" w:rsidRPr="006C2A2D" w:rsidRDefault="005D0507" w:rsidP="005D0507">
      <w:pPr>
        <w:jc w:val="both"/>
        <w:rPr>
          <w:sz w:val="20"/>
          <w:szCs w:val="20"/>
        </w:rPr>
      </w:pPr>
      <w:r>
        <w:rPr>
          <w:sz w:val="20"/>
          <w:szCs w:val="20"/>
        </w:rPr>
        <w:t>2</w:t>
      </w:r>
      <w:r w:rsidR="004239E8">
        <w:rPr>
          <w:sz w:val="20"/>
          <w:szCs w:val="20"/>
        </w:rPr>
        <w:t>7</w:t>
      </w:r>
      <w:r w:rsidR="00F75E94">
        <w:rPr>
          <w:sz w:val="20"/>
          <w:szCs w:val="20"/>
        </w:rPr>
        <w:t>.0</w:t>
      </w:r>
      <w:r w:rsidR="00560429">
        <w:rPr>
          <w:sz w:val="20"/>
          <w:szCs w:val="20"/>
        </w:rPr>
        <w:t>4</w:t>
      </w:r>
      <w:r w:rsidR="002074CD">
        <w:rPr>
          <w:sz w:val="20"/>
          <w:szCs w:val="20"/>
        </w:rPr>
        <w:t>.201</w:t>
      </w:r>
      <w:r w:rsidR="001821BA">
        <w:rPr>
          <w:sz w:val="20"/>
          <w:szCs w:val="20"/>
        </w:rPr>
        <w:t>5</w:t>
      </w:r>
      <w:r w:rsidR="002074CD" w:rsidRPr="006C2A2D">
        <w:rPr>
          <w:sz w:val="20"/>
          <w:szCs w:val="20"/>
        </w:rPr>
        <w:t xml:space="preserve">. </w:t>
      </w:r>
      <w:r>
        <w:rPr>
          <w:sz w:val="20"/>
          <w:szCs w:val="20"/>
        </w:rPr>
        <w:t>15</w:t>
      </w:r>
      <w:r w:rsidR="002074CD">
        <w:rPr>
          <w:sz w:val="20"/>
          <w:szCs w:val="20"/>
        </w:rPr>
        <w:t>:</w:t>
      </w:r>
      <w:r w:rsidR="008620F9">
        <w:rPr>
          <w:sz w:val="20"/>
          <w:szCs w:val="20"/>
        </w:rPr>
        <w:t>25</w:t>
      </w:r>
    </w:p>
    <w:p w:rsidR="002074CD" w:rsidRPr="006C2A2D" w:rsidRDefault="004239E8" w:rsidP="004E091C">
      <w:pPr>
        <w:jc w:val="both"/>
        <w:rPr>
          <w:sz w:val="20"/>
          <w:szCs w:val="20"/>
        </w:rPr>
      </w:pPr>
      <w:r>
        <w:rPr>
          <w:sz w:val="20"/>
          <w:szCs w:val="20"/>
        </w:rPr>
        <w:t>1913</w:t>
      </w:r>
      <w:bookmarkStart w:id="0" w:name="_GoBack"/>
      <w:bookmarkEnd w:id="0"/>
    </w:p>
    <w:p w:rsidR="002074CD" w:rsidRPr="006C2A2D" w:rsidRDefault="002074CD" w:rsidP="002074CD">
      <w:pPr>
        <w:jc w:val="both"/>
        <w:rPr>
          <w:sz w:val="20"/>
          <w:szCs w:val="20"/>
        </w:rPr>
      </w:pPr>
      <w:r>
        <w:rPr>
          <w:sz w:val="20"/>
          <w:szCs w:val="20"/>
        </w:rPr>
        <w:t>E.Fernāts</w:t>
      </w:r>
    </w:p>
    <w:p w:rsidR="002074CD" w:rsidRPr="006C2A2D" w:rsidRDefault="002074CD" w:rsidP="002074CD">
      <w:pPr>
        <w:jc w:val="both"/>
        <w:rPr>
          <w:sz w:val="20"/>
          <w:szCs w:val="20"/>
        </w:rPr>
      </w:pPr>
      <w:r w:rsidRPr="006C2A2D">
        <w:rPr>
          <w:sz w:val="20"/>
          <w:szCs w:val="20"/>
        </w:rPr>
        <w:t>67013</w:t>
      </w:r>
      <w:r>
        <w:rPr>
          <w:sz w:val="20"/>
          <w:szCs w:val="20"/>
        </w:rPr>
        <w:t>053</w:t>
      </w:r>
    </w:p>
    <w:p w:rsidR="002074CD" w:rsidRDefault="005D0507" w:rsidP="002074CD">
      <w:pPr>
        <w:spacing w:after="120"/>
        <w:jc w:val="both"/>
        <w:rPr>
          <w:sz w:val="20"/>
          <w:szCs w:val="20"/>
        </w:rPr>
      </w:pPr>
      <w:hyperlink r:id="rId8" w:history="1">
        <w:r w:rsidR="002074CD" w:rsidRPr="00694467">
          <w:rPr>
            <w:rStyle w:val="Hyperlink"/>
            <w:sz w:val="20"/>
            <w:szCs w:val="20"/>
          </w:rPr>
          <w:t>Edmunds.Fernats@em.gov.lv</w:t>
        </w:r>
      </w:hyperlink>
    </w:p>
    <w:sectPr w:rsidR="002074CD" w:rsidSect="00D057F9">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18" w:rsidRDefault="00263D18" w:rsidP="00F60D22">
      <w:r>
        <w:separator/>
      </w:r>
    </w:p>
  </w:endnote>
  <w:endnote w:type="continuationSeparator" w:id="0">
    <w:p w:rsidR="00263D18" w:rsidRDefault="00263D18" w:rsidP="00F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Korinna LR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8" w:rsidRPr="008866AC" w:rsidRDefault="00263D18" w:rsidP="005D0507">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sidR="005D0507">
      <w:rPr>
        <w:sz w:val="20"/>
        <w:szCs w:val="20"/>
      </w:rPr>
      <w:t>2</w:t>
    </w:r>
    <w:r w:rsidR="00B0135D">
      <w:rPr>
        <w:sz w:val="20"/>
        <w:szCs w:val="20"/>
      </w:rPr>
      <w:t>7</w:t>
    </w:r>
    <w:r>
      <w:rPr>
        <w:sz w:val="20"/>
        <w:szCs w:val="20"/>
      </w:rPr>
      <w:t>0</w:t>
    </w:r>
    <w:r w:rsidR="00560429">
      <w:rPr>
        <w:sz w:val="20"/>
        <w:szCs w:val="20"/>
      </w:rPr>
      <w:t>4</w:t>
    </w:r>
    <w:r>
      <w:rPr>
        <w:sz w:val="20"/>
        <w:szCs w:val="20"/>
      </w:rPr>
      <w:t>15</w:t>
    </w:r>
    <w:r w:rsidRPr="000261F2">
      <w:rPr>
        <w:sz w:val="20"/>
        <w:szCs w:val="20"/>
      </w:rPr>
      <w:t>_</w:t>
    </w:r>
    <w:r>
      <w:rPr>
        <w:sz w:val="20"/>
        <w:szCs w:val="20"/>
      </w:rPr>
      <w:t>UIN_invest</w:t>
    </w:r>
    <w:r w:rsidRPr="000261F2">
      <w:rPr>
        <w:sz w:val="20"/>
        <w:szCs w:val="20"/>
      </w:rPr>
      <w:t xml:space="preserve">; </w:t>
    </w:r>
    <w:r w:rsidRPr="00073221">
      <w:rPr>
        <w:sz w:val="20"/>
        <w:szCs w:val="20"/>
      </w:rPr>
      <w:t>Ministru kabineta noteikumu projekta „Atbalstāmo investīciju projekta apstiprin</w:t>
    </w:r>
    <w:r>
      <w:rPr>
        <w:sz w:val="20"/>
        <w:szCs w:val="20"/>
      </w:rPr>
      <w:t>āšanas un īstenošanas kārtība” 3</w:t>
    </w:r>
    <w:r w:rsidRPr="00073221">
      <w:rPr>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8" w:rsidRPr="008866AC" w:rsidRDefault="00263D18" w:rsidP="005D0507">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sidR="005D0507">
      <w:rPr>
        <w:sz w:val="20"/>
        <w:szCs w:val="20"/>
      </w:rPr>
      <w:t>2</w:t>
    </w:r>
    <w:r w:rsidR="0011659B">
      <w:rPr>
        <w:sz w:val="20"/>
        <w:szCs w:val="20"/>
      </w:rPr>
      <w:t>7</w:t>
    </w:r>
    <w:r>
      <w:rPr>
        <w:sz w:val="20"/>
        <w:szCs w:val="20"/>
      </w:rPr>
      <w:t>0</w:t>
    </w:r>
    <w:r w:rsidR="00560429">
      <w:rPr>
        <w:sz w:val="20"/>
        <w:szCs w:val="20"/>
      </w:rPr>
      <w:t>4</w:t>
    </w:r>
    <w:r>
      <w:rPr>
        <w:sz w:val="20"/>
        <w:szCs w:val="20"/>
      </w:rPr>
      <w:t>15</w:t>
    </w:r>
    <w:r w:rsidRPr="000261F2">
      <w:rPr>
        <w:sz w:val="20"/>
        <w:szCs w:val="20"/>
      </w:rPr>
      <w:t>_</w:t>
    </w:r>
    <w:r>
      <w:rPr>
        <w:sz w:val="20"/>
        <w:szCs w:val="20"/>
      </w:rPr>
      <w:t>UIN_invest</w:t>
    </w:r>
    <w:r w:rsidRPr="000261F2">
      <w:rPr>
        <w:sz w:val="20"/>
        <w:szCs w:val="20"/>
      </w:rPr>
      <w:t xml:space="preserve">; </w:t>
    </w:r>
    <w:r w:rsidRPr="00073221">
      <w:rPr>
        <w:sz w:val="20"/>
        <w:szCs w:val="20"/>
      </w:rPr>
      <w:t>Ministru kabineta noteikumu projekta „Atbalstāmo investīciju projekta apstiprin</w:t>
    </w:r>
    <w:r>
      <w:rPr>
        <w:sz w:val="20"/>
        <w:szCs w:val="20"/>
      </w:rPr>
      <w:t>āšanas un īstenošanas kārtība” 3</w:t>
    </w:r>
    <w:r w:rsidRPr="00073221">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18" w:rsidRDefault="00263D18" w:rsidP="00F60D22">
      <w:r>
        <w:separator/>
      </w:r>
    </w:p>
  </w:footnote>
  <w:footnote w:type="continuationSeparator" w:id="0">
    <w:p w:rsidR="00263D18" w:rsidRDefault="00263D18" w:rsidP="00F6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18" w:rsidRDefault="00263D18">
    <w:pPr>
      <w:pStyle w:val="Header"/>
      <w:jc w:val="center"/>
    </w:pPr>
    <w:r>
      <w:fldChar w:fldCharType="begin"/>
    </w:r>
    <w:r>
      <w:instrText xml:space="preserve"> PAGE   \* MERGEFORMAT </w:instrText>
    </w:r>
    <w:r>
      <w:fldChar w:fldCharType="separate"/>
    </w:r>
    <w:r w:rsidR="005D050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0D2"/>
    <w:multiLevelType w:val="hybridMultilevel"/>
    <w:tmpl w:val="70DC36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D9A5A9A"/>
    <w:multiLevelType w:val="hybridMultilevel"/>
    <w:tmpl w:val="6AEA2F36"/>
    <w:lvl w:ilvl="0" w:tplc="7CCADF2E">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A39"/>
    <w:rsid w:val="0001257E"/>
    <w:rsid w:val="00022D0B"/>
    <w:rsid w:val="00024499"/>
    <w:rsid w:val="00026709"/>
    <w:rsid w:val="00026BFE"/>
    <w:rsid w:val="0003325E"/>
    <w:rsid w:val="0003600E"/>
    <w:rsid w:val="000367BD"/>
    <w:rsid w:val="0004415B"/>
    <w:rsid w:val="000467A8"/>
    <w:rsid w:val="00062372"/>
    <w:rsid w:val="00063A03"/>
    <w:rsid w:val="00073221"/>
    <w:rsid w:val="0007415C"/>
    <w:rsid w:val="00082436"/>
    <w:rsid w:val="00096DF1"/>
    <w:rsid w:val="000A070C"/>
    <w:rsid w:val="000A0C0B"/>
    <w:rsid w:val="000B3B58"/>
    <w:rsid w:val="000D38E9"/>
    <w:rsid w:val="000E26EC"/>
    <w:rsid w:val="000E3B5A"/>
    <w:rsid w:val="000F253F"/>
    <w:rsid w:val="00103BDF"/>
    <w:rsid w:val="00115C4F"/>
    <w:rsid w:val="0011659B"/>
    <w:rsid w:val="00117E49"/>
    <w:rsid w:val="0012037A"/>
    <w:rsid w:val="0012422C"/>
    <w:rsid w:val="001259ED"/>
    <w:rsid w:val="001368CA"/>
    <w:rsid w:val="00163620"/>
    <w:rsid w:val="00171082"/>
    <w:rsid w:val="001821BA"/>
    <w:rsid w:val="00184F1D"/>
    <w:rsid w:val="00190F50"/>
    <w:rsid w:val="001915ED"/>
    <w:rsid w:val="001A052C"/>
    <w:rsid w:val="001A4685"/>
    <w:rsid w:val="001C189A"/>
    <w:rsid w:val="001C5A07"/>
    <w:rsid w:val="001E23CC"/>
    <w:rsid w:val="001F739D"/>
    <w:rsid w:val="002074CD"/>
    <w:rsid w:val="002171D9"/>
    <w:rsid w:val="00222A82"/>
    <w:rsid w:val="00222CE8"/>
    <w:rsid w:val="00227B3E"/>
    <w:rsid w:val="0023574B"/>
    <w:rsid w:val="00236ED3"/>
    <w:rsid w:val="00245F73"/>
    <w:rsid w:val="00247617"/>
    <w:rsid w:val="00260774"/>
    <w:rsid w:val="00263D18"/>
    <w:rsid w:val="0027245D"/>
    <w:rsid w:val="002743E8"/>
    <w:rsid w:val="00277BC5"/>
    <w:rsid w:val="00287C0E"/>
    <w:rsid w:val="002A6283"/>
    <w:rsid w:val="002A7E00"/>
    <w:rsid w:val="002B76A8"/>
    <w:rsid w:val="002B7EA6"/>
    <w:rsid w:val="002D5F23"/>
    <w:rsid w:val="002E490D"/>
    <w:rsid w:val="002F5B2A"/>
    <w:rsid w:val="00300C53"/>
    <w:rsid w:val="003041E1"/>
    <w:rsid w:val="00307DA8"/>
    <w:rsid w:val="0032142A"/>
    <w:rsid w:val="00334B54"/>
    <w:rsid w:val="00336559"/>
    <w:rsid w:val="00353772"/>
    <w:rsid w:val="00375F66"/>
    <w:rsid w:val="003B6120"/>
    <w:rsid w:val="003C5C72"/>
    <w:rsid w:val="003E4B39"/>
    <w:rsid w:val="003F4BE1"/>
    <w:rsid w:val="004066BA"/>
    <w:rsid w:val="0041335D"/>
    <w:rsid w:val="004239E8"/>
    <w:rsid w:val="0042493E"/>
    <w:rsid w:val="00424D71"/>
    <w:rsid w:val="00425368"/>
    <w:rsid w:val="004355CC"/>
    <w:rsid w:val="0045084B"/>
    <w:rsid w:val="00451EC3"/>
    <w:rsid w:val="0045331C"/>
    <w:rsid w:val="00466812"/>
    <w:rsid w:val="00466989"/>
    <w:rsid w:val="004878DF"/>
    <w:rsid w:val="0049541C"/>
    <w:rsid w:val="004975F6"/>
    <w:rsid w:val="004A299B"/>
    <w:rsid w:val="004B33B3"/>
    <w:rsid w:val="004C30F3"/>
    <w:rsid w:val="004D01BF"/>
    <w:rsid w:val="004E00A6"/>
    <w:rsid w:val="004E091C"/>
    <w:rsid w:val="004E5117"/>
    <w:rsid w:val="004E6C25"/>
    <w:rsid w:val="005019B0"/>
    <w:rsid w:val="00502C62"/>
    <w:rsid w:val="005200B6"/>
    <w:rsid w:val="00520743"/>
    <w:rsid w:val="0052245C"/>
    <w:rsid w:val="00522BC8"/>
    <w:rsid w:val="00526FAB"/>
    <w:rsid w:val="0053065A"/>
    <w:rsid w:val="005603EC"/>
    <w:rsid w:val="00560429"/>
    <w:rsid w:val="005712BA"/>
    <w:rsid w:val="005742FC"/>
    <w:rsid w:val="005755B2"/>
    <w:rsid w:val="00577AC9"/>
    <w:rsid w:val="00582993"/>
    <w:rsid w:val="00586615"/>
    <w:rsid w:val="00591C56"/>
    <w:rsid w:val="005B226C"/>
    <w:rsid w:val="005B22B3"/>
    <w:rsid w:val="005C3AEA"/>
    <w:rsid w:val="005D0507"/>
    <w:rsid w:val="005E0E8A"/>
    <w:rsid w:val="005E0F00"/>
    <w:rsid w:val="005E3AE3"/>
    <w:rsid w:val="005E3DAB"/>
    <w:rsid w:val="005E55F7"/>
    <w:rsid w:val="005F7FA4"/>
    <w:rsid w:val="006006EB"/>
    <w:rsid w:val="00605582"/>
    <w:rsid w:val="00624C5D"/>
    <w:rsid w:val="006317F7"/>
    <w:rsid w:val="00633C59"/>
    <w:rsid w:val="00634036"/>
    <w:rsid w:val="0064216D"/>
    <w:rsid w:val="00642FC1"/>
    <w:rsid w:val="00655C99"/>
    <w:rsid w:val="00655E06"/>
    <w:rsid w:val="00657CCB"/>
    <w:rsid w:val="0067268D"/>
    <w:rsid w:val="00675D0E"/>
    <w:rsid w:val="0068237C"/>
    <w:rsid w:val="00690C76"/>
    <w:rsid w:val="00697BC5"/>
    <w:rsid w:val="006A6232"/>
    <w:rsid w:val="006B015A"/>
    <w:rsid w:val="006B3045"/>
    <w:rsid w:val="006B4375"/>
    <w:rsid w:val="006E423E"/>
    <w:rsid w:val="006E52A8"/>
    <w:rsid w:val="006F1E6D"/>
    <w:rsid w:val="006F61C7"/>
    <w:rsid w:val="006F6ACB"/>
    <w:rsid w:val="006F7019"/>
    <w:rsid w:val="006F73FC"/>
    <w:rsid w:val="00701441"/>
    <w:rsid w:val="00723D02"/>
    <w:rsid w:val="00730C38"/>
    <w:rsid w:val="00741CCD"/>
    <w:rsid w:val="00755145"/>
    <w:rsid w:val="007635A3"/>
    <w:rsid w:val="00766702"/>
    <w:rsid w:val="00781594"/>
    <w:rsid w:val="00794A6A"/>
    <w:rsid w:val="007C6545"/>
    <w:rsid w:val="007D684E"/>
    <w:rsid w:val="007E600C"/>
    <w:rsid w:val="007F2AAA"/>
    <w:rsid w:val="007F40FD"/>
    <w:rsid w:val="0080251E"/>
    <w:rsid w:val="00806B15"/>
    <w:rsid w:val="008104A7"/>
    <w:rsid w:val="00811999"/>
    <w:rsid w:val="00825696"/>
    <w:rsid w:val="00832276"/>
    <w:rsid w:val="008447BD"/>
    <w:rsid w:val="00845308"/>
    <w:rsid w:val="008508AD"/>
    <w:rsid w:val="00853430"/>
    <w:rsid w:val="008534DC"/>
    <w:rsid w:val="0085617A"/>
    <w:rsid w:val="008620F9"/>
    <w:rsid w:val="00865D9C"/>
    <w:rsid w:val="00884716"/>
    <w:rsid w:val="0088702D"/>
    <w:rsid w:val="008877DD"/>
    <w:rsid w:val="00895F67"/>
    <w:rsid w:val="008973BB"/>
    <w:rsid w:val="008A0EAC"/>
    <w:rsid w:val="008A1C81"/>
    <w:rsid w:val="008A5350"/>
    <w:rsid w:val="008C51BD"/>
    <w:rsid w:val="008D2050"/>
    <w:rsid w:val="008D705F"/>
    <w:rsid w:val="008E078E"/>
    <w:rsid w:val="008E3FE8"/>
    <w:rsid w:val="008F458C"/>
    <w:rsid w:val="00907A54"/>
    <w:rsid w:val="0092312E"/>
    <w:rsid w:val="00934AE2"/>
    <w:rsid w:val="0094433D"/>
    <w:rsid w:val="00954B9D"/>
    <w:rsid w:val="00955509"/>
    <w:rsid w:val="00956E2C"/>
    <w:rsid w:val="00960127"/>
    <w:rsid w:val="00982A9E"/>
    <w:rsid w:val="00991419"/>
    <w:rsid w:val="00993728"/>
    <w:rsid w:val="00996870"/>
    <w:rsid w:val="009B5328"/>
    <w:rsid w:val="009D3971"/>
    <w:rsid w:val="009E7913"/>
    <w:rsid w:val="00A00B9F"/>
    <w:rsid w:val="00A1584C"/>
    <w:rsid w:val="00A253A4"/>
    <w:rsid w:val="00A26A5F"/>
    <w:rsid w:val="00A315FE"/>
    <w:rsid w:val="00A35388"/>
    <w:rsid w:val="00A43755"/>
    <w:rsid w:val="00A476EA"/>
    <w:rsid w:val="00A477BF"/>
    <w:rsid w:val="00A77C1C"/>
    <w:rsid w:val="00A84483"/>
    <w:rsid w:val="00AA3CD6"/>
    <w:rsid w:val="00AB7955"/>
    <w:rsid w:val="00AC5DE4"/>
    <w:rsid w:val="00AD0C91"/>
    <w:rsid w:val="00AD1138"/>
    <w:rsid w:val="00AD20BD"/>
    <w:rsid w:val="00AE4E81"/>
    <w:rsid w:val="00AE7FBB"/>
    <w:rsid w:val="00AF20D8"/>
    <w:rsid w:val="00AF50F7"/>
    <w:rsid w:val="00AF6FE7"/>
    <w:rsid w:val="00B0135D"/>
    <w:rsid w:val="00B01E84"/>
    <w:rsid w:val="00B055BC"/>
    <w:rsid w:val="00B21F27"/>
    <w:rsid w:val="00B53DE3"/>
    <w:rsid w:val="00B64C63"/>
    <w:rsid w:val="00B95137"/>
    <w:rsid w:val="00B96A8C"/>
    <w:rsid w:val="00BB004C"/>
    <w:rsid w:val="00BB040A"/>
    <w:rsid w:val="00BB1D56"/>
    <w:rsid w:val="00BD0C92"/>
    <w:rsid w:val="00BD429C"/>
    <w:rsid w:val="00BD5ACD"/>
    <w:rsid w:val="00BD65EF"/>
    <w:rsid w:val="00BD6DF9"/>
    <w:rsid w:val="00BF38A3"/>
    <w:rsid w:val="00BF3B68"/>
    <w:rsid w:val="00C50151"/>
    <w:rsid w:val="00C501D0"/>
    <w:rsid w:val="00C518D2"/>
    <w:rsid w:val="00C90C4F"/>
    <w:rsid w:val="00CA5C09"/>
    <w:rsid w:val="00CC1113"/>
    <w:rsid w:val="00CC6552"/>
    <w:rsid w:val="00CD00DF"/>
    <w:rsid w:val="00D037DB"/>
    <w:rsid w:val="00D03E22"/>
    <w:rsid w:val="00D057F9"/>
    <w:rsid w:val="00D11BE9"/>
    <w:rsid w:val="00D249C5"/>
    <w:rsid w:val="00D25E2C"/>
    <w:rsid w:val="00D34B5C"/>
    <w:rsid w:val="00D43D97"/>
    <w:rsid w:val="00D53A96"/>
    <w:rsid w:val="00D54DD0"/>
    <w:rsid w:val="00D670D4"/>
    <w:rsid w:val="00D908AC"/>
    <w:rsid w:val="00DB74AD"/>
    <w:rsid w:val="00DC00B8"/>
    <w:rsid w:val="00DE114D"/>
    <w:rsid w:val="00DE18A1"/>
    <w:rsid w:val="00DF2B4E"/>
    <w:rsid w:val="00DF61A8"/>
    <w:rsid w:val="00E0156E"/>
    <w:rsid w:val="00E034D9"/>
    <w:rsid w:val="00E12FD1"/>
    <w:rsid w:val="00E14A39"/>
    <w:rsid w:val="00E1751C"/>
    <w:rsid w:val="00E211B1"/>
    <w:rsid w:val="00E61AFC"/>
    <w:rsid w:val="00E65481"/>
    <w:rsid w:val="00E735A4"/>
    <w:rsid w:val="00E81D63"/>
    <w:rsid w:val="00E86143"/>
    <w:rsid w:val="00E87657"/>
    <w:rsid w:val="00E956AD"/>
    <w:rsid w:val="00EA0C4A"/>
    <w:rsid w:val="00EB0C9B"/>
    <w:rsid w:val="00ED2034"/>
    <w:rsid w:val="00ED4332"/>
    <w:rsid w:val="00ED5BE7"/>
    <w:rsid w:val="00EF50F4"/>
    <w:rsid w:val="00F0420B"/>
    <w:rsid w:val="00F06A3C"/>
    <w:rsid w:val="00F07337"/>
    <w:rsid w:val="00F07BB1"/>
    <w:rsid w:val="00F1373E"/>
    <w:rsid w:val="00F203AE"/>
    <w:rsid w:val="00F20C92"/>
    <w:rsid w:val="00F3321C"/>
    <w:rsid w:val="00F355F2"/>
    <w:rsid w:val="00F45957"/>
    <w:rsid w:val="00F60D22"/>
    <w:rsid w:val="00F73835"/>
    <w:rsid w:val="00F73874"/>
    <w:rsid w:val="00F754CF"/>
    <w:rsid w:val="00F75E94"/>
    <w:rsid w:val="00F8473E"/>
    <w:rsid w:val="00FA6599"/>
    <w:rsid w:val="00FB070A"/>
    <w:rsid w:val="00FB38A2"/>
    <w:rsid w:val="00FD191A"/>
    <w:rsid w:val="00FE031C"/>
    <w:rsid w:val="00FE0A27"/>
    <w:rsid w:val="00FE4CDD"/>
    <w:rsid w:val="00FE775C"/>
    <w:rsid w:val="00FF26AE"/>
    <w:rsid w:val="00FF5E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C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A39"/>
    <w:rPr>
      <w:rFonts w:ascii="Arial" w:hAnsi="Arial" w:cs="Arial"/>
      <w:b/>
      <w:bCs/>
      <w:kern w:val="32"/>
      <w:sz w:val="32"/>
      <w:szCs w:val="32"/>
      <w:lang w:eastAsia="lv-LV"/>
    </w:rPr>
  </w:style>
  <w:style w:type="paragraph" w:customStyle="1" w:styleId="NoSpacing1">
    <w:name w:val="No Spacing1"/>
    <w:uiPriority w:val="99"/>
    <w:rsid w:val="00E14A39"/>
    <w:rPr>
      <w:sz w:val="22"/>
      <w:szCs w:val="22"/>
      <w:lang w:eastAsia="en-US"/>
    </w:rPr>
  </w:style>
  <w:style w:type="table" w:styleId="TableGrid">
    <w:name w:val="Table Grid"/>
    <w:basedOn w:val="TableNormal"/>
    <w:uiPriority w:val="99"/>
    <w:rsid w:val="00E14A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4A39"/>
    <w:rPr>
      <w:rFonts w:cs="Times New Roman"/>
      <w:color w:val="0000FF"/>
      <w:u w:val="single"/>
    </w:rPr>
  </w:style>
  <w:style w:type="paragraph" w:styleId="ListParagraph">
    <w:name w:val="List Paragraph"/>
    <w:basedOn w:val="Normal"/>
    <w:uiPriority w:val="99"/>
    <w:qFormat/>
    <w:rsid w:val="0007415C"/>
    <w:pPr>
      <w:ind w:left="720"/>
      <w:contextualSpacing/>
    </w:pPr>
  </w:style>
  <w:style w:type="paragraph" w:styleId="Header">
    <w:name w:val="header"/>
    <w:basedOn w:val="Normal"/>
    <w:link w:val="HeaderChar"/>
    <w:uiPriority w:val="99"/>
    <w:rsid w:val="00F60D22"/>
    <w:pPr>
      <w:tabs>
        <w:tab w:val="center" w:pos="4153"/>
        <w:tab w:val="right" w:pos="8306"/>
      </w:tabs>
    </w:pPr>
  </w:style>
  <w:style w:type="character" w:customStyle="1" w:styleId="HeaderChar">
    <w:name w:val="Header Char"/>
    <w:link w:val="Header"/>
    <w:uiPriority w:val="99"/>
    <w:locked/>
    <w:rsid w:val="00F60D22"/>
    <w:rPr>
      <w:rFonts w:ascii="Times New Roman" w:hAnsi="Times New Roman" w:cs="Times New Roman"/>
      <w:sz w:val="24"/>
      <w:szCs w:val="24"/>
      <w:lang w:eastAsia="lv-LV"/>
    </w:rPr>
  </w:style>
  <w:style w:type="paragraph" w:styleId="Footer">
    <w:name w:val="footer"/>
    <w:basedOn w:val="Normal"/>
    <w:link w:val="FooterChar"/>
    <w:uiPriority w:val="99"/>
    <w:rsid w:val="00F60D22"/>
    <w:pPr>
      <w:tabs>
        <w:tab w:val="center" w:pos="4153"/>
        <w:tab w:val="right" w:pos="8306"/>
      </w:tabs>
    </w:pPr>
  </w:style>
  <w:style w:type="character" w:customStyle="1" w:styleId="FooterChar">
    <w:name w:val="Footer Char"/>
    <w:link w:val="Footer"/>
    <w:uiPriority w:val="99"/>
    <w:locked/>
    <w:rsid w:val="00F60D22"/>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32142A"/>
    <w:rPr>
      <w:rFonts w:ascii="Tahoma" w:hAnsi="Tahoma" w:cs="Tahoma"/>
      <w:sz w:val="16"/>
      <w:szCs w:val="16"/>
    </w:rPr>
  </w:style>
  <w:style w:type="character" w:customStyle="1" w:styleId="BalloonTextChar">
    <w:name w:val="Balloon Text Char"/>
    <w:link w:val="BalloonText"/>
    <w:uiPriority w:val="99"/>
    <w:semiHidden/>
    <w:locked/>
    <w:rsid w:val="0032142A"/>
    <w:rPr>
      <w:rFonts w:ascii="Tahoma" w:hAnsi="Tahoma" w:cs="Tahoma"/>
      <w:sz w:val="16"/>
      <w:szCs w:val="16"/>
      <w:lang w:eastAsia="lv-LV"/>
    </w:rPr>
  </w:style>
  <w:style w:type="paragraph" w:customStyle="1" w:styleId="tvhtml">
    <w:name w:val="tv_html"/>
    <w:basedOn w:val="Normal"/>
    <w:uiPriority w:val="99"/>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uiPriority w:val="99"/>
    <w:rsid w:val="00FF26AE"/>
    <w:rPr>
      <w:rFonts w:cs="Times New Roman"/>
    </w:rPr>
  </w:style>
  <w:style w:type="character" w:styleId="CommentReference">
    <w:name w:val="annotation reference"/>
    <w:uiPriority w:val="99"/>
    <w:semiHidden/>
    <w:rsid w:val="003041E1"/>
    <w:rPr>
      <w:rFonts w:cs="Times New Roman"/>
      <w:sz w:val="16"/>
      <w:szCs w:val="16"/>
    </w:rPr>
  </w:style>
  <w:style w:type="paragraph" w:styleId="CommentText">
    <w:name w:val="annotation text"/>
    <w:basedOn w:val="Normal"/>
    <w:link w:val="CommentTextChar"/>
    <w:uiPriority w:val="99"/>
    <w:semiHidden/>
    <w:rsid w:val="003041E1"/>
    <w:rPr>
      <w:sz w:val="20"/>
      <w:szCs w:val="20"/>
    </w:rPr>
  </w:style>
  <w:style w:type="character" w:customStyle="1" w:styleId="CommentTextChar">
    <w:name w:val="Comment Text Char"/>
    <w:link w:val="CommentText"/>
    <w:uiPriority w:val="99"/>
    <w:semiHidden/>
    <w:locked/>
    <w:rsid w:val="003041E1"/>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041E1"/>
    <w:rPr>
      <w:b/>
      <w:bCs/>
    </w:rPr>
  </w:style>
  <w:style w:type="character" w:customStyle="1" w:styleId="CommentSubjectChar">
    <w:name w:val="Comment Subject Char"/>
    <w:link w:val="CommentSubject"/>
    <w:uiPriority w:val="99"/>
    <w:semiHidden/>
    <w:locked/>
    <w:rsid w:val="003041E1"/>
    <w:rPr>
      <w:rFonts w:ascii="Times New Roman" w:hAnsi="Times New Roman" w:cs="Times New Roman"/>
      <w:b/>
      <w:bCs/>
      <w:sz w:val="20"/>
      <w:szCs w:val="20"/>
      <w:lang w:eastAsia="lv-LV"/>
    </w:rPr>
  </w:style>
  <w:style w:type="character" w:customStyle="1" w:styleId="FooterChar1">
    <w:name w:val="Footer Char1"/>
    <w:uiPriority w:val="99"/>
    <w:locked/>
    <w:rsid w:val="0003325E"/>
    <w:rPr>
      <w:rFonts w:ascii="Calibri" w:hAnsi="Calibri" w:cs="Times New Roman"/>
      <w:sz w:val="26"/>
      <w:szCs w:val="26"/>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55623">
      <w:marLeft w:val="45"/>
      <w:marRight w:val="45"/>
      <w:marTop w:val="90"/>
      <w:marBottom w:val="90"/>
      <w:divBdr>
        <w:top w:val="none" w:sz="0" w:space="0" w:color="auto"/>
        <w:left w:val="none" w:sz="0" w:space="0" w:color="auto"/>
        <w:bottom w:val="none" w:sz="0" w:space="0" w:color="auto"/>
        <w:right w:val="none" w:sz="0" w:space="0" w:color="auto"/>
      </w:divBdr>
      <w:divsChild>
        <w:div w:id="1129055622">
          <w:marLeft w:val="0"/>
          <w:marRight w:val="0"/>
          <w:marTop w:val="240"/>
          <w:marBottom w:val="0"/>
          <w:divBdr>
            <w:top w:val="none" w:sz="0" w:space="0" w:color="auto"/>
            <w:left w:val="none" w:sz="0" w:space="0" w:color="auto"/>
            <w:bottom w:val="none" w:sz="0" w:space="0" w:color="auto"/>
            <w:right w:val="none" w:sz="0" w:space="0" w:color="auto"/>
          </w:divBdr>
        </w:div>
      </w:divsChild>
    </w:div>
    <w:div w:id="1129055624">
      <w:marLeft w:val="0"/>
      <w:marRight w:val="0"/>
      <w:marTop w:val="0"/>
      <w:marBottom w:val="0"/>
      <w:divBdr>
        <w:top w:val="none" w:sz="0" w:space="0" w:color="auto"/>
        <w:left w:val="none" w:sz="0" w:space="0" w:color="auto"/>
        <w:bottom w:val="none" w:sz="0" w:space="0" w:color="auto"/>
        <w:right w:val="none" w:sz="0" w:space="0" w:color="auto"/>
      </w:divBdr>
    </w:div>
    <w:div w:id="112905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2638</TotalTime>
  <Pages>7</Pages>
  <Words>9494</Words>
  <Characters>5413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3.pielikums</vt:lpstr>
    </vt:vector>
  </TitlesOfParts>
  <Company>LR Ekonomikas ministrija</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3.pielikums</dc:title>
  <dc:subject>Ministru kabineta noteikumu projekta 3.pielikums</dc:subject>
  <dc:creator>Edmunds Fernāts</dc:creator>
  <cp:keywords/>
  <dc:description>Edmunds.Fernats@em.gov.lv
67013053</dc:description>
  <cp:lastModifiedBy>Edmunds Fernāts</cp:lastModifiedBy>
  <cp:revision>117</cp:revision>
  <cp:lastPrinted>2014-11-10T17:35:00Z</cp:lastPrinted>
  <dcterms:created xsi:type="dcterms:W3CDTF">2011-02-03T12:15:00Z</dcterms:created>
  <dcterms:modified xsi:type="dcterms:W3CDTF">2015-04-27T12:50:00Z</dcterms:modified>
</cp:coreProperties>
</file>