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82" w:rsidRPr="00225B51" w:rsidRDefault="00126382" w:rsidP="00126382">
      <w:pPr>
        <w:jc w:val="center"/>
        <w:rPr>
          <w:rFonts w:cs="Times New Roman"/>
          <w:b/>
          <w:szCs w:val="24"/>
        </w:rPr>
      </w:pPr>
      <w:r w:rsidRPr="00225B51">
        <w:rPr>
          <w:rFonts w:cs="Times New Roman"/>
          <w:b/>
          <w:szCs w:val="24"/>
        </w:rPr>
        <w:t>Likumprojekta</w:t>
      </w:r>
    </w:p>
    <w:p w:rsidR="00126382" w:rsidRPr="00225B51" w:rsidRDefault="00126382" w:rsidP="00126382">
      <w:pPr>
        <w:jc w:val="center"/>
        <w:rPr>
          <w:rFonts w:cs="Times New Roman"/>
          <w:b/>
          <w:szCs w:val="24"/>
        </w:rPr>
      </w:pPr>
      <w:r w:rsidRPr="00225B51">
        <w:rPr>
          <w:rFonts w:cs="Times New Roman"/>
          <w:b/>
          <w:bCs/>
          <w:szCs w:val="24"/>
        </w:rPr>
        <w:t>„Grozījumi Noziedzīgi iegūtu līdzekļu legalizācijas un terorisma finansēšanas novēršanas likumā</w:t>
      </w:r>
      <w:r w:rsidRPr="00225B51">
        <w:rPr>
          <w:rFonts w:cs="Times New Roman"/>
          <w:b/>
          <w:szCs w:val="24"/>
        </w:rPr>
        <w:t>"</w:t>
      </w:r>
    </w:p>
    <w:p w:rsidR="00126382" w:rsidRDefault="00126382" w:rsidP="00126382">
      <w:pPr>
        <w:jc w:val="center"/>
        <w:rPr>
          <w:rFonts w:cs="Times New Roman"/>
          <w:b/>
          <w:szCs w:val="24"/>
        </w:rPr>
      </w:pPr>
      <w:r w:rsidRPr="00225B51">
        <w:rPr>
          <w:rFonts w:cs="Times New Roman"/>
          <w:b/>
          <w:szCs w:val="24"/>
        </w:rPr>
        <w:t>sākotnējās ietekmes novērtējuma ziņojums (anotācija)</w:t>
      </w:r>
    </w:p>
    <w:p w:rsidR="005354AB" w:rsidRDefault="005354AB" w:rsidP="00126382">
      <w:pPr>
        <w:jc w:val="center"/>
        <w:rPr>
          <w:rFonts w:cs="Times New Roman"/>
          <w:b/>
          <w:szCs w:val="24"/>
        </w:rPr>
      </w:pPr>
    </w:p>
    <w:p w:rsidR="005354AB" w:rsidRPr="00BB56CE" w:rsidRDefault="005354AB" w:rsidP="00126382">
      <w:pPr>
        <w:jc w:val="center"/>
        <w:rPr>
          <w:rFonts w:cs="Times New Roman"/>
          <w:b/>
          <w:szCs w:val="24"/>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1"/>
        <w:gridCol w:w="1569"/>
        <w:gridCol w:w="6443"/>
      </w:tblGrid>
      <w:tr w:rsidR="00126382" w:rsidRPr="00225B51" w:rsidTr="00DB39CF">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B39CF">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I. Tiesību akta projekta izstrādes nepieciešamība</w:t>
            </w:r>
          </w:p>
        </w:tc>
      </w:tr>
      <w:tr w:rsidR="00126382" w:rsidRPr="00225B51" w:rsidTr="00DB39CF">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rPr>
                <w:rFonts w:eastAsia="Times New Roman" w:cs="Times New Roman"/>
                <w:szCs w:val="24"/>
                <w:lang w:eastAsia="lv-LV"/>
              </w:rPr>
            </w:pPr>
            <w:r w:rsidRPr="00225B51">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rsidR="00126382" w:rsidRPr="00AB07F4" w:rsidRDefault="00217EBA" w:rsidP="00AB07F4">
            <w:pPr>
              <w:autoSpaceDE w:val="0"/>
              <w:autoSpaceDN w:val="0"/>
              <w:adjustRightInd w:val="0"/>
              <w:jc w:val="both"/>
              <w:rPr>
                <w:rFonts w:cs="Times New Roman"/>
                <w:bCs/>
                <w:szCs w:val="24"/>
              </w:rPr>
            </w:pPr>
            <w:r w:rsidRPr="00AB07F4">
              <w:rPr>
                <w:rFonts w:cs="Times New Roman"/>
                <w:bCs/>
                <w:szCs w:val="24"/>
              </w:rPr>
              <w:t>Likum</w:t>
            </w:r>
            <w:r w:rsidR="00FC127F" w:rsidRPr="00AB07F4">
              <w:rPr>
                <w:rFonts w:cs="Times New Roman"/>
                <w:bCs/>
                <w:szCs w:val="24"/>
              </w:rPr>
              <w:t xml:space="preserve">projekts sagatavots atbilstoši Latvijas Republikas Ministru Kabineta </w:t>
            </w:r>
            <w:r w:rsidR="007001D4" w:rsidRPr="00AB07F4">
              <w:rPr>
                <w:rFonts w:cs="Times New Roman"/>
                <w:szCs w:val="24"/>
              </w:rPr>
              <w:t>2015.gada 24.</w:t>
            </w:r>
            <w:r w:rsidR="00924BB2">
              <w:rPr>
                <w:rFonts w:cs="Times New Roman"/>
                <w:szCs w:val="24"/>
              </w:rPr>
              <w:t xml:space="preserve"> </w:t>
            </w:r>
            <w:r w:rsidR="007001D4" w:rsidRPr="00AB07F4">
              <w:rPr>
                <w:rFonts w:cs="Times New Roman"/>
                <w:szCs w:val="24"/>
              </w:rPr>
              <w:t xml:space="preserve">marta </w:t>
            </w:r>
            <w:r w:rsidR="007001D4" w:rsidRPr="00AB07F4">
              <w:rPr>
                <w:rFonts w:cs="Times New Roman"/>
                <w:bCs/>
                <w:szCs w:val="24"/>
              </w:rPr>
              <w:t>sēdes protokola</w:t>
            </w:r>
            <w:r w:rsidR="007001D4" w:rsidRPr="00AB07F4">
              <w:rPr>
                <w:rFonts w:cs="Times New Roman"/>
                <w:szCs w:val="24"/>
              </w:rPr>
              <w:t xml:space="preserve"> Nr.16 18.§</w:t>
            </w:r>
            <w:r w:rsidR="00FC127F" w:rsidRPr="00AB07F4">
              <w:rPr>
                <w:rFonts w:cs="Times New Roman"/>
                <w:szCs w:val="24"/>
              </w:rPr>
              <w:t>.</w:t>
            </w:r>
            <w:r w:rsidR="00AB07F4" w:rsidRPr="00AB07F4">
              <w:rPr>
                <w:rFonts w:cs="Times New Roman"/>
                <w:szCs w:val="24"/>
              </w:rPr>
              <w:t xml:space="preserve"> “Par Ministru kabineta 2014.gada </w:t>
            </w:r>
            <w:r w:rsidR="00AB07F4">
              <w:rPr>
                <w:rFonts w:cs="Times New Roman"/>
                <w:szCs w:val="24"/>
              </w:rPr>
              <w:t xml:space="preserve">10.novembra sēdes </w:t>
            </w:r>
            <w:proofErr w:type="spellStart"/>
            <w:r w:rsidR="00AB07F4">
              <w:rPr>
                <w:rFonts w:cs="Times New Roman"/>
                <w:szCs w:val="24"/>
              </w:rPr>
              <w:t>protokollēmumā</w:t>
            </w:r>
            <w:proofErr w:type="spellEnd"/>
            <w:r w:rsidR="00AB07F4" w:rsidRPr="00AB07F4">
              <w:rPr>
                <w:rFonts w:cs="Times New Roman"/>
                <w:szCs w:val="24"/>
              </w:rPr>
              <w:t xml:space="preserve"> (prot. Nr.61 29.§) "Informatīvais ziņojums "Par iespējām palielināt ieņēmumus"" 2.2.apakšpunktā dotā uzdevuma izpildi”</w:t>
            </w:r>
            <w:r w:rsidR="00AB07F4">
              <w:rPr>
                <w:rFonts w:cs="Times New Roman"/>
                <w:szCs w:val="24"/>
              </w:rPr>
              <w:t xml:space="preserve"> dotajam uzdevumam.</w:t>
            </w:r>
          </w:p>
        </w:tc>
      </w:tr>
      <w:tr w:rsidR="00126382" w:rsidRPr="00225B51" w:rsidTr="00DB39CF">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rPr>
                <w:rFonts w:eastAsia="Times New Roman" w:cs="Times New Roman"/>
                <w:szCs w:val="24"/>
                <w:lang w:eastAsia="lv-LV"/>
              </w:rPr>
            </w:pPr>
            <w:r w:rsidRPr="00225B51">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rsidR="002914F9" w:rsidRDefault="002914F9" w:rsidP="00DB39CF">
            <w:pPr>
              <w:jc w:val="both"/>
              <w:rPr>
                <w:rFonts w:cs="Times New Roman"/>
                <w:szCs w:val="24"/>
              </w:rPr>
            </w:pPr>
            <w:r w:rsidRPr="00225B51">
              <w:rPr>
                <w:rFonts w:eastAsia="Times New Roman" w:cs="Times New Roman"/>
                <w:szCs w:val="24"/>
              </w:rPr>
              <w:t>Saskaņā ar</w:t>
            </w:r>
            <w:r>
              <w:rPr>
                <w:rFonts w:eastAsia="Times New Roman" w:cs="Times New Roman"/>
                <w:szCs w:val="24"/>
              </w:rPr>
              <w:t xml:space="preserve"> </w:t>
            </w:r>
            <w:r w:rsidRPr="00E21E8D">
              <w:rPr>
                <w:rFonts w:cs="Times New Roman"/>
                <w:bCs/>
                <w:szCs w:val="24"/>
              </w:rPr>
              <w:t xml:space="preserve"> Latvijas Republikas Ministru Kabineta </w:t>
            </w:r>
            <w:r w:rsidRPr="00E21E8D">
              <w:rPr>
                <w:rFonts w:cs="Times New Roman"/>
                <w:szCs w:val="24"/>
              </w:rPr>
              <w:t xml:space="preserve">2014.gada 10.novembra </w:t>
            </w:r>
            <w:r w:rsidRPr="00E21E8D">
              <w:rPr>
                <w:rFonts w:cs="Times New Roman"/>
                <w:bCs/>
                <w:szCs w:val="24"/>
              </w:rPr>
              <w:t>sēdes protokola</w:t>
            </w:r>
            <w:r w:rsidRPr="00E21E8D">
              <w:rPr>
                <w:rFonts w:cs="Times New Roman"/>
                <w:szCs w:val="24"/>
              </w:rPr>
              <w:t xml:space="preserve"> Nr.61 29.§</w:t>
            </w:r>
            <w:r w:rsidRPr="00E21E8D">
              <w:rPr>
                <w:rFonts w:cs="Times New Roman"/>
                <w:bCs/>
                <w:szCs w:val="24"/>
              </w:rPr>
              <w:t xml:space="preserve"> “</w:t>
            </w:r>
            <w:r w:rsidRPr="00E21E8D">
              <w:rPr>
                <w:rFonts w:cs="Times New Roman"/>
                <w:szCs w:val="24"/>
              </w:rPr>
              <w:t>Informatīvais ziņojums "Par iespējām palielināt</w:t>
            </w:r>
            <w:r>
              <w:rPr>
                <w:rFonts w:cs="Times New Roman"/>
                <w:szCs w:val="24"/>
              </w:rPr>
              <w:t xml:space="preserve"> ieņēmumus”” 2.2. punktā doto</w:t>
            </w:r>
            <w:r w:rsidRPr="00E21E8D">
              <w:rPr>
                <w:rFonts w:cs="Times New Roman"/>
                <w:szCs w:val="24"/>
              </w:rPr>
              <w:t xml:space="preserve"> </w:t>
            </w:r>
            <w:r>
              <w:rPr>
                <w:rFonts w:cs="Times New Roman"/>
                <w:szCs w:val="24"/>
              </w:rPr>
              <w:t xml:space="preserve">uzdevumu </w:t>
            </w:r>
          </w:p>
          <w:p w:rsidR="000C51DC" w:rsidRDefault="002914F9" w:rsidP="00DB39CF">
            <w:pPr>
              <w:jc w:val="both"/>
              <w:rPr>
                <w:rFonts w:ascii="Arial" w:hAnsi="Arial" w:cs="Arial"/>
                <w:color w:val="414142"/>
                <w:sz w:val="20"/>
                <w:szCs w:val="20"/>
              </w:rPr>
            </w:pPr>
            <w:r w:rsidRPr="00225B51">
              <w:rPr>
                <w:rFonts w:eastAsia="Calibri" w:cs="Times New Roman"/>
                <w:szCs w:val="24"/>
              </w:rPr>
              <w:t xml:space="preserve">Finanšu ministrijai tika uzdots </w:t>
            </w:r>
            <w:r w:rsidRPr="00225B51">
              <w:rPr>
                <w:rFonts w:eastAsia="Times New Roman" w:cs="Times New Roman"/>
                <w:szCs w:val="24"/>
              </w:rPr>
              <w:t>izstrādāt</w:t>
            </w:r>
            <w:r>
              <w:rPr>
                <w:rFonts w:eastAsia="Times New Roman" w:cs="Times New Roman"/>
                <w:szCs w:val="24"/>
              </w:rPr>
              <w:t xml:space="preserve">  </w:t>
            </w:r>
            <w:r>
              <w:rPr>
                <w:rFonts w:cs="Times New Roman"/>
                <w:szCs w:val="24"/>
              </w:rPr>
              <w:t>noteikumu projektu “</w:t>
            </w:r>
            <w:r w:rsidRPr="00E06715">
              <w:rPr>
                <w:rFonts w:cs="Times New Roman"/>
                <w:bCs/>
                <w:szCs w:val="24"/>
              </w:rPr>
              <w:t xml:space="preserve">Grozījumi Ministru kabineta </w:t>
            </w:r>
            <w:r w:rsidRPr="00E06715">
              <w:rPr>
                <w:rFonts w:cs="Times New Roman"/>
                <w:szCs w:val="24"/>
              </w:rPr>
              <w:t>2008.gada 22.decembra noteikumos Nr.1071 "Noteikumi par neparasta darījuma pazīmju sarakstu un kārtību, kādā sniedzami ziņojumi par neparastiem vai aizdomīgiem darījumiem</w:t>
            </w:r>
            <w:r>
              <w:rPr>
                <w:rFonts w:cs="Times New Roman"/>
                <w:bCs/>
                <w:szCs w:val="24"/>
              </w:rPr>
              <w:t>””. Uzdevuma izpildes gaitā tika secināts, ka</w:t>
            </w:r>
            <w:r w:rsidR="009D54DB">
              <w:rPr>
                <w:rFonts w:cs="Times New Roman"/>
                <w:bCs/>
                <w:szCs w:val="24"/>
              </w:rPr>
              <w:t>,</w:t>
            </w:r>
            <w:r>
              <w:rPr>
                <w:rFonts w:cs="Times New Roman"/>
                <w:bCs/>
                <w:szCs w:val="24"/>
              </w:rPr>
              <w:t xml:space="preserve"> izstrādājot noteikumu projektu </w:t>
            </w:r>
            <w:r>
              <w:rPr>
                <w:rFonts w:cs="Times New Roman"/>
                <w:szCs w:val="24"/>
              </w:rPr>
              <w:t>“</w:t>
            </w:r>
            <w:r w:rsidRPr="00E06715">
              <w:rPr>
                <w:rFonts w:cs="Times New Roman"/>
                <w:bCs/>
                <w:szCs w:val="24"/>
              </w:rPr>
              <w:t xml:space="preserve">Grozījumi Ministru kabineta </w:t>
            </w:r>
            <w:r w:rsidRPr="00E06715">
              <w:rPr>
                <w:rFonts w:cs="Times New Roman"/>
                <w:szCs w:val="24"/>
              </w:rPr>
              <w:t>2008.gada 22.decembra noteikumos Nr.1071 "Noteikumi par neparasta darījuma pazīmju sarakstu un kārtību, kādā sniedzami ziņojumi par neparastiem vai aizdomīgiem darījumiem</w:t>
            </w:r>
            <w:r>
              <w:rPr>
                <w:rFonts w:cs="Times New Roman"/>
                <w:bCs/>
                <w:szCs w:val="24"/>
              </w:rPr>
              <w:t>””</w:t>
            </w:r>
            <w:r w:rsidR="009D54DB">
              <w:rPr>
                <w:rFonts w:cs="Times New Roman"/>
                <w:bCs/>
                <w:szCs w:val="24"/>
              </w:rPr>
              <w:t>,</w:t>
            </w:r>
            <w:r>
              <w:rPr>
                <w:rFonts w:cs="Times New Roman"/>
                <w:bCs/>
                <w:szCs w:val="24"/>
              </w:rPr>
              <w:t xml:space="preserve"> netiks panākts mērķis – </w:t>
            </w:r>
            <w:r w:rsidR="000C51DC">
              <w:rPr>
                <w:rFonts w:ascii="Arial" w:hAnsi="Arial" w:cs="Arial"/>
                <w:color w:val="414142"/>
                <w:sz w:val="20"/>
                <w:szCs w:val="20"/>
              </w:rPr>
              <w:t xml:space="preserve"> </w:t>
            </w:r>
            <w:r w:rsidR="000C51DC" w:rsidRPr="000C51DC">
              <w:rPr>
                <w:rFonts w:cs="Times New Roman"/>
                <w:szCs w:val="24"/>
              </w:rPr>
              <w:t>informācija</w:t>
            </w:r>
            <w:r w:rsidR="00694373">
              <w:rPr>
                <w:rFonts w:cs="Times New Roman"/>
                <w:szCs w:val="24"/>
              </w:rPr>
              <w:t>s apmaiņas procesa pilnveidošana</w:t>
            </w:r>
            <w:r w:rsidR="000C51DC" w:rsidRPr="000C51DC">
              <w:rPr>
                <w:rFonts w:cs="Times New Roman"/>
                <w:szCs w:val="24"/>
              </w:rPr>
              <w:t xml:space="preserve"> starp</w:t>
            </w:r>
            <w:r w:rsidR="000C51DC">
              <w:rPr>
                <w:rFonts w:ascii="Arial" w:hAnsi="Arial" w:cs="Arial"/>
                <w:color w:val="414142"/>
                <w:sz w:val="20"/>
                <w:szCs w:val="20"/>
              </w:rPr>
              <w:t xml:space="preserve"> </w:t>
            </w:r>
            <w:r w:rsidR="000C51DC" w:rsidRPr="00DB39CF">
              <w:t>Noziedzīgi iegūtu līdzekļu legalizācijas novēršanas dienest</w:t>
            </w:r>
            <w:r w:rsidR="000C51DC">
              <w:t>u</w:t>
            </w:r>
            <w:r w:rsidR="000C51DC" w:rsidRPr="00DB39CF">
              <w:t xml:space="preserve"> (turpmāk – Kontroles dienests)</w:t>
            </w:r>
            <w:r w:rsidR="000C51DC">
              <w:t xml:space="preserve"> un  Valsts ieņēmumu dienestu (turpmāk – </w:t>
            </w:r>
            <w:r w:rsidR="000C51DC" w:rsidRPr="00DB39CF">
              <w:t>VID</w:t>
            </w:r>
            <w:r w:rsidR="000C51DC">
              <w:t>)</w:t>
            </w:r>
            <w:r w:rsidR="00AB07F4">
              <w:t xml:space="preserve">, bet tiks vienīgi </w:t>
            </w:r>
            <w:r w:rsidR="00AB07F4">
              <w:rPr>
                <w:rFonts w:cs="Times New Roman"/>
                <w:szCs w:val="24"/>
              </w:rPr>
              <w:t xml:space="preserve"> paplašināts neparastu darījumu</w:t>
            </w:r>
            <w:r w:rsidR="002235A7">
              <w:rPr>
                <w:rFonts w:cs="Times New Roman"/>
                <w:szCs w:val="24"/>
              </w:rPr>
              <w:t xml:space="preserve"> pazīmju</w:t>
            </w:r>
            <w:r w:rsidR="00AB07F4">
              <w:rPr>
                <w:rFonts w:cs="Times New Roman"/>
                <w:szCs w:val="24"/>
              </w:rPr>
              <w:t xml:space="preserve"> uzskaitījums</w:t>
            </w:r>
            <w:r w:rsidR="000C51DC">
              <w:t>. Ņemot vērā minēto</w:t>
            </w:r>
            <w:r w:rsidR="00AB07F4">
              <w:t xml:space="preserve"> un to, ka pastāv nepieciešamība pilnveidot pastāvošo informācijas apmaiņas modeli</w:t>
            </w:r>
            <w:r w:rsidR="000C51DC">
              <w:t xml:space="preserve"> Finanšu ministrija izstrādāja </w:t>
            </w:r>
            <w:r w:rsidR="000C51DC" w:rsidRPr="00225B51">
              <w:rPr>
                <w:rFonts w:eastAsia="Calibri" w:cs="Times New Roman"/>
                <w:szCs w:val="24"/>
              </w:rPr>
              <w:t xml:space="preserve"> likumprojektu </w:t>
            </w:r>
            <w:r w:rsidR="000C51DC" w:rsidRPr="00225B51">
              <w:rPr>
                <w:rFonts w:eastAsia="Times New Roman" w:cs="Times New Roman"/>
                <w:szCs w:val="24"/>
              </w:rPr>
              <w:t>“</w:t>
            </w:r>
            <w:r w:rsidR="000C51DC" w:rsidRPr="00225B51">
              <w:rPr>
                <w:rFonts w:cs="Times New Roman"/>
                <w:bCs/>
                <w:szCs w:val="24"/>
              </w:rPr>
              <w:t>Grozījumi Noziedzīgi iegūtu līdzekļu legalizācijas un terorisma finansēšanas novēršanas likumā</w:t>
            </w:r>
            <w:r w:rsidR="000C51DC" w:rsidRPr="00225B51">
              <w:rPr>
                <w:rFonts w:cs="Times New Roman"/>
                <w:szCs w:val="24"/>
              </w:rPr>
              <w:t>" (turpmāk – Likumprojekts)</w:t>
            </w:r>
            <w:r w:rsidR="000155FC">
              <w:rPr>
                <w:rFonts w:cs="Times New Roman"/>
                <w:szCs w:val="24"/>
              </w:rPr>
              <w:t xml:space="preserve">, kura </w:t>
            </w:r>
            <w:r w:rsidR="00AB07F4">
              <w:rPr>
                <w:rFonts w:cs="Times New Roman"/>
                <w:szCs w:val="24"/>
              </w:rPr>
              <w:t>mērķis ir uzlabo</w:t>
            </w:r>
            <w:r w:rsidR="000155FC">
              <w:rPr>
                <w:rFonts w:cs="Times New Roman"/>
                <w:szCs w:val="24"/>
              </w:rPr>
              <w:t xml:space="preserve">t informācijas apmaiņas procesu </w:t>
            </w:r>
            <w:r w:rsidR="00AB07F4">
              <w:rPr>
                <w:rFonts w:cs="Times New Roman"/>
                <w:szCs w:val="24"/>
              </w:rPr>
              <w:t>starp VID un Kontroles dienestu.</w:t>
            </w:r>
          </w:p>
          <w:p w:rsidR="00126382" w:rsidRPr="00DB39CF" w:rsidRDefault="00126382" w:rsidP="00DB39CF">
            <w:pPr>
              <w:jc w:val="both"/>
              <w:rPr>
                <w:rFonts w:cs="Times New Roman"/>
                <w:szCs w:val="24"/>
              </w:rPr>
            </w:pPr>
            <w:r w:rsidRPr="00DB39CF">
              <w:rPr>
                <w:rFonts w:cs="Times New Roman"/>
                <w:szCs w:val="24"/>
              </w:rPr>
              <w:t xml:space="preserve">Ēnu ekonomikas īpatsvara samazināšana ir prioritārs uzdevums, kas ir svarīgs, lai nodrošinātu sabiedrības labklājības aizsardzību un  tautsaimniecības dinamisku attīstību. </w:t>
            </w:r>
          </w:p>
          <w:p w:rsidR="00126382" w:rsidRPr="00DB39CF" w:rsidRDefault="00126382" w:rsidP="00DB39CF">
            <w:pPr>
              <w:pStyle w:val="ListParagraph"/>
              <w:tabs>
                <w:tab w:val="left" w:pos="0"/>
              </w:tabs>
              <w:ind w:left="0"/>
              <w:jc w:val="both"/>
            </w:pPr>
            <w:r w:rsidRPr="00DB39CF">
              <w:t xml:space="preserve">Informācijas apmaiņas veicināšana starp valsts iestādēm un finanšu iestādēm ir priekšnosacījums tam, lai identificētu izvairīšanās no nodokļiem riskus un laicīgi tos novērstu. </w:t>
            </w:r>
          </w:p>
          <w:p w:rsidR="00EE778D" w:rsidRDefault="00126382" w:rsidP="00DB39CF">
            <w:pPr>
              <w:pStyle w:val="ListParagraph"/>
              <w:ind w:left="0"/>
              <w:jc w:val="both"/>
            </w:pPr>
            <w:r w:rsidRPr="00DB39CF">
              <w:t xml:space="preserve">Katru gadu </w:t>
            </w:r>
            <w:r w:rsidR="000C51DC">
              <w:t>Kontroles dienests</w:t>
            </w:r>
            <w:r w:rsidRPr="00DB39CF">
              <w:t xml:space="preserve"> sniedz ziņojumu par savas darbības rezultātiem un šajā ziņojumā kā galveno noziedzīgi iegūtu līdzekļu legalizācijas tipoloģiju norāda izvairīšanos no nodokļu nomaksas vai nodokļu krāpšanu. Saskaņā ar 2013.</w:t>
            </w:r>
            <w:r w:rsidR="00E45DB1">
              <w:t xml:space="preserve"> </w:t>
            </w:r>
            <w:r w:rsidRPr="00DB39CF">
              <w:t xml:space="preserve">gada ziņojumā minēto laika periodā no 2006.gada līdz 2013.gadam Kontroles dienests ir </w:t>
            </w:r>
            <w:r w:rsidRPr="00DB39CF">
              <w:lastRenderedPageBreak/>
              <w:t xml:space="preserve">nosūtījis tiesībaizsardzības iestādēm pavisam 1824 materiālus par iespējamu noziedzīgi iegūtu līdzekļu legalizāciju. No tiem 749 materiāli (41 %) nosūtīti Valsts ieņēmumu dienesta Finanšu policijas pārvaldei. </w:t>
            </w:r>
          </w:p>
          <w:p w:rsidR="00126382" w:rsidRPr="00DB39CF" w:rsidRDefault="00126382" w:rsidP="00DB39CF">
            <w:pPr>
              <w:pStyle w:val="ListParagraph"/>
              <w:ind w:left="0"/>
              <w:jc w:val="both"/>
            </w:pPr>
            <w:r w:rsidRPr="00DB39CF">
              <w:t>Saskaņā ar spēkā esošajiem normatīvajiem aktiem</w:t>
            </w:r>
            <w:r w:rsidR="00FC127F">
              <w:t xml:space="preserve"> </w:t>
            </w:r>
            <w:r w:rsidRPr="00DB39CF">
              <w:t xml:space="preserve">VID var saņemt informāciju no Kontroles dienesta, kurš ir Latvijas finanšu izlūkošanas vienība (turpmāk – </w:t>
            </w:r>
            <w:r w:rsidRPr="00DB39CF">
              <w:rPr>
                <w:iCs/>
              </w:rPr>
              <w:t>FIV)</w:t>
            </w:r>
            <w:r w:rsidRPr="00DB39CF">
              <w:t>, un kredītiestādēm tikai pēc pieprasījuma par konkrētu personu, ja ir izpildīti normatīvajos aktos noteiktie nosacījumi, t.i., VID ir konstatējis</w:t>
            </w:r>
            <w:r w:rsidR="00217EBA">
              <w:t xml:space="preserve"> riskus, kas norāda uz iespējamo</w:t>
            </w:r>
            <w:r w:rsidRPr="00DB39CF">
              <w:t xml:space="preserve"> pārkāpumu</w:t>
            </w:r>
            <w:r w:rsidR="00217EBA">
              <w:t xml:space="preserve"> valsts ieņēmumu jomā.</w:t>
            </w:r>
            <w:r w:rsidRPr="00DB39CF">
              <w:t xml:space="preserve"> Tā saskaņā ar </w:t>
            </w:r>
            <w:r w:rsidR="00FC127F" w:rsidRPr="00225B51">
              <w:t xml:space="preserve"> Noziedzīgi iegūtu līdzekļu legalizācijas un terorisma finansēšanas novēršanas likuma (turpmāk – Likums)</w:t>
            </w:r>
            <w:r w:rsidR="00FC127F">
              <w:t xml:space="preserve"> </w:t>
            </w:r>
            <w:r w:rsidRPr="00DB39CF">
              <w:t xml:space="preserve">56.panta otro daļu Kontroles dienests pēc VID pieprasījuma sniedz normatīvajos aktos paredzēto valsts amatpersonu deklarāciju, kā arī citu likumos paredzēto fizisko personu deklarāciju pārbaudei nepieciešamo tā rīcībā esošo informāciju, ja ir pamatotas aizdomas, ka šīs personas deklarācijā norādījušas nepatiesas ziņas par savu mantisko stāvokli vai ienākumiem, savukārt atbilstoši Kredītiestāžu likuma 63.panta pirmās daļas 11.punktā noteiktajam kredītiestāde ziņas VID sniedz, ja nodokļu maksātājs neiesniedz nodokļu administrācijai konkrēto nodokļu likumos paredzētās deklarācijas vai nodokļu aprēķinus, tā nodokļu audita laikā ir konstatēti grāmatvedības uzskaites vai nodokļu normatīvo aktu pārkāpumi vai tas neveic nodokļu maksājumus atbilstoši nodokļu likumu prasībām. Turklāt ziņu pieprasīšana atbilstoši Kredītiestāžu likuma 63.panta trešās daļas 1.punktā noteiktajam ir iespējama, ja ziņas nevar iegūt no paša nodokļu maksātāja vai nodokļu maksātāja iesniegtās ziņas nav patiesas. Informācijas saņemšana tikai pēc konkrēta pieprasījuma neļauj savlaicīgi konstatēt nodokļu maksāšanas pārkāpējus, piemēram, nodokļu kontroles pārbaudes procesā nereti atklājas, ka banku kontu informācija būtiski atšķiras no nodokļu maksātāju VID iesniegtās informācijas deklarācijās un pārskatos. Ņemot vērā, ka aizdomīga un neparasta naudas plūsma ir ļoti būtiska riska informācija, lai atklātu izvairīšanos no nodokļu nomaksas, kā arī noziedzīgi nodarījumi, kas saistīti ar nodokļu nomaksu, ir vieni no izplatītākajiem predikatīviem nodarījumiem noziedzīgi iegūtu līdzekļu legalizācijas gadījumos, VID jāsaņem informācija par </w:t>
            </w:r>
            <w:r w:rsidR="000F5A74">
              <w:t xml:space="preserve">aizdomīgiem un </w:t>
            </w:r>
            <w:r w:rsidRPr="00DB39CF">
              <w:t>neparastiem darījumiem, kas attiecināma uz VID kompetenci.</w:t>
            </w:r>
          </w:p>
          <w:p w:rsidR="00126382" w:rsidRPr="00DB39CF" w:rsidRDefault="00126382" w:rsidP="00DB39CF">
            <w:pPr>
              <w:jc w:val="both"/>
              <w:rPr>
                <w:rFonts w:cs="Times New Roman"/>
                <w:szCs w:val="24"/>
              </w:rPr>
            </w:pPr>
            <w:r w:rsidRPr="00DB39CF">
              <w:rPr>
                <w:rFonts w:cs="Times New Roman"/>
                <w:szCs w:val="24"/>
              </w:rPr>
              <w:t xml:space="preserve">Ņemot vērā spēkā esošo </w:t>
            </w:r>
            <w:r w:rsidR="00412362">
              <w:rPr>
                <w:rFonts w:cs="Times New Roman"/>
                <w:szCs w:val="24"/>
              </w:rPr>
              <w:t>Likuma</w:t>
            </w:r>
            <w:r w:rsidRPr="00DB39CF">
              <w:rPr>
                <w:rFonts w:cs="Times New Roman"/>
                <w:szCs w:val="24"/>
              </w:rPr>
              <w:t xml:space="preserve"> 56.panta otrās daļas regulējumu, Kontroles dienestam jau šobrīd ir pienākums sniegt informāciju pēc pieprasījuma VID, ja VID nodokļu administrēšanas procesa ietvaros (administratīvā procesa ietvaros) konstatē neatbilstības iesniegtajās nodokļu deklarācijās. Tas nozīmē, ka likumdevējs  ir </w:t>
            </w:r>
            <w:proofErr w:type="spellStart"/>
            <w:r w:rsidRPr="00DB39CF">
              <w:rPr>
                <w:rFonts w:cs="Times New Roman"/>
                <w:szCs w:val="24"/>
              </w:rPr>
              <w:t>prezumējis</w:t>
            </w:r>
            <w:proofErr w:type="spellEnd"/>
            <w:r w:rsidRPr="00DB39CF">
              <w:rPr>
                <w:rFonts w:cs="Times New Roman"/>
                <w:szCs w:val="24"/>
              </w:rPr>
              <w:t xml:space="preserve">, ka informācijas sniegšana nodokļu administrēšanas vajadzībām nepārsniedz </w:t>
            </w:r>
            <w:r w:rsidR="00412362">
              <w:rPr>
                <w:rFonts w:cs="Times New Roman"/>
                <w:szCs w:val="24"/>
              </w:rPr>
              <w:t>Likuma</w:t>
            </w:r>
            <w:r w:rsidRPr="00DB39CF">
              <w:rPr>
                <w:rFonts w:cs="Times New Roman"/>
                <w:szCs w:val="24"/>
              </w:rPr>
              <w:t xml:space="preserve"> 2.pantā noteikto mērķi  - novērst noziedzīgi iegūtu līdzekļu legalizāciju, jo, saņemot informāciju no </w:t>
            </w:r>
            <w:r w:rsidRPr="00DB39CF">
              <w:rPr>
                <w:rFonts w:cs="Times New Roman"/>
                <w:szCs w:val="24"/>
              </w:rPr>
              <w:lastRenderedPageBreak/>
              <w:t xml:space="preserve">Kontroles dienesta, nodokļu administrācija pārbaudes rezultātā var secināt, ka konkrētā nodokļu maksātāja darbības vai bezdarbības rezultātā ir gūti nelegāli ienākumi apmērā, kas atbilst noziedzīgā nodarījuma noteiktajam slieksnim. </w:t>
            </w:r>
          </w:p>
          <w:p w:rsidR="00126382" w:rsidRPr="00DB39CF" w:rsidRDefault="006E5271" w:rsidP="00DB39CF">
            <w:pPr>
              <w:autoSpaceDE w:val="0"/>
              <w:autoSpaceDN w:val="0"/>
              <w:adjustRightInd w:val="0"/>
              <w:jc w:val="both"/>
              <w:rPr>
                <w:rFonts w:cs="Times New Roman"/>
                <w:szCs w:val="24"/>
              </w:rPr>
            </w:pPr>
            <w:r>
              <w:rPr>
                <w:rFonts w:cs="Times New Roman"/>
                <w:szCs w:val="24"/>
              </w:rPr>
              <w:t>Ja</w:t>
            </w:r>
            <w:r w:rsidR="00126382" w:rsidRPr="00DB39CF">
              <w:rPr>
                <w:rFonts w:cs="Times New Roman"/>
                <w:szCs w:val="24"/>
              </w:rPr>
              <w:t xml:space="preserve"> VID rīcībā būtu informācija par kredītiestāžu sniegtajiem </w:t>
            </w:r>
            <w:r w:rsidR="000F5A74">
              <w:rPr>
                <w:rFonts w:cs="Times New Roman"/>
                <w:szCs w:val="24"/>
              </w:rPr>
              <w:t xml:space="preserve">aizdomīgo un </w:t>
            </w:r>
            <w:r w:rsidR="00126382" w:rsidRPr="00DB39CF">
              <w:rPr>
                <w:rFonts w:cs="Times New Roman"/>
                <w:szCs w:val="24"/>
              </w:rPr>
              <w:t>neparasto darījumu ziņojumiem, VID to varētu izmantot, lai:</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 savlaicīgi, t.i., jau riska analīzes procesā, konstatētu tās personas,</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kurām pastāv visaugstākais risks, ka nodokļi nav samaksāti pilnā apmērā, īpaši tādas, kuras veido savstarpējo darījumu shēmas, lai samazinātu budžetā maksājamo pievienotās vērtības nodokli vai izkrāptu to no budžeta, vai slēpj patiesos ienākumus, t.sk. arī iegūstot naudas līdzekļus “aplokšņu” algu</w:t>
            </w:r>
            <w:r w:rsidR="00540FF4">
              <w:rPr>
                <w:rFonts w:cs="Times New Roman"/>
                <w:szCs w:val="24"/>
              </w:rPr>
              <w:t xml:space="preserve"> </w:t>
            </w:r>
            <w:r w:rsidRPr="00DB39CF">
              <w:rPr>
                <w:rFonts w:cs="Times New Roman"/>
                <w:szCs w:val="24"/>
              </w:rPr>
              <w:t>izmaksām u.c.;</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 precīzāk noteiktu tās fiziskās personas, kuras gūst nedeklarētus ienākumus, kā rezultātā nodokļi budžetā netiek maksāti pilnā apmērā. Šobrīd personas, kuru izdevumi pārsniedz deklarētos ienākumus, var identificēt, tikai izmantojot VID rīcībā esošo informāciju no valsts reģistriem par personas veiktajiem salīdzinoši lieliem darījumiem (piemēram, nekustamā īpašuma iegādi vai transportlīdzekļu pirkumiem). Tādējādi, ja VID rīcībā būtu minētā informācija:</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 tas būtu informācijas avots, kas palīdzētu izvērtēt fizisko personu reāli saņemto ienākumu apjomu un juridisko personu patieso apgrozījumu un veikto darījumu apjomu;</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 VID varētu mērķtiecīgi veikt preventīvos pasākumus, piemēram, aicinot nodokļu maksātājus deklarēt ienākumus, ja tie nav deklarēti pilnā apmērā;</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 VID efektīvāk varētu plānot nodokļu kontroles pasākumus personām, kurām, ņemot vērā Kontroles dienesta un kredītiestāžu sniegto informāciju, konstatēts lielākais risks, ka nodokļi nav deklarēti pilnā apmērā;</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 tiktu sekmēta noziedzīgu nodarījumu valsts ieņēmumu jomā atklāšana un novēršana, īpaši attiecībā uz organizētās noziedzības pretlikumīgo darbību valsts ieņēmumu jomā.</w:t>
            </w:r>
          </w:p>
          <w:p w:rsidR="00126382" w:rsidRPr="00DB39CF" w:rsidRDefault="00126382" w:rsidP="00DB39CF">
            <w:pPr>
              <w:pStyle w:val="ListParagraph"/>
              <w:ind w:left="0"/>
              <w:jc w:val="both"/>
            </w:pPr>
            <w:r w:rsidRPr="00DB39CF">
              <w:t>Šādas prakses pastāvēšana preventīvi sniegs pozitīvu iespaidu uz nodokļu maksātāju attieksmi pret nodokļu nomaksu, t.i., zinot, ka informācija par veiktajiem darījumu apjomiem var nonākt VID rīcībā, tiks uzlabota nodokļu maksātāju nodokļu deklarēšanas un nomaksas disciplīna.</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Ņemot vērā minēto ir nepieciešama informācijas apmaiņas procesa uzlabošana starp VID un Kontroles dienestu, paredzot Kontroles dienesta pienākumu nodot VID rīcībā no kredītiestādēm saņ</w:t>
            </w:r>
            <w:r w:rsidR="00412362">
              <w:rPr>
                <w:rFonts w:cs="Times New Roman"/>
                <w:szCs w:val="24"/>
              </w:rPr>
              <w:t xml:space="preserve">emto informāciju par </w:t>
            </w:r>
            <w:r w:rsidR="00DF19F7">
              <w:rPr>
                <w:rFonts w:cs="Times New Roman"/>
                <w:szCs w:val="24"/>
              </w:rPr>
              <w:t xml:space="preserve">aizdomīgu un </w:t>
            </w:r>
            <w:r w:rsidR="00412362">
              <w:rPr>
                <w:rFonts w:cs="Times New Roman"/>
                <w:szCs w:val="24"/>
              </w:rPr>
              <w:t>neparastu darījumu ziņojumiem</w:t>
            </w:r>
            <w:r w:rsidRPr="00DB39CF">
              <w:rPr>
                <w:rFonts w:cs="Times New Roman"/>
                <w:szCs w:val="24"/>
              </w:rPr>
              <w:t xml:space="preserve"> izmantošanai nodokļu administrēšanā un </w:t>
            </w:r>
            <w:r w:rsidR="00D35187">
              <w:rPr>
                <w:rFonts w:cs="Times New Roman"/>
                <w:szCs w:val="24"/>
              </w:rPr>
              <w:t xml:space="preserve">tādējādi arī </w:t>
            </w:r>
            <w:r w:rsidRPr="00DB39CF">
              <w:rPr>
                <w:rFonts w:cs="Times New Roman"/>
                <w:szCs w:val="24"/>
              </w:rPr>
              <w:t xml:space="preserve">noziedzīgu nodarījumu tautsaimniecībā atklāšanā un novēršanā. </w:t>
            </w:r>
          </w:p>
          <w:p w:rsidR="00126382" w:rsidRDefault="00412362" w:rsidP="00412362">
            <w:pPr>
              <w:jc w:val="both"/>
            </w:pPr>
            <w:r>
              <w:t>Starptautiskā prakse.</w:t>
            </w:r>
          </w:p>
          <w:p w:rsidR="00126382" w:rsidRPr="00DB39CF" w:rsidRDefault="00412362" w:rsidP="00DB39CF">
            <w:pPr>
              <w:pStyle w:val="ListParagraph"/>
              <w:ind w:left="0"/>
              <w:jc w:val="both"/>
            </w:pPr>
            <w:r w:rsidRPr="00DB39CF">
              <w:t xml:space="preserve">Eiropas Parlamenta un Padomes 2005.gada 26.oktobra Direktīvas 2005/60/EK par to, lai nepieļautu finanšu sistēmas izmantošanu </w:t>
            </w:r>
            <w:r w:rsidRPr="00DB39CF">
              <w:lastRenderedPageBreak/>
              <w:t xml:space="preserve">nelikumīgi iegūtu līdzekļu legalizēšanai un teroristu finansēšanai (turpmāk – Direktīva) </w:t>
            </w:r>
            <w:r>
              <w:t>1. panta otrā daļa paredz:  š</w:t>
            </w:r>
            <w:r w:rsidRPr="00DB39CF">
              <w:t>ajā direktīvā par nelikumīgi iegūtu līdzekļu legalizēšanu tiek uzskatīts turpmāk norādītais, ja izdarīts ar nodomu:</w:t>
            </w:r>
          </w:p>
          <w:p w:rsidR="00126382" w:rsidRPr="00DB39CF" w:rsidRDefault="00126382" w:rsidP="00DB39CF">
            <w:pPr>
              <w:pStyle w:val="ListParagraph"/>
              <w:numPr>
                <w:ilvl w:val="0"/>
                <w:numId w:val="1"/>
              </w:numPr>
              <w:jc w:val="both"/>
            </w:pPr>
            <w:r w:rsidRPr="00DB39CF">
              <w:t>īpašuma konversija vai nodošana, zinot, ka šāds īpašums ir iegūts ar noziedzīgu darbību vai piedaloties šādā darbībā, lai slēptu vai maskētu šā īpašuma nelikumīgo izcelsmi, vai palīdzētu jebkurai personai, kas ir iesaistīta šādas darbības pasūtīšanā, izvairīties no savas rīcības juridiskajām sekām;</w:t>
            </w:r>
          </w:p>
          <w:p w:rsidR="00126382" w:rsidRPr="00DB39CF" w:rsidRDefault="00126382" w:rsidP="00DB39CF">
            <w:pPr>
              <w:pStyle w:val="ListParagraph"/>
              <w:numPr>
                <w:ilvl w:val="0"/>
                <w:numId w:val="1"/>
              </w:numPr>
              <w:jc w:val="both"/>
            </w:pPr>
            <w:r w:rsidRPr="00DB39CF">
              <w:t>patiesās būtības, izcelsmes, atrašanās vietas, izvietojuma, aprites, tiesību noslēpšana vai maskēšana attiecībā uz īpašumu vai īpašuma piederības noslēpšana vai maskēšana, zinot, ka šāds īpašums iegūts noziedzīgā darbībā vai piedaloties šādā darbībā;</w:t>
            </w:r>
          </w:p>
          <w:p w:rsidR="00126382" w:rsidRPr="00DB39CF" w:rsidRDefault="00126382" w:rsidP="00DB39CF">
            <w:pPr>
              <w:pStyle w:val="ListParagraph"/>
              <w:numPr>
                <w:ilvl w:val="0"/>
                <w:numId w:val="1"/>
              </w:numPr>
              <w:jc w:val="both"/>
            </w:pPr>
            <w:r w:rsidRPr="00DB39CF">
              <w:t>īpašuma iegūšana, valdījums vai lietošana, zinot, ka saņemšanas laikā šāds īpašums iegūta noziedzīgā darbībā vai piedaloties šādā darbībā;</w:t>
            </w:r>
          </w:p>
          <w:p w:rsidR="00126382" w:rsidRPr="00DB39CF" w:rsidRDefault="00126382" w:rsidP="00DB39CF">
            <w:pPr>
              <w:pStyle w:val="ListParagraph"/>
              <w:numPr>
                <w:ilvl w:val="0"/>
                <w:numId w:val="1"/>
              </w:numPr>
              <w:jc w:val="both"/>
            </w:pPr>
            <w:r w:rsidRPr="00DB39CF">
              <w:t>īpašuma iegūšana, valdījums vai lietošana, zinot, ka saņemšanas laikā šāds īpašums iegūta noziedzīgā darbībā vai piedaloties šādā darbībā;</w:t>
            </w:r>
          </w:p>
          <w:p w:rsidR="00217EBA" w:rsidRPr="008B3131" w:rsidRDefault="008B3131" w:rsidP="009F586A">
            <w:pPr>
              <w:pStyle w:val="CommentText"/>
              <w:jc w:val="both"/>
              <w:rPr>
                <w:sz w:val="24"/>
                <w:szCs w:val="24"/>
              </w:rPr>
            </w:pPr>
            <w:r>
              <w:rPr>
                <w:sz w:val="24"/>
                <w:szCs w:val="24"/>
              </w:rPr>
              <w:t xml:space="preserve">Tādā rīcībā, kuras rezultāts ir </w:t>
            </w:r>
            <w:r w:rsidR="00126382" w:rsidRPr="00DB39CF">
              <w:rPr>
                <w:sz w:val="24"/>
                <w:szCs w:val="24"/>
              </w:rPr>
              <w:t xml:space="preserve">iepriekš minētajā uzskaitījumā </w:t>
            </w:r>
            <w:r w:rsidR="00412362">
              <w:rPr>
                <w:sz w:val="24"/>
                <w:szCs w:val="24"/>
              </w:rPr>
              <w:t>noteikt</w:t>
            </w:r>
            <w:r w:rsidR="00E45DB1">
              <w:rPr>
                <w:sz w:val="24"/>
                <w:szCs w:val="24"/>
              </w:rPr>
              <w:t>ās</w:t>
            </w:r>
            <w:r w:rsidR="00412362">
              <w:rPr>
                <w:sz w:val="24"/>
                <w:szCs w:val="24"/>
              </w:rPr>
              <w:t xml:space="preserve"> </w:t>
            </w:r>
            <w:r w:rsidR="00DC46D5">
              <w:rPr>
                <w:sz w:val="24"/>
                <w:szCs w:val="24"/>
              </w:rPr>
              <w:t>darbīb</w:t>
            </w:r>
            <w:r w:rsidR="00E45DB1">
              <w:rPr>
                <w:sz w:val="24"/>
                <w:szCs w:val="24"/>
              </w:rPr>
              <w:t>as</w:t>
            </w:r>
            <w:r>
              <w:rPr>
                <w:sz w:val="24"/>
                <w:szCs w:val="24"/>
              </w:rPr>
              <w:t>,</w:t>
            </w:r>
            <w:r w:rsidR="00DC46D5">
              <w:rPr>
                <w:sz w:val="24"/>
                <w:szCs w:val="24"/>
              </w:rPr>
              <w:t xml:space="preserve"> var  tikt saskatīts risks, kas</w:t>
            </w:r>
            <w:r w:rsidR="00126382" w:rsidRPr="00DB39CF">
              <w:rPr>
                <w:sz w:val="24"/>
                <w:szCs w:val="24"/>
              </w:rPr>
              <w:t xml:space="preserve"> var liecināt arī uz iespējamām prettiesiskām darbībām nodokļu jomā. </w:t>
            </w:r>
          </w:p>
          <w:p w:rsidR="00126382" w:rsidRPr="00DB39CF" w:rsidRDefault="00126382" w:rsidP="009F586A">
            <w:pPr>
              <w:pStyle w:val="CommentText"/>
              <w:jc w:val="both"/>
              <w:rPr>
                <w:sz w:val="24"/>
                <w:szCs w:val="24"/>
              </w:rPr>
            </w:pPr>
            <w:r w:rsidRPr="00DB39CF">
              <w:rPr>
                <w:sz w:val="24"/>
                <w:szCs w:val="24"/>
              </w:rPr>
              <w:t xml:space="preserve">Direktīvas 21.panta otrā daļa paredz, ka </w:t>
            </w:r>
            <w:r w:rsidRPr="009F586A">
              <w:rPr>
                <w:rStyle w:val="italic1"/>
                <w:i w:val="0"/>
                <w:sz w:val="24"/>
                <w:szCs w:val="24"/>
              </w:rPr>
              <w:t>FIV</w:t>
            </w:r>
            <w:r w:rsidRPr="00DB39CF">
              <w:rPr>
                <w:rStyle w:val="italic1"/>
                <w:sz w:val="24"/>
                <w:szCs w:val="24"/>
              </w:rPr>
              <w:t xml:space="preserve"> </w:t>
            </w:r>
            <w:r w:rsidRPr="00DB39CF">
              <w:rPr>
                <w:sz w:val="24"/>
                <w:szCs w:val="24"/>
              </w:rPr>
              <w:t>izveido kā centralizētu valsts vienību. Tā atbild par tādas finanšu informācijas saņemšanu, (un, ciktāl tas atļauts, pieprasīšanu), analīzi un nodošanu kompetentām iestādēm, kura attiecas uz potenciāliem nelikumīgi iegūtu līdzekļu legalizēšanas gadījumiem, potenciāliem teroristu finansēšanas gadījumiem vai kuru pieprasa valsts tiesību akti vai noteikumi. Tai piešķir pietiekamus līdzekļus, lai tā varētu pildīt savus uzdevumus.</w:t>
            </w:r>
          </w:p>
          <w:p w:rsidR="00126382" w:rsidRPr="00DB39CF" w:rsidRDefault="00126382" w:rsidP="009F586A">
            <w:pPr>
              <w:pStyle w:val="CommentText"/>
              <w:jc w:val="both"/>
              <w:rPr>
                <w:sz w:val="24"/>
                <w:szCs w:val="24"/>
              </w:rPr>
            </w:pPr>
            <w:r w:rsidRPr="009F586A">
              <w:rPr>
                <w:sz w:val="24"/>
                <w:szCs w:val="24"/>
              </w:rPr>
              <w:t xml:space="preserve">Līdz ar to Direktīva paredz </w:t>
            </w:r>
            <w:r w:rsidR="001E6136">
              <w:rPr>
                <w:sz w:val="24"/>
                <w:szCs w:val="24"/>
              </w:rPr>
              <w:t>FIV rīcībā esošas informācijas</w:t>
            </w:r>
            <w:r w:rsidRPr="009F586A">
              <w:rPr>
                <w:sz w:val="24"/>
                <w:szCs w:val="24"/>
              </w:rPr>
              <w:t xml:space="preserve"> nodošanas iespēju kompetentai institūcijai. Ņemot vērā, ka</w:t>
            </w:r>
            <w:r w:rsidR="009F586A">
              <w:rPr>
                <w:sz w:val="24"/>
                <w:szCs w:val="24"/>
              </w:rPr>
              <w:t xml:space="preserve"> </w:t>
            </w:r>
            <w:r w:rsidR="004234C9">
              <w:rPr>
                <w:sz w:val="24"/>
                <w:szCs w:val="24"/>
              </w:rPr>
              <w:t xml:space="preserve">aizdomīgu un </w:t>
            </w:r>
            <w:r w:rsidR="009F586A">
              <w:rPr>
                <w:sz w:val="24"/>
                <w:szCs w:val="24"/>
              </w:rPr>
              <w:t>neparastu darījumu ziņojumu analīze</w:t>
            </w:r>
            <w:r w:rsidR="001E6136">
              <w:rPr>
                <w:sz w:val="24"/>
                <w:szCs w:val="24"/>
              </w:rPr>
              <w:t>s</w:t>
            </w:r>
            <w:r w:rsidRPr="009F586A">
              <w:rPr>
                <w:sz w:val="24"/>
                <w:szCs w:val="24"/>
              </w:rPr>
              <w:t xml:space="preserve"> VID rezultāts būs </w:t>
            </w:r>
            <w:r w:rsidR="009F586A">
              <w:rPr>
                <w:sz w:val="24"/>
                <w:szCs w:val="24"/>
              </w:rPr>
              <w:t>prettiesiskas rīcības</w:t>
            </w:r>
            <w:r w:rsidRPr="00DB39CF">
              <w:rPr>
                <w:sz w:val="24"/>
                <w:szCs w:val="24"/>
              </w:rPr>
              <w:t xml:space="preserve"> valsts ieņēmumu jomā atklāšana un novēršana, ar šo tiks realizēts Direktīvas mērķis - novērst finanšu sistēmas izmantošanu nelikumīgi iegūtu līdzekļu legalizēšanai un teroristu finansēšanai. </w:t>
            </w:r>
          </w:p>
          <w:p w:rsidR="0056277C" w:rsidRDefault="00126382" w:rsidP="00DB39CF">
            <w:pPr>
              <w:pStyle w:val="ListParagraph"/>
              <w:ind w:left="0"/>
              <w:jc w:val="both"/>
            </w:pPr>
            <w:r w:rsidRPr="00DB39CF">
              <w:t xml:space="preserve">Viena no Ekonomiskās sadarbības un attīstības organizācijas (turpmāk - </w:t>
            </w:r>
            <w:r w:rsidRPr="00DB39CF">
              <w:rPr>
                <w:i/>
              </w:rPr>
              <w:t>OECD</w:t>
            </w:r>
            <w:r w:rsidRPr="00DB39CF">
              <w:t xml:space="preserve">) </w:t>
            </w:r>
            <w:proofErr w:type="spellStart"/>
            <w:r w:rsidRPr="00DB39CF">
              <w:t>pamatatsaucēm</w:t>
            </w:r>
            <w:proofErr w:type="spellEnd"/>
            <w:r w:rsidRPr="00DB39CF">
              <w:t>,</w:t>
            </w:r>
            <w:r w:rsidR="001E6136">
              <w:t xml:space="preserve"> kas pausta</w:t>
            </w:r>
            <w:r w:rsidRPr="00DB39CF">
              <w:t xml:space="preserve"> 20</w:t>
            </w:r>
            <w:r w:rsidR="00E32C67">
              <w:t>12. gada 14-15. jūnija  ziņojuma</w:t>
            </w:r>
            <w:r w:rsidRPr="00DB39CF">
              <w:t xml:space="preserve"> (turpmāk – Romas ziņojums)</w:t>
            </w:r>
            <w:r w:rsidR="00E32C67">
              <w:t xml:space="preserve"> 18. lpp.</w:t>
            </w:r>
            <w:r w:rsidRPr="00DB39CF">
              <w:t xml:space="preserve"> un 2013. gada 7. novembra ziņojum</w:t>
            </w:r>
            <w:r w:rsidR="00E32C67">
              <w:t>a</w:t>
            </w:r>
            <w:r w:rsidRPr="00DB39CF">
              <w:t xml:space="preserve"> (turpmāk – Ziņojuma 2. izdevums)</w:t>
            </w:r>
            <w:r w:rsidR="00197A3F">
              <w:t xml:space="preserve"> 26.lpp.</w:t>
            </w:r>
            <w:r w:rsidRPr="00DB39CF">
              <w:t xml:space="preserve"> ir  </w:t>
            </w:r>
            <w:r w:rsidRPr="00BB5E8B">
              <w:t>uzlabot sadarbību starp nodokļu un FIV dienestiem.</w:t>
            </w:r>
            <w:r w:rsidR="0056277C">
              <w:t xml:space="preserve"> Tā Ziņojuma 2. izdevumā</w:t>
            </w:r>
            <w:r w:rsidR="00D41AA5">
              <w:t xml:space="preserve"> (28.lpp)</w:t>
            </w:r>
            <w:r w:rsidR="0056277C">
              <w:t xml:space="preserve"> tiek norādīts, ka valstīm tiek rekomendēts </w:t>
            </w:r>
            <w:r w:rsidR="00CE4285">
              <w:t xml:space="preserve">1. </w:t>
            </w:r>
            <w:r w:rsidR="0056277C">
              <w:t>pārskatīt to informācijas apmaiņas modeļus starp dažādām institūcijām, jo īpaši attiecībā uz:</w:t>
            </w:r>
          </w:p>
          <w:p w:rsidR="0056277C" w:rsidRDefault="0056277C" w:rsidP="0056277C">
            <w:pPr>
              <w:pStyle w:val="ListParagraph"/>
              <w:numPr>
                <w:ilvl w:val="0"/>
                <w:numId w:val="4"/>
              </w:numPr>
              <w:jc w:val="both"/>
            </w:pPr>
            <w:r>
              <w:t>nodokļu administrācijas spēju dalīties ar informāciju ar tādām institūcijām kā policija un FIV;</w:t>
            </w:r>
          </w:p>
          <w:p w:rsidR="0056277C" w:rsidRDefault="0056277C" w:rsidP="0056277C">
            <w:pPr>
              <w:pStyle w:val="ListParagraph"/>
              <w:numPr>
                <w:ilvl w:val="0"/>
                <w:numId w:val="4"/>
              </w:numPr>
              <w:jc w:val="both"/>
            </w:pPr>
            <w:r>
              <w:lastRenderedPageBreak/>
              <w:t xml:space="preserve">nodokļu administrācijas ziņošanas pienākuma ieviešanu attiecīgajām </w:t>
            </w:r>
            <w:proofErr w:type="spellStart"/>
            <w:r>
              <w:t>tiesībsargājošām</w:t>
            </w:r>
            <w:proofErr w:type="spellEnd"/>
            <w:r>
              <w:t xml:space="preserve"> iestādēm vai FIV</w:t>
            </w:r>
            <w:r w:rsidR="00CE4285">
              <w:t xml:space="preserve"> par pierādījumiem nopietniem noziegumiem, aizdomām noziedzīgi iegūtu līdzekļu legalizācijas vai terorisma finansēšanas aktivitātēm un dalīties ar informāciju, kas attiecas uz izmeklēšanu par šiem noziegumiem un aktivitātēm; un</w:t>
            </w:r>
          </w:p>
          <w:p w:rsidR="00CE4285" w:rsidRDefault="00CE4285" w:rsidP="0056277C">
            <w:pPr>
              <w:pStyle w:val="ListParagraph"/>
              <w:numPr>
                <w:ilvl w:val="0"/>
                <w:numId w:val="4"/>
              </w:numPr>
              <w:jc w:val="both"/>
            </w:pPr>
            <w:r>
              <w:t>ikvienas institūcijas spēju, kuras rīcībā ir informācija, kas attiecināma uz nodokļu administrēšanu un nodokļu iekasēšanu, darīt informāciju pieejamu nodokļu administrēšanas institūcijai.</w:t>
            </w:r>
          </w:p>
          <w:p w:rsidR="00CE4285" w:rsidRPr="0052432E" w:rsidRDefault="00CE4285" w:rsidP="004E175E">
            <w:pPr>
              <w:jc w:val="both"/>
              <w:rPr>
                <w:rFonts w:cs="Times New Roman"/>
                <w:szCs w:val="24"/>
              </w:rPr>
            </w:pPr>
            <w:r w:rsidRPr="0052432E">
              <w:t xml:space="preserve">2. </w:t>
            </w:r>
            <w:r w:rsidRPr="0052432E">
              <w:rPr>
                <w:rFonts w:ascii="Arial" w:hAnsi="Arial" w:cs="Arial"/>
              </w:rPr>
              <w:t xml:space="preserve"> </w:t>
            </w:r>
            <w:r w:rsidRPr="0052432E">
              <w:rPr>
                <w:rStyle w:val="hps"/>
                <w:rFonts w:cs="Times New Roman"/>
                <w:szCs w:val="24"/>
              </w:rPr>
              <w:t>Pārskatīt šajā ziņojumā aprakstītos  ciešākas</w:t>
            </w:r>
            <w:r w:rsidRPr="0052432E">
              <w:rPr>
                <w:rFonts w:cs="Times New Roman"/>
                <w:szCs w:val="24"/>
              </w:rPr>
              <w:t xml:space="preserve"> </w:t>
            </w:r>
            <w:r w:rsidRPr="0052432E">
              <w:rPr>
                <w:rStyle w:val="hps"/>
                <w:rFonts w:cs="Times New Roman"/>
                <w:szCs w:val="24"/>
              </w:rPr>
              <w:t>sadarbības modeļus</w:t>
            </w:r>
            <w:r w:rsidRPr="0052432E">
              <w:rPr>
                <w:rFonts w:cs="Times New Roman"/>
                <w:szCs w:val="24"/>
              </w:rPr>
              <w:t xml:space="preserve">, </w:t>
            </w:r>
            <w:r w:rsidRPr="0052432E">
              <w:rPr>
                <w:rStyle w:val="hps"/>
                <w:rFonts w:cs="Times New Roman"/>
                <w:szCs w:val="24"/>
              </w:rPr>
              <w:t>ar</w:t>
            </w:r>
            <w:r w:rsidRPr="0052432E">
              <w:rPr>
                <w:rFonts w:cs="Times New Roman"/>
                <w:szCs w:val="24"/>
              </w:rPr>
              <w:t xml:space="preserve"> </w:t>
            </w:r>
            <w:r w:rsidRPr="0052432E">
              <w:rPr>
                <w:rStyle w:val="hps"/>
                <w:rFonts w:cs="Times New Roman"/>
                <w:szCs w:val="24"/>
              </w:rPr>
              <w:t>mērķi tos iepazīt un ieviest</w:t>
            </w:r>
            <w:r w:rsidRPr="0052432E">
              <w:rPr>
                <w:rFonts w:cs="Times New Roman"/>
                <w:szCs w:val="24"/>
              </w:rPr>
              <w:t xml:space="preserve">, </w:t>
            </w:r>
            <w:r w:rsidRPr="0052432E">
              <w:rPr>
                <w:rStyle w:val="hps"/>
                <w:rFonts w:cs="Times New Roman"/>
                <w:szCs w:val="24"/>
              </w:rPr>
              <w:t>kā arī attīstīt</w:t>
            </w:r>
            <w:r w:rsidRPr="0052432E">
              <w:rPr>
                <w:rFonts w:cs="Times New Roman"/>
                <w:szCs w:val="24"/>
              </w:rPr>
              <w:t xml:space="preserve"> </w:t>
            </w:r>
            <w:r w:rsidRPr="0052432E">
              <w:rPr>
                <w:rStyle w:val="hps"/>
                <w:rFonts w:cs="Times New Roman"/>
                <w:szCs w:val="24"/>
              </w:rPr>
              <w:t>inovatīvus modeļus</w:t>
            </w:r>
            <w:r w:rsidRPr="0052432E">
              <w:rPr>
                <w:rFonts w:cs="Times New Roman"/>
                <w:szCs w:val="24"/>
              </w:rPr>
              <w:t xml:space="preserve">, </w:t>
            </w:r>
            <w:r w:rsidR="00DC03FE" w:rsidRPr="0052432E">
              <w:rPr>
                <w:rFonts w:cs="Times New Roman"/>
                <w:szCs w:val="24"/>
              </w:rPr>
              <w:t>kuru pamatā</w:t>
            </w:r>
            <w:r w:rsidRPr="0052432E">
              <w:rPr>
                <w:rFonts w:cs="Times New Roman"/>
                <w:szCs w:val="24"/>
              </w:rPr>
              <w:t xml:space="preserve"> </w:t>
            </w:r>
            <w:r w:rsidR="00DC03FE" w:rsidRPr="0052432E">
              <w:rPr>
                <w:rFonts w:cs="Times New Roman"/>
                <w:szCs w:val="24"/>
              </w:rPr>
              <w:t xml:space="preserve">noteiktas </w:t>
            </w:r>
            <w:r w:rsidR="00DC03FE" w:rsidRPr="0052432E">
              <w:rPr>
                <w:rStyle w:val="hps"/>
                <w:rFonts w:cs="Times New Roman"/>
                <w:szCs w:val="24"/>
              </w:rPr>
              <w:t>īpašas vajadzības</w:t>
            </w:r>
            <w:r w:rsidRPr="0052432E">
              <w:rPr>
                <w:rFonts w:cs="Times New Roman"/>
                <w:szCs w:val="24"/>
              </w:rPr>
              <w:t xml:space="preserve">, </w:t>
            </w:r>
            <w:r w:rsidR="00DC03FE" w:rsidRPr="0052432E">
              <w:rPr>
                <w:rStyle w:val="hps"/>
                <w:rFonts w:cs="Times New Roman"/>
                <w:szCs w:val="24"/>
              </w:rPr>
              <w:t>tiesiskais</w:t>
            </w:r>
            <w:r w:rsidRPr="0052432E">
              <w:rPr>
                <w:rStyle w:val="hps"/>
                <w:rFonts w:cs="Times New Roman"/>
                <w:szCs w:val="24"/>
              </w:rPr>
              <w:t xml:space="preserve"> regulējum</w:t>
            </w:r>
            <w:r w:rsidR="00DC03FE" w:rsidRPr="0052432E">
              <w:rPr>
                <w:rStyle w:val="hps"/>
                <w:rFonts w:cs="Times New Roman"/>
                <w:szCs w:val="24"/>
              </w:rPr>
              <w:t>s</w:t>
            </w:r>
            <w:r w:rsidRPr="0052432E">
              <w:rPr>
                <w:rFonts w:cs="Times New Roman"/>
                <w:szCs w:val="24"/>
              </w:rPr>
              <w:t xml:space="preserve"> </w:t>
            </w:r>
            <w:r w:rsidRPr="0052432E">
              <w:rPr>
                <w:rStyle w:val="hps"/>
                <w:rFonts w:cs="Times New Roman"/>
                <w:szCs w:val="24"/>
              </w:rPr>
              <w:t>un pieredz</w:t>
            </w:r>
            <w:r w:rsidR="00DC03FE" w:rsidRPr="0052432E">
              <w:rPr>
                <w:rStyle w:val="hps"/>
                <w:rFonts w:cs="Times New Roman"/>
                <w:szCs w:val="24"/>
              </w:rPr>
              <w:t>e</w:t>
            </w:r>
            <w:r w:rsidRPr="0052432E">
              <w:rPr>
                <w:rFonts w:cs="Times New Roman"/>
                <w:szCs w:val="24"/>
              </w:rPr>
              <w:t xml:space="preserve">. </w:t>
            </w:r>
            <w:r w:rsidRPr="0052432E">
              <w:rPr>
                <w:rStyle w:val="hps"/>
                <w:rFonts w:cs="Times New Roman"/>
                <w:szCs w:val="24"/>
              </w:rPr>
              <w:t>Būtu jāapsver arī</w:t>
            </w:r>
            <w:r w:rsidRPr="0052432E">
              <w:rPr>
                <w:rFonts w:cs="Times New Roman"/>
                <w:szCs w:val="24"/>
              </w:rPr>
              <w:t xml:space="preserve"> </w:t>
            </w:r>
            <w:r w:rsidR="00DC03FE" w:rsidRPr="0052432E">
              <w:rPr>
                <w:rStyle w:val="hps"/>
                <w:rFonts w:cs="Times New Roman"/>
                <w:szCs w:val="24"/>
              </w:rPr>
              <w:t>iespējas</w:t>
            </w:r>
            <w:r w:rsidRPr="0052432E">
              <w:rPr>
                <w:rStyle w:val="hps"/>
                <w:rFonts w:cs="Times New Roman"/>
                <w:szCs w:val="24"/>
              </w:rPr>
              <w:t>, kā</w:t>
            </w:r>
            <w:r w:rsidR="00DC03FE" w:rsidRPr="0052432E">
              <w:rPr>
                <w:rStyle w:val="hps"/>
                <w:rFonts w:cs="Times New Roman"/>
                <w:szCs w:val="24"/>
              </w:rPr>
              <w:t xml:space="preserve"> sadarbības</w:t>
            </w:r>
            <w:r w:rsidRPr="0052432E">
              <w:rPr>
                <w:rFonts w:cs="Times New Roman"/>
                <w:szCs w:val="24"/>
              </w:rPr>
              <w:t xml:space="preserve"> </w:t>
            </w:r>
            <w:r w:rsidR="00DC03FE" w:rsidRPr="0052432E">
              <w:rPr>
                <w:rStyle w:val="hps"/>
                <w:rFonts w:cs="Times New Roman"/>
                <w:szCs w:val="24"/>
              </w:rPr>
              <w:t>process</w:t>
            </w:r>
            <w:r w:rsidRPr="0052432E">
              <w:rPr>
                <w:rFonts w:cs="Times New Roman"/>
                <w:szCs w:val="24"/>
              </w:rPr>
              <w:t xml:space="preserve"> </w:t>
            </w:r>
            <w:r w:rsidRPr="0052432E">
              <w:rPr>
                <w:rStyle w:val="hps"/>
                <w:rFonts w:cs="Times New Roman"/>
                <w:szCs w:val="24"/>
              </w:rPr>
              <w:t>var</w:t>
            </w:r>
            <w:r w:rsidRPr="0052432E">
              <w:rPr>
                <w:rFonts w:cs="Times New Roman"/>
                <w:szCs w:val="24"/>
              </w:rPr>
              <w:t xml:space="preserve"> </w:t>
            </w:r>
            <w:r w:rsidR="00DC03FE" w:rsidRPr="0052432E">
              <w:rPr>
                <w:rFonts w:cs="Times New Roman"/>
                <w:szCs w:val="24"/>
              </w:rPr>
              <w:t xml:space="preserve">tikt </w:t>
            </w:r>
            <w:r w:rsidRPr="0052432E">
              <w:rPr>
                <w:rStyle w:val="hps"/>
                <w:rFonts w:cs="Times New Roman"/>
                <w:szCs w:val="24"/>
              </w:rPr>
              <w:t>padarīt</w:t>
            </w:r>
            <w:r w:rsidR="00DC03FE" w:rsidRPr="0052432E">
              <w:rPr>
                <w:rStyle w:val="hps"/>
                <w:rFonts w:cs="Times New Roman"/>
                <w:szCs w:val="24"/>
              </w:rPr>
              <w:t>s efektīvāks</w:t>
            </w:r>
            <w:r w:rsidRPr="0052432E">
              <w:rPr>
                <w:rFonts w:cs="Times New Roman"/>
                <w:szCs w:val="24"/>
              </w:rPr>
              <w:t xml:space="preserve"> </w:t>
            </w:r>
            <w:r w:rsidR="00DC03FE" w:rsidRPr="0052432E">
              <w:rPr>
                <w:rStyle w:val="hps"/>
                <w:rFonts w:cs="Times New Roman"/>
                <w:szCs w:val="24"/>
              </w:rPr>
              <w:t>esošā</w:t>
            </w:r>
            <w:r w:rsidRPr="0052432E">
              <w:rPr>
                <w:rStyle w:val="hps"/>
                <w:rFonts w:cs="Times New Roman"/>
                <w:szCs w:val="24"/>
              </w:rPr>
              <w:t xml:space="preserve"> </w:t>
            </w:r>
            <w:r w:rsidR="00DC03FE" w:rsidRPr="0052432E">
              <w:rPr>
                <w:rStyle w:val="hps"/>
                <w:rFonts w:cs="Times New Roman"/>
                <w:szCs w:val="24"/>
              </w:rPr>
              <w:t>regulējuma</w:t>
            </w:r>
            <w:r w:rsidRPr="0052432E">
              <w:rPr>
                <w:rStyle w:val="hps"/>
                <w:rFonts w:cs="Times New Roman"/>
                <w:szCs w:val="24"/>
              </w:rPr>
              <w:t xml:space="preserve"> ietvaros</w:t>
            </w:r>
            <w:r w:rsidRPr="0052432E">
              <w:rPr>
                <w:rFonts w:cs="Times New Roman"/>
                <w:szCs w:val="24"/>
              </w:rPr>
              <w:t xml:space="preserve">. </w:t>
            </w:r>
          </w:p>
          <w:p w:rsidR="00DC03FE" w:rsidRPr="0052432E" w:rsidRDefault="00DC03FE" w:rsidP="004E175E">
            <w:pPr>
              <w:jc w:val="both"/>
              <w:rPr>
                <w:rFonts w:cs="Times New Roman"/>
                <w:szCs w:val="24"/>
              </w:rPr>
            </w:pPr>
            <w:r w:rsidRPr="0052432E">
              <w:rPr>
                <w:rFonts w:cs="Times New Roman"/>
                <w:szCs w:val="24"/>
              </w:rPr>
              <w:t xml:space="preserve">3.  </w:t>
            </w:r>
            <w:r w:rsidRPr="0052432E">
              <w:rPr>
                <w:rStyle w:val="hps"/>
                <w:rFonts w:cs="Times New Roman"/>
                <w:szCs w:val="24"/>
              </w:rPr>
              <w:t>Pārskatīt</w:t>
            </w:r>
            <w:r w:rsidRPr="0052432E">
              <w:rPr>
                <w:rFonts w:cs="Times New Roman"/>
                <w:szCs w:val="24"/>
              </w:rPr>
              <w:t xml:space="preserve"> </w:t>
            </w:r>
            <w:r w:rsidRPr="0052432E">
              <w:rPr>
                <w:rStyle w:val="hps"/>
                <w:rFonts w:cs="Times New Roman"/>
                <w:szCs w:val="24"/>
              </w:rPr>
              <w:t>veiksmīgās</w:t>
            </w:r>
            <w:r w:rsidRPr="0052432E">
              <w:rPr>
                <w:rFonts w:cs="Times New Roman"/>
                <w:szCs w:val="24"/>
              </w:rPr>
              <w:t xml:space="preserve"> </w:t>
            </w:r>
            <w:r w:rsidRPr="0052432E">
              <w:rPr>
                <w:rStyle w:val="hps"/>
                <w:rFonts w:cs="Times New Roman"/>
                <w:szCs w:val="24"/>
              </w:rPr>
              <w:t>prakses piemērus, kas norādīti</w:t>
            </w:r>
            <w:r w:rsidRPr="0052432E">
              <w:rPr>
                <w:rFonts w:cs="Times New Roman"/>
                <w:szCs w:val="24"/>
              </w:rPr>
              <w:t xml:space="preserve"> </w:t>
            </w:r>
            <w:r w:rsidRPr="0052432E">
              <w:rPr>
                <w:rStyle w:val="hps"/>
                <w:rFonts w:cs="Times New Roman"/>
                <w:szCs w:val="24"/>
              </w:rPr>
              <w:t>šajā ziņojumā</w:t>
            </w:r>
            <w:r w:rsidRPr="0052432E">
              <w:rPr>
                <w:rFonts w:cs="Times New Roman"/>
                <w:szCs w:val="24"/>
              </w:rPr>
              <w:t xml:space="preserve">, </w:t>
            </w:r>
            <w:r w:rsidRPr="0052432E">
              <w:rPr>
                <w:rStyle w:val="hps"/>
                <w:rFonts w:cs="Times New Roman"/>
                <w:szCs w:val="24"/>
              </w:rPr>
              <w:t>ar</w:t>
            </w:r>
            <w:r w:rsidRPr="0052432E">
              <w:rPr>
                <w:rFonts w:cs="Times New Roman"/>
                <w:szCs w:val="24"/>
              </w:rPr>
              <w:t xml:space="preserve"> </w:t>
            </w:r>
            <w:r w:rsidRPr="0052432E">
              <w:rPr>
                <w:rStyle w:val="hps"/>
                <w:rFonts w:cs="Times New Roman"/>
                <w:szCs w:val="24"/>
              </w:rPr>
              <w:t>nolūku ieviest</w:t>
            </w:r>
            <w:r w:rsidRPr="0052432E">
              <w:rPr>
                <w:rFonts w:cs="Times New Roman"/>
                <w:szCs w:val="24"/>
              </w:rPr>
              <w:t xml:space="preserve"> </w:t>
            </w:r>
            <w:r w:rsidRPr="0052432E">
              <w:rPr>
                <w:rStyle w:val="hps"/>
                <w:rFonts w:cs="Times New Roman"/>
                <w:szCs w:val="24"/>
              </w:rPr>
              <w:t>līdzīgu praksi</w:t>
            </w:r>
            <w:r w:rsidRPr="0052432E">
              <w:rPr>
                <w:rFonts w:cs="Times New Roman"/>
                <w:szCs w:val="24"/>
              </w:rPr>
              <w:t>, kuras pamatā būtu  noteiktas</w:t>
            </w:r>
            <w:r w:rsidRPr="0052432E">
              <w:rPr>
                <w:rStyle w:val="hps"/>
                <w:rFonts w:cs="Times New Roman"/>
                <w:szCs w:val="24"/>
              </w:rPr>
              <w:t xml:space="preserve"> vajadzības</w:t>
            </w:r>
            <w:r w:rsidRPr="0052432E">
              <w:rPr>
                <w:rFonts w:cs="Times New Roman"/>
                <w:szCs w:val="24"/>
              </w:rPr>
              <w:t xml:space="preserve">, </w:t>
            </w:r>
            <w:r w:rsidRPr="0052432E">
              <w:rPr>
                <w:rStyle w:val="hps"/>
                <w:rFonts w:cs="Times New Roman"/>
                <w:szCs w:val="24"/>
              </w:rPr>
              <w:t>tiesiskais regulējums</w:t>
            </w:r>
            <w:r w:rsidRPr="0052432E">
              <w:rPr>
                <w:rFonts w:cs="Times New Roman"/>
                <w:szCs w:val="24"/>
              </w:rPr>
              <w:t xml:space="preserve"> </w:t>
            </w:r>
            <w:r w:rsidRPr="0052432E">
              <w:rPr>
                <w:rStyle w:val="hps"/>
                <w:rFonts w:cs="Times New Roman"/>
                <w:szCs w:val="24"/>
              </w:rPr>
              <w:t>un pieredze</w:t>
            </w:r>
            <w:r w:rsidRPr="0052432E">
              <w:rPr>
                <w:rFonts w:cs="Times New Roman"/>
                <w:szCs w:val="24"/>
              </w:rPr>
              <w:t xml:space="preserve">. </w:t>
            </w:r>
            <w:r w:rsidRPr="0052432E">
              <w:rPr>
                <w:rStyle w:val="hps"/>
                <w:rFonts w:cs="Times New Roman"/>
                <w:szCs w:val="24"/>
              </w:rPr>
              <w:t>Gadījumos, kad</w:t>
            </w:r>
            <w:r w:rsidRPr="0052432E">
              <w:rPr>
                <w:rFonts w:cs="Times New Roman"/>
                <w:szCs w:val="24"/>
              </w:rPr>
              <w:t xml:space="preserve"> </w:t>
            </w:r>
            <w:r w:rsidRPr="0052432E">
              <w:rPr>
                <w:rStyle w:val="hps"/>
                <w:rFonts w:cs="Times New Roman"/>
                <w:szCs w:val="24"/>
              </w:rPr>
              <w:t>noteiktā</w:t>
            </w:r>
            <w:r w:rsidRPr="0052432E">
              <w:rPr>
                <w:rFonts w:cs="Times New Roman"/>
                <w:szCs w:val="24"/>
              </w:rPr>
              <w:t xml:space="preserve"> </w:t>
            </w:r>
            <w:r w:rsidRPr="0052432E">
              <w:rPr>
                <w:rStyle w:val="hps"/>
                <w:rFonts w:cs="Times New Roman"/>
                <w:szCs w:val="24"/>
              </w:rPr>
              <w:t>prakse nav piemērojama</w:t>
            </w:r>
            <w:r w:rsidRPr="0052432E">
              <w:rPr>
                <w:rFonts w:cs="Times New Roman"/>
                <w:szCs w:val="24"/>
              </w:rPr>
              <w:t xml:space="preserve"> </w:t>
            </w:r>
            <w:r w:rsidRPr="0052432E">
              <w:rPr>
                <w:rStyle w:val="hps"/>
                <w:rFonts w:cs="Times New Roman"/>
                <w:szCs w:val="24"/>
              </w:rPr>
              <w:t>kādas</w:t>
            </w:r>
            <w:r w:rsidRPr="0052432E">
              <w:rPr>
                <w:rFonts w:cs="Times New Roman"/>
                <w:szCs w:val="24"/>
              </w:rPr>
              <w:t xml:space="preserve"> </w:t>
            </w:r>
            <w:r w:rsidRPr="0052432E">
              <w:rPr>
                <w:rStyle w:val="hps"/>
                <w:rFonts w:cs="Times New Roman"/>
                <w:szCs w:val="24"/>
              </w:rPr>
              <w:t>valsts vajadzību</w:t>
            </w:r>
            <w:r w:rsidRPr="0052432E">
              <w:rPr>
                <w:rFonts w:cs="Times New Roman"/>
                <w:szCs w:val="24"/>
              </w:rPr>
              <w:t xml:space="preserve">, </w:t>
            </w:r>
            <w:r w:rsidRPr="0052432E">
              <w:rPr>
                <w:rStyle w:val="hps"/>
                <w:rFonts w:cs="Times New Roman"/>
                <w:szCs w:val="24"/>
              </w:rPr>
              <w:t>tiesiskā regulējuma</w:t>
            </w:r>
            <w:r w:rsidRPr="0052432E">
              <w:rPr>
                <w:rFonts w:cs="Times New Roman"/>
                <w:szCs w:val="24"/>
              </w:rPr>
              <w:t xml:space="preserve"> </w:t>
            </w:r>
            <w:r w:rsidRPr="0052432E">
              <w:rPr>
                <w:rStyle w:val="hps"/>
                <w:rFonts w:cs="Times New Roman"/>
                <w:szCs w:val="24"/>
              </w:rPr>
              <w:t>vai</w:t>
            </w:r>
            <w:r w:rsidRPr="0052432E">
              <w:rPr>
                <w:rFonts w:cs="Times New Roman"/>
                <w:szCs w:val="24"/>
              </w:rPr>
              <w:t xml:space="preserve"> </w:t>
            </w:r>
            <w:r w:rsidRPr="0052432E">
              <w:rPr>
                <w:rStyle w:val="hps"/>
                <w:rFonts w:cs="Times New Roman"/>
                <w:szCs w:val="24"/>
              </w:rPr>
              <w:t>risku</w:t>
            </w:r>
            <w:r w:rsidRPr="0052432E">
              <w:rPr>
                <w:rFonts w:cs="Times New Roman"/>
                <w:szCs w:val="24"/>
              </w:rPr>
              <w:t xml:space="preserve">, kurus tā saskata, dēļ, </w:t>
            </w:r>
            <w:r w:rsidRPr="0052432E">
              <w:rPr>
                <w:rStyle w:val="hps"/>
                <w:rFonts w:cs="Times New Roman"/>
                <w:szCs w:val="24"/>
              </w:rPr>
              <w:t>vajadzētu</w:t>
            </w:r>
            <w:r w:rsidRPr="0052432E">
              <w:rPr>
                <w:rFonts w:cs="Times New Roman"/>
                <w:szCs w:val="24"/>
              </w:rPr>
              <w:t xml:space="preserve"> </w:t>
            </w:r>
            <w:r w:rsidRPr="0052432E">
              <w:rPr>
                <w:rStyle w:val="hps"/>
                <w:rFonts w:cs="Times New Roman"/>
                <w:szCs w:val="24"/>
              </w:rPr>
              <w:t>apsvērt alternatīvus</w:t>
            </w:r>
            <w:r w:rsidRPr="0052432E">
              <w:rPr>
                <w:rFonts w:cs="Times New Roman"/>
                <w:szCs w:val="24"/>
              </w:rPr>
              <w:t xml:space="preserve"> </w:t>
            </w:r>
            <w:r w:rsidRPr="0052432E">
              <w:rPr>
                <w:rStyle w:val="hps"/>
                <w:rFonts w:cs="Times New Roman"/>
                <w:szCs w:val="24"/>
              </w:rPr>
              <w:t>veidus, kā</w:t>
            </w:r>
            <w:r w:rsidRPr="0052432E">
              <w:rPr>
                <w:rFonts w:cs="Times New Roman"/>
                <w:szCs w:val="24"/>
              </w:rPr>
              <w:t xml:space="preserve"> </w:t>
            </w:r>
            <w:r w:rsidRPr="0052432E">
              <w:rPr>
                <w:rStyle w:val="hps"/>
                <w:rFonts w:cs="Times New Roman"/>
                <w:szCs w:val="24"/>
              </w:rPr>
              <w:t>var tikt sasniegti līdzīgi ieguvumi</w:t>
            </w:r>
            <w:r w:rsidRPr="0052432E">
              <w:rPr>
                <w:rFonts w:cs="Times New Roman"/>
                <w:szCs w:val="24"/>
              </w:rPr>
              <w:t>.</w:t>
            </w:r>
          </w:p>
          <w:p w:rsidR="00DC03FE" w:rsidRPr="0052432E" w:rsidRDefault="00DC03FE" w:rsidP="004E175E">
            <w:pPr>
              <w:jc w:val="both"/>
              <w:rPr>
                <w:rFonts w:cs="Times New Roman"/>
                <w:szCs w:val="24"/>
              </w:rPr>
            </w:pPr>
            <w:r w:rsidRPr="0052432E">
              <w:rPr>
                <w:rFonts w:cs="Times New Roman"/>
                <w:szCs w:val="24"/>
              </w:rPr>
              <w:t xml:space="preserve">4. </w:t>
            </w:r>
            <w:r w:rsidRPr="0052432E">
              <w:rPr>
                <w:rStyle w:val="hps"/>
                <w:rFonts w:cs="Times New Roman"/>
                <w:szCs w:val="24"/>
              </w:rPr>
              <w:t>Novērtēt nodokļu administrācijas tiesisko</w:t>
            </w:r>
            <w:r w:rsidRPr="0052432E">
              <w:rPr>
                <w:rFonts w:cs="Times New Roman"/>
                <w:szCs w:val="24"/>
              </w:rPr>
              <w:t xml:space="preserve"> </w:t>
            </w:r>
            <w:r w:rsidRPr="0052432E">
              <w:rPr>
                <w:rStyle w:val="hps"/>
                <w:rFonts w:cs="Times New Roman"/>
                <w:szCs w:val="24"/>
              </w:rPr>
              <w:t>un</w:t>
            </w:r>
            <w:r w:rsidRPr="0052432E">
              <w:rPr>
                <w:rFonts w:cs="Times New Roman"/>
                <w:szCs w:val="24"/>
              </w:rPr>
              <w:t xml:space="preserve"> </w:t>
            </w:r>
            <w:r w:rsidRPr="0052432E">
              <w:rPr>
                <w:rStyle w:val="hps"/>
                <w:rFonts w:cs="Times New Roman"/>
                <w:szCs w:val="24"/>
              </w:rPr>
              <w:t>praktisko</w:t>
            </w:r>
            <w:r w:rsidRPr="0052432E">
              <w:rPr>
                <w:rFonts w:cs="Times New Roman"/>
                <w:szCs w:val="24"/>
              </w:rPr>
              <w:t xml:space="preserve"> </w:t>
            </w:r>
            <w:r w:rsidRPr="0052432E">
              <w:rPr>
                <w:rStyle w:val="hps"/>
                <w:rFonts w:cs="Times New Roman"/>
                <w:szCs w:val="24"/>
              </w:rPr>
              <w:t>spēju</w:t>
            </w:r>
            <w:r w:rsidRPr="0052432E">
              <w:rPr>
                <w:rFonts w:cs="Times New Roman"/>
                <w:szCs w:val="24"/>
              </w:rPr>
              <w:t xml:space="preserve"> būt </w:t>
            </w:r>
            <w:r w:rsidRPr="0052432E">
              <w:rPr>
                <w:rStyle w:val="hps"/>
                <w:rFonts w:cs="Times New Roman"/>
                <w:szCs w:val="24"/>
              </w:rPr>
              <w:t>iesaistītai</w:t>
            </w:r>
            <w:r w:rsidRPr="0052432E">
              <w:rPr>
                <w:rFonts w:cs="Times New Roman"/>
                <w:szCs w:val="24"/>
              </w:rPr>
              <w:t xml:space="preserve"> </w:t>
            </w:r>
            <w:r w:rsidRPr="0052432E">
              <w:rPr>
                <w:rStyle w:val="hps"/>
                <w:rFonts w:cs="Times New Roman"/>
                <w:szCs w:val="24"/>
              </w:rPr>
              <w:t>nodokļu</w:t>
            </w:r>
            <w:r w:rsidRPr="0052432E">
              <w:rPr>
                <w:rFonts w:cs="Times New Roman"/>
                <w:szCs w:val="24"/>
              </w:rPr>
              <w:t xml:space="preserve"> </w:t>
            </w:r>
            <w:r w:rsidRPr="0052432E">
              <w:rPr>
                <w:rStyle w:val="hps"/>
                <w:rFonts w:cs="Times New Roman"/>
                <w:szCs w:val="24"/>
              </w:rPr>
              <w:t>noziegumu izmeklēšanā</w:t>
            </w:r>
            <w:r w:rsidRPr="0052432E">
              <w:rPr>
                <w:rFonts w:cs="Times New Roman"/>
                <w:szCs w:val="24"/>
              </w:rPr>
              <w:t xml:space="preserve">, ja to </w:t>
            </w:r>
            <w:r w:rsidRPr="0052432E">
              <w:rPr>
                <w:rStyle w:val="hps"/>
                <w:rFonts w:cs="Times New Roman"/>
                <w:szCs w:val="24"/>
              </w:rPr>
              <w:t>veic</w:t>
            </w:r>
            <w:r w:rsidRPr="0052432E">
              <w:rPr>
                <w:rFonts w:cs="Times New Roman"/>
                <w:szCs w:val="24"/>
              </w:rPr>
              <w:t xml:space="preserve"> </w:t>
            </w:r>
            <w:r w:rsidRPr="0052432E">
              <w:rPr>
                <w:rStyle w:val="hps"/>
                <w:rFonts w:cs="Times New Roman"/>
                <w:szCs w:val="24"/>
              </w:rPr>
              <w:t>citas institūcijas.</w:t>
            </w:r>
            <w:r w:rsidRPr="0052432E">
              <w:rPr>
                <w:rFonts w:cs="Times New Roman"/>
                <w:szCs w:val="24"/>
              </w:rPr>
              <w:t xml:space="preserve"> </w:t>
            </w:r>
            <w:r w:rsidRPr="0052432E">
              <w:rPr>
                <w:rStyle w:val="hps"/>
                <w:rFonts w:cs="Times New Roman"/>
                <w:szCs w:val="24"/>
              </w:rPr>
              <w:t>Valstīm būtu nepieciešams</w:t>
            </w:r>
            <w:r w:rsidRPr="0052432E">
              <w:rPr>
                <w:rFonts w:cs="Times New Roman"/>
                <w:szCs w:val="24"/>
              </w:rPr>
              <w:t xml:space="preserve"> iz</w:t>
            </w:r>
            <w:r w:rsidRPr="0052432E">
              <w:rPr>
                <w:rStyle w:val="hps"/>
                <w:rFonts w:cs="Times New Roman"/>
                <w:szCs w:val="24"/>
              </w:rPr>
              <w:t>pētīt veidus</w:t>
            </w:r>
            <w:r w:rsidRPr="0052432E">
              <w:rPr>
                <w:rFonts w:cs="Times New Roman"/>
                <w:szCs w:val="24"/>
              </w:rPr>
              <w:t xml:space="preserve"> kā novērst </w:t>
            </w:r>
            <w:r w:rsidRPr="0052432E">
              <w:rPr>
                <w:rStyle w:val="hps"/>
                <w:rFonts w:cs="Times New Roman"/>
                <w:szCs w:val="24"/>
              </w:rPr>
              <w:t>iespējamos</w:t>
            </w:r>
            <w:r w:rsidRPr="0052432E">
              <w:rPr>
                <w:rFonts w:cs="Times New Roman"/>
                <w:szCs w:val="24"/>
              </w:rPr>
              <w:t xml:space="preserve"> </w:t>
            </w:r>
            <w:r w:rsidRPr="0052432E">
              <w:rPr>
                <w:rStyle w:val="hps"/>
                <w:rFonts w:cs="Times New Roman"/>
                <w:szCs w:val="24"/>
              </w:rPr>
              <w:t>šķēršļus</w:t>
            </w:r>
            <w:r w:rsidRPr="0052432E">
              <w:rPr>
                <w:rFonts w:cs="Times New Roman"/>
                <w:szCs w:val="24"/>
              </w:rPr>
              <w:t xml:space="preserve">, </w:t>
            </w:r>
            <w:r w:rsidRPr="0052432E">
              <w:rPr>
                <w:rStyle w:val="hps"/>
                <w:rFonts w:cs="Times New Roman"/>
                <w:szCs w:val="24"/>
              </w:rPr>
              <w:t>un</w:t>
            </w:r>
            <w:r w:rsidRPr="0052432E">
              <w:rPr>
                <w:rFonts w:cs="Times New Roman"/>
                <w:szCs w:val="24"/>
              </w:rPr>
              <w:t xml:space="preserve"> </w:t>
            </w:r>
            <w:r w:rsidR="00775E74" w:rsidRPr="0052432E">
              <w:rPr>
                <w:rStyle w:val="hps"/>
                <w:rFonts w:cs="Times New Roman"/>
                <w:szCs w:val="24"/>
              </w:rPr>
              <w:t>ievērojot</w:t>
            </w:r>
            <w:r w:rsidRPr="0052432E">
              <w:rPr>
                <w:rStyle w:val="hps"/>
                <w:rFonts w:cs="Times New Roman"/>
                <w:szCs w:val="24"/>
              </w:rPr>
              <w:t>,</w:t>
            </w:r>
            <w:r w:rsidRPr="0052432E">
              <w:rPr>
                <w:rFonts w:cs="Times New Roman"/>
                <w:szCs w:val="24"/>
              </w:rPr>
              <w:t xml:space="preserve"> </w:t>
            </w:r>
            <w:r w:rsidRPr="0052432E">
              <w:rPr>
                <w:rStyle w:val="hps"/>
                <w:rFonts w:cs="Times New Roman"/>
                <w:szCs w:val="24"/>
              </w:rPr>
              <w:t>p</w:t>
            </w:r>
            <w:r w:rsidR="00775E74" w:rsidRPr="0052432E">
              <w:rPr>
                <w:rStyle w:val="hps"/>
                <w:rFonts w:cs="Times New Roman"/>
                <w:szCs w:val="24"/>
              </w:rPr>
              <w:t>rasību</w:t>
            </w:r>
            <w:r w:rsidRPr="0052432E">
              <w:rPr>
                <w:rFonts w:cs="Times New Roman"/>
                <w:szCs w:val="24"/>
              </w:rPr>
              <w:t xml:space="preserve"> </w:t>
            </w:r>
            <w:r w:rsidR="00775E74" w:rsidRPr="0052432E">
              <w:rPr>
                <w:rStyle w:val="hps"/>
                <w:rFonts w:cs="Times New Roman"/>
                <w:szCs w:val="24"/>
              </w:rPr>
              <w:t xml:space="preserve">palielināt  nodokļu administrācijas ierēdņiem ņemt </w:t>
            </w:r>
            <w:r w:rsidRPr="0052432E">
              <w:rPr>
                <w:rStyle w:val="hps"/>
                <w:rFonts w:cs="Times New Roman"/>
                <w:szCs w:val="24"/>
              </w:rPr>
              <w:t xml:space="preserve"> līdzdalību</w:t>
            </w:r>
            <w:r w:rsidRPr="0052432E">
              <w:rPr>
                <w:rFonts w:cs="Times New Roman"/>
                <w:szCs w:val="24"/>
              </w:rPr>
              <w:t xml:space="preserve"> </w:t>
            </w:r>
            <w:r w:rsidR="00775E74" w:rsidRPr="0052432E">
              <w:rPr>
                <w:rStyle w:val="hps"/>
                <w:rFonts w:cs="Times New Roman"/>
                <w:szCs w:val="24"/>
              </w:rPr>
              <w:t>izmeklēšanā, ievērojot  dažādu</w:t>
            </w:r>
            <w:r w:rsidR="00775E74" w:rsidRPr="0052432E">
              <w:rPr>
                <w:rFonts w:cs="Times New Roman"/>
                <w:szCs w:val="24"/>
              </w:rPr>
              <w:t xml:space="preserve"> </w:t>
            </w:r>
            <w:r w:rsidR="00775E74" w:rsidRPr="0052432E">
              <w:rPr>
                <w:rStyle w:val="hps"/>
                <w:rFonts w:cs="Times New Roman"/>
                <w:szCs w:val="24"/>
              </w:rPr>
              <w:t xml:space="preserve">organizatorisko modeļu </w:t>
            </w:r>
            <w:r w:rsidRPr="0052432E">
              <w:rPr>
                <w:rStyle w:val="hps"/>
                <w:rFonts w:cs="Times New Roman"/>
                <w:szCs w:val="24"/>
              </w:rPr>
              <w:t>īpatnības,</w:t>
            </w:r>
            <w:r w:rsidRPr="0052432E">
              <w:rPr>
                <w:rFonts w:cs="Times New Roman"/>
                <w:szCs w:val="24"/>
              </w:rPr>
              <w:t xml:space="preserve"> </w:t>
            </w:r>
            <w:r w:rsidR="00775E74" w:rsidRPr="0052432E">
              <w:rPr>
                <w:rFonts w:cs="Times New Roman"/>
                <w:szCs w:val="24"/>
              </w:rPr>
              <w:t xml:space="preserve">kas </w:t>
            </w:r>
            <w:r w:rsidR="00775E74" w:rsidRPr="0052432E">
              <w:rPr>
                <w:rStyle w:val="hps"/>
                <w:rFonts w:cs="Times New Roman"/>
                <w:szCs w:val="24"/>
              </w:rPr>
              <w:t>tika</w:t>
            </w:r>
            <w:r w:rsidRPr="0052432E">
              <w:rPr>
                <w:rFonts w:cs="Times New Roman"/>
                <w:szCs w:val="24"/>
              </w:rPr>
              <w:t xml:space="preserve"> </w:t>
            </w:r>
            <w:r w:rsidRPr="0052432E">
              <w:rPr>
                <w:rStyle w:val="hps"/>
                <w:rFonts w:cs="Times New Roman"/>
                <w:szCs w:val="24"/>
              </w:rPr>
              <w:t>ap</w:t>
            </w:r>
            <w:r w:rsidR="00775E74" w:rsidRPr="0052432E">
              <w:rPr>
                <w:rStyle w:val="hps"/>
                <w:rFonts w:cs="Times New Roman"/>
                <w:szCs w:val="24"/>
              </w:rPr>
              <w:t>rakstīti</w:t>
            </w:r>
            <w:r w:rsidRPr="0052432E">
              <w:rPr>
                <w:rFonts w:cs="Times New Roman"/>
                <w:szCs w:val="24"/>
              </w:rPr>
              <w:t xml:space="preserve"> </w:t>
            </w:r>
            <w:r w:rsidRPr="0052432E">
              <w:rPr>
                <w:rStyle w:val="hps"/>
                <w:rFonts w:cs="Times New Roman"/>
                <w:szCs w:val="24"/>
              </w:rPr>
              <w:t>ziņojumā</w:t>
            </w:r>
            <w:r w:rsidRPr="0052432E">
              <w:rPr>
                <w:rFonts w:cs="Times New Roman"/>
                <w:szCs w:val="24"/>
              </w:rPr>
              <w:t>.</w:t>
            </w:r>
          </w:p>
          <w:p w:rsidR="00775E74" w:rsidRPr="0052432E" w:rsidRDefault="00775E74" w:rsidP="004E175E">
            <w:pPr>
              <w:pStyle w:val="Default"/>
              <w:jc w:val="both"/>
              <w:rPr>
                <w:rFonts w:eastAsiaTheme="minorHAnsi"/>
                <w:color w:val="auto"/>
              </w:rPr>
            </w:pPr>
            <w:r w:rsidRPr="0052432E">
              <w:rPr>
                <w:color w:val="auto"/>
              </w:rPr>
              <w:t>5.  I</w:t>
            </w:r>
            <w:r w:rsidRPr="0052432E">
              <w:rPr>
                <w:rStyle w:val="hps"/>
                <w:color w:val="auto"/>
              </w:rPr>
              <w:t>zvērtēt sadarbības mehānismus, kuru pamatā ir atkārtotība</w:t>
            </w:r>
            <w:r w:rsidRPr="0052432E">
              <w:rPr>
                <w:color w:val="auto"/>
              </w:rPr>
              <w:t xml:space="preserve">. </w:t>
            </w:r>
            <w:r w:rsidRPr="0052432E">
              <w:rPr>
                <w:rStyle w:val="hps"/>
                <w:color w:val="auto"/>
              </w:rPr>
              <w:t>Par šo novērtējumu</w:t>
            </w:r>
            <w:r w:rsidRPr="0052432E">
              <w:rPr>
                <w:color w:val="auto"/>
              </w:rPr>
              <w:t xml:space="preserve"> </w:t>
            </w:r>
            <w:r w:rsidRPr="0052432E">
              <w:rPr>
                <w:rStyle w:val="hps"/>
                <w:color w:val="auto"/>
              </w:rPr>
              <w:t>būtu jāinformē</w:t>
            </w:r>
            <w:r w:rsidRPr="0052432E">
              <w:rPr>
                <w:color w:val="auto"/>
              </w:rPr>
              <w:t xml:space="preserve"> tiem </w:t>
            </w:r>
            <w:r w:rsidRPr="0052432E">
              <w:rPr>
                <w:rStyle w:val="hps"/>
                <w:color w:val="auto"/>
              </w:rPr>
              <w:t>pieredzējušiem</w:t>
            </w:r>
            <w:r w:rsidRPr="0052432E">
              <w:rPr>
                <w:color w:val="auto"/>
              </w:rPr>
              <w:t xml:space="preserve"> </w:t>
            </w:r>
            <w:r w:rsidRPr="0052432E">
              <w:rPr>
                <w:rStyle w:val="hps"/>
                <w:color w:val="auto"/>
              </w:rPr>
              <w:t>ierēdņiem</w:t>
            </w:r>
            <w:r w:rsidRPr="0052432E">
              <w:rPr>
                <w:color w:val="auto"/>
              </w:rPr>
              <w:t xml:space="preserve">, kas tieši </w:t>
            </w:r>
            <w:r w:rsidRPr="0052432E">
              <w:rPr>
                <w:rStyle w:val="hps"/>
                <w:color w:val="auto"/>
              </w:rPr>
              <w:t>iesaistīti</w:t>
            </w:r>
            <w:r w:rsidRPr="0052432E">
              <w:rPr>
                <w:color w:val="auto"/>
              </w:rPr>
              <w:t xml:space="preserve"> </w:t>
            </w:r>
            <w:r w:rsidRPr="0052432E">
              <w:rPr>
                <w:rStyle w:val="hps"/>
                <w:color w:val="auto"/>
              </w:rPr>
              <w:t>sadarbības procesā</w:t>
            </w:r>
            <w:r w:rsidRPr="0052432E">
              <w:rPr>
                <w:color w:val="auto"/>
              </w:rPr>
              <w:t xml:space="preserve">, </w:t>
            </w:r>
            <w:r w:rsidRPr="0052432E">
              <w:rPr>
                <w:rStyle w:val="hps"/>
                <w:color w:val="auto"/>
              </w:rPr>
              <w:t>kā arī</w:t>
            </w:r>
            <w:r w:rsidR="004E175E" w:rsidRPr="0052432E">
              <w:rPr>
                <w:rStyle w:val="hps"/>
                <w:color w:val="auto"/>
              </w:rPr>
              <w:t xml:space="preserve"> tiem, kas</w:t>
            </w:r>
            <w:r w:rsidRPr="0052432E">
              <w:rPr>
                <w:color w:val="auto"/>
              </w:rPr>
              <w:t xml:space="preserve"> īsteno </w:t>
            </w:r>
            <w:r w:rsidRPr="0052432E">
              <w:rPr>
                <w:rStyle w:val="hps"/>
                <w:color w:val="auto"/>
              </w:rPr>
              <w:t>objektīvu</w:t>
            </w:r>
            <w:r w:rsidRPr="0052432E">
              <w:rPr>
                <w:color w:val="auto"/>
              </w:rPr>
              <w:t xml:space="preserve"> </w:t>
            </w:r>
            <w:r w:rsidRPr="0052432E">
              <w:rPr>
                <w:rStyle w:val="hps"/>
                <w:color w:val="auto"/>
              </w:rPr>
              <w:t>novērtējumu</w:t>
            </w:r>
            <w:r w:rsidRPr="0052432E">
              <w:rPr>
                <w:color w:val="auto"/>
              </w:rPr>
              <w:t xml:space="preserve"> </w:t>
            </w:r>
            <w:r w:rsidRPr="0052432E">
              <w:rPr>
                <w:rStyle w:val="hps"/>
                <w:color w:val="auto"/>
              </w:rPr>
              <w:t>par</w:t>
            </w:r>
            <w:r w:rsidRPr="0052432E">
              <w:rPr>
                <w:color w:val="auto"/>
              </w:rPr>
              <w:t xml:space="preserve"> </w:t>
            </w:r>
            <w:r w:rsidRPr="0052432E">
              <w:rPr>
                <w:rStyle w:val="hps"/>
                <w:color w:val="auto"/>
              </w:rPr>
              <w:t>starp</w:t>
            </w:r>
            <w:r w:rsidR="004E175E" w:rsidRPr="0052432E">
              <w:rPr>
                <w:rStyle w:val="hps"/>
                <w:color w:val="auto"/>
              </w:rPr>
              <w:t>institūciju</w:t>
            </w:r>
            <w:r w:rsidRPr="0052432E">
              <w:rPr>
                <w:color w:val="auto"/>
              </w:rPr>
              <w:t xml:space="preserve"> </w:t>
            </w:r>
            <w:r w:rsidR="004E175E" w:rsidRPr="0052432E">
              <w:rPr>
                <w:rStyle w:val="hps"/>
                <w:color w:val="auto"/>
              </w:rPr>
              <w:t>sadarbības modeļu rezultātiem</w:t>
            </w:r>
            <w:r w:rsidRPr="0052432E">
              <w:rPr>
                <w:color w:val="auto"/>
              </w:rPr>
              <w:t xml:space="preserve">. </w:t>
            </w:r>
          </w:p>
          <w:p w:rsidR="00126382" w:rsidRPr="00DB39CF" w:rsidRDefault="004E175E" w:rsidP="004E175E">
            <w:pPr>
              <w:jc w:val="both"/>
            </w:pPr>
            <w:r>
              <w:t>Ziņojumos a</w:t>
            </w:r>
            <w:r w:rsidR="00126382" w:rsidRPr="00DB39CF">
              <w:t>pkopotie praktiskie piemēri un valstu pieredze norāda, ka tās valstis, kurās nodokļu administrācijas saņem informāciju par  aizdomīgiem darījumiem (</w:t>
            </w:r>
            <w:proofErr w:type="spellStart"/>
            <w:r w:rsidR="00126382" w:rsidRPr="00DB39CF">
              <w:t>Suspicious</w:t>
            </w:r>
            <w:proofErr w:type="spellEnd"/>
            <w:r w:rsidR="00126382" w:rsidRPr="00DB39CF">
              <w:t xml:space="preserve"> </w:t>
            </w:r>
            <w:proofErr w:type="spellStart"/>
            <w:r w:rsidR="00126382" w:rsidRPr="00DB39CF">
              <w:t>Transaction</w:t>
            </w:r>
            <w:proofErr w:type="spellEnd"/>
            <w:r w:rsidR="00126382" w:rsidRPr="00DB39CF">
              <w:t xml:space="preserve"> </w:t>
            </w:r>
            <w:proofErr w:type="spellStart"/>
            <w:r w:rsidR="00126382" w:rsidRPr="00DB39CF">
              <w:t>Reports</w:t>
            </w:r>
            <w:proofErr w:type="spellEnd"/>
            <w:r w:rsidR="00126382" w:rsidRPr="00DB39CF">
              <w:t xml:space="preserve"> turpmāk – </w:t>
            </w:r>
            <w:r w:rsidR="00126382" w:rsidRPr="004E175E">
              <w:rPr>
                <w:i/>
              </w:rPr>
              <w:t>STR)</w:t>
            </w:r>
            <w:r w:rsidR="00126382" w:rsidRPr="00DB39CF">
              <w:t xml:space="preserve">, ir ieguvējas, </w:t>
            </w:r>
          </w:p>
          <w:p w:rsidR="00126382" w:rsidRPr="00DB39CF" w:rsidRDefault="00126382" w:rsidP="00DB39CF">
            <w:pPr>
              <w:pStyle w:val="ListParagraph"/>
              <w:ind w:left="0" w:firstLine="720"/>
              <w:jc w:val="both"/>
            </w:pPr>
            <w:r w:rsidRPr="00DB39CF">
              <w:t>jo:</w:t>
            </w:r>
          </w:p>
          <w:p w:rsidR="00126382" w:rsidRPr="00DB39CF" w:rsidRDefault="00126382" w:rsidP="00DB39CF">
            <w:pPr>
              <w:pStyle w:val="ListParagraph"/>
              <w:tabs>
                <w:tab w:val="left" w:pos="993"/>
              </w:tabs>
              <w:ind w:left="0" w:firstLine="720"/>
              <w:jc w:val="both"/>
            </w:pPr>
            <w:r w:rsidRPr="00DB39CF">
              <w:t>-</w:t>
            </w:r>
            <w:r w:rsidRPr="00DB39CF">
              <w:tab/>
              <w:t xml:space="preserve">paveras plaša iespēja izmantot </w:t>
            </w:r>
            <w:r w:rsidRPr="00DB39CF">
              <w:rPr>
                <w:i/>
              </w:rPr>
              <w:t>STR</w:t>
            </w:r>
            <w:r w:rsidRPr="00DB39CF">
              <w:t xml:space="preserve"> nodokļu noziegumu izmeklēšanā;</w:t>
            </w:r>
          </w:p>
          <w:p w:rsidR="00126382" w:rsidRPr="00DB39CF" w:rsidRDefault="00126382" w:rsidP="00DB39CF">
            <w:pPr>
              <w:pStyle w:val="ListParagraph"/>
              <w:tabs>
                <w:tab w:val="left" w:pos="993"/>
              </w:tabs>
              <w:ind w:left="0" w:firstLine="720"/>
              <w:jc w:val="both"/>
            </w:pPr>
            <w:r w:rsidRPr="00DB39CF">
              <w:t>-</w:t>
            </w:r>
            <w:r w:rsidRPr="00DB39CF">
              <w:tab/>
              <w:t>tiek uzlabota iespēja atklāt naudas atmazgāšanas gadījumus;</w:t>
            </w:r>
          </w:p>
          <w:p w:rsidR="00126382" w:rsidRPr="00DB39CF" w:rsidRDefault="00126382" w:rsidP="00DB39CF">
            <w:pPr>
              <w:pStyle w:val="ListParagraph"/>
              <w:tabs>
                <w:tab w:val="left" w:pos="993"/>
              </w:tabs>
              <w:ind w:left="0" w:firstLine="720"/>
              <w:jc w:val="both"/>
            </w:pPr>
            <w:r w:rsidRPr="00DB39CF">
              <w:t>-</w:t>
            </w:r>
            <w:r w:rsidRPr="00DB39CF">
              <w:tab/>
              <w:t>palielinās kriminālvajāšanu skaits par noziedzīgiem nodarījumiem nodokļu jomā;</w:t>
            </w:r>
          </w:p>
          <w:p w:rsidR="00126382" w:rsidRPr="00DB39CF" w:rsidRDefault="00126382" w:rsidP="00DB39CF">
            <w:pPr>
              <w:pStyle w:val="ListParagraph"/>
              <w:tabs>
                <w:tab w:val="left" w:pos="993"/>
              </w:tabs>
              <w:ind w:left="0" w:firstLine="720"/>
              <w:jc w:val="both"/>
            </w:pPr>
            <w:r w:rsidRPr="00DB39CF">
              <w:t>-</w:t>
            </w:r>
            <w:r w:rsidRPr="00DB39CF">
              <w:tab/>
              <w:t>uzlabojas noziedzīgā ceļā iegūto līdzekļu atgūšana utt.</w:t>
            </w:r>
          </w:p>
          <w:p w:rsidR="00126382" w:rsidRPr="00DB39CF" w:rsidRDefault="00197A3F" w:rsidP="00DB39CF">
            <w:pPr>
              <w:pStyle w:val="Default"/>
              <w:jc w:val="both"/>
              <w:rPr>
                <w:color w:val="auto"/>
              </w:rPr>
            </w:pPr>
            <w:r>
              <w:rPr>
                <w:color w:val="auto"/>
              </w:rPr>
              <w:lastRenderedPageBreak/>
              <w:t>Romas ziņojuma 18.lpp.</w:t>
            </w:r>
            <w:r w:rsidR="00126382" w:rsidRPr="00DB39CF">
              <w:rPr>
                <w:color w:val="auto"/>
              </w:rPr>
              <w:t xml:space="preserve"> un Ziņojuma 2. izdevum</w:t>
            </w:r>
            <w:r>
              <w:rPr>
                <w:color w:val="auto"/>
              </w:rPr>
              <w:t>a 26. lpp. ietverta rekomendācija</w:t>
            </w:r>
            <w:r w:rsidR="00126382" w:rsidRPr="00DB39CF">
              <w:rPr>
                <w:color w:val="auto"/>
              </w:rPr>
              <w:t xml:space="preserve"> </w:t>
            </w:r>
            <w:r w:rsidR="001E6136">
              <w:rPr>
                <w:color w:val="auto"/>
              </w:rPr>
              <w:t xml:space="preserve">valstīm </w:t>
            </w:r>
            <w:r w:rsidR="00126382" w:rsidRPr="00DB39CF">
              <w:rPr>
                <w:color w:val="auto"/>
              </w:rPr>
              <w:t xml:space="preserve">pārskatīt nacionālos informācijas apmaiņas modeļus starp iestādēm attiecībā uz jebkuras iestādes spēju, kuras rīcībā ir informācija, kas attiecas uz nodokļu aplikšanu un to administrēšanu, padarīt šīs informācijas pieejamību nodokļu administrēšanas iestādei. Minētais īpaši attiecas uz  informāciju, kas satur STR. </w:t>
            </w:r>
          </w:p>
          <w:p w:rsidR="00126382" w:rsidRPr="00DB39CF" w:rsidRDefault="00126382" w:rsidP="00DB39CF">
            <w:pPr>
              <w:autoSpaceDE w:val="0"/>
              <w:autoSpaceDN w:val="0"/>
              <w:adjustRightInd w:val="0"/>
              <w:jc w:val="both"/>
              <w:rPr>
                <w:rFonts w:cs="Times New Roman"/>
                <w:szCs w:val="24"/>
              </w:rPr>
            </w:pPr>
            <w:r w:rsidRPr="00DB39CF">
              <w:rPr>
                <w:rFonts w:cs="Times New Roman"/>
                <w:szCs w:val="24"/>
              </w:rPr>
              <w:t>Kā pozitīvās prakses piemērs Romas ziņojumā</w:t>
            </w:r>
            <w:r w:rsidR="00197A3F">
              <w:rPr>
                <w:rFonts w:cs="Times New Roman"/>
                <w:szCs w:val="24"/>
              </w:rPr>
              <w:t xml:space="preserve"> (58.lpp.)</w:t>
            </w:r>
            <w:r w:rsidRPr="00DB39CF">
              <w:rPr>
                <w:rFonts w:cs="Times New Roman"/>
                <w:szCs w:val="24"/>
              </w:rPr>
              <w:t xml:space="preserve"> tiek minēta Īrijas pieredze. Īrijas likumdošana paredz, ka finanšu iestādes un citi ziņošanas subjekti sniedz informāciju par STR gan nodokļu administrēšanas iestādei, gan FIV. Turklāt plašas tiesiskas iespējas atļauj institūcijām dalīties ar šo informāciju. </w:t>
            </w:r>
          </w:p>
          <w:p w:rsidR="00126382" w:rsidRPr="00DB39CF" w:rsidRDefault="00126382" w:rsidP="00DB506D">
            <w:pPr>
              <w:autoSpaceDE w:val="0"/>
              <w:autoSpaceDN w:val="0"/>
              <w:adjustRightInd w:val="0"/>
              <w:jc w:val="both"/>
              <w:rPr>
                <w:rFonts w:cs="Times New Roman"/>
                <w:szCs w:val="24"/>
              </w:rPr>
            </w:pPr>
            <w:r w:rsidRPr="00DB39CF">
              <w:rPr>
                <w:rFonts w:cs="Times New Roman"/>
                <w:szCs w:val="24"/>
              </w:rPr>
              <w:t>Ziņojuma 2. izdevumā kā pozitīvās prakses piemērs ir minēta ne tikai Īrija, bet arī Itālija</w:t>
            </w:r>
            <w:r w:rsidR="00197A3F">
              <w:rPr>
                <w:rFonts w:cs="Times New Roman"/>
                <w:szCs w:val="24"/>
              </w:rPr>
              <w:t xml:space="preserve"> (</w:t>
            </w:r>
            <w:r w:rsidR="004B3DDF">
              <w:rPr>
                <w:rFonts w:cs="Times New Roman"/>
                <w:szCs w:val="24"/>
              </w:rPr>
              <w:t>84.lpp.)</w:t>
            </w:r>
            <w:r w:rsidRPr="00DB39CF">
              <w:rPr>
                <w:rFonts w:cs="Times New Roman"/>
                <w:szCs w:val="24"/>
              </w:rPr>
              <w:t xml:space="preserve">, kuras FIV nav tiesīgs sniegt informāciju Itālijas ieņēmumu dienestam tieši, taču nodrošina to ar </w:t>
            </w:r>
            <w:r w:rsidR="001E6136">
              <w:rPr>
                <w:rFonts w:cs="Times New Roman"/>
                <w:szCs w:val="24"/>
              </w:rPr>
              <w:t xml:space="preserve">saņemto </w:t>
            </w:r>
            <w:r w:rsidRPr="00DB39CF">
              <w:rPr>
                <w:rFonts w:cs="Times New Roman"/>
                <w:szCs w:val="24"/>
              </w:rPr>
              <w:t xml:space="preserve">STR kopijām, kuras Itālijas ieņēmumu dienests izmanto nodokļu auditu veikšanai un aizdomīgu nodokļu pārkāpumu izmeklēšanai. </w:t>
            </w:r>
          </w:p>
          <w:p w:rsidR="00EC7737" w:rsidRDefault="006546C3" w:rsidP="00DB39CF">
            <w:pPr>
              <w:pStyle w:val="ListParagraph"/>
              <w:ind w:left="0"/>
              <w:jc w:val="both"/>
            </w:pPr>
            <w:r>
              <w:t xml:space="preserve">2012.gada februārī </w:t>
            </w:r>
            <w:r w:rsidR="00A2462D">
              <w:t xml:space="preserve">ir </w:t>
            </w:r>
            <w:r>
              <w:t xml:space="preserve">pārskatītās </w:t>
            </w:r>
            <w:r>
              <w:rPr>
                <w:lang w:val="en-GB"/>
              </w:rPr>
              <w:t xml:space="preserve">The Financial Action Task Force ( </w:t>
            </w:r>
            <w:r w:rsidRPr="006546C3">
              <w:t>turpmāk</w:t>
            </w:r>
            <w:r>
              <w:rPr>
                <w:lang w:val="en-GB"/>
              </w:rPr>
              <w:t xml:space="preserve"> – FATF) </w:t>
            </w:r>
            <w:r w:rsidR="00126382" w:rsidRPr="00DB39CF">
              <w:t xml:space="preserve"> rekomendācijas.</w:t>
            </w:r>
            <w:r w:rsidR="00A2462D">
              <w:t xml:space="preserve"> FATF standarti tika pārskatīti  arī, lai stiprinātu prasības augstāka riska situācijām un ļautu valstīm vairāk pievērsties jomām, kur saglabājas augsts risks vai jāveic papildus pasākumi. FATF 3. rekomendācija paredz, ka valstīm jāsasaista noziedzīgi iegūtu līdzekļu legalizācijas jēdziens ar visiem smagajiem noziegumiem, lai aptvertu pēc iespējas plašāku predikatīvo noziegumu loku.</w:t>
            </w:r>
            <w:r w:rsidR="00EC7737">
              <w:t xml:space="preserve"> FATF 3. rekomendācijas komentārā tiek norādīts, ka </w:t>
            </w:r>
            <w:r w:rsidR="00222E4E">
              <w:t>neatkarīgi no tā</w:t>
            </w:r>
            <w:r w:rsidR="0052432E">
              <w:t>,</w:t>
            </w:r>
            <w:r w:rsidR="00222E4E">
              <w:t xml:space="preserve"> kādu </w:t>
            </w:r>
            <w:r w:rsidR="0052432E">
              <w:t>p</w:t>
            </w:r>
            <w:r w:rsidR="00222E4E">
              <w:t>ieeju valsts izvēlas, raksturojot predikat</w:t>
            </w:r>
            <w:r w:rsidR="00AE71D8">
              <w:t xml:space="preserve">īvos noziegumus, katrai valstij vajadzētu iekļaut virkni noziegumu </w:t>
            </w:r>
            <w:r w:rsidR="00120ACB">
              <w:t xml:space="preserve"> vismaz  </w:t>
            </w:r>
            <w:r w:rsidR="00AE71D8">
              <w:t xml:space="preserve">katras noteikto noziegumu kategorijas </w:t>
            </w:r>
            <w:r w:rsidR="00120ACB">
              <w:t>ietvaros.</w:t>
            </w:r>
            <w:r w:rsidR="00AE71D8">
              <w:t xml:space="preserve"> </w:t>
            </w:r>
            <w:r w:rsidR="00120ACB">
              <w:t>(</w:t>
            </w:r>
            <w:proofErr w:type="spellStart"/>
            <w:r w:rsidR="00222E4E" w:rsidRPr="00222E4E">
              <w:t>Whichever</w:t>
            </w:r>
            <w:proofErr w:type="spellEnd"/>
            <w:r w:rsidR="00222E4E" w:rsidRPr="00222E4E">
              <w:t xml:space="preserve"> </w:t>
            </w:r>
            <w:proofErr w:type="spellStart"/>
            <w:r w:rsidR="00222E4E" w:rsidRPr="00222E4E">
              <w:t>approach</w:t>
            </w:r>
            <w:proofErr w:type="spellEnd"/>
            <w:r w:rsidR="00222E4E" w:rsidRPr="00222E4E">
              <w:t xml:space="preserve"> </w:t>
            </w:r>
            <w:proofErr w:type="spellStart"/>
            <w:r w:rsidR="00222E4E" w:rsidRPr="00222E4E">
              <w:t>is</w:t>
            </w:r>
            <w:proofErr w:type="spellEnd"/>
            <w:r w:rsidR="00222E4E" w:rsidRPr="00222E4E">
              <w:t xml:space="preserve"> </w:t>
            </w:r>
            <w:proofErr w:type="spellStart"/>
            <w:r w:rsidR="00222E4E" w:rsidRPr="00222E4E">
              <w:t>adopted</w:t>
            </w:r>
            <w:proofErr w:type="spellEnd"/>
            <w:r w:rsidR="00222E4E" w:rsidRPr="00222E4E">
              <w:t xml:space="preserve">, </w:t>
            </w:r>
            <w:proofErr w:type="spellStart"/>
            <w:r w:rsidR="00222E4E" w:rsidRPr="00222E4E">
              <w:t>each</w:t>
            </w:r>
            <w:proofErr w:type="spellEnd"/>
            <w:r w:rsidR="00222E4E" w:rsidRPr="00222E4E">
              <w:t xml:space="preserve"> </w:t>
            </w:r>
            <w:proofErr w:type="spellStart"/>
            <w:r w:rsidR="00222E4E" w:rsidRPr="00222E4E">
              <w:t>country</w:t>
            </w:r>
            <w:proofErr w:type="spellEnd"/>
            <w:r w:rsidR="00222E4E" w:rsidRPr="00222E4E">
              <w:t xml:space="preserve"> </w:t>
            </w:r>
            <w:proofErr w:type="spellStart"/>
            <w:r w:rsidR="00222E4E" w:rsidRPr="00222E4E">
              <w:t>should</w:t>
            </w:r>
            <w:proofErr w:type="spellEnd"/>
            <w:r w:rsidR="00222E4E" w:rsidRPr="00222E4E">
              <w:t xml:space="preserve">, </w:t>
            </w:r>
            <w:proofErr w:type="spellStart"/>
            <w:r w:rsidR="00222E4E" w:rsidRPr="00222E4E">
              <w:t>at</w:t>
            </w:r>
            <w:proofErr w:type="spellEnd"/>
            <w:r w:rsidR="00222E4E" w:rsidRPr="00222E4E">
              <w:t xml:space="preserve"> a minimum, </w:t>
            </w:r>
            <w:proofErr w:type="spellStart"/>
            <w:r w:rsidR="00222E4E" w:rsidRPr="00222E4E">
              <w:t>include</w:t>
            </w:r>
            <w:proofErr w:type="spellEnd"/>
            <w:r w:rsidR="00222E4E" w:rsidRPr="00222E4E">
              <w:t xml:space="preserve"> a </w:t>
            </w:r>
            <w:proofErr w:type="spellStart"/>
            <w:r w:rsidR="00222E4E" w:rsidRPr="00222E4E">
              <w:t>range</w:t>
            </w:r>
            <w:proofErr w:type="spellEnd"/>
            <w:r w:rsidR="00222E4E" w:rsidRPr="00222E4E">
              <w:t xml:space="preserve"> </w:t>
            </w:r>
            <w:proofErr w:type="spellStart"/>
            <w:r w:rsidR="00222E4E" w:rsidRPr="00222E4E">
              <w:t>of</w:t>
            </w:r>
            <w:proofErr w:type="spellEnd"/>
            <w:r w:rsidR="00222E4E" w:rsidRPr="00222E4E">
              <w:t xml:space="preserve"> </w:t>
            </w:r>
            <w:proofErr w:type="spellStart"/>
            <w:r w:rsidR="00222E4E" w:rsidRPr="00222E4E">
              <w:t>offences</w:t>
            </w:r>
            <w:proofErr w:type="spellEnd"/>
            <w:r w:rsidR="00222E4E" w:rsidRPr="00222E4E">
              <w:t xml:space="preserve"> </w:t>
            </w:r>
            <w:proofErr w:type="spellStart"/>
            <w:r w:rsidR="00222E4E" w:rsidRPr="00222E4E">
              <w:t>within</w:t>
            </w:r>
            <w:proofErr w:type="spellEnd"/>
            <w:r w:rsidR="00222E4E" w:rsidRPr="00222E4E">
              <w:t xml:space="preserve"> </w:t>
            </w:r>
            <w:proofErr w:type="spellStart"/>
            <w:r w:rsidR="00222E4E" w:rsidRPr="00222E4E">
              <w:t>each</w:t>
            </w:r>
            <w:proofErr w:type="spellEnd"/>
            <w:r w:rsidR="00222E4E" w:rsidRPr="00222E4E">
              <w:t xml:space="preserve"> </w:t>
            </w:r>
            <w:proofErr w:type="spellStart"/>
            <w:r w:rsidR="00222E4E" w:rsidRPr="00222E4E">
              <w:t>of</w:t>
            </w:r>
            <w:proofErr w:type="spellEnd"/>
            <w:r w:rsidR="00222E4E" w:rsidRPr="00222E4E">
              <w:t xml:space="preserve"> </w:t>
            </w:r>
            <w:proofErr w:type="spellStart"/>
            <w:r w:rsidR="00222E4E" w:rsidRPr="00222E4E">
              <w:t>the</w:t>
            </w:r>
            <w:proofErr w:type="spellEnd"/>
            <w:r w:rsidR="00222E4E" w:rsidRPr="00222E4E">
              <w:t xml:space="preserve"> </w:t>
            </w:r>
            <w:proofErr w:type="spellStart"/>
            <w:r w:rsidR="00222E4E" w:rsidRPr="00222E4E">
              <w:t>designated</w:t>
            </w:r>
            <w:proofErr w:type="spellEnd"/>
            <w:r w:rsidR="00222E4E" w:rsidRPr="00222E4E">
              <w:t xml:space="preserve"> </w:t>
            </w:r>
            <w:proofErr w:type="spellStart"/>
            <w:r w:rsidR="00222E4E" w:rsidRPr="00222E4E">
              <w:t>categories</w:t>
            </w:r>
            <w:proofErr w:type="spellEnd"/>
            <w:r w:rsidR="00222E4E" w:rsidRPr="00222E4E">
              <w:t xml:space="preserve"> </w:t>
            </w:r>
            <w:proofErr w:type="spellStart"/>
            <w:r w:rsidR="00222E4E" w:rsidRPr="00222E4E">
              <w:t>of</w:t>
            </w:r>
            <w:proofErr w:type="spellEnd"/>
            <w:r w:rsidR="00222E4E" w:rsidRPr="00222E4E">
              <w:t xml:space="preserve"> </w:t>
            </w:r>
            <w:proofErr w:type="spellStart"/>
            <w:r w:rsidR="00222E4E" w:rsidRPr="00222E4E">
              <w:t>offences</w:t>
            </w:r>
            <w:proofErr w:type="spellEnd"/>
            <w:r w:rsidR="00222E4E" w:rsidRPr="00222E4E">
              <w:t>.</w:t>
            </w:r>
            <w:r w:rsidR="00120ACB">
              <w:t xml:space="preserve">) </w:t>
            </w:r>
            <w:r w:rsidR="00120ACB" w:rsidRPr="00F677C4">
              <w:t xml:space="preserve"> </w:t>
            </w:r>
            <w:r w:rsidR="00120ACB">
              <w:t xml:space="preserve">FATF rekomendāciju </w:t>
            </w:r>
            <w:r w:rsidR="00120ACB" w:rsidRPr="00F677C4">
              <w:t>sadaļā „Definīcijas (</w:t>
            </w:r>
            <w:proofErr w:type="spellStart"/>
            <w:r w:rsidR="00120ACB" w:rsidRPr="00F677C4">
              <w:rPr>
                <w:i/>
              </w:rPr>
              <w:t>Glossary</w:t>
            </w:r>
            <w:proofErr w:type="spellEnd"/>
            <w:r w:rsidR="00120ACB" w:rsidRPr="00F677C4">
              <w:t>)” kā viena no noteiktajām noziegumu kategorijām (</w:t>
            </w:r>
            <w:proofErr w:type="spellStart"/>
            <w:r w:rsidR="00120ACB" w:rsidRPr="00F677C4">
              <w:rPr>
                <w:i/>
              </w:rPr>
              <w:t>designated</w:t>
            </w:r>
            <w:proofErr w:type="spellEnd"/>
            <w:r w:rsidR="00120ACB" w:rsidRPr="00F677C4">
              <w:rPr>
                <w:i/>
              </w:rPr>
              <w:t xml:space="preserve"> </w:t>
            </w:r>
            <w:proofErr w:type="spellStart"/>
            <w:r w:rsidR="00120ACB" w:rsidRPr="00F677C4">
              <w:rPr>
                <w:i/>
              </w:rPr>
              <w:t>categories</w:t>
            </w:r>
            <w:proofErr w:type="spellEnd"/>
            <w:r w:rsidR="00120ACB" w:rsidRPr="00F677C4">
              <w:rPr>
                <w:i/>
              </w:rPr>
              <w:t xml:space="preserve"> </w:t>
            </w:r>
            <w:proofErr w:type="spellStart"/>
            <w:r w:rsidR="00120ACB" w:rsidRPr="00F677C4">
              <w:rPr>
                <w:i/>
              </w:rPr>
              <w:t>of</w:t>
            </w:r>
            <w:proofErr w:type="spellEnd"/>
            <w:r w:rsidR="00120ACB" w:rsidRPr="00F677C4">
              <w:rPr>
                <w:i/>
              </w:rPr>
              <w:t xml:space="preserve"> </w:t>
            </w:r>
            <w:proofErr w:type="spellStart"/>
            <w:r w:rsidR="00120ACB" w:rsidRPr="00F677C4">
              <w:rPr>
                <w:i/>
              </w:rPr>
              <w:t>offences</w:t>
            </w:r>
            <w:proofErr w:type="spellEnd"/>
            <w:r w:rsidR="00120ACB">
              <w:t>)” ir minēta</w:t>
            </w:r>
            <w:r w:rsidR="00120ACB" w:rsidRPr="00F677C4">
              <w:t xml:space="preserve"> „nodokļu noziegumi, saistīti ar tiešajiem un netiešajiem nodokļiem (</w:t>
            </w:r>
            <w:proofErr w:type="spellStart"/>
            <w:r w:rsidR="00120ACB" w:rsidRPr="00F677C4">
              <w:rPr>
                <w:i/>
              </w:rPr>
              <w:t>tax</w:t>
            </w:r>
            <w:proofErr w:type="spellEnd"/>
            <w:r w:rsidR="00120ACB" w:rsidRPr="00F677C4">
              <w:rPr>
                <w:i/>
              </w:rPr>
              <w:t xml:space="preserve"> </w:t>
            </w:r>
            <w:proofErr w:type="spellStart"/>
            <w:r w:rsidR="00120ACB" w:rsidRPr="00F677C4">
              <w:rPr>
                <w:i/>
              </w:rPr>
              <w:t>crimes</w:t>
            </w:r>
            <w:proofErr w:type="spellEnd"/>
            <w:r w:rsidR="00120ACB" w:rsidRPr="00F677C4">
              <w:rPr>
                <w:i/>
              </w:rPr>
              <w:t xml:space="preserve">, </w:t>
            </w:r>
            <w:proofErr w:type="spellStart"/>
            <w:r w:rsidR="00120ACB" w:rsidRPr="00F677C4">
              <w:rPr>
                <w:i/>
              </w:rPr>
              <w:t>related</w:t>
            </w:r>
            <w:proofErr w:type="spellEnd"/>
            <w:r w:rsidR="00120ACB" w:rsidRPr="00F677C4">
              <w:rPr>
                <w:i/>
              </w:rPr>
              <w:t xml:space="preserve"> to </w:t>
            </w:r>
            <w:proofErr w:type="spellStart"/>
            <w:r w:rsidR="00120ACB" w:rsidRPr="00F677C4">
              <w:rPr>
                <w:i/>
              </w:rPr>
              <w:t>direct</w:t>
            </w:r>
            <w:proofErr w:type="spellEnd"/>
            <w:r w:rsidR="00120ACB" w:rsidRPr="00F677C4">
              <w:rPr>
                <w:i/>
              </w:rPr>
              <w:t xml:space="preserve"> </w:t>
            </w:r>
            <w:proofErr w:type="spellStart"/>
            <w:r w:rsidR="00120ACB" w:rsidRPr="00F677C4">
              <w:rPr>
                <w:i/>
              </w:rPr>
              <w:t>and</w:t>
            </w:r>
            <w:proofErr w:type="spellEnd"/>
            <w:r w:rsidR="00120ACB" w:rsidRPr="00F677C4">
              <w:rPr>
                <w:i/>
              </w:rPr>
              <w:t xml:space="preserve"> </w:t>
            </w:r>
            <w:proofErr w:type="spellStart"/>
            <w:r w:rsidR="00120ACB" w:rsidRPr="00F677C4">
              <w:rPr>
                <w:i/>
              </w:rPr>
              <w:t>indirect</w:t>
            </w:r>
            <w:proofErr w:type="spellEnd"/>
            <w:r w:rsidR="00120ACB" w:rsidRPr="00F677C4">
              <w:rPr>
                <w:i/>
              </w:rPr>
              <w:t xml:space="preserve"> </w:t>
            </w:r>
            <w:proofErr w:type="spellStart"/>
            <w:r w:rsidR="00120ACB" w:rsidRPr="00F677C4">
              <w:rPr>
                <w:i/>
              </w:rPr>
              <w:t>taxes</w:t>
            </w:r>
            <w:proofErr w:type="spellEnd"/>
            <w:r w:rsidR="00120ACB" w:rsidRPr="00F677C4">
              <w:t>)”.</w:t>
            </w:r>
          </w:p>
          <w:p w:rsidR="00126382" w:rsidRPr="00DB39CF" w:rsidRDefault="00120ACB" w:rsidP="00DB39CF">
            <w:pPr>
              <w:pStyle w:val="ListParagraph"/>
              <w:ind w:left="0"/>
              <w:jc w:val="both"/>
            </w:pPr>
            <w:r>
              <w:t xml:space="preserve">Tādējādi </w:t>
            </w:r>
            <w:r w:rsidR="00126382" w:rsidRPr="00DB39CF">
              <w:t xml:space="preserve">nodokļu krāpšana globālā mērogā tika atzīta </w:t>
            </w:r>
            <w:r w:rsidR="00126382" w:rsidRPr="007F67AE">
              <w:t>par noziedzīgi iegūtu līdzekļu legalizēšanas predikatīvu noziedzīgu nodarījumu.</w:t>
            </w:r>
            <w:r>
              <w:t xml:space="preserve"> Valstīm tika ieteikts</w:t>
            </w:r>
            <w:r w:rsidR="00126382" w:rsidRPr="00DB39CF">
              <w:t xml:space="preserve"> uzlabot esošo noziedzīgi iegūtu līdzekļu legalizācijas un terorisma finansēšanas novēršanas nacionālo regulējumu, tajā skaitā aspektos, kas ietekmē nodokļu administrāciju kompetenci.</w:t>
            </w:r>
          </w:p>
          <w:p w:rsidR="00126382" w:rsidRDefault="00126382" w:rsidP="00DB39CF">
            <w:pPr>
              <w:pStyle w:val="ListParagraph"/>
              <w:ind w:left="0"/>
              <w:jc w:val="both"/>
              <w:rPr>
                <w:rStyle w:val="hps"/>
              </w:rPr>
            </w:pPr>
            <w:r w:rsidRPr="00DB39CF">
              <w:t xml:space="preserve">2014. gada 7. novembrī Finanšu ministrija sadarbībā ar Kontroles dienestu un VID sagatavoja jautājumus FATF par informācijas apmaiņas iespējām starp VID un Kontroles dienestu. 2014. gada 2. decembrī tika saņemta FATF atbilde, kurā tika norādīts, ka FATF rekomendācijas neaizliedz un nekavē informācijas apmaiņu </w:t>
            </w:r>
            <w:r w:rsidRPr="00DB39CF">
              <w:lastRenderedPageBreak/>
              <w:t>starp kompetentajām iestādēm, ja tā veikta atbilstoši nacionālajai likumdošanai</w:t>
            </w:r>
            <w:r w:rsidR="006546C3">
              <w:t>,</w:t>
            </w:r>
            <w:r w:rsidRPr="00DB39CF">
              <w:t xml:space="preserve"> ievērojot konfidencialitātes prasības. Tai pat laikā pastāv divas prasības, kuras varētu būt attiecināma</w:t>
            </w:r>
            <w:r w:rsidR="006546C3">
              <w:t>s uz 29. rekomendācijas prasību interpretējumu</w:t>
            </w:r>
            <w:r w:rsidRPr="00DB39CF">
              <w:t xml:space="preserve">. Pirmkārt, FIV jābūt centrālajai iestādei, kurā nonāk informācija no ziņošanas subjektiem. Otrkārt, FIV jābūt neatkarīgai savā darbībā, pieņemot lēmumus par noteiktās informācijas tālāk nosūtīšanu vai izplatīšanu. FATF rekomendācijas neparedz nekādus noteiktus informācijas izplatīšanas veidus, kādos FIV to būtu tiesīga veikt. Vienīgā prasība, kas pastāv šajā kontekstā ir izmantot </w:t>
            </w:r>
            <w:r w:rsidRPr="00DB39CF">
              <w:rPr>
                <w:rStyle w:val="hps"/>
              </w:rPr>
              <w:t>specializētus,</w:t>
            </w:r>
            <w:r w:rsidRPr="00DB39CF">
              <w:t xml:space="preserve"> </w:t>
            </w:r>
            <w:r w:rsidRPr="00DB39CF">
              <w:rPr>
                <w:rStyle w:val="hps"/>
              </w:rPr>
              <w:t>drošus un aizsargātus</w:t>
            </w:r>
            <w:r w:rsidRPr="00DB39CF">
              <w:t xml:space="preserve"> </w:t>
            </w:r>
            <w:r w:rsidRPr="00DB39CF">
              <w:rPr>
                <w:rStyle w:val="hps"/>
              </w:rPr>
              <w:t>informācijas</w:t>
            </w:r>
            <w:r w:rsidRPr="00DB39CF">
              <w:t xml:space="preserve"> </w:t>
            </w:r>
            <w:r w:rsidRPr="00DB39CF">
              <w:rPr>
                <w:rStyle w:val="hps"/>
              </w:rPr>
              <w:t xml:space="preserve">izplatīšanas veidus. </w:t>
            </w:r>
          </w:p>
          <w:p w:rsidR="001E7CA5" w:rsidRDefault="006546C3" w:rsidP="001E7CA5">
            <w:pPr>
              <w:jc w:val="both"/>
            </w:pPr>
            <w:r w:rsidRPr="007F67AE">
              <w:t>Likumprojekts paredz, ka Kontroles dienests sniegs VID no kredītiestādēm saņemto informāciju par</w:t>
            </w:r>
            <w:r w:rsidR="00BC0956">
              <w:t xml:space="preserve"> aizdomīgiem un </w:t>
            </w:r>
            <w:r w:rsidRPr="007F67AE">
              <w:t xml:space="preserve"> neparastiem darījumiem atbilstoši Ministru kabineta 2008.gada 22.decembra noteikumos Nr.1071 "Noteikumi par neparasta darījuma pazīmju sarakstu un kārtību, kādā sniedzami ziņojumi par neparast</w:t>
            </w:r>
            <w:r w:rsidR="00283DB4">
              <w:t xml:space="preserve">iem vai aizdomīgiem darījumiem" </w:t>
            </w:r>
            <w:r w:rsidRPr="007F67AE">
              <w:t xml:space="preserve">noteiktajām neparasta darījuma pazīmēm.  Likumprojekts neparedz Kontroles dienesta pienākumu veikt saņemto ziņojumu </w:t>
            </w:r>
            <w:r w:rsidR="001E7CA5">
              <w:t>tādu</w:t>
            </w:r>
            <w:r w:rsidRPr="007F67AE">
              <w:t xml:space="preserve"> anal</w:t>
            </w:r>
            <w:r w:rsidR="001E7CA5">
              <w:t xml:space="preserve">īzi, kādas veikšana ir vienīgi VID kompetencē, proti, kas veicama nodokļu administrēšanas procedūras robežās. </w:t>
            </w:r>
          </w:p>
          <w:p w:rsidR="00F058E0" w:rsidRPr="00DB39CF" w:rsidRDefault="00F424CA" w:rsidP="00F058E0">
            <w:pPr>
              <w:pStyle w:val="ListParagraph"/>
              <w:ind w:left="0"/>
              <w:jc w:val="both"/>
            </w:pPr>
            <w:r>
              <w:t>J</w:t>
            </w:r>
            <w:r w:rsidR="00283DB4">
              <w:t xml:space="preserve">a darījums ir </w:t>
            </w:r>
            <w:r w:rsidR="00FC747B">
              <w:t>aizdomīgs</w:t>
            </w:r>
            <w:r w:rsidR="00283DB4">
              <w:t xml:space="preserve"> vai, ja</w:t>
            </w:r>
            <w:r w:rsidR="006546C3" w:rsidRPr="007F67AE">
              <w:t xml:space="preserve"> </w:t>
            </w:r>
            <w:r w:rsidR="00283DB4">
              <w:t>tas atbilst</w:t>
            </w:r>
            <w:r w:rsidR="006546C3" w:rsidRPr="007F67AE">
              <w:t xml:space="preserve"> neparasta darījuma pazīmēm</w:t>
            </w:r>
            <w:r w:rsidR="00283DB4">
              <w:t>, tas VID ieskatā</w:t>
            </w:r>
            <w:r w:rsidR="006546C3" w:rsidRPr="007F67AE">
              <w:t xml:space="preserve"> liecin</w:t>
            </w:r>
            <w:r w:rsidR="00F058E0" w:rsidRPr="007F67AE">
              <w:t xml:space="preserve">a  par </w:t>
            </w:r>
            <w:r w:rsidR="00F058E0" w:rsidRPr="00DB39CF">
              <w:t xml:space="preserve"> </w:t>
            </w:r>
            <w:r w:rsidR="00F058E0">
              <w:t>izvairīšanās no nodokļu nomaksas un noziedzīgi iegūtu līdzekļu</w:t>
            </w:r>
            <w:r w:rsidR="00283DB4">
              <w:t xml:space="preserve"> legalizācijas risku pastāvēšanu.</w:t>
            </w:r>
            <w:r w:rsidR="00C001D4">
              <w:t xml:space="preserve"> T</w:t>
            </w:r>
            <w:r w:rsidR="00283DB4">
              <w:t>ādējādi</w:t>
            </w:r>
            <w:r w:rsidR="006129A1">
              <w:t xml:space="preserve"> šī informācija būtu nododama VID</w:t>
            </w:r>
            <w:r w:rsidR="00F058E0">
              <w:t xml:space="preserve">. </w:t>
            </w:r>
          </w:p>
          <w:p w:rsidR="00126382" w:rsidRPr="00DB39CF" w:rsidRDefault="00F058E0" w:rsidP="00F058E0">
            <w:pPr>
              <w:jc w:val="both"/>
            </w:pPr>
            <w:r>
              <w:t>Datu aizsardzības jautājumi.</w:t>
            </w:r>
            <w:r w:rsidR="00202406">
              <w:t xml:space="preserve"> </w:t>
            </w:r>
          </w:p>
          <w:p w:rsidR="00126382" w:rsidRPr="00DB39CF" w:rsidRDefault="00126382" w:rsidP="00DB39CF">
            <w:pPr>
              <w:pStyle w:val="ListParagraph"/>
              <w:ind w:left="0"/>
              <w:jc w:val="both"/>
            </w:pPr>
            <w:r w:rsidRPr="00DB39CF">
              <w:t>Informācijas apmaiņas procesā tiks nodrošināta atbilstība Fizisko perso</w:t>
            </w:r>
            <w:r w:rsidR="00DB506D">
              <w:t xml:space="preserve">nu datu aizsardzības likuma un </w:t>
            </w:r>
            <w:r w:rsidRPr="00DB39CF">
              <w:t>Eiropas Padomes Konvencijas par personu aizsardzību attiecībā uz personas datu automātisko apstrādi prasībām.</w:t>
            </w:r>
          </w:p>
          <w:p w:rsidR="00126382" w:rsidRPr="00DB39CF" w:rsidRDefault="00126382" w:rsidP="00DB39CF">
            <w:pPr>
              <w:jc w:val="both"/>
              <w:rPr>
                <w:rFonts w:cs="Times New Roman"/>
                <w:szCs w:val="24"/>
              </w:rPr>
            </w:pPr>
            <w:r w:rsidRPr="00DB39CF">
              <w:rPr>
                <w:rFonts w:cs="Times New Roman"/>
                <w:szCs w:val="24"/>
              </w:rPr>
              <w:t>Atbilstoši NILLTFN likuma 53.panta pirmajai daļai Kontroles dienests tā rīcībā esošo informāciju drīkst izmantot tikai šajā likumā paredzētajiem mērķiem un šajā likumā noteiktajā kārtībā.</w:t>
            </w:r>
          </w:p>
          <w:p w:rsidR="00126382" w:rsidRPr="00DB39CF" w:rsidRDefault="00126382" w:rsidP="00A74068">
            <w:pPr>
              <w:jc w:val="both"/>
              <w:rPr>
                <w:rFonts w:cs="Times New Roman"/>
                <w:szCs w:val="24"/>
              </w:rPr>
            </w:pPr>
            <w:r w:rsidRPr="00DB39CF">
              <w:rPr>
                <w:rFonts w:cs="Times New Roman"/>
                <w:szCs w:val="24"/>
              </w:rPr>
              <w:t xml:space="preserve">Turklāt atbilstoši NILLTFN likuma 2.pantam šā likuma mērķis ir novērst noziedzīgi iegūtu līdzekļu legalizāciju un terorisma finansēšanu. Svarīgi atzīmēt, ka visi Krimināllikumā uzskaitītie </w:t>
            </w:r>
            <w:r w:rsidR="00EA0692">
              <w:rPr>
                <w:rFonts w:cs="Times New Roman"/>
                <w:szCs w:val="24"/>
              </w:rPr>
              <w:t>noziedzīgie nodarījumi</w:t>
            </w:r>
            <w:r w:rsidRPr="00DB39CF">
              <w:rPr>
                <w:rFonts w:cs="Times New Roman"/>
                <w:szCs w:val="24"/>
              </w:rPr>
              <w:t xml:space="preserve"> (tai skaitā noziedzīgi nodarījumi tautsaimniecībā) tiek uzskatīti par predikatīviem </w:t>
            </w:r>
            <w:r w:rsidR="00EA0692">
              <w:rPr>
                <w:rFonts w:cs="Times New Roman"/>
                <w:szCs w:val="24"/>
              </w:rPr>
              <w:t>noziedzīgajiem nodarījumiem</w:t>
            </w:r>
            <w:r w:rsidRPr="00DB39CF">
              <w:rPr>
                <w:rFonts w:cs="Times New Roman"/>
                <w:szCs w:val="24"/>
              </w:rPr>
              <w:t xml:space="preserve"> noziedzīgi iegūtu līdzekļu legalizācijas jomā (Atbilstoši NILLTFN likuma 4.</w:t>
            </w:r>
            <w:r w:rsidR="00720830">
              <w:rPr>
                <w:rFonts w:cs="Times New Roman"/>
                <w:szCs w:val="24"/>
              </w:rPr>
              <w:t>p</w:t>
            </w:r>
            <w:r w:rsidRPr="00DB39CF">
              <w:rPr>
                <w:rFonts w:cs="Times New Roman"/>
                <w:szCs w:val="24"/>
              </w:rPr>
              <w:t>anta</w:t>
            </w:r>
            <w:r w:rsidR="00285455">
              <w:rPr>
                <w:rFonts w:cs="Times New Roman"/>
                <w:szCs w:val="24"/>
              </w:rPr>
              <w:t xml:space="preserve"> pirmās daļas 1.punktam līdzekļi</w:t>
            </w:r>
            <w:r w:rsidRPr="00DB39CF">
              <w:rPr>
                <w:rFonts w:cs="Times New Roman"/>
                <w:szCs w:val="24"/>
              </w:rPr>
              <w:t xml:space="preserve"> ir atzīstami par noziedzīgi iegūtiem, ja personas īpašumā vai valdījumā tie tieši vai netieši iegūti noziedzīga nodarījuma rezultātā). Līdz ar to</w:t>
            </w:r>
            <w:r w:rsidR="00720830">
              <w:rPr>
                <w:rFonts w:cs="Times New Roman"/>
                <w:szCs w:val="24"/>
              </w:rPr>
              <w:t xml:space="preserve"> Likumprojekts, nosakot Kontrole</w:t>
            </w:r>
            <w:r w:rsidRPr="00DB39CF">
              <w:rPr>
                <w:rFonts w:cs="Times New Roman"/>
                <w:szCs w:val="24"/>
              </w:rPr>
              <w:t xml:space="preserve">s dienesta pienākumu sniegt informāciju VID, neparedz NILLTFN likumā noteiktā mērķa paplašināšanu, bet tikai novērš iespējamās interpretācijas iespējas.  Fizisko personu datu aizsardzības likuma 10.panta pirmās daļas 2.punktā ir noteikts, ka, lai aizsargātu datu </w:t>
            </w:r>
            <w:r w:rsidRPr="00DB39CF">
              <w:rPr>
                <w:rFonts w:cs="Times New Roman"/>
                <w:szCs w:val="24"/>
              </w:rPr>
              <w:lastRenderedPageBreak/>
              <w:t>subjekta intereses, pārzinis nodrošina personas datu apstrādi tikai atbilstoši paredzētajam mērķim un tam nepieciešamajā apjomā. Likumprojektā paredzētie grozījumi nerada iespējamās interpretācijas ne tikai attiecībā uz NILLTFN likumā paredzēto regulējumu, bet arī attiecībā uz Fizisko personu datu aizsardzības likumā noteiktajām prasībām.</w:t>
            </w:r>
          </w:p>
          <w:p w:rsidR="00126382" w:rsidRPr="00DB39CF" w:rsidRDefault="00A74068" w:rsidP="00A74068">
            <w:pPr>
              <w:jc w:val="both"/>
            </w:pPr>
            <w:r>
              <w:t>Īpaši datu drošības nosacījumi.</w:t>
            </w:r>
          </w:p>
          <w:p w:rsidR="00126382" w:rsidRPr="00DB39CF" w:rsidRDefault="00126382" w:rsidP="00A74068">
            <w:pPr>
              <w:pStyle w:val="ListParagraph"/>
              <w:ind w:left="0"/>
              <w:jc w:val="both"/>
            </w:pPr>
            <w:r w:rsidRPr="00DB39CF">
              <w:t xml:space="preserve">Kopš 2010.gada VID ir izveidota Informācijas sistēmu drošības pārvaldības daļa, kas sekmīgi nodrošina datu drošības aizsardzības vadību atbilstoši valsts normatīvo aktu prasībām. VID jau pašlaik veic ierobežotas pieejamības datu apmaiņu un apstrādi starp vairākiem desmitiem iekšējo un ārējo informācijas sistēmu. Lai nodrošinātu datu un informācijas sistēmu aizsardzību un atbilstību valsts normatīvo aktu prasībām, VID ir ieviesti mūsdienīgi drošības risinājumi un organizatoriski pasākumi. Pārliecību par to pietiekamību gūst, regulāri veicot neatkarīgus drošības auditus. </w:t>
            </w:r>
          </w:p>
          <w:p w:rsidR="00126382" w:rsidRPr="00DB39CF" w:rsidRDefault="00126382" w:rsidP="00A74068">
            <w:pPr>
              <w:pStyle w:val="ListParagraph"/>
              <w:ind w:left="0"/>
              <w:jc w:val="both"/>
            </w:pPr>
            <w:r w:rsidRPr="00DB39CF">
              <w:t>Informāciju par</w:t>
            </w:r>
            <w:r w:rsidR="00B7367A">
              <w:t xml:space="preserve"> aizdomīgiem un</w:t>
            </w:r>
            <w:r w:rsidRPr="00DB39CF">
              <w:t xml:space="preserve"> neparastiem darījumiem, kas tiks saņemta no Kontroles dienesta, VID apstrādās ierobežots skaits darbinieku, kuri ikdienā veic analītisko darbu un kuriem tas būs paredzēts amata aprakstā. </w:t>
            </w:r>
          </w:p>
          <w:p w:rsidR="00126382" w:rsidRPr="00BD4504" w:rsidRDefault="00126382" w:rsidP="00352B7A">
            <w:pPr>
              <w:pStyle w:val="ListParagraph"/>
              <w:ind w:left="0"/>
              <w:jc w:val="both"/>
            </w:pPr>
            <w:r w:rsidRPr="00DB39CF">
              <w:t>Tādējādi tiks ievērota FATF 29. rekomendācijas mērķis un 2014. gada 2. decembra FATF atbildes vēstules prasība, ka informācijas izplatībai jānotiek izmantojot specializētus, drošus un aizsargātus veidus.</w:t>
            </w:r>
          </w:p>
        </w:tc>
      </w:tr>
      <w:tr w:rsidR="00126382" w:rsidRPr="00225B51" w:rsidTr="00DB39CF">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rPr>
                <w:rFonts w:eastAsia="Times New Roman" w:cs="Times New Roman"/>
                <w:szCs w:val="24"/>
                <w:lang w:eastAsia="lv-LV"/>
              </w:rPr>
            </w:pPr>
            <w:r w:rsidRPr="00225B51">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rsidR="00126382" w:rsidRPr="00B741B1" w:rsidRDefault="00A74068" w:rsidP="00851BD8">
            <w:pPr>
              <w:jc w:val="both"/>
              <w:rPr>
                <w:rFonts w:cs="Times New Roman"/>
                <w:szCs w:val="24"/>
              </w:rPr>
            </w:pPr>
            <w:r w:rsidRPr="00B741B1">
              <w:rPr>
                <w:szCs w:val="24"/>
                <w:lang w:eastAsia="lv-LV"/>
              </w:rPr>
              <w:t>Finanšu ministrija, VID</w:t>
            </w:r>
            <w:r w:rsidR="00851BD8">
              <w:rPr>
                <w:szCs w:val="24"/>
                <w:lang w:eastAsia="lv-LV"/>
              </w:rPr>
              <w:t xml:space="preserve"> un</w:t>
            </w:r>
            <w:r w:rsidRPr="00B741B1">
              <w:rPr>
                <w:szCs w:val="24"/>
                <w:lang w:eastAsia="lv-LV"/>
              </w:rPr>
              <w:t xml:space="preserve"> Kontroles dienests</w:t>
            </w:r>
            <w:r w:rsidR="00851BD8">
              <w:rPr>
                <w:szCs w:val="24"/>
                <w:lang w:eastAsia="lv-LV"/>
              </w:rPr>
              <w:t>.</w:t>
            </w:r>
          </w:p>
        </w:tc>
      </w:tr>
      <w:tr w:rsidR="00126382" w:rsidRPr="00225B51" w:rsidTr="00DB39C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rPr>
                <w:rFonts w:eastAsia="Times New Roman" w:cs="Times New Roman"/>
                <w:szCs w:val="24"/>
                <w:lang w:eastAsia="lv-LV"/>
              </w:rPr>
            </w:pPr>
            <w:r w:rsidRPr="00225B51">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B39CF">
            <w:pPr>
              <w:spacing w:before="100" w:beforeAutospacing="1" w:after="100" w:afterAutospacing="1" w:line="360" w:lineRule="auto"/>
              <w:rPr>
                <w:rFonts w:eastAsia="Times New Roman" w:cs="Times New Roman"/>
                <w:szCs w:val="24"/>
                <w:lang w:eastAsia="lv-LV"/>
              </w:rPr>
            </w:pPr>
            <w:r w:rsidRPr="00225B51">
              <w:rPr>
                <w:rFonts w:eastAsia="Times New Roman" w:cs="Times New Roman"/>
                <w:szCs w:val="24"/>
                <w:lang w:eastAsia="lv-LV"/>
              </w:rPr>
              <w:t>Nav</w:t>
            </w:r>
          </w:p>
        </w:tc>
      </w:tr>
    </w:tbl>
    <w:p w:rsidR="00126382" w:rsidRDefault="00126382" w:rsidP="00126382">
      <w:pPr>
        <w:spacing w:before="100" w:beforeAutospacing="1" w:after="100" w:afterAutospacing="1" w:line="360" w:lineRule="auto"/>
        <w:rPr>
          <w:rFonts w:eastAsia="Times New Roman" w:cs="Times New Roman"/>
          <w:szCs w:val="24"/>
          <w:lang w:eastAsia="lv-LV"/>
        </w:rPr>
      </w:pPr>
    </w:p>
    <w:p w:rsidR="005354AB" w:rsidRPr="00225B51" w:rsidRDefault="005354AB" w:rsidP="00126382">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675"/>
        <w:gridCol w:w="5506"/>
      </w:tblGrid>
      <w:tr w:rsidR="00126382" w:rsidRPr="00225B51" w:rsidTr="00DC03F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II. Tiesību akta projekta ietekme uz sabiedrību, tautsaimniecības attīstību un administratīvo slogu</w:t>
            </w:r>
          </w:p>
        </w:tc>
      </w:tr>
      <w:tr w:rsidR="00126382" w:rsidRPr="00225B51" w:rsidTr="00DC03FE">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 xml:space="preserve">Sabiedrības </w:t>
            </w:r>
            <w:proofErr w:type="spellStart"/>
            <w:r w:rsidRPr="00225B51">
              <w:rPr>
                <w:rFonts w:eastAsia="Times New Roman" w:cs="Times New Roman"/>
                <w:szCs w:val="24"/>
                <w:lang w:eastAsia="lv-LV"/>
              </w:rPr>
              <w:t>mērķgrupas</w:t>
            </w:r>
            <w:proofErr w:type="spellEnd"/>
            <w:r w:rsidRPr="00225B51">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126382" w:rsidRPr="00851BD8" w:rsidRDefault="00A74068" w:rsidP="00DC03FE">
            <w:pPr>
              <w:jc w:val="both"/>
              <w:rPr>
                <w:rFonts w:eastAsia="Times New Roman" w:cs="Times New Roman"/>
                <w:szCs w:val="24"/>
                <w:lang w:eastAsia="lv-LV"/>
              </w:rPr>
            </w:pPr>
            <w:r w:rsidRPr="00851BD8">
              <w:rPr>
                <w:szCs w:val="24"/>
              </w:rPr>
              <w:t>VID</w:t>
            </w:r>
            <w:r w:rsidR="00DA4D2A" w:rsidRPr="00851BD8">
              <w:rPr>
                <w:szCs w:val="24"/>
              </w:rPr>
              <w:t>, Kontroles dienests un kredītiestādes</w:t>
            </w:r>
            <w:r w:rsidRPr="00851BD8">
              <w:rPr>
                <w:szCs w:val="24"/>
              </w:rPr>
              <w:t>.</w:t>
            </w:r>
          </w:p>
        </w:tc>
      </w:tr>
      <w:tr w:rsidR="00126382" w:rsidRPr="00225B51" w:rsidTr="00DC03FE">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126382" w:rsidRPr="00352B7A" w:rsidRDefault="00DA4D2A" w:rsidP="00DC03FE">
            <w:pPr>
              <w:jc w:val="both"/>
              <w:rPr>
                <w:szCs w:val="24"/>
              </w:rPr>
            </w:pPr>
            <w:r>
              <w:rPr>
                <w:szCs w:val="24"/>
              </w:rPr>
              <w:t>Likumprojekts nodrošinās n</w:t>
            </w:r>
            <w:r w:rsidR="00126382" w:rsidRPr="00B741B1">
              <w:rPr>
                <w:szCs w:val="24"/>
              </w:rPr>
              <w:t>odokļu nomaksas veicināšanu un</w:t>
            </w:r>
            <w:r>
              <w:rPr>
                <w:szCs w:val="24"/>
              </w:rPr>
              <w:t xml:space="preserve"> paplašinās iespējas</w:t>
            </w:r>
            <w:r w:rsidR="00126382" w:rsidRPr="00B741B1">
              <w:rPr>
                <w:szCs w:val="24"/>
              </w:rPr>
              <w:t xml:space="preserve"> </w:t>
            </w:r>
            <w:r>
              <w:rPr>
                <w:szCs w:val="24"/>
              </w:rPr>
              <w:t>VID</w:t>
            </w:r>
            <w:r w:rsidR="00126382" w:rsidRPr="00B741B1">
              <w:rPr>
                <w:szCs w:val="24"/>
              </w:rPr>
              <w:t xml:space="preserve"> apzināt personu loku, kas iespējams nav reģistrējuši visus gūtos ienākumus. Sniegtā informācija </w:t>
            </w:r>
            <w:r>
              <w:rPr>
                <w:szCs w:val="24"/>
              </w:rPr>
              <w:t>attiecībā uz</w:t>
            </w:r>
            <w:r w:rsidR="00740444">
              <w:rPr>
                <w:szCs w:val="24"/>
              </w:rPr>
              <w:t xml:space="preserve"> </w:t>
            </w:r>
            <w:r w:rsidR="00740444">
              <w:rPr>
                <w:szCs w:val="24"/>
              </w:rPr>
              <w:lastRenderedPageBreak/>
              <w:t xml:space="preserve">aizdomīgiem un </w:t>
            </w:r>
            <w:r>
              <w:rPr>
                <w:szCs w:val="24"/>
              </w:rPr>
              <w:t xml:space="preserve"> neparastiem darījumiem </w:t>
            </w:r>
            <w:r w:rsidR="00126382" w:rsidRPr="00B741B1">
              <w:rPr>
                <w:szCs w:val="24"/>
              </w:rPr>
              <w:t xml:space="preserve">uzlabos </w:t>
            </w:r>
            <w:r>
              <w:rPr>
                <w:szCs w:val="24"/>
              </w:rPr>
              <w:t>VID</w:t>
            </w:r>
            <w:r w:rsidR="00126382" w:rsidRPr="00B741B1">
              <w:rPr>
                <w:szCs w:val="24"/>
              </w:rPr>
              <w:t xml:space="preserve"> uzdevumu nodrošināt </w:t>
            </w:r>
            <w:r>
              <w:rPr>
                <w:szCs w:val="24"/>
              </w:rPr>
              <w:t>VID</w:t>
            </w:r>
            <w:r w:rsidR="00126382" w:rsidRPr="00B741B1">
              <w:rPr>
                <w:szCs w:val="24"/>
              </w:rPr>
              <w:t xml:space="preserve"> administrēto valsts nodokļu, nodevu un citu valsts noteikto obligāto maksājumu iekasēšanu valsts budžetā.</w:t>
            </w:r>
          </w:p>
        </w:tc>
      </w:tr>
      <w:tr w:rsidR="00126382" w:rsidRPr="00225B51" w:rsidTr="00DC03FE">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126382" w:rsidRPr="00352B7A" w:rsidRDefault="00352B7A" w:rsidP="00352B7A">
            <w:pPr>
              <w:jc w:val="both"/>
              <w:rPr>
                <w:rFonts w:eastAsia="Calibri" w:cs="Times New Roman"/>
                <w:szCs w:val="24"/>
              </w:rPr>
            </w:pPr>
            <w:r w:rsidRPr="00352B7A">
              <w:rPr>
                <w:szCs w:val="24"/>
              </w:rPr>
              <w:t>Likumprojekts neparedz informācijas sniegšanas prasību izmaiņas, bet paredz paplašināt informācijas izmantotāju loku.</w:t>
            </w:r>
          </w:p>
        </w:tc>
      </w:tr>
      <w:tr w:rsidR="00126382" w:rsidRPr="00225B51" w:rsidTr="00DC03FE">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spacing w:before="100" w:beforeAutospacing="1" w:after="100" w:afterAutospacing="1" w:line="360" w:lineRule="auto"/>
              <w:jc w:val="both"/>
              <w:rPr>
                <w:rFonts w:eastAsia="Times New Roman" w:cs="Times New Roman"/>
                <w:szCs w:val="24"/>
                <w:lang w:eastAsia="lv-LV"/>
              </w:rPr>
            </w:pPr>
            <w:r w:rsidRPr="00225B51">
              <w:rPr>
                <w:rFonts w:eastAsia="Times New Roman" w:cs="Times New Roman"/>
                <w:szCs w:val="24"/>
                <w:lang w:eastAsia="lv-LV"/>
              </w:rPr>
              <w:t xml:space="preserve">Nav </w:t>
            </w:r>
          </w:p>
        </w:tc>
      </w:tr>
    </w:tbl>
    <w:p w:rsidR="00126382" w:rsidRDefault="00126382" w:rsidP="00126382">
      <w:pPr>
        <w:spacing w:before="100" w:beforeAutospacing="1" w:after="100" w:afterAutospacing="1" w:line="360" w:lineRule="auto"/>
        <w:rPr>
          <w:rFonts w:eastAsia="Times New Roman" w:cs="Times New Roman"/>
          <w:szCs w:val="24"/>
          <w:lang w:eastAsia="lv-LV"/>
        </w:rPr>
      </w:pPr>
    </w:p>
    <w:p w:rsidR="005354AB" w:rsidRPr="00225B51" w:rsidRDefault="005354AB" w:rsidP="0012638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3"/>
        <w:gridCol w:w="1185"/>
        <w:gridCol w:w="1350"/>
        <w:gridCol w:w="1352"/>
        <w:gridCol w:w="1352"/>
        <w:gridCol w:w="1761"/>
      </w:tblGrid>
      <w:tr w:rsidR="00126382" w:rsidRPr="00225B51" w:rsidTr="00DC03FE">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III. Tiesību akta projekta ietekme uz valsts budžetu un pašvaldību budžetiem</w:t>
            </w:r>
          </w:p>
        </w:tc>
      </w:tr>
      <w:tr w:rsidR="00126382" w:rsidRPr="00225B51" w:rsidTr="00126382">
        <w:trPr>
          <w:tblCellSpacing w:w="15" w:type="dxa"/>
          <w:jc w:val="center"/>
        </w:trPr>
        <w:tc>
          <w:tcPr>
            <w:tcW w:w="942" w:type="pct"/>
            <w:vMerge w:val="restar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Rādītāji</w:t>
            </w:r>
          </w:p>
        </w:tc>
        <w:tc>
          <w:tcPr>
            <w:tcW w:w="145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2015</w:t>
            </w:r>
            <w:r w:rsidRPr="00225B51">
              <w:rPr>
                <w:rFonts w:eastAsia="Times New Roman" w:cs="Times New Roman"/>
                <w:b/>
                <w:bCs/>
                <w:szCs w:val="24"/>
                <w:lang w:eastAsia="lv-LV"/>
              </w:rPr>
              <w:t>. gads</w:t>
            </w:r>
          </w:p>
        </w:tc>
        <w:tc>
          <w:tcPr>
            <w:tcW w:w="2538" w:type="pct"/>
            <w:gridSpan w:val="3"/>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Turpmākie trīs gadi (</w:t>
            </w:r>
            <w:proofErr w:type="spellStart"/>
            <w:r w:rsidRPr="00225B51">
              <w:rPr>
                <w:rFonts w:eastAsia="Times New Roman" w:cs="Times New Roman"/>
                <w:i/>
                <w:iCs/>
                <w:szCs w:val="24"/>
                <w:lang w:eastAsia="lv-LV"/>
              </w:rPr>
              <w:t>euro</w:t>
            </w:r>
            <w:proofErr w:type="spellEnd"/>
            <w:r w:rsidRPr="00225B51">
              <w:rPr>
                <w:rFonts w:eastAsia="Times New Roman" w:cs="Times New Roman"/>
                <w:szCs w:val="24"/>
                <w:lang w:eastAsia="lv-LV"/>
              </w:rPr>
              <w:t>)</w:t>
            </w:r>
          </w:p>
        </w:tc>
      </w:tr>
      <w:tr w:rsidR="00126382" w:rsidRPr="00225B51" w:rsidTr="001263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rPr>
                <w:rFonts w:eastAsia="Times New Roman" w:cs="Times New Roman"/>
                <w:b/>
                <w:bCs/>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rPr>
                <w:rFonts w:eastAsia="Times New Roman" w:cs="Times New Roman"/>
                <w:b/>
                <w:bCs/>
                <w:szCs w:val="24"/>
                <w:lang w:eastAsia="lv-LV"/>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2016</w:t>
            </w:r>
          </w:p>
        </w:tc>
        <w:tc>
          <w:tcPr>
            <w:tcW w:w="775"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201</w:t>
            </w:r>
            <w:r>
              <w:rPr>
                <w:rFonts w:eastAsia="Times New Roman" w:cs="Times New Roman"/>
                <w:b/>
                <w:bCs/>
                <w:szCs w:val="24"/>
                <w:lang w:eastAsia="lv-LV"/>
              </w:rPr>
              <w:t>7</w:t>
            </w:r>
          </w:p>
        </w:tc>
        <w:tc>
          <w:tcPr>
            <w:tcW w:w="952"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201</w:t>
            </w:r>
            <w:r>
              <w:rPr>
                <w:rFonts w:eastAsia="Times New Roman" w:cs="Times New Roman"/>
                <w:b/>
                <w:bCs/>
                <w:szCs w:val="24"/>
                <w:lang w:eastAsia="lv-LV"/>
              </w:rPr>
              <w:t>8</w:t>
            </w:r>
          </w:p>
        </w:tc>
      </w:tr>
      <w:tr w:rsidR="00126382" w:rsidRPr="00225B51" w:rsidTr="001263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rPr>
                <w:rFonts w:eastAsia="Times New Roman" w:cs="Times New Roman"/>
                <w:b/>
                <w:bCs/>
                <w:szCs w:val="24"/>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saskaņā ar valsts budžetu kārtējam gadam</w:t>
            </w:r>
          </w:p>
        </w:tc>
        <w:tc>
          <w:tcPr>
            <w:tcW w:w="757"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izmaiņas kārtējā gadā, salīdzinot ar valsts budžetu kārtējam gadam</w:t>
            </w:r>
          </w:p>
        </w:tc>
        <w:tc>
          <w:tcPr>
            <w:tcW w:w="775"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izmaiņas, salīdzinot ar kārtējo (n) gadu</w:t>
            </w:r>
          </w:p>
        </w:tc>
        <w:tc>
          <w:tcPr>
            <w:tcW w:w="775"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izmaiņas, salīdzinot ar kārtējo (n) gadu</w:t>
            </w:r>
          </w:p>
        </w:tc>
        <w:tc>
          <w:tcPr>
            <w:tcW w:w="952"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izmaiņas, salīdzinot ar kārtējo (n) gadu</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2</w:t>
            </w:r>
          </w:p>
        </w:tc>
        <w:tc>
          <w:tcPr>
            <w:tcW w:w="757"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3</w:t>
            </w:r>
          </w:p>
        </w:tc>
        <w:tc>
          <w:tcPr>
            <w:tcW w:w="775"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4</w:t>
            </w:r>
          </w:p>
        </w:tc>
        <w:tc>
          <w:tcPr>
            <w:tcW w:w="775"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5</w:t>
            </w:r>
          </w:p>
        </w:tc>
        <w:tc>
          <w:tcPr>
            <w:tcW w:w="952" w:type="pct"/>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6</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1. Budžeta ieņēmumi:</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FA4173" w:rsidP="00126382">
            <w:pPr>
              <w:jc w:val="both"/>
              <w:rPr>
                <w:sz w:val="26"/>
                <w:szCs w:val="26"/>
                <w:lang w:eastAsia="lv-LV"/>
              </w:rPr>
            </w:pPr>
            <w:r>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FA4173" w:rsidP="00217EBA">
            <w:pPr>
              <w:jc w:val="both"/>
              <w:rPr>
                <w:sz w:val="26"/>
                <w:szCs w:val="26"/>
                <w:lang w:eastAsia="lv-LV"/>
              </w:rPr>
            </w:pPr>
            <w:r>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FA4173" w:rsidP="00217EBA">
            <w:pPr>
              <w:jc w:val="both"/>
              <w:rPr>
                <w:sz w:val="26"/>
                <w:szCs w:val="26"/>
                <w:lang w:eastAsia="lv-LV"/>
              </w:rPr>
            </w:pPr>
            <w:r>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9D663F" w:rsidP="00217EBA">
            <w:pPr>
              <w:jc w:val="both"/>
              <w:rPr>
                <w:sz w:val="26"/>
                <w:szCs w:val="26"/>
                <w:lang w:eastAsia="lv-LV"/>
              </w:rPr>
            </w:pPr>
            <w:r>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1.1. valsts pamatbudžets, tai skaitā ieņēmumi no maksas pakalpojumiem un citi pašu ieņēmumi</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217EBA">
            <w:pPr>
              <w:jc w:val="both"/>
              <w:rPr>
                <w:sz w:val="26"/>
                <w:szCs w:val="26"/>
                <w:lang w:eastAsia="lv-LV"/>
              </w:rPr>
            </w:pPr>
            <w:r>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lang w:eastAsia="lv-LV"/>
              </w:rPr>
            </w:pPr>
            <w:r>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lang w:eastAsia="lv-LV"/>
              </w:rPr>
            </w:pPr>
            <w:r>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1.2. valsts speciālais budžets</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lang w:eastAsia="lv-LV"/>
              </w:rPr>
            </w:pPr>
            <w:r>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lang w:eastAsia="lv-LV"/>
              </w:rPr>
            </w:pPr>
            <w:r>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lang w:eastAsia="lv-LV"/>
              </w:rPr>
            </w:pPr>
            <w:r>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lastRenderedPageBreak/>
              <w:t>1.3. pašvaldību budžets</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lang w:eastAsia="lv-LV"/>
              </w:rPr>
            </w:pPr>
            <w:r>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lang w:eastAsia="lv-LV"/>
              </w:rPr>
            </w:pPr>
            <w:r>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lang w:eastAsia="lv-LV"/>
              </w:rPr>
            </w:pPr>
            <w:r>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2. Budžeta izdevumi:</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2.1. valsts pamatbudžets</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2.2. valsts speciālais budžets</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jc w:val="both"/>
              <w:rPr>
                <w:sz w:val="26"/>
                <w:szCs w:val="26"/>
                <w:lang w:eastAsia="lv-LV"/>
              </w:rPr>
            </w:pPr>
            <w:r w:rsidRPr="007F67AE">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jc w:val="both"/>
              <w:rPr>
                <w:sz w:val="26"/>
                <w:szCs w:val="26"/>
                <w:lang w:eastAsia="lv-LV"/>
              </w:rPr>
            </w:pPr>
            <w:r w:rsidRPr="007F67AE">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jc w:val="both"/>
              <w:rPr>
                <w:sz w:val="26"/>
                <w:szCs w:val="26"/>
                <w:lang w:eastAsia="lv-LV"/>
              </w:rPr>
            </w:pPr>
            <w:r w:rsidRPr="007F67AE">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2.3. pašvaldību budžets</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jc w:val="both"/>
              <w:rPr>
                <w:sz w:val="26"/>
                <w:szCs w:val="26"/>
                <w:lang w:eastAsia="lv-LV"/>
              </w:rPr>
            </w:pPr>
            <w:r w:rsidRPr="007F67AE">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jc w:val="both"/>
              <w:rPr>
                <w:sz w:val="26"/>
                <w:szCs w:val="26"/>
                <w:lang w:eastAsia="lv-LV"/>
              </w:rPr>
            </w:pPr>
            <w:r w:rsidRPr="007F67AE">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jc w:val="both"/>
              <w:rPr>
                <w:sz w:val="26"/>
                <w:szCs w:val="26"/>
                <w:lang w:eastAsia="lv-LV"/>
              </w:rPr>
            </w:pPr>
            <w:r w:rsidRPr="007F67AE">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3. Finansiālā ietekme:</w:t>
            </w:r>
          </w:p>
        </w:tc>
        <w:tc>
          <w:tcPr>
            <w:tcW w:w="677" w:type="pct"/>
            <w:tcBorders>
              <w:top w:val="outset" w:sz="6" w:space="0" w:color="auto"/>
              <w:left w:val="outset" w:sz="6" w:space="0" w:color="auto"/>
              <w:bottom w:val="outset" w:sz="6" w:space="0" w:color="auto"/>
              <w:right w:val="outset" w:sz="6" w:space="0" w:color="auto"/>
            </w:tcBorders>
            <w:vAlign w:val="center"/>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FA4173" w:rsidP="00126382">
            <w:pPr>
              <w:jc w:val="both"/>
              <w:rPr>
                <w:sz w:val="26"/>
                <w:szCs w:val="26"/>
                <w:lang w:eastAsia="lv-LV"/>
              </w:rPr>
            </w:pPr>
            <w:r>
              <w:rPr>
                <w:sz w:val="26"/>
                <w:szCs w:val="26"/>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FA4173" w:rsidP="00217EBA">
            <w:pPr>
              <w:jc w:val="both"/>
              <w:rPr>
                <w:sz w:val="26"/>
                <w:szCs w:val="26"/>
              </w:rPr>
            </w:pPr>
            <w:r>
              <w:rPr>
                <w:sz w:val="26"/>
                <w:szCs w:val="26"/>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FA4173" w:rsidP="00217EBA">
            <w:pPr>
              <w:jc w:val="both"/>
              <w:rPr>
                <w:sz w:val="26"/>
                <w:szCs w:val="26"/>
              </w:rPr>
            </w:pPr>
            <w:r>
              <w:rPr>
                <w:sz w:val="26"/>
                <w:szCs w:val="26"/>
              </w:rPr>
              <w:t>0</w:t>
            </w:r>
          </w:p>
        </w:tc>
        <w:tc>
          <w:tcPr>
            <w:tcW w:w="952" w:type="pct"/>
            <w:tcBorders>
              <w:top w:val="outset" w:sz="6" w:space="0" w:color="auto"/>
              <w:left w:val="outset" w:sz="6" w:space="0" w:color="auto"/>
              <w:bottom w:val="outset" w:sz="6" w:space="0" w:color="auto"/>
              <w:right w:val="outset" w:sz="6" w:space="0" w:color="auto"/>
            </w:tcBorders>
          </w:tcPr>
          <w:p w:rsidR="00126382" w:rsidRPr="007F67AE" w:rsidRDefault="009D663F" w:rsidP="00217EBA">
            <w:pPr>
              <w:jc w:val="both"/>
              <w:rPr>
                <w:sz w:val="26"/>
                <w:szCs w:val="26"/>
              </w:rPr>
            </w:pPr>
            <w:r>
              <w:rPr>
                <w:sz w:val="26"/>
                <w:szCs w:val="26"/>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3.1. valsts pamatbudžets</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FA4173" w:rsidP="00126382">
            <w:pPr>
              <w:jc w:val="both"/>
              <w:rPr>
                <w:sz w:val="26"/>
                <w:szCs w:val="26"/>
                <w:lang w:eastAsia="lv-LV"/>
              </w:rPr>
            </w:pPr>
            <w:r>
              <w:rPr>
                <w:sz w:val="26"/>
                <w:szCs w:val="26"/>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FA4173" w:rsidP="00217EBA">
            <w:pPr>
              <w:jc w:val="both"/>
              <w:rPr>
                <w:sz w:val="26"/>
                <w:szCs w:val="26"/>
              </w:rPr>
            </w:pPr>
            <w:r>
              <w:rPr>
                <w:sz w:val="26"/>
                <w:szCs w:val="26"/>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FA4173" w:rsidP="00217EBA">
            <w:pPr>
              <w:jc w:val="both"/>
              <w:rPr>
                <w:sz w:val="26"/>
                <w:szCs w:val="26"/>
              </w:rPr>
            </w:pPr>
            <w:r>
              <w:rPr>
                <w:sz w:val="26"/>
                <w:szCs w:val="26"/>
              </w:rPr>
              <w:t>0</w:t>
            </w:r>
          </w:p>
        </w:tc>
        <w:tc>
          <w:tcPr>
            <w:tcW w:w="952" w:type="pct"/>
            <w:tcBorders>
              <w:top w:val="outset" w:sz="6" w:space="0" w:color="auto"/>
              <w:left w:val="outset" w:sz="6" w:space="0" w:color="auto"/>
              <w:bottom w:val="outset" w:sz="6" w:space="0" w:color="auto"/>
              <w:right w:val="outset" w:sz="6" w:space="0" w:color="auto"/>
            </w:tcBorders>
          </w:tcPr>
          <w:p w:rsidR="00126382" w:rsidRPr="007F67AE" w:rsidRDefault="009D663F" w:rsidP="00217EBA">
            <w:pPr>
              <w:jc w:val="both"/>
              <w:rPr>
                <w:sz w:val="26"/>
                <w:szCs w:val="26"/>
              </w:rPr>
            </w:pPr>
            <w:r>
              <w:rPr>
                <w:sz w:val="26"/>
                <w:szCs w:val="26"/>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3.2. speciālais budžets</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rPr>
            </w:pPr>
            <w:r>
              <w:rPr>
                <w:sz w:val="26"/>
                <w:szCs w:val="26"/>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rPr>
            </w:pPr>
            <w:r>
              <w:rPr>
                <w:sz w:val="26"/>
                <w:szCs w:val="26"/>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rPr>
            </w:pPr>
            <w:r>
              <w:rPr>
                <w:sz w:val="26"/>
                <w:szCs w:val="26"/>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3.3. pašvaldību budžets</w:t>
            </w:r>
          </w:p>
        </w:tc>
        <w:tc>
          <w:tcPr>
            <w:tcW w:w="67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rPr>
            </w:pPr>
            <w:r>
              <w:rPr>
                <w:sz w:val="26"/>
                <w:szCs w:val="26"/>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rPr>
            </w:pPr>
            <w:r>
              <w:rPr>
                <w:sz w:val="26"/>
                <w:szCs w:val="26"/>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9D663F" w:rsidP="00126382">
            <w:pPr>
              <w:jc w:val="both"/>
              <w:rPr>
                <w:sz w:val="26"/>
                <w:szCs w:val="26"/>
              </w:rPr>
            </w:pPr>
            <w:r>
              <w:rPr>
                <w:sz w:val="26"/>
                <w:szCs w:val="26"/>
              </w:rPr>
              <w:t>0</w:t>
            </w:r>
          </w:p>
        </w:tc>
      </w:tr>
      <w:tr w:rsidR="00126382" w:rsidRPr="00225B51" w:rsidTr="00126382">
        <w:trPr>
          <w:tblCellSpacing w:w="15" w:type="dxa"/>
          <w:jc w:val="center"/>
        </w:trPr>
        <w:tc>
          <w:tcPr>
            <w:tcW w:w="942" w:type="pct"/>
            <w:vMerge w:val="restar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4. Finanšu līdzekļi papildu izdevumu finansēšanai (kompensējošu izdevumu samazinājumu norāda ar "+" zīmi)</w:t>
            </w:r>
          </w:p>
        </w:tc>
        <w:tc>
          <w:tcPr>
            <w:tcW w:w="677" w:type="pct"/>
            <w:vMerge w:val="restar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p>
          <w:p w:rsidR="00126382" w:rsidRPr="00F66D54" w:rsidRDefault="00126382" w:rsidP="00126382">
            <w:pPr>
              <w:jc w:val="both"/>
              <w:rPr>
                <w:sz w:val="26"/>
                <w:szCs w:val="26"/>
                <w:lang w:eastAsia="lv-LV"/>
              </w:rPr>
            </w:pPr>
          </w:p>
          <w:p w:rsidR="00126382" w:rsidRPr="00F66D54" w:rsidRDefault="00126382" w:rsidP="00126382">
            <w:pPr>
              <w:jc w:val="both"/>
              <w:rPr>
                <w:sz w:val="26"/>
                <w:szCs w:val="26"/>
                <w:lang w:eastAsia="lv-LV"/>
              </w:rPr>
            </w:pPr>
            <w:r w:rsidRPr="00F66D54">
              <w:rPr>
                <w:sz w:val="26"/>
                <w:szCs w:val="26"/>
                <w:lang w:eastAsia="lv-LV"/>
              </w:rPr>
              <w:t>X</w:t>
            </w:r>
          </w:p>
          <w:p w:rsidR="00126382" w:rsidRPr="00F66D54" w:rsidRDefault="00126382" w:rsidP="00126382">
            <w:pPr>
              <w:jc w:val="both"/>
              <w:rPr>
                <w:sz w:val="26"/>
                <w:szCs w:val="26"/>
                <w:lang w:eastAsia="lv-LV"/>
              </w:rPr>
            </w:pPr>
          </w:p>
          <w:p w:rsidR="00126382" w:rsidRPr="00F66D54" w:rsidRDefault="00126382" w:rsidP="00126382">
            <w:pPr>
              <w:jc w:val="both"/>
              <w:rPr>
                <w:sz w:val="26"/>
                <w:szCs w:val="26"/>
                <w:lang w:eastAsia="lv-LV"/>
              </w:rPr>
            </w:pPr>
          </w:p>
          <w:p w:rsidR="00126382" w:rsidRPr="00F66D54" w:rsidRDefault="00126382" w:rsidP="00126382">
            <w:pPr>
              <w:jc w:val="both"/>
              <w:rPr>
                <w:sz w:val="26"/>
                <w:szCs w:val="26"/>
                <w:lang w:eastAsia="lv-LV"/>
              </w:rPr>
            </w:pPr>
            <w:r w:rsidRPr="00F66D54">
              <w:rPr>
                <w:sz w:val="26"/>
                <w:szCs w:val="26"/>
                <w:lang w:eastAsia="lv-LV"/>
              </w:rPr>
              <w:t>X</w:t>
            </w:r>
          </w:p>
          <w:p w:rsidR="00126382" w:rsidRPr="00F66D54" w:rsidRDefault="00126382" w:rsidP="00126382">
            <w:pPr>
              <w:jc w:val="both"/>
              <w:rPr>
                <w:sz w:val="26"/>
                <w:szCs w:val="26"/>
                <w:lang w:eastAsia="lv-LV"/>
              </w:rPr>
            </w:pP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tcPr>
          <w:p w:rsidR="00126382" w:rsidRPr="007F67AE" w:rsidRDefault="00126382" w:rsidP="00126382">
            <w:pPr>
              <w:jc w:val="both"/>
              <w:rPr>
                <w:sz w:val="26"/>
                <w:szCs w:val="26"/>
                <w:lang w:eastAsia="lv-LV"/>
              </w:rPr>
            </w:pPr>
            <w:r w:rsidRPr="007F67AE">
              <w:rPr>
                <w:sz w:val="26"/>
                <w:szCs w:val="26"/>
                <w:lang w:eastAsia="lv-LV"/>
              </w:rPr>
              <w:t>0</w:t>
            </w:r>
          </w:p>
        </w:tc>
      </w:tr>
      <w:tr w:rsidR="00126382" w:rsidRPr="00225B51" w:rsidTr="001263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126382">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p>
        </w:tc>
        <w:tc>
          <w:tcPr>
            <w:tcW w:w="757"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rPr>
                <w:rFonts w:eastAsia="Times New Roman" w:cs="Times New Roman"/>
                <w:szCs w:val="24"/>
                <w:lang w:eastAsia="lv-LV"/>
              </w:rPr>
            </w:pPr>
            <w:r w:rsidRPr="007F67AE">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rPr>
                <w:rFonts w:eastAsia="Times New Roman" w:cs="Times New Roman"/>
                <w:szCs w:val="24"/>
                <w:lang w:eastAsia="lv-LV"/>
              </w:rPr>
            </w:pPr>
            <w:r w:rsidRPr="007F67AE">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rPr>
                <w:rFonts w:eastAsia="Times New Roman" w:cs="Times New Roman"/>
                <w:szCs w:val="24"/>
                <w:lang w:eastAsia="lv-LV"/>
              </w:rPr>
            </w:pPr>
            <w:r w:rsidRPr="007F67AE">
              <w:rPr>
                <w:sz w:val="26"/>
                <w:szCs w:val="26"/>
                <w:lang w:eastAsia="lv-LV"/>
              </w:rPr>
              <w:t>0</w:t>
            </w:r>
          </w:p>
        </w:tc>
      </w:tr>
      <w:tr w:rsidR="00126382" w:rsidRPr="00225B51" w:rsidTr="001263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126382">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126382">
            <w:pPr>
              <w:rPr>
                <w:rFonts w:eastAsia="Times New Roman" w:cs="Times New Roman"/>
                <w:szCs w:val="24"/>
                <w:lang w:eastAsia="lv-LV"/>
              </w:rPr>
            </w:pPr>
          </w:p>
        </w:tc>
        <w:tc>
          <w:tcPr>
            <w:tcW w:w="757"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rPr>
                <w:rFonts w:eastAsia="Times New Roman" w:cs="Times New Roman"/>
                <w:szCs w:val="24"/>
                <w:lang w:eastAsia="lv-LV"/>
              </w:rPr>
            </w:pPr>
            <w:r w:rsidRPr="007F67AE">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rPr>
                <w:rFonts w:eastAsia="Times New Roman" w:cs="Times New Roman"/>
                <w:szCs w:val="24"/>
                <w:lang w:eastAsia="lv-LV"/>
              </w:rPr>
            </w:pPr>
            <w:r w:rsidRPr="007F67AE">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7F67AE" w:rsidRDefault="00126382" w:rsidP="00126382">
            <w:pPr>
              <w:rPr>
                <w:rFonts w:eastAsia="Times New Roman" w:cs="Times New Roman"/>
                <w:szCs w:val="24"/>
                <w:lang w:eastAsia="lv-LV"/>
              </w:rPr>
            </w:pPr>
            <w:r w:rsidRPr="007F67AE">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5. Precizēta finansiālā ietekme:</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126382" w:rsidRPr="00F66D54" w:rsidRDefault="00126382" w:rsidP="00126382">
            <w:pPr>
              <w:rPr>
                <w:sz w:val="26"/>
                <w:szCs w:val="26"/>
                <w:lang w:eastAsia="lv-LV"/>
              </w:rPr>
            </w:pPr>
          </w:p>
          <w:p w:rsidR="00126382" w:rsidRPr="00F66D54" w:rsidRDefault="00126382" w:rsidP="00126382">
            <w:pPr>
              <w:rPr>
                <w:sz w:val="26"/>
                <w:szCs w:val="26"/>
                <w:lang w:eastAsia="lv-LV"/>
              </w:rPr>
            </w:pPr>
            <w:r w:rsidRPr="00F66D54">
              <w:rPr>
                <w:sz w:val="26"/>
                <w:szCs w:val="26"/>
                <w:lang w:eastAsia="lv-LV"/>
              </w:rPr>
              <w:t>0</w:t>
            </w:r>
          </w:p>
          <w:p w:rsidR="00126382" w:rsidRPr="00F66D54" w:rsidRDefault="00126382" w:rsidP="00126382">
            <w:pPr>
              <w:rPr>
                <w:sz w:val="26"/>
                <w:szCs w:val="26"/>
                <w:lang w:eastAsia="lv-LV"/>
              </w:rPr>
            </w:pPr>
            <w:r w:rsidRPr="00F66D54">
              <w:rPr>
                <w:sz w:val="26"/>
                <w:szCs w:val="26"/>
                <w:lang w:eastAsia="lv-LV"/>
              </w:rPr>
              <w:t>0</w:t>
            </w:r>
          </w:p>
        </w:tc>
        <w:tc>
          <w:tcPr>
            <w:tcW w:w="757" w:type="pct"/>
            <w:tcBorders>
              <w:top w:val="outset" w:sz="6" w:space="0" w:color="auto"/>
              <w:left w:val="outset" w:sz="6" w:space="0" w:color="auto"/>
              <w:bottom w:val="outset" w:sz="6" w:space="0" w:color="auto"/>
              <w:right w:val="outset" w:sz="6" w:space="0" w:color="auto"/>
            </w:tcBorders>
            <w:hideMark/>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tcPr>
          <w:p w:rsidR="00126382" w:rsidRPr="00F66D54" w:rsidRDefault="00126382" w:rsidP="00126382">
            <w:pPr>
              <w:jc w:val="both"/>
              <w:rPr>
                <w:sz w:val="26"/>
                <w:szCs w:val="26"/>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tcPr>
          <w:p w:rsidR="00126382" w:rsidRPr="00F66D54" w:rsidRDefault="00126382" w:rsidP="00126382">
            <w:pPr>
              <w:jc w:val="both"/>
              <w:rPr>
                <w:sz w:val="26"/>
                <w:szCs w:val="26"/>
                <w:lang w:eastAsia="lv-LV"/>
              </w:rPr>
            </w:pPr>
            <w:r w:rsidRPr="00F66D54">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tcPr>
          <w:p w:rsidR="00126382" w:rsidRPr="00F66D54" w:rsidRDefault="00126382" w:rsidP="00126382">
            <w:pPr>
              <w:jc w:val="both"/>
              <w:rPr>
                <w:sz w:val="26"/>
                <w:szCs w:val="26"/>
                <w:lang w:eastAsia="lv-LV"/>
              </w:rPr>
            </w:pPr>
            <w:r w:rsidRPr="00F66D54">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126382">
            <w:pPr>
              <w:rPr>
                <w:rFonts w:eastAsia="Times New Roman" w:cs="Times New Roman"/>
                <w:szCs w:val="24"/>
                <w:lang w:eastAsia="lv-LV"/>
              </w:rPr>
            </w:pPr>
          </w:p>
        </w:tc>
        <w:tc>
          <w:tcPr>
            <w:tcW w:w="757"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F66D54">
              <w:rPr>
                <w:sz w:val="26"/>
                <w:szCs w:val="26"/>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F66D54">
              <w:rPr>
                <w:sz w:val="26"/>
                <w:szCs w:val="26"/>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p>
        </w:tc>
        <w:tc>
          <w:tcPr>
            <w:tcW w:w="757"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225B51" w:rsidRDefault="009D663F" w:rsidP="00126382">
            <w:pPr>
              <w:rPr>
                <w:rFonts w:eastAsia="Times New Roman" w:cs="Times New Roman"/>
                <w:szCs w:val="24"/>
                <w:lang w:eastAsia="lv-LV"/>
              </w:rPr>
            </w:pPr>
            <w:r>
              <w:rPr>
                <w:rFonts w:eastAsia="Times New Roman" w:cs="Times New Roman"/>
                <w:szCs w:val="24"/>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225B51" w:rsidRDefault="009D663F" w:rsidP="00126382">
            <w:pPr>
              <w:rPr>
                <w:rFonts w:eastAsia="Times New Roman" w:cs="Times New Roman"/>
                <w:szCs w:val="24"/>
                <w:lang w:eastAsia="lv-LV"/>
              </w:rPr>
            </w:pPr>
            <w:r>
              <w:rPr>
                <w:rFonts w:eastAsia="Times New Roman" w:cs="Times New Roman"/>
                <w:szCs w:val="24"/>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225B51" w:rsidRDefault="009D663F" w:rsidP="00126382">
            <w:pPr>
              <w:rPr>
                <w:rFonts w:eastAsia="Times New Roman" w:cs="Times New Roman"/>
                <w:szCs w:val="24"/>
                <w:lang w:eastAsia="lv-LV"/>
              </w:rPr>
            </w:pPr>
            <w:r>
              <w:rPr>
                <w:rFonts w:eastAsia="Times New Roman" w:cs="Times New Roman"/>
                <w:szCs w:val="24"/>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225B51">
              <w:rPr>
                <w:rFonts w:eastAsia="Times New Roman" w:cs="Times New Roman"/>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p>
        </w:tc>
        <w:tc>
          <w:tcPr>
            <w:tcW w:w="757" w:type="pct"/>
            <w:tcBorders>
              <w:top w:val="outset" w:sz="6" w:space="0" w:color="auto"/>
              <w:left w:val="outset" w:sz="6" w:space="0" w:color="auto"/>
              <w:bottom w:val="outset" w:sz="6" w:space="0" w:color="auto"/>
              <w:right w:val="outset" w:sz="6" w:space="0" w:color="auto"/>
            </w:tcBorders>
            <w:hideMark/>
          </w:tcPr>
          <w:p w:rsidR="00126382" w:rsidRPr="00225B51" w:rsidRDefault="00126382" w:rsidP="00126382">
            <w:pPr>
              <w:rPr>
                <w:rFonts w:eastAsia="Times New Roman" w:cs="Times New Roman"/>
                <w:szCs w:val="24"/>
                <w:lang w:eastAsia="lv-LV"/>
              </w:rPr>
            </w:pPr>
            <w:r w:rsidRPr="00F66D54">
              <w:rPr>
                <w:sz w:val="26"/>
                <w:szCs w:val="26"/>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225B51" w:rsidRDefault="009D663F" w:rsidP="00126382">
            <w:pPr>
              <w:rPr>
                <w:rFonts w:eastAsia="Times New Roman" w:cs="Times New Roman"/>
                <w:szCs w:val="24"/>
                <w:lang w:eastAsia="lv-LV"/>
              </w:rPr>
            </w:pPr>
            <w:r>
              <w:rPr>
                <w:rFonts w:eastAsia="Times New Roman" w:cs="Times New Roman"/>
                <w:szCs w:val="24"/>
                <w:lang w:eastAsia="lv-LV"/>
              </w:rPr>
              <w:t>0</w:t>
            </w:r>
          </w:p>
        </w:tc>
        <w:tc>
          <w:tcPr>
            <w:tcW w:w="775" w:type="pct"/>
            <w:tcBorders>
              <w:top w:val="outset" w:sz="6" w:space="0" w:color="auto"/>
              <w:left w:val="outset" w:sz="6" w:space="0" w:color="auto"/>
              <w:bottom w:val="outset" w:sz="6" w:space="0" w:color="auto"/>
              <w:right w:val="outset" w:sz="6" w:space="0" w:color="auto"/>
            </w:tcBorders>
            <w:hideMark/>
          </w:tcPr>
          <w:p w:rsidR="00126382" w:rsidRPr="00225B51" w:rsidRDefault="009D663F" w:rsidP="00126382">
            <w:pPr>
              <w:rPr>
                <w:rFonts w:eastAsia="Times New Roman" w:cs="Times New Roman"/>
                <w:szCs w:val="24"/>
                <w:lang w:eastAsia="lv-LV"/>
              </w:rPr>
            </w:pPr>
            <w:r>
              <w:rPr>
                <w:rFonts w:eastAsia="Times New Roman" w:cs="Times New Roman"/>
                <w:szCs w:val="24"/>
                <w:lang w:eastAsia="lv-LV"/>
              </w:rPr>
              <w:t>0</w:t>
            </w:r>
          </w:p>
        </w:tc>
        <w:tc>
          <w:tcPr>
            <w:tcW w:w="952" w:type="pct"/>
            <w:tcBorders>
              <w:top w:val="outset" w:sz="6" w:space="0" w:color="auto"/>
              <w:left w:val="outset" w:sz="6" w:space="0" w:color="auto"/>
              <w:bottom w:val="outset" w:sz="6" w:space="0" w:color="auto"/>
              <w:right w:val="outset" w:sz="6" w:space="0" w:color="auto"/>
            </w:tcBorders>
            <w:hideMark/>
          </w:tcPr>
          <w:p w:rsidR="00126382" w:rsidRPr="00225B51" w:rsidRDefault="009D663F" w:rsidP="00126382">
            <w:pPr>
              <w:rPr>
                <w:rFonts w:eastAsia="Times New Roman" w:cs="Times New Roman"/>
                <w:szCs w:val="24"/>
                <w:lang w:eastAsia="lv-LV"/>
              </w:rPr>
            </w:pPr>
            <w:r>
              <w:rPr>
                <w:rFonts w:eastAsia="Times New Roman" w:cs="Times New Roman"/>
                <w:szCs w:val="24"/>
                <w:lang w:eastAsia="lv-LV"/>
              </w:rPr>
              <w:t>0</w:t>
            </w: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 xml:space="preserve">6. Detalizēts ieņēmumu un izdevumu aprēķins (ja nepieciešams, </w:t>
            </w:r>
            <w:r w:rsidRPr="00225B51">
              <w:rPr>
                <w:rFonts w:eastAsia="Times New Roman" w:cs="Times New Roman"/>
                <w:szCs w:val="24"/>
                <w:lang w:eastAsia="lv-LV"/>
              </w:rPr>
              <w:lastRenderedPageBreak/>
              <w:t>detalizētu ieņēmumu un izdevumu aprēķinu var pievienot anotācijas pielikumā):</w:t>
            </w:r>
          </w:p>
        </w:tc>
        <w:tc>
          <w:tcPr>
            <w:tcW w:w="4006"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126382" w:rsidRPr="00B741B1" w:rsidRDefault="00126382" w:rsidP="00DC03FE">
            <w:pPr>
              <w:rPr>
                <w:rFonts w:eastAsia="Times New Roman" w:cs="Times New Roman"/>
                <w:szCs w:val="24"/>
                <w:lang w:eastAsia="lv-LV"/>
              </w:rPr>
            </w:pP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rPr>
                <w:rFonts w:eastAsia="Times New Roman" w:cs="Times New Roman"/>
                <w:szCs w:val="24"/>
                <w:lang w:eastAsia="lv-LV"/>
              </w:rPr>
            </w:pPr>
          </w:p>
        </w:tc>
      </w:tr>
      <w:tr w:rsidR="00126382" w:rsidRPr="00225B51" w:rsidTr="00126382">
        <w:trPr>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rPr>
                <w:rFonts w:eastAsia="Times New Roman" w:cs="Times New Roman"/>
                <w:szCs w:val="24"/>
                <w:lang w:eastAsia="lv-LV"/>
              </w:rPr>
            </w:pPr>
          </w:p>
        </w:tc>
      </w:tr>
      <w:tr w:rsidR="00126382" w:rsidRPr="00225B51" w:rsidTr="00126382">
        <w:trPr>
          <w:trHeight w:val="555"/>
          <w:tblCellSpacing w:w="15" w:type="dxa"/>
          <w:jc w:val="center"/>
        </w:trPr>
        <w:tc>
          <w:tcPr>
            <w:tcW w:w="942"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7. Cita informācija</w:t>
            </w:r>
          </w:p>
        </w:tc>
        <w:tc>
          <w:tcPr>
            <w:tcW w:w="4006" w:type="pct"/>
            <w:gridSpan w:val="5"/>
            <w:tcBorders>
              <w:top w:val="outset" w:sz="6" w:space="0" w:color="auto"/>
              <w:left w:val="outset" w:sz="6" w:space="0" w:color="auto"/>
              <w:bottom w:val="outset" w:sz="6" w:space="0" w:color="auto"/>
              <w:right w:val="outset" w:sz="6" w:space="0" w:color="auto"/>
            </w:tcBorders>
            <w:hideMark/>
          </w:tcPr>
          <w:p w:rsidR="009D663F" w:rsidRPr="00E46FB2" w:rsidRDefault="009D663F" w:rsidP="009D663F">
            <w:pPr>
              <w:jc w:val="both"/>
              <w:rPr>
                <w:rFonts w:cs="Times New Roman"/>
                <w:szCs w:val="24"/>
              </w:rPr>
            </w:pPr>
            <w:r w:rsidRPr="00E46FB2">
              <w:rPr>
                <w:rFonts w:cs="Times New Roman"/>
                <w:szCs w:val="24"/>
              </w:rPr>
              <w:t>Informācijas apmaiņas procesa</w:t>
            </w:r>
            <w:r>
              <w:rPr>
                <w:rFonts w:cs="Times New Roman"/>
                <w:szCs w:val="24"/>
              </w:rPr>
              <w:t xml:space="preserve"> uzlabošanas</w:t>
            </w:r>
            <w:r w:rsidRPr="00E46FB2">
              <w:rPr>
                <w:rFonts w:cs="Times New Roman"/>
                <w:szCs w:val="24"/>
              </w:rPr>
              <w:t xml:space="preserve"> realizācija starp Kontroles dienestu un VID </w:t>
            </w:r>
            <w:r w:rsidR="00734235" w:rsidRPr="00734235">
              <w:t>tiks īstenota tām piešķirto valsts</w:t>
            </w:r>
            <w:r w:rsidRPr="00734235">
              <w:rPr>
                <w:rFonts w:cs="Times New Roman"/>
                <w:szCs w:val="24"/>
              </w:rPr>
              <w:t xml:space="preserve"> </w:t>
            </w:r>
            <w:r w:rsidRPr="00E46FB2">
              <w:rPr>
                <w:rFonts w:cs="Times New Roman"/>
                <w:szCs w:val="24"/>
              </w:rPr>
              <w:t>budžeta līdzekļu ietvaros.</w:t>
            </w:r>
          </w:p>
          <w:p w:rsidR="009D663F" w:rsidRPr="00E46FB2" w:rsidRDefault="009D663F" w:rsidP="009D663F">
            <w:pPr>
              <w:jc w:val="both"/>
              <w:rPr>
                <w:color w:val="000000"/>
                <w:szCs w:val="24"/>
                <w:shd w:val="clear" w:color="auto" w:fill="FFFFFF"/>
              </w:rPr>
            </w:pPr>
            <w:r w:rsidRPr="00E46FB2">
              <w:rPr>
                <w:color w:val="000000"/>
                <w:szCs w:val="24"/>
                <w:shd w:val="clear" w:color="auto" w:fill="FFFFFF"/>
              </w:rPr>
              <w:t>Pamatojoties uz Ministru kabineta 2014.gada 10.novembra sēdē atbalstīto informatīvo ziņojumu "Par iespējām palielināt ieņēmumus" (protokols Nr.61 29.§), fiskālā ietekme</w:t>
            </w:r>
            <w:r>
              <w:rPr>
                <w:color w:val="000000"/>
                <w:szCs w:val="24"/>
                <w:shd w:val="clear" w:color="auto" w:fill="FFFFFF"/>
              </w:rPr>
              <w:t xml:space="preserve"> no L</w:t>
            </w:r>
            <w:r w:rsidRPr="00E46FB2">
              <w:rPr>
                <w:color w:val="000000"/>
                <w:szCs w:val="24"/>
                <w:shd w:val="clear" w:color="auto" w:fill="FFFFFF"/>
              </w:rPr>
              <w:t xml:space="preserve">ikumprojekta paredzēto pasākumu ieviešanas ir iekļauta </w:t>
            </w:r>
            <w:r w:rsidRPr="00B741B1">
              <w:rPr>
                <w:rFonts w:eastAsia="Calibri"/>
                <w:szCs w:val="24"/>
                <w:lang w:eastAsia="lv-LV"/>
              </w:rPr>
              <w:t>prognozē budžeta ieņēmumos</w:t>
            </w:r>
            <w:r>
              <w:rPr>
                <w:szCs w:val="24"/>
              </w:rPr>
              <w:t xml:space="preserve">. </w:t>
            </w:r>
            <w:r w:rsidR="00FA4173">
              <w:rPr>
                <w:szCs w:val="24"/>
              </w:rPr>
              <w:t xml:space="preserve">Kopējā fiskālā ietekme no informācijas </w:t>
            </w:r>
            <w:r w:rsidR="00204270">
              <w:rPr>
                <w:szCs w:val="24"/>
              </w:rPr>
              <w:t xml:space="preserve">apmaiņas </w:t>
            </w:r>
            <w:r w:rsidR="00FA4173">
              <w:rPr>
                <w:szCs w:val="24"/>
              </w:rPr>
              <w:t>procesa uzlabošanas starp finanšu iestādēm, Kontroles dienestu un VID</w:t>
            </w:r>
            <w:r w:rsidR="00204270">
              <w:rPr>
                <w:color w:val="000000"/>
                <w:szCs w:val="24"/>
                <w:shd w:val="clear" w:color="auto" w:fill="FFFFFF"/>
              </w:rPr>
              <w:t xml:space="preserve"> </w:t>
            </w:r>
            <w:r w:rsidRPr="00E46FB2">
              <w:rPr>
                <w:color w:val="000000"/>
                <w:szCs w:val="24"/>
                <w:shd w:val="clear" w:color="auto" w:fill="FFFFFF"/>
              </w:rPr>
              <w:t xml:space="preserve">(bez valsts fondētā budžeta): </w:t>
            </w:r>
          </w:p>
          <w:p w:rsidR="009D663F" w:rsidRPr="00E46FB2" w:rsidRDefault="009D663F" w:rsidP="009D663F">
            <w:pPr>
              <w:pStyle w:val="ListParagraph"/>
              <w:numPr>
                <w:ilvl w:val="0"/>
                <w:numId w:val="3"/>
              </w:numPr>
              <w:jc w:val="both"/>
              <w:rPr>
                <w:color w:val="000000"/>
                <w:shd w:val="clear" w:color="auto" w:fill="FFFFFF"/>
              </w:rPr>
            </w:pPr>
            <w:r w:rsidRPr="00E46FB2">
              <w:rPr>
                <w:color w:val="000000"/>
                <w:shd w:val="clear" w:color="auto" w:fill="FFFFFF"/>
              </w:rPr>
              <w:t>2015. gadā ir 14,3 milj. </w:t>
            </w:r>
            <w:proofErr w:type="spellStart"/>
            <w:r w:rsidRPr="00E46FB2">
              <w:rPr>
                <w:i/>
                <w:color w:val="000000"/>
                <w:shd w:val="clear" w:color="auto" w:fill="FFFFFF"/>
              </w:rPr>
              <w:t>euro</w:t>
            </w:r>
            <w:proofErr w:type="spellEnd"/>
            <w:r w:rsidRPr="00E46FB2">
              <w:rPr>
                <w:color w:val="000000"/>
                <w:shd w:val="clear" w:color="auto" w:fill="FFFFFF"/>
              </w:rPr>
              <w:t xml:space="preserve"> (t.sk., valsts budžetā 9,4 milj. </w:t>
            </w:r>
            <w:proofErr w:type="spellStart"/>
            <w:r w:rsidRPr="00E46FB2">
              <w:rPr>
                <w:i/>
                <w:color w:val="000000"/>
                <w:shd w:val="clear" w:color="auto" w:fill="FFFFFF"/>
              </w:rPr>
              <w:t>euro</w:t>
            </w:r>
            <w:proofErr w:type="spellEnd"/>
            <w:r w:rsidRPr="00E46FB2">
              <w:rPr>
                <w:color w:val="000000"/>
                <w:shd w:val="clear" w:color="auto" w:fill="FFFFFF"/>
              </w:rPr>
              <w:t>, pašvaldību budžetā 3,9 milj. </w:t>
            </w:r>
            <w:proofErr w:type="spellStart"/>
            <w:r w:rsidRPr="00E46FB2">
              <w:rPr>
                <w:i/>
                <w:color w:val="000000"/>
                <w:shd w:val="clear" w:color="auto" w:fill="FFFFFF"/>
              </w:rPr>
              <w:t>euro</w:t>
            </w:r>
            <w:proofErr w:type="spellEnd"/>
            <w:r w:rsidRPr="00E46FB2">
              <w:rPr>
                <w:color w:val="000000"/>
                <w:shd w:val="clear" w:color="auto" w:fill="FFFFFF"/>
              </w:rPr>
              <w:t xml:space="preserve"> un valsts speciālajā budžetā 1,0 milj. </w:t>
            </w:r>
            <w:proofErr w:type="spellStart"/>
            <w:r w:rsidRPr="00E46FB2">
              <w:rPr>
                <w:i/>
                <w:color w:val="000000"/>
                <w:shd w:val="clear" w:color="auto" w:fill="FFFFFF"/>
              </w:rPr>
              <w:t>euro</w:t>
            </w:r>
            <w:proofErr w:type="spellEnd"/>
            <w:r w:rsidRPr="00E46FB2">
              <w:rPr>
                <w:color w:val="000000"/>
                <w:shd w:val="clear" w:color="auto" w:fill="FFFFFF"/>
              </w:rPr>
              <w:t>);</w:t>
            </w:r>
          </w:p>
          <w:p w:rsidR="009D663F" w:rsidRDefault="009D663F" w:rsidP="009D663F">
            <w:pPr>
              <w:pStyle w:val="ListParagraph"/>
              <w:numPr>
                <w:ilvl w:val="0"/>
                <w:numId w:val="3"/>
              </w:numPr>
              <w:jc w:val="both"/>
              <w:rPr>
                <w:color w:val="000000"/>
                <w:shd w:val="clear" w:color="auto" w:fill="FFFFFF"/>
              </w:rPr>
            </w:pPr>
            <w:r w:rsidRPr="00E46FB2">
              <w:rPr>
                <w:color w:val="000000"/>
                <w:shd w:val="clear" w:color="auto" w:fill="FFFFFF"/>
              </w:rPr>
              <w:t>2016. gadā 6,5 milj. </w:t>
            </w:r>
            <w:proofErr w:type="spellStart"/>
            <w:r w:rsidRPr="00E46FB2">
              <w:rPr>
                <w:i/>
                <w:color w:val="000000"/>
                <w:shd w:val="clear" w:color="auto" w:fill="FFFFFF"/>
              </w:rPr>
              <w:t>euro</w:t>
            </w:r>
            <w:proofErr w:type="spellEnd"/>
            <w:r w:rsidRPr="00E46FB2">
              <w:rPr>
                <w:color w:val="000000"/>
                <w:shd w:val="clear" w:color="auto" w:fill="FFFFFF"/>
              </w:rPr>
              <w:t xml:space="preserve"> (t.sk., valsts budžetā 4,8 milj. </w:t>
            </w:r>
            <w:proofErr w:type="spellStart"/>
            <w:r w:rsidRPr="00E46FB2">
              <w:rPr>
                <w:i/>
                <w:color w:val="000000"/>
                <w:shd w:val="clear" w:color="auto" w:fill="FFFFFF"/>
              </w:rPr>
              <w:t>euro</w:t>
            </w:r>
            <w:proofErr w:type="spellEnd"/>
            <w:r w:rsidRPr="00E46FB2">
              <w:rPr>
                <w:color w:val="000000"/>
                <w:shd w:val="clear" w:color="auto" w:fill="FFFFFF"/>
              </w:rPr>
              <w:t>, pašvaldību budžetā 1,4 milj. </w:t>
            </w:r>
            <w:proofErr w:type="spellStart"/>
            <w:r w:rsidRPr="00E46FB2">
              <w:rPr>
                <w:i/>
                <w:color w:val="000000"/>
                <w:shd w:val="clear" w:color="auto" w:fill="FFFFFF"/>
              </w:rPr>
              <w:t>euro</w:t>
            </w:r>
            <w:proofErr w:type="spellEnd"/>
            <w:r w:rsidRPr="00E46FB2">
              <w:rPr>
                <w:color w:val="000000"/>
                <w:shd w:val="clear" w:color="auto" w:fill="FFFFFF"/>
              </w:rPr>
              <w:t xml:space="preserve"> un valsts speciālajā budžetā 0,3 milj. </w:t>
            </w:r>
            <w:proofErr w:type="spellStart"/>
            <w:r w:rsidRPr="00E46FB2">
              <w:rPr>
                <w:i/>
                <w:color w:val="000000"/>
                <w:shd w:val="clear" w:color="auto" w:fill="FFFFFF"/>
              </w:rPr>
              <w:t>euro</w:t>
            </w:r>
            <w:proofErr w:type="spellEnd"/>
            <w:r w:rsidRPr="00E46FB2">
              <w:rPr>
                <w:color w:val="000000"/>
                <w:shd w:val="clear" w:color="auto" w:fill="FFFFFF"/>
              </w:rPr>
              <w:t>);</w:t>
            </w:r>
          </w:p>
          <w:p w:rsidR="00126382" w:rsidRPr="009D663F" w:rsidRDefault="009D663F" w:rsidP="009D663F">
            <w:pPr>
              <w:pStyle w:val="ListParagraph"/>
              <w:numPr>
                <w:ilvl w:val="0"/>
                <w:numId w:val="3"/>
              </w:numPr>
              <w:jc w:val="both"/>
              <w:rPr>
                <w:color w:val="000000"/>
                <w:shd w:val="clear" w:color="auto" w:fill="FFFFFF"/>
              </w:rPr>
            </w:pPr>
            <w:r w:rsidRPr="009D663F">
              <w:rPr>
                <w:color w:val="000000"/>
                <w:shd w:val="clear" w:color="auto" w:fill="FFFFFF"/>
              </w:rPr>
              <w:t>2017. gadā 7,4 milj. </w:t>
            </w:r>
            <w:proofErr w:type="spellStart"/>
            <w:r w:rsidRPr="009D663F">
              <w:rPr>
                <w:i/>
                <w:color w:val="000000"/>
                <w:shd w:val="clear" w:color="auto" w:fill="FFFFFF"/>
              </w:rPr>
              <w:t>euro</w:t>
            </w:r>
            <w:proofErr w:type="spellEnd"/>
            <w:r w:rsidRPr="009D663F">
              <w:rPr>
                <w:color w:val="000000"/>
                <w:shd w:val="clear" w:color="auto" w:fill="FFFFFF"/>
              </w:rPr>
              <w:t xml:space="preserve"> (t.sk., valsts budžetā 5,5 milj. </w:t>
            </w:r>
            <w:proofErr w:type="spellStart"/>
            <w:r w:rsidRPr="009D663F">
              <w:rPr>
                <w:i/>
                <w:color w:val="000000"/>
                <w:shd w:val="clear" w:color="auto" w:fill="FFFFFF"/>
              </w:rPr>
              <w:t>euro</w:t>
            </w:r>
            <w:proofErr w:type="spellEnd"/>
            <w:r w:rsidRPr="009D663F">
              <w:rPr>
                <w:color w:val="000000"/>
                <w:shd w:val="clear" w:color="auto" w:fill="FFFFFF"/>
              </w:rPr>
              <w:t>, pašvaldību budžetā 1,6 milj. </w:t>
            </w:r>
            <w:proofErr w:type="spellStart"/>
            <w:r w:rsidRPr="009D663F">
              <w:rPr>
                <w:i/>
                <w:color w:val="000000"/>
                <w:shd w:val="clear" w:color="auto" w:fill="FFFFFF"/>
              </w:rPr>
              <w:t>euro</w:t>
            </w:r>
            <w:proofErr w:type="spellEnd"/>
            <w:r w:rsidRPr="009D663F">
              <w:rPr>
                <w:color w:val="000000"/>
                <w:shd w:val="clear" w:color="auto" w:fill="FFFFFF"/>
              </w:rPr>
              <w:t xml:space="preserve"> un valsts speciālajā budžetā 0,3 milj. </w:t>
            </w:r>
            <w:proofErr w:type="spellStart"/>
            <w:r w:rsidRPr="009D663F">
              <w:rPr>
                <w:i/>
                <w:color w:val="000000"/>
                <w:shd w:val="clear" w:color="auto" w:fill="FFFFFF"/>
              </w:rPr>
              <w:t>euro</w:t>
            </w:r>
            <w:proofErr w:type="spellEnd"/>
            <w:r w:rsidRPr="009D663F">
              <w:rPr>
                <w:color w:val="000000"/>
                <w:shd w:val="clear" w:color="auto" w:fill="FFFFFF"/>
              </w:rPr>
              <w:t>).</w:t>
            </w:r>
            <w:r w:rsidRPr="009D663F">
              <w:t xml:space="preserve"> </w:t>
            </w:r>
            <w:r w:rsidRPr="009D663F">
              <w:rPr>
                <w:szCs w:val="28"/>
                <w:lang w:eastAsia="lv-LV"/>
              </w:rPr>
              <w:t xml:space="preserve">  </w:t>
            </w:r>
          </w:p>
        </w:tc>
      </w:tr>
    </w:tbl>
    <w:p w:rsidR="00126382" w:rsidRPr="00225B51" w:rsidRDefault="00126382" w:rsidP="0012638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504"/>
        <w:gridCol w:w="5677"/>
      </w:tblGrid>
      <w:tr w:rsidR="00126382" w:rsidRPr="00225B51" w:rsidTr="00DC03FE">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IV. Tiesību akta projekta ietekme uz spēkā esošo tiesību normu sistēmu</w:t>
            </w:r>
          </w:p>
        </w:tc>
      </w:tr>
      <w:tr w:rsidR="00126382" w:rsidRPr="00225B51" w:rsidTr="00DC03FE">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Nepieciešamie saistītie tiesību aktu projekti</w:t>
            </w:r>
          </w:p>
        </w:tc>
        <w:tc>
          <w:tcPr>
            <w:tcW w:w="3252" w:type="pct"/>
            <w:tcBorders>
              <w:top w:val="outset" w:sz="6" w:space="0" w:color="auto"/>
              <w:left w:val="outset" w:sz="6" w:space="0" w:color="auto"/>
              <w:bottom w:val="outset" w:sz="6" w:space="0" w:color="auto"/>
              <w:right w:val="outset" w:sz="6" w:space="0" w:color="auto"/>
            </w:tcBorders>
            <w:hideMark/>
          </w:tcPr>
          <w:p w:rsidR="00126382" w:rsidRPr="00DA4D2A" w:rsidRDefault="00813D5F" w:rsidP="00DC03FE">
            <w:pPr>
              <w:pStyle w:val="Footer"/>
              <w:tabs>
                <w:tab w:val="clear" w:pos="4153"/>
                <w:tab w:val="clear" w:pos="8306"/>
                <w:tab w:val="left" w:pos="3150"/>
              </w:tabs>
              <w:jc w:val="both"/>
            </w:pPr>
            <w:r>
              <w:t>Nav</w:t>
            </w:r>
          </w:p>
        </w:tc>
      </w:tr>
      <w:tr w:rsidR="00126382" w:rsidRPr="00225B51" w:rsidTr="00DC03FE">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Atbildīgā institūcija</w:t>
            </w:r>
          </w:p>
        </w:tc>
        <w:tc>
          <w:tcPr>
            <w:tcW w:w="3252" w:type="pct"/>
            <w:tcBorders>
              <w:top w:val="outset" w:sz="6" w:space="0" w:color="auto"/>
              <w:left w:val="outset" w:sz="6" w:space="0" w:color="auto"/>
              <w:bottom w:val="outset" w:sz="6" w:space="0" w:color="auto"/>
              <w:right w:val="outset" w:sz="6" w:space="0" w:color="auto"/>
            </w:tcBorders>
            <w:hideMark/>
          </w:tcPr>
          <w:p w:rsidR="00126382" w:rsidRPr="00225B51" w:rsidRDefault="00813D5F" w:rsidP="00DC03FE">
            <w:pPr>
              <w:pStyle w:val="Footer"/>
              <w:tabs>
                <w:tab w:val="clear" w:pos="4153"/>
                <w:tab w:val="clear" w:pos="8306"/>
                <w:tab w:val="left" w:pos="3150"/>
              </w:tabs>
              <w:jc w:val="both"/>
            </w:pPr>
            <w:r>
              <w:t>Nav</w:t>
            </w:r>
          </w:p>
        </w:tc>
      </w:tr>
      <w:tr w:rsidR="00126382" w:rsidRPr="00225B51" w:rsidTr="00DC03FE">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hideMark/>
          </w:tcPr>
          <w:p w:rsidR="00126382" w:rsidRPr="00225B51" w:rsidRDefault="00813D5F" w:rsidP="00DC03FE">
            <w:pPr>
              <w:ind w:firstLine="34"/>
              <w:jc w:val="both"/>
              <w:rPr>
                <w:rFonts w:cs="Times New Roman"/>
                <w:szCs w:val="24"/>
              </w:rPr>
            </w:pPr>
            <w:r>
              <w:rPr>
                <w:rFonts w:cs="Times New Roman"/>
                <w:szCs w:val="24"/>
              </w:rPr>
              <w:t>Nav</w:t>
            </w:r>
          </w:p>
        </w:tc>
      </w:tr>
    </w:tbl>
    <w:p w:rsidR="00126382" w:rsidRPr="00225B51" w:rsidRDefault="00126382" w:rsidP="00126382">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2467"/>
        <w:gridCol w:w="5719"/>
      </w:tblGrid>
      <w:tr w:rsidR="00126382" w:rsidRPr="00225B51" w:rsidTr="00DC03FE">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lastRenderedPageBreak/>
              <w:t>V. Tiesību akta projekta atbilstība Latvijas Republikas starptautiskajām saistībām</w:t>
            </w:r>
          </w:p>
        </w:tc>
      </w:tr>
      <w:tr w:rsidR="00126382" w:rsidRPr="00225B51" w:rsidTr="00DC03FE">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rsidR="00126382" w:rsidRPr="00225B51" w:rsidRDefault="00640962" w:rsidP="00640962">
            <w:pPr>
              <w:jc w:val="both"/>
              <w:rPr>
                <w:rFonts w:cs="Times New Roman"/>
                <w:szCs w:val="24"/>
              </w:rPr>
            </w:pPr>
            <w:r w:rsidRPr="00225B51">
              <w:rPr>
                <w:rFonts w:cs="Times New Roman"/>
                <w:szCs w:val="24"/>
              </w:rPr>
              <w:t>Likumprojekts izstrādāts</w:t>
            </w:r>
            <w:r>
              <w:rPr>
                <w:rFonts w:cs="Times New Roman"/>
                <w:szCs w:val="24"/>
              </w:rPr>
              <w:t xml:space="preserve"> ievērojot </w:t>
            </w:r>
            <w:r w:rsidRPr="00DB39CF">
              <w:t>Eiropas Parlamenta un Padomes 2005.gada 26.oktobra Direktīv</w:t>
            </w:r>
            <w:r>
              <w:t>u</w:t>
            </w:r>
            <w:r w:rsidRPr="00DB39CF">
              <w:t xml:space="preserve"> 2005/60/EK</w:t>
            </w:r>
            <w:r>
              <w:t>.</w:t>
            </w:r>
          </w:p>
        </w:tc>
      </w:tr>
      <w:tr w:rsidR="00126382" w:rsidRPr="00225B51" w:rsidTr="00DC03FE">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rsidR="00126382" w:rsidRPr="00225B51" w:rsidRDefault="00126382" w:rsidP="00640962">
            <w:pPr>
              <w:jc w:val="both"/>
              <w:rPr>
                <w:rFonts w:cs="Times New Roman"/>
                <w:iCs/>
                <w:szCs w:val="24"/>
              </w:rPr>
            </w:pPr>
            <w:r w:rsidRPr="00225B51">
              <w:rPr>
                <w:rFonts w:cs="Times New Roman"/>
                <w:szCs w:val="24"/>
              </w:rPr>
              <w:t xml:space="preserve">Likumprojekts izstrādāts, </w:t>
            </w:r>
            <w:r w:rsidR="00817C7E">
              <w:rPr>
                <w:rFonts w:cs="Times New Roman"/>
                <w:szCs w:val="24"/>
              </w:rPr>
              <w:t>atbilstoši</w:t>
            </w:r>
            <w:r w:rsidRPr="00225B51">
              <w:rPr>
                <w:rFonts w:cs="Times New Roman"/>
                <w:szCs w:val="24"/>
              </w:rPr>
              <w:t xml:space="preserve">  2012.gada 16.februāra </w:t>
            </w:r>
            <w:proofErr w:type="spellStart"/>
            <w:r w:rsidRPr="0050557A">
              <w:rPr>
                <w:rFonts w:cs="Times New Roman"/>
                <w:szCs w:val="24"/>
              </w:rPr>
              <w:t>The</w:t>
            </w:r>
            <w:proofErr w:type="spellEnd"/>
            <w:r w:rsidRPr="0050557A">
              <w:rPr>
                <w:rFonts w:cs="Times New Roman"/>
                <w:szCs w:val="24"/>
              </w:rPr>
              <w:t xml:space="preserve"> </w:t>
            </w:r>
            <w:proofErr w:type="spellStart"/>
            <w:r w:rsidRPr="0050557A">
              <w:rPr>
                <w:rFonts w:cs="Times New Roman"/>
                <w:szCs w:val="24"/>
              </w:rPr>
              <w:t>Financial</w:t>
            </w:r>
            <w:proofErr w:type="spellEnd"/>
            <w:r w:rsidRPr="0050557A">
              <w:rPr>
                <w:rFonts w:cs="Times New Roman"/>
                <w:szCs w:val="24"/>
              </w:rPr>
              <w:t xml:space="preserve"> </w:t>
            </w:r>
            <w:proofErr w:type="spellStart"/>
            <w:r w:rsidRPr="0050557A">
              <w:rPr>
                <w:rFonts w:cs="Times New Roman"/>
                <w:szCs w:val="24"/>
              </w:rPr>
              <w:t>Action</w:t>
            </w:r>
            <w:proofErr w:type="spellEnd"/>
            <w:r w:rsidRPr="0050557A">
              <w:rPr>
                <w:rFonts w:cs="Times New Roman"/>
                <w:szCs w:val="24"/>
              </w:rPr>
              <w:t xml:space="preserve"> </w:t>
            </w:r>
            <w:proofErr w:type="spellStart"/>
            <w:r w:rsidRPr="0050557A">
              <w:rPr>
                <w:rFonts w:cs="Times New Roman"/>
                <w:szCs w:val="24"/>
              </w:rPr>
              <w:t>Task</w:t>
            </w:r>
            <w:proofErr w:type="spellEnd"/>
            <w:r w:rsidRPr="0050557A">
              <w:rPr>
                <w:rFonts w:cs="Times New Roman"/>
                <w:szCs w:val="24"/>
              </w:rPr>
              <w:t xml:space="preserve"> </w:t>
            </w:r>
            <w:proofErr w:type="spellStart"/>
            <w:r w:rsidRPr="0050557A">
              <w:rPr>
                <w:rFonts w:cs="Times New Roman"/>
                <w:szCs w:val="24"/>
              </w:rPr>
              <w:t>Force</w:t>
            </w:r>
            <w:proofErr w:type="spellEnd"/>
            <w:r w:rsidRPr="0050557A">
              <w:rPr>
                <w:rFonts w:cs="Times New Roman"/>
                <w:szCs w:val="24"/>
              </w:rPr>
              <w:t xml:space="preserve"> (FATF) </w:t>
            </w:r>
            <w:r w:rsidRPr="00225B51">
              <w:rPr>
                <w:rFonts w:cs="Times New Roman"/>
                <w:szCs w:val="24"/>
              </w:rPr>
              <w:t xml:space="preserve">izstrādātiem </w:t>
            </w:r>
            <w:r w:rsidRPr="00225B51">
              <w:rPr>
                <w:rFonts w:cs="Times New Roman"/>
                <w:bCs/>
                <w:szCs w:val="24"/>
              </w:rPr>
              <w:t>starptautiskiem standartiem cīņai ar noziedzīgi iegūtu līdzekļu legalizāciju, kā</w:t>
            </w:r>
            <w:r w:rsidR="0012302D">
              <w:rPr>
                <w:rFonts w:cs="Times New Roman"/>
                <w:bCs/>
                <w:szCs w:val="24"/>
              </w:rPr>
              <w:t xml:space="preserve"> arī terorismu un </w:t>
            </w:r>
            <w:proofErr w:type="spellStart"/>
            <w:r w:rsidR="0012302D">
              <w:rPr>
                <w:rFonts w:cs="Times New Roman"/>
                <w:bCs/>
                <w:szCs w:val="24"/>
              </w:rPr>
              <w:t>proliferāciju</w:t>
            </w:r>
            <w:proofErr w:type="spellEnd"/>
            <w:r w:rsidR="0012302D">
              <w:rPr>
                <w:rFonts w:cs="Times New Roman"/>
                <w:bCs/>
                <w:szCs w:val="24"/>
              </w:rPr>
              <w:t xml:space="preserve">, kā arī OECD </w:t>
            </w:r>
            <w:r w:rsidR="00DA4D2A">
              <w:rPr>
                <w:rFonts w:cs="Times New Roman"/>
                <w:bCs/>
                <w:szCs w:val="24"/>
              </w:rPr>
              <w:t xml:space="preserve">izstrādātajām </w:t>
            </w:r>
            <w:r w:rsidR="0012302D">
              <w:rPr>
                <w:rFonts w:cs="Times New Roman"/>
                <w:bCs/>
                <w:szCs w:val="24"/>
              </w:rPr>
              <w:t>rekomendācijām</w:t>
            </w:r>
            <w:r w:rsidR="00640962">
              <w:rPr>
                <w:rFonts w:cs="Times New Roman"/>
                <w:bCs/>
                <w:szCs w:val="24"/>
              </w:rPr>
              <w:t xml:space="preserve">, kas apkopotas </w:t>
            </w:r>
            <w:r w:rsidR="00640962" w:rsidRPr="00DB39CF">
              <w:t>20</w:t>
            </w:r>
            <w:r w:rsidR="00640962">
              <w:t xml:space="preserve">12. gada 14-15. jūnija  ziņojumā </w:t>
            </w:r>
            <w:r w:rsidR="00640962" w:rsidRPr="00DB39CF">
              <w:t>un 2013. gada 7. novembra ziņojum</w:t>
            </w:r>
            <w:r w:rsidR="00640962">
              <w:t>ā</w:t>
            </w:r>
            <w:r w:rsidR="0012302D">
              <w:rPr>
                <w:rFonts w:cs="Times New Roman"/>
                <w:bCs/>
                <w:szCs w:val="24"/>
              </w:rPr>
              <w:t>.</w:t>
            </w:r>
          </w:p>
        </w:tc>
      </w:tr>
      <w:tr w:rsidR="00126382" w:rsidRPr="00225B51" w:rsidTr="00DC03FE">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jc w:val="both"/>
              <w:rPr>
                <w:rFonts w:cs="Times New Roman"/>
                <w:szCs w:val="24"/>
              </w:rPr>
            </w:pPr>
            <w:r w:rsidRPr="00225B51">
              <w:rPr>
                <w:rFonts w:cs="Times New Roman"/>
                <w:szCs w:val="24"/>
              </w:rPr>
              <w:t xml:space="preserve">Nav. </w:t>
            </w:r>
          </w:p>
        </w:tc>
      </w:tr>
    </w:tbl>
    <w:p w:rsidR="00126382" w:rsidRPr="00225B51" w:rsidRDefault="00126382" w:rsidP="00126382">
      <w:pPr>
        <w:spacing w:before="100" w:beforeAutospacing="1" w:after="100" w:afterAutospacing="1" w:line="360" w:lineRule="auto"/>
        <w:rPr>
          <w:rFonts w:eastAsia="Times New Roman" w:cs="Times New Roman"/>
          <w:szCs w:val="24"/>
          <w:lang w:eastAsia="lv-LV"/>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25"/>
        <w:gridCol w:w="6692"/>
      </w:tblGrid>
      <w:tr w:rsidR="00126382" w:rsidRPr="00225B51" w:rsidTr="00DC03FE">
        <w:trPr>
          <w:trHeight w:val="437"/>
          <w:jc w:val="center"/>
        </w:trPr>
        <w:tc>
          <w:tcPr>
            <w:tcW w:w="8317" w:type="dxa"/>
            <w:gridSpan w:val="2"/>
            <w:vAlign w:val="center"/>
          </w:tcPr>
          <w:p w:rsidR="00126382" w:rsidRPr="00225B51" w:rsidRDefault="00126382" w:rsidP="00DC03FE">
            <w:pPr>
              <w:pStyle w:val="naisnod"/>
              <w:spacing w:before="0" w:after="0"/>
            </w:pPr>
            <w:r w:rsidRPr="00225B51">
              <w:t xml:space="preserve">1. tabula </w:t>
            </w:r>
          </w:p>
          <w:p w:rsidR="00126382" w:rsidRPr="00225B51" w:rsidRDefault="00126382" w:rsidP="00DC03FE">
            <w:pPr>
              <w:pStyle w:val="naisnod"/>
              <w:spacing w:before="0" w:after="0"/>
              <w:rPr>
                <w:i/>
              </w:rPr>
            </w:pPr>
            <w:r w:rsidRPr="00225B51">
              <w:t>Tiesību akta projekta atbilstība ES tiesību aktiem</w:t>
            </w:r>
          </w:p>
        </w:tc>
      </w:tr>
      <w:tr w:rsidR="00126382" w:rsidRPr="00225B51" w:rsidTr="00DC03FE">
        <w:trPr>
          <w:trHeight w:val="273"/>
          <w:jc w:val="center"/>
        </w:trPr>
        <w:tc>
          <w:tcPr>
            <w:tcW w:w="1625" w:type="dxa"/>
            <w:vAlign w:val="center"/>
          </w:tcPr>
          <w:p w:rsidR="00126382" w:rsidRPr="00225B51" w:rsidRDefault="00126382" w:rsidP="00DC03FE">
            <w:pPr>
              <w:pStyle w:val="naiskr"/>
              <w:spacing w:before="0" w:after="0"/>
              <w:ind w:hanging="10"/>
              <w:jc w:val="center"/>
            </w:pPr>
          </w:p>
        </w:tc>
        <w:tc>
          <w:tcPr>
            <w:tcW w:w="6691" w:type="dxa"/>
            <w:vAlign w:val="center"/>
          </w:tcPr>
          <w:p w:rsidR="00126382" w:rsidRPr="00225B51" w:rsidRDefault="00126382" w:rsidP="00DC03FE">
            <w:pPr>
              <w:pStyle w:val="naiskr"/>
              <w:spacing w:before="0" w:after="0"/>
              <w:jc w:val="center"/>
            </w:pPr>
            <w:r w:rsidRPr="00225B51">
              <w:t>Projekts šo jomu neskar.</w:t>
            </w:r>
          </w:p>
        </w:tc>
      </w:tr>
    </w:tbl>
    <w:p w:rsidR="00126382" w:rsidRPr="00225B51" w:rsidRDefault="00126382" w:rsidP="00126382">
      <w:pPr>
        <w:pStyle w:val="naisf"/>
        <w:spacing w:before="0" w:after="0"/>
        <w:ind w:firstLine="0"/>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73"/>
      </w:tblGrid>
      <w:tr w:rsidR="00126382" w:rsidRPr="00225B51" w:rsidTr="00DC03FE">
        <w:trPr>
          <w:trHeight w:val="698"/>
          <w:jc w:val="center"/>
        </w:trPr>
        <w:tc>
          <w:tcPr>
            <w:tcW w:w="8373" w:type="dxa"/>
            <w:vAlign w:val="center"/>
          </w:tcPr>
          <w:p w:rsidR="00126382" w:rsidRPr="00225B51" w:rsidRDefault="00126382" w:rsidP="00DC03FE">
            <w:pPr>
              <w:pStyle w:val="naisnod"/>
              <w:spacing w:before="0" w:after="0"/>
            </w:pPr>
            <w:r w:rsidRPr="00225B51">
              <w:t xml:space="preserve">2. tabula </w:t>
            </w:r>
          </w:p>
          <w:p w:rsidR="00126382" w:rsidRPr="00225B51" w:rsidRDefault="00126382" w:rsidP="00DC03FE">
            <w:pPr>
              <w:pStyle w:val="naisnod"/>
              <w:spacing w:before="0" w:after="0"/>
            </w:pPr>
            <w:r w:rsidRPr="00225B51">
              <w:t>Ar tiesību akta projektu uzņemtās saistības, kas izriet no starptautiskajiem tiesību aktiem vai starptautiskas institūcijas vai organizācijas dokumentiem.</w:t>
            </w:r>
          </w:p>
          <w:p w:rsidR="00126382" w:rsidRPr="00225B51" w:rsidRDefault="00126382" w:rsidP="00DC03FE">
            <w:pPr>
              <w:pStyle w:val="naisnod"/>
              <w:spacing w:before="0" w:after="0"/>
            </w:pPr>
            <w:r w:rsidRPr="00225B51">
              <w:t>Pasākumi šo saistību izpildei</w:t>
            </w:r>
          </w:p>
        </w:tc>
      </w:tr>
      <w:tr w:rsidR="00126382" w:rsidRPr="00225B51" w:rsidTr="00DC03FE">
        <w:trPr>
          <w:trHeight w:val="223"/>
          <w:jc w:val="center"/>
        </w:trPr>
        <w:tc>
          <w:tcPr>
            <w:tcW w:w="8373" w:type="dxa"/>
            <w:vAlign w:val="center"/>
          </w:tcPr>
          <w:p w:rsidR="00126382" w:rsidRPr="00225B51" w:rsidRDefault="00126382" w:rsidP="00DC03FE">
            <w:pPr>
              <w:pStyle w:val="naisnod"/>
              <w:spacing w:before="0" w:after="0"/>
              <w:rPr>
                <w:b w:val="0"/>
              </w:rPr>
            </w:pPr>
            <w:r w:rsidRPr="00225B51">
              <w:rPr>
                <w:b w:val="0"/>
                <w:i/>
              </w:rPr>
              <w:t>Projekts šo jomu neskar.</w:t>
            </w:r>
          </w:p>
        </w:tc>
      </w:tr>
    </w:tbl>
    <w:p w:rsidR="00126382" w:rsidRPr="00225B51" w:rsidRDefault="00126382" w:rsidP="0012638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590"/>
        <w:gridCol w:w="5591"/>
      </w:tblGrid>
      <w:tr w:rsidR="00126382" w:rsidRPr="00225B51" w:rsidTr="00DC03F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VI. Sabiedrības līdzdalība un komunikācijas aktivitātes</w:t>
            </w:r>
          </w:p>
        </w:tc>
      </w:tr>
      <w:tr w:rsidR="00126382" w:rsidRPr="00225B51" w:rsidTr="00DC03FE">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126382" w:rsidRDefault="00126382" w:rsidP="00851BD8">
            <w:pPr>
              <w:jc w:val="both"/>
              <w:rPr>
                <w:rFonts w:cs="Times New Roman"/>
                <w:szCs w:val="24"/>
              </w:rPr>
            </w:pPr>
            <w:r w:rsidRPr="00225B51">
              <w:rPr>
                <w:rFonts w:cs="Times New Roman"/>
                <w:szCs w:val="24"/>
              </w:rPr>
              <w:t>Likumprojekta izstrāde notika pēc konsultācijām ar Kontroles dienestu</w:t>
            </w:r>
            <w:r w:rsidR="009B6067">
              <w:rPr>
                <w:rFonts w:cs="Times New Roman"/>
                <w:szCs w:val="24"/>
              </w:rPr>
              <w:t xml:space="preserve">, </w:t>
            </w:r>
            <w:r>
              <w:rPr>
                <w:rFonts w:cs="Times New Roman"/>
                <w:szCs w:val="24"/>
              </w:rPr>
              <w:t>VID</w:t>
            </w:r>
            <w:r w:rsidR="009B6067">
              <w:rPr>
                <w:rFonts w:cs="Times New Roman"/>
                <w:szCs w:val="24"/>
              </w:rPr>
              <w:t xml:space="preserve"> un Latvijas Komercbanku asociāciju</w:t>
            </w:r>
            <w:r w:rsidRPr="00225B51">
              <w:rPr>
                <w:rFonts w:cs="Times New Roman"/>
                <w:szCs w:val="24"/>
              </w:rPr>
              <w:t xml:space="preserve">. </w:t>
            </w:r>
          </w:p>
          <w:p w:rsidR="00851BD8" w:rsidRPr="00225B51" w:rsidRDefault="00851BD8" w:rsidP="00851BD8">
            <w:pPr>
              <w:jc w:val="both"/>
              <w:rPr>
                <w:rFonts w:eastAsia="Times New Roman" w:cs="Times New Roman"/>
                <w:szCs w:val="24"/>
                <w:lang w:eastAsia="lv-LV"/>
              </w:rPr>
            </w:pPr>
            <w:r>
              <w:rPr>
                <w:rFonts w:cs="Times New Roman"/>
              </w:rPr>
              <w:t xml:space="preserve">Sabiedrības informēšanai un iesaistīšanai Likumprojekts tika ievietots Finanšu ministrijas </w:t>
            </w:r>
            <w:r w:rsidRPr="00B70FCD">
              <w:rPr>
                <w:szCs w:val="24"/>
              </w:rPr>
              <w:t>mājaslapas sadaļā "Sabiedrības līdzdalība".</w:t>
            </w:r>
          </w:p>
        </w:tc>
      </w:tr>
      <w:tr w:rsidR="00126382" w:rsidRPr="00225B51" w:rsidTr="00DC03FE">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cs="Times New Roman"/>
                <w:szCs w:val="24"/>
              </w:rPr>
            </w:pPr>
            <w:r w:rsidRPr="00225B51">
              <w:rPr>
                <w:rFonts w:cs="Times New Roman"/>
                <w:szCs w:val="24"/>
              </w:rPr>
              <w:t>Notikušas iepriekšējā punktā minētās konsultācijas.</w:t>
            </w:r>
          </w:p>
        </w:tc>
      </w:tr>
      <w:tr w:rsidR="00126382" w:rsidRPr="00225B51" w:rsidTr="00DC03FE">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126382" w:rsidRPr="00225B51" w:rsidRDefault="00126382" w:rsidP="00851BD8">
            <w:pPr>
              <w:jc w:val="both"/>
              <w:rPr>
                <w:rFonts w:cs="Times New Roman"/>
                <w:szCs w:val="24"/>
              </w:rPr>
            </w:pPr>
            <w:r>
              <w:rPr>
                <w:rFonts w:cs="Times New Roman"/>
                <w:szCs w:val="24"/>
              </w:rPr>
              <w:t>Izstrādājot likumprojektu, tika ņemti vērā Kontroles dienesta</w:t>
            </w:r>
            <w:r w:rsidR="009B6067">
              <w:rPr>
                <w:rFonts w:cs="Times New Roman"/>
                <w:szCs w:val="24"/>
              </w:rPr>
              <w:t>, Latvijas Komercbanku asociācijas</w:t>
            </w:r>
            <w:r>
              <w:rPr>
                <w:rFonts w:cs="Times New Roman"/>
                <w:szCs w:val="24"/>
              </w:rPr>
              <w:t xml:space="preserve"> un VID ieteikumi un iebildumi</w:t>
            </w:r>
            <w:r w:rsidRPr="00225B51">
              <w:rPr>
                <w:rFonts w:cs="Times New Roman"/>
                <w:szCs w:val="24"/>
              </w:rPr>
              <w:t>.</w:t>
            </w:r>
          </w:p>
        </w:tc>
      </w:tr>
      <w:tr w:rsidR="00126382" w:rsidRPr="00225B51" w:rsidTr="00DC03FE">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126382" w:rsidRPr="00225B51" w:rsidRDefault="00126382" w:rsidP="00851BD8">
            <w:pPr>
              <w:spacing w:before="100" w:beforeAutospacing="1" w:after="100" w:afterAutospacing="1" w:line="360" w:lineRule="auto"/>
              <w:rPr>
                <w:rFonts w:eastAsia="Times New Roman" w:cs="Times New Roman"/>
                <w:szCs w:val="24"/>
                <w:lang w:eastAsia="lv-LV"/>
              </w:rPr>
            </w:pPr>
            <w:r w:rsidRPr="00225B51">
              <w:rPr>
                <w:rFonts w:eastAsia="Times New Roman" w:cs="Times New Roman"/>
                <w:szCs w:val="24"/>
                <w:lang w:eastAsia="lv-LV"/>
              </w:rPr>
              <w:t>Nav</w:t>
            </w:r>
          </w:p>
        </w:tc>
      </w:tr>
    </w:tbl>
    <w:p w:rsidR="00126382" w:rsidRPr="00225B51" w:rsidRDefault="00126382" w:rsidP="0012638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3273"/>
        <w:gridCol w:w="4909"/>
      </w:tblGrid>
      <w:tr w:rsidR="00126382" w:rsidRPr="00225B51" w:rsidTr="00DC03F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6382" w:rsidRPr="00225B51" w:rsidRDefault="00126382" w:rsidP="00DC03FE">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VII. Tiesību akta projekta izpildes nodrošināšana un tās ietekme uz institūcijām</w:t>
            </w:r>
          </w:p>
        </w:tc>
      </w:tr>
      <w:tr w:rsidR="00126382" w:rsidRPr="00225B51" w:rsidTr="00DC03FE">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26382" w:rsidRPr="00225B51" w:rsidRDefault="00126382" w:rsidP="008373BD">
            <w:pPr>
              <w:jc w:val="both"/>
              <w:rPr>
                <w:rFonts w:eastAsia="Times New Roman" w:cs="Times New Roman"/>
                <w:szCs w:val="24"/>
                <w:lang w:eastAsia="lv-LV"/>
              </w:rPr>
            </w:pPr>
            <w:r w:rsidRPr="00225B51">
              <w:rPr>
                <w:rFonts w:cs="Times New Roman"/>
                <w:szCs w:val="24"/>
              </w:rPr>
              <w:t xml:space="preserve">Likumprojekta izpildi nodrošinās </w:t>
            </w:r>
            <w:r>
              <w:rPr>
                <w:rFonts w:eastAsia="Times New Roman" w:cs="Times New Roman"/>
                <w:szCs w:val="24"/>
                <w:lang w:eastAsia="lv-LV"/>
              </w:rPr>
              <w:t>VID</w:t>
            </w:r>
            <w:r w:rsidR="009B6067">
              <w:rPr>
                <w:rFonts w:eastAsia="Times New Roman" w:cs="Times New Roman"/>
                <w:szCs w:val="24"/>
                <w:lang w:eastAsia="lv-LV"/>
              </w:rPr>
              <w:t xml:space="preserve">, </w:t>
            </w:r>
            <w:r w:rsidR="008373BD">
              <w:rPr>
                <w:rFonts w:cs="Times New Roman"/>
                <w:szCs w:val="24"/>
              </w:rPr>
              <w:t>kredītiestādes</w:t>
            </w:r>
            <w:r w:rsidR="00DA4D2A">
              <w:rPr>
                <w:rFonts w:eastAsia="Times New Roman" w:cs="Times New Roman"/>
                <w:szCs w:val="24"/>
                <w:lang w:eastAsia="lv-LV"/>
              </w:rPr>
              <w:t xml:space="preserve"> un Kontroles dienests</w:t>
            </w:r>
            <w:r>
              <w:rPr>
                <w:rFonts w:eastAsia="Times New Roman" w:cs="Times New Roman"/>
                <w:szCs w:val="24"/>
                <w:lang w:eastAsia="lv-LV"/>
              </w:rPr>
              <w:t>.</w:t>
            </w:r>
          </w:p>
        </w:tc>
      </w:tr>
      <w:tr w:rsidR="00126382" w:rsidRPr="00225B51" w:rsidTr="00DC03FE">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 xml:space="preserve">Projekta izpildes ietekme uz pārvaldes funkcijām un institucionālo struktūru. </w:t>
            </w:r>
          </w:p>
          <w:p w:rsidR="00126382" w:rsidRPr="00225B51" w:rsidRDefault="00126382" w:rsidP="003A1200">
            <w:pPr>
              <w:spacing w:before="100" w:beforeAutospacing="1" w:after="100" w:afterAutospacing="1" w:line="360" w:lineRule="auto"/>
              <w:rPr>
                <w:rFonts w:eastAsia="Times New Roman" w:cs="Times New Roman"/>
                <w:szCs w:val="24"/>
                <w:lang w:eastAsia="lv-LV"/>
              </w:rPr>
            </w:pPr>
            <w:r w:rsidRPr="00225B51">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126382" w:rsidRPr="0030354A" w:rsidRDefault="00126382" w:rsidP="005F0F30">
            <w:pPr>
              <w:jc w:val="both"/>
              <w:rPr>
                <w:rFonts w:cs="Times New Roman"/>
                <w:szCs w:val="24"/>
              </w:rPr>
            </w:pPr>
            <w:r w:rsidRPr="00B741B1">
              <w:rPr>
                <w:rFonts w:eastAsia="Times New Roman" w:cs="Times New Roman"/>
                <w:szCs w:val="24"/>
                <w:lang w:eastAsia="lv-LV"/>
              </w:rPr>
              <w:t>Tiesību akta projekta apstiprināšanas rezult</w:t>
            </w:r>
            <w:r w:rsidR="003733CD" w:rsidRPr="00B741B1">
              <w:rPr>
                <w:rFonts w:eastAsia="Times New Roman" w:cs="Times New Roman"/>
                <w:szCs w:val="24"/>
                <w:lang w:eastAsia="lv-LV"/>
              </w:rPr>
              <w:t xml:space="preserve">ātā </w:t>
            </w:r>
            <w:r w:rsidR="003733CD" w:rsidRPr="00B741B1">
              <w:t xml:space="preserve">Kontroles dienests sniegs VID no kredītiestādēm saņemto informāciju par </w:t>
            </w:r>
            <w:r w:rsidR="00DA4D2A">
              <w:t>Latvijas Republikas rezidentu veiktajiem</w:t>
            </w:r>
            <w:r w:rsidR="005F0F30">
              <w:t xml:space="preserve"> aizdomīgiem un </w:t>
            </w:r>
            <w:r w:rsidR="00DA4D2A">
              <w:t xml:space="preserve"> </w:t>
            </w:r>
            <w:r w:rsidR="003733CD" w:rsidRPr="00B741B1">
              <w:t>ne</w:t>
            </w:r>
            <w:r w:rsidR="00B741B1">
              <w:t xml:space="preserve">parastiem darījumiem atbilstoši </w:t>
            </w:r>
            <w:r w:rsidR="003733CD" w:rsidRPr="00F058E0">
              <w:t>Ministru kabineta 2008.gada 22.decembra noteikumos Nr.1071 "Noteikumi par neparasta darījuma pazīmju sarakstu un kārtību, kādā sniedzami ziņojumi par neparast</w:t>
            </w:r>
            <w:r w:rsidR="005F0F30">
              <w:t>iem vai aizdomīgiem darījumiem"</w:t>
            </w:r>
            <w:r w:rsidR="00B7367A">
              <w:t xml:space="preserve"> </w:t>
            </w:r>
            <w:r w:rsidR="000F42CC" w:rsidRPr="000F42CC">
              <w:rPr>
                <w:szCs w:val="24"/>
              </w:rPr>
              <w:t>noteiktajām neparasta darījuma pazīmēm</w:t>
            </w:r>
            <w:r w:rsidR="000F42CC">
              <w:rPr>
                <w:szCs w:val="24"/>
              </w:rPr>
              <w:t>.</w:t>
            </w:r>
          </w:p>
        </w:tc>
      </w:tr>
      <w:tr w:rsidR="00126382" w:rsidRPr="00225B51" w:rsidTr="00DC03FE">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26382" w:rsidRPr="00225B51" w:rsidRDefault="00126382" w:rsidP="00DC03FE">
            <w:pPr>
              <w:rPr>
                <w:rFonts w:eastAsia="Times New Roman" w:cs="Times New Roman"/>
                <w:szCs w:val="24"/>
                <w:lang w:eastAsia="lv-LV"/>
              </w:rPr>
            </w:pPr>
            <w:r w:rsidRPr="00225B51">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26382" w:rsidRPr="00225B51" w:rsidRDefault="00126382" w:rsidP="00851BD8">
            <w:pPr>
              <w:spacing w:before="100" w:beforeAutospacing="1" w:after="100" w:afterAutospacing="1" w:line="360" w:lineRule="auto"/>
              <w:rPr>
                <w:rFonts w:eastAsia="Times New Roman" w:cs="Times New Roman"/>
                <w:szCs w:val="24"/>
                <w:lang w:eastAsia="lv-LV"/>
              </w:rPr>
            </w:pPr>
            <w:r w:rsidRPr="00225B51">
              <w:rPr>
                <w:rFonts w:eastAsia="Times New Roman" w:cs="Times New Roman"/>
                <w:szCs w:val="24"/>
                <w:lang w:eastAsia="lv-LV"/>
              </w:rPr>
              <w:t>Nav</w:t>
            </w:r>
          </w:p>
        </w:tc>
      </w:tr>
    </w:tbl>
    <w:p w:rsidR="00126382" w:rsidRPr="00225B51" w:rsidRDefault="00126382" w:rsidP="00126382">
      <w:pPr>
        <w:rPr>
          <w:rFonts w:cs="Times New Roman"/>
          <w:szCs w:val="24"/>
        </w:rPr>
      </w:pPr>
    </w:p>
    <w:p w:rsidR="00126382" w:rsidRPr="00225B51" w:rsidRDefault="00126382" w:rsidP="00126382">
      <w:pPr>
        <w:rPr>
          <w:rFonts w:cs="Times New Roman"/>
          <w:szCs w:val="24"/>
        </w:rPr>
      </w:pPr>
    </w:p>
    <w:p w:rsidR="00126382" w:rsidRPr="00225B51" w:rsidRDefault="00126382" w:rsidP="00126382">
      <w:pPr>
        <w:pStyle w:val="NormalWeb"/>
        <w:tabs>
          <w:tab w:val="left" w:pos="6521"/>
        </w:tabs>
        <w:spacing w:before="0" w:beforeAutospacing="0" w:after="0" w:afterAutospacing="0"/>
        <w:ind w:left="540" w:hanging="540"/>
      </w:pPr>
      <w:r w:rsidRPr="00225B51">
        <w:t xml:space="preserve">Finanšu ministrs                                                                                                </w:t>
      </w:r>
      <w:r>
        <w:t xml:space="preserve"> </w:t>
      </w:r>
      <w:r w:rsidRPr="00225B51">
        <w:t xml:space="preserve">   </w:t>
      </w:r>
      <w:r>
        <w:t xml:space="preserve">      </w:t>
      </w:r>
      <w:proofErr w:type="spellStart"/>
      <w:r w:rsidRPr="00225B51">
        <w:t>J.Reirs</w:t>
      </w:r>
      <w:proofErr w:type="spellEnd"/>
    </w:p>
    <w:p w:rsidR="00126382" w:rsidRDefault="00126382" w:rsidP="00126382">
      <w:pPr>
        <w:pStyle w:val="NormalWeb"/>
        <w:tabs>
          <w:tab w:val="left" w:pos="6521"/>
        </w:tabs>
        <w:spacing w:before="0" w:beforeAutospacing="0" w:after="0" w:afterAutospacing="0"/>
      </w:pPr>
    </w:p>
    <w:p w:rsidR="00126382" w:rsidRPr="00225B51" w:rsidRDefault="00126382" w:rsidP="00126382">
      <w:pPr>
        <w:pStyle w:val="NormalWeb"/>
        <w:tabs>
          <w:tab w:val="left" w:pos="6521"/>
        </w:tabs>
        <w:spacing w:before="0" w:beforeAutospacing="0" w:after="0" w:afterAutospacing="0"/>
      </w:pPr>
    </w:p>
    <w:p w:rsidR="00126382" w:rsidRPr="00BB56CE" w:rsidRDefault="008A71D5" w:rsidP="00126382">
      <w:pPr>
        <w:rPr>
          <w:rFonts w:eastAsia="Times New Roman" w:cs="Times New Roman"/>
          <w:sz w:val="20"/>
          <w:szCs w:val="20"/>
        </w:rPr>
      </w:pPr>
      <w:r>
        <w:rPr>
          <w:rFonts w:eastAsia="Times New Roman" w:cs="Times New Roman"/>
          <w:sz w:val="20"/>
          <w:szCs w:val="20"/>
        </w:rPr>
        <w:t>17</w:t>
      </w:r>
      <w:r w:rsidR="005D59A6">
        <w:rPr>
          <w:rFonts w:eastAsia="Times New Roman" w:cs="Times New Roman"/>
          <w:sz w:val="20"/>
          <w:szCs w:val="20"/>
        </w:rPr>
        <w:t>.04</w:t>
      </w:r>
      <w:r w:rsidR="00720830">
        <w:rPr>
          <w:rFonts w:eastAsia="Times New Roman" w:cs="Times New Roman"/>
          <w:sz w:val="20"/>
          <w:szCs w:val="20"/>
        </w:rPr>
        <w:t>.2015</w:t>
      </w:r>
      <w:r w:rsidR="00126382" w:rsidRPr="00BB56CE">
        <w:rPr>
          <w:rFonts w:eastAsia="Times New Roman" w:cs="Times New Roman"/>
          <w:sz w:val="20"/>
          <w:szCs w:val="20"/>
        </w:rPr>
        <w:t>. 9:35</w:t>
      </w:r>
    </w:p>
    <w:p w:rsidR="00126382" w:rsidRPr="00BB56CE" w:rsidRDefault="008D7984" w:rsidP="00126382">
      <w:pPr>
        <w:rPr>
          <w:rFonts w:eastAsia="Times New Roman" w:cs="Times New Roman"/>
          <w:sz w:val="20"/>
          <w:szCs w:val="20"/>
        </w:rPr>
      </w:pPr>
      <w:r>
        <w:rPr>
          <w:rFonts w:eastAsia="Times New Roman" w:cs="Times New Roman"/>
          <w:sz w:val="20"/>
          <w:szCs w:val="20"/>
        </w:rPr>
        <w:t>3367</w:t>
      </w:r>
    </w:p>
    <w:p w:rsidR="00126382" w:rsidRPr="00BB56CE" w:rsidRDefault="00126382" w:rsidP="00126382">
      <w:pPr>
        <w:rPr>
          <w:rFonts w:eastAsia="Times New Roman" w:cs="Times New Roman"/>
          <w:sz w:val="20"/>
          <w:szCs w:val="20"/>
        </w:rPr>
      </w:pPr>
      <w:bookmarkStart w:id="0" w:name="_GoBack"/>
      <w:r w:rsidRPr="00BB56CE">
        <w:rPr>
          <w:rFonts w:eastAsia="Times New Roman" w:cs="Times New Roman"/>
          <w:sz w:val="20"/>
          <w:szCs w:val="20"/>
        </w:rPr>
        <w:t>I. Repše</w:t>
      </w:r>
    </w:p>
    <w:p w:rsidR="00126382" w:rsidRPr="00BB56CE" w:rsidRDefault="00126382" w:rsidP="00126382">
      <w:pPr>
        <w:rPr>
          <w:rFonts w:eastAsia="Times New Roman" w:cs="Times New Roman"/>
          <w:sz w:val="20"/>
          <w:szCs w:val="20"/>
        </w:rPr>
      </w:pPr>
      <w:r w:rsidRPr="00BB56CE">
        <w:rPr>
          <w:rFonts w:eastAsia="Times New Roman" w:cs="Times New Roman"/>
          <w:sz w:val="20"/>
          <w:szCs w:val="20"/>
        </w:rPr>
        <w:t xml:space="preserve">67095490, </w:t>
      </w:r>
      <w:hyperlink r:id="rId8" w:history="1">
        <w:r w:rsidRPr="00BB56CE">
          <w:rPr>
            <w:rStyle w:val="Hyperlink"/>
            <w:rFonts w:eastAsia="Times New Roman" w:cs="Times New Roman"/>
            <w:sz w:val="20"/>
            <w:szCs w:val="20"/>
          </w:rPr>
          <w:t>inta.repse@fm.gov.lv</w:t>
        </w:r>
      </w:hyperlink>
    </w:p>
    <w:bookmarkEnd w:id="0"/>
    <w:p w:rsidR="00126382" w:rsidRPr="00225B51" w:rsidRDefault="00126382" w:rsidP="00126382">
      <w:pPr>
        <w:rPr>
          <w:rFonts w:cs="Times New Roman"/>
          <w:szCs w:val="24"/>
        </w:rPr>
      </w:pPr>
    </w:p>
    <w:p w:rsidR="00313AF5" w:rsidRDefault="00313AF5"/>
    <w:sectPr w:rsidR="00313AF5" w:rsidSect="00DC03FE">
      <w:headerReference w:type="default" r:id="rId9"/>
      <w:footerReference w:type="default" r:id="rId10"/>
      <w:footerReference w:type="first" r:id="rId11"/>
      <w:pgSz w:w="11906" w:h="16838"/>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4D5" w:rsidRDefault="002634D5" w:rsidP="00DB39CF">
      <w:r>
        <w:separator/>
      </w:r>
    </w:p>
  </w:endnote>
  <w:endnote w:type="continuationSeparator" w:id="0">
    <w:p w:rsidR="002634D5" w:rsidRDefault="002634D5" w:rsidP="00DB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FE" w:rsidRPr="008A417E" w:rsidRDefault="00DC03FE" w:rsidP="00DB39CF">
    <w:pPr>
      <w:jc w:val="both"/>
      <w:rPr>
        <w:rFonts w:cs="Times New Roman"/>
        <w:szCs w:val="24"/>
      </w:rPr>
    </w:pPr>
    <w:r>
      <w:rPr>
        <w:rFonts w:cs="Times New Roman"/>
        <w:szCs w:val="24"/>
      </w:rPr>
      <w:t>FMAnot_070415_NILLTFN</w:t>
    </w:r>
    <w:r w:rsidRPr="008A417E">
      <w:rPr>
        <w:rFonts w:cs="Times New Roman"/>
        <w:szCs w:val="24"/>
      </w:rPr>
      <w:t xml:space="preserve">; Likumprojekta </w:t>
    </w:r>
    <w:r w:rsidRPr="008A417E">
      <w:rPr>
        <w:rFonts w:cs="Times New Roman"/>
        <w:bCs/>
        <w:szCs w:val="24"/>
      </w:rPr>
      <w:t>„Grozījumi Noziedzīgi iegūtu līdzekļu legalizācijas un terorisma finansēšanas novēršanas likumā</w:t>
    </w:r>
    <w:r w:rsidRPr="008A417E">
      <w:rPr>
        <w:rFonts w:cs="Times New Roman"/>
        <w:szCs w:val="24"/>
      </w:rPr>
      <w:t>" sākotnējās ietekmes novērtējuma ziņojums (anotācija)</w:t>
    </w:r>
  </w:p>
  <w:p w:rsidR="00DC03FE" w:rsidRDefault="00DC0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FE" w:rsidRPr="008A417E" w:rsidRDefault="00DC03FE" w:rsidP="00DC03FE">
    <w:pPr>
      <w:jc w:val="both"/>
      <w:rPr>
        <w:rFonts w:cs="Times New Roman"/>
        <w:szCs w:val="24"/>
      </w:rPr>
    </w:pPr>
    <w:r>
      <w:rPr>
        <w:rFonts w:cs="Times New Roman"/>
        <w:szCs w:val="24"/>
      </w:rPr>
      <w:t>FMAnot_070415_NILLTFN</w:t>
    </w:r>
    <w:r w:rsidRPr="008A417E">
      <w:rPr>
        <w:rFonts w:cs="Times New Roman"/>
        <w:szCs w:val="24"/>
      </w:rPr>
      <w:t xml:space="preserve">; Likumprojekta </w:t>
    </w:r>
    <w:r w:rsidRPr="008A417E">
      <w:rPr>
        <w:rFonts w:cs="Times New Roman"/>
        <w:bCs/>
        <w:szCs w:val="24"/>
      </w:rPr>
      <w:t>„Grozījumi Noziedzīgi iegūtu līdzekļu legalizācijas un terorisma finansēšanas novēršanas likumā</w:t>
    </w:r>
    <w:r w:rsidRPr="008A417E">
      <w:rPr>
        <w:rFonts w:cs="Times New Roman"/>
        <w:szCs w:val="24"/>
      </w:rPr>
      <w:t>" sākotnējās ietekmes novērtējuma ziņojums (anotācija)</w:t>
    </w:r>
  </w:p>
  <w:p w:rsidR="00DC03FE" w:rsidRDefault="00DC03FE" w:rsidP="00DC03F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4D5" w:rsidRDefault="002634D5" w:rsidP="00DB39CF">
      <w:r>
        <w:separator/>
      </w:r>
    </w:p>
  </w:footnote>
  <w:footnote w:type="continuationSeparator" w:id="0">
    <w:p w:rsidR="002634D5" w:rsidRDefault="002634D5" w:rsidP="00DB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692685"/>
      <w:docPartObj>
        <w:docPartGallery w:val="Page Numbers (Top of Page)"/>
        <w:docPartUnique/>
      </w:docPartObj>
    </w:sdtPr>
    <w:sdtEndPr>
      <w:rPr>
        <w:noProof/>
      </w:rPr>
    </w:sdtEndPr>
    <w:sdtContent>
      <w:p w:rsidR="00DC03FE" w:rsidRDefault="00DC03FE">
        <w:pPr>
          <w:pStyle w:val="Header"/>
          <w:jc w:val="center"/>
        </w:pPr>
        <w:r>
          <w:fldChar w:fldCharType="begin"/>
        </w:r>
        <w:r>
          <w:instrText xml:space="preserve"> PAGE   \* MERGEFORMAT </w:instrText>
        </w:r>
        <w:r>
          <w:fldChar w:fldCharType="separate"/>
        </w:r>
        <w:r w:rsidR="00666CC4">
          <w:rPr>
            <w:noProof/>
          </w:rPr>
          <w:t>13</w:t>
        </w:r>
        <w:r>
          <w:rPr>
            <w:noProof/>
          </w:rPr>
          <w:fldChar w:fldCharType="end"/>
        </w:r>
      </w:p>
    </w:sdtContent>
  </w:sdt>
  <w:p w:rsidR="00DC03FE" w:rsidRDefault="00DC0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30F77"/>
    <w:multiLevelType w:val="hybridMultilevel"/>
    <w:tmpl w:val="2C841C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3E5C33"/>
    <w:multiLevelType w:val="hybridMultilevel"/>
    <w:tmpl w:val="92BE0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4AF674B"/>
    <w:multiLevelType w:val="hybridMultilevel"/>
    <w:tmpl w:val="EC6EEED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7154755F"/>
    <w:multiLevelType w:val="hybridMultilevel"/>
    <w:tmpl w:val="28AE09D4"/>
    <w:lvl w:ilvl="0" w:tplc="281E554E">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82"/>
    <w:rsid w:val="000155FC"/>
    <w:rsid w:val="000C51DC"/>
    <w:rsid w:val="000E0F65"/>
    <w:rsid w:val="000F42CC"/>
    <w:rsid w:val="000F5A74"/>
    <w:rsid w:val="00120ACB"/>
    <w:rsid w:val="0012302D"/>
    <w:rsid w:val="00126382"/>
    <w:rsid w:val="00197A3F"/>
    <w:rsid w:val="001E6136"/>
    <w:rsid w:val="001E7CA5"/>
    <w:rsid w:val="00202406"/>
    <w:rsid w:val="00204270"/>
    <w:rsid w:val="00217EBA"/>
    <w:rsid w:val="00222E4E"/>
    <w:rsid w:val="002235A7"/>
    <w:rsid w:val="002634D5"/>
    <w:rsid w:val="00283DB4"/>
    <w:rsid w:val="00285455"/>
    <w:rsid w:val="002914F9"/>
    <w:rsid w:val="00293A01"/>
    <w:rsid w:val="002A7F4A"/>
    <w:rsid w:val="002B5579"/>
    <w:rsid w:val="00313AF5"/>
    <w:rsid w:val="00352B7A"/>
    <w:rsid w:val="003733CD"/>
    <w:rsid w:val="003A1200"/>
    <w:rsid w:val="00412362"/>
    <w:rsid w:val="004234C9"/>
    <w:rsid w:val="00483877"/>
    <w:rsid w:val="004B3DDF"/>
    <w:rsid w:val="004E175E"/>
    <w:rsid w:val="0052432E"/>
    <w:rsid w:val="005354AB"/>
    <w:rsid w:val="00540FF4"/>
    <w:rsid w:val="0056277C"/>
    <w:rsid w:val="005C3D4C"/>
    <w:rsid w:val="005D59A6"/>
    <w:rsid w:val="005F0F30"/>
    <w:rsid w:val="006129A1"/>
    <w:rsid w:val="00640962"/>
    <w:rsid w:val="006546C3"/>
    <w:rsid w:val="00666CC4"/>
    <w:rsid w:val="00681C6F"/>
    <w:rsid w:val="00694373"/>
    <w:rsid w:val="006A1E24"/>
    <w:rsid w:val="006E5271"/>
    <w:rsid w:val="007001D4"/>
    <w:rsid w:val="00720830"/>
    <w:rsid w:val="00734235"/>
    <w:rsid w:val="00740444"/>
    <w:rsid w:val="007471EA"/>
    <w:rsid w:val="00771BDE"/>
    <w:rsid w:val="00775E74"/>
    <w:rsid w:val="00795718"/>
    <w:rsid w:val="007F56EB"/>
    <w:rsid w:val="007F67AE"/>
    <w:rsid w:val="00813D5F"/>
    <w:rsid w:val="00817C7E"/>
    <w:rsid w:val="008373BD"/>
    <w:rsid w:val="00851BD8"/>
    <w:rsid w:val="008A71D5"/>
    <w:rsid w:val="008B3131"/>
    <w:rsid w:val="008D7984"/>
    <w:rsid w:val="00924BB2"/>
    <w:rsid w:val="0094476C"/>
    <w:rsid w:val="00973E38"/>
    <w:rsid w:val="009B6067"/>
    <w:rsid w:val="009D54DB"/>
    <w:rsid w:val="009D663F"/>
    <w:rsid w:val="009F586A"/>
    <w:rsid w:val="00A13A26"/>
    <w:rsid w:val="00A1726D"/>
    <w:rsid w:val="00A2462D"/>
    <w:rsid w:val="00A403F5"/>
    <w:rsid w:val="00A74068"/>
    <w:rsid w:val="00AB07F4"/>
    <w:rsid w:val="00AE71D8"/>
    <w:rsid w:val="00B5153C"/>
    <w:rsid w:val="00B67631"/>
    <w:rsid w:val="00B7228D"/>
    <w:rsid w:val="00B7367A"/>
    <w:rsid w:val="00B741B1"/>
    <w:rsid w:val="00BB5E8B"/>
    <w:rsid w:val="00BC0956"/>
    <w:rsid w:val="00C001D4"/>
    <w:rsid w:val="00CE4285"/>
    <w:rsid w:val="00D35187"/>
    <w:rsid w:val="00D41AA5"/>
    <w:rsid w:val="00DA4D2A"/>
    <w:rsid w:val="00DB39CF"/>
    <w:rsid w:val="00DB506D"/>
    <w:rsid w:val="00DC03FE"/>
    <w:rsid w:val="00DC3F47"/>
    <w:rsid w:val="00DC46D5"/>
    <w:rsid w:val="00DF19F7"/>
    <w:rsid w:val="00E10D50"/>
    <w:rsid w:val="00E14920"/>
    <w:rsid w:val="00E32C67"/>
    <w:rsid w:val="00E45DB1"/>
    <w:rsid w:val="00E85437"/>
    <w:rsid w:val="00E9591F"/>
    <w:rsid w:val="00EA0692"/>
    <w:rsid w:val="00EB3F33"/>
    <w:rsid w:val="00EC6882"/>
    <w:rsid w:val="00EC7737"/>
    <w:rsid w:val="00EE778D"/>
    <w:rsid w:val="00EF256A"/>
    <w:rsid w:val="00F058E0"/>
    <w:rsid w:val="00F31A36"/>
    <w:rsid w:val="00F424CA"/>
    <w:rsid w:val="00F83AA5"/>
    <w:rsid w:val="00FA4173"/>
    <w:rsid w:val="00FC127F"/>
    <w:rsid w:val="00FC7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3FE57-C097-4CEC-BF31-B1FC6C6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26382"/>
    <w:pPr>
      <w:spacing w:before="150" w:after="150"/>
      <w:jc w:val="center"/>
    </w:pPr>
    <w:rPr>
      <w:rFonts w:eastAsia="Times New Roman" w:cs="Times New Roman"/>
      <w:b/>
      <w:bCs/>
      <w:szCs w:val="24"/>
      <w:lang w:eastAsia="lv-LV"/>
    </w:rPr>
  </w:style>
  <w:style w:type="paragraph" w:customStyle="1" w:styleId="naisf">
    <w:name w:val="naisf"/>
    <w:basedOn w:val="Normal"/>
    <w:rsid w:val="00126382"/>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rsid w:val="00126382"/>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126382"/>
    <w:rPr>
      <w:rFonts w:eastAsia="Times New Roman" w:cs="Times New Roman"/>
      <w:szCs w:val="24"/>
      <w:lang w:eastAsia="lv-LV"/>
    </w:rPr>
  </w:style>
  <w:style w:type="paragraph" w:styleId="Footer">
    <w:name w:val="footer"/>
    <w:basedOn w:val="Normal"/>
    <w:link w:val="FooterChar"/>
    <w:uiPriority w:val="99"/>
    <w:rsid w:val="00126382"/>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126382"/>
    <w:rPr>
      <w:rFonts w:eastAsia="Times New Roman" w:cs="Times New Roman"/>
      <w:szCs w:val="24"/>
      <w:lang w:eastAsia="lv-LV"/>
    </w:rPr>
  </w:style>
  <w:style w:type="paragraph" w:customStyle="1" w:styleId="naiskr">
    <w:name w:val="naiskr"/>
    <w:basedOn w:val="Normal"/>
    <w:rsid w:val="00126382"/>
    <w:pPr>
      <w:spacing w:before="75" w:after="75"/>
    </w:pPr>
    <w:rPr>
      <w:rFonts w:eastAsia="Times New Roman" w:cs="Times New Roman"/>
      <w:szCs w:val="24"/>
      <w:lang w:eastAsia="lv-LV"/>
    </w:rPr>
  </w:style>
  <w:style w:type="paragraph" w:styleId="NormalWeb">
    <w:name w:val="Normal (Web)"/>
    <w:basedOn w:val="Normal"/>
    <w:semiHidden/>
    <w:rsid w:val="00126382"/>
    <w:pPr>
      <w:spacing w:before="100" w:beforeAutospacing="1" w:after="100" w:afterAutospacing="1"/>
    </w:pPr>
    <w:rPr>
      <w:rFonts w:eastAsia="Times New Roman" w:cs="Times New Roman"/>
      <w:szCs w:val="24"/>
      <w:lang w:eastAsia="lv-LV"/>
    </w:rPr>
  </w:style>
  <w:style w:type="character" w:styleId="Hyperlink">
    <w:name w:val="Hyperlink"/>
    <w:semiHidden/>
    <w:rsid w:val="00126382"/>
    <w:rPr>
      <w:color w:val="0000FF"/>
      <w:u w:val="single"/>
    </w:rPr>
  </w:style>
  <w:style w:type="paragraph" w:styleId="PlainText">
    <w:name w:val="Plain Text"/>
    <w:basedOn w:val="Normal"/>
    <w:link w:val="PlainTextChar"/>
    <w:uiPriority w:val="99"/>
    <w:unhideWhenUsed/>
    <w:rsid w:val="00126382"/>
    <w:rPr>
      <w:rFonts w:ascii="Calibri" w:hAnsi="Calibri"/>
      <w:sz w:val="22"/>
      <w:szCs w:val="21"/>
    </w:rPr>
  </w:style>
  <w:style w:type="character" w:customStyle="1" w:styleId="PlainTextChar">
    <w:name w:val="Plain Text Char"/>
    <w:basedOn w:val="DefaultParagraphFont"/>
    <w:link w:val="PlainText"/>
    <w:uiPriority w:val="99"/>
    <w:rsid w:val="00126382"/>
    <w:rPr>
      <w:rFonts w:ascii="Calibri" w:hAnsi="Calibri"/>
      <w:sz w:val="22"/>
      <w:szCs w:val="21"/>
    </w:rPr>
  </w:style>
  <w:style w:type="paragraph" w:styleId="CommentText">
    <w:name w:val="annotation text"/>
    <w:basedOn w:val="Normal"/>
    <w:link w:val="CommentTextChar"/>
    <w:uiPriority w:val="99"/>
    <w:unhideWhenUsed/>
    <w:rsid w:val="00126382"/>
    <w:rPr>
      <w:rFonts w:eastAsia="Times New Roman" w:cs="Times New Roman"/>
      <w:sz w:val="20"/>
      <w:szCs w:val="20"/>
    </w:rPr>
  </w:style>
  <w:style w:type="character" w:customStyle="1" w:styleId="CommentTextChar">
    <w:name w:val="Comment Text Char"/>
    <w:basedOn w:val="DefaultParagraphFont"/>
    <w:link w:val="CommentText"/>
    <w:uiPriority w:val="99"/>
    <w:rsid w:val="00126382"/>
    <w:rPr>
      <w:rFonts w:eastAsia="Times New Roman" w:cs="Times New Roman"/>
      <w:sz w:val="20"/>
      <w:szCs w:val="20"/>
    </w:rPr>
  </w:style>
  <w:style w:type="paragraph" w:styleId="ListParagraph">
    <w:name w:val="List Paragraph"/>
    <w:basedOn w:val="Normal"/>
    <w:uiPriority w:val="34"/>
    <w:qFormat/>
    <w:rsid w:val="00126382"/>
    <w:pPr>
      <w:ind w:left="720"/>
      <w:contextualSpacing/>
    </w:pPr>
    <w:rPr>
      <w:rFonts w:eastAsia="Times New Roman" w:cs="Times New Roman"/>
      <w:szCs w:val="24"/>
    </w:rPr>
  </w:style>
  <w:style w:type="paragraph" w:customStyle="1" w:styleId="Default">
    <w:name w:val="Default"/>
    <w:basedOn w:val="Normal"/>
    <w:rsid w:val="00126382"/>
    <w:pPr>
      <w:autoSpaceDE w:val="0"/>
      <w:autoSpaceDN w:val="0"/>
    </w:pPr>
    <w:rPr>
      <w:rFonts w:eastAsia="Calibri" w:cs="Times New Roman"/>
      <w:color w:val="000000"/>
      <w:szCs w:val="24"/>
    </w:rPr>
  </w:style>
  <w:style w:type="paragraph" w:customStyle="1" w:styleId="normal2">
    <w:name w:val="normal2"/>
    <w:basedOn w:val="Normal"/>
    <w:rsid w:val="00126382"/>
    <w:pPr>
      <w:spacing w:before="120" w:line="312" w:lineRule="atLeast"/>
      <w:jc w:val="both"/>
    </w:pPr>
    <w:rPr>
      <w:rFonts w:eastAsia="Times New Roman" w:cs="Times New Roman"/>
      <w:szCs w:val="24"/>
      <w:lang w:eastAsia="lv-LV"/>
    </w:rPr>
  </w:style>
  <w:style w:type="character" w:customStyle="1" w:styleId="italic1">
    <w:name w:val="italic1"/>
    <w:rsid w:val="00126382"/>
    <w:rPr>
      <w:i/>
      <w:iCs/>
    </w:rPr>
  </w:style>
  <w:style w:type="character" w:customStyle="1" w:styleId="hps">
    <w:name w:val="hps"/>
    <w:basedOn w:val="DefaultParagraphFont"/>
    <w:rsid w:val="00126382"/>
  </w:style>
  <w:style w:type="table" w:styleId="TableGrid">
    <w:name w:val="Table Grid"/>
    <w:basedOn w:val="TableNormal"/>
    <w:uiPriority w:val="39"/>
    <w:rsid w:val="00217EB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eps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8C01-0355-4A5A-824E-88F708E8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13</Pages>
  <Words>17043</Words>
  <Characters>9715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Likumprojekta„Grozījumi Noziedzīgi iegūtu līdzekļu legalizācijas un terorisma finansēšanas novēršanas likumā"</dc:title>
  <dc:subject>Anotācija</dc:subject>
  <dc:creator>Inta Repše</dc:creator>
  <cp:keywords/>
  <dc:description>I. Repše
67095490, inta.repse@fm.gov.lv</dc:description>
  <cp:lastModifiedBy>Gunta Puidīte</cp:lastModifiedBy>
  <cp:revision>88</cp:revision>
  <cp:lastPrinted>2015-02-05T08:05:00Z</cp:lastPrinted>
  <dcterms:created xsi:type="dcterms:W3CDTF">2015-01-21T10:04:00Z</dcterms:created>
  <dcterms:modified xsi:type="dcterms:W3CDTF">2015-04-30T10:22:00Z</dcterms:modified>
</cp:coreProperties>
</file>