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0D36" w14:textId="77777777" w:rsidR="00442295" w:rsidRPr="00442295" w:rsidRDefault="00442295" w:rsidP="00442295">
      <w:pPr>
        <w:tabs>
          <w:tab w:val="left" w:pos="6663"/>
        </w:tabs>
        <w:ind w:firstLine="0"/>
        <w:rPr>
          <w:color w:val="000000" w:themeColor="text1"/>
          <w:szCs w:val="28"/>
        </w:rPr>
      </w:pPr>
    </w:p>
    <w:p w14:paraId="0D41BCBE" w14:textId="77777777" w:rsidR="00442295" w:rsidRPr="00442295" w:rsidRDefault="00442295" w:rsidP="00442295">
      <w:pPr>
        <w:tabs>
          <w:tab w:val="left" w:pos="6663"/>
        </w:tabs>
        <w:ind w:firstLine="0"/>
        <w:rPr>
          <w:color w:val="000000" w:themeColor="text1"/>
          <w:szCs w:val="28"/>
        </w:rPr>
      </w:pPr>
    </w:p>
    <w:p w14:paraId="2DF27CB2" w14:textId="5A3EB908" w:rsidR="00442295" w:rsidRPr="00442295" w:rsidRDefault="00442295" w:rsidP="00442295">
      <w:pPr>
        <w:tabs>
          <w:tab w:val="left" w:pos="6804"/>
        </w:tabs>
        <w:ind w:firstLine="0"/>
        <w:rPr>
          <w:color w:val="000000" w:themeColor="text1"/>
          <w:szCs w:val="28"/>
        </w:rPr>
      </w:pPr>
      <w:r w:rsidRPr="00442295">
        <w:rPr>
          <w:color w:val="000000" w:themeColor="text1"/>
          <w:szCs w:val="28"/>
        </w:rPr>
        <w:t xml:space="preserve">2015. gada </w:t>
      </w:r>
      <w:r w:rsidR="007129A0">
        <w:rPr>
          <w:color w:val="000000" w:themeColor="text1"/>
          <w:szCs w:val="28"/>
        </w:rPr>
        <w:t>19. maijā</w:t>
      </w:r>
      <w:r w:rsidRPr="00442295">
        <w:rPr>
          <w:color w:val="000000" w:themeColor="text1"/>
          <w:szCs w:val="28"/>
        </w:rPr>
        <w:tab/>
        <w:t>Noteikumi Nr.</w:t>
      </w:r>
      <w:r w:rsidR="007129A0">
        <w:rPr>
          <w:color w:val="000000" w:themeColor="text1"/>
          <w:szCs w:val="28"/>
        </w:rPr>
        <w:t> 229</w:t>
      </w:r>
    </w:p>
    <w:p w14:paraId="4AA690EE" w14:textId="60A7ECD2" w:rsidR="00442295" w:rsidRPr="00442295" w:rsidRDefault="00442295" w:rsidP="00442295">
      <w:pPr>
        <w:tabs>
          <w:tab w:val="left" w:pos="6804"/>
        </w:tabs>
        <w:ind w:firstLine="0"/>
        <w:rPr>
          <w:color w:val="000000" w:themeColor="text1"/>
          <w:szCs w:val="28"/>
        </w:rPr>
      </w:pPr>
      <w:r w:rsidRPr="00442295">
        <w:rPr>
          <w:color w:val="000000" w:themeColor="text1"/>
          <w:szCs w:val="28"/>
        </w:rPr>
        <w:t>Rīgā</w:t>
      </w:r>
      <w:r w:rsidRPr="00442295">
        <w:rPr>
          <w:color w:val="000000" w:themeColor="text1"/>
          <w:szCs w:val="28"/>
        </w:rPr>
        <w:tab/>
        <w:t>(prot. Nr. </w:t>
      </w:r>
      <w:r w:rsidR="007129A0">
        <w:rPr>
          <w:color w:val="000000" w:themeColor="text1"/>
          <w:szCs w:val="28"/>
        </w:rPr>
        <w:t>25</w:t>
      </w:r>
      <w:r w:rsidRPr="00442295">
        <w:rPr>
          <w:color w:val="000000" w:themeColor="text1"/>
          <w:szCs w:val="28"/>
        </w:rPr>
        <w:t>  </w:t>
      </w:r>
      <w:r w:rsidR="007129A0">
        <w:rPr>
          <w:color w:val="000000" w:themeColor="text1"/>
          <w:szCs w:val="28"/>
        </w:rPr>
        <w:t>7</w:t>
      </w:r>
      <w:bookmarkStart w:id="0" w:name="_GoBack"/>
      <w:bookmarkEnd w:id="0"/>
      <w:r w:rsidRPr="00442295">
        <w:rPr>
          <w:color w:val="000000" w:themeColor="text1"/>
          <w:szCs w:val="28"/>
        </w:rPr>
        <w:t>. §)</w:t>
      </w:r>
    </w:p>
    <w:p w14:paraId="747A1B6E" w14:textId="77777777" w:rsidR="00037CA8" w:rsidRPr="00442295" w:rsidRDefault="00037CA8" w:rsidP="008F3CFF">
      <w:pPr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747A1B70" w14:textId="5CD29F3A" w:rsidR="005450DC" w:rsidRPr="00442295" w:rsidRDefault="00E86571" w:rsidP="00AF6979">
      <w:pPr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Grozījumi</w:t>
      </w:r>
      <w:r w:rsidR="004D1239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Ministru kabineta 2011</w:t>
      </w:r>
      <w:r w:rsidR="00442295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 g</w:t>
      </w:r>
      <w:r w:rsidR="005450DC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ada </w:t>
      </w:r>
      <w:r w:rsidR="00AF6979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18</w:t>
      </w:r>
      <w:r w:rsidR="00442295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 j</w:t>
      </w:r>
      <w:r w:rsidR="00AF6979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anvāra noteikumos Nr.</w:t>
      </w:r>
      <w:r w:rsid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 </w:t>
      </w:r>
      <w:r w:rsidR="00AF6979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55</w:t>
      </w:r>
      <w:r w:rsidR="008F3CFF" w:rsidRP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  <w:r w:rsid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 w:rsidR="004D1239" w:rsidRPr="00442295">
        <w:rPr>
          <w:b/>
          <w:iCs/>
          <w:color w:val="000000" w:themeColor="text1"/>
        </w:rPr>
        <w:t xml:space="preserve">Noteikumi par </w:t>
      </w:r>
      <w:r w:rsidR="00AF6979" w:rsidRPr="00442295">
        <w:rPr>
          <w:b/>
          <w:iCs/>
          <w:color w:val="000000" w:themeColor="text1"/>
        </w:rPr>
        <w:t>speciālo</w:t>
      </w:r>
      <w:r w:rsidR="009B2635" w:rsidRPr="00442295">
        <w:rPr>
          <w:b/>
          <w:iCs/>
          <w:color w:val="000000" w:themeColor="text1"/>
        </w:rPr>
        <w:t xml:space="preserve"> līdzekļu veidiem un kārtību, kā</w:t>
      </w:r>
      <w:r w:rsidR="00AF6979" w:rsidRPr="00442295">
        <w:rPr>
          <w:b/>
          <w:iCs/>
          <w:color w:val="000000" w:themeColor="text1"/>
        </w:rPr>
        <w:t>dā tos lieto policijas darbinieki un robežsargi</w:t>
      </w:r>
      <w:r w:rsidR="0044229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747A1B72" w14:textId="77777777" w:rsidR="007B369A" w:rsidRPr="00442295" w:rsidRDefault="007B369A" w:rsidP="008F3CFF">
      <w:pPr>
        <w:ind w:firstLine="301"/>
        <w:jc w:val="right"/>
        <w:rPr>
          <w:rFonts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6221D382" w14:textId="595F2297" w:rsidR="00B1195B" w:rsidRDefault="00300A5D" w:rsidP="009B2635">
      <w:pPr>
        <w:ind w:firstLine="301"/>
        <w:jc w:val="right"/>
        <w:rPr>
          <w:rFonts w:eastAsia="Times New Roman" w:cs="Times New Roman"/>
          <w:iCs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Izdoti saskaņā ar </w:t>
      </w:r>
      <w:r w:rsidR="00B1195B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Iekšējās drošības biroja likuma </w:t>
      </w:r>
    </w:p>
    <w:p w14:paraId="747A1B73" w14:textId="62B16BF3" w:rsidR="009B2635" w:rsidRPr="00442295" w:rsidRDefault="00B1195B" w:rsidP="009B2635">
      <w:pPr>
        <w:ind w:firstLine="301"/>
        <w:jc w:val="right"/>
        <w:rPr>
          <w:rFonts w:eastAsia="Times New Roman" w:cs="Times New Roman"/>
          <w:iCs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7. panta otro daļu</w:t>
      </w:r>
      <w:r>
        <w:rPr>
          <w:rFonts w:eastAsia="Times New Roman" w:cs="Times New Roman"/>
          <w:iCs/>
          <w:color w:val="000000" w:themeColor="text1"/>
          <w:szCs w:val="28"/>
          <w:lang w:eastAsia="lv-LV"/>
        </w:rPr>
        <w:t>,</w:t>
      </w: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 </w:t>
      </w:r>
      <w:r w:rsidR="00300A5D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likuma </w:t>
      </w:r>
      <w:r w:rsid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"</w:t>
      </w:r>
      <w:r w:rsidR="00300A5D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Par policiju</w:t>
      </w:r>
      <w:r w:rsid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"</w:t>
      </w:r>
      <w:r w:rsidR="009B2635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 13</w:t>
      </w:r>
      <w:r w:rsidR="00442295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. p</w:t>
      </w:r>
      <w:r w:rsidR="009B2635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anta </w:t>
      </w:r>
      <w:r w:rsidR="002C7CD5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ceturto daļu,</w:t>
      </w:r>
    </w:p>
    <w:p w14:paraId="747A1B74" w14:textId="2EF67B35" w:rsidR="009B2635" w:rsidRPr="00442295" w:rsidRDefault="009B2635" w:rsidP="009B2635">
      <w:pPr>
        <w:ind w:firstLine="301"/>
        <w:jc w:val="right"/>
        <w:rPr>
          <w:rFonts w:eastAsia="Times New Roman" w:cs="Times New Roman"/>
          <w:iCs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19</w:t>
      </w:r>
      <w:r w:rsidR="00442295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. p</w:t>
      </w: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anta septīto daļu un 19.</w:t>
      </w:r>
      <w:r w:rsidRPr="00442295">
        <w:rPr>
          <w:rFonts w:eastAsia="Times New Roman" w:cs="Times New Roman"/>
          <w:iCs/>
          <w:color w:val="000000" w:themeColor="text1"/>
          <w:szCs w:val="28"/>
          <w:vertAlign w:val="superscript"/>
          <w:lang w:eastAsia="lv-LV"/>
        </w:rPr>
        <w:t>1</w:t>
      </w: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 panta </w:t>
      </w:r>
      <w:r w:rsidR="002C7CD5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sesto daļu un</w:t>
      </w:r>
    </w:p>
    <w:p w14:paraId="747A1B75" w14:textId="3D98EE30" w:rsidR="008F3CFF" w:rsidRPr="00442295" w:rsidRDefault="009B2635" w:rsidP="009B2635">
      <w:pPr>
        <w:ind w:firstLine="301"/>
        <w:jc w:val="right"/>
        <w:rPr>
          <w:rFonts w:eastAsia="Times New Roman" w:cs="Times New Roman"/>
          <w:iCs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Robežsardzes likuma 17</w:t>
      </w:r>
      <w:r w:rsidR="00442295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. p</w:t>
      </w:r>
      <w:r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>anta piekto daļu</w:t>
      </w:r>
      <w:r w:rsidR="00AE337D" w:rsidRPr="00442295">
        <w:rPr>
          <w:rFonts w:eastAsia="Times New Roman" w:cs="Times New Roman"/>
          <w:iCs/>
          <w:color w:val="000000" w:themeColor="text1"/>
          <w:szCs w:val="28"/>
          <w:lang w:eastAsia="lv-LV"/>
        </w:rPr>
        <w:t xml:space="preserve"> </w:t>
      </w:r>
    </w:p>
    <w:p w14:paraId="747A1B77" w14:textId="77777777" w:rsidR="007B369A" w:rsidRPr="00442295" w:rsidRDefault="007B369A" w:rsidP="008F3CFF">
      <w:pPr>
        <w:ind w:firstLine="301"/>
        <w:jc w:val="right"/>
        <w:rPr>
          <w:rFonts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747A1B78" w14:textId="2C5CD990" w:rsidR="00857A45" w:rsidRPr="00442295" w:rsidRDefault="00F45212" w:rsidP="009B2635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1. </w:t>
      </w:r>
      <w:r w:rsidR="005450DC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Izdarīt </w:t>
      </w:r>
      <w:r w:rsidR="009B2635" w:rsidRPr="00442295">
        <w:rPr>
          <w:rFonts w:eastAsia="Times New Roman" w:cs="Times New Roman"/>
          <w:color w:val="000000" w:themeColor="text1"/>
          <w:szCs w:val="28"/>
          <w:lang w:eastAsia="lv-LV"/>
        </w:rPr>
        <w:t>Ministru kabineta 2011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g</w:t>
      </w:r>
      <w:r w:rsidR="009B2635" w:rsidRPr="00442295">
        <w:rPr>
          <w:rFonts w:eastAsia="Times New Roman" w:cs="Times New Roman"/>
          <w:color w:val="000000" w:themeColor="text1"/>
          <w:szCs w:val="28"/>
          <w:lang w:eastAsia="lv-LV"/>
        </w:rPr>
        <w:t>ada 18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j</w:t>
      </w:r>
      <w:r w:rsidR="002C7CD5">
        <w:rPr>
          <w:rFonts w:eastAsia="Times New Roman" w:cs="Times New Roman"/>
          <w:color w:val="000000" w:themeColor="text1"/>
          <w:szCs w:val="28"/>
          <w:lang w:eastAsia="lv-LV"/>
        </w:rPr>
        <w:t xml:space="preserve">anvāra </w:t>
      </w:r>
      <w:r w:rsidR="009B2635" w:rsidRPr="00442295">
        <w:rPr>
          <w:rFonts w:eastAsia="Times New Roman" w:cs="Times New Roman"/>
          <w:color w:val="000000" w:themeColor="text1"/>
          <w:szCs w:val="28"/>
          <w:lang w:eastAsia="lv-LV"/>
        </w:rPr>
        <w:t>noteikumos Nr.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9B2635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55 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9B2635" w:rsidRPr="00442295">
        <w:rPr>
          <w:rFonts w:eastAsia="Times New Roman" w:cs="Times New Roman"/>
          <w:color w:val="000000" w:themeColor="text1"/>
          <w:szCs w:val="28"/>
          <w:lang w:eastAsia="lv-LV"/>
        </w:rPr>
        <w:t>Noteikumi par speciālo līdzekļu veidiem un kārtību, kādā tos lieto policijas darbinieki un robežsargi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9B2635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FD6919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(Latvijas Vēstnesis, </w:t>
      </w:r>
      <w:r w:rsidR="00857A45" w:rsidRPr="00442295">
        <w:rPr>
          <w:rFonts w:eastAsia="Times New Roman" w:cs="Times New Roman"/>
          <w:color w:val="000000" w:themeColor="text1"/>
          <w:szCs w:val="28"/>
          <w:lang w:eastAsia="lv-LV"/>
        </w:rPr>
        <w:t>2011, 15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n</w:t>
      </w:r>
      <w:r w:rsidR="005450DC" w:rsidRPr="00442295">
        <w:rPr>
          <w:rFonts w:eastAsia="Times New Roman" w:cs="Times New Roman"/>
          <w:color w:val="000000" w:themeColor="text1"/>
          <w:szCs w:val="28"/>
          <w:lang w:eastAsia="lv-LV"/>
        </w:rPr>
        <w:t>r.</w:t>
      </w:r>
      <w:r w:rsidR="00FD6919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) </w:t>
      </w:r>
      <w:r w:rsidR="00857A45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šādus </w:t>
      </w:r>
      <w:r w:rsidR="008F3CFF" w:rsidRPr="00442295">
        <w:rPr>
          <w:rFonts w:eastAsia="Times New Roman" w:cs="Times New Roman"/>
          <w:color w:val="000000" w:themeColor="text1"/>
          <w:szCs w:val="28"/>
          <w:lang w:eastAsia="lv-LV"/>
        </w:rPr>
        <w:t>grozījum</w:t>
      </w:r>
      <w:r w:rsidR="00FD6919" w:rsidRPr="00442295">
        <w:rPr>
          <w:rFonts w:eastAsia="Times New Roman" w:cs="Times New Roman"/>
          <w:color w:val="000000" w:themeColor="text1"/>
          <w:szCs w:val="28"/>
          <w:lang w:eastAsia="lv-LV"/>
        </w:rPr>
        <w:t>u</w:t>
      </w:r>
      <w:r w:rsidR="00857A45" w:rsidRPr="00442295">
        <w:rPr>
          <w:rFonts w:eastAsia="Times New Roman" w:cs="Times New Roman"/>
          <w:color w:val="000000" w:themeColor="text1"/>
          <w:szCs w:val="28"/>
          <w:lang w:eastAsia="lv-LV"/>
        </w:rPr>
        <w:t>s:</w:t>
      </w:r>
    </w:p>
    <w:p w14:paraId="747A1B7A" w14:textId="40E17CF1" w:rsidR="00857A45" w:rsidRDefault="00F45212" w:rsidP="009B2635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>1.1. i</w:t>
      </w:r>
      <w:r w:rsidR="00857A45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zteikt </w:t>
      </w:r>
      <w:r w:rsidR="002C7CD5">
        <w:rPr>
          <w:rFonts w:eastAsia="Times New Roman" w:cs="Times New Roman"/>
          <w:color w:val="000000" w:themeColor="text1"/>
          <w:szCs w:val="28"/>
          <w:lang w:eastAsia="lv-LV"/>
        </w:rPr>
        <w:t xml:space="preserve">noteikumu </w:t>
      </w:r>
      <w:r w:rsidR="00857A45" w:rsidRPr="00442295">
        <w:rPr>
          <w:rFonts w:eastAsia="Times New Roman" w:cs="Times New Roman"/>
          <w:color w:val="000000" w:themeColor="text1"/>
          <w:szCs w:val="28"/>
          <w:lang w:eastAsia="lv-LV"/>
        </w:rPr>
        <w:t>nosaukumu šādā redakcijā:</w:t>
      </w:r>
    </w:p>
    <w:p w14:paraId="27ED020C" w14:textId="77777777" w:rsidR="00442295" w:rsidRPr="00442295" w:rsidRDefault="00442295" w:rsidP="009B2635">
      <w:pPr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747A1B7B" w14:textId="16CEB1B7" w:rsidR="00857A45" w:rsidRPr="00442295" w:rsidRDefault="00442295" w:rsidP="002C7CD5">
      <w:pPr>
        <w:ind w:firstLine="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857A45" w:rsidRPr="002C7CD5">
        <w:rPr>
          <w:rFonts w:eastAsia="Times New Roman" w:cs="Times New Roman"/>
          <w:b/>
          <w:color w:val="000000" w:themeColor="text1"/>
          <w:szCs w:val="28"/>
          <w:lang w:eastAsia="lv-LV"/>
        </w:rPr>
        <w:t>Noteikumi par speciālo līdzekļu veidiem un to lietošanas kārtību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747A1B7C" w14:textId="4A745F86" w:rsidR="00857A45" w:rsidRPr="00442295" w:rsidRDefault="00857A45" w:rsidP="009B2635">
      <w:pPr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747A1B7D" w14:textId="011345C7" w:rsidR="00300A5D" w:rsidRPr="00442295" w:rsidRDefault="00F45212" w:rsidP="004F4EB5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2. p</w:t>
      </w:r>
      <w:r w:rsidR="00300A5D" w:rsidRPr="00442295">
        <w:rPr>
          <w:rFonts w:eastAsia="Times New Roman" w:cs="Times New Roman"/>
          <w:color w:val="000000" w:themeColor="text1"/>
          <w:szCs w:val="28"/>
          <w:lang w:eastAsia="lv-LV"/>
        </w:rPr>
        <w:t>apildināt</w:t>
      </w:r>
      <w:r w:rsidR="004F4EB5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norādi, uz kāda likuma pamata noteikumi izdoti, </w:t>
      </w:r>
      <w:r w:rsidR="00300A5D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aiz vārdiem 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300A5D" w:rsidRPr="00442295">
        <w:rPr>
          <w:rFonts w:eastAsia="Times New Roman" w:cs="Times New Roman"/>
          <w:color w:val="000000" w:themeColor="text1"/>
          <w:szCs w:val="28"/>
          <w:lang w:eastAsia="lv-LV"/>
        </w:rPr>
        <w:t>saskaņā ar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300A5D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ar vārdiem</w:t>
      </w:r>
      <w:r w:rsidR="002C7CD5">
        <w:rPr>
          <w:rFonts w:eastAsia="Times New Roman" w:cs="Times New Roman"/>
          <w:color w:val="000000" w:themeColor="text1"/>
          <w:szCs w:val="28"/>
          <w:lang w:eastAsia="lv-LV"/>
        </w:rPr>
        <w:t xml:space="preserve"> un skaitli</w:t>
      </w:r>
      <w:r w:rsidR="00300A5D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300A5D" w:rsidRPr="00442295">
        <w:rPr>
          <w:rFonts w:eastAsia="Times New Roman" w:cs="Times New Roman"/>
          <w:color w:val="000000" w:themeColor="text1"/>
          <w:szCs w:val="28"/>
          <w:lang w:eastAsia="lv-LV"/>
        </w:rPr>
        <w:t>Iekšējās drošības biroja likuma 7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p</w:t>
      </w:r>
      <w:r w:rsidR="00300A5D" w:rsidRPr="00442295">
        <w:rPr>
          <w:rFonts w:eastAsia="Times New Roman" w:cs="Times New Roman"/>
          <w:color w:val="000000" w:themeColor="text1"/>
          <w:szCs w:val="28"/>
          <w:lang w:eastAsia="lv-LV"/>
        </w:rPr>
        <w:t>anta otro daļu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747A1B7F" w14:textId="5B689C50" w:rsidR="00235EE6" w:rsidRPr="00442295" w:rsidRDefault="00F45212" w:rsidP="009B2635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3. p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>apildināt 1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p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unktu aiz vārda 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>lieto</w:t>
      </w:r>
      <w:r w:rsidR="00EC635E" w:rsidRPr="00442295">
        <w:rPr>
          <w:rFonts w:eastAsia="Times New Roman" w:cs="Times New Roman"/>
          <w:color w:val="000000" w:themeColor="text1"/>
          <w:szCs w:val="28"/>
          <w:lang w:eastAsia="lv-LV"/>
        </w:rPr>
        <w:t>t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ar vārdiem 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>Iekšē</w:t>
      </w:r>
      <w:r w:rsidR="00AE337D" w:rsidRPr="00442295">
        <w:rPr>
          <w:rFonts w:eastAsia="Times New Roman" w:cs="Times New Roman"/>
          <w:color w:val="000000" w:themeColor="text1"/>
          <w:szCs w:val="28"/>
          <w:lang w:eastAsia="lv-LV"/>
        </w:rPr>
        <w:t>jās drošības biroja amatpersonām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747A1B81" w14:textId="089805ED" w:rsidR="00235EE6" w:rsidRDefault="00F45212" w:rsidP="009B2635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4. p</w:t>
      </w:r>
      <w:r w:rsidR="002C7CD5">
        <w:rPr>
          <w:rFonts w:eastAsia="Times New Roman" w:cs="Times New Roman"/>
          <w:color w:val="000000" w:themeColor="text1"/>
          <w:szCs w:val="28"/>
          <w:lang w:eastAsia="lv-LV"/>
        </w:rPr>
        <w:t xml:space="preserve">apildināt noteikumus ar 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235EE6" w:rsidRPr="00442295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1</w:t>
      </w:r>
      <w:r w:rsidR="00442295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 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>punktu šādā redakcijā:</w:t>
      </w:r>
    </w:p>
    <w:p w14:paraId="6D81775C" w14:textId="77777777" w:rsidR="00442295" w:rsidRPr="00442295" w:rsidRDefault="00442295" w:rsidP="009B2635">
      <w:pPr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47A1B82" w14:textId="5B14331B" w:rsidR="00235EE6" w:rsidRPr="00442295" w:rsidRDefault="00442295" w:rsidP="009B2635">
      <w:pPr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2C7CD5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2C7CD5" w:rsidRPr="002C7CD5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1</w:t>
      </w:r>
      <w:r w:rsidR="002C7CD5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>Iekšējās drošības bir</w:t>
      </w:r>
      <w:r w:rsidR="00EA08B1" w:rsidRPr="00442295">
        <w:rPr>
          <w:rFonts w:eastAsia="Times New Roman" w:cs="Times New Roman"/>
          <w:color w:val="000000" w:themeColor="text1"/>
          <w:szCs w:val="28"/>
          <w:lang w:eastAsia="lv-LV"/>
        </w:rPr>
        <w:t>oja amatpersonām atļauts lietot</w:t>
      </w:r>
      <w:r w:rsidR="00235EE6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šo noteikumu 2.1., 2.2., 2.4., 2.5.</w:t>
      </w:r>
      <w:r w:rsidR="00EA08B1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, </w:t>
      </w:r>
      <w:r w:rsidR="00B047D0" w:rsidRPr="00442295">
        <w:rPr>
          <w:rFonts w:eastAsia="Times New Roman" w:cs="Times New Roman"/>
          <w:color w:val="000000" w:themeColor="text1"/>
          <w:szCs w:val="28"/>
          <w:lang w:eastAsia="lv-LV"/>
        </w:rPr>
        <w:t>2.6.</w:t>
      </w:r>
      <w:r w:rsidR="00EC635E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3714A8" w:rsidRPr="00442295">
        <w:rPr>
          <w:rFonts w:eastAsia="Times New Roman" w:cs="Times New Roman"/>
          <w:color w:val="000000" w:themeColor="text1"/>
          <w:szCs w:val="28"/>
          <w:lang w:eastAsia="lv-LV"/>
        </w:rPr>
        <w:t>un 2.18</w:t>
      </w: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>. a</w:t>
      </w:r>
      <w:r w:rsidR="00EA08B1" w:rsidRPr="00442295">
        <w:rPr>
          <w:rFonts w:eastAsia="Times New Roman" w:cs="Times New Roman"/>
          <w:color w:val="000000" w:themeColor="text1"/>
          <w:szCs w:val="28"/>
          <w:lang w:eastAsia="lv-LV"/>
        </w:rPr>
        <w:t>pakšpunktā minētos speciālos līdzekļus.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747A1B83" w14:textId="77777777" w:rsidR="00E86571" w:rsidRPr="00442295" w:rsidRDefault="00E86571" w:rsidP="009B2635">
      <w:pPr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747A1B84" w14:textId="505DA0F1" w:rsidR="00E86571" w:rsidRPr="00442295" w:rsidRDefault="00F45212" w:rsidP="009B2635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1C7F87" w:rsidRPr="00442295">
        <w:rPr>
          <w:rFonts w:eastAsia="Times New Roman" w:cs="Times New Roman"/>
          <w:color w:val="000000" w:themeColor="text1"/>
          <w:szCs w:val="28"/>
          <w:lang w:eastAsia="lv-LV"/>
        </w:rPr>
        <w:t>5. p</w:t>
      </w:r>
      <w:r w:rsidR="00E86571" w:rsidRPr="00442295">
        <w:rPr>
          <w:rFonts w:eastAsia="Times New Roman" w:cs="Times New Roman"/>
          <w:color w:val="000000" w:themeColor="text1"/>
          <w:szCs w:val="28"/>
          <w:lang w:eastAsia="lv-LV"/>
        </w:rPr>
        <w:t>apildināt</w:t>
      </w:r>
      <w:r w:rsidR="00B204D2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8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p</w:t>
      </w:r>
      <w:r w:rsidR="00B204D2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unktu aiz vārda 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B204D2" w:rsidRPr="00442295">
        <w:rPr>
          <w:rFonts w:eastAsia="Times New Roman" w:cs="Times New Roman"/>
          <w:color w:val="000000" w:themeColor="text1"/>
          <w:szCs w:val="28"/>
          <w:lang w:eastAsia="lv-LV"/>
        </w:rPr>
        <w:t>lietošanu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E86571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 ar vārdiem 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E86571" w:rsidRPr="00442295">
        <w:rPr>
          <w:rFonts w:eastAsia="Times New Roman" w:cs="Times New Roman"/>
          <w:color w:val="000000" w:themeColor="text1"/>
          <w:szCs w:val="28"/>
          <w:lang w:eastAsia="lv-LV"/>
        </w:rPr>
        <w:t>Iekšējās drošības biroja amatpersona</w:t>
      </w:r>
      <w:r w:rsidR="004422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E86571" w:rsidRPr="00442295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747A1B85" w14:textId="77777777" w:rsidR="007679CD" w:rsidRPr="00442295" w:rsidRDefault="007679CD" w:rsidP="008F3CFF">
      <w:pPr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47A1B86" w14:textId="5330A900" w:rsidR="005450DC" w:rsidRPr="00442295" w:rsidRDefault="00F45212" w:rsidP="002B69BE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442295"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="005450DC" w:rsidRPr="00442295">
        <w:rPr>
          <w:rFonts w:eastAsia="Times New Roman" w:cs="Times New Roman"/>
          <w:color w:val="000000" w:themeColor="text1"/>
          <w:szCs w:val="28"/>
          <w:lang w:eastAsia="lv-LV"/>
        </w:rPr>
        <w:t xml:space="preserve">. Noteikumi </w:t>
      </w:r>
      <w:r w:rsidR="008F3CFF" w:rsidRPr="00442295">
        <w:rPr>
          <w:rFonts w:eastAsia="Times New Roman" w:cs="Times New Roman"/>
          <w:color w:val="000000" w:themeColor="text1"/>
          <w:szCs w:val="28"/>
          <w:lang w:eastAsia="lv-LV"/>
        </w:rPr>
        <w:t>stājas spēkā 2015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g</w:t>
      </w:r>
      <w:r w:rsidR="008F3CFF" w:rsidRPr="00442295">
        <w:rPr>
          <w:rFonts w:eastAsia="Times New Roman" w:cs="Times New Roman"/>
          <w:color w:val="000000" w:themeColor="text1"/>
          <w:szCs w:val="28"/>
          <w:lang w:eastAsia="lv-LV"/>
        </w:rPr>
        <w:t>ada 1</w:t>
      </w:r>
      <w:r w:rsidR="00442295" w:rsidRPr="00442295">
        <w:rPr>
          <w:rFonts w:eastAsia="Times New Roman" w:cs="Times New Roman"/>
          <w:color w:val="000000" w:themeColor="text1"/>
          <w:szCs w:val="28"/>
          <w:lang w:eastAsia="lv-LV"/>
        </w:rPr>
        <w:t>. n</w:t>
      </w:r>
      <w:r w:rsidR="008F3CFF" w:rsidRPr="00442295">
        <w:rPr>
          <w:rFonts w:eastAsia="Times New Roman" w:cs="Times New Roman"/>
          <w:color w:val="000000" w:themeColor="text1"/>
          <w:szCs w:val="28"/>
          <w:lang w:eastAsia="lv-LV"/>
        </w:rPr>
        <w:t>ovembrī.</w:t>
      </w:r>
    </w:p>
    <w:p w14:paraId="747A1B88" w14:textId="77777777" w:rsidR="00C4038D" w:rsidRPr="00442295" w:rsidRDefault="00C4038D" w:rsidP="002B69BE">
      <w:pPr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47A1B89" w14:textId="77777777" w:rsidR="00AE5152" w:rsidRPr="00442295" w:rsidRDefault="00AE5152" w:rsidP="00AE5152">
      <w:pPr>
        <w:ind w:firstLine="0"/>
        <w:rPr>
          <w:color w:val="000000" w:themeColor="text1"/>
        </w:rPr>
      </w:pPr>
    </w:p>
    <w:p w14:paraId="747A1B8A" w14:textId="44509355" w:rsidR="00EA4A26" w:rsidRPr="00442295" w:rsidRDefault="00EA4A26" w:rsidP="00442295">
      <w:pPr>
        <w:tabs>
          <w:tab w:val="left" w:pos="6663"/>
        </w:tabs>
        <w:ind w:firstLine="709"/>
        <w:rPr>
          <w:color w:val="000000" w:themeColor="text1"/>
        </w:rPr>
      </w:pPr>
      <w:r w:rsidRPr="00442295">
        <w:rPr>
          <w:color w:val="000000" w:themeColor="text1"/>
        </w:rPr>
        <w:t>Ministru prezidente</w:t>
      </w:r>
      <w:r w:rsidRPr="00442295">
        <w:rPr>
          <w:color w:val="000000" w:themeColor="text1"/>
        </w:rPr>
        <w:tab/>
        <w:t>L</w:t>
      </w:r>
      <w:r w:rsidR="00AE337D" w:rsidRPr="00442295">
        <w:rPr>
          <w:color w:val="000000" w:themeColor="text1"/>
        </w:rPr>
        <w:t xml:space="preserve">aimdota </w:t>
      </w:r>
      <w:r w:rsidRPr="00442295">
        <w:rPr>
          <w:color w:val="000000" w:themeColor="text1"/>
        </w:rPr>
        <w:t>Straujuma</w:t>
      </w:r>
    </w:p>
    <w:p w14:paraId="747A1B8B" w14:textId="77777777" w:rsidR="00EA4A26" w:rsidRDefault="00EA4A26" w:rsidP="00442295">
      <w:pPr>
        <w:tabs>
          <w:tab w:val="left" w:pos="6663"/>
        </w:tabs>
        <w:ind w:firstLine="709"/>
        <w:rPr>
          <w:color w:val="000000" w:themeColor="text1"/>
        </w:rPr>
      </w:pPr>
    </w:p>
    <w:p w14:paraId="34E64C54" w14:textId="77777777" w:rsidR="00442295" w:rsidRPr="00442295" w:rsidRDefault="00442295" w:rsidP="00442295">
      <w:pPr>
        <w:tabs>
          <w:tab w:val="left" w:pos="6663"/>
        </w:tabs>
        <w:ind w:firstLine="709"/>
        <w:rPr>
          <w:color w:val="000000" w:themeColor="text1"/>
        </w:rPr>
      </w:pPr>
    </w:p>
    <w:p w14:paraId="747A1B8C" w14:textId="6167CA70" w:rsidR="00EA4A26" w:rsidRPr="00442295" w:rsidRDefault="00AE337D" w:rsidP="00442295">
      <w:pPr>
        <w:tabs>
          <w:tab w:val="left" w:pos="6663"/>
        </w:tabs>
        <w:ind w:firstLine="709"/>
        <w:rPr>
          <w:color w:val="000000" w:themeColor="text1"/>
        </w:rPr>
      </w:pPr>
      <w:r w:rsidRPr="00442295">
        <w:rPr>
          <w:color w:val="000000" w:themeColor="text1"/>
        </w:rPr>
        <w:t>Iekšlietu ministrs</w:t>
      </w:r>
      <w:r w:rsidRPr="00442295">
        <w:rPr>
          <w:color w:val="000000" w:themeColor="text1"/>
        </w:rPr>
        <w:tab/>
        <w:t xml:space="preserve">Rihards </w:t>
      </w:r>
      <w:r w:rsidR="00EA4A26" w:rsidRPr="00442295">
        <w:rPr>
          <w:color w:val="000000" w:themeColor="text1"/>
        </w:rPr>
        <w:t>Kozlovskis</w:t>
      </w:r>
    </w:p>
    <w:sectPr w:rsidR="00EA4A26" w:rsidRPr="00442295" w:rsidSect="004422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A1BB0" w14:textId="77777777" w:rsidR="00D56C79" w:rsidRDefault="00D56C79" w:rsidP="00AE5152">
      <w:r>
        <w:separator/>
      </w:r>
    </w:p>
  </w:endnote>
  <w:endnote w:type="continuationSeparator" w:id="0">
    <w:p w14:paraId="747A1BB1" w14:textId="77777777" w:rsidR="00D56C79" w:rsidRDefault="00D56C79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1BB5" w14:textId="77777777" w:rsidR="00AE5152" w:rsidRDefault="00AE5152">
    <w:pPr>
      <w:pStyle w:val="Footer"/>
    </w:pPr>
  </w:p>
  <w:p w14:paraId="747A1BB6" w14:textId="77777777" w:rsidR="00AE5152" w:rsidRDefault="00D679BC" w:rsidP="00D679BC">
    <w:pPr>
      <w:pStyle w:val="Footer"/>
      <w:tabs>
        <w:tab w:val="clear" w:pos="4153"/>
        <w:tab w:val="clear" w:pos="8306"/>
        <w:tab w:val="left" w:pos="793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1BBA" w14:textId="4A1E1BD6" w:rsidR="00DE4EF1" w:rsidRPr="00442295" w:rsidRDefault="00442295" w:rsidP="00442295">
    <w:pPr>
      <w:pStyle w:val="Footer"/>
      <w:ind w:firstLine="0"/>
      <w:rPr>
        <w:sz w:val="16"/>
        <w:szCs w:val="16"/>
      </w:rPr>
    </w:pPr>
    <w:r w:rsidRPr="00442295">
      <w:rPr>
        <w:sz w:val="16"/>
        <w:szCs w:val="16"/>
      </w:rPr>
      <w:t>N0735_5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A1BAE" w14:textId="77777777" w:rsidR="00D56C79" w:rsidRDefault="00D56C79" w:rsidP="00AE5152">
      <w:r>
        <w:separator/>
      </w:r>
    </w:p>
  </w:footnote>
  <w:footnote w:type="continuationSeparator" w:id="0">
    <w:p w14:paraId="747A1BAF" w14:textId="77777777" w:rsidR="00D56C79" w:rsidRDefault="00D56C79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25678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47A1BB2" w14:textId="77777777" w:rsidR="002D317A" w:rsidRPr="00442295" w:rsidRDefault="002D317A">
        <w:pPr>
          <w:pStyle w:val="Header"/>
          <w:jc w:val="center"/>
          <w:rPr>
            <w:sz w:val="24"/>
            <w:szCs w:val="24"/>
          </w:rPr>
        </w:pPr>
        <w:r w:rsidRPr="00442295">
          <w:rPr>
            <w:sz w:val="24"/>
            <w:szCs w:val="24"/>
          </w:rPr>
          <w:fldChar w:fldCharType="begin"/>
        </w:r>
        <w:r w:rsidRPr="00442295">
          <w:rPr>
            <w:sz w:val="24"/>
            <w:szCs w:val="24"/>
          </w:rPr>
          <w:instrText xml:space="preserve"> PAGE   \* MERGEFORMAT </w:instrText>
        </w:r>
        <w:r w:rsidRPr="00442295">
          <w:rPr>
            <w:sz w:val="24"/>
            <w:szCs w:val="24"/>
          </w:rPr>
          <w:fldChar w:fldCharType="separate"/>
        </w:r>
        <w:r w:rsidR="007129A0">
          <w:rPr>
            <w:noProof/>
            <w:sz w:val="24"/>
            <w:szCs w:val="24"/>
          </w:rPr>
          <w:t>2</w:t>
        </w:r>
        <w:r w:rsidRPr="00442295">
          <w:rPr>
            <w:noProof/>
            <w:sz w:val="24"/>
            <w:szCs w:val="24"/>
          </w:rPr>
          <w:fldChar w:fldCharType="end"/>
        </w:r>
      </w:p>
    </w:sdtContent>
  </w:sdt>
  <w:p w14:paraId="747A1BB3" w14:textId="77777777" w:rsidR="002D317A" w:rsidRDefault="002D3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ED6F" w14:textId="2B8EA2CD" w:rsidR="00442295" w:rsidRDefault="00442295" w:rsidP="00442295">
    <w:pPr>
      <w:pStyle w:val="Header"/>
      <w:ind w:firstLine="0"/>
      <w:jc w:val="left"/>
      <w:rPr>
        <w:rFonts w:cs="Times New Roman"/>
        <w:sz w:val="32"/>
      </w:rPr>
    </w:pPr>
  </w:p>
  <w:p w14:paraId="1A086665" w14:textId="0A72EE63" w:rsidR="00442295" w:rsidRPr="00442295" w:rsidRDefault="00442295" w:rsidP="00442295">
    <w:pPr>
      <w:pStyle w:val="Header"/>
      <w:ind w:firstLine="0"/>
      <w:jc w:val="left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6E591924" wp14:editId="2A25E29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37CA8"/>
    <w:rsid w:val="00052927"/>
    <w:rsid w:val="00060219"/>
    <w:rsid w:val="000C4603"/>
    <w:rsid w:val="00105B48"/>
    <w:rsid w:val="001C7F87"/>
    <w:rsid w:val="001D435B"/>
    <w:rsid w:val="001D5908"/>
    <w:rsid w:val="00206D44"/>
    <w:rsid w:val="00235EE6"/>
    <w:rsid w:val="00243873"/>
    <w:rsid w:val="002B69BE"/>
    <w:rsid w:val="002C7CD5"/>
    <w:rsid w:val="002D317A"/>
    <w:rsid w:val="00300A5D"/>
    <w:rsid w:val="00337072"/>
    <w:rsid w:val="003714A8"/>
    <w:rsid w:val="003C7EF2"/>
    <w:rsid w:val="003E3EC1"/>
    <w:rsid w:val="00414522"/>
    <w:rsid w:val="00442295"/>
    <w:rsid w:val="004C6F8F"/>
    <w:rsid w:val="004D1239"/>
    <w:rsid w:val="004F4EB5"/>
    <w:rsid w:val="00520569"/>
    <w:rsid w:val="005450DC"/>
    <w:rsid w:val="006A4D77"/>
    <w:rsid w:val="006D36B7"/>
    <w:rsid w:val="007000A6"/>
    <w:rsid w:val="007129A0"/>
    <w:rsid w:val="00754C2A"/>
    <w:rsid w:val="007679CD"/>
    <w:rsid w:val="007B369A"/>
    <w:rsid w:val="00857A45"/>
    <w:rsid w:val="008F3CFF"/>
    <w:rsid w:val="00900490"/>
    <w:rsid w:val="009332BE"/>
    <w:rsid w:val="0094147E"/>
    <w:rsid w:val="009957C8"/>
    <w:rsid w:val="009B2635"/>
    <w:rsid w:val="009C24AC"/>
    <w:rsid w:val="009F6BA1"/>
    <w:rsid w:val="00A76D1E"/>
    <w:rsid w:val="00A91117"/>
    <w:rsid w:val="00A918FF"/>
    <w:rsid w:val="00AE337D"/>
    <w:rsid w:val="00AE5152"/>
    <w:rsid w:val="00AF6979"/>
    <w:rsid w:val="00B047D0"/>
    <w:rsid w:val="00B1195B"/>
    <w:rsid w:val="00B204D2"/>
    <w:rsid w:val="00C4038D"/>
    <w:rsid w:val="00C61B90"/>
    <w:rsid w:val="00C659A9"/>
    <w:rsid w:val="00D41073"/>
    <w:rsid w:val="00D56C79"/>
    <w:rsid w:val="00D679BC"/>
    <w:rsid w:val="00DC0497"/>
    <w:rsid w:val="00DD0682"/>
    <w:rsid w:val="00DE4EF1"/>
    <w:rsid w:val="00E21D7E"/>
    <w:rsid w:val="00E86571"/>
    <w:rsid w:val="00E92276"/>
    <w:rsid w:val="00EA08B1"/>
    <w:rsid w:val="00EA4A26"/>
    <w:rsid w:val="00EC635E"/>
    <w:rsid w:val="00F45212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7A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33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D511-6985-4597-9D91-0D2741BA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Rancāne</dc:creator>
  <cp:keywords/>
  <dc:description/>
  <cp:lastModifiedBy>Leontīne Babkina</cp:lastModifiedBy>
  <cp:revision>49</cp:revision>
  <cp:lastPrinted>2015-04-28T12:38:00Z</cp:lastPrinted>
  <dcterms:created xsi:type="dcterms:W3CDTF">2015-01-14T12:13:00Z</dcterms:created>
  <dcterms:modified xsi:type="dcterms:W3CDTF">2015-05-20T10:37:00Z</dcterms:modified>
</cp:coreProperties>
</file>