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C2" w:rsidRPr="0006057D" w:rsidRDefault="007563C2" w:rsidP="007563C2">
      <w:pPr>
        <w:spacing w:after="0"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 xml:space="preserve">Ministru kabineta noteikumu projekta </w:t>
      </w:r>
      <w:r w:rsidR="000C1A81">
        <w:rPr>
          <w:rFonts w:ascii="Times New Roman" w:eastAsia="Times New Roman" w:hAnsi="Times New Roman"/>
          <w:b/>
          <w:sz w:val="28"/>
          <w:szCs w:val="28"/>
          <w:lang w:eastAsia="lv-LV"/>
        </w:rPr>
        <w:t>“</w:t>
      </w:r>
      <w:r w:rsidR="009834F0">
        <w:rPr>
          <w:rFonts w:ascii="Times New Roman" w:eastAsia="Times New Roman" w:hAnsi="Times New Roman"/>
          <w:b/>
          <w:sz w:val="28"/>
          <w:szCs w:val="28"/>
          <w:lang w:eastAsia="lv-LV"/>
        </w:rPr>
        <w:t>Grozījumi</w:t>
      </w:r>
      <w:r w:rsidR="000C1A81" w:rsidRPr="000C1A81">
        <w:rPr>
          <w:rFonts w:ascii="Times New Roman" w:eastAsia="Times New Roman" w:hAnsi="Times New Roman"/>
          <w:b/>
          <w:sz w:val="28"/>
          <w:szCs w:val="28"/>
          <w:lang w:eastAsia="lv-LV"/>
        </w:rPr>
        <w:t xml:space="preserve">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r w:rsidR="00631FC5">
        <w:rPr>
          <w:rFonts w:ascii="Times New Roman" w:eastAsia="Times New Roman" w:hAnsi="Times New Roman"/>
          <w:b/>
          <w:sz w:val="28"/>
          <w:szCs w:val="28"/>
          <w:lang w:eastAsia="lv-LV"/>
        </w:rPr>
        <w:t>”</w:t>
      </w:r>
      <w:r w:rsidRPr="0006057D">
        <w:rPr>
          <w:rFonts w:ascii="Times New Roman" w:eastAsia="Times New Roman" w:hAnsi="Times New Roman"/>
          <w:b/>
          <w:sz w:val="28"/>
          <w:szCs w:val="28"/>
          <w:lang w:eastAsia="lv-LV"/>
        </w:rPr>
        <w:t xml:space="preserve"> sākotnējās ietekmes novērtējuma ziņojums (anotācija)</w:t>
      </w:r>
    </w:p>
    <w:p w:rsidR="007563C2" w:rsidRPr="000C1A81" w:rsidRDefault="007563C2" w:rsidP="007563C2">
      <w:pPr>
        <w:spacing w:after="0" w:line="240" w:lineRule="auto"/>
        <w:jc w:val="center"/>
        <w:rPr>
          <w:rFonts w:ascii="Times New Roman" w:eastAsia="Times New Roman" w:hAnsi="Times New Roman"/>
          <w:b/>
          <w:sz w:val="28"/>
          <w:szCs w:val="2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7563C2" w:rsidRPr="0006057D" w:rsidTr="00F71B7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563C2" w:rsidRPr="0006057D" w:rsidRDefault="007563C2" w:rsidP="00F71B7A">
            <w:pPr>
              <w:spacing w:after="0" w:line="240" w:lineRule="auto"/>
              <w:jc w:val="center"/>
              <w:rPr>
                <w:rFonts w:ascii="Times New Roman" w:eastAsia="Times New Roman" w:hAnsi="Times New Roman"/>
                <w:b/>
                <w:sz w:val="28"/>
                <w:szCs w:val="28"/>
                <w:lang w:eastAsia="lv-LV"/>
              </w:rPr>
            </w:pPr>
            <w:proofErr w:type="spellStart"/>
            <w:r w:rsidRPr="0006057D">
              <w:rPr>
                <w:rFonts w:ascii="Times New Roman" w:eastAsia="Times New Roman" w:hAnsi="Times New Roman"/>
                <w:b/>
                <w:sz w:val="28"/>
                <w:szCs w:val="28"/>
                <w:lang w:eastAsia="lv-LV"/>
              </w:rPr>
              <w:t>I.Tiesību</w:t>
            </w:r>
            <w:proofErr w:type="spellEnd"/>
            <w:r w:rsidRPr="0006057D">
              <w:rPr>
                <w:rFonts w:ascii="Times New Roman" w:eastAsia="Times New Roman" w:hAnsi="Times New Roman"/>
                <w:b/>
                <w:sz w:val="28"/>
                <w:szCs w:val="28"/>
                <w:lang w:eastAsia="lv-LV"/>
              </w:rPr>
              <w:t xml:space="preserve"> akta projekta izstrādes nepieciešamība</w:t>
            </w:r>
          </w:p>
        </w:tc>
      </w:tr>
      <w:tr w:rsidR="007563C2" w:rsidRPr="00CB4576" w:rsidTr="00F71B7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 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CB4576" w:rsidRDefault="00112547" w:rsidP="009C2605">
            <w:pPr>
              <w:spacing w:after="0" w:line="240" w:lineRule="auto"/>
              <w:jc w:val="both"/>
              <w:rPr>
                <w:rFonts w:ascii="Times New Roman" w:hAnsi="Times New Roman"/>
                <w:sz w:val="28"/>
                <w:szCs w:val="28"/>
              </w:rPr>
            </w:pPr>
            <w:bookmarkStart w:id="0" w:name="OLE_LINK1"/>
            <w:bookmarkStart w:id="1" w:name="OLE_LINK2"/>
            <w:r>
              <w:rPr>
                <w:rFonts w:ascii="Times New Roman" w:hAnsi="Times New Roman"/>
                <w:sz w:val="28"/>
                <w:szCs w:val="28"/>
              </w:rPr>
              <w:t xml:space="preserve">           </w:t>
            </w:r>
            <w:r w:rsidR="0006057D" w:rsidRPr="00CB4576">
              <w:rPr>
                <w:rFonts w:ascii="Times New Roman" w:hAnsi="Times New Roman"/>
                <w:sz w:val="28"/>
                <w:szCs w:val="28"/>
              </w:rPr>
              <w:t>Minist</w:t>
            </w:r>
            <w:r w:rsidR="009C2605">
              <w:rPr>
                <w:rFonts w:ascii="Times New Roman" w:hAnsi="Times New Roman"/>
                <w:sz w:val="28"/>
                <w:szCs w:val="28"/>
              </w:rPr>
              <w:t>ru kabineta noteikumu projekts “</w:t>
            </w:r>
            <w:r w:rsidR="009834F0">
              <w:rPr>
                <w:rFonts w:ascii="Times New Roman" w:eastAsia="Times New Roman" w:hAnsi="Times New Roman"/>
                <w:sz w:val="28"/>
                <w:szCs w:val="28"/>
                <w:lang w:eastAsia="lv-LV"/>
              </w:rPr>
              <w:t>Grozījumi</w:t>
            </w:r>
            <w:r w:rsidR="009C2605" w:rsidRPr="009C2605">
              <w:rPr>
                <w:rFonts w:ascii="Times New Roman" w:eastAsia="Times New Roman" w:hAnsi="Times New Roman"/>
                <w:sz w:val="28"/>
                <w:szCs w:val="28"/>
                <w:lang w:eastAsia="lv-LV"/>
              </w:rPr>
              <w:t xml:space="preserve">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bookmarkEnd w:id="0"/>
            <w:bookmarkEnd w:id="1"/>
            <w:r w:rsidR="00D92B68">
              <w:rPr>
                <w:rFonts w:ascii="Times New Roman" w:eastAsia="Times New Roman" w:hAnsi="Times New Roman"/>
                <w:sz w:val="28"/>
                <w:szCs w:val="28"/>
                <w:lang w:eastAsia="lv-LV"/>
              </w:rPr>
              <w:t>”</w:t>
            </w:r>
            <w:r w:rsidR="0006057D" w:rsidRPr="00CB4576">
              <w:rPr>
                <w:rFonts w:ascii="Times New Roman" w:hAnsi="Times New Roman"/>
                <w:sz w:val="28"/>
                <w:szCs w:val="28"/>
              </w:rPr>
              <w:t xml:space="preserve"> (turpmāk– noteikumu </w:t>
            </w:r>
            <w:r w:rsidR="009C2605">
              <w:rPr>
                <w:rFonts w:ascii="Times New Roman" w:hAnsi="Times New Roman"/>
                <w:sz w:val="28"/>
                <w:szCs w:val="28"/>
              </w:rPr>
              <w:t xml:space="preserve">projekts) sagatavots saskaņā ar </w:t>
            </w:r>
            <w:r w:rsidR="0006057D" w:rsidRPr="00CB4576">
              <w:rPr>
                <w:rFonts w:ascii="Times New Roman" w:hAnsi="Times New Roman"/>
                <w:sz w:val="28"/>
                <w:szCs w:val="28"/>
              </w:rPr>
              <w:t>Eiropas Savienības struktūrfondu un Kohēzijas fonda vadības likuma 18.panta 10.punktu</w:t>
            </w:r>
            <w:r w:rsidR="009C2605">
              <w:rPr>
                <w:rFonts w:ascii="Times New Roman" w:hAnsi="Times New Roman"/>
                <w:sz w:val="28"/>
                <w:szCs w:val="28"/>
              </w:rPr>
              <w:t>.</w:t>
            </w:r>
          </w:p>
        </w:tc>
      </w:tr>
      <w:tr w:rsidR="007563C2" w:rsidRPr="009908BE" w:rsidTr="00F71B7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 Pašreizējā situācija un problēmas, kuru risināšanai tiesību akta projekts izstrādāts, tiesiskā regulējuma mērķis un būtība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C91688" w:rsidRDefault="009E5157" w:rsidP="00270659">
            <w:pPr>
              <w:spacing w:after="0" w:line="240" w:lineRule="auto"/>
              <w:jc w:val="both"/>
              <w:rPr>
                <w:rFonts w:ascii="Times New Roman" w:hAnsi="Times New Roman"/>
                <w:sz w:val="28"/>
                <w:szCs w:val="28"/>
              </w:rPr>
            </w:pPr>
            <w:r w:rsidRPr="00DD7F55">
              <w:rPr>
                <w:rFonts w:ascii="Times New Roman" w:hAnsi="Times New Roman"/>
                <w:sz w:val="28"/>
                <w:szCs w:val="28"/>
              </w:rPr>
              <w:t xml:space="preserve">          </w:t>
            </w:r>
            <w:r w:rsidR="009908BE" w:rsidRPr="009908BE">
              <w:rPr>
                <w:rFonts w:ascii="Times New Roman" w:hAnsi="Times New Roman"/>
                <w:sz w:val="28"/>
                <w:szCs w:val="28"/>
              </w:rPr>
              <w:t xml:space="preserve">Spēkā esošo Ministru kabineta </w:t>
            </w:r>
            <w:r w:rsidR="004A697A" w:rsidRPr="009C2605">
              <w:rPr>
                <w:rFonts w:ascii="Times New Roman" w:eastAsia="Times New Roman" w:hAnsi="Times New Roman"/>
                <w:sz w:val="28"/>
                <w:szCs w:val="28"/>
                <w:lang w:eastAsia="lv-LV"/>
              </w:rPr>
              <w:t>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r w:rsidR="004A697A">
              <w:rPr>
                <w:rFonts w:ascii="Times New Roman" w:hAnsi="Times New Roman"/>
                <w:sz w:val="28"/>
                <w:szCs w:val="28"/>
              </w:rPr>
              <w:t xml:space="preserve"> (turpmāk – MK noteikumi Nr.51) 63</w:t>
            </w:r>
            <w:r w:rsidR="009908BE" w:rsidRPr="009908BE">
              <w:rPr>
                <w:rFonts w:ascii="Times New Roman" w:hAnsi="Times New Roman"/>
                <w:sz w:val="28"/>
                <w:szCs w:val="28"/>
              </w:rPr>
              <w:t xml:space="preserve">.punktā ir noteikts, ka projektu maksimālais īstenošanas ilgums ir līdz 2015.gada </w:t>
            </w:r>
            <w:r w:rsidR="00BE4C64">
              <w:rPr>
                <w:rFonts w:ascii="Times New Roman" w:hAnsi="Times New Roman"/>
                <w:sz w:val="28"/>
                <w:szCs w:val="28"/>
              </w:rPr>
              <w:t>31.augustam</w:t>
            </w:r>
            <w:r w:rsidR="009908BE" w:rsidRPr="009908BE">
              <w:rPr>
                <w:rFonts w:ascii="Times New Roman" w:hAnsi="Times New Roman"/>
                <w:sz w:val="28"/>
                <w:szCs w:val="28"/>
              </w:rPr>
              <w:t>.</w:t>
            </w:r>
          </w:p>
          <w:p w:rsidR="00DE07C0" w:rsidRPr="00DE07C0" w:rsidRDefault="009908BE" w:rsidP="00DE07C0">
            <w:pPr>
              <w:spacing w:after="0" w:line="240" w:lineRule="auto"/>
              <w:ind w:firstLine="699"/>
              <w:jc w:val="both"/>
              <w:rPr>
                <w:rFonts w:ascii="Times New Roman" w:eastAsia="Times New Roman" w:hAnsi="Times New Roman"/>
                <w:sz w:val="28"/>
                <w:szCs w:val="28"/>
                <w:lang w:eastAsia="lv-LV"/>
              </w:rPr>
            </w:pPr>
            <w:r w:rsidRPr="009908BE">
              <w:rPr>
                <w:rFonts w:ascii="Times New Roman" w:hAnsi="Times New Roman"/>
                <w:sz w:val="28"/>
                <w:szCs w:val="28"/>
              </w:rPr>
              <w:t xml:space="preserve"> </w:t>
            </w:r>
            <w:r w:rsidR="00C91688" w:rsidRPr="00DE07C0">
              <w:rPr>
                <w:rFonts w:ascii="Times New Roman" w:eastAsia="Times New Roman" w:hAnsi="Times New Roman"/>
                <w:sz w:val="28"/>
                <w:szCs w:val="28"/>
                <w:lang w:eastAsia="lv-LV"/>
              </w:rPr>
              <w:t>3.1.1.1.aktivitātes “</w:t>
            </w:r>
            <w:r w:rsidR="00C91688" w:rsidRPr="009C2605">
              <w:rPr>
                <w:rFonts w:ascii="Times New Roman" w:eastAsia="Times New Roman" w:hAnsi="Times New Roman"/>
                <w:sz w:val="28"/>
                <w:szCs w:val="28"/>
                <w:lang w:eastAsia="lv-LV"/>
              </w:rPr>
              <w:t>Mācību aprīkojuma modernizācija un infrastruktūras uzlabošana profesionālās izglītības programmu īstenošanai</w:t>
            </w:r>
            <w:r w:rsidR="00C91688">
              <w:rPr>
                <w:rFonts w:ascii="Times New Roman" w:eastAsia="Times New Roman" w:hAnsi="Times New Roman"/>
                <w:sz w:val="28"/>
                <w:szCs w:val="28"/>
                <w:lang w:eastAsia="lv-LV"/>
              </w:rPr>
              <w:t xml:space="preserve">” otrās projektu iesniegumu atlases kārtā (turpmāk – 3.1.1.1.aktivitātes 2.kārta) tiek īstenoti 11 projekti par kopējo publisko finansējumu </w:t>
            </w:r>
            <w:r w:rsidR="00C91688" w:rsidRPr="0054004B">
              <w:rPr>
                <w:rFonts w:ascii="Times New Roman" w:eastAsia="Times New Roman" w:hAnsi="Times New Roman"/>
                <w:sz w:val="28"/>
                <w:szCs w:val="28"/>
                <w:lang w:eastAsia="lv-LV"/>
              </w:rPr>
              <w:t xml:space="preserve">129 066 198 </w:t>
            </w:r>
            <w:proofErr w:type="spellStart"/>
            <w:r w:rsidR="00C91688" w:rsidRPr="00DE07C0">
              <w:rPr>
                <w:rFonts w:ascii="Times New Roman" w:eastAsia="Times New Roman" w:hAnsi="Times New Roman"/>
                <w:i/>
                <w:sz w:val="28"/>
                <w:szCs w:val="28"/>
                <w:lang w:eastAsia="lv-LV"/>
              </w:rPr>
              <w:t>euro</w:t>
            </w:r>
            <w:proofErr w:type="spellEnd"/>
            <w:r w:rsidR="00C91688" w:rsidRPr="0054004B">
              <w:rPr>
                <w:rFonts w:ascii="Times New Roman" w:eastAsia="Times New Roman" w:hAnsi="Times New Roman"/>
                <w:sz w:val="28"/>
                <w:szCs w:val="28"/>
                <w:lang w:eastAsia="lv-LV"/>
              </w:rPr>
              <w:t xml:space="preserve"> apmērā, ko veido ERAF līdzfinansējums 88 733 157 </w:t>
            </w:r>
            <w:proofErr w:type="spellStart"/>
            <w:r w:rsidR="00C91688" w:rsidRPr="00DE07C0">
              <w:rPr>
                <w:rFonts w:ascii="Times New Roman" w:eastAsia="Times New Roman" w:hAnsi="Times New Roman"/>
                <w:i/>
                <w:sz w:val="28"/>
                <w:szCs w:val="28"/>
                <w:lang w:eastAsia="lv-LV"/>
              </w:rPr>
              <w:t>euro</w:t>
            </w:r>
            <w:proofErr w:type="spellEnd"/>
            <w:r w:rsidR="00C91688" w:rsidRPr="0054004B">
              <w:rPr>
                <w:rFonts w:ascii="Times New Roman" w:eastAsia="Times New Roman" w:hAnsi="Times New Roman"/>
                <w:sz w:val="28"/>
                <w:szCs w:val="28"/>
                <w:lang w:eastAsia="lv-LV"/>
              </w:rPr>
              <w:t xml:space="preserve"> apmērā, valsts budžeta finansējums 13 779 556 </w:t>
            </w:r>
            <w:proofErr w:type="spellStart"/>
            <w:r w:rsidR="00C91688" w:rsidRPr="00DE07C0">
              <w:rPr>
                <w:rFonts w:ascii="Times New Roman" w:eastAsia="Times New Roman" w:hAnsi="Times New Roman"/>
                <w:i/>
                <w:sz w:val="28"/>
                <w:szCs w:val="28"/>
                <w:lang w:eastAsia="lv-LV"/>
              </w:rPr>
              <w:t>euro</w:t>
            </w:r>
            <w:proofErr w:type="spellEnd"/>
            <w:r w:rsidR="00C91688" w:rsidRPr="0054004B">
              <w:rPr>
                <w:rFonts w:ascii="Times New Roman" w:eastAsia="Times New Roman" w:hAnsi="Times New Roman"/>
                <w:sz w:val="28"/>
                <w:szCs w:val="28"/>
                <w:lang w:eastAsia="lv-LV"/>
              </w:rPr>
              <w:t xml:space="preserve"> apmērā un </w:t>
            </w:r>
            <w:proofErr w:type="spellStart"/>
            <w:r w:rsidR="00C91688" w:rsidRPr="0054004B">
              <w:rPr>
                <w:rFonts w:ascii="Times New Roman" w:eastAsia="Times New Roman" w:hAnsi="Times New Roman"/>
                <w:sz w:val="28"/>
                <w:szCs w:val="28"/>
                <w:lang w:eastAsia="lv-LV"/>
              </w:rPr>
              <w:t>virssaistību</w:t>
            </w:r>
            <w:proofErr w:type="spellEnd"/>
            <w:r w:rsidR="00C91688" w:rsidRPr="0054004B">
              <w:rPr>
                <w:rFonts w:ascii="Times New Roman" w:eastAsia="Times New Roman" w:hAnsi="Times New Roman"/>
                <w:sz w:val="28"/>
                <w:szCs w:val="28"/>
                <w:lang w:eastAsia="lv-LV"/>
              </w:rPr>
              <w:t xml:space="preserve"> finansējums 26 553 485 </w:t>
            </w:r>
            <w:proofErr w:type="spellStart"/>
            <w:r w:rsidR="00C91688" w:rsidRPr="00DE07C0">
              <w:rPr>
                <w:rFonts w:ascii="Times New Roman" w:eastAsia="Times New Roman" w:hAnsi="Times New Roman"/>
                <w:i/>
                <w:sz w:val="28"/>
                <w:szCs w:val="28"/>
                <w:lang w:eastAsia="lv-LV"/>
              </w:rPr>
              <w:t>euro</w:t>
            </w:r>
            <w:proofErr w:type="spellEnd"/>
            <w:r w:rsidR="00C91688" w:rsidRPr="0054004B">
              <w:rPr>
                <w:rFonts w:ascii="Times New Roman" w:eastAsia="Times New Roman" w:hAnsi="Times New Roman"/>
                <w:sz w:val="28"/>
                <w:szCs w:val="28"/>
                <w:lang w:eastAsia="lv-LV"/>
              </w:rPr>
              <w:t xml:space="preserve"> apmērā</w:t>
            </w:r>
            <w:r w:rsidR="0054004B">
              <w:rPr>
                <w:rFonts w:ascii="Times New Roman" w:eastAsia="Times New Roman" w:hAnsi="Times New Roman"/>
                <w:sz w:val="28"/>
                <w:szCs w:val="28"/>
                <w:lang w:eastAsia="lv-LV"/>
              </w:rPr>
              <w:t>.</w:t>
            </w:r>
            <w:r w:rsidR="00DE07C0">
              <w:rPr>
                <w:rFonts w:ascii="Times New Roman" w:eastAsia="Times New Roman" w:hAnsi="Times New Roman"/>
                <w:sz w:val="28"/>
                <w:szCs w:val="28"/>
                <w:lang w:eastAsia="lv-LV"/>
              </w:rPr>
              <w:t xml:space="preserve"> </w:t>
            </w:r>
            <w:r w:rsidR="00DE07C0" w:rsidRPr="00DE07C0">
              <w:rPr>
                <w:rFonts w:ascii="Times New Roman" w:eastAsia="Times New Roman" w:hAnsi="Times New Roman"/>
                <w:sz w:val="28"/>
                <w:szCs w:val="28"/>
                <w:lang w:eastAsia="lv-LV"/>
              </w:rPr>
              <w:t xml:space="preserve">Kopumā </w:t>
            </w:r>
            <w:r w:rsidR="00F8302D">
              <w:rPr>
                <w:rFonts w:ascii="Times New Roman" w:eastAsia="Times New Roman" w:hAnsi="Times New Roman"/>
                <w:sz w:val="28"/>
                <w:szCs w:val="28"/>
                <w:lang w:eastAsia="lv-LV"/>
              </w:rPr>
              <w:t>3.1.1.1.aktivitātes 2.kārta</w:t>
            </w:r>
            <w:r w:rsidR="00DE07C0" w:rsidRPr="00DE07C0">
              <w:rPr>
                <w:rFonts w:ascii="Times New Roman" w:eastAsia="Times New Roman" w:hAnsi="Times New Roman"/>
                <w:sz w:val="28"/>
                <w:szCs w:val="28"/>
                <w:lang w:eastAsia="lv-LV"/>
              </w:rPr>
              <w:t xml:space="preserve">s ietvaros atbilstoši Profesionālās izglītības </w:t>
            </w:r>
            <w:r w:rsidR="00F47824">
              <w:rPr>
                <w:rFonts w:ascii="Times New Roman" w:eastAsia="Times New Roman" w:hAnsi="Times New Roman"/>
                <w:sz w:val="28"/>
                <w:szCs w:val="28"/>
                <w:lang w:eastAsia="lv-LV"/>
              </w:rPr>
              <w:t xml:space="preserve">iestāžu optimizācijas </w:t>
            </w:r>
            <w:r w:rsidR="00DE07C0" w:rsidRPr="00DE07C0">
              <w:rPr>
                <w:rFonts w:ascii="Times New Roman" w:eastAsia="Times New Roman" w:hAnsi="Times New Roman"/>
                <w:sz w:val="28"/>
                <w:szCs w:val="28"/>
                <w:lang w:eastAsia="lv-LV"/>
              </w:rPr>
              <w:t>pamatnostādnēs 2010.</w:t>
            </w:r>
            <w:r w:rsidR="003A5FEA">
              <w:rPr>
                <w:rFonts w:ascii="Times New Roman" w:hAnsi="Times New Roman"/>
                <w:sz w:val="28"/>
                <w:szCs w:val="28"/>
              </w:rPr>
              <w:t> – </w:t>
            </w:r>
            <w:r w:rsidR="00DE07C0" w:rsidRPr="00DE07C0">
              <w:rPr>
                <w:rFonts w:ascii="Times New Roman" w:eastAsia="Times New Roman" w:hAnsi="Times New Roman"/>
                <w:sz w:val="28"/>
                <w:szCs w:val="28"/>
                <w:lang w:eastAsia="lv-LV"/>
              </w:rPr>
              <w:t xml:space="preserve">2015.gadam noteiktajam paredzēts modernizēt infrastruktūru un mācību aprīkojumu 11 profesionālās </w:t>
            </w:r>
            <w:r w:rsidR="00DE07C0" w:rsidRPr="00DE07C0">
              <w:rPr>
                <w:rFonts w:ascii="Times New Roman" w:eastAsia="Times New Roman" w:hAnsi="Times New Roman"/>
                <w:sz w:val="28"/>
                <w:szCs w:val="28"/>
                <w:lang w:eastAsia="lv-LV"/>
              </w:rPr>
              <w:lastRenderedPageBreak/>
              <w:t xml:space="preserve">izglītības iestādēs, tostarp </w:t>
            </w:r>
            <w:r w:rsidR="00DE07C0">
              <w:rPr>
                <w:rFonts w:ascii="Times New Roman" w:eastAsia="Times New Roman" w:hAnsi="Times New Roman"/>
                <w:sz w:val="28"/>
                <w:szCs w:val="28"/>
                <w:lang w:eastAsia="lv-LV"/>
              </w:rPr>
              <w:t>desmit Izglītības un zinātnes ministrijas pārziņā</w:t>
            </w:r>
            <w:r w:rsidR="00DE07C0" w:rsidRPr="00DE07C0">
              <w:rPr>
                <w:rFonts w:ascii="Times New Roman" w:eastAsia="Times New Roman" w:hAnsi="Times New Roman"/>
                <w:sz w:val="28"/>
                <w:szCs w:val="28"/>
                <w:lang w:eastAsia="lv-LV"/>
              </w:rPr>
              <w:t xml:space="preserve"> un viena pašvaldības pārziņā esoša iestāde.</w:t>
            </w:r>
            <w:r w:rsidR="003A5FEA">
              <w:rPr>
                <w:rFonts w:ascii="Times New Roman" w:eastAsia="Times New Roman" w:hAnsi="Times New Roman"/>
                <w:sz w:val="28"/>
                <w:szCs w:val="28"/>
                <w:lang w:eastAsia="lv-LV"/>
              </w:rPr>
              <w:t xml:space="preserve"> </w:t>
            </w:r>
          </w:p>
          <w:p w:rsidR="00550EC9" w:rsidRDefault="001C427B" w:rsidP="00550EC9">
            <w:pPr>
              <w:spacing w:after="0" w:line="240" w:lineRule="auto"/>
              <w:jc w:val="both"/>
              <w:rPr>
                <w:rFonts w:ascii="Times New Roman" w:eastAsia="Times New Roman" w:hAnsi="Times New Roman"/>
                <w:sz w:val="28"/>
                <w:szCs w:val="28"/>
                <w:lang w:eastAsia="lv-LV"/>
              </w:rPr>
            </w:pPr>
            <w:r w:rsidRPr="00DE07C0">
              <w:rPr>
                <w:rFonts w:ascii="Times New Roman" w:eastAsia="Times New Roman" w:hAnsi="Times New Roman"/>
                <w:sz w:val="28"/>
                <w:szCs w:val="28"/>
                <w:lang w:eastAsia="lv-LV"/>
              </w:rPr>
              <w:t xml:space="preserve">          </w:t>
            </w:r>
            <w:r w:rsidR="00077B19" w:rsidRPr="00DE07C0">
              <w:rPr>
                <w:rFonts w:ascii="Times New Roman" w:eastAsia="Times New Roman" w:hAnsi="Times New Roman"/>
                <w:sz w:val="28"/>
                <w:szCs w:val="28"/>
                <w:lang w:eastAsia="lv-LV"/>
              </w:rPr>
              <w:t>Valsts izglītības attīstības aģentūra kā Eiropas savienības struktūrfondu vadībā iesaistītā sadarbības iestāde (turpmāk –</w:t>
            </w:r>
            <w:r w:rsidR="004B0AC1" w:rsidRPr="00DE07C0">
              <w:rPr>
                <w:rFonts w:ascii="Times New Roman" w:eastAsia="Times New Roman" w:hAnsi="Times New Roman"/>
                <w:sz w:val="28"/>
                <w:szCs w:val="28"/>
                <w:lang w:eastAsia="lv-LV"/>
              </w:rPr>
              <w:t xml:space="preserve"> VIAA), </w:t>
            </w:r>
            <w:r w:rsidR="008D6F8C" w:rsidRPr="00DE07C0">
              <w:rPr>
                <w:rFonts w:ascii="Times New Roman" w:eastAsia="Times New Roman" w:hAnsi="Times New Roman"/>
                <w:sz w:val="28"/>
                <w:szCs w:val="28"/>
                <w:lang w:eastAsia="lv-LV"/>
              </w:rPr>
              <w:t xml:space="preserve">nodrošinot projektu īstenošanas laikā noslēgto būvniecības un būvuzraudzības līgumu izpildes uzraudzību </w:t>
            </w:r>
            <w:r w:rsidR="004B0AC1" w:rsidRPr="00DE07C0">
              <w:rPr>
                <w:rFonts w:ascii="Times New Roman" w:eastAsia="Times New Roman" w:hAnsi="Times New Roman"/>
                <w:sz w:val="28"/>
                <w:szCs w:val="28"/>
                <w:lang w:eastAsia="lv-LV"/>
              </w:rPr>
              <w:t xml:space="preserve">atbilstoši MK noteikumu Nr.51 8.18.apakšpunktā noteiktajam, ir konstatējusi, ka </w:t>
            </w:r>
            <w:r w:rsidR="0054004B">
              <w:rPr>
                <w:rFonts w:ascii="Times New Roman" w:eastAsia="Times New Roman" w:hAnsi="Times New Roman"/>
                <w:sz w:val="28"/>
                <w:szCs w:val="28"/>
                <w:lang w:eastAsia="lv-LV"/>
              </w:rPr>
              <w:t>3.1.1.1.aktivitātes 2.kārtas</w:t>
            </w:r>
            <w:r w:rsidR="004B0AC1">
              <w:rPr>
                <w:rFonts w:ascii="Times New Roman" w:eastAsia="Times New Roman" w:hAnsi="Times New Roman"/>
                <w:sz w:val="28"/>
                <w:szCs w:val="28"/>
                <w:lang w:eastAsia="lv-LV"/>
              </w:rPr>
              <w:t xml:space="preserve"> projektu īstenošanu ietekmē sākotnēji neparedzami apstākļi, kā rezultātā tiek apdraudēta projektu pabeigšana</w:t>
            </w:r>
            <w:r w:rsidR="008D6F8C">
              <w:rPr>
                <w:rFonts w:ascii="Times New Roman" w:eastAsia="Times New Roman" w:hAnsi="Times New Roman"/>
                <w:sz w:val="28"/>
                <w:szCs w:val="28"/>
                <w:lang w:eastAsia="lv-LV"/>
              </w:rPr>
              <w:t>, tai skaitā projektos noteikto rezultātu un mērķu sasniegšana</w:t>
            </w:r>
            <w:r w:rsidR="00B45A1C">
              <w:rPr>
                <w:rFonts w:ascii="Times New Roman" w:eastAsia="Times New Roman" w:hAnsi="Times New Roman"/>
                <w:sz w:val="28"/>
                <w:szCs w:val="28"/>
                <w:lang w:eastAsia="lv-LV"/>
              </w:rPr>
              <w:t>,</w:t>
            </w:r>
            <w:r w:rsidR="004B0AC1">
              <w:rPr>
                <w:rFonts w:ascii="Times New Roman" w:eastAsia="Times New Roman" w:hAnsi="Times New Roman"/>
                <w:sz w:val="28"/>
                <w:szCs w:val="28"/>
                <w:lang w:eastAsia="lv-LV"/>
              </w:rPr>
              <w:t xml:space="preserve"> līdz 2015.gada 31.augustam. </w:t>
            </w:r>
          </w:p>
          <w:p w:rsidR="00550EC9" w:rsidRDefault="00550EC9" w:rsidP="00550EC9">
            <w:pPr>
              <w:spacing w:after="0" w:line="240" w:lineRule="auto"/>
              <w:ind w:firstLine="699"/>
              <w:jc w:val="both"/>
              <w:rPr>
                <w:rFonts w:ascii="Times New Roman" w:hAnsi="Times New Roman"/>
                <w:sz w:val="28"/>
                <w:szCs w:val="28"/>
              </w:rPr>
            </w:pPr>
            <w:r>
              <w:rPr>
                <w:rFonts w:ascii="Times New Roman" w:hAnsi="Times New Roman"/>
                <w:sz w:val="28"/>
                <w:szCs w:val="28"/>
              </w:rPr>
              <w:t xml:space="preserve">Atbilstoši MK noteikumu Nr.51 17.2.punktam profesionālās izglītības iestādes projekta realizācijai īsteno ēku, būvju un telpu, tai skaitā dienesta viesnīcu rekonstrukciju, renovāciju, kā arī jaunas būves vai ēkas būvniecību. Būvniecības laikā ir konstatēta esošās situācijas neatbilstība izstrādātajiem tehniskajiem projektiem, kā rezultātā </w:t>
            </w:r>
            <w:r w:rsidR="008D1B82">
              <w:rPr>
                <w:rFonts w:ascii="Times New Roman" w:hAnsi="Times New Roman"/>
                <w:sz w:val="28"/>
                <w:szCs w:val="28"/>
              </w:rPr>
              <w:t>bija nepieciešams izstrādāt jaunus tehniskos risinājumus</w:t>
            </w:r>
            <w:r w:rsidR="00CC466E">
              <w:rPr>
                <w:rFonts w:ascii="Times New Roman" w:hAnsi="Times New Roman"/>
                <w:sz w:val="28"/>
                <w:szCs w:val="28"/>
              </w:rPr>
              <w:t>, kuru veikšanai būvvaldē ir bijis nepieciešams akceptēt izmaiņu projektu</w:t>
            </w:r>
            <w:r w:rsidR="008D1B82">
              <w:rPr>
                <w:rFonts w:ascii="Times New Roman" w:hAnsi="Times New Roman"/>
                <w:sz w:val="28"/>
                <w:szCs w:val="28"/>
              </w:rPr>
              <w:t xml:space="preserve"> un atsevišķos gadījumos to realizāciju iepirkt saskaņā ar Publisko iepirkumu likumā noteikto</w:t>
            </w:r>
            <w:r w:rsidR="00183E28">
              <w:rPr>
                <w:rFonts w:ascii="Times New Roman" w:hAnsi="Times New Roman"/>
                <w:sz w:val="28"/>
                <w:szCs w:val="28"/>
              </w:rPr>
              <w:t xml:space="preserve">. Iepriekš minētās darbības ir kavējušas būvniecības procesu un </w:t>
            </w:r>
            <w:r w:rsidR="00495B39">
              <w:rPr>
                <w:rFonts w:ascii="Times New Roman" w:hAnsi="Times New Roman"/>
                <w:sz w:val="28"/>
                <w:szCs w:val="28"/>
              </w:rPr>
              <w:t xml:space="preserve">atsevišķos gadījumos ir radījušas ievērojamas </w:t>
            </w:r>
            <w:r w:rsidR="00183E28">
              <w:rPr>
                <w:rFonts w:ascii="Times New Roman" w:hAnsi="Times New Roman"/>
                <w:sz w:val="28"/>
                <w:szCs w:val="28"/>
              </w:rPr>
              <w:t>nob</w:t>
            </w:r>
            <w:r w:rsidR="00495B39">
              <w:rPr>
                <w:rFonts w:ascii="Times New Roman" w:hAnsi="Times New Roman"/>
                <w:sz w:val="28"/>
                <w:szCs w:val="28"/>
              </w:rPr>
              <w:t>īdes</w:t>
            </w:r>
            <w:r w:rsidR="00183E28">
              <w:rPr>
                <w:rFonts w:ascii="Times New Roman" w:hAnsi="Times New Roman"/>
                <w:sz w:val="28"/>
                <w:szCs w:val="28"/>
              </w:rPr>
              <w:t xml:space="preserve"> </w:t>
            </w:r>
            <w:r w:rsidR="00A3410C">
              <w:rPr>
                <w:rFonts w:ascii="Times New Roman" w:hAnsi="Times New Roman"/>
                <w:sz w:val="28"/>
                <w:szCs w:val="28"/>
              </w:rPr>
              <w:t>no sākotnēji plānotā</w:t>
            </w:r>
            <w:r w:rsidR="00495B39">
              <w:rPr>
                <w:rFonts w:ascii="Times New Roman" w:hAnsi="Times New Roman"/>
                <w:sz w:val="28"/>
                <w:szCs w:val="28"/>
              </w:rPr>
              <w:t>s</w:t>
            </w:r>
            <w:r w:rsidR="00A3410C">
              <w:rPr>
                <w:rFonts w:ascii="Times New Roman" w:hAnsi="Times New Roman"/>
                <w:sz w:val="28"/>
                <w:szCs w:val="28"/>
              </w:rPr>
              <w:t xml:space="preserve"> </w:t>
            </w:r>
            <w:r w:rsidR="00221B32">
              <w:rPr>
                <w:rFonts w:ascii="Times New Roman" w:hAnsi="Times New Roman"/>
                <w:sz w:val="28"/>
                <w:szCs w:val="28"/>
              </w:rPr>
              <w:t>būvdarbu izpildes</w:t>
            </w:r>
            <w:r w:rsidR="00183E28">
              <w:rPr>
                <w:rFonts w:ascii="Times New Roman" w:hAnsi="Times New Roman"/>
                <w:sz w:val="28"/>
                <w:szCs w:val="28"/>
              </w:rPr>
              <w:t xml:space="preserve">, un apdraud ēku nodošanu ekspluatācijā sākotnēji paredzētajā termiņā. Minētais ir ietekmējis </w:t>
            </w:r>
            <w:r w:rsidR="00004EAD">
              <w:rPr>
                <w:rFonts w:ascii="Times New Roman" w:hAnsi="Times New Roman"/>
                <w:sz w:val="28"/>
                <w:szCs w:val="28"/>
              </w:rPr>
              <w:t xml:space="preserve">un radījis nobīdes </w:t>
            </w:r>
            <w:r w:rsidR="00183E28">
              <w:rPr>
                <w:rFonts w:ascii="Times New Roman" w:hAnsi="Times New Roman"/>
                <w:sz w:val="28"/>
                <w:szCs w:val="28"/>
              </w:rPr>
              <w:t>arī projektos plānotā mācību aprīkojuma un iekārtu ieg</w:t>
            </w:r>
            <w:r w:rsidR="00004EAD">
              <w:rPr>
                <w:rFonts w:ascii="Times New Roman" w:hAnsi="Times New Roman"/>
                <w:sz w:val="28"/>
                <w:szCs w:val="28"/>
              </w:rPr>
              <w:t>ādē</w:t>
            </w:r>
            <w:r w:rsidR="00183E28">
              <w:rPr>
                <w:rFonts w:ascii="Times New Roman" w:hAnsi="Times New Roman"/>
                <w:sz w:val="28"/>
                <w:szCs w:val="28"/>
              </w:rPr>
              <w:t xml:space="preserve"> un uzstādī</w:t>
            </w:r>
            <w:r w:rsidR="00004EAD">
              <w:rPr>
                <w:rFonts w:ascii="Times New Roman" w:hAnsi="Times New Roman"/>
                <w:sz w:val="28"/>
                <w:szCs w:val="28"/>
              </w:rPr>
              <w:t>šanā</w:t>
            </w:r>
            <w:r w:rsidR="00183E28">
              <w:rPr>
                <w:rFonts w:ascii="Times New Roman" w:hAnsi="Times New Roman"/>
                <w:sz w:val="28"/>
                <w:szCs w:val="28"/>
              </w:rPr>
              <w:t xml:space="preserve">, jo </w:t>
            </w:r>
            <w:r w:rsidR="00004EAD">
              <w:rPr>
                <w:rFonts w:ascii="Times New Roman" w:hAnsi="Times New Roman"/>
                <w:sz w:val="28"/>
                <w:szCs w:val="28"/>
              </w:rPr>
              <w:t>telpas ir aprīkojamas ar projektu ietvaros iegādātajiem mācību līdzekļiem un mēbelēm tikai pēc faktiskās būvniecības pabeigšanas.</w:t>
            </w:r>
          </w:p>
          <w:p w:rsidR="00BD4882" w:rsidRDefault="00F47824" w:rsidP="00550EC9">
            <w:pPr>
              <w:spacing w:after="0" w:line="240" w:lineRule="auto"/>
              <w:ind w:firstLine="699"/>
              <w:jc w:val="both"/>
              <w:rPr>
                <w:rFonts w:ascii="Times New Roman" w:eastAsia="Times New Roman" w:hAnsi="Times New Roman"/>
                <w:sz w:val="28"/>
                <w:szCs w:val="28"/>
                <w:lang w:eastAsia="lv-LV"/>
              </w:rPr>
            </w:pPr>
            <w:r>
              <w:rPr>
                <w:rFonts w:ascii="Times New Roman" w:hAnsi="Times New Roman"/>
                <w:sz w:val="28"/>
                <w:szCs w:val="28"/>
              </w:rPr>
              <w:t>Ievērojot</w:t>
            </w:r>
            <w:r w:rsidR="00BD4882">
              <w:rPr>
                <w:rFonts w:ascii="Times New Roman" w:hAnsi="Times New Roman"/>
                <w:sz w:val="28"/>
                <w:szCs w:val="28"/>
              </w:rPr>
              <w:t xml:space="preserve"> minēto</w:t>
            </w:r>
            <w:r>
              <w:rPr>
                <w:rFonts w:ascii="Times New Roman" w:hAnsi="Times New Roman"/>
                <w:sz w:val="28"/>
                <w:szCs w:val="28"/>
              </w:rPr>
              <w:t xml:space="preserve"> ir pamats uzskatīt, ka </w:t>
            </w:r>
            <w:r w:rsidR="00BD4882">
              <w:rPr>
                <w:rFonts w:ascii="Times New Roman" w:hAnsi="Times New Roman"/>
                <w:sz w:val="28"/>
                <w:szCs w:val="28"/>
              </w:rPr>
              <w:t>Profesionālās izglītības kompetences centra</w:t>
            </w:r>
            <w:r w:rsidR="00776BCA">
              <w:rPr>
                <w:rFonts w:ascii="Times New Roman" w:hAnsi="Times New Roman"/>
                <w:sz w:val="28"/>
                <w:szCs w:val="28"/>
              </w:rPr>
              <w:t xml:space="preserve"> (turpmāk – PIKC)</w:t>
            </w:r>
            <w:r w:rsidR="00BD4882">
              <w:rPr>
                <w:rFonts w:ascii="Times New Roman" w:hAnsi="Times New Roman"/>
                <w:sz w:val="28"/>
                <w:szCs w:val="28"/>
              </w:rPr>
              <w:t xml:space="preserve"> “Liepājas Valsts tehnikums”, Ogres tehnikuma</w:t>
            </w:r>
            <w:r w:rsidR="00D060C6">
              <w:rPr>
                <w:rFonts w:ascii="Times New Roman" w:hAnsi="Times New Roman"/>
                <w:sz w:val="28"/>
                <w:szCs w:val="28"/>
              </w:rPr>
              <w:t xml:space="preserve"> un Jelgavas  tehnikuma projekti nevarēs tikt pabeigti pašreiz MK noteikumos Nr.51 noteiktajā termiņā.</w:t>
            </w:r>
            <w:r w:rsidR="00BD4882">
              <w:rPr>
                <w:rFonts w:ascii="Times New Roman" w:hAnsi="Times New Roman"/>
                <w:sz w:val="28"/>
                <w:szCs w:val="28"/>
              </w:rPr>
              <w:t xml:space="preserve"> </w:t>
            </w:r>
            <w:r w:rsidR="00776BCA">
              <w:rPr>
                <w:rFonts w:ascii="Times New Roman" w:hAnsi="Times New Roman"/>
                <w:sz w:val="28"/>
                <w:szCs w:val="28"/>
              </w:rPr>
              <w:t xml:space="preserve">Minētais risks identificēts arī PIKC “Rīgas Valsts tehnikums”, Valmieras tehnikuma un Rēzeknes tehnikuma projektā tādā mērā, ka jebkurš šķietami nenozīmīgs apgrūtinājums var radīt šķēršļus projektā plānoto darbu izpildes progresam </w:t>
            </w:r>
            <w:r w:rsidR="00776BCA">
              <w:rPr>
                <w:rFonts w:ascii="Times New Roman" w:hAnsi="Times New Roman"/>
                <w:sz w:val="28"/>
                <w:szCs w:val="28"/>
              </w:rPr>
              <w:lastRenderedPageBreak/>
              <w:t>paredzētajā termiņā. Savukārt, Daugavpils Būvniecības tehnikum</w:t>
            </w:r>
            <w:r w:rsidR="00416073">
              <w:rPr>
                <w:rFonts w:ascii="Times New Roman" w:hAnsi="Times New Roman"/>
                <w:sz w:val="28"/>
                <w:szCs w:val="28"/>
              </w:rPr>
              <w:t>a</w:t>
            </w:r>
            <w:r w:rsidR="00776BCA">
              <w:rPr>
                <w:rFonts w:ascii="Times New Roman" w:hAnsi="Times New Roman"/>
                <w:sz w:val="28"/>
                <w:szCs w:val="28"/>
              </w:rPr>
              <w:t xml:space="preserve"> un Smiltenes tehnikum</w:t>
            </w:r>
            <w:r w:rsidR="00416073">
              <w:rPr>
                <w:rFonts w:ascii="Times New Roman" w:hAnsi="Times New Roman"/>
                <w:sz w:val="28"/>
                <w:szCs w:val="28"/>
              </w:rPr>
              <w:t>a</w:t>
            </w:r>
            <w:r w:rsidR="00776BCA">
              <w:rPr>
                <w:rFonts w:ascii="Times New Roman" w:hAnsi="Times New Roman"/>
                <w:sz w:val="28"/>
                <w:szCs w:val="28"/>
              </w:rPr>
              <w:t xml:space="preserve"> projekta ieviešana var tikt apdraudēta gadījumā, ja rodas sākotnēji objektīvi neparedzami apgrūtinoši apstākļi vai arī būtiski samazinās būvdarbu temps. Ventspils tehnikum</w:t>
            </w:r>
            <w:r w:rsidR="00416073">
              <w:rPr>
                <w:rFonts w:ascii="Times New Roman" w:hAnsi="Times New Roman"/>
                <w:sz w:val="28"/>
                <w:szCs w:val="28"/>
              </w:rPr>
              <w:t>a</w:t>
            </w:r>
            <w:r w:rsidR="00776BCA">
              <w:rPr>
                <w:rFonts w:ascii="Times New Roman" w:hAnsi="Times New Roman"/>
                <w:sz w:val="28"/>
                <w:szCs w:val="28"/>
              </w:rPr>
              <w:t xml:space="preserve"> un Daugavpils tehnikum</w:t>
            </w:r>
            <w:r w:rsidR="00416073">
              <w:rPr>
                <w:rFonts w:ascii="Times New Roman" w:hAnsi="Times New Roman"/>
                <w:sz w:val="28"/>
                <w:szCs w:val="28"/>
              </w:rPr>
              <w:t>a</w:t>
            </w:r>
            <w:r w:rsidR="00776BCA">
              <w:rPr>
                <w:rFonts w:ascii="Times New Roman" w:hAnsi="Times New Roman"/>
                <w:sz w:val="28"/>
                <w:szCs w:val="28"/>
              </w:rPr>
              <w:t xml:space="preserve"> projektu ietvaros būvniecība ir pabeigta un šobrīd </w:t>
            </w:r>
            <w:r w:rsidR="00916D47">
              <w:rPr>
                <w:rFonts w:ascii="Times New Roman" w:hAnsi="Times New Roman"/>
                <w:sz w:val="28"/>
                <w:szCs w:val="28"/>
              </w:rPr>
              <w:t>tiek veiktas</w:t>
            </w:r>
            <w:r w:rsidR="00776BCA">
              <w:rPr>
                <w:rFonts w:ascii="Times New Roman" w:hAnsi="Times New Roman"/>
                <w:sz w:val="28"/>
                <w:szCs w:val="28"/>
              </w:rPr>
              <w:t xml:space="preserve"> mācību aprīkojuma un iekārtu iegādes.</w:t>
            </w:r>
            <w:r w:rsidR="00AF7B53">
              <w:rPr>
                <w:rFonts w:ascii="Times New Roman" w:hAnsi="Times New Roman"/>
                <w:sz w:val="28"/>
                <w:szCs w:val="28"/>
              </w:rPr>
              <w:t xml:space="preserve"> Savukārt, </w:t>
            </w:r>
            <w:proofErr w:type="spellStart"/>
            <w:r w:rsidR="00AF7B53">
              <w:rPr>
                <w:rFonts w:ascii="Times New Roman" w:hAnsi="Times New Roman"/>
                <w:sz w:val="28"/>
                <w:szCs w:val="28"/>
              </w:rPr>
              <w:t>Cēsu</w:t>
            </w:r>
            <w:proofErr w:type="spellEnd"/>
            <w:r w:rsidR="00AF7B53">
              <w:rPr>
                <w:rFonts w:ascii="Times New Roman" w:hAnsi="Times New Roman"/>
                <w:sz w:val="28"/>
                <w:szCs w:val="28"/>
              </w:rPr>
              <w:t xml:space="preserve"> novada pašvaldības projektā būvdarbi ir gandrīz paveikti un šobrīd procesā vēl ir mācību aprīkojuma un iekārtu iegādes.</w:t>
            </w:r>
          </w:p>
          <w:p w:rsidR="00D05809" w:rsidRDefault="008D6F8C" w:rsidP="00FF2517">
            <w:pPr>
              <w:spacing w:after="0" w:line="240" w:lineRule="auto"/>
              <w:ind w:firstLine="69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Izvērtējot visus riskus, tai skaitā to, ka projektu īstenošanas termiņa nepagarināšana var radīt ievērojamu negatīvu ietekmi uz valsts budžetu, </w:t>
            </w:r>
            <w:r w:rsidR="00BB3B05">
              <w:rPr>
                <w:rFonts w:ascii="Times New Roman" w:eastAsia="Times New Roman" w:hAnsi="Times New Roman"/>
                <w:sz w:val="28"/>
                <w:szCs w:val="28"/>
                <w:lang w:eastAsia="lv-LV"/>
              </w:rPr>
              <w:t xml:space="preserve">nepieciešams </w:t>
            </w:r>
            <w:r w:rsidR="00644639">
              <w:rPr>
                <w:rFonts w:ascii="Times New Roman" w:eastAsia="Times New Roman" w:hAnsi="Times New Roman"/>
                <w:sz w:val="28"/>
                <w:szCs w:val="28"/>
                <w:lang w:eastAsia="lv-LV"/>
              </w:rPr>
              <w:t>veikt grozījumus MK noteikumos Nr.51, paredzot maksimālo 3.1.1.1.aktivitātes 2.kārtas projektu īstenošanas termiņu līdz 2015.gada 31.decembrim.</w:t>
            </w:r>
          </w:p>
          <w:p w:rsidR="00BB3B05" w:rsidRPr="00BB3B05" w:rsidRDefault="00BB3B05" w:rsidP="00FF2517">
            <w:pPr>
              <w:spacing w:after="0" w:line="240" w:lineRule="auto"/>
              <w:ind w:firstLine="699"/>
              <w:jc w:val="both"/>
              <w:rPr>
                <w:rFonts w:ascii="Times New Roman" w:hAnsi="Times New Roman"/>
                <w:sz w:val="28"/>
                <w:szCs w:val="28"/>
              </w:rPr>
            </w:pPr>
            <w:r w:rsidRPr="00FA7FDE">
              <w:rPr>
                <w:rFonts w:ascii="Times New Roman" w:hAnsi="Times New Roman"/>
                <w:sz w:val="28"/>
                <w:szCs w:val="28"/>
              </w:rPr>
              <w:t xml:space="preserve">Vienlaikus nepieciešams precizēt arī MK noteikumu Nr.51 53.7.apakšpunkta redakciju tā, lai nodrošinātu atbilstību </w:t>
            </w:r>
            <w:r w:rsidRPr="00FA7FDE">
              <w:rPr>
                <w:rFonts w:ascii="Times New Roman" w:hAnsi="Times New Roman"/>
                <w:iCs/>
                <w:sz w:val="28"/>
                <w:szCs w:val="28"/>
                <w:lang w:eastAsia="lv-LV"/>
              </w:rPr>
              <w:t>Eiropas Savienības Padomes 2006.gada 11.jūnija Regulas (EK) Nr.1083/2006 ar ko paredz vispārīgus noteikumus par Eiropas Reģionālās attīstības fondu, Eiropas Sociālo fondu un Kohēzijas fondu un atceļ Regulu (EK) Nr. 1260/1999 56.panta 1.punktam, kas nosaka, ka izdevumi ir atbilstīgi fondu atbalstam, ja tie faktiski veikti laikposmā no dienas, kad darbības programmas iesniegtas Komisijai, vai no 2007.gada 1.janvāra – atkarībā no tā, kura diena ir agrāk, – līdz 2015.gada 31.decembrim.</w:t>
            </w:r>
          </w:p>
          <w:p w:rsidR="00D05809" w:rsidRPr="00D05809" w:rsidRDefault="00D05809" w:rsidP="00CC24F9">
            <w:pPr>
              <w:spacing w:after="0" w:line="240" w:lineRule="auto"/>
              <w:ind w:firstLine="697"/>
              <w:jc w:val="both"/>
              <w:rPr>
                <w:rFonts w:ascii="Times New Roman" w:eastAsia="Times New Roman" w:hAnsi="Times New Roman"/>
                <w:sz w:val="28"/>
                <w:szCs w:val="28"/>
                <w:lang w:eastAsia="lv-LV"/>
              </w:rPr>
            </w:pPr>
            <w:r w:rsidRPr="00D05809">
              <w:rPr>
                <w:rFonts w:ascii="Times New Roman" w:eastAsia="Times New Roman" w:hAnsi="Times New Roman"/>
                <w:sz w:val="28"/>
                <w:szCs w:val="28"/>
                <w:lang w:eastAsia="lv-LV"/>
              </w:rPr>
              <w:t>MK noteikumu Nr.51 grozījumi tiek veikti, lai</w:t>
            </w:r>
            <w:r w:rsidR="008D6F8C">
              <w:rPr>
                <w:rFonts w:ascii="Times New Roman" w:eastAsia="Times New Roman" w:hAnsi="Times New Roman"/>
                <w:sz w:val="28"/>
                <w:szCs w:val="28"/>
                <w:lang w:eastAsia="lv-LV"/>
              </w:rPr>
              <w:t xml:space="preserve"> nodrošinātu 3.1.1.1.aktivitātes 2.kārtas projektos noteikto rezultātu un mērķu sasniegšanu projektu </w:t>
            </w:r>
            <w:proofErr w:type="spellStart"/>
            <w:r w:rsidR="008D6F8C">
              <w:rPr>
                <w:rFonts w:ascii="Times New Roman" w:eastAsia="Times New Roman" w:hAnsi="Times New Roman"/>
                <w:sz w:val="28"/>
                <w:szCs w:val="28"/>
                <w:lang w:eastAsia="lv-LV"/>
              </w:rPr>
              <w:t>attiecināmības</w:t>
            </w:r>
            <w:proofErr w:type="spellEnd"/>
            <w:r w:rsidR="008D6F8C">
              <w:rPr>
                <w:rFonts w:ascii="Times New Roman" w:eastAsia="Times New Roman" w:hAnsi="Times New Roman"/>
                <w:sz w:val="28"/>
                <w:szCs w:val="28"/>
                <w:lang w:eastAsia="lv-LV"/>
              </w:rPr>
              <w:t xml:space="preserve"> perioda ietvaros.</w:t>
            </w:r>
          </w:p>
          <w:p w:rsidR="00CC7BA1" w:rsidRDefault="008B479C" w:rsidP="00CC24F9">
            <w:pPr>
              <w:spacing w:after="0" w:line="240" w:lineRule="auto"/>
              <w:ind w:firstLine="69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Ar MK noteikumu Nr.51</w:t>
            </w:r>
            <w:r w:rsidRPr="008B479C">
              <w:rPr>
                <w:rFonts w:ascii="Times New Roman" w:eastAsia="Times New Roman" w:hAnsi="Times New Roman"/>
                <w:sz w:val="28"/>
                <w:szCs w:val="28"/>
                <w:lang w:eastAsia="lv-LV"/>
              </w:rPr>
              <w:t xml:space="preserve"> grozījumiem tiek pagarināts projektu </w:t>
            </w:r>
            <w:r w:rsidR="00E20017">
              <w:rPr>
                <w:rFonts w:ascii="Times New Roman" w:eastAsia="Times New Roman" w:hAnsi="Times New Roman"/>
                <w:sz w:val="28"/>
                <w:szCs w:val="28"/>
                <w:lang w:eastAsia="lv-LV"/>
              </w:rPr>
              <w:t xml:space="preserve">maksimālais </w:t>
            </w:r>
            <w:r w:rsidRPr="008B479C">
              <w:rPr>
                <w:rFonts w:ascii="Times New Roman" w:eastAsia="Times New Roman" w:hAnsi="Times New Roman"/>
                <w:sz w:val="28"/>
                <w:szCs w:val="28"/>
                <w:lang w:eastAsia="lv-LV"/>
              </w:rPr>
              <w:t>īstenošanas termiņš līdz 2015.gada 31.decembrim.</w:t>
            </w:r>
          </w:p>
          <w:p w:rsidR="00AB739C" w:rsidRDefault="00CC7BA1" w:rsidP="00CC7BA1">
            <w:pPr>
              <w:spacing w:after="0" w:line="240" w:lineRule="auto"/>
              <w:ind w:firstLine="69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Pagarinot maksimālās īstenošanas termiņu</w:t>
            </w:r>
            <w:r w:rsidR="00FF2517">
              <w:rPr>
                <w:rFonts w:ascii="Times New Roman" w:eastAsia="Times New Roman" w:hAnsi="Times New Roman"/>
                <w:sz w:val="28"/>
                <w:szCs w:val="28"/>
                <w:lang w:eastAsia="lv-LV"/>
              </w:rPr>
              <w:t xml:space="preserve"> netiek</w:t>
            </w:r>
            <w:r w:rsidR="00542F65">
              <w:rPr>
                <w:rFonts w:ascii="Times New Roman" w:eastAsia="Times New Roman" w:hAnsi="Times New Roman"/>
                <w:sz w:val="28"/>
                <w:szCs w:val="28"/>
                <w:lang w:eastAsia="lv-LV"/>
              </w:rPr>
              <w:t xml:space="preserve"> pārkāpts vienlīdzīgas attieksmes nosacījums pret projektu </w:t>
            </w:r>
            <w:r w:rsidR="0018683B">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iesniedzējiem,</w:t>
            </w:r>
            <w:r w:rsidR="00542F65">
              <w:rPr>
                <w:rFonts w:ascii="Times New Roman" w:eastAsia="Times New Roman" w:hAnsi="Times New Roman"/>
                <w:sz w:val="28"/>
                <w:szCs w:val="28"/>
                <w:lang w:eastAsia="lv-LV"/>
              </w:rPr>
              <w:t xml:space="preserve"> </w:t>
            </w:r>
            <w:r w:rsidR="0018683B">
              <w:rPr>
                <w:rFonts w:ascii="Times New Roman" w:eastAsia="Times New Roman" w:hAnsi="Times New Roman"/>
                <w:sz w:val="28"/>
                <w:szCs w:val="28"/>
                <w:lang w:eastAsia="lv-LV"/>
              </w:rPr>
              <w:t xml:space="preserve">ierobežotas projektu </w:t>
            </w:r>
            <w:r w:rsidR="008E2EBE">
              <w:rPr>
                <w:rFonts w:ascii="Times New Roman" w:eastAsia="Times New Roman" w:hAnsi="Times New Roman"/>
                <w:sz w:val="28"/>
                <w:szCs w:val="28"/>
                <w:lang w:eastAsia="lv-LV"/>
              </w:rPr>
              <w:t xml:space="preserve">iesniegumu atlases ietvaros </w:t>
            </w:r>
            <w:r w:rsidR="00542F65">
              <w:rPr>
                <w:rFonts w:ascii="Times New Roman" w:eastAsia="Times New Roman" w:hAnsi="Times New Roman"/>
                <w:sz w:val="28"/>
                <w:szCs w:val="28"/>
                <w:lang w:eastAsia="lv-LV"/>
              </w:rPr>
              <w:t xml:space="preserve">visi </w:t>
            </w:r>
            <w:r w:rsidR="008E2EBE">
              <w:rPr>
                <w:rFonts w:ascii="Times New Roman" w:eastAsia="Times New Roman" w:hAnsi="Times New Roman"/>
                <w:sz w:val="28"/>
                <w:szCs w:val="28"/>
                <w:lang w:eastAsia="lv-LV"/>
              </w:rPr>
              <w:t xml:space="preserve">uzaicinātie </w:t>
            </w:r>
            <w:r w:rsidR="005D231A">
              <w:rPr>
                <w:rFonts w:ascii="Times New Roman" w:eastAsia="Times New Roman" w:hAnsi="Times New Roman"/>
                <w:sz w:val="28"/>
                <w:szCs w:val="28"/>
                <w:lang w:eastAsia="lv-LV"/>
              </w:rPr>
              <w:t xml:space="preserve">projektu iesniedzēji </w:t>
            </w:r>
            <w:r w:rsidR="00542F65">
              <w:rPr>
                <w:rFonts w:ascii="Times New Roman" w:eastAsia="Times New Roman" w:hAnsi="Times New Roman"/>
                <w:sz w:val="28"/>
                <w:szCs w:val="28"/>
                <w:lang w:eastAsia="lv-LV"/>
              </w:rPr>
              <w:t xml:space="preserve">savus </w:t>
            </w:r>
            <w:r w:rsidR="008E2EBE">
              <w:rPr>
                <w:rFonts w:ascii="Times New Roman" w:eastAsia="Times New Roman" w:hAnsi="Times New Roman"/>
                <w:sz w:val="28"/>
                <w:szCs w:val="28"/>
                <w:lang w:eastAsia="lv-LV"/>
              </w:rPr>
              <w:t xml:space="preserve">projektus </w:t>
            </w:r>
            <w:r w:rsidR="005D231A">
              <w:rPr>
                <w:rFonts w:ascii="Times New Roman" w:eastAsia="Times New Roman" w:hAnsi="Times New Roman"/>
                <w:sz w:val="28"/>
                <w:szCs w:val="28"/>
                <w:lang w:eastAsia="lv-LV"/>
              </w:rPr>
              <w:t xml:space="preserve">atlasei </w:t>
            </w:r>
            <w:r w:rsidR="00542F65">
              <w:rPr>
                <w:rFonts w:ascii="Times New Roman" w:eastAsia="Times New Roman" w:hAnsi="Times New Roman"/>
                <w:sz w:val="28"/>
                <w:szCs w:val="28"/>
                <w:lang w:eastAsia="lv-LV"/>
              </w:rPr>
              <w:t>tika iesnieguši</w:t>
            </w:r>
            <w:r w:rsidR="008E2EBE">
              <w:rPr>
                <w:rFonts w:ascii="Times New Roman" w:eastAsia="Times New Roman" w:hAnsi="Times New Roman"/>
                <w:sz w:val="28"/>
                <w:szCs w:val="28"/>
                <w:lang w:eastAsia="lv-LV"/>
              </w:rPr>
              <w:t>.</w:t>
            </w:r>
          </w:p>
          <w:p w:rsidR="00CC24F9" w:rsidRPr="00221B32" w:rsidRDefault="00CC24F9" w:rsidP="00CC7BA1">
            <w:pPr>
              <w:spacing w:after="0" w:line="240" w:lineRule="auto"/>
              <w:ind w:firstLine="699"/>
              <w:jc w:val="both"/>
              <w:rPr>
                <w:rFonts w:ascii="Times New Roman" w:eastAsia="Times New Roman" w:hAnsi="Times New Roman"/>
                <w:sz w:val="28"/>
                <w:szCs w:val="28"/>
                <w:lang w:eastAsia="lv-LV"/>
              </w:rPr>
            </w:pPr>
          </w:p>
        </w:tc>
      </w:tr>
      <w:tr w:rsidR="007563C2" w:rsidRPr="0006057D" w:rsidTr="00F71B7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06057D" w:rsidP="00BB383F">
            <w:pPr>
              <w:spacing w:after="0" w:line="240" w:lineRule="auto"/>
              <w:ind w:left="132"/>
              <w:jc w:val="both"/>
              <w:rPr>
                <w:rFonts w:ascii="Times New Roman" w:hAnsi="Times New Roman"/>
                <w:color w:val="000000"/>
                <w:sz w:val="28"/>
                <w:szCs w:val="28"/>
              </w:rPr>
            </w:pPr>
            <w:r w:rsidRPr="0006057D">
              <w:rPr>
                <w:rFonts w:ascii="Times New Roman" w:hAnsi="Times New Roman"/>
                <w:sz w:val="28"/>
                <w:szCs w:val="28"/>
              </w:rPr>
              <w:t>Izglītības un zinātnes ministrija.</w:t>
            </w:r>
          </w:p>
        </w:tc>
      </w:tr>
      <w:tr w:rsidR="007563C2" w:rsidRPr="0006057D" w:rsidTr="00F71B7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BB383F">
            <w:pPr>
              <w:spacing w:after="0" w:line="240" w:lineRule="auto"/>
              <w:ind w:left="132"/>
              <w:jc w:val="both"/>
              <w:rPr>
                <w:rFonts w:ascii="Times New Roman" w:hAnsi="Times New Roman"/>
                <w:sz w:val="28"/>
                <w:szCs w:val="28"/>
              </w:rPr>
            </w:pPr>
            <w:r w:rsidRPr="0006057D">
              <w:rPr>
                <w:rFonts w:ascii="Times New Roman" w:hAnsi="Times New Roman"/>
                <w:sz w:val="28"/>
                <w:szCs w:val="28"/>
              </w:rPr>
              <w:t>Nav</w:t>
            </w:r>
            <w:r w:rsidR="0006057D" w:rsidRPr="0006057D">
              <w:rPr>
                <w:rFonts w:ascii="Times New Roman" w:hAnsi="Times New Roman"/>
                <w:sz w:val="28"/>
                <w:szCs w:val="28"/>
              </w:rPr>
              <w:t>.</w:t>
            </w:r>
          </w:p>
        </w:tc>
      </w:tr>
    </w:tbl>
    <w:p w:rsidR="007563C2" w:rsidRPr="0006057D" w:rsidRDefault="007563C2" w:rsidP="007563C2">
      <w:pPr>
        <w:spacing w:after="0" w:line="240" w:lineRule="auto"/>
        <w:jc w:val="center"/>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7563C2" w:rsidRPr="0006057D" w:rsidTr="00F71B7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563C2" w:rsidRPr="0006057D" w:rsidRDefault="007563C2" w:rsidP="00F71B7A">
            <w:pPr>
              <w:spacing w:after="0" w:line="240" w:lineRule="auto"/>
              <w:jc w:val="center"/>
              <w:rPr>
                <w:rFonts w:ascii="Times New Roman" w:eastAsia="Times New Roman" w:hAnsi="Times New Roman"/>
                <w:b/>
                <w:bCs/>
                <w:sz w:val="28"/>
                <w:szCs w:val="28"/>
                <w:lang w:eastAsia="lv-LV"/>
              </w:rPr>
            </w:pPr>
            <w:r w:rsidRPr="0006057D">
              <w:rPr>
                <w:rFonts w:ascii="Times New Roman" w:eastAsia="Times New Roman" w:hAnsi="Times New Roman"/>
                <w:b/>
                <w:bCs/>
                <w:sz w:val="28"/>
                <w:szCs w:val="28"/>
                <w:lang w:eastAsia="lv-LV"/>
              </w:rPr>
              <w:t>II. Tiesību akta projekta ietekme uz sabiedrību, tautsaimniecības attīstību un administratīvo slogu</w:t>
            </w:r>
          </w:p>
        </w:tc>
      </w:tr>
      <w:tr w:rsidR="007563C2" w:rsidRPr="0006057D" w:rsidTr="00F71B7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 xml:space="preserve">Sabiedrības </w:t>
            </w:r>
            <w:proofErr w:type="spellStart"/>
            <w:r w:rsidRPr="0006057D">
              <w:rPr>
                <w:rFonts w:ascii="Times New Roman" w:eastAsia="Times New Roman" w:hAnsi="Times New Roman"/>
                <w:sz w:val="28"/>
                <w:szCs w:val="28"/>
                <w:lang w:eastAsia="lv-LV"/>
              </w:rPr>
              <w:t>mērķgrupas</w:t>
            </w:r>
            <w:proofErr w:type="spellEnd"/>
            <w:r w:rsidRPr="0006057D">
              <w:rPr>
                <w:rFonts w:ascii="Times New Roman" w:eastAsia="Times New Roman" w:hAnsi="Times New Roman"/>
                <w:sz w:val="28"/>
                <w:szCs w:val="28"/>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97515E" w:rsidP="00BB383F">
            <w:pPr>
              <w:spacing w:before="75" w:after="75" w:line="240" w:lineRule="auto"/>
              <w:ind w:left="142"/>
              <w:jc w:val="both"/>
              <w:rPr>
                <w:rFonts w:ascii="Times New Roman" w:eastAsia="Times New Roman" w:hAnsi="Times New Roman"/>
                <w:iCs/>
                <w:sz w:val="28"/>
                <w:szCs w:val="28"/>
                <w:lang w:eastAsia="lv-LV"/>
              </w:rPr>
            </w:pPr>
            <w:r>
              <w:rPr>
                <w:rFonts w:ascii="Times New Roman" w:hAnsi="Times New Roman"/>
                <w:sz w:val="28"/>
                <w:szCs w:val="28"/>
              </w:rPr>
              <w:t>Profesionālās izglītības iestādes, profesionālās izglītības iestāžu izglītojamie un pedagogi.</w:t>
            </w:r>
          </w:p>
        </w:tc>
      </w:tr>
      <w:tr w:rsidR="007563C2" w:rsidRPr="0006057D" w:rsidTr="00F71B7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1E3604" w:rsidP="00BB383F">
            <w:pPr>
              <w:spacing w:after="0" w:line="240" w:lineRule="auto"/>
              <w:ind w:left="142"/>
              <w:jc w:val="both"/>
              <w:rPr>
                <w:rFonts w:ascii="Times New Roman" w:eastAsia="Times New Roman" w:hAnsi="Times New Roman"/>
                <w:sz w:val="28"/>
                <w:szCs w:val="28"/>
                <w:lang w:eastAsia="lv-LV"/>
              </w:rPr>
            </w:pPr>
            <w:r>
              <w:rPr>
                <w:rFonts w:ascii="Times New Roman" w:eastAsia="Times New Roman" w:hAnsi="Times New Roman"/>
                <w:iCs/>
                <w:sz w:val="28"/>
                <w:szCs w:val="28"/>
                <w:lang w:eastAsia="lv-LV"/>
              </w:rPr>
              <w:t>Noteikumu p</w:t>
            </w:r>
            <w:r w:rsidR="007563C2" w:rsidRPr="0006057D">
              <w:rPr>
                <w:rFonts w:ascii="Times New Roman" w:eastAsia="Times New Roman" w:hAnsi="Times New Roman"/>
                <w:iCs/>
                <w:sz w:val="28"/>
                <w:szCs w:val="28"/>
                <w:lang w:eastAsia="lv-LV"/>
              </w:rPr>
              <w:t>rojekts šo jomu neskar.</w:t>
            </w:r>
          </w:p>
        </w:tc>
      </w:tr>
      <w:tr w:rsidR="007563C2" w:rsidRPr="0006057D" w:rsidTr="00F71B7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1E3604" w:rsidP="00BB383F">
            <w:pPr>
              <w:spacing w:after="0" w:line="240" w:lineRule="auto"/>
              <w:ind w:left="142"/>
              <w:jc w:val="both"/>
              <w:rPr>
                <w:rFonts w:ascii="Times New Roman" w:eastAsia="Times New Roman" w:hAnsi="Times New Roman"/>
                <w:sz w:val="28"/>
                <w:szCs w:val="28"/>
                <w:lang w:eastAsia="lv-LV"/>
              </w:rPr>
            </w:pPr>
            <w:r>
              <w:rPr>
                <w:rFonts w:ascii="Times New Roman" w:eastAsia="Times New Roman" w:hAnsi="Times New Roman"/>
                <w:color w:val="000000"/>
                <w:sz w:val="28"/>
                <w:szCs w:val="28"/>
                <w:lang w:eastAsia="lv-LV"/>
              </w:rPr>
              <w:t>Noteikumu p</w:t>
            </w:r>
            <w:r w:rsidR="007563C2" w:rsidRPr="0006057D">
              <w:rPr>
                <w:rFonts w:ascii="Times New Roman" w:eastAsia="Times New Roman" w:hAnsi="Times New Roman"/>
                <w:color w:val="000000"/>
                <w:sz w:val="28"/>
                <w:szCs w:val="28"/>
                <w:lang w:eastAsia="lv-LV"/>
              </w:rPr>
              <w:t>rojekts šo jomu neskar.</w:t>
            </w:r>
          </w:p>
        </w:tc>
      </w:tr>
      <w:tr w:rsidR="007563C2" w:rsidRPr="0006057D" w:rsidTr="00F71B7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BB383F">
            <w:pPr>
              <w:spacing w:after="0" w:line="240" w:lineRule="auto"/>
              <w:ind w:left="142"/>
              <w:jc w:val="both"/>
              <w:rPr>
                <w:rFonts w:ascii="Times New Roman" w:eastAsia="Times New Roman" w:hAnsi="Times New Roman"/>
                <w:iCs/>
                <w:sz w:val="28"/>
                <w:szCs w:val="28"/>
                <w:lang w:eastAsia="lv-LV"/>
              </w:rPr>
            </w:pPr>
            <w:r w:rsidRPr="0006057D">
              <w:rPr>
                <w:rFonts w:ascii="Times New Roman" w:eastAsia="Times New Roman" w:hAnsi="Times New Roman"/>
                <w:color w:val="000000"/>
                <w:sz w:val="28"/>
                <w:szCs w:val="28"/>
                <w:lang w:eastAsia="lv-LV"/>
              </w:rPr>
              <w:t>Nav</w:t>
            </w:r>
            <w:r w:rsidR="0006057D">
              <w:rPr>
                <w:rFonts w:ascii="Times New Roman" w:eastAsia="Times New Roman" w:hAnsi="Times New Roman"/>
                <w:color w:val="000000"/>
                <w:sz w:val="28"/>
                <w:szCs w:val="28"/>
                <w:lang w:eastAsia="lv-LV"/>
              </w:rPr>
              <w:t>.</w:t>
            </w:r>
          </w:p>
        </w:tc>
      </w:tr>
    </w:tbl>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684"/>
        <w:gridCol w:w="5612"/>
      </w:tblGrid>
      <w:tr w:rsidR="00B2710E" w:rsidRPr="00851EA9" w:rsidTr="001A3D54">
        <w:trPr>
          <w:trHeight w:val="377"/>
        </w:trPr>
        <w:tc>
          <w:tcPr>
            <w:tcW w:w="9296"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B2710E" w:rsidP="001C427B">
            <w:pPr>
              <w:spacing w:after="0" w:line="240" w:lineRule="auto"/>
              <w:ind w:firstLine="720"/>
              <w:jc w:val="both"/>
              <w:rPr>
                <w:rFonts w:ascii="Times New Roman" w:eastAsia="Times New Roman" w:hAnsi="Times New Roman"/>
                <w:b/>
                <w:sz w:val="28"/>
                <w:szCs w:val="28"/>
                <w:lang w:eastAsia="lv-LV"/>
              </w:rPr>
            </w:pPr>
            <w:r w:rsidRPr="00851EA9">
              <w:rPr>
                <w:rFonts w:ascii="Times New Roman" w:eastAsia="Times New Roman" w:hAnsi="Times New Roman"/>
                <w:b/>
                <w:sz w:val="28"/>
                <w:szCs w:val="28"/>
                <w:lang w:eastAsia="lv-LV"/>
              </w:rPr>
              <w:t>IV. Tiesību akta projekta ietekme uz spēkā esošo tiesību normu sistēmu</w:t>
            </w:r>
          </w:p>
        </w:tc>
      </w:tr>
      <w:tr w:rsidR="00B2710E" w:rsidRPr="00851EA9" w:rsidTr="001A3D54">
        <w:trPr>
          <w:trHeight w:val="366"/>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B2710E" w:rsidP="00851EA9">
            <w:pPr>
              <w:spacing w:after="0" w:line="240" w:lineRule="auto"/>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1. Nepieciešamie saistītie tiesību aktu projekti</w:t>
            </w:r>
          </w:p>
        </w:tc>
        <w:tc>
          <w:tcPr>
            <w:tcW w:w="5612" w:type="dxa"/>
            <w:tcBorders>
              <w:top w:val="thickThinLargeGap" w:sz="6" w:space="0" w:color="C0C0C0"/>
              <w:left w:val="thickThinLargeGap" w:sz="6" w:space="0" w:color="C0C0C0"/>
              <w:bottom w:val="thickThinLargeGap" w:sz="6" w:space="0" w:color="C0C0C0"/>
              <w:right w:val="thickThinLargeGap" w:sz="6" w:space="0" w:color="C0C0C0"/>
            </w:tcBorders>
            <w:hideMark/>
          </w:tcPr>
          <w:p w:rsidR="000730CD" w:rsidRPr="00F829CC" w:rsidRDefault="00F829CC" w:rsidP="00BB383F">
            <w:pPr>
              <w:spacing w:after="0" w:line="240" w:lineRule="auto"/>
              <w:ind w:left="144"/>
              <w:jc w:val="both"/>
              <w:rPr>
                <w:rFonts w:ascii="Times New Roman" w:hAnsi="Times New Roman"/>
                <w:sz w:val="28"/>
                <w:szCs w:val="28"/>
              </w:rPr>
            </w:pPr>
            <w:r w:rsidRPr="00F829CC">
              <w:rPr>
                <w:rFonts w:ascii="Times New Roman" w:eastAsia="Times New Roman" w:hAnsi="Times New Roman"/>
                <w:color w:val="000000"/>
                <w:sz w:val="28"/>
                <w:szCs w:val="28"/>
                <w:lang w:eastAsia="lv-LV"/>
              </w:rPr>
              <w:t>Nav.</w:t>
            </w:r>
          </w:p>
        </w:tc>
      </w:tr>
      <w:tr w:rsidR="00851EA9" w:rsidRPr="00851EA9" w:rsidTr="001A3D54">
        <w:trPr>
          <w:trHeight w:val="141"/>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851EA9" w:rsidRPr="00851EA9" w:rsidRDefault="00851EA9" w:rsidP="00851EA9">
            <w:pPr>
              <w:spacing w:after="0" w:line="240" w:lineRule="auto"/>
              <w:jc w:val="both"/>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2. Atbildīgā institūcija</w:t>
            </w:r>
          </w:p>
        </w:tc>
        <w:tc>
          <w:tcPr>
            <w:tcW w:w="5612" w:type="dxa"/>
            <w:tcBorders>
              <w:top w:val="thickThinLargeGap" w:sz="6" w:space="0" w:color="C0C0C0"/>
              <w:left w:val="thickThinLargeGap" w:sz="6" w:space="0" w:color="C0C0C0"/>
              <w:bottom w:val="thickThinLargeGap" w:sz="6" w:space="0" w:color="C0C0C0"/>
              <w:right w:val="thickThinLargeGap" w:sz="6" w:space="0" w:color="C0C0C0"/>
            </w:tcBorders>
            <w:hideMark/>
          </w:tcPr>
          <w:p w:rsidR="00851EA9" w:rsidRPr="00DD7F55" w:rsidRDefault="001E3604" w:rsidP="00BB383F">
            <w:pPr>
              <w:spacing w:after="0" w:line="240" w:lineRule="auto"/>
              <w:ind w:left="144"/>
              <w:jc w:val="both"/>
              <w:rPr>
                <w:rFonts w:ascii="Times New Roman" w:eastAsia="Times New Roman" w:hAnsi="Times New Roman"/>
                <w:sz w:val="28"/>
                <w:szCs w:val="28"/>
                <w:lang w:eastAsia="lv-LV"/>
              </w:rPr>
            </w:pPr>
            <w:r>
              <w:rPr>
                <w:rFonts w:ascii="Times New Roman" w:eastAsia="Times New Roman" w:hAnsi="Times New Roman"/>
                <w:color w:val="000000"/>
                <w:sz w:val="28"/>
                <w:szCs w:val="28"/>
                <w:lang w:eastAsia="lv-LV"/>
              </w:rPr>
              <w:t>Noteikumu p</w:t>
            </w:r>
            <w:r w:rsidR="003C3933" w:rsidRPr="0006057D">
              <w:rPr>
                <w:rFonts w:ascii="Times New Roman" w:eastAsia="Times New Roman" w:hAnsi="Times New Roman"/>
                <w:color w:val="000000"/>
                <w:sz w:val="28"/>
                <w:szCs w:val="28"/>
                <w:lang w:eastAsia="lv-LV"/>
              </w:rPr>
              <w:t>rojekts šo jomu neskar.</w:t>
            </w:r>
          </w:p>
        </w:tc>
      </w:tr>
      <w:tr w:rsidR="00B2710E" w:rsidRPr="00851EA9" w:rsidTr="001A3D54">
        <w:trPr>
          <w:trHeight w:val="141"/>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851EA9" w:rsidP="001C427B">
            <w:pPr>
              <w:spacing w:after="0" w:line="240" w:lineRule="auto"/>
              <w:jc w:val="both"/>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3</w:t>
            </w:r>
            <w:r w:rsidR="00B2710E" w:rsidRPr="00851EA9">
              <w:rPr>
                <w:rFonts w:ascii="Times New Roman" w:eastAsia="Times New Roman" w:hAnsi="Times New Roman"/>
                <w:sz w:val="28"/>
                <w:szCs w:val="28"/>
                <w:lang w:eastAsia="lv-LV"/>
              </w:rPr>
              <w:t>. Cita informācija</w:t>
            </w:r>
          </w:p>
        </w:tc>
        <w:tc>
          <w:tcPr>
            <w:tcW w:w="5612" w:type="dxa"/>
            <w:tcBorders>
              <w:top w:val="thickThinLargeGap" w:sz="6" w:space="0" w:color="C0C0C0"/>
              <w:left w:val="thickThinLargeGap" w:sz="6" w:space="0" w:color="C0C0C0"/>
              <w:bottom w:val="thickThinLargeGap" w:sz="6" w:space="0" w:color="C0C0C0"/>
              <w:right w:val="thickThinLargeGap" w:sz="6" w:space="0" w:color="C0C0C0"/>
            </w:tcBorders>
            <w:hideMark/>
          </w:tcPr>
          <w:p w:rsidR="002D1959" w:rsidRPr="00027EC8" w:rsidRDefault="003C3933" w:rsidP="00BB383F">
            <w:pPr>
              <w:spacing w:after="0" w:line="240" w:lineRule="auto"/>
              <w:ind w:left="144"/>
              <w:jc w:val="both"/>
              <w:rPr>
                <w:rFonts w:ascii="Times New Roman" w:hAnsi="Times New Roman"/>
                <w:bCs/>
                <w:sz w:val="28"/>
                <w:szCs w:val="28"/>
              </w:rPr>
            </w:pPr>
            <w:r>
              <w:rPr>
                <w:rFonts w:ascii="Times New Roman" w:hAnsi="Times New Roman"/>
                <w:sz w:val="28"/>
                <w:szCs w:val="28"/>
              </w:rPr>
              <w:t>Nav.</w:t>
            </w:r>
          </w:p>
        </w:tc>
      </w:tr>
    </w:tbl>
    <w:p w:rsidR="0038687E" w:rsidRPr="001A3D54" w:rsidRDefault="0038687E" w:rsidP="001A3D54">
      <w:pPr>
        <w:spacing w:after="0" w:line="240" w:lineRule="auto"/>
        <w:ind w:firstLine="720"/>
        <w:jc w:val="both"/>
        <w:rPr>
          <w:rFonts w:ascii="Times New Roman" w:eastAsia="Times New Roman" w:hAnsi="Times New Roman"/>
          <w:b/>
          <w:sz w:val="28"/>
          <w:szCs w:val="28"/>
          <w:lang w:eastAsia="lv-LV"/>
        </w:rPr>
      </w:pPr>
    </w:p>
    <w:tbl>
      <w:tblPr>
        <w:tblW w:w="9401" w:type="dxa"/>
        <w:jc w:val="center"/>
        <w:tblBorders>
          <w:top w:val="thickThinLargeGap" w:sz="6" w:space="0" w:color="BFBFBF" w:themeColor="background1" w:themeShade="BF"/>
          <w:left w:val="thickThinLargeGap" w:sz="6" w:space="0" w:color="BFBFBF" w:themeColor="background1" w:themeShade="BF"/>
          <w:bottom w:val="thickThinLargeGap" w:sz="6" w:space="0" w:color="BFBFBF" w:themeColor="background1" w:themeShade="BF"/>
          <w:right w:val="thickThinLargeGap" w:sz="6" w:space="0" w:color="BFBFBF" w:themeColor="background1" w:themeShade="BF"/>
          <w:insideH w:val="thickThinLargeGap" w:sz="6" w:space="0" w:color="BFBFBF" w:themeColor="background1" w:themeShade="BF"/>
          <w:insideV w:val="thickThinLargeGap" w:sz="6"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363"/>
        <w:gridCol w:w="1704"/>
        <w:gridCol w:w="267"/>
        <w:gridCol w:w="742"/>
        <w:gridCol w:w="1081"/>
        <w:gridCol w:w="1279"/>
        <w:gridCol w:w="1378"/>
        <w:gridCol w:w="2587"/>
      </w:tblGrid>
      <w:tr w:rsidR="001A3D54" w:rsidRPr="00FA7FDE" w:rsidTr="00CC24F9">
        <w:trPr>
          <w:jc w:val="center"/>
        </w:trPr>
        <w:tc>
          <w:tcPr>
            <w:tcW w:w="9401" w:type="dxa"/>
            <w:gridSpan w:val="8"/>
            <w:vAlign w:val="center"/>
          </w:tcPr>
          <w:p w:rsidR="001A3D54" w:rsidRPr="00FA7FDE" w:rsidRDefault="001A3D54" w:rsidP="0052515A">
            <w:pPr>
              <w:spacing w:after="0" w:line="240" w:lineRule="auto"/>
              <w:jc w:val="center"/>
              <w:rPr>
                <w:rFonts w:ascii="Times New Roman" w:eastAsia="Times New Roman" w:hAnsi="Times New Roman"/>
                <w:b/>
                <w:sz w:val="28"/>
                <w:szCs w:val="28"/>
                <w:lang w:eastAsia="lv-LV"/>
              </w:rPr>
            </w:pPr>
            <w:r w:rsidRPr="00FA7FDE">
              <w:rPr>
                <w:rFonts w:ascii="Times New Roman" w:eastAsia="Times New Roman" w:hAnsi="Times New Roman"/>
                <w:b/>
                <w:sz w:val="28"/>
                <w:szCs w:val="28"/>
                <w:lang w:eastAsia="lv-LV"/>
              </w:rPr>
              <w:t>V. Tiesību akta projekta atbilstība Latvijas Republikas starptautiskajām saistībām</w:t>
            </w:r>
          </w:p>
        </w:tc>
      </w:tr>
      <w:tr w:rsidR="001A3D54" w:rsidRPr="00FA7FDE" w:rsidTr="00CC24F9">
        <w:trPr>
          <w:jc w:val="center"/>
        </w:trPr>
        <w:tc>
          <w:tcPr>
            <w:tcW w:w="363" w:type="dxa"/>
          </w:tcPr>
          <w:p w:rsidR="001A3D54" w:rsidRPr="00FA7FDE" w:rsidRDefault="001A3D54" w:rsidP="001A3D54">
            <w:pPr>
              <w:spacing w:after="0" w:line="240" w:lineRule="auto"/>
              <w:jc w:val="center"/>
              <w:rPr>
                <w:rFonts w:ascii="Times New Roman" w:eastAsia="Times New Roman" w:hAnsi="Times New Roman"/>
                <w:b/>
                <w:sz w:val="28"/>
                <w:szCs w:val="28"/>
                <w:lang w:eastAsia="lv-LV"/>
              </w:rPr>
            </w:pPr>
            <w:r w:rsidRPr="00FA7FDE">
              <w:rPr>
                <w:rFonts w:ascii="Times New Roman" w:eastAsia="Times New Roman" w:hAnsi="Times New Roman"/>
                <w:b/>
                <w:sz w:val="28"/>
                <w:szCs w:val="28"/>
                <w:lang w:eastAsia="lv-LV"/>
              </w:rPr>
              <w:t>1.</w:t>
            </w:r>
          </w:p>
        </w:tc>
        <w:tc>
          <w:tcPr>
            <w:tcW w:w="2713" w:type="dxa"/>
            <w:gridSpan w:val="3"/>
          </w:tcPr>
          <w:p w:rsidR="001A3D54" w:rsidRPr="00FA7FDE" w:rsidRDefault="001A3D54" w:rsidP="001A3D54">
            <w:pPr>
              <w:spacing w:after="0" w:line="240" w:lineRule="auto"/>
              <w:jc w:val="center"/>
              <w:rPr>
                <w:rFonts w:ascii="Times New Roman" w:eastAsia="Times New Roman" w:hAnsi="Times New Roman"/>
                <w:b/>
                <w:sz w:val="28"/>
                <w:szCs w:val="28"/>
                <w:lang w:eastAsia="lv-LV"/>
              </w:rPr>
            </w:pPr>
            <w:r w:rsidRPr="00FA7FDE">
              <w:rPr>
                <w:rFonts w:ascii="Times New Roman" w:eastAsia="Times New Roman" w:hAnsi="Times New Roman"/>
                <w:b/>
                <w:sz w:val="28"/>
                <w:szCs w:val="28"/>
                <w:lang w:eastAsia="lv-LV"/>
              </w:rPr>
              <w:t>Saistības pret Eiropas Savienību</w:t>
            </w:r>
          </w:p>
        </w:tc>
        <w:tc>
          <w:tcPr>
            <w:tcW w:w="6325" w:type="dxa"/>
            <w:gridSpan w:val="4"/>
          </w:tcPr>
          <w:p w:rsidR="001A3D54" w:rsidRPr="00FA7FDE" w:rsidRDefault="00F70443" w:rsidP="001A3D54">
            <w:pPr>
              <w:pStyle w:val="Default"/>
              <w:jc w:val="center"/>
              <w:rPr>
                <w:rFonts w:ascii="Times New Roman" w:eastAsia="Times New Roman" w:hAnsi="Times New Roman" w:cs="Times New Roman"/>
                <w:b/>
                <w:color w:val="auto"/>
                <w:sz w:val="28"/>
                <w:szCs w:val="28"/>
                <w:lang w:eastAsia="lv-LV"/>
              </w:rPr>
            </w:pPr>
            <w:r w:rsidRPr="00FA7FDE">
              <w:rPr>
                <w:rFonts w:ascii="Times New Roman" w:hAnsi="Times New Roman"/>
                <w:b/>
                <w:iCs/>
                <w:sz w:val="28"/>
                <w:szCs w:val="28"/>
                <w:lang w:eastAsia="lv-LV"/>
              </w:rPr>
              <w:t>Eiropas Savienības Padomes 2006.gada 11.jūnija Regula (EK) Nr.1083/2006 ar ko paredz vispārīgus noteikumus par Eiropas Reģionālās attīstības fondu, Eiropas Sociālo fondu un Kohēzijas fondu un atceļ Regulu (EK) Nr. 1260/1999</w:t>
            </w:r>
            <w:r w:rsidR="00B96153" w:rsidRPr="00FA7FDE">
              <w:rPr>
                <w:rFonts w:ascii="Times New Roman" w:hAnsi="Times New Roman"/>
                <w:b/>
                <w:iCs/>
                <w:sz w:val="28"/>
                <w:szCs w:val="28"/>
                <w:lang w:eastAsia="lv-LV"/>
              </w:rPr>
              <w:t>.</w:t>
            </w:r>
          </w:p>
        </w:tc>
      </w:tr>
      <w:tr w:rsidR="001A3D54" w:rsidRPr="00FA7FDE" w:rsidTr="00CC24F9">
        <w:trPr>
          <w:jc w:val="center"/>
        </w:trPr>
        <w:tc>
          <w:tcPr>
            <w:tcW w:w="363" w:type="dxa"/>
          </w:tcPr>
          <w:p w:rsidR="001A3D54" w:rsidRPr="00FA7FDE" w:rsidRDefault="001A3D54" w:rsidP="001A3D54">
            <w:pPr>
              <w:spacing w:after="0" w:line="240" w:lineRule="auto"/>
              <w:jc w:val="center"/>
              <w:rPr>
                <w:rFonts w:ascii="Times New Roman" w:eastAsia="Times New Roman" w:hAnsi="Times New Roman"/>
                <w:b/>
                <w:sz w:val="28"/>
                <w:szCs w:val="28"/>
                <w:lang w:eastAsia="lv-LV"/>
              </w:rPr>
            </w:pPr>
            <w:r w:rsidRPr="00FA7FDE">
              <w:rPr>
                <w:rFonts w:ascii="Times New Roman" w:eastAsia="Times New Roman" w:hAnsi="Times New Roman"/>
                <w:b/>
                <w:sz w:val="28"/>
                <w:szCs w:val="28"/>
                <w:lang w:eastAsia="lv-LV"/>
              </w:rPr>
              <w:t>2.</w:t>
            </w:r>
          </w:p>
        </w:tc>
        <w:tc>
          <w:tcPr>
            <w:tcW w:w="2713" w:type="dxa"/>
            <w:gridSpan w:val="3"/>
          </w:tcPr>
          <w:p w:rsidR="001A3D54" w:rsidRPr="00FA7FDE" w:rsidRDefault="001A3D54" w:rsidP="001A3D54">
            <w:pPr>
              <w:spacing w:after="0" w:line="240" w:lineRule="auto"/>
              <w:jc w:val="center"/>
              <w:rPr>
                <w:rFonts w:ascii="Times New Roman" w:eastAsia="Times New Roman" w:hAnsi="Times New Roman"/>
                <w:b/>
                <w:sz w:val="28"/>
                <w:szCs w:val="28"/>
                <w:lang w:eastAsia="lv-LV"/>
              </w:rPr>
            </w:pPr>
            <w:r w:rsidRPr="00FA7FDE">
              <w:rPr>
                <w:rFonts w:ascii="Times New Roman" w:eastAsia="Times New Roman" w:hAnsi="Times New Roman"/>
                <w:b/>
                <w:sz w:val="28"/>
                <w:szCs w:val="28"/>
                <w:lang w:eastAsia="lv-LV"/>
              </w:rPr>
              <w:t>Citas starptautiskās saistības</w:t>
            </w:r>
          </w:p>
        </w:tc>
        <w:tc>
          <w:tcPr>
            <w:tcW w:w="6325" w:type="dxa"/>
            <w:gridSpan w:val="4"/>
          </w:tcPr>
          <w:p w:rsidR="001A3D54" w:rsidRPr="00FA7FDE" w:rsidRDefault="001E3604" w:rsidP="00D83E6F">
            <w:pPr>
              <w:spacing w:after="0" w:line="240" w:lineRule="auto"/>
              <w:rPr>
                <w:rFonts w:ascii="Times New Roman" w:eastAsia="Times New Roman" w:hAnsi="Times New Roman"/>
                <w:b/>
                <w:sz w:val="28"/>
                <w:szCs w:val="28"/>
                <w:lang w:eastAsia="lv-LV"/>
              </w:rPr>
            </w:pPr>
            <w:r w:rsidRPr="00FA7FDE">
              <w:rPr>
                <w:rFonts w:ascii="Times New Roman" w:eastAsia="Times New Roman" w:hAnsi="Times New Roman"/>
                <w:b/>
                <w:sz w:val="28"/>
                <w:szCs w:val="28"/>
                <w:lang w:eastAsia="lv-LV"/>
              </w:rPr>
              <w:t>N</w:t>
            </w:r>
            <w:r w:rsidR="001A3D54" w:rsidRPr="00FA7FDE">
              <w:rPr>
                <w:rFonts w:ascii="Times New Roman" w:eastAsia="Times New Roman" w:hAnsi="Times New Roman"/>
                <w:b/>
                <w:sz w:val="28"/>
                <w:szCs w:val="28"/>
                <w:lang w:eastAsia="lv-LV"/>
              </w:rPr>
              <w:t>oteikumu projekts šo jomu neskar.</w:t>
            </w:r>
          </w:p>
        </w:tc>
      </w:tr>
      <w:tr w:rsidR="001A3D54" w:rsidRPr="00FA7FDE" w:rsidTr="00CC24F9">
        <w:trPr>
          <w:jc w:val="center"/>
        </w:trPr>
        <w:tc>
          <w:tcPr>
            <w:tcW w:w="363" w:type="dxa"/>
          </w:tcPr>
          <w:p w:rsidR="001A3D54" w:rsidRPr="00FA7FDE" w:rsidRDefault="001A3D54" w:rsidP="001A3D54">
            <w:pPr>
              <w:spacing w:after="0" w:line="240" w:lineRule="auto"/>
              <w:jc w:val="center"/>
              <w:rPr>
                <w:rFonts w:ascii="Times New Roman" w:eastAsia="Times New Roman" w:hAnsi="Times New Roman"/>
                <w:b/>
                <w:sz w:val="28"/>
                <w:szCs w:val="28"/>
                <w:lang w:eastAsia="lv-LV"/>
              </w:rPr>
            </w:pPr>
            <w:r w:rsidRPr="00FA7FDE">
              <w:rPr>
                <w:rFonts w:ascii="Times New Roman" w:eastAsia="Times New Roman" w:hAnsi="Times New Roman"/>
                <w:b/>
                <w:sz w:val="28"/>
                <w:szCs w:val="28"/>
                <w:lang w:eastAsia="lv-LV"/>
              </w:rPr>
              <w:t>3.</w:t>
            </w:r>
          </w:p>
        </w:tc>
        <w:tc>
          <w:tcPr>
            <w:tcW w:w="2713" w:type="dxa"/>
            <w:gridSpan w:val="3"/>
          </w:tcPr>
          <w:p w:rsidR="001A3D54" w:rsidRPr="00FA7FDE" w:rsidRDefault="001A3D54" w:rsidP="001A3D54">
            <w:pPr>
              <w:spacing w:after="0" w:line="240" w:lineRule="auto"/>
              <w:jc w:val="center"/>
              <w:rPr>
                <w:rFonts w:ascii="Times New Roman" w:eastAsia="Times New Roman" w:hAnsi="Times New Roman"/>
                <w:b/>
                <w:sz w:val="28"/>
                <w:szCs w:val="28"/>
                <w:lang w:eastAsia="lv-LV"/>
              </w:rPr>
            </w:pPr>
            <w:r w:rsidRPr="00FA7FDE">
              <w:rPr>
                <w:rFonts w:ascii="Times New Roman" w:eastAsia="Times New Roman" w:hAnsi="Times New Roman"/>
                <w:b/>
                <w:sz w:val="28"/>
                <w:szCs w:val="28"/>
                <w:lang w:eastAsia="lv-LV"/>
              </w:rPr>
              <w:t>Cita informācija</w:t>
            </w:r>
          </w:p>
        </w:tc>
        <w:tc>
          <w:tcPr>
            <w:tcW w:w="6325" w:type="dxa"/>
            <w:gridSpan w:val="4"/>
          </w:tcPr>
          <w:p w:rsidR="001A3D54" w:rsidRPr="00FA7FDE" w:rsidRDefault="001A3D54" w:rsidP="00D83E6F">
            <w:pPr>
              <w:spacing w:after="0" w:line="240" w:lineRule="auto"/>
              <w:rPr>
                <w:rFonts w:ascii="Times New Roman" w:eastAsia="Times New Roman" w:hAnsi="Times New Roman"/>
                <w:b/>
                <w:sz w:val="28"/>
                <w:szCs w:val="28"/>
                <w:lang w:eastAsia="lv-LV"/>
              </w:rPr>
            </w:pPr>
            <w:r w:rsidRPr="00FA7FDE">
              <w:rPr>
                <w:rFonts w:ascii="Times New Roman" w:eastAsia="Times New Roman" w:hAnsi="Times New Roman"/>
                <w:b/>
                <w:sz w:val="28"/>
                <w:szCs w:val="28"/>
                <w:lang w:eastAsia="lv-LV"/>
              </w:rPr>
              <w:t>Nav</w:t>
            </w:r>
          </w:p>
        </w:tc>
      </w:tr>
      <w:tr w:rsidR="001A3D54" w:rsidRPr="00FA7FDE" w:rsidTr="00CC24F9">
        <w:trPr>
          <w:jc w:val="center"/>
        </w:trPr>
        <w:tc>
          <w:tcPr>
            <w:tcW w:w="9401" w:type="dxa"/>
            <w:gridSpan w:val="8"/>
            <w:vAlign w:val="center"/>
          </w:tcPr>
          <w:p w:rsidR="001A3D54" w:rsidRPr="00FA7FDE" w:rsidRDefault="001A3D54" w:rsidP="001A3D54">
            <w:pPr>
              <w:spacing w:after="0" w:line="240" w:lineRule="auto"/>
              <w:jc w:val="center"/>
              <w:rPr>
                <w:rFonts w:ascii="Times New Roman" w:eastAsia="Times New Roman" w:hAnsi="Times New Roman"/>
                <w:b/>
                <w:sz w:val="28"/>
                <w:szCs w:val="28"/>
                <w:lang w:eastAsia="lv-LV"/>
              </w:rPr>
            </w:pPr>
            <w:r w:rsidRPr="00FA7FDE">
              <w:rPr>
                <w:rFonts w:ascii="Times New Roman" w:eastAsia="Times New Roman" w:hAnsi="Times New Roman"/>
                <w:b/>
                <w:sz w:val="28"/>
                <w:szCs w:val="28"/>
                <w:lang w:eastAsia="lv-LV"/>
              </w:rPr>
              <w:t>1.tabula</w:t>
            </w:r>
          </w:p>
          <w:p w:rsidR="001A3D54" w:rsidRPr="00FA7FDE" w:rsidRDefault="001A3D54" w:rsidP="001A3D54">
            <w:pPr>
              <w:spacing w:after="0" w:line="240" w:lineRule="auto"/>
              <w:jc w:val="center"/>
              <w:rPr>
                <w:rFonts w:ascii="Times New Roman" w:eastAsia="Times New Roman" w:hAnsi="Times New Roman"/>
                <w:b/>
                <w:sz w:val="28"/>
                <w:szCs w:val="28"/>
                <w:lang w:eastAsia="lv-LV"/>
              </w:rPr>
            </w:pPr>
            <w:r w:rsidRPr="00FA7FDE">
              <w:rPr>
                <w:rFonts w:ascii="Times New Roman" w:eastAsia="Times New Roman" w:hAnsi="Times New Roman"/>
                <w:b/>
                <w:sz w:val="28"/>
                <w:szCs w:val="28"/>
                <w:lang w:eastAsia="lv-LV"/>
              </w:rPr>
              <w:t>Tiesību akta projekta atbilstība ES tiesību aktiem</w:t>
            </w:r>
          </w:p>
        </w:tc>
      </w:tr>
      <w:tr w:rsidR="001A3D54" w:rsidRPr="00FA7FDE" w:rsidTr="00CC24F9">
        <w:trPr>
          <w:jc w:val="center"/>
        </w:trPr>
        <w:tc>
          <w:tcPr>
            <w:tcW w:w="2067" w:type="dxa"/>
            <w:gridSpan w:val="2"/>
          </w:tcPr>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 xml:space="preserve">Attiecīgā ES tiesību akta </w:t>
            </w:r>
            <w:r w:rsidRPr="00FA7FDE">
              <w:rPr>
                <w:rFonts w:ascii="Times New Roman" w:hAnsi="Times New Roman"/>
                <w:sz w:val="28"/>
                <w:szCs w:val="28"/>
              </w:rPr>
              <w:lastRenderedPageBreak/>
              <w:t>datums, numurs un nosaukums</w:t>
            </w:r>
          </w:p>
        </w:tc>
        <w:tc>
          <w:tcPr>
            <w:tcW w:w="7334" w:type="dxa"/>
            <w:gridSpan w:val="6"/>
          </w:tcPr>
          <w:p w:rsidR="001A3D54" w:rsidRPr="00FA7FDE" w:rsidRDefault="00D83E6F" w:rsidP="0052515A">
            <w:pPr>
              <w:spacing w:after="0" w:line="240" w:lineRule="auto"/>
              <w:ind w:left="57"/>
              <w:jc w:val="both"/>
              <w:rPr>
                <w:rFonts w:ascii="Times New Roman" w:hAnsi="Times New Roman"/>
                <w:sz w:val="28"/>
                <w:szCs w:val="28"/>
              </w:rPr>
            </w:pPr>
            <w:r w:rsidRPr="00FA7FDE">
              <w:rPr>
                <w:rFonts w:ascii="Times New Roman" w:hAnsi="Times New Roman"/>
                <w:iCs/>
                <w:sz w:val="28"/>
                <w:szCs w:val="28"/>
                <w:lang w:eastAsia="lv-LV"/>
              </w:rPr>
              <w:lastRenderedPageBreak/>
              <w:t xml:space="preserve">Eiropas Savienības Padomes 2006.gada 11.jūnija Regula (EK) Nr.1083/2006 ar ko paredz vispārīgus noteikumus par Eiropas </w:t>
            </w:r>
            <w:r w:rsidRPr="00FA7FDE">
              <w:rPr>
                <w:rFonts w:ascii="Times New Roman" w:hAnsi="Times New Roman"/>
                <w:iCs/>
                <w:sz w:val="28"/>
                <w:szCs w:val="28"/>
                <w:lang w:eastAsia="lv-LV"/>
              </w:rPr>
              <w:lastRenderedPageBreak/>
              <w:t>Reģionālās attīstības fondu, Eiropas Sociālo fondu un Kohēzijas fondu un atceļ Regulu (EK) Nr. 1260/1999</w:t>
            </w:r>
            <w:r w:rsidR="000264B7" w:rsidRPr="00FA7FDE">
              <w:rPr>
                <w:rFonts w:ascii="Times New Roman" w:hAnsi="Times New Roman"/>
                <w:iCs/>
                <w:sz w:val="28"/>
                <w:szCs w:val="28"/>
                <w:lang w:eastAsia="lv-LV"/>
              </w:rPr>
              <w:t xml:space="preserve"> (turpmāk – Komisijas regula Nr.1083/2006)</w:t>
            </w:r>
            <w:r w:rsidRPr="00FA7FDE">
              <w:rPr>
                <w:rFonts w:ascii="Times New Roman" w:hAnsi="Times New Roman"/>
                <w:iCs/>
                <w:sz w:val="28"/>
                <w:szCs w:val="28"/>
                <w:lang w:eastAsia="lv-LV"/>
              </w:rPr>
              <w:t>.</w:t>
            </w:r>
          </w:p>
        </w:tc>
      </w:tr>
      <w:tr w:rsidR="001A3D54" w:rsidRPr="00FA7FDE" w:rsidTr="00CC24F9">
        <w:trPr>
          <w:jc w:val="center"/>
        </w:trPr>
        <w:tc>
          <w:tcPr>
            <w:tcW w:w="2067" w:type="dxa"/>
            <w:gridSpan w:val="2"/>
            <w:vAlign w:val="center"/>
          </w:tcPr>
          <w:p w:rsidR="001A3D54" w:rsidRPr="00FA7FDE" w:rsidRDefault="001A3D54" w:rsidP="0052515A">
            <w:pPr>
              <w:spacing w:after="0" w:line="240" w:lineRule="auto"/>
              <w:ind w:left="57"/>
              <w:jc w:val="center"/>
              <w:rPr>
                <w:rFonts w:ascii="Times New Roman" w:hAnsi="Times New Roman"/>
                <w:sz w:val="28"/>
                <w:szCs w:val="28"/>
              </w:rPr>
            </w:pPr>
            <w:r w:rsidRPr="00FA7FDE">
              <w:rPr>
                <w:rFonts w:ascii="Times New Roman" w:hAnsi="Times New Roman"/>
                <w:sz w:val="28"/>
                <w:szCs w:val="28"/>
              </w:rPr>
              <w:lastRenderedPageBreak/>
              <w:t>A</w:t>
            </w:r>
          </w:p>
        </w:tc>
        <w:tc>
          <w:tcPr>
            <w:tcW w:w="2090" w:type="dxa"/>
            <w:gridSpan w:val="3"/>
            <w:vAlign w:val="center"/>
          </w:tcPr>
          <w:p w:rsidR="001A3D54" w:rsidRPr="00FA7FDE" w:rsidRDefault="001A3D54" w:rsidP="0052515A">
            <w:pPr>
              <w:spacing w:after="0" w:line="240" w:lineRule="auto"/>
              <w:ind w:left="57"/>
              <w:jc w:val="center"/>
              <w:rPr>
                <w:rFonts w:ascii="Times New Roman" w:hAnsi="Times New Roman"/>
                <w:sz w:val="28"/>
                <w:szCs w:val="28"/>
              </w:rPr>
            </w:pPr>
            <w:r w:rsidRPr="00FA7FDE">
              <w:rPr>
                <w:rFonts w:ascii="Times New Roman" w:hAnsi="Times New Roman"/>
                <w:sz w:val="28"/>
                <w:szCs w:val="28"/>
              </w:rPr>
              <w:t>B</w:t>
            </w:r>
          </w:p>
        </w:tc>
        <w:tc>
          <w:tcPr>
            <w:tcW w:w="2657" w:type="dxa"/>
            <w:gridSpan w:val="2"/>
            <w:vAlign w:val="center"/>
          </w:tcPr>
          <w:p w:rsidR="001A3D54" w:rsidRPr="00FA7FDE" w:rsidRDefault="001A3D54" w:rsidP="0052515A">
            <w:pPr>
              <w:spacing w:after="0" w:line="240" w:lineRule="auto"/>
              <w:ind w:left="57"/>
              <w:jc w:val="center"/>
              <w:rPr>
                <w:rFonts w:ascii="Times New Roman" w:hAnsi="Times New Roman"/>
                <w:sz w:val="28"/>
                <w:szCs w:val="28"/>
              </w:rPr>
            </w:pPr>
            <w:r w:rsidRPr="00FA7FDE">
              <w:rPr>
                <w:rFonts w:ascii="Times New Roman" w:hAnsi="Times New Roman"/>
                <w:sz w:val="28"/>
                <w:szCs w:val="28"/>
              </w:rPr>
              <w:t>C</w:t>
            </w:r>
          </w:p>
        </w:tc>
        <w:tc>
          <w:tcPr>
            <w:tcW w:w="2587" w:type="dxa"/>
            <w:vAlign w:val="center"/>
          </w:tcPr>
          <w:p w:rsidR="001A3D54" w:rsidRPr="00FA7FDE" w:rsidRDefault="001A3D54" w:rsidP="0052515A">
            <w:pPr>
              <w:spacing w:after="0" w:line="240" w:lineRule="auto"/>
              <w:ind w:left="57"/>
              <w:jc w:val="center"/>
              <w:rPr>
                <w:rFonts w:ascii="Times New Roman" w:hAnsi="Times New Roman"/>
                <w:sz w:val="28"/>
                <w:szCs w:val="28"/>
              </w:rPr>
            </w:pPr>
            <w:r w:rsidRPr="00FA7FDE">
              <w:rPr>
                <w:rFonts w:ascii="Times New Roman" w:hAnsi="Times New Roman"/>
                <w:sz w:val="28"/>
                <w:szCs w:val="28"/>
              </w:rPr>
              <w:t>D</w:t>
            </w:r>
          </w:p>
        </w:tc>
      </w:tr>
      <w:tr w:rsidR="001A3D54" w:rsidRPr="00FA7FDE" w:rsidTr="00CC24F9">
        <w:trPr>
          <w:jc w:val="center"/>
        </w:trPr>
        <w:tc>
          <w:tcPr>
            <w:tcW w:w="2067" w:type="dxa"/>
            <w:gridSpan w:val="2"/>
          </w:tcPr>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Attiecīgā ES tiesību akta panta numurs (uzskaitot katru tiesību akta vienību – pantu, daļu, punktu, apakšpunktu)</w:t>
            </w:r>
          </w:p>
        </w:tc>
        <w:tc>
          <w:tcPr>
            <w:tcW w:w="2090" w:type="dxa"/>
            <w:gridSpan w:val="3"/>
          </w:tcPr>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657" w:type="dxa"/>
            <w:gridSpan w:val="2"/>
          </w:tcPr>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Informācija par to, vai šīs tabulas A ailē minētās ES tiesību akta vienības tiek pārņemtas vai ieviestas pilnībā vai daļēji.</w:t>
            </w:r>
          </w:p>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Norāda institūciju, kas ir atbildīga par šo saistību izpildi pilnībā</w:t>
            </w:r>
          </w:p>
        </w:tc>
        <w:tc>
          <w:tcPr>
            <w:tcW w:w="2587" w:type="dxa"/>
          </w:tcPr>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pacing w:val="-3"/>
                <w:sz w:val="28"/>
                <w:szCs w:val="28"/>
              </w:rPr>
              <w:t xml:space="preserve">Informācija par to, vai šīs </w:t>
            </w:r>
            <w:r w:rsidRPr="00FA7FDE">
              <w:rPr>
                <w:rFonts w:ascii="Times New Roman" w:hAnsi="Times New Roman"/>
                <w:sz w:val="28"/>
                <w:szCs w:val="28"/>
              </w:rPr>
              <w:t>tabulas B ailē minētās projekta vienības paredz stingrākas prasības nekā šīs tabulas A ailē minētās ES tiesību akta vienības.</w:t>
            </w:r>
          </w:p>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Ja projekts satur stingrā</w:t>
            </w:r>
            <w:r w:rsidRPr="00FA7FDE">
              <w:rPr>
                <w:rFonts w:ascii="Times New Roman" w:hAnsi="Times New Roman"/>
                <w:sz w:val="28"/>
                <w:szCs w:val="28"/>
              </w:rPr>
              <w:softHyphen/>
              <w:t>kas prasības nekā attie</w:t>
            </w:r>
            <w:r w:rsidRPr="00FA7FDE">
              <w:rPr>
                <w:rFonts w:ascii="Times New Roman" w:hAnsi="Times New Roman"/>
                <w:sz w:val="28"/>
                <w:szCs w:val="28"/>
              </w:rPr>
              <w:softHyphen/>
              <w:t>cīgais ES tiesību akts, norāda pamatojumu un samērīgumu.</w:t>
            </w:r>
          </w:p>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z w:val="28"/>
                <w:szCs w:val="28"/>
              </w:rPr>
              <w:t>Norāda iespējamās alternatīvas (t.sk. alternatīvas, kas neparedz tiesiskā regulējuma izstrādi) – kādos gadījumos būtu iespējams izvairīties no stingrāku prasību</w:t>
            </w:r>
            <w:r w:rsidRPr="00FA7FDE">
              <w:rPr>
                <w:rFonts w:ascii="Times New Roman" w:hAnsi="Times New Roman"/>
                <w:spacing w:val="-3"/>
                <w:sz w:val="28"/>
                <w:szCs w:val="28"/>
              </w:rPr>
              <w:t xml:space="preserve"> noteikšanas, nekā paredzēts attiecīgajos ES tiesību aktos</w:t>
            </w:r>
          </w:p>
        </w:tc>
      </w:tr>
      <w:tr w:rsidR="001A3D54" w:rsidRPr="00FA7FDE" w:rsidTr="00CC24F9">
        <w:trPr>
          <w:jc w:val="center"/>
        </w:trPr>
        <w:tc>
          <w:tcPr>
            <w:tcW w:w="2067" w:type="dxa"/>
            <w:gridSpan w:val="2"/>
          </w:tcPr>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Komisijas regula Nr.1303/2013</w:t>
            </w:r>
          </w:p>
          <w:p w:rsidR="001A3D54" w:rsidRPr="00FA7FDE" w:rsidRDefault="000264B7" w:rsidP="0052515A">
            <w:pPr>
              <w:spacing w:after="0" w:line="240" w:lineRule="auto"/>
              <w:ind w:left="57"/>
              <w:rPr>
                <w:rFonts w:ascii="Times New Roman" w:hAnsi="Times New Roman"/>
                <w:spacing w:val="-3"/>
                <w:sz w:val="28"/>
                <w:szCs w:val="28"/>
              </w:rPr>
            </w:pPr>
            <w:r w:rsidRPr="00FA7FDE">
              <w:rPr>
                <w:rFonts w:ascii="Times New Roman" w:hAnsi="Times New Roman"/>
                <w:iCs/>
                <w:sz w:val="28"/>
                <w:szCs w:val="28"/>
                <w:lang w:eastAsia="lv-LV"/>
              </w:rPr>
              <w:t>56.panta 1.punkts.</w:t>
            </w:r>
          </w:p>
        </w:tc>
        <w:tc>
          <w:tcPr>
            <w:tcW w:w="2090" w:type="dxa"/>
            <w:gridSpan w:val="3"/>
          </w:tcPr>
          <w:p w:rsidR="001A3D54" w:rsidRPr="00FA7FDE" w:rsidRDefault="00E4253B" w:rsidP="0052515A">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N</w:t>
            </w:r>
            <w:r w:rsidR="00827F92" w:rsidRPr="00FA7FDE">
              <w:rPr>
                <w:rFonts w:ascii="Times New Roman" w:hAnsi="Times New Roman"/>
                <w:spacing w:val="-3"/>
                <w:sz w:val="28"/>
                <w:szCs w:val="28"/>
              </w:rPr>
              <w:t>oteikumu projekta 1</w:t>
            </w:r>
            <w:r w:rsidR="001A3D54" w:rsidRPr="00FA7FDE">
              <w:rPr>
                <w:rFonts w:ascii="Times New Roman" w:hAnsi="Times New Roman"/>
                <w:spacing w:val="-3"/>
                <w:sz w:val="28"/>
                <w:szCs w:val="28"/>
              </w:rPr>
              <w:t>.punkts</w:t>
            </w:r>
          </w:p>
        </w:tc>
        <w:tc>
          <w:tcPr>
            <w:tcW w:w="2657" w:type="dxa"/>
            <w:gridSpan w:val="2"/>
            <w:shd w:val="clear" w:color="auto" w:fill="auto"/>
          </w:tcPr>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Tiek ieviesta pilnībā.</w:t>
            </w:r>
          </w:p>
          <w:p w:rsidR="001A3D54" w:rsidRPr="00FA7FDE" w:rsidRDefault="001A3D54" w:rsidP="001752B7">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 xml:space="preserve">Atbildīgā institūcija – </w:t>
            </w:r>
            <w:r w:rsidR="001752B7" w:rsidRPr="00FA7FDE">
              <w:rPr>
                <w:rFonts w:ascii="Times New Roman" w:hAnsi="Times New Roman"/>
                <w:spacing w:val="-3"/>
                <w:sz w:val="28"/>
                <w:szCs w:val="28"/>
              </w:rPr>
              <w:t>Valsts izglītības attīstības aģentūra</w:t>
            </w:r>
            <w:r w:rsidRPr="00FA7FDE">
              <w:rPr>
                <w:rFonts w:ascii="Times New Roman" w:hAnsi="Times New Roman"/>
                <w:spacing w:val="-3"/>
                <w:sz w:val="28"/>
                <w:szCs w:val="28"/>
              </w:rPr>
              <w:t xml:space="preserve"> (</w:t>
            </w:r>
            <w:r w:rsidR="001752B7" w:rsidRPr="00FA7FDE">
              <w:rPr>
                <w:rFonts w:ascii="Times New Roman" w:hAnsi="Times New Roman"/>
                <w:spacing w:val="-3"/>
                <w:sz w:val="28"/>
                <w:szCs w:val="28"/>
              </w:rPr>
              <w:t>līgumslēdzējs</w:t>
            </w:r>
            <w:r w:rsidRPr="00FA7FDE">
              <w:rPr>
                <w:rFonts w:ascii="Times New Roman" w:hAnsi="Times New Roman"/>
                <w:spacing w:val="-3"/>
                <w:sz w:val="28"/>
                <w:szCs w:val="28"/>
              </w:rPr>
              <w:t>).</w:t>
            </w:r>
          </w:p>
        </w:tc>
        <w:tc>
          <w:tcPr>
            <w:tcW w:w="2587" w:type="dxa"/>
          </w:tcPr>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Netiek paredzētas stingrākas prasības.</w:t>
            </w:r>
          </w:p>
        </w:tc>
      </w:tr>
      <w:tr w:rsidR="001A3D54" w:rsidRPr="00FA7FDE" w:rsidTr="00CC24F9">
        <w:trPr>
          <w:jc w:val="center"/>
        </w:trPr>
        <w:tc>
          <w:tcPr>
            <w:tcW w:w="2067" w:type="dxa"/>
            <w:gridSpan w:val="2"/>
          </w:tcPr>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Kā ir izmantota ES tiesību aktā paredzētā rīcības brīvība dalīb</w:t>
            </w:r>
            <w:r w:rsidRPr="00FA7FDE">
              <w:rPr>
                <w:rFonts w:ascii="Times New Roman" w:hAnsi="Times New Roman"/>
                <w:spacing w:val="-3"/>
                <w:sz w:val="28"/>
                <w:szCs w:val="28"/>
              </w:rPr>
              <w:softHyphen/>
              <w:t xml:space="preserve">valstij pārņemt </w:t>
            </w:r>
            <w:r w:rsidRPr="00FA7FDE">
              <w:rPr>
                <w:rFonts w:ascii="Times New Roman" w:hAnsi="Times New Roman"/>
                <w:spacing w:val="-3"/>
                <w:sz w:val="28"/>
                <w:szCs w:val="28"/>
              </w:rPr>
              <w:lastRenderedPageBreak/>
              <w:t>vai ieviest noteiktas ES tiesību akta normas?</w:t>
            </w:r>
          </w:p>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pacing w:val="-3"/>
                <w:sz w:val="28"/>
                <w:szCs w:val="28"/>
              </w:rPr>
              <w:t>Kādēļ?</w:t>
            </w:r>
          </w:p>
        </w:tc>
        <w:tc>
          <w:tcPr>
            <w:tcW w:w="7334" w:type="dxa"/>
            <w:gridSpan w:val="6"/>
          </w:tcPr>
          <w:p w:rsidR="001A3D54" w:rsidRPr="00FA7FDE" w:rsidRDefault="001E3604" w:rsidP="0052515A">
            <w:pPr>
              <w:spacing w:after="0" w:line="240" w:lineRule="auto"/>
              <w:ind w:left="57"/>
              <w:rPr>
                <w:rFonts w:ascii="Times New Roman" w:hAnsi="Times New Roman"/>
                <w:sz w:val="28"/>
                <w:szCs w:val="28"/>
              </w:rPr>
            </w:pPr>
            <w:r w:rsidRPr="00FA7FDE">
              <w:rPr>
                <w:rFonts w:ascii="Times New Roman" w:hAnsi="Times New Roman"/>
                <w:sz w:val="28"/>
                <w:szCs w:val="28"/>
              </w:rPr>
              <w:lastRenderedPageBreak/>
              <w:t>N</w:t>
            </w:r>
            <w:r w:rsidR="001A3D54" w:rsidRPr="00FA7FDE">
              <w:rPr>
                <w:rFonts w:ascii="Times New Roman" w:hAnsi="Times New Roman"/>
                <w:sz w:val="28"/>
                <w:szCs w:val="28"/>
              </w:rPr>
              <w:t>oteikumu projekts šo jomu neskar.</w:t>
            </w:r>
          </w:p>
        </w:tc>
      </w:tr>
      <w:tr w:rsidR="001A3D54" w:rsidRPr="00FA7FDE" w:rsidTr="00CC24F9">
        <w:trPr>
          <w:jc w:val="center"/>
        </w:trPr>
        <w:tc>
          <w:tcPr>
            <w:tcW w:w="2067" w:type="dxa"/>
            <w:gridSpan w:val="2"/>
          </w:tcPr>
          <w:p w:rsidR="001A3D54" w:rsidRPr="00FA7FDE" w:rsidRDefault="001A3D54" w:rsidP="0052515A">
            <w:pPr>
              <w:spacing w:after="0" w:line="240" w:lineRule="auto"/>
              <w:ind w:left="57"/>
              <w:rPr>
                <w:rFonts w:ascii="Times New Roman" w:hAnsi="Times New Roman"/>
                <w:spacing w:val="-3"/>
                <w:sz w:val="28"/>
                <w:szCs w:val="28"/>
              </w:rPr>
            </w:pPr>
            <w:r w:rsidRPr="00FA7FDE">
              <w:rPr>
                <w:rFonts w:ascii="Times New Roman" w:hAnsi="Times New Roman"/>
                <w:spacing w:val="-4"/>
                <w:sz w:val="28"/>
                <w:szCs w:val="28"/>
              </w:rPr>
              <w:lastRenderedPageBreak/>
              <w:t>Saistības sniegt paziņojumu ES insti</w:t>
            </w:r>
            <w:r w:rsidRPr="00FA7FDE">
              <w:rPr>
                <w:rFonts w:ascii="Times New Roman" w:hAnsi="Times New Roman"/>
                <w:spacing w:val="-4"/>
                <w:sz w:val="28"/>
                <w:szCs w:val="28"/>
              </w:rPr>
              <w:softHyphen/>
              <w:t>tūcijām un ES dalīb</w:t>
            </w:r>
            <w:r w:rsidRPr="00FA7FDE">
              <w:rPr>
                <w:rFonts w:ascii="Times New Roman" w:hAnsi="Times New Roman"/>
                <w:spacing w:val="-4"/>
                <w:sz w:val="28"/>
                <w:szCs w:val="28"/>
              </w:rPr>
              <w:softHyphen/>
              <w:t>valstīm atbilstoši normatīvajiem aktiem, kas regulē informā</w:t>
            </w:r>
            <w:r w:rsidRPr="00FA7FDE">
              <w:rPr>
                <w:rFonts w:ascii="Times New Roman" w:hAnsi="Times New Roman"/>
                <w:spacing w:val="-4"/>
                <w:sz w:val="28"/>
                <w:szCs w:val="28"/>
              </w:rPr>
              <w:softHyphen/>
              <w:t>cijas sniegšanu par tehnisko noteikumu, valsts atbalsta piešķir</w:t>
            </w:r>
            <w:r w:rsidRPr="00FA7FDE">
              <w:rPr>
                <w:rFonts w:ascii="Times New Roman" w:hAnsi="Times New Roman"/>
                <w:spacing w:val="-4"/>
                <w:sz w:val="28"/>
                <w:szCs w:val="28"/>
              </w:rPr>
              <w:softHyphen/>
              <w:t>šanas un finanšu noteikumu (attiecībā uz monetāro politiku) projektiem</w:t>
            </w:r>
          </w:p>
        </w:tc>
        <w:tc>
          <w:tcPr>
            <w:tcW w:w="7334" w:type="dxa"/>
            <w:gridSpan w:val="6"/>
          </w:tcPr>
          <w:p w:rsidR="001A3D54" w:rsidRPr="00FA7FDE" w:rsidRDefault="001E3604" w:rsidP="0052515A">
            <w:pPr>
              <w:spacing w:after="0" w:line="240" w:lineRule="auto"/>
              <w:ind w:left="57"/>
              <w:rPr>
                <w:rFonts w:ascii="Times New Roman" w:hAnsi="Times New Roman"/>
                <w:sz w:val="28"/>
                <w:szCs w:val="28"/>
              </w:rPr>
            </w:pPr>
            <w:r w:rsidRPr="00FA7FDE">
              <w:rPr>
                <w:rFonts w:ascii="Times New Roman" w:hAnsi="Times New Roman"/>
                <w:sz w:val="28"/>
                <w:szCs w:val="28"/>
              </w:rPr>
              <w:t>N</w:t>
            </w:r>
            <w:r w:rsidR="001A3D54" w:rsidRPr="00FA7FDE">
              <w:rPr>
                <w:rFonts w:ascii="Times New Roman" w:hAnsi="Times New Roman"/>
                <w:sz w:val="28"/>
                <w:szCs w:val="28"/>
              </w:rPr>
              <w:t>oteikumu projekts šo jomu neskar.</w:t>
            </w:r>
          </w:p>
        </w:tc>
      </w:tr>
      <w:tr w:rsidR="001A3D54" w:rsidRPr="00FA7FDE" w:rsidTr="00CC24F9">
        <w:trPr>
          <w:jc w:val="center"/>
        </w:trPr>
        <w:tc>
          <w:tcPr>
            <w:tcW w:w="2067" w:type="dxa"/>
            <w:gridSpan w:val="2"/>
          </w:tcPr>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Cita informācija</w:t>
            </w:r>
          </w:p>
        </w:tc>
        <w:tc>
          <w:tcPr>
            <w:tcW w:w="7334" w:type="dxa"/>
            <w:gridSpan w:val="6"/>
          </w:tcPr>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Nav</w:t>
            </w:r>
            <w:r w:rsidR="001E3604" w:rsidRPr="00FA7FDE">
              <w:rPr>
                <w:rFonts w:ascii="Times New Roman" w:hAnsi="Times New Roman"/>
                <w:sz w:val="28"/>
                <w:szCs w:val="28"/>
              </w:rPr>
              <w:t>.</w:t>
            </w:r>
          </w:p>
        </w:tc>
      </w:tr>
      <w:tr w:rsidR="001A3D54" w:rsidRPr="00FA7FDE" w:rsidTr="00CC24F9">
        <w:trPr>
          <w:jc w:val="center"/>
        </w:trPr>
        <w:tc>
          <w:tcPr>
            <w:tcW w:w="9401" w:type="dxa"/>
            <w:gridSpan w:val="8"/>
            <w:shd w:val="clear" w:color="auto" w:fill="D9D9D9" w:themeFill="background1" w:themeFillShade="D9"/>
          </w:tcPr>
          <w:p w:rsidR="001A3D54" w:rsidRPr="00FA7FDE" w:rsidRDefault="001A3D54" w:rsidP="0052515A">
            <w:pPr>
              <w:spacing w:after="0" w:line="240" w:lineRule="auto"/>
              <w:ind w:left="57"/>
              <w:rPr>
                <w:rFonts w:ascii="Times New Roman" w:hAnsi="Times New Roman"/>
                <w:sz w:val="28"/>
                <w:szCs w:val="28"/>
              </w:rPr>
            </w:pPr>
          </w:p>
          <w:p w:rsidR="001A3D54" w:rsidRPr="00FA7FDE" w:rsidRDefault="001A3D54" w:rsidP="0052515A">
            <w:pPr>
              <w:spacing w:after="0" w:line="240" w:lineRule="auto"/>
              <w:ind w:left="57"/>
              <w:rPr>
                <w:rFonts w:ascii="Times New Roman" w:hAnsi="Times New Roman"/>
                <w:sz w:val="28"/>
                <w:szCs w:val="28"/>
              </w:rPr>
            </w:pPr>
          </w:p>
        </w:tc>
      </w:tr>
      <w:tr w:rsidR="001A3D54" w:rsidRPr="00FA7FDE" w:rsidTr="00CC24F9">
        <w:trPr>
          <w:jc w:val="center"/>
        </w:trPr>
        <w:tc>
          <w:tcPr>
            <w:tcW w:w="9401" w:type="dxa"/>
            <w:gridSpan w:val="8"/>
            <w:vAlign w:val="center"/>
          </w:tcPr>
          <w:p w:rsidR="001A3D54" w:rsidRPr="00FA7FDE" w:rsidRDefault="001A3D54" w:rsidP="0052515A">
            <w:pPr>
              <w:spacing w:after="0" w:line="240" w:lineRule="auto"/>
              <w:ind w:left="57"/>
              <w:jc w:val="center"/>
              <w:rPr>
                <w:rFonts w:ascii="Times New Roman" w:hAnsi="Times New Roman"/>
                <w:b/>
                <w:sz w:val="28"/>
                <w:szCs w:val="28"/>
              </w:rPr>
            </w:pPr>
            <w:r w:rsidRPr="00FA7FDE">
              <w:rPr>
                <w:rFonts w:ascii="Times New Roman" w:hAnsi="Times New Roman"/>
                <w:b/>
                <w:sz w:val="28"/>
                <w:szCs w:val="28"/>
              </w:rPr>
              <w:t>2.tabula</w:t>
            </w:r>
          </w:p>
          <w:p w:rsidR="001A3D54" w:rsidRPr="00FA7FDE" w:rsidRDefault="001A3D54" w:rsidP="0052515A">
            <w:pPr>
              <w:spacing w:after="0" w:line="240" w:lineRule="auto"/>
              <w:ind w:left="57"/>
              <w:jc w:val="center"/>
              <w:rPr>
                <w:rFonts w:ascii="Times New Roman" w:hAnsi="Times New Roman"/>
                <w:b/>
                <w:sz w:val="28"/>
                <w:szCs w:val="28"/>
              </w:rPr>
            </w:pPr>
            <w:r w:rsidRPr="00FA7FDE">
              <w:rPr>
                <w:rFonts w:ascii="Times New Roman" w:hAnsi="Times New Roman"/>
                <w:b/>
                <w:sz w:val="28"/>
                <w:szCs w:val="28"/>
              </w:rPr>
              <w:t>Ar tiesību akta projektu izpildītās vai uzņemtās saistības, kas izriet no starptautiskajiem tiesību aktiem vai starptautiskas institūcijas vai organizācijas dokumentiem.</w:t>
            </w:r>
          </w:p>
          <w:p w:rsidR="001A3D54" w:rsidRPr="00FA7FDE" w:rsidRDefault="001A3D54" w:rsidP="0052515A">
            <w:pPr>
              <w:spacing w:after="0" w:line="240" w:lineRule="auto"/>
              <w:ind w:left="57"/>
              <w:jc w:val="center"/>
              <w:rPr>
                <w:rFonts w:ascii="Times New Roman" w:hAnsi="Times New Roman"/>
                <w:b/>
                <w:sz w:val="28"/>
                <w:szCs w:val="28"/>
              </w:rPr>
            </w:pPr>
            <w:r w:rsidRPr="00FA7FDE">
              <w:rPr>
                <w:rFonts w:ascii="Times New Roman" w:hAnsi="Times New Roman"/>
                <w:b/>
                <w:sz w:val="28"/>
                <w:szCs w:val="28"/>
              </w:rPr>
              <w:t>Pasākumi šo saistību izpildei</w:t>
            </w:r>
          </w:p>
        </w:tc>
      </w:tr>
      <w:tr w:rsidR="001A3D54" w:rsidRPr="00FA7FDE" w:rsidTr="00CC24F9">
        <w:trPr>
          <w:jc w:val="center"/>
        </w:trPr>
        <w:tc>
          <w:tcPr>
            <w:tcW w:w="2334" w:type="dxa"/>
            <w:gridSpan w:val="3"/>
            <w:vAlign w:val="center"/>
          </w:tcPr>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 xml:space="preserve">Attiecīgā starptautiskā tiesību akta vai starptautiskas institūcijas vai organizācijas dokumenta (turpmāk – </w:t>
            </w:r>
            <w:r w:rsidRPr="00FA7FDE">
              <w:rPr>
                <w:rFonts w:ascii="Times New Roman" w:hAnsi="Times New Roman"/>
                <w:sz w:val="28"/>
                <w:szCs w:val="28"/>
              </w:rPr>
              <w:lastRenderedPageBreak/>
              <w:t>starptautiskais dokuments) datums, numurs un nosaukums</w:t>
            </w:r>
          </w:p>
        </w:tc>
        <w:tc>
          <w:tcPr>
            <w:tcW w:w="7067" w:type="dxa"/>
            <w:gridSpan w:val="5"/>
          </w:tcPr>
          <w:p w:rsidR="001A3D54" w:rsidRPr="00FA7FDE" w:rsidRDefault="001E3604" w:rsidP="0052515A">
            <w:pPr>
              <w:spacing w:after="0" w:line="240" w:lineRule="auto"/>
              <w:ind w:left="57"/>
              <w:rPr>
                <w:rFonts w:ascii="Times New Roman" w:hAnsi="Times New Roman"/>
                <w:sz w:val="28"/>
                <w:szCs w:val="28"/>
              </w:rPr>
            </w:pPr>
            <w:r w:rsidRPr="00FA7FDE">
              <w:rPr>
                <w:rFonts w:ascii="Times New Roman" w:hAnsi="Times New Roman"/>
                <w:sz w:val="28"/>
                <w:szCs w:val="28"/>
              </w:rPr>
              <w:lastRenderedPageBreak/>
              <w:t>N</w:t>
            </w:r>
            <w:r w:rsidR="001A3D54" w:rsidRPr="00FA7FDE">
              <w:rPr>
                <w:rFonts w:ascii="Times New Roman" w:hAnsi="Times New Roman"/>
                <w:sz w:val="28"/>
                <w:szCs w:val="28"/>
              </w:rPr>
              <w:t>oteikumu projekts šo jomu neskar.</w:t>
            </w:r>
          </w:p>
        </w:tc>
      </w:tr>
      <w:tr w:rsidR="001A3D54" w:rsidRPr="00FA7FDE" w:rsidTr="00CC24F9">
        <w:trPr>
          <w:jc w:val="center"/>
        </w:trPr>
        <w:tc>
          <w:tcPr>
            <w:tcW w:w="2334" w:type="dxa"/>
            <w:gridSpan w:val="3"/>
            <w:vAlign w:val="center"/>
          </w:tcPr>
          <w:p w:rsidR="001A3D54" w:rsidRPr="00FA7FDE" w:rsidRDefault="001A3D54" w:rsidP="0052515A">
            <w:pPr>
              <w:spacing w:after="0" w:line="240" w:lineRule="auto"/>
              <w:ind w:left="57"/>
              <w:jc w:val="center"/>
              <w:rPr>
                <w:rFonts w:ascii="Times New Roman" w:hAnsi="Times New Roman"/>
                <w:sz w:val="28"/>
                <w:szCs w:val="28"/>
              </w:rPr>
            </w:pPr>
            <w:r w:rsidRPr="00FA7FDE">
              <w:rPr>
                <w:rFonts w:ascii="Times New Roman" w:hAnsi="Times New Roman"/>
                <w:sz w:val="28"/>
                <w:szCs w:val="28"/>
              </w:rPr>
              <w:lastRenderedPageBreak/>
              <w:t>A</w:t>
            </w:r>
          </w:p>
        </w:tc>
        <w:tc>
          <w:tcPr>
            <w:tcW w:w="3102" w:type="dxa"/>
            <w:gridSpan w:val="3"/>
            <w:vAlign w:val="center"/>
          </w:tcPr>
          <w:p w:rsidR="001A3D54" w:rsidRPr="00FA7FDE" w:rsidRDefault="001A3D54" w:rsidP="0052515A">
            <w:pPr>
              <w:spacing w:after="0" w:line="240" w:lineRule="auto"/>
              <w:ind w:left="57"/>
              <w:jc w:val="center"/>
              <w:rPr>
                <w:rFonts w:ascii="Times New Roman" w:hAnsi="Times New Roman"/>
                <w:sz w:val="28"/>
                <w:szCs w:val="28"/>
              </w:rPr>
            </w:pPr>
            <w:r w:rsidRPr="00FA7FDE">
              <w:rPr>
                <w:rFonts w:ascii="Times New Roman" w:hAnsi="Times New Roman"/>
                <w:sz w:val="28"/>
                <w:szCs w:val="28"/>
              </w:rPr>
              <w:t>B</w:t>
            </w:r>
          </w:p>
        </w:tc>
        <w:tc>
          <w:tcPr>
            <w:tcW w:w="3965" w:type="dxa"/>
            <w:gridSpan w:val="2"/>
            <w:vAlign w:val="center"/>
          </w:tcPr>
          <w:p w:rsidR="001A3D54" w:rsidRPr="00FA7FDE" w:rsidRDefault="001A3D54" w:rsidP="0052515A">
            <w:pPr>
              <w:spacing w:after="0" w:line="240" w:lineRule="auto"/>
              <w:ind w:left="57"/>
              <w:jc w:val="center"/>
              <w:rPr>
                <w:rFonts w:ascii="Times New Roman" w:hAnsi="Times New Roman"/>
                <w:sz w:val="28"/>
                <w:szCs w:val="28"/>
              </w:rPr>
            </w:pPr>
            <w:r w:rsidRPr="00FA7FDE">
              <w:rPr>
                <w:rFonts w:ascii="Times New Roman" w:hAnsi="Times New Roman"/>
                <w:sz w:val="28"/>
                <w:szCs w:val="28"/>
              </w:rPr>
              <w:t>C</w:t>
            </w:r>
          </w:p>
        </w:tc>
      </w:tr>
      <w:tr w:rsidR="001A3D54" w:rsidRPr="00FA7FDE" w:rsidTr="00CC24F9">
        <w:trPr>
          <w:jc w:val="center"/>
        </w:trPr>
        <w:tc>
          <w:tcPr>
            <w:tcW w:w="2334" w:type="dxa"/>
            <w:gridSpan w:val="3"/>
          </w:tcPr>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Starptautiskās saistības (pēc būtības), kas izriet no norādītā starptautis</w:t>
            </w:r>
            <w:r w:rsidRPr="00FA7FDE">
              <w:rPr>
                <w:rFonts w:ascii="Times New Roman" w:hAnsi="Times New Roman"/>
                <w:sz w:val="28"/>
                <w:szCs w:val="28"/>
              </w:rPr>
              <w:softHyphen/>
              <w:t>kā dokumenta.</w:t>
            </w:r>
          </w:p>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Konkrēti veicamie pasākumi vai uzdevumi, kas nepieciešami šo starptautisko saistību izpildei</w:t>
            </w:r>
          </w:p>
        </w:tc>
        <w:tc>
          <w:tcPr>
            <w:tcW w:w="3102" w:type="dxa"/>
            <w:gridSpan w:val="3"/>
          </w:tcPr>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65" w:type="dxa"/>
            <w:gridSpan w:val="2"/>
          </w:tcPr>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Informācija par to, vai starptautiskās saistības, kas minētas šīs tabulas A ailē, tiek izpildītas pilnībā vai daļēji.</w:t>
            </w:r>
          </w:p>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Ja attiecīgās starptautiskās saistības tiek izpildītas daļēji, sniedz skaidrojumu, kā arī precīzi norāda, kad un kādā veidā starptautiskās saistības tiks izpildītas pilnībā.</w:t>
            </w:r>
          </w:p>
          <w:p w:rsidR="001A3D54" w:rsidRPr="00FA7FDE" w:rsidRDefault="001A3D54" w:rsidP="0052515A">
            <w:pPr>
              <w:spacing w:after="0" w:line="240" w:lineRule="auto"/>
              <w:ind w:left="57" w:right="57"/>
              <w:rPr>
                <w:rFonts w:ascii="Times New Roman" w:hAnsi="Times New Roman"/>
                <w:sz w:val="28"/>
                <w:szCs w:val="28"/>
              </w:rPr>
            </w:pPr>
            <w:r w:rsidRPr="00FA7FDE">
              <w:rPr>
                <w:rFonts w:ascii="Times New Roman" w:hAnsi="Times New Roman"/>
                <w:sz w:val="28"/>
                <w:szCs w:val="28"/>
              </w:rPr>
              <w:t>Norāda institūciju, kas ir atbildīga par šo saistību izpildi pilnībā</w:t>
            </w:r>
          </w:p>
        </w:tc>
      </w:tr>
      <w:tr w:rsidR="001A3D54" w:rsidRPr="00FA7FDE" w:rsidTr="00CC24F9">
        <w:trPr>
          <w:jc w:val="center"/>
        </w:trPr>
        <w:tc>
          <w:tcPr>
            <w:tcW w:w="2334" w:type="dxa"/>
            <w:gridSpan w:val="3"/>
          </w:tcPr>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Vai starptautiskajā dokumentā paredzētās saistības nav pretrunā ar jau esošajām Latvijas Republikas starptautis</w:t>
            </w:r>
            <w:r w:rsidRPr="00FA7FDE">
              <w:rPr>
                <w:rFonts w:ascii="Times New Roman" w:hAnsi="Times New Roman"/>
                <w:sz w:val="28"/>
                <w:szCs w:val="28"/>
              </w:rPr>
              <w:softHyphen/>
              <w:t>kajām saistībām</w:t>
            </w:r>
          </w:p>
        </w:tc>
        <w:tc>
          <w:tcPr>
            <w:tcW w:w="7067" w:type="dxa"/>
            <w:gridSpan w:val="5"/>
          </w:tcPr>
          <w:p w:rsidR="001A3D54" w:rsidRPr="00FA7FDE" w:rsidRDefault="001E3604" w:rsidP="0052515A">
            <w:pPr>
              <w:spacing w:after="0" w:line="240" w:lineRule="auto"/>
              <w:ind w:left="57"/>
              <w:jc w:val="both"/>
              <w:rPr>
                <w:rFonts w:ascii="Times New Roman" w:hAnsi="Times New Roman"/>
                <w:sz w:val="28"/>
                <w:szCs w:val="28"/>
              </w:rPr>
            </w:pPr>
            <w:r w:rsidRPr="00FA7FDE">
              <w:rPr>
                <w:rFonts w:ascii="Times New Roman" w:hAnsi="Times New Roman"/>
                <w:sz w:val="28"/>
                <w:szCs w:val="28"/>
              </w:rPr>
              <w:t>N</w:t>
            </w:r>
            <w:r w:rsidR="001A3D54" w:rsidRPr="00FA7FDE">
              <w:rPr>
                <w:rFonts w:ascii="Times New Roman" w:hAnsi="Times New Roman"/>
                <w:sz w:val="28"/>
                <w:szCs w:val="28"/>
              </w:rPr>
              <w:t>oteikumu projekts šo jomu neskar.</w:t>
            </w:r>
          </w:p>
        </w:tc>
      </w:tr>
      <w:tr w:rsidR="001A3D54" w:rsidRPr="00FA7FDE" w:rsidTr="00CC24F9">
        <w:trPr>
          <w:jc w:val="center"/>
        </w:trPr>
        <w:tc>
          <w:tcPr>
            <w:tcW w:w="2334" w:type="dxa"/>
            <w:gridSpan w:val="3"/>
          </w:tcPr>
          <w:p w:rsidR="001A3D54" w:rsidRPr="00FA7FDE" w:rsidRDefault="001A3D54" w:rsidP="0052515A">
            <w:pPr>
              <w:spacing w:after="0" w:line="240" w:lineRule="auto"/>
              <w:ind w:left="57"/>
              <w:rPr>
                <w:rFonts w:ascii="Times New Roman" w:hAnsi="Times New Roman"/>
                <w:sz w:val="28"/>
                <w:szCs w:val="28"/>
              </w:rPr>
            </w:pPr>
            <w:r w:rsidRPr="00FA7FDE">
              <w:rPr>
                <w:rFonts w:ascii="Times New Roman" w:hAnsi="Times New Roman"/>
                <w:sz w:val="28"/>
                <w:szCs w:val="28"/>
              </w:rPr>
              <w:t>Cita informācija</w:t>
            </w:r>
          </w:p>
        </w:tc>
        <w:tc>
          <w:tcPr>
            <w:tcW w:w="7067" w:type="dxa"/>
            <w:gridSpan w:val="5"/>
          </w:tcPr>
          <w:p w:rsidR="001A3D54" w:rsidRPr="00FA7FDE" w:rsidRDefault="001A3D54" w:rsidP="0052515A">
            <w:pPr>
              <w:spacing w:after="0" w:line="240" w:lineRule="auto"/>
              <w:ind w:left="57"/>
              <w:jc w:val="both"/>
              <w:rPr>
                <w:rFonts w:ascii="Times New Roman" w:hAnsi="Times New Roman"/>
                <w:sz w:val="28"/>
                <w:szCs w:val="28"/>
              </w:rPr>
            </w:pPr>
            <w:r w:rsidRPr="00FA7FDE">
              <w:rPr>
                <w:rFonts w:ascii="Times New Roman" w:hAnsi="Times New Roman"/>
                <w:sz w:val="28"/>
                <w:szCs w:val="28"/>
              </w:rPr>
              <w:t>Nav</w:t>
            </w:r>
            <w:r w:rsidR="001E3604" w:rsidRPr="00FA7FDE">
              <w:rPr>
                <w:rFonts w:ascii="Times New Roman" w:hAnsi="Times New Roman"/>
                <w:sz w:val="28"/>
                <w:szCs w:val="28"/>
              </w:rPr>
              <w:t>.</w:t>
            </w:r>
          </w:p>
        </w:tc>
      </w:tr>
    </w:tbl>
    <w:p w:rsidR="007563C2" w:rsidRPr="0006057D" w:rsidRDefault="007563C2" w:rsidP="007563C2">
      <w:pPr>
        <w:spacing w:after="0" w:line="240" w:lineRule="auto"/>
        <w:rPr>
          <w:rFonts w:ascii="Times New Roman" w:eastAsia="Times New Roman" w:hAnsi="Times New Roman"/>
          <w:sz w:val="28"/>
          <w:szCs w:val="28"/>
          <w:lang w:eastAsia="lv-LV"/>
        </w:rPr>
      </w:pPr>
      <w:r w:rsidRPr="0006057D">
        <w:rPr>
          <w:rFonts w:ascii="Times New Roman" w:hAnsi="Times New Roman"/>
          <w:bCs/>
          <w:sz w:val="28"/>
          <w:szCs w:val="28"/>
        </w:rPr>
        <w:t xml:space="preserve"> </w:t>
      </w: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5"/>
        <w:gridCol w:w="3686"/>
        <w:gridCol w:w="5245"/>
      </w:tblGrid>
      <w:tr w:rsidR="007563C2" w:rsidRPr="0006057D" w:rsidTr="00F71B7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VII. Tiesību akta projekta izpildes nodrošināšana un tās ietekme uz institūcijām</w:t>
            </w:r>
          </w:p>
        </w:tc>
      </w:tr>
      <w:tr w:rsidR="007563C2" w:rsidRPr="0006057D" w:rsidTr="00F71B7A">
        <w:trPr>
          <w:trHeight w:val="558"/>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Projekta izpildē iesaistītās institūcijas</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CB4576" w:rsidP="00F71B7A">
            <w:pPr>
              <w:spacing w:after="0" w:line="240" w:lineRule="auto"/>
              <w:ind w:left="142"/>
              <w:jc w:val="both"/>
              <w:rPr>
                <w:rFonts w:ascii="Times New Roman" w:hAnsi="Times New Roman"/>
                <w:sz w:val="28"/>
                <w:szCs w:val="28"/>
                <w:lang w:eastAsia="lv-LV"/>
              </w:rPr>
            </w:pPr>
            <w:r w:rsidRPr="00A64BD7">
              <w:rPr>
                <w:rFonts w:ascii="Times New Roman" w:hAnsi="Times New Roman"/>
                <w:sz w:val="28"/>
                <w:szCs w:val="28"/>
              </w:rPr>
              <w:t>Izglītības un zinātnes ministrija.</w:t>
            </w:r>
          </w:p>
        </w:tc>
      </w:tr>
      <w:tr w:rsidR="007563C2" w:rsidRPr="0006057D" w:rsidTr="00F71B7A">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Projekta izpildes ietekme uz pārvaldes funkcijām un institucionālo struktūru.</w:t>
            </w:r>
          </w:p>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 xml:space="preserve">Jaunu institūciju izveide, esošu institūciju likvidācija vai </w:t>
            </w:r>
            <w:r w:rsidRPr="0006057D">
              <w:rPr>
                <w:rFonts w:ascii="Times New Roman" w:eastAsia="Times New Roman" w:hAnsi="Times New Roman"/>
                <w:sz w:val="28"/>
                <w:szCs w:val="28"/>
                <w:lang w:eastAsia="lv-LV"/>
              </w:rPr>
              <w:lastRenderedPageBreak/>
              <w:t>reorganizācija, to ietekme uz institūcijas cilvēkresursiem</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E784A" w:rsidRPr="0006057D" w:rsidRDefault="00CB4576" w:rsidP="007E784A">
            <w:pPr>
              <w:spacing w:line="240" w:lineRule="auto"/>
              <w:ind w:left="142"/>
              <w:jc w:val="both"/>
              <w:rPr>
                <w:rFonts w:ascii="Times New Roman" w:hAnsi="Times New Roman"/>
                <w:sz w:val="28"/>
                <w:szCs w:val="28"/>
              </w:rPr>
            </w:pPr>
            <w:r>
              <w:rPr>
                <w:rFonts w:ascii="Times New Roman" w:hAnsi="Times New Roman"/>
                <w:sz w:val="28"/>
                <w:szCs w:val="28"/>
              </w:rPr>
              <w:lastRenderedPageBreak/>
              <w:t xml:space="preserve">Netiek paplašinātas </w:t>
            </w:r>
            <w:r w:rsidR="00E91A75" w:rsidRPr="00E91A75">
              <w:rPr>
                <w:rFonts w:ascii="Times New Roman" w:hAnsi="Times New Roman"/>
                <w:sz w:val="28"/>
                <w:szCs w:val="28"/>
              </w:rPr>
              <w:t xml:space="preserve">vai sašaurinātas </w:t>
            </w:r>
            <w:r>
              <w:rPr>
                <w:rFonts w:ascii="Times New Roman" w:hAnsi="Times New Roman"/>
                <w:sz w:val="28"/>
                <w:szCs w:val="28"/>
              </w:rPr>
              <w:t>esošo institūciju funkcijas</w:t>
            </w:r>
            <w:r w:rsidR="00E91A75">
              <w:rPr>
                <w:rFonts w:ascii="Times New Roman" w:hAnsi="Times New Roman"/>
                <w:sz w:val="28"/>
                <w:szCs w:val="28"/>
              </w:rPr>
              <w:t xml:space="preserve">, kā arī </w:t>
            </w:r>
            <w:r w:rsidR="00E91A75" w:rsidRPr="00E91A75">
              <w:rPr>
                <w:rFonts w:ascii="Times New Roman" w:hAnsi="Times New Roman"/>
                <w:sz w:val="28"/>
                <w:szCs w:val="28"/>
              </w:rPr>
              <w:t>nav nepieciešams veidot jaunas institūcijas, likvidēt vai reorganizēt esošās institūcijas.</w:t>
            </w:r>
            <w:r w:rsidR="007E784A">
              <w:rPr>
                <w:rFonts w:ascii="Times New Roman" w:hAnsi="Times New Roman"/>
                <w:sz w:val="28"/>
                <w:szCs w:val="28"/>
              </w:rPr>
              <w:t xml:space="preserve"> Noteikumu</w:t>
            </w:r>
            <w:r w:rsidR="007E784A" w:rsidRPr="00F10B05">
              <w:rPr>
                <w:rFonts w:ascii="Times New Roman" w:hAnsi="Times New Roman"/>
                <w:sz w:val="28"/>
                <w:szCs w:val="28"/>
              </w:rPr>
              <w:t xml:space="preserve"> projekta izpilde neietekmēs institūcijas cilvēkresursus.</w:t>
            </w:r>
          </w:p>
        </w:tc>
      </w:tr>
      <w:tr w:rsidR="007563C2" w:rsidRPr="0006057D" w:rsidTr="00F71B7A">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lastRenderedPageBreak/>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BB383F">
            <w:pPr>
              <w:spacing w:after="0" w:line="240" w:lineRule="auto"/>
              <w:ind w:left="142"/>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Nav</w:t>
            </w:r>
            <w:r w:rsidR="00270659">
              <w:rPr>
                <w:rFonts w:ascii="Times New Roman" w:eastAsia="Times New Roman" w:hAnsi="Times New Roman"/>
                <w:sz w:val="28"/>
                <w:szCs w:val="28"/>
                <w:lang w:eastAsia="lv-LV"/>
              </w:rPr>
              <w:t>.</w:t>
            </w:r>
          </w:p>
        </w:tc>
      </w:tr>
    </w:tbl>
    <w:p w:rsidR="00851EA9" w:rsidRDefault="00851EA9" w:rsidP="007563C2">
      <w:pPr>
        <w:tabs>
          <w:tab w:val="left" w:pos="6710"/>
        </w:tabs>
        <w:spacing w:after="0" w:line="240" w:lineRule="auto"/>
        <w:rPr>
          <w:rFonts w:ascii="Times New Roman" w:eastAsia="Times New Roman" w:hAnsi="Times New Roman"/>
          <w:b/>
          <w:sz w:val="28"/>
          <w:szCs w:val="28"/>
          <w:lang w:eastAsia="lv-LV"/>
        </w:rPr>
      </w:pPr>
    </w:p>
    <w:p w:rsidR="007563C2" w:rsidRPr="0006057D" w:rsidRDefault="007563C2" w:rsidP="007563C2">
      <w:pPr>
        <w:tabs>
          <w:tab w:val="left" w:pos="6710"/>
        </w:tabs>
        <w:spacing w:after="0" w:line="240" w:lineRule="auto"/>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 xml:space="preserve">Anotācijas </w:t>
      </w:r>
      <w:r w:rsidR="0038687E">
        <w:rPr>
          <w:rFonts w:ascii="Times New Roman" w:eastAsia="Times New Roman" w:hAnsi="Times New Roman"/>
          <w:b/>
          <w:sz w:val="28"/>
          <w:szCs w:val="28"/>
          <w:lang w:eastAsia="lv-LV"/>
        </w:rPr>
        <w:t>III</w:t>
      </w:r>
      <w:r w:rsidR="000254AE">
        <w:rPr>
          <w:rFonts w:ascii="Times New Roman" w:eastAsia="Times New Roman" w:hAnsi="Times New Roman"/>
          <w:b/>
          <w:sz w:val="28"/>
          <w:szCs w:val="28"/>
          <w:lang w:eastAsia="lv-LV"/>
        </w:rPr>
        <w:t xml:space="preserve"> un VI</w:t>
      </w:r>
      <w:r w:rsidRPr="0006057D">
        <w:rPr>
          <w:rFonts w:ascii="Times New Roman" w:eastAsia="Times New Roman" w:hAnsi="Times New Roman"/>
          <w:b/>
          <w:sz w:val="28"/>
          <w:szCs w:val="28"/>
          <w:lang w:eastAsia="lv-LV"/>
        </w:rPr>
        <w:t xml:space="preserve"> sadaļa - projekts šīs jomas neskar.</w:t>
      </w:r>
    </w:p>
    <w:p w:rsidR="007563C2" w:rsidRPr="0006057D" w:rsidRDefault="007563C2" w:rsidP="007563C2">
      <w:pPr>
        <w:tabs>
          <w:tab w:val="right" w:pos="9071"/>
        </w:tabs>
        <w:spacing w:after="0" w:line="240" w:lineRule="auto"/>
        <w:jc w:val="both"/>
        <w:rPr>
          <w:rFonts w:ascii="Times New Roman" w:eastAsia="Times New Roman" w:hAnsi="Times New Roman"/>
          <w:sz w:val="28"/>
          <w:szCs w:val="28"/>
          <w:lang w:eastAsia="lv-LV"/>
        </w:rPr>
      </w:pPr>
    </w:p>
    <w:p w:rsidR="007563C2" w:rsidRPr="0006057D" w:rsidRDefault="007563C2" w:rsidP="007563C2">
      <w:pPr>
        <w:tabs>
          <w:tab w:val="right" w:pos="9071"/>
        </w:tabs>
        <w:spacing w:after="0" w:line="240" w:lineRule="auto"/>
        <w:jc w:val="both"/>
        <w:rPr>
          <w:rFonts w:ascii="Times New Roman" w:eastAsia="Times New Roman" w:hAnsi="Times New Roman"/>
          <w:sz w:val="28"/>
          <w:szCs w:val="28"/>
          <w:lang w:eastAsia="lv-LV"/>
        </w:rPr>
      </w:pPr>
    </w:p>
    <w:p w:rsidR="005D44B3" w:rsidRPr="005D44B3" w:rsidRDefault="005D44B3" w:rsidP="00095939">
      <w:pPr>
        <w:spacing w:after="0" w:line="240" w:lineRule="auto"/>
        <w:jc w:val="both"/>
        <w:rPr>
          <w:rFonts w:ascii="Times New Roman" w:eastAsia="Times New Roman" w:hAnsi="Times New Roman"/>
          <w:iCs/>
          <w:sz w:val="28"/>
          <w:szCs w:val="28"/>
          <w:lang w:eastAsia="lv-LV"/>
        </w:rPr>
      </w:pPr>
      <w:r w:rsidRPr="005D44B3">
        <w:rPr>
          <w:rFonts w:ascii="Times New Roman" w:eastAsia="Times New Roman" w:hAnsi="Times New Roman"/>
          <w:iCs/>
          <w:sz w:val="28"/>
          <w:szCs w:val="28"/>
          <w:lang w:eastAsia="lv-LV"/>
        </w:rPr>
        <w:t>Izglītības un zinātnes ministre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00B2710E">
        <w:rPr>
          <w:rFonts w:ascii="Times New Roman" w:eastAsia="Times New Roman" w:hAnsi="Times New Roman"/>
          <w:iCs/>
          <w:sz w:val="28"/>
          <w:szCs w:val="28"/>
          <w:lang w:eastAsia="lv-LV"/>
        </w:rPr>
        <w:tab/>
      </w:r>
      <w:proofErr w:type="spellStart"/>
      <w:r w:rsidR="007E784A">
        <w:rPr>
          <w:rFonts w:ascii="Times New Roman" w:eastAsia="Times New Roman" w:hAnsi="Times New Roman"/>
          <w:iCs/>
          <w:sz w:val="28"/>
          <w:szCs w:val="28"/>
          <w:lang w:eastAsia="lv-LV"/>
        </w:rPr>
        <w:t>M.Seile</w:t>
      </w:r>
      <w:proofErr w:type="spellEnd"/>
    </w:p>
    <w:p w:rsidR="005D44B3" w:rsidRDefault="005D44B3" w:rsidP="0009593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rsidR="00095939" w:rsidRPr="005D44B3" w:rsidRDefault="00095939" w:rsidP="0009593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rsidR="00D20D5B" w:rsidRPr="00D20D5B" w:rsidRDefault="00D20D5B" w:rsidP="00D20D5B">
      <w:pPr>
        <w:autoSpaceDE w:val="0"/>
        <w:autoSpaceDN w:val="0"/>
        <w:adjustRightInd w:val="0"/>
        <w:spacing w:after="0" w:line="240" w:lineRule="auto"/>
        <w:rPr>
          <w:rFonts w:ascii="Times New Roman" w:eastAsia="Times New Roman" w:hAnsi="Times New Roman"/>
          <w:iCs/>
          <w:sz w:val="28"/>
          <w:szCs w:val="28"/>
          <w:lang w:eastAsia="lv-LV"/>
        </w:rPr>
      </w:pPr>
      <w:r w:rsidRPr="00D20D5B">
        <w:rPr>
          <w:rFonts w:ascii="Times New Roman" w:eastAsia="Times New Roman" w:hAnsi="Times New Roman"/>
          <w:iCs/>
          <w:sz w:val="28"/>
          <w:szCs w:val="28"/>
          <w:lang w:eastAsia="lv-LV"/>
        </w:rPr>
        <w:t>Valsts sekretāra vietniece –</w:t>
      </w:r>
    </w:p>
    <w:p w:rsidR="00D20D5B" w:rsidRPr="00D20D5B" w:rsidRDefault="00D20D5B" w:rsidP="00D20D5B">
      <w:pPr>
        <w:autoSpaceDE w:val="0"/>
        <w:autoSpaceDN w:val="0"/>
        <w:adjustRightInd w:val="0"/>
        <w:spacing w:after="0" w:line="240" w:lineRule="auto"/>
        <w:rPr>
          <w:rFonts w:ascii="Times New Roman" w:eastAsia="Times New Roman" w:hAnsi="Times New Roman"/>
          <w:iCs/>
          <w:sz w:val="28"/>
          <w:szCs w:val="28"/>
          <w:lang w:eastAsia="lv-LV"/>
        </w:rPr>
      </w:pPr>
      <w:r w:rsidRPr="00D20D5B">
        <w:rPr>
          <w:rFonts w:ascii="Times New Roman" w:eastAsia="Times New Roman" w:hAnsi="Times New Roman"/>
          <w:iCs/>
          <w:sz w:val="28"/>
          <w:szCs w:val="28"/>
          <w:lang w:eastAsia="lv-LV"/>
        </w:rPr>
        <w:t>Izglītības departamenta direktore,</w:t>
      </w:r>
    </w:p>
    <w:p w:rsidR="005D44B3" w:rsidRPr="00D20D5B" w:rsidRDefault="00D20D5B" w:rsidP="00D20D5B">
      <w:pPr>
        <w:spacing w:after="0" w:line="240" w:lineRule="auto"/>
        <w:jc w:val="both"/>
        <w:rPr>
          <w:rFonts w:ascii="Times New Roman" w:eastAsia="Times New Roman" w:hAnsi="Times New Roman"/>
          <w:iCs/>
          <w:sz w:val="28"/>
          <w:szCs w:val="28"/>
          <w:lang w:eastAsia="lv-LV"/>
        </w:rPr>
      </w:pPr>
      <w:r w:rsidRPr="00D20D5B">
        <w:rPr>
          <w:rFonts w:ascii="Times New Roman" w:eastAsia="Times New Roman" w:hAnsi="Times New Roman"/>
          <w:iCs/>
          <w:sz w:val="28"/>
          <w:szCs w:val="28"/>
          <w:lang w:eastAsia="lv-LV"/>
        </w:rPr>
        <w:t>valsts sekretāra pienākumu izpildītāja</w:t>
      </w:r>
      <w:r w:rsidRPr="00D20D5B">
        <w:rPr>
          <w:rFonts w:ascii="Times New Roman" w:eastAsia="Times New Roman" w:hAnsi="Times New Roman"/>
          <w:iCs/>
          <w:sz w:val="28"/>
          <w:szCs w:val="28"/>
          <w:lang w:eastAsia="lv-LV"/>
        </w:rPr>
        <w:tab/>
      </w:r>
      <w:r w:rsidRPr="00D20D5B">
        <w:rPr>
          <w:rFonts w:ascii="Times New Roman" w:eastAsia="Times New Roman" w:hAnsi="Times New Roman"/>
          <w:iCs/>
          <w:sz w:val="28"/>
          <w:szCs w:val="28"/>
          <w:lang w:eastAsia="lv-LV"/>
        </w:rPr>
        <w:tab/>
      </w:r>
      <w:r w:rsidRPr="00D20D5B">
        <w:rPr>
          <w:rFonts w:ascii="Times New Roman" w:eastAsia="Times New Roman" w:hAnsi="Times New Roman"/>
          <w:iCs/>
          <w:sz w:val="28"/>
          <w:szCs w:val="28"/>
          <w:lang w:eastAsia="lv-LV"/>
        </w:rPr>
        <w:tab/>
      </w:r>
      <w:r w:rsidRPr="00D20D5B">
        <w:rPr>
          <w:rFonts w:ascii="Times New Roman" w:eastAsia="Times New Roman" w:hAnsi="Times New Roman"/>
          <w:iCs/>
          <w:sz w:val="28"/>
          <w:szCs w:val="28"/>
          <w:lang w:eastAsia="lv-LV"/>
        </w:rPr>
        <w:tab/>
      </w:r>
      <w:proofErr w:type="spellStart"/>
      <w:r w:rsidRPr="00D20D5B">
        <w:rPr>
          <w:rFonts w:ascii="Times New Roman" w:eastAsia="Times New Roman" w:hAnsi="Times New Roman"/>
          <w:iCs/>
          <w:sz w:val="28"/>
          <w:szCs w:val="28"/>
          <w:lang w:eastAsia="lv-LV"/>
        </w:rPr>
        <w:t>E.Papule</w:t>
      </w:r>
      <w:proofErr w:type="spellEnd"/>
    </w:p>
    <w:p w:rsidR="005D44B3" w:rsidRPr="00A573D7" w:rsidRDefault="005D44B3" w:rsidP="005D44B3">
      <w:pPr>
        <w:ind w:left="709"/>
        <w:jc w:val="both"/>
        <w:rPr>
          <w:sz w:val="28"/>
          <w:szCs w:val="28"/>
        </w:rPr>
      </w:pPr>
      <w:r w:rsidRPr="00A573D7">
        <w:rPr>
          <w:sz w:val="28"/>
          <w:szCs w:val="28"/>
        </w:rPr>
        <w:tab/>
      </w:r>
      <w:r w:rsidRPr="00A573D7">
        <w:rPr>
          <w:sz w:val="28"/>
          <w:szCs w:val="28"/>
        </w:rPr>
        <w:tab/>
      </w:r>
      <w:r w:rsidRPr="00A573D7">
        <w:rPr>
          <w:sz w:val="28"/>
          <w:szCs w:val="28"/>
        </w:rPr>
        <w:tab/>
      </w:r>
      <w:r w:rsidRPr="00A573D7">
        <w:rPr>
          <w:sz w:val="28"/>
          <w:szCs w:val="28"/>
        </w:rPr>
        <w:tab/>
      </w:r>
    </w:p>
    <w:p w:rsidR="005D44B3" w:rsidRDefault="005D44B3" w:rsidP="005D44B3">
      <w:pPr>
        <w:ind w:firstLine="720"/>
        <w:jc w:val="center"/>
        <w:rPr>
          <w:sz w:val="20"/>
          <w:szCs w:val="20"/>
        </w:rPr>
      </w:pPr>
    </w:p>
    <w:p w:rsidR="005D44B3" w:rsidRPr="00B2710E" w:rsidRDefault="00332CFB" w:rsidP="00B2710E">
      <w:pPr>
        <w:spacing w:after="0" w:line="240" w:lineRule="auto"/>
        <w:jc w:val="both"/>
        <w:rPr>
          <w:rFonts w:ascii="Times New Roman" w:hAnsi="Times New Roman"/>
          <w:sz w:val="20"/>
          <w:szCs w:val="20"/>
        </w:rPr>
      </w:pPr>
      <w:r>
        <w:rPr>
          <w:rFonts w:ascii="Times New Roman" w:hAnsi="Times New Roman"/>
          <w:sz w:val="20"/>
          <w:szCs w:val="20"/>
        </w:rPr>
        <w:t>05</w:t>
      </w:r>
      <w:r w:rsidR="005D44B3" w:rsidRPr="00B2710E">
        <w:rPr>
          <w:rFonts w:ascii="Times New Roman" w:hAnsi="Times New Roman"/>
          <w:sz w:val="20"/>
          <w:szCs w:val="20"/>
        </w:rPr>
        <w:t>.</w:t>
      </w:r>
      <w:r>
        <w:rPr>
          <w:rFonts w:ascii="Times New Roman" w:hAnsi="Times New Roman"/>
          <w:sz w:val="20"/>
          <w:szCs w:val="20"/>
        </w:rPr>
        <w:t>05</w:t>
      </w:r>
      <w:r w:rsidR="005D44B3" w:rsidRPr="00B2710E">
        <w:rPr>
          <w:rFonts w:ascii="Times New Roman" w:hAnsi="Times New Roman"/>
          <w:sz w:val="20"/>
          <w:szCs w:val="20"/>
        </w:rPr>
        <w:t>.</w:t>
      </w:r>
      <w:r w:rsidR="000E72FA" w:rsidRPr="00B2710E">
        <w:rPr>
          <w:rFonts w:ascii="Times New Roman" w:hAnsi="Times New Roman"/>
          <w:sz w:val="20"/>
          <w:szCs w:val="20"/>
        </w:rPr>
        <w:t>201</w:t>
      </w:r>
      <w:r w:rsidR="000E72FA">
        <w:rPr>
          <w:rFonts w:ascii="Times New Roman" w:hAnsi="Times New Roman"/>
          <w:sz w:val="20"/>
          <w:szCs w:val="20"/>
        </w:rPr>
        <w:t>5</w:t>
      </w:r>
      <w:r w:rsidR="005D44B3" w:rsidRPr="00B2710E">
        <w:rPr>
          <w:rFonts w:ascii="Times New Roman" w:hAnsi="Times New Roman"/>
          <w:sz w:val="20"/>
          <w:szCs w:val="20"/>
        </w:rPr>
        <w:t xml:space="preserve">. </w:t>
      </w:r>
      <w:r w:rsidR="00271885">
        <w:rPr>
          <w:rFonts w:ascii="Times New Roman" w:hAnsi="Times New Roman"/>
          <w:sz w:val="20"/>
          <w:szCs w:val="20"/>
        </w:rPr>
        <w:t>14:08</w:t>
      </w:r>
      <w:bookmarkStart w:id="2" w:name="_GoBack"/>
      <w:bookmarkEnd w:id="2"/>
    </w:p>
    <w:p w:rsidR="005D44B3" w:rsidRPr="00B2710E" w:rsidRDefault="00505F56" w:rsidP="00B2710E">
      <w:pPr>
        <w:spacing w:after="0" w:line="240" w:lineRule="auto"/>
        <w:jc w:val="both"/>
        <w:rPr>
          <w:rFonts w:ascii="Times New Roman" w:hAnsi="Times New Roman"/>
          <w:sz w:val="20"/>
          <w:szCs w:val="20"/>
        </w:rPr>
      </w:pPr>
      <w:r>
        <w:rPr>
          <w:rFonts w:ascii="Times New Roman" w:hAnsi="Times New Roman"/>
          <w:sz w:val="20"/>
          <w:szCs w:val="20"/>
        </w:rPr>
        <w:t>1483</w:t>
      </w:r>
    </w:p>
    <w:p w:rsidR="005D44B3" w:rsidRPr="00B2710E" w:rsidRDefault="00027EC8" w:rsidP="00B2710E">
      <w:pPr>
        <w:spacing w:after="0" w:line="240" w:lineRule="auto"/>
        <w:rPr>
          <w:rFonts w:ascii="Times New Roman" w:hAnsi="Times New Roman"/>
          <w:sz w:val="20"/>
          <w:szCs w:val="20"/>
        </w:rPr>
      </w:pPr>
      <w:proofErr w:type="spellStart"/>
      <w:r>
        <w:rPr>
          <w:rFonts w:ascii="Times New Roman" w:hAnsi="Times New Roman"/>
          <w:sz w:val="20"/>
          <w:szCs w:val="20"/>
        </w:rPr>
        <w:t>V.Dadzīte</w:t>
      </w:r>
      <w:proofErr w:type="spellEnd"/>
    </w:p>
    <w:p w:rsidR="0087000B" w:rsidRPr="0006057D" w:rsidRDefault="00027EC8" w:rsidP="007E784A">
      <w:pPr>
        <w:spacing w:after="0" w:line="240" w:lineRule="auto"/>
        <w:rPr>
          <w:rFonts w:ascii="Times New Roman" w:hAnsi="Times New Roman"/>
          <w:sz w:val="28"/>
          <w:szCs w:val="28"/>
        </w:rPr>
      </w:pPr>
      <w:bookmarkStart w:id="3" w:name="OLE_LINK19"/>
      <w:bookmarkStart w:id="4" w:name="OLE_LINK22"/>
      <w:r>
        <w:rPr>
          <w:rFonts w:ascii="Times New Roman" w:hAnsi="Times New Roman"/>
          <w:sz w:val="20"/>
          <w:szCs w:val="20"/>
        </w:rPr>
        <w:t>6704775</w:t>
      </w:r>
      <w:r w:rsidR="005D44B3" w:rsidRPr="00B2710E">
        <w:rPr>
          <w:rFonts w:ascii="Times New Roman" w:hAnsi="Times New Roman"/>
          <w:sz w:val="20"/>
          <w:szCs w:val="20"/>
        </w:rPr>
        <w:t xml:space="preserve">1, </w:t>
      </w:r>
      <w:hyperlink r:id="rId7" w:history="1">
        <w:r w:rsidRPr="006161FF">
          <w:rPr>
            <w:rStyle w:val="Hyperlink"/>
            <w:rFonts w:ascii="Times New Roman" w:hAnsi="Times New Roman"/>
            <w:sz w:val="20"/>
            <w:szCs w:val="20"/>
          </w:rPr>
          <w:t>velga.dadzite@izm.gov.lv</w:t>
        </w:r>
      </w:hyperlink>
      <w:bookmarkEnd w:id="3"/>
      <w:bookmarkEnd w:id="4"/>
    </w:p>
    <w:sectPr w:rsidR="0087000B" w:rsidRPr="0006057D" w:rsidSect="00F71B7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FE" w:rsidRDefault="00E513FE" w:rsidP="007563C2">
      <w:pPr>
        <w:spacing w:after="0" w:line="240" w:lineRule="auto"/>
      </w:pPr>
      <w:r>
        <w:separator/>
      </w:r>
    </w:p>
  </w:endnote>
  <w:endnote w:type="continuationSeparator" w:id="0">
    <w:p w:rsidR="00E513FE" w:rsidRDefault="00E513FE" w:rsidP="0075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C8" w:rsidRPr="00027EC8" w:rsidRDefault="00027EC8" w:rsidP="00027EC8">
    <w:pPr>
      <w:spacing w:after="0" w:line="240" w:lineRule="auto"/>
      <w:jc w:val="both"/>
      <w:rPr>
        <w:rFonts w:ascii="Times New Roman" w:eastAsia="Times New Roman" w:hAnsi="Times New Roman"/>
        <w:sz w:val="20"/>
        <w:szCs w:val="20"/>
        <w:lang w:eastAsia="lv-LV"/>
      </w:rPr>
    </w:pPr>
    <w:r w:rsidRPr="0006057D">
      <w:rPr>
        <w:rFonts w:ascii="Times New Roman" w:hAnsi="Times New Roman"/>
        <w:sz w:val="20"/>
        <w:szCs w:val="20"/>
      </w:rPr>
      <w:t>IZMAnot_</w:t>
    </w:r>
    <w:r w:rsidR="00277FE8">
      <w:rPr>
        <w:rFonts w:ascii="Times New Roman" w:hAnsi="Times New Roman"/>
        <w:sz w:val="20"/>
        <w:szCs w:val="20"/>
      </w:rPr>
      <w:t>0505</w:t>
    </w:r>
    <w:r>
      <w:rPr>
        <w:rFonts w:ascii="Times New Roman" w:hAnsi="Times New Roman"/>
        <w:sz w:val="20"/>
        <w:szCs w:val="20"/>
      </w:rPr>
      <w:t>15</w:t>
    </w:r>
    <w:r w:rsidRPr="0006057D">
      <w:rPr>
        <w:rFonts w:ascii="Times New Roman" w:hAnsi="Times New Roman"/>
        <w:sz w:val="20"/>
        <w:szCs w:val="20"/>
      </w:rPr>
      <w:t>_groz</w:t>
    </w:r>
    <w:r>
      <w:rPr>
        <w:rFonts w:ascii="Times New Roman" w:hAnsi="Times New Roman"/>
        <w:sz w:val="20"/>
        <w:szCs w:val="20"/>
      </w:rPr>
      <w:t>3111</w:t>
    </w:r>
    <w:r w:rsidRPr="0006057D">
      <w:rPr>
        <w:rFonts w:ascii="Times New Roman" w:hAnsi="Times New Roman"/>
        <w:sz w:val="20"/>
        <w:szCs w:val="20"/>
      </w:rPr>
      <w:t>; Minist</w:t>
    </w:r>
    <w:r>
      <w:rPr>
        <w:rFonts w:ascii="Times New Roman" w:hAnsi="Times New Roman"/>
        <w:sz w:val="20"/>
        <w:szCs w:val="20"/>
      </w:rPr>
      <w:t>ru kabineta noteikumu projekta “</w:t>
    </w:r>
    <w:r w:rsidRPr="00027EC8">
      <w:rPr>
        <w:rFonts w:ascii="Times New Roman" w:eastAsia="Times New Roman" w:hAnsi="Times New Roman"/>
        <w:sz w:val="20"/>
        <w:szCs w:val="20"/>
        <w:lang w:eastAsia="lv-LV"/>
      </w:rPr>
      <w:t>Grozījums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w:t>
    </w:r>
    <w:r>
      <w:rPr>
        <w:rFonts w:ascii="Times New Roman" w:eastAsia="Times New Roman" w:hAnsi="Times New Roman"/>
        <w:sz w:val="20"/>
        <w:szCs w:val="20"/>
        <w:lang w:eastAsia="lv-LV"/>
      </w:rPr>
      <w:t>egumu atlases kārtas īstenošanu</w:t>
    </w:r>
    <w:r>
      <w:rPr>
        <w:rFonts w:ascii="Times New Roman" w:hAnsi="Times New Roman"/>
        <w:sz w:val="20"/>
        <w:szCs w:val="20"/>
      </w:rPr>
      <w:t>”</w:t>
    </w:r>
    <w:r w:rsidRPr="0006057D">
      <w:rPr>
        <w:rFonts w:ascii="Times New Roman" w:hAnsi="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E0" w:rsidRPr="00027EC8" w:rsidRDefault="00DE60E0" w:rsidP="00027EC8">
    <w:pPr>
      <w:spacing w:after="0" w:line="240" w:lineRule="auto"/>
      <w:jc w:val="both"/>
      <w:rPr>
        <w:rFonts w:ascii="Times New Roman" w:eastAsia="Times New Roman" w:hAnsi="Times New Roman"/>
        <w:sz w:val="20"/>
        <w:szCs w:val="20"/>
        <w:lang w:eastAsia="lv-LV"/>
      </w:rPr>
    </w:pPr>
    <w:r w:rsidRPr="0006057D">
      <w:rPr>
        <w:rFonts w:ascii="Times New Roman" w:hAnsi="Times New Roman"/>
        <w:sz w:val="20"/>
        <w:szCs w:val="20"/>
      </w:rPr>
      <w:t>IZMAnot_</w:t>
    </w:r>
    <w:r w:rsidR="004445CA">
      <w:rPr>
        <w:rFonts w:ascii="Times New Roman" w:hAnsi="Times New Roman"/>
        <w:sz w:val="20"/>
        <w:szCs w:val="20"/>
      </w:rPr>
      <w:t>0505</w:t>
    </w:r>
    <w:r>
      <w:rPr>
        <w:rFonts w:ascii="Times New Roman" w:hAnsi="Times New Roman"/>
        <w:sz w:val="20"/>
        <w:szCs w:val="20"/>
      </w:rPr>
      <w:t>15</w:t>
    </w:r>
    <w:r w:rsidRPr="0006057D">
      <w:rPr>
        <w:rFonts w:ascii="Times New Roman" w:hAnsi="Times New Roman"/>
        <w:sz w:val="20"/>
        <w:szCs w:val="20"/>
      </w:rPr>
      <w:t>_groz</w:t>
    </w:r>
    <w:r w:rsidR="00027EC8">
      <w:rPr>
        <w:rFonts w:ascii="Times New Roman" w:hAnsi="Times New Roman"/>
        <w:sz w:val="20"/>
        <w:szCs w:val="20"/>
      </w:rPr>
      <w:t>3111</w:t>
    </w:r>
    <w:r w:rsidRPr="0006057D">
      <w:rPr>
        <w:rFonts w:ascii="Times New Roman" w:hAnsi="Times New Roman"/>
        <w:sz w:val="20"/>
        <w:szCs w:val="20"/>
      </w:rPr>
      <w:t>; Minist</w:t>
    </w:r>
    <w:r w:rsidR="00027EC8">
      <w:rPr>
        <w:rFonts w:ascii="Times New Roman" w:hAnsi="Times New Roman"/>
        <w:sz w:val="20"/>
        <w:szCs w:val="20"/>
      </w:rPr>
      <w:t>ru kabineta noteikumu projekta “</w:t>
    </w:r>
    <w:r w:rsidR="00027EC8" w:rsidRPr="00027EC8">
      <w:rPr>
        <w:rFonts w:ascii="Times New Roman" w:eastAsia="Times New Roman" w:hAnsi="Times New Roman"/>
        <w:sz w:val="20"/>
        <w:szCs w:val="20"/>
        <w:lang w:eastAsia="lv-LV"/>
      </w:rPr>
      <w:t>Grozījums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w:t>
    </w:r>
    <w:r w:rsidR="00027EC8">
      <w:rPr>
        <w:rFonts w:ascii="Times New Roman" w:eastAsia="Times New Roman" w:hAnsi="Times New Roman"/>
        <w:sz w:val="20"/>
        <w:szCs w:val="20"/>
        <w:lang w:eastAsia="lv-LV"/>
      </w:rPr>
      <w:t>egumu atlases kārtas īstenošanu</w:t>
    </w:r>
    <w:r w:rsidR="00027EC8">
      <w:rPr>
        <w:rFonts w:ascii="Times New Roman" w:hAnsi="Times New Roman"/>
        <w:sz w:val="20"/>
        <w:szCs w:val="20"/>
      </w:rPr>
      <w:t>”</w:t>
    </w:r>
    <w:r w:rsidRPr="0006057D">
      <w:rPr>
        <w:rFonts w:ascii="Times New Roman" w:hAnsi="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FE" w:rsidRDefault="00E513FE" w:rsidP="007563C2">
      <w:pPr>
        <w:spacing w:after="0" w:line="240" w:lineRule="auto"/>
      </w:pPr>
      <w:r>
        <w:separator/>
      </w:r>
    </w:p>
  </w:footnote>
  <w:footnote w:type="continuationSeparator" w:id="0">
    <w:p w:rsidR="00E513FE" w:rsidRDefault="00E513FE" w:rsidP="00756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E0" w:rsidRPr="00027EC8" w:rsidRDefault="00152C11">
    <w:pPr>
      <w:pStyle w:val="Header"/>
      <w:jc w:val="center"/>
      <w:rPr>
        <w:rFonts w:ascii="Times New Roman" w:hAnsi="Times New Roman"/>
      </w:rPr>
    </w:pPr>
    <w:r w:rsidRPr="00027EC8">
      <w:rPr>
        <w:rFonts w:ascii="Times New Roman" w:hAnsi="Times New Roman"/>
      </w:rPr>
      <w:fldChar w:fldCharType="begin"/>
    </w:r>
    <w:r w:rsidRPr="00027EC8">
      <w:rPr>
        <w:rFonts w:ascii="Times New Roman" w:hAnsi="Times New Roman"/>
      </w:rPr>
      <w:instrText xml:space="preserve"> PAGE   \* MERGEFORMAT </w:instrText>
    </w:r>
    <w:r w:rsidRPr="00027EC8">
      <w:rPr>
        <w:rFonts w:ascii="Times New Roman" w:hAnsi="Times New Roman"/>
      </w:rPr>
      <w:fldChar w:fldCharType="separate"/>
    </w:r>
    <w:r w:rsidR="00271885">
      <w:rPr>
        <w:rFonts w:ascii="Times New Roman" w:hAnsi="Times New Roman"/>
        <w:noProof/>
      </w:rPr>
      <w:t>7</w:t>
    </w:r>
    <w:r w:rsidRPr="00027EC8">
      <w:rPr>
        <w:rFonts w:ascii="Times New Roman" w:hAnsi="Times New Roman"/>
        <w:noProof/>
      </w:rPr>
      <w:fldChar w:fldCharType="end"/>
    </w:r>
  </w:p>
  <w:p w:rsidR="00DE60E0" w:rsidRDefault="00DE6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1A2E"/>
    <w:multiLevelType w:val="hybridMultilevel"/>
    <w:tmpl w:val="C77ED804"/>
    <w:lvl w:ilvl="0" w:tplc="8E166128">
      <w:start w:val="1"/>
      <w:numFmt w:val="decimal"/>
      <w:lvlText w:val="%1."/>
      <w:lvlJc w:val="left"/>
      <w:pPr>
        <w:ind w:left="974" w:hanging="690"/>
      </w:pPr>
      <w:rPr>
        <w:rFonts w:ascii="Times" w:eastAsia="Times New Roman" w:hAnsi="Times"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08336BB"/>
    <w:multiLevelType w:val="hybridMultilevel"/>
    <w:tmpl w:val="DDA6AB0A"/>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
    <w:nsid w:val="25C415F6"/>
    <w:multiLevelType w:val="hybridMultilevel"/>
    <w:tmpl w:val="51CC8A54"/>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3">
    <w:nsid w:val="2A441AB7"/>
    <w:multiLevelType w:val="hybridMultilevel"/>
    <w:tmpl w:val="235CC3DC"/>
    <w:lvl w:ilvl="0" w:tplc="826843D6">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nsid w:val="5B5043C8"/>
    <w:multiLevelType w:val="hybridMultilevel"/>
    <w:tmpl w:val="AF84F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F2350E8"/>
    <w:multiLevelType w:val="hybridMultilevel"/>
    <w:tmpl w:val="17CC4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C2"/>
    <w:rsid w:val="00003A62"/>
    <w:rsid w:val="00004EAD"/>
    <w:rsid w:val="000254AE"/>
    <w:rsid w:val="000264B7"/>
    <w:rsid w:val="00027EC8"/>
    <w:rsid w:val="000438BC"/>
    <w:rsid w:val="0004518E"/>
    <w:rsid w:val="0006057D"/>
    <w:rsid w:val="00060F5A"/>
    <w:rsid w:val="00070F88"/>
    <w:rsid w:val="000730CD"/>
    <w:rsid w:val="00077B19"/>
    <w:rsid w:val="0008333C"/>
    <w:rsid w:val="00087414"/>
    <w:rsid w:val="00091372"/>
    <w:rsid w:val="00095939"/>
    <w:rsid w:val="000C1A81"/>
    <w:rsid w:val="000D0D63"/>
    <w:rsid w:val="000E443E"/>
    <w:rsid w:val="000E72FA"/>
    <w:rsid w:val="00112547"/>
    <w:rsid w:val="00142331"/>
    <w:rsid w:val="00151305"/>
    <w:rsid w:val="00152C11"/>
    <w:rsid w:val="00164942"/>
    <w:rsid w:val="00167488"/>
    <w:rsid w:val="00170A5D"/>
    <w:rsid w:val="001752B7"/>
    <w:rsid w:val="00183E28"/>
    <w:rsid w:val="0018683B"/>
    <w:rsid w:val="001A0CA6"/>
    <w:rsid w:val="001A3D54"/>
    <w:rsid w:val="001C427B"/>
    <w:rsid w:val="001C4F34"/>
    <w:rsid w:val="001D40C8"/>
    <w:rsid w:val="001E3604"/>
    <w:rsid w:val="001E777B"/>
    <w:rsid w:val="001F442C"/>
    <w:rsid w:val="00206A4D"/>
    <w:rsid w:val="002120E3"/>
    <w:rsid w:val="00221B32"/>
    <w:rsid w:val="00237641"/>
    <w:rsid w:val="00240CAD"/>
    <w:rsid w:val="0024584A"/>
    <w:rsid w:val="00245A2A"/>
    <w:rsid w:val="002535EA"/>
    <w:rsid w:val="00270659"/>
    <w:rsid w:val="00271885"/>
    <w:rsid w:val="00275D24"/>
    <w:rsid w:val="00277FE8"/>
    <w:rsid w:val="002914E9"/>
    <w:rsid w:val="002B1868"/>
    <w:rsid w:val="002B22A4"/>
    <w:rsid w:val="002C6AD2"/>
    <w:rsid w:val="002D1959"/>
    <w:rsid w:val="002F4E4D"/>
    <w:rsid w:val="003039BE"/>
    <w:rsid w:val="0030457D"/>
    <w:rsid w:val="00331BD7"/>
    <w:rsid w:val="00332ADC"/>
    <w:rsid w:val="00332CFB"/>
    <w:rsid w:val="0038687E"/>
    <w:rsid w:val="003A5FEA"/>
    <w:rsid w:val="003B1B82"/>
    <w:rsid w:val="003B209F"/>
    <w:rsid w:val="003C016A"/>
    <w:rsid w:val="003C3933"/>
    <w:rsid w:val="003C56E6"/>
    <w:rsid w:val="003C7BA6"/>
    <w:rsid w:val="003F5215"/>
    <w:rsid w:val="00407061"/>
    <w:rsid w:val="00416073"/>
    <w:rsid w:val="00416CB7"/>
    <w:rsid w:val="004268D3"/>
    <w:rsid w:val="00434D8D"/>
    <w:rsid w:val="004445CA"/>
    <w:rsid w:val="004605A9"/>
    <w:rsid w:val="00471CC5"/>
    <w:rsid w:val="0048040F"/>
    <w:rsid w:val="004862E3"/>
    <w:rsid w:val="00486844"/>
    <w:rsid w:val="00490EDC"/>
    <w:rsid w:val="00494D0F"/>
    <w:rsid w:val="00495B39"/>
    <w:rsid w:val="00497304"/>
    <w:rsid w:val="004A697A"/>
    <w:rsid w:val="004B0500"/>
    <w:rsid w:val="004B099B"/>
    <w:rsid w:val="004B0AC1"/>
    <w:rsid w:val="004C5A4B"/>
    <w:rsid w:val="004D47F3"/>
    <w:rsid w:val="004F7865"/>
    <w:rsid w:val="00505F56"/>
    <w:rsid w:val="00506C67"/>
    <w:rsid w:val="00507B93"/>
    <w:rsid w:val="0054004B"/>
    <w:rsid w:val="00542F65"/>
    <w:rsid w:val="00550EC9"/>
    <w:rsid w:val="00595A89"/>
    <w:rsid w:val="005D231A"/>
    <w:rsid w:val="005D44B3"/>
    <w:rsid w:val="005D517A"/>
    <w:rsid w:val="005E2075"/>
    <w:rsid w:val="005E2907"/>
    <w:rsid w:val="005F7A65"/>
    <w:rsid w:val="00600E31"/>
    <w:rsid w:val="00607F67"/>
    <w:rsid w:val="006200F9"/>
    <w:rsid w:val="00631FC5"/>
    <w:rsid w:val="006322C0"/>
    <w:rsid w:val="00634BFA"/>
    <w:rsid w:val="00640354"/>
    <w:rsid w:val="00642681"/>
    <w:rsid w:val="00644639"/>
    <w:rsid w:val="00685A26"/>
    <w:rsid w:val="00693A22"/>
    <w:rsid w:val="006B6146"/>
    <w:rsid w:val="006B7212"/>
    <w:rsid w:val="006D5CC8"/>
    <w:rsid w:val="006D5D0A"/>
    <w:rsid w:val="006E5440"/>
    <w:rsid w:val="006F0770"/>
    <w:rsid w:val="00716502"/>
    <w:rsid w:val="00737BFA"/>
    <w:rsid w:val="00740ABC"/>
    <w:rsid w:val="0075386B"/>
    <w:rsid w:val="007563C2"/>
    <w:rsid w:val="0077514F"/>
    <w:rsid w:val="00776BCA"/>
    <w:rsid w:val="0079138B"/>
    <w:rsid w:val="007B0DBD"/>
    <w:rsid w:val="007E784A"/>
    <w:rsid w:val="007F01D6"/>
    <w:rsid w:val="007F41B3"/>
    <w:rsid w:val="00806DE2"/>
    <w:rsid w:val="008157CE"/>
    <w:rsid w:val="00821E7F"/>
    <w:rsid w:val="008260DD"/>
    <w:rsid w:val="00827F92"/>
    <w:rsid w:val="00850B92"/>
    <w:rsid w:val="00851EA9"/>
    <w:rsid w:val="0087000B"/>
    <w:rsid w:val="00882736"/>
    <w:rsid w:val="00892AE6"/>
    <w:rsid w:val="008931CB"/>
    <w:rsid w:val="008B479C"/>
    <w:rsid w:val="008D08CA"/>
    <w:rsid w:val="008D1B82"/>
    <w:rsid w:val="008D6F8C"/>
    <w:rsid w:val="008E2EBE"/>
    <w:rsid w:val="008E79DD"/>
    <w:rsid w:val="009000DF"/>
    <w:rsid w:val="0090197C"/>
    <w:rsid w:val="00905182"/>
    <w:rsid w:val="009158A0"/>
    <w:rsid w:val="00916D47"/>
    <w:rsid w:val="00920CA4"/>
    <w:rsid w:val="00937669"/>
    <w:rsid w:val="0094380B"/>
    <w:rsid w:val="009440A1"/>
    <w:rsid w:val="0097515E"/>
    <w:rsid w:val="00976F89"/>
    <w:rsid w:val="00977139"/>
    <w:rsid w:val="009834F0"/>
    <w:rsid w:val="00986B45"/>
    <w:rsid w:val="009908BE"/>
    <w:rsid w:val="009B32BC"/>
    <w:rsid w:val="009B40D5"/>
    <w:rsid w:val="009C2605"/>
    <w:rsid w:val="009C3D6D"/>
    <w:rsid w:val="009E35FB"/>
    <w:rsid w:val="009E5157"/>
    <w:rsid w:val="009F575A"/>
    <w:rsid w:val="00A274B2"/>
    <w:rsid w:val="00A3410C"/>
    <w:rsid w:val="00A5379D"/>
    <w:rsid w:val="00A548BE"/>
    <w:rsid w:val="00A64BD7"/>
    <w:rsid w:val="00A71AAA"/>
    <w:rsid w:val="00AB739C"/>
    <w:rsid w:val="00AC524F"/>
    <w:rsid w:val="00AD4572"/>
    <w:rsid w:val="00AE0DA1"/>
    <w:rsid w:val="00AE2C73"/>
    <w:rsid w:val="00AE7A92"/>
    <w:rsid w:val="00AF7B53"/>
    <w:rsid w:val="00B0326C"/>
    <w:rsid w:val="00B06939"/>
    <w:rsid w:val="00B2710E"/>
    <w:rsid w:val="00B37458"/>
    <w:rsid w:val="00B41966"/>
    <w:rsid w:val="00B42102"/>
    <w:rsid w:val="00B45A1C"/>
    <w:rsid w:val="00B57781"/>
    <w:rsid w:val="00B90F68"/>
    <w:rsid w:val="00B96153"/>
    <w:rsid w:val="00BB383F"/>
    <w:rsid w:val="00BB3B05"/>
    <w:rsid w:val="00BC4584"/>
    <w:rsid w:val="00BD1681"/>
    <w:rsid w:val="00BD4882"/>
    <w:rsid w:val="00BE4C64"/>
    <w:rsid w:val="00BF684D"/>
    <w:rsid w:val="00C41FF6"/>
    <w:rsid w:val="00C61DC7"/>
    <w:rsid w:val="00C6273D"/>
    <w:rsid w:val="00C76FAF"/>
    <w:rsid w:val="00C77237"/>
    <w:rsid w:val="00C91688"/>
    <w:rsid w:val="00CB4576"/>
    <w:rsid w:val="00CB7704"/>
    <w:rsid w:val="00CB7F99"/>
    <w:rsid w:val="00CC24F9"/>
    <w:rsid w:val="00CC466E"/>
    <w:rsid w:val="00CC4854"/>
    <w:rsid w:val="00CC7BA1"/>
    <w:rsid w:val="00CD56A7"/>
    <w:rsid w:val="00D01DBA"/>
    <w:rsid w:val="00D05809"/>
    <w:rsid w:val="00D060C6"/>
    <w:rsid w:val="00D20D5B"/>
    <w:rsid w:val="00D404DA"/>
    <w:rsid w:val="00D65BF0"/>
    <w:rsid w:val="00D7660F"/>
    <w:rsid w:val="00D81744"/>
    <w:rsid w:val="00D83E6F"/>
    <w:rsid w:val="00D92B68"/>
    <w:rsid w:val="00D94276"/>
    <w:rsid w:val="00DC5102"/>
    <w:rsid w:val="00DD06F3"/>
    <w:rsid w:val="00DD7F55"/>
    <w:rsid w:val="00DE07C0"/>
    <w:rsid w:val="00DE48E5"/>
    <w:rsid w:val="00DE60E0"/>
    <w:rsid w:val="00E04383"/>
    <w:rsid w:val="00E164DF"/>
    <w:rsid w:val="00E20017"/>
    <w:rsid w:val="00E23022"/>
    <w:rsid w:val="00E25573"/>
    <w:rsid w:val="00E26B1A"/>
    <w:rsid w:val="00E4253B"/>
    <w:rsid w:val="00E513FE"/>
    <w:rsid w:val="00E530E4"/>
    <w:rsid w:val="00E60C9B"/>
    <w:rsid w:val="00E71F0C"/>
    <w:rsid w:val="00E773A4"/>
    <w:rsid w:val="00E91A75"/>
    <w:rsid w:val="00E96BE2"/>
    <w:rsid w:val="00EB185D"/>
    <w:rsid w:val="00EB6EB7"/>
    <w:rsid w:val="00EC19D2"/>
    <w:rsid w:val="00EC310C"/>
    <w:rsid w:val="00EC75C4"/>
    <w:rsid w:val="00ED66D9"/>
    <w:rsid w:val="00EE465D"/>
    <w:rsid w:val="00F33F50"/>
    <w:rsid w:val="00F47824"/>
    <w:rsid w:val="00F70443"/>
    <w:rsid w:val="00F71B7A"/>
    <w:rsid w:val="00F829CC"/>
    <w:rsid w:val="00F8302D"/>
    <w:rsid w:val="00F84B70"/>
    <w:rsid w:val="00FA7FDE"/>
    <w:rsid w:val="00FF2517"/>
    <w:rsid w:val="00FF501E"/>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B8661-DDDA-49E9-A043-2872FE94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C2"/>
    <w:pPr>
      <w:spacing w:after="200" w:line="276" w:lineRule="auto"/>
    </w:pPr>
    <w:rPr>
      <w:sz w:val="22"/>
      <w:szCs w:val="22"/>
      <w:lang w:eastAsia="en-US"/>
    </w:rPr>
  </w:style>
  <w:style w:type="paragraph" w:styleId="Heading4">
    <w:name w:val="heading 4"/>
    <w:basedOn w:val="Normal"/>
    <w:link w:val="Heading4Char"/>
    <w:uiPriority w:val="9"/>
    <w:qFormat/>
    <w:rsid w:val="00AE2C73"/>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3C2"/>
    <w:pPr>
      <w:tabs>
        <w:tab w:val="center" w:pos="4153"/>
        <w:tab w:val="right" w:pos="8306"/>
      </w:tabs>
      <w:spacing w:after="0" w:line="240" w:lineRule="auto"/>
    </w:pPr>
  </w:style>
  <w:style w:type="character" w:customStyle="1" w:styleId="HeaderChar">
    <w:name w:val="Header Char"/>
    <w:link w:val="Header"/>
    <w:uiPriority w:val="99"/>
    <w:rsid w:val="007563C2"/>
    <w:rPr>
      <w:rFonts w:ascii="Calibri" w:eastAsia="Calibri" w:hAnsi="Calibri" w:cs="Times New Roman"/>
    </w:rPr>
  </w:style>
  <w:style w:type="paragraph" w:styleId="ListParagraph">
    <w:name w:val="List Paragraph"/>
    <w:basedOn w:val="Normal"/>
    <w:uiPriority w:val="34"/>
    <w:qFormat/>
    <w:rsid w:val="007563C2"/>
    <w:pPr>
      <w:ind w:left="720"/>
      <w:contextualSpacing/>
    </w:pPr>
  </w:style>
  <w:style w:type="paragraph" w:styleId="Footer">
    <w:name w:val="footer"/>
    <w:basedOn w:val="Normal"/>
    <w:link w:val="FooterChar"/>
    <w:uiPriority w:val="99"/>
    <w:unhideWhenUsed/>
    <w:rsid w:val="007563C2"/>
    <w:pPr>
      <w:tabs>
        <w:tab w:val="center" w:pos="4153"/>
        <w:tab w:val="right" w:pos="8306"/>
      </w:tabs>
      <w:spacing w:after="0" w:line="240" w:lineRule="auto"/>
    </w:pPr>
  </w:style>
  <w:style w:type="character" w:customStyle="1" w:styleId="FooterChar">
    <w:name w:val="Footer Char"/>
    <w:link w:val="Footer"/>
    <w:uiPriority w:val="99"/>
    <w:rsid w:val="007563C2"/>
    <w:rPr>
      <w:rFonts w:ascii="Calibri" w:eastAsia="Calibri" w:hAnsi="Calibri" w:cs="Times New Roman"/>
    </w:rPr>
  </w:style>
  <w:style w:type="character" w:styleId="Hyperlink">
    <w:name w:val="Hyperlink"/>
    <w:rsid w:val="005D44B3"/>
    <w:rPr>
      <w:rFonts w:cs="Times New Roman"/>
      <w:color w:val="0000FF"/>
      <w:u w:val="single"/>
    </w:rPr>
  </w:style>
  <w:style w:type="character" w:customStyle="1" w:styleId="Heading4Char">
    <w:name w:val="Heading 4 Char"/>
    <w:basedOn w:val="DefaultParagraphFont"/>
    <w:link w:val="Heading4"/>
    <w:uiPriority w:val="9"/>
    <w:rsid w:val="00AE2C73"/>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245A2A"/>
    <w:rPr>
      <w:sz w:val="16"/>
      <w:szCs w:val="16"/>
    </w:rPr>
  </w:style>
  <w:style w:type="paragraph" w:styleId="CommentText">
    <w:name w:val="annotation text"/>
    <w:basedOn w:val="Normal"/>
    <w:link w:val="CommentTextChar"/>
    <w:uiPriority w:val="99"/>
    <w:semiHidden/>
    <w:unhideWhenUsed/>
    <w:rsid w:val="00245A2A"/>
    <w:pPr>
      <w:spacing w:line="240" w:lineRule="auto"/>
    </w:pPr>
    <w:rPr>
      <w:sz w:val="20"/>
      <w:szCs w:val="20"/>
    </w:rPr>
  </w:style>
  <w:style w:type="character" w:customStyle="1" w:styleId="CommentTextChar">
    <w:name w:val="Comment Text Char"/>
    <w:basedOn w:val="DefaultParagraphFont"/>
    <w:link w:val="CommentText"/>
    <w:uiPriority w:val="99"/>
    <w:semiHidden/>
    <w:rsid w:val="00245A2A"/>
    <w:rPr>
      <w:lang w:eastAsia="en-US"/>
    </w:rPr>
  </w:style>
  <w:style w:type="paragraph" w:styleId="CommentSubject">
    <w:name w:val="annotation subject"/>
    <w:basedOn w:val="CommentText"/>
    <w:next w:val="CommentText"/>
    <w:link w:val="CommentSubjectChar"/>
    <w:uiPriority w:val="99"/>
    <w:semiHidden/>
    <w:unhideWhenUsed/>
    <w:rsid w:val="00245A2A"/>
    <w:rPr>
      <w:b/>
      <w:bCs/>
    </w:rPr>
  </w:style>
  <w:style w:type="character" w:customStyle="1" w:styleId="CommentSubjectChar">
    <w:name w:val="Comment Subject Char"/>
    <w:basedOn w:val="CommentTextChar"/>
    <w:link w:val="CommentSubject"/>
    <w:uiPriority w:val="99"/>
    <w:semiHidden/>
    <w:rsid w:val="00245A2A"/>
    <w:rPr>
      <w:b/>
      <w:bCs/>
      <w:lang w:eastAsia="en-US"/>
    </w:rPr>
  </w:style>
  <w:style w:type="paragraph" w:styleId="BalloonText">
    <w:name w:val="Balloon Text"/>
    <w:basedOn w:val="Normal"/>
    <w:link w:val="BalloonTextChar"/>
    <w:uiPriority w:val="99"/>
    <w:semiHidden/>
    <w:unhideWhenUsed/>
    <w:rsid w:val="0024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2A"/>
    <w:rPr>
      <w:rFonts w:ascii="Tahoma" w:hAnsi="Tahoma" w:cs="Tahoma"/>
      <w:sz w:val="16"/>
      <w:szCs w:val="16"/>
      <w:lang w:eastAsia="en-US"/>
    </w:rPr>
  </w:style>
  <w:style w:type="paragraph" w:customStyle="1" w:styleId="Default">
    <w:name w:val="Default"/>
    <w:rsid w:val="001A3D54"/>
    <w:pPr>
      <w:autoSpaceDE w:val="0"/>
      <w:autoSpaceDN w:val="0"/>
      <w:adjustRightInd w:val="0"/>
    </w:pPr>
    <w:rPr>
      <w:rFonts w:ascii="EUAlbertina" w:eastAsiaTheme="minorHAnsi" w:hAnsi="EUAlbertina" w:cs="EUAlbertina"/>
      <w:color w:val="000000"/>
      <w:sz w:val="24"/>
      <w:szCs w:val="24"/>
      <w:lang w:eastAsia="en-US"/>
    </w:rPr>
  </w:style>
  <w:style w:type="paragraph" w:customStyle="1" w:styleId="naisnod">
    <w:name w:val="naisnod"/>
    <w:basedOn w:val="Normal"/>
    <w:rsid w:val="001A3D54"/>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lga.dadzit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7857</Words>
  <Characters>4479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projekts</dc:subject>
  <dc:creator>Velga Dadzīte</dc:creator>
  <dc:description>Velga.Dadzite@izm.gov.lv, 67047751</dc:description>
  <cp:lastModifiedBy>Velga Dadzīte</cp:lastModifiedBy>
  <cp:revision>65</cp:revision>
  <cp:lastPrinted>2014-12-16T14:02:00Z</cp:lastPrinted>
  <dcterms:created xsi:type="dcterms:W3CDTF">2015-04-30T14:05:00Z</dcterms:created>
  <dcterms:modified xsi:type="dcterms:W3CDTF">2015-05-05T11:08:00Z</dcterms:modified>
</cp:coreProperties>
</file>