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74" w:rsidRPr="00027763" w:rsidRDefault="00096630" w:rsidP="00895374">
      <w:pPr>
        <w:spacing w:before="150" w:after="150"/>
        <w:jc w:val="center"/>
        <w:rPr>
          <w:b/>
          <w:bCs/>
        </w:rPr>
      </w:pPr>
      <w:r>
        <w:rPr>
          <w:b/>
          <w:bCs/>
        </w:rPr>
        <w:t>M</w:t>
      </w:r>
      <w:r w:rsidR="00895374">
        <w:rPr>
          <w:b/>
          <w:bCs/>
        </w:rPr>
        <w:t xml:space="preserve">inistru kabineta noteikumu projekta „Grozījumi Ministru kabineta 2009.gada 6.oktobra noteikumos Nr.1151 „Noteikumi par radiofrekvenču spektra joslu sadalījumu radiosakaru veidiem un iedalījumu radiosakaru sistēmām, kā arī par radiofrekvenču spektra joslu izmantošanas vispārīgajiem nosacījumiem (Nacionālais radiofrekvenču plāns)”” </w:t>
      </w:r>
      <w:r w:rsidR="00895374" w:rsidRPr="00027763">
        <w:rPr>
          <w:b/>
          <w:bCs/>
        </w:rPr>
        <w:t>sākotnējās ietekmes novērtējuma ziņojums (anotācija)</w:t>
      </w:r>
    </w:p>
    <w:p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10"/>
        <w:gridCol w:w="2557"/>
        <w:gridCol w:w="6353"/>
      </w:tblGrid>
      <w:tr w:rsidR="00895374" w:rsidRPr="00E030F4" w:rsidTr="00CF7285">
        <w:tc>
          <w:tcPr>
            <w:tcW w:w="5000" w:type="pct"/>
            <w:gridSpan w:val="3"/>
            <w:tcBorders>
              <w:top w:val="single" w:sz="4" w:space="0" w:color="auto"/>
              <w:left w:val="single" w:sz="4" w:space="0" w:color="auto"/>
              <w:bottom w:val="outset" w:sz="6" w:space="0" w:color="000000"/>
              <w:right w:val="single" w:sz="4" w:space="0" w:color="auto"/>
            </w:tcBorders>
          </w:tcPr>
          <w:p w:rsidR="00895374" w:rsidRPr="00E030F4" w:rsidRDefault="00895374" w:rsidP="00CF7285">
            <w:pPr>
              <w:spacing w:before="100" w:beforeAutospacing="1" w:after="100" w:afterAutospacing="1"/>
              <w:jc w:val="center"/>
              <w:rPr>
                <w:b/>
                <w:bCs/>
              </w:rPr>
            </w:pPr>
            <w:r w:rsidRPr="00CE70FA">
              <w:rPr>
                <w:b/>
                <w:bCs/>
              </w:rPr>
              <w:t>I. Tiesību akta projekta izstrādes nepieciešamība</w:t>
            </w:r>
          </w:p>
        </w:tc>
      </w:tr>
      <w:tr w:rsidR="00895374" w:rsidRPr="00E030F4" w:rsidTr="00CF7285">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rsidR="00895374" w:rsidRPr="00F9121C" w:rsidRDefault="00895374" w:rsidP="00CF7285">
            <w:pPr>
              <w:jc w:val="both"/>
            </w:pPr>
            <w:r>
              <w:t>Elektronisko sakaru likuma 49.panta pirmā daļa un 50.pants.</w:t>
            </w:r>
          </w:p>
        </w:tc>
      </w:tr>
      <w:tr w:rsidR="00895374" w:rsidRPr="00096A02" w:rsidTr="00CF7285">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rsidR="00C36202" w:rsidRDefault="00895374" w:rsidP="00CF7285">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rsidR="00C36202" w:rsidRPr="00C36202" w:rsidRDefault="00C36202" w:rsidP="00C36202"/>
          <w:p w:rsidR="00C36202" w:rsidRPr="00C36202" w:rsidRDefault="00C36202" w:rsidP="00C36202"/>
          <w:p w:rsidR="00C36202" w:rsidRPr="00C36202" w:rsidRDefault="00C36202" w:rsidP="00C36202"/>
          <w:p w:rsidR="00C36202" w:rsidRPr="00C36202" w:rsidRDefault="00C36202" w:rsidP="00C36202"/>
          <w:p w:rsidR="00895374" w:rsidRPr="00C36202" w:rsidRDefault="00895374" w:rsidP="00C36202">
            <w:pPr>
              <w:ind w:firstLine="720"/>
            </w:pPr>
          </w:p>
        </w:tc>
        <w:tc>
          <w:tcPr>
            <w:tcW w:w="3372" w:type="pct"/>
            <w:tcBorders>
              <w:top w:val="outset" w:sz="6" w:space="0" w:color="000000"/>
              <w:left w:val="outset" w:sz="6" w:space="0" w:color="000000"/>
              <w:bottom w:val="outset" w:sz="6" w:space="0" w:color="000000"/>
              <w:right w:val="outset" w:sz="6" w:space="0" w:color="000000"/>
            </w:tcBorders>
          </w:tcPr>
          <w:p w:rsidR="00895374" w:rsidRPr="005831CB" w:rsidRDefault="00895374" w:rsidP="00CF7285">
            <w:pPr>
              <w:jc w:val="both"/>
            </w:pPr>
            <w:r>
              <w:t xml:space="preserve">Regulējums, kādā šobrīd noteikts </w:t>
            </w:r>
            <w:r w:rsidRPr="00662FFA">
              <w:t>radiofrekvenču joslu sadalījum</w:t>
            </w:r>
            <w:r>
              <w:t>s</w:t>
            </w:r>
            <w:r w:rsidRPr="00662FFA">
              <w:t xml:space="preserve"> radiosakaru veidiem</w:t>
            </w:r>
            <w:r>
              <w:t xml:space="preserve"> un</w:t>
            </w:r>
            <w:r w:rsidRPr="00131F09">
              <w:t xml:space="preserve"> iedalījums radiosakaru sistēmām </w:t>
            </w:r>
            <w:r>
              <w:t>ietverts</w:t>
            </w:r>
            <w:r w:rsidRPr="00662FFA">
              <w:t xml:space="preserve"> Ministru kabineta 2009.gada 6.oktobra noteikum</w:t>
            </w:r>
            <w:r>
              <w:t>os</w:t>
            </w:r>
            <w:r w:rsidRPr="00662FFA">
              <w:t xml:space="preserve"> Nr.1151 „</w:t>
            </w:r>
            <w:r w:rsidRPr="00131F09">
              <w:t>Noteikumi par radiofrekvenču spektra joslu sadalījumu radiosakaru veidiem un iedalījumu radiosakaru sistēmām, kā arī par radiofrekvenču spektra joslu izmantošanas vispārīgajiem nosacījumiem (Nacionālais radiofrekvenču plāns)</w:t>
            </w:r>
            <w:r w:rsidRPr="005831CB">
              <w:t>”.</w:t>
            </w:r>
          </w:p>
          <w:p w:rsidR="00895374" w:rsidRDefault="00895374" w:rsidP="00CF7285">
            <w:pPr>
              <w:jc w:val="both"/>
            </w:pPr>
          </w:p>
          <w:p w:rsidR="00895374" w:rsidRPr="005831CB" w:rsidRDefault="00FE0A22" w:rsidP="00CF7285">
            <w:pPr>
              <w:jc w:val="both"/>
            </w:pPr>
            <w:r>
              <w:t xml:space="preserve">Sagatavotie grozījumi </w:t>
            </w:r>
            <w:r w:rsidR="00895374" w:rsidRPr="005831CB">
              <w:t xml:space="preserve">Nacionālajā radiofrekvenču plānā </w:t>
            </w:r>
            <w:r w:rsidR="003C7816">
              <w:t xml:space="preserve">(turpmāk – noteikumu projekts) </w:t>
            </w:r>
            <w:r w:rsidR="003C7816" w:rsidRPr="005831CB">
              <w:t xml:space="preserve">paredz </w:t>
            </w:r>
            <w:r w:rsidR="00895374" w:rsidRPr="005831CB">
              <w:t xml:space="preserve">pārņemt </w:t>
            </w:r>
            <w:r w:rsidR="00895374">
              <w:t xml:space="preserve">šādus </w:t>
            </w:r>
            <w:r w:rsidR="00895374" w:rsidRPr="005831CB">
              <w:t xml:space="preserve">Eiropas Komisijas Lēmumus: </w:t>
            </w:r>
          </w:p>
          <w:p w:rsidR="00895374" w:rsidRDefault="00895374" w:rsidP="00895374">
            <w:pPr>
              <w:numPr>
                <w:ilvl w:val="0"/>
                <w:numId w:val="1"/>
              </w:numPr>
              <w:ind w:left="0" w:firstLine="360"/>
              <w:jc w:val="both"/>
            </w:pPr>
            <w:r w:rsidRPr="005831CB">
              <w:t>Komisijas 201</w:t>
            </w:r>
            <w:r>
              <w:t>4</w:t>
            </w:r>
            <w:r w:rsidRPr="005831CB">
              <w:t xml:space="preserve">.gada </w:t>
            </w:r>
            <w:r>
              <w:t>2</w:t>
            </w:r>
            <w:r w:rsidRPr="005831CB">
              <w:t>.</w:t>
            </w:r>
            <w:r>
              <w:t>maija</w:t>
            </w:r>
            <w:r w:rsidRPr="005831CB">
              <w:t xml:space="preserve"> Lēmums 201</w:t>
            </w:r>
            <w:r>
              <w:t>4</w:t>
            </w:r>
            <w:r w:rsidRPr="005831CB">
              <w:t>/</w:t>
            </w:r>
            <w:r>
              <w:t>276</w:t>
            </w:r>
            <w:r w:rsidRPr="005831CB">
              <w:t xml:space="preserve">/ES par </w:t>
            </w:r>
            <w:r>
              <w:t>grozījumiem Lēmumā 2008/411/EK par 3400-3800 MHz frekvenču joslas harmonizāciju tādu zemes sistēmu vajadzībām, kas Kopienā</w:t>
            </w:r>
            <w:proofErr w:type="gramStart"/>
            <w:r>
              <w:t xml:space="preserve"> </w:t>
            </w:r>
            <w:r w:rsidRPr="005831CB">
              <w:t xml:space="preserve"> </w:t>
            </w:r>
            <w:proofErr w:type="gramEnd"/>
            <w:r w:rsidRPr="005831CB">
              <w:t>spēj nodrošināt elektronisko sakaru pakalpojumus</w:t>
            </w:r>
            <w:r w:rsidR="006B70B6">
              <w:t xml:space="preserve"> (turpmāk – Lēmums 2014/276/ES)</w:t>
            </w:r>
            <w:r>
              <w:t>;</w:t>
            </w:r>
          </w:p>
          <w:p w:rsidR="00895374" w:rsidRPr="005831CB" w:rsidRDefault="00895374" w:rsidP="00895374">
            <w:pPr>
              <w:numPr>
                <w:ilvl w:val="0"/>
                <w:numId w:val="1"/>
              </w:numPr>
              <w:ind w:left="0" w:firstLine="360"/>
              <w:jc w:val="both"/>
            </w:pPr>
            <w:r w:rsidRPr="005831CB">
              <w:t>Komisijas 201</w:t>
            </w:r>
            <w:r>
              <w:t>4.gada 1</w:t>
            </w:r>
            <w:r w:rsidRPr="005831CB">
              <w:t>.</w:t>
            </w:r>
            <w:r>
              <w:t>septembra</w:t>
            </w:r>
            <w:r w:rsidRPr="005831CB">
              <w:t xml:space="preserve"> Lēmums 201</w:t>
            </w:r>
            <w:r>
              <w:t>4</w:t>
            </w:r>
            <w:r w:rsidRPr="005831CB">
              <w:t>/6</w:t>
            </w:r>
            <w:r>
              <w:t>41</w:t>
            </w:r>
            <w:r w:rsidRPr="005831CB">
              <w:t>/ES par</w:t>
            </w:r>
            <w:r>
              <w:t xml:space="preserve"> harmonizētajiem tehniskajiem nosacījumiem radiofrekvenču spektra izmantošanai programmu gatavošanas un īpašo pasākumu bezvadu skaņas iekārtās Savienībā</w:t>
            </w:r>
            <w:r w:rsidR="006B70B6">
              <w:t xml:space="preserve"> (turpmāk - </w:t>
            </w:r>
            <w:r w:rsidR="006B70B6" w:rsidRPr="005831CB">
              <w:t>201</w:t>
            </w:r>
            <w:r w:rsidR="006B70B6">
              <w:t>4</w:t>
            </w:r>
            <w:r w:rsidR="006B70B6" w:rsidRPr="005831CB">
              <w:t>/6</w:t>
            </w:r>
            <w:r w:rsidR="006B70B6">
              <w:t>41</w:t>
            </w:r>
            <w:r w:rsidR="006B70B6" w:rsidRPr="005831CB">
              <w:t>/ES</w:t>
            </w:r>
            <w:r w:rsidR="006B70B6">
              <w:t>)</w:t>
            </w:r>
            <w:r>
              <w:t>;</w:t>
            </w:r>
          </w:p>
          <w:p w:rsidR="00895374" w:rsidRDefault="00895374" w:rsidP="00895374">
            <w:pPr>
              <w:numPr>
                <w:ilvl w:val="0"/>
                <w:numId w:val="1"/>
              </w:numPr>
              <w:ind w:left="0" w:firstLine="360"/>
              <w:jc w:val="both"/>
            </w:pPr>
            <w:r w:rsidRPr="005831CB">
              <w:t>Komisijas 201</w:t>
            </w:r>
            <w:r>
              <w:t>4</w:t>
            </w:r>
            <w:r w:rsidRPr="005831CB">
              <w:t xml:space="preserve">.gada </w:t>
            </w:r>
            <w:r>
              <w:t>7</w:t>
            </w:r>
            <w:r w:rsidRPr="005831CB">
              <w:t>.</w:t>
            </w:r>
            <w:r>
              <w:t>oktobra</w:t>
            </w:r>
            <w:r w:rsidRPr="005831CB">
              <w:t xml:space="preserve"> Lēmums 201</w:t>
            </w:r>
            <w:r>
              <w:t>4</w:t>
            </w:r>
            <w:r w:rsidRPr="005831CB">
              <w:t>/7</w:t>
            </w:r>
            <w:r>
              <w:t>0</w:t>
            </w:r>
            <w:r w:rsidRPr="005831CB">
              <w:t>2/ES, ar ko groz</w:t>
            </w:r>
            <w:r>
              <w:t>a</w:t>
            </w:r>
            <w:r w:rsidRPr="005831CB">
              <w:t xml:space="preserve"> Lēmum</w:t>
            </w:r>
            <w:r>
              <w:t>u</w:t>
            </w:r>
            <w:r w:rsidRPr="005831CB">
              <w:t xml:space="preserve"> 200</w:t>
            </w:r>
            <w:r>
              <w:t>7</w:t>
            </w:r>
            <w:r w:rsidRPr="005831CB">
              <w:t>/</w:t>
            </w:r>
            <w:r>
              <w:t>13</w:t>
            </w:r>
            <w:r w:rsidRPr="005831CB">
              <w:t xml:space="preserve">1/EK par </w:t>
            </w:r>
            <w:r>
              <w:t>atļauju</w:t>
            </w:r>
            <w:r w:rsidRPr="005831CB">
              <w:t xml:space="preserve"> </w:t>
            </w:r>
            <w:r>
              <w:t>Kopienā harmonizēti izmantot radiofrekvenču spektru iekārtām, kurās izmantota ultraplatjoslas tehnoloģija</w:t>
            </w:r>
            <w:r w:rsidR="006B70B6">
              <w:t xml:space="preserve"> (turpmāk - </w:t>
            </w:r>
            <w:r w:rsidR="006B70B6" w:rsidRPr="005831CB">
              <w:t>201</w:t>
            </w:r>
            <w:r w:rsidR="006B70B6">
              <w:t>4</w:t>
            </w:r>
            <w:r w:rsidR="006B70B6" w:rsidRPr="005831CB">
              <w:t>/7</w:t>
            </w:r>
            <w:r w:rsidR="006B70B6">
              <w:t>0</w:t>
            </w:r>
            <w:r w:rsidR="006B70B6" w:rsidRPr="005831CB">
              <w:t>2/ES</w:t>
            </w:r>
            <w:r w:rsidR="006B70B6">
              <w:t>)</w:t>
            </w:r>
            <w:r>
              <w:t>.</w:t>
            </w:r>
          </w:p>
          <w:p w:rsidR="00895374" w:rsidRDefault="00895374" w:rsidP="00CF7285">
            <w:pPr>
              <w:jc w:val="both"/>
            </w:pPr>
          </w:p>
          <w:p w:rsidR="00895374" w:rsidRDefault="00FE0A22" w:rsidP="00CF7285">
            <w:pPr>
              <w:jc w:val="both"/>
            </w:pPr>
            <w:r>
              <w:t xml:space="preserve">1) </w:t>
            </w:r>
            <w:r w:rsidR="00895374" w:rsidRPr="005831CB">
              <w:t xml:space="preserve">Lēmums </w:t>
            </w:r>
            <w:r w:rsidR="00895374" w:rsidRPr="00131F09">
              <w:t>2014/276/ES</w:t>
            </w:r>
            <w:r w:rsidR="00895374">
              <w:t xml:space="preserve"> paredz harmonizēt 3400-3800 MHz frekvenču joslu, nodrošinot bezvadu </w:t>
            </w:r>
            <w:r w:rsidR="00895374" w:rsidRPr="004F521E">
              <w:t xml:space="preserve">platjoslas pakalpojumus galalietotājiem, tādējādi veicinot Eiropas Digitalizācijas programmas ekonomiskās un sociālās politikas mērķu sasniegšanu.  Radiosaskarne </w:t>
            </w:r>
            <w:r w:rsidR="00895374" w:rsidRPr="00131F09">
              <w:t>RS LM.3600 stājas spēkā līdz ar noteikumu grozījumu spēkā stāšanos, vienlaikus saglabājot esošās Radiosaskarnes RS FX.035MP, RS FX.037MP ar mērķi uzturēt līdz šim uzstādīto iekārtu veiktspēj</w:t>
            </w:r>
            <w:r w:rsidR="00895374" w:rsidRPr="001D4DC3">
              <w:t xml:space="preserve">u līdz šo iekārtu </w:t>
            </w:r>
            <w:r w:rsidR="00895374" w:rsidRPr="001D4DC3">
              <w:lastRenderedPageBreak/>
              <w:t>ekspluatācijas pārtraukšanai.</w:t>
            </w:r>
            <w:r w:rsidR="00895374">
              <w:t xml:space="preserve"> Ekspluatācijas pārtraukšana jāsaprot kā konkrētās iekārtas izmantošanas pārtraukšana pēc komersanta iniciatīvas, piemēram, iekārtas nolietošanās, ekonomiska neefektivitāte vai tehnoloģijas nomaiņa. Šo iekārtu atļaujas parametri var tikt mainīti, ja to lietošana traucēs kaimiņvalstīm uzstādīt un lietot savas iekārtas atbilstoši </w:t>
            </w:r>
            <w:r w:rsidR="00895374" w:rsidRPr="005831CB">
              <w:t>Lēmum</w:t>
            </w:r>
            <w:r w:rsidR="00895374">
              <w:t>am</w:t>
            </w:r>
            <w:r w:rsidR="00895374" w:rsidRPr="005831CB">
              <w:t xml:space="preserve"> </w:t>
            </w:r>
            <w:r w:rsidR="00895374" w:rsidRPr="00131F09">
              <w:t>2014/276/ES</w:t>
            </w:r>
            <w:r w:rsidR="00895374">
              <w:t>.</w:t>
            </w:r>
          </w:p>
          <w:p w:rsidR="00895374" w:rsidRDefault="00895374" w:rsidP="00CF7285">
            <w:pPr>
              <w:jc w:val="both"/>
            </w:pPr>
            <w:r w:rsidRPr="00131F09">
              <w:t>Radioiekārtu uzstādīšana, atbilstoši radiosaskarnēm RS FX.035MP, RS FX.037MP un kuru tehniskie parametri neatbilst radiosaskarnei RS LM.3600, atļauta līdz 2015. gada 30. jūnijam laikam, kurā dalībvalstis piemērto lēmuma pielikumā noteiktos nosacījumus.</w:t>
            </w:r>
          </w:p>
          <w:p w:rsidR="00895374" w:rsidRPr="009E35DC" w:rsidRDefault="00895374" w:rsidP="00CF7285">
            <w:pPr>
              <w:jc w:val="both"/>
            </w:pPr>
          </w:p>
          <w:p w:rsidR="00895374" w:rsidRPr="009E35DC" w:rsidRDefault="00FE0A22" w:rsidP="00CF7285">
            <w:pPr>
              <w:jc w:val="both"/>
            </w:pPr>
            <w:r>
              <w:t>2)</w:t>
            </w:r>
            <w:r w:rsidR="00895374" w:rsidRPr="009E35DC">
              <w:t xml:space="preserve">Lēmums </w:t>
            </w:r>
            <w:r w:rsidR="00895374" w:rsidRPr="00131F09">
              <w:t>2014/641/ES</w:t>
            </w:r>
            <w:r w:rsidR="00895374" w:rsidRPr="009E35DC">
              <w:t xml:space="preserve"> paredz papildus radiofrekvenču joslas (823-832 MHz un 1785-1805 MHz) piešķīrumu video un skaņas pārraides lietojumiem, kas kļūst arvien nozīmīgāki ietverot apraidi, kultūras, mūzikas un teātra uzvedum</w:t>
            </w:r>
            <w:r w:rsidR="00895374">
              <w:t>us</w:t>
            </w:r>
            <w:r w:rsidR="00895374" w:rsidRPr="009E35DC">
              <w:t>, sabiedriskos un sporta pasākum</w:t>
            </w:r>
            <w:r w:rsidR="00895374">
              <w:t>us</w:t>
            </w:r>
            <w:r w:rsidR="00895374" w:rsidRPr="009E35DC">
              <w:t>. Bezvadu mikrofoni ir izplatītākā PMSE (programmu gatavošanas un īpašo pasākumu ierīces) bezvadu skaņas</w:t>
            </w:r>
            <w:r w:rsidR="00895374">
              <w:t xml:space="preserve"> </w:t>
            </w:r>
            <w:r w:rsidR="00895374" w:rsidRPr="009E35DC">
              <w:t>iekārta. Radiosaskarne RS PMSE.01 paredz 174-216 MHz, 470-862 MHz, 1785-1805 MHz radiofrekvenču joslu sistēmu aizsardzību un</w:t>
            </w:r>
            <w:r w:rsidR="00895374">
              <w:t xml:space="preserve"> </w:t>
            </w:r>
            <w:r w:rsidR="00895374" w:rsidRPr="009E35DC">
              <w:t>joslu izmantošanas efektivitāti.</w:t>
            </w:r>
          </w:p>
          <w:p w:rsidR="00895374" w:rsidRDefault="00895374" w:rsidP="00CF7285">
            <w:pPr>
              <w:jc w:val="both"/>
            </w:pPr>
            <w:r w:rsidRPr="009E35DC">
              <w:t>Līdz šim noteikumu 3.pielikuma</w:t>
            </w:r>
            <w:r>
              <w:t xml:space="preserve"> 8.10.apakšpunktā ietvertais regulējums PMSE ierīcēm, kas darbojās uz individuālas atļaujas pamata, izslēgts no pielikuma radiomikrofonu grupas un pievienots izstrādātajā 2.pielikuma</w:t>
            </w:r>
            <w:r w:rsidRPr="006357AD">
              <w:t xml:space="preserve"> radiosaskarn</w:t>
            </w:r>
            <w:r>
              <w:t xml:space="preserve">ē </w:t>
            </w:r>
            <w:r w:rsidRPr="004B1622">
              <w:t>RS PMSE.01</w:t>
            </w:r>
            <w:r>
              <w:t xml:space="preserve">. 3.pielikuma 8.10.apakšpunkts izteikts jaunā redakcijā. Iekārtu grupas, kas darbojās </w:t>
            </w:r>
            <w:bookmarkStart w:id="0" w:name="OLE_LINK1"/>
            <w:bookmarkStart w:id="1" w:name="OLE_LINK2"/>
            <w:r>
              <w:t>uz koplietojama radiofrekvences piešķīruma lietošanas atļaujas pamata</w:t>
            </w:r>
            <w:bookmarkEnd w:id="0"/>
            <w:bookmarkEnd w:id="1"/>
            <w:r>
              <w:t>, saglabājas bez izmaiņām.</w:t>
            </w:r>
          </w:p>
          <w:p w:rsidR="00895374" w:rsidRDefault="00895374" w:rsidP="00CF7285">
            <w:pPr>
              <w:jc w:val="both"/>
            </w:pPr>
          </w:p>
          <w:p w:rsidR="00895374" w:rsidRDefault="00FE0A22" w:rsidP="00CF7285">
            <w:pPr>
              <w:jc w:val="both"/>
            </w:pPr>
            <w:r>
              <w:t>3)</w:t>
            </w:r>
            <w:r w:rsidR="00895374" w:rsidRPr="005831CB">
              <w:t xml:space="preserve">Lēmums </w:t>
            </w:r>
            <w:r w:rsidR="00895374" w:rsidRPr="00131F09">
              <w:t>2014/702/ES</w:t>
            </w:r>
            <w:r w:rsidR="00895374">
              <w:t xml:space="preserve"> paredz </w:t>
            </w:r>
            <w:r w:rsidR="00895374" w:rsidRPr="00770A1C">
              <w:t>ultraplatjoslas tehnoloģija</w:t>
            </w:r>
            <w:r w:rsidR="00895374">
              <w:t xml:space="preserve">s (UWB) pielietojuma jomas paplašināšanu. Ultraplatjoslas tehnoloģiju, kam raksturīgs ļoti zems jaudas izstarojums ļoti platā radiofrekvenču spektra joslā, izmanto daudzos sakaru, mērīšanas, pozicionēšanas, medicīnas, novērošanas un attēlveidošanas lietojumos. Izmaiņas skar vispārīgajos UWB lietojumus, atrašanās vietas izsekošanas sistēmas, autotransporta un dzelzceļa transporta līdzekļos uzstādītās UWB ierīces, gaisa kuģu UWB sistēmas, materiāla zondēšanas iekārtas. Grozījumi skar </w:t>
            </w:r>
            <w:r w:rsidR="00D23BCA" w:rsidRPr="00131F09">
              <w:t>Nacionāl</w:t>
            </w:r>
            <w:r w:rsidR="00D23BCA">
              <w:t>ā</w:t>
            </w:r>
            <w:r w:rsidR="00D23BCA" w:rsidRPr="00131F09">
              <w:t xml:space="preserve"> radiofrekvenču plān</w:t>
            </w:r>
            <w:r w:rsidR="00D23BCA">
              <w:t xml:space="preserve">a </w:t>
            </w:r>
            <w:r w:rsidR="00895374">
              <w:t>3. pielikuma 11.punktu, kas izteikts jaunā redakcijā</w:t>
            </w:r>
            <w:r w:rsidR="003C7816">
              <w:t xml:space="preserve"> t.i. noteikumu projekta </w:t>
            </w:r>
            <w:r w:rsidR="00343102">
              <w:t>8</w:t>
            </w:r>
            <w:r w:rsidR="00D454D4">
              <w:t>5</w:t>
            </w:r>
            <w:r w:rsidR="00343102">
              <w:t>.</w:t>
            </w:r>
            <w:r w:rsidR="004D19C9">
              <w:t>punkts.</w:t>
            </w:r>
          </w:p>
          <w:p w:rsidR="00895374" w:rsidRPr="005831CB" w:rsidRDefault="00895374" w:rsidP="00CF7285">
            <w:pPr>
              <w:jc w:val="both"/>
            </w:pPr>
          </w:p>
          <w:p w:rsidR="00895374" w:rsidRDefault="004A4853" w:rsidP="00CF7285">
            <w:pPr>
              <w:jc w:val="both"/>
              <w:rPr>
                <w:noProof/>
              </w:rPr>
            </w:pPr>
            <w:r>
              <w:rPr>
                <w:noProof/>
              </w:rPr>
              <w:t>4</w:t>
            </w:r>
            <w:r w:rsidR="00FE0A22">
              <w:rPr>
                <w:noProof/>
              </w:rPr>
              <w:t>)</w:t>
            </w:r>
            <w:r w:rsidR="00895374" w:rsidRPr="000D6604">
              <w:rPr>
                <w:noProof/>
              </w:rPr>
              <w:t>Vienlaikus vei</w:t>
            </w:r>
            <w:r w:rsidR="00820CB1">
              <w:rPr>
                <w:noProof/>
              </w:rPr>
              <w:t>k</w:t>
            </w:r>
            <w:r w:rsidR="00895374" w:rsidRPr="000D6604">
              <w:rPr>
                <w:noProof/>
              </w:rPr>
              <w:t>t</w:t>
            </w:r>
            <w:r w:rsidR="00895374">
              <w:rPr>
                <w:noProof/>
              </w:rPr>
              <w:t>as izmaiņas</w:t>
            </w:r>
            <w:r w:rsidR="00895374" w:rsidRPr="000D6604">
              <w:rPr>
                <w:noProof/>
              </w:rPr>
              <w:t xml:space="preserve"> </w:t>
            </w:r>
            <w:r w:rsidR="00895374">
              <w:rPr>
                <w:noProof/>
              </w:rPr>
              <w:t xml:space="preserve">precizējot </w:t>
            </w:r>
            <w:r w:rsidR="00895374" w:rsidRPr="000D6604">
              <w:rPr>
                <w:noProof/>
              </w:rPr>
              <w:t>termin</w:t>
            </w:r>
            <w:r w:rsidR="00895374">
              <w:rPr>
                <w:noProof/>
              </w:rPr>
              <w:t>us</w:t>
            </w:r>
            <w:r w:rsidR="00895374" w:rsidRPr="000D6604">
              <w:rPr>
                <w:noProof/>
              </w:rPr>
              <w:t xml:space="preserve"> m</w:t>
            </w:r>
            <w:r w:rsidR="00895374" w:rsidRPr="000D6604">
              <w:rPr>
                <w:bCs/>
                <w:noProof/>
              </w:rPr>
              <w:t>aza darbības attāluma ierīc</w:t>
            </w:r>
            <w:r w:rsidR="00895374">
              <w:rPr>
                <w:bCs/>
                <w:noProof/>
              </w:rPr>
              <w:t>ēm</w:t>
            </w:r>
            <w:r w:rsidR="00895374" w:rsidRPr="000D6604">
              <w:rPr>
                <w:bCs/>
                <w:noProof/>
              </w:rPr>
              <w:t xml:space="preserve"> (SRD) </w:t>
            </w:r>
            <w:r w:rsidR="00895374" w:rsidRPr="000D6604">
              <w:rPr>
                <w:noProof/>
              </w:rPr>
              <w:t>noteikumu 1.pielikumā</w:t>
            </w:r>
            <w:r w:rsidR="00895374">
              <w:rPr>
                <w:noProof/>
              </w:rPr>
              <w:t>,</w:t>
            </w:r>
            <w:r w:rsidR="00895374" w:rsidRPr="000D6604">
              <w:rPr>
                <w:noProof/>
              </w:rPr>
              <w:t xml:space="preserve"> saskaņā ar </w:t>
            </w:r>
            <w:r w:rsidR="00895374" w:rsidRPr="000D6604">
              <w:rPr>
                <w:noProof/>
              </w:rPr>
              <w:lastRenderedPageBreak/>
              <w:t>2013.gada 11.decembra Komisijas īstenošanas Lēmum</w:t>
            </w:r>
            <w:r w:rsidR="00895374">
              <w:rPr>
                <w:noProof/>
              </w:rPr>
              <w:t xml:space="preserve">u </w:t>
            </w:r>
            <w:r w:rsidR="00895374" w:rsidRPr="000D6604">
              <w:rPr>
                <w:noProof/>
              </w:rPr>
              <w:t>2013/752/ES</w:t>
            </w:r>
            <w:r w:rsidR="00895374">
              <w:rPr>
                <w:noProof/>
              </w:rPr>
              <w:t xml:space="preserve"> ar kuru groza Lēmumu 2006/771/EK par maza darbības darbības attāluma ierīcēs izmantotā radiofrekvenču spektra saskaņošanu</w:t>
            </w:r>
            <w:r w:rsidR="00FE0A22">
              <w:rPr>
                <w:noProof/>
              </w:rPr>
              <w:t xml:space="preserve"> (turpmāk – Lēmums </w:t>
            </w:r>
            <w:r w:rsidR="00FE0A22" w:rsidRPr="000D6604">
              <w:rPr>
                <w:noProof/>
              </w:rPr>
              <w:t>2013/752/ES</w:t>
            </w:r>
            <w:r w:rsidR="00FE0A22">
              <w:rPr>
                <w:noProof/>
              </w:rPr>
              <w:t>)</w:t>
            </w:r>
            <w:r w:rsidR="00895374">
              <w:rPr>
                <w:noProof/>
              </w:rPr>
              <w:t>.</w:t>
            </w:r>
            <w:r w:rsidR="00895374" w:rsidRPr="000D6604">
              <w:rPr>
                <w:noProof/>
              </w:rPr>
              <w:t xml:space="preserve"> </w:t>
            </w:r>
          </w:p>
          <w:p w:rsidR="00895374" w:rsidRDefault="00FE0A22" w:rsidP="00CF7285">
            <w:pPr>
              <w:jc w:val="both"/>
              <w:rPr>
                <w:bCs/>
              </w:rPr>
            </w:pPr>
            <w:r>
              <w:rPr>
                <w:noProof/>
              </w:rPr>
              <w:t>Lēmuma 2013/752/ES</w:t>
            </w:r>
            <w:r w:rsidR="00895374" w:rsidRPr="000D6604">
              <w:rPr>
                <w:noProof/>
              </w:rPr>
              <w:t xml:space="preserve"> tehniskie parametri jau pārņemti </w:t>
            </w:r>
            <w:r w:rsidR="00895374">
              <w:rPr>
                <w:bCs/>
                <w:noProof/>
              </w:rPr>
              <w:t>3.pielikuma 8.punktā</w:t>
            </w:r>
            <w:r w:rsidR="00895374" w:rsidRPr="000D6604">
              <w:rPr>
                <w:noProof/>
              </w:rPr>
              <w:t xml:space="preserve"> Ministru</w:t>
            </w:r>
            <w:r w:rsidR="00895374" w:rsidRPr="000D6604">
              <w:t xml:space="preserve"> kabineta 2014.gada 12.augusta noteikum</w:t>
            </w:r>
            <w:r w:rsidR="00895374">
              <w:t>os</w:t>
            </w:r>
            <w:r w:rsidR="00895374" w:rsidRPr="000D6604">
              <w:t xml:space="preserve"> Nr.459 </w:t>
            </w:r>
            <w:r w:rsidR="00895374">
              <w:t>“</w:t>
            </w:r>
            <w:r w:rsidR="00895374" w:rsidRPr="000D6604">
              <w:rPr>
                <w:bCs/>
              </w:rPr>
              <w:t>Grozījumi Ministru kabineta 2009.gada 6.oktobra noteikumos Nr.1151 „Noteikumi par radiofrekvenču spektra joslu sadalījumu radiosakaru veidiem un iedalījumu radiosakaru sistēmām, kā arī par radiofrekvenču spektra joslu izmantošanas vispārīgajiem nosacījumiem (Nacionālais radiofrekvenču plāns)””.</w:t>
            </w:r>
          </w:p>
          <w:p w:rsidR="003C7816" w:rsidRDefault="003C7816" w:rsidP="00CF7285">
            <w:pPr>
              <w:jc w:val="both"/>
              <w:rPr>
                <w:bCs/>
              </w:rPr>
            </w:pPr>
          </w:p>
          <w:p w:rsidR="004A4853" w:rsidRDefault="004A4853" w:rsidP="004A4853">
            <w:pPr>
              <w:jc w:val="both"/>
            </w:pPr>
            <w:r>
              <w:t>5)</w:t>
            </w:r>
            <w:r w:rsidRPr="000A669A">
              <w:t>Papildus minētajam</w:t>
            </w:r>
            <w:r>
              <w:t>,</w:t>
            </w:r>
            <w:r w:rsidRPr="000A669A">
              <w:t xml:space="preserve"> Vides aizsardzības un reģionālās attīstības ministrijas </w:t>
            </w:r>
            <w:r>
              <w:t xml:space="preserve">2014.gada 21.oktobra </w:t>
            </w:r>
            <w:r w:rsidRPr="000A669A">
              <w:t>Radiofrekvenču spektra resursu izmantošanas koordinācijas darba grupa</w:t>
            </w:r>
            <w:r>
              <w:t>s sanāksmē, darba grupas pārstāvji vienojās šādiem grozījumiem:</w:t>
            </w:r>
          </w:p>
          <w:p w:rsidR="004A4853" w:rsidRDefault="004A4853" w:rsidP="004A4853">
            <w:pPr>
              <w:jc w:val="both"/>
              <w:rPr>
                <w:noProof/>
              </w:rPr>
            </w:pPr>
            <w:r>
              <w:t xml:space="preserve">5.1.) </w:t>
            </w:r>
            <w:r w:rsidRPr="0097433D">
              <w:t xml:space="preserve">155,4500 MHz un 155,4750 MHz radiofrekvenču kanālu </w:t>
            </w:r>
            <w:r>
              <w:t>noteikšana</w:t>
            </w:r>
            <w:r w:rsidRPr="000958AA">
              <w:t xml:space="preserve"> suņu izsekošanas iekārt</w:t>
            </w:r>
            <w:r>
              <w:t xml:space="preserve">ām, </w:t>
            </w:r>
            <w:r w:rsidRPr="003E4114">
              <w:t xml:space="preserve">atļaujot izmantot iekārtas uz koplietojama radiofrekvences piešķīruma lietošanas atļaujas </w:t>
            </w:r>
            <w:r w:rsidRPr="003E4114">
              <w:rPr>
                <w:noProof/>
              </w:rPr>
              <w:t>pamata</w:t>
            </w:r>
            <w:r w:rsidRPr="001640FB">
              <w:rPr>
                <w:noProof/>
              </w:rPr>
              <w:t>;</w:t>
            </w:r>
          </w:p>
          <w:p w:rsidR="004A4853" w:rsidRDefault="004A4853" w:rsidP="004A4853">
            <w:pPr>
              <w:jc w:val="both"/>
            </w:pPr>
            <w:r>
              <w:t>Grozījumu projekta 40., 7</w:t>
            </w:r>
            <w:r w:rsidR="005E71BF">
              <w:t>9</w:t>
            </w:r>
            <w:r>
              <w:t xml:space="preserve">., </w:t>
            </w:r>
            <w:r w:rsidR="005E71BF">
              <w:t>80</w:t>
            </w:r>
            <w:r>
              <w:t>., 8</w:t>
            </w:r>
            <w:r w:rsidR="005E71BF">
              <w:t>6</w:t>
            </w:r>
            <w:r>
              <w:t>.punkt</w:t>
            </w:r>
            <w:r w:rsidR="00EA6AEC">
              <w:t>s</w:t>
            </w:r>
            <w:r>
              <w:t>.</w:t>
            </w:r>
          </w:p>
          <w:p w:rsidR="004A4853" w:rsidRDefault="004A4853" w:rsidP="004A4853">
            <w:pPr>
              <w:jc w:val="both"/>
              <w:rPr>
                <w:noProof/>
              </w:rPr>
            </w:pPr>
            <w:r>
              <w:rPr>
                <w:noProof/>
              </w:rPr>
              <w:t>5.2.</w:t>
            </w:r>
            <w:r w:rsidRPr="001640FB">
              <w:rPr>
                <w:noProof/>
              </w:rPr>
              <w:t xml:space="preserve">) </w:t>
            </w:r>
            <w:r w:rsidRPr="003E4114">
              <w:rPr>
                <w:noProof/>
              </w:rPr>
              <w:t xml:space="preserve">13 GHz </w:t>
            </w:r>
            <w:r w:rsidRPr="00653380">
              <w:rPr>
                <w:noProof/>
              </w:rPr>
              <w:t>diapazona 13</w:t>
            </w:r>
            <w:r w:rsidR="00EA3A87">
              <w:rPr>
                <w:noProof/>
              </w:rPr>
              <w:t xml:space="preserve"> </w:t>
            </w:r>
            <w:r w:rsidRPr="00653380">
              <w:rPr>
                <w:noProof/>
              </w:rPr>
              <w:t>GHz (12,751-12,975/ 13,017-13,241 GHz) pārplānošan</w:t>
            </w:r>
            <w:r>
              <w:rPr>
                <w:noProof/>
              </w:rPr>
              <w:t xml:space="preserve">a un </w:t>
            </w:r>
            <w:r w:rsidRPr="003E4114">
              <w:rPr>
                <w:noProof/>
              </w:rPr>
              <w:t>Radiosaskarnes RS</w:t>
            </w:r>
            <w:r>
              <w:rPr>
                <w:noProof/>
              </w:rPr>
              <w:t> </w:t>
            </w:r>
            <w:r w:rsidRPr="003E4114">
              <w:rPr>
                <w:noProof/>
              </w:rPr>
              <w:t xml:space="preserve">FX.130PP </w:t>
            </w:r>
            <w:r>
              <w:rPr>
                <w:noProof/>
              </w:rPr>
              <w:t xml:space="preserve">izmaiņas, </w:t>
            </w:r>
            <w:r w:rsidRPr="001640FB">
              <w:rPr>
                <w:noProof/>
              </w:rPr>
              <w:t xml:space="preserve">spektra </w:t>
            </w:r>
            <w:r>
              <w:rPr>
                <w:noProof/>
              </w:rPr>
              <w:t xml:space="preserve">efektīvas </w:t>
            </w:r>
            <w:r w:rsidRPr="001640FB">
              <w:rPr>
                <w:noProof/>
              </w:rPr>
              <w:t>izmantošanas nolūkā</w:t>
            </w:r>
            <w:r>
              <w:rPr>
                <w:noProof/>
              </w:rPr>
              <w:t>.</w:t>
            </w:r>
          </w:p>
          <w:p w:rsidR="004A4853" w:rsidRDefault="004A4853" w:rsidP="004A4853">
            <w:pPr>
              <w:jc w:val="both"/>
            </w:pPr>
            <w:r>
              <w:t>Grozījumu projekta 7</w:t>
            </w:r>
            <w:r w:rsidR="005E71BF">
              <w:t>2</w:t>
            </w:r>
            <w:r>
              <w:t>. punkt</w:t>
            </w:r>
            <w:r w:rsidR="00EA6AEC">
              <w:t>s</w:t>
            </w:r>
            <w:r w:rsidR="00035F55">
              <w:t>.</w:t>
            </w:r>
          </w:p>
          <w:p w:rsidR="007B3A8B" w:rsidRDefault="004A4853" w:rsidP="007B3A8B">
            <w:pPr>
              <w:jc w:val="both"/>
            </w:pPr>
            <w:r>
              <w:rPr>
                <w:bCs/>
              </w:rPr>
              <w:t xml:space="preserve">5.3.) </w:t>
            </w:r>
            <w:r w:rsidR="007B3A8B">
              <w:rPr>
                <w:bCs/>
              </w:rPr>
              <w:t>Noteikumu noslēguma jautājumos svīt</w:t>
            </w:r>
            <w:r w:rsidR="006135FD">
              <w:rPr>
                <w:bCs/>
              </w:rPr>
              <w:t>r</w:t>
            </w:r>
            <w:r w:rsidR="007B3A8B">
              <w:rPr>
                <w:bCs/>
              </w:rPr>
              <w:t xml:space="preserve">oti </w:t>
            </w:r>
            <w:r w:rsidR="001F6340">
              <w:rPr>
                <w:bCs/>
              </w:rPr>
              <w:t>punkti, kuru</w:t>
            </w:r>
            <w:r w:rsidR="007B3A8B">
              <w:rPr>
                <w:bCs/>
              </w:rPr>
              <w:t xml:space="preserve"> normas </w:t>
            </w:r>
            <w:r w:rsidR="00CC6D3D">
              <w:rPr>
                <w:bCs/>
              </w:rPr>
              <w:t>zaudējušas aktualitāti</w:t>
            </w:r>
            <w:r w:rsidR="007B3A8B">
              <w:rPr>
                <w:bCs/>
              </w:rPr>
              <w:t xml:space="preserve"> (</w:t>
            </w:r>
            <w:r w:rsidR="007B3A8B">
              <w:t xml:space="preserve">28., 31.punkts), atbilstoši </w:t>
            </w:r>
            <w:r w:rsidR="00CC6D3D">
              <w:t xml:space="preserve">veikti </w:t>
            </w:r>
            <w:r w:rsidR="007B3A8B">
              <w:t>labo</w:t>
            </w:r>
            <w:r w:rsidR="00CC6D3D">
              <w:t>jumi</w:t>
            </w:r>
            <w:r w:rsidR="007B3A8B">
              <w:t xml:space="preserve"> 1.piel</w:t>
            </w:r>
            <w:r w:rsidR="00CC6D3D">
              <w:t>i</w:t>
            </w:r>
            <w:r w:rsidR="007B3A8B">
              <w:t>kumā</w:t>
            </w:r>
            <w:r w:rsidR="00FE0A22">
              <w:t xml:space="preserve"> un 2.pielikumā</w:t>
            </w:r>
            <w:r w:rsidR="007B3A8B">
              <w:t xml:space="preserve">. </w:t>
            </w:r>
          </w:p>
          <w:p w:rsidR="007B3A8B" w:rsidRDefault="003C7816" w:rsidP="007B3A8B">
            <w:pPr>
              <w:jc w:val="both"/>
            </w:pPr>
            <w:r>
              <w:t xml:space="preserve">Grozījumu projekta </w:t>
            </w:r>
            <w:r w:rsidR="006135FD">
              <w:t xml:space="preserve">3., 4., 38., 39., 41., 42., 43., </w:t>
            </w:r>
            <w:r w:rsidR="005B6A5D">
              <w:t>54. un 70.</w:t>
            </w:r>
            <w:r w:rsidR="004D19C9">
              <w:t xml:space="preserve"> punkt</w:t>
            </w:r>
            <w:r w:rsidR="00EA6AEC">
              <w:t>s</w:t>
            </w:r>
            <w:r w:rsidR="004A4853">
              <w:t>.</w:t>
            </w:r>
          </w:p>
          <w:p w:rsidR="003C7816" w:rsidRPr="00F9121C" w:rsidRDefault="003C7816" w:rsidP="007B3A8B">
            <w:pPr>
              <w:jc w:val="both"/>
            </w:pPr>
          </w:p>
        </w:tc>
      </w:tr>
      <w:tr w:rsidR="00895374" w:rsidRPr="00E030F4" w:rsidTr="00CF7285">
        <w:trPr>
          <w:trHeight w:val="536"/>
        </w:trPr>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rsidR="00895374" w:rsidRPr="00CE70FA" w:rsidRDefault="00895374" w:rsidP="00CF7285">
            <w:pPr>
              <w:spacing w:before="100" w:beforeAutospacing="1" w:after="100" w:afterAutospacing="1"/>
            </w:pPr>
            <w:r w:rsidRPr="00CE70FA">
              <w:t>Projekta izstrādē iesaistītās institūcijas</w:t>
            </w:r>
          </w:p>
        </w:tc>
        <w:tc>
          <w:tcPr>
            <w:tcW w:w="3372" w:type="pct"/>
            <w:tcBorders>
              <w:top w:val="outset" w:sz="6" w:space="0" w:color="000000"/>
              <w:left w:val="outset" w:sz="6" w:space="0" w:color="000000"/>
              <w:bottom w:val="outset" w:sz="6" w:space="0" w:color="000000"/>
              <w:right w:val="outset" w:sz="6" w:space="0" w:color="000000"/>
            </w:tcBorders>
          </w:tcPr>
          <w:p w:rsidR="00895374" w:rsidRDefault="00895374" w:rsidP="00CF7285">
            <w:pPr>
              <w:jc w:val="both"/>
            </w:pPr>
            <w:r w:rsidRPr="004E79A5">
              <w:t>Vides aizsardzības un re</w:t>
            </w:r>
            <w:r>
              <w:t>ģionālās attīstības ministrijas radiofrekvenču spektra resursu izmantošanas koordinācijas darba grupa. To</w:t>
            </w:r>
            <w:r w:rsidRPr="004E79A5">
              <w:t xml:space="preserve"> skaitā Latvijas Informācijas un komunikācijas tehnoloģijas asociācija</w:t>
            </w:r>
            <w:r>
              <w:t>s un Latvijas Telekomunikāciju asociācijas pārstāvji.</w:t>
            </w:r>
          </w:p>
        </w:tc>
      </w:tr>
      <w:tr w:rsidR="00895374" w:rsidRPr="00E030F4" w:rsidTr="00CF7285">
        <w:tc>
          <w:tcPr>
            <w:tcW w:w="271" w:type="pct"/>
            <w:tcBorders>
              <w:top w:val="outset" w:sz="6" w:space="0" w:color="000000"/>
              <w:left w:val="outset" w:sz="6" w:space="0" w:color="000000"/>
              <w:bottom w:val="outset" w:sz="6" w:space="0" w:color="000000"/>
              <w:right w:val="outset" w:sz="6" w:space="0" w:color="000000"/>
            </w:tcBorders>
          </w:tcPr>
          <w:p w:rsidR="00895374" w:rsidRPr="00996999" w:rsidRDefault="00895374" w:rsidP="00CF7285">
            <w:pPr>
              <w:spacing w:before="100" w:beforeAutospacing="1" w:after="100" w:afterAutospacing="1"/>
            </w:pPr>
            <w:r w:rsidRPr="00996999">
              <w:t>4.</w:t>
            </w:r>
          </w:p>
        </w:tc>
        <w:tc>
          <w:tcPr>
            <w:tcW w:w="1357" w:type="pct"/>
            <w:tcBorders>
              <w:top w:val="outset" w:sz="6" w:space="0" w:color="000000"/>
              <w:left w:val="outset" w:sz="6" w:space="0" w:color="000000"/>
              <w:bottom w:val="outset" w:sz="6" w:space="0" w:color="000000"/>
              <w:right w:val="outset" w:sz="6" w:space="0" w:color="000000"/>
            </w:tcBorders>
          </w:tcPr>
          <w:p w:rsidR="00895374" w:rsidRPr="00996999" w:rsidRDefault="00895374" w:rsidP="00CF7285">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rsidR="00F059E4" w:rsidRPr="0090429D" w:rsidRDefault="00895374" w:rsidP="00F059E4">
            <w:pPr>
              <w:jc w:val="both"/>
            </w:pPr>
            <w:r w:rsidRPr="0090429D">
              <w:t>Elektronisko sakaru likuma (turpmāk - Likums</w:t>
            </w:r>
            <w:r w:rsidRPr="0090429D">
              <w:rPr>
                <w:bCs/>
              </w:rPr>
              <w:t xml:space="preserve">) </w:t>
            </w:r>
            <w:r w:rsidRPr="0090429D">
              <w:t xml:space="preserve">1.panta 26.punkts nosaka, ka </w:t>
            </w:r>
            <w:r w:rsidRPr="0090429D">
              <w:rPr>
                <w:bCs/>
              </w:rPr>
              <w:t>Nacionālais radiofrekvenču plāns</w:t>
            </w:r>
            <w:r w:rsidRPr="0090429D">
              <w:t xml:space="preserve"> ir saskaņā ar starptautiskiem līgumiem, konvencijām un standartiem izstrādāts plāns optimālam radiofrekvenču sadalījumam Latvijas teritorijā. </w:t>
            </w:r>
          </w:p>
          <w:p w:rsidR="00F059E4" w:rsidRPr="0090429D" w:rsidRDefault="00F059E4" w:rsidP="00F059E4">
            <w:pPr>
              <w:pStyle w:val="NormalWeb"/>
              <w:shd w:val="clear" w:color="auto" w:fill="FFFFFF"/>
              <w:spacing w:before="0" w:beforeAutospacing="0" w:after="0" w:afterAutospacing="0"/>
              <w:textAlignment w:val="baseline"/>
              <w:rPr>
                <w:bdr w:val="none" w:sz="0" w:space="0" w:color="auto" w:frame="1"/>
              </w:rPr>
            </w:pPr>
            <w:r w:rsidRPr="0090429D">
              <w:rPr>
                <w:shd w:val="clear" w:color="auto" w:fill="FFFFFF"/>
              </w:rPr>
              <w:t xml:space="preserve">VAS “Elektroniskie sakari” </w:t>
            </w:r>
            <w:proofErr w:type="spellStart"/>
            <w:r w:rsidRPr="0090429D">
              <w:rPr>
                <w:shd w:val="clear" w:color="auto" w:fill="FFFFFF"/>
              </w:rPr>
              <w:t>speciālisti</w:t>
            </w:r>
            <w:proofErr w:type="spellEnd"/>
            <w:r w:rsidRPr="0090429D">
              <w:rPr>
                <w:shd w:val="clear" w:color="auto" w:fill="FFFFFF"/>
              </w:rPr>
              <w:t xml:space="preserve"> </w:t>
            </w:r>
            <w:proofErr w:type="spellStart"/>
            <w:r w:rsidRPr="0090429D">
              <w:rPr>
                <w:shd w:val="clear" w:color="auto" w:fill="FFFFFF"/>
              </w:rPr>
              <w:t>pārstāv</w:t>
            </w:r>
            <w:proofErr w:type="spellEnd"/>
            <w:r w:rsidRPr="0090429D">
              <w:rPr>
                <w:shd w:val="clear" w:color="auto" w:fill="FFFFFF"/>
              </w:rPr>
              <w:t xml:space="preserve"> Latvijas </w:t>
            </w:r>
            <w:proofErr w:type="spellStart"/>
            <w:r w:rsidRPr="0090429D">
              <w:rPr>
                <w:shd w:val="clear" w:color="auto" w:fill="FFFFFF"/>
              </w:rPr>
              <w:t>intereses</w:t>
            </w:r>
            <w:proofErr w:type="spellEnd"/>
            <w:r w:rsidRPr="0090429D">
              <w:rPr>
                <w:shd w:val="clear" w:color="auto" w:fill="FFFFFF"/>
              </w:rPr>
              <w:t xml:space="preserve"> </w:t>
            </w:r>
            <w:proofErr w:type="spellStart"/>
            <w:r w:rsidRPr="0090429D">
              <w:rPr>
                <w:shd w:val="clear" w:color="auto" w:fill="FFFFFF"/>
              </w:rPr>
              <w:t>Starptautiskās</w:t>
            </w:r>
            <w:proofErr w:type="spellEnd"/>
            <w:r w:rsidRPr="0090429D">
              <w:rPr>
                <w:shd w:val="clear" w:color="auto" w:fill="FFFFFF"/>
              </w:rPr>
              <w:t xml:space="preserve"> </w:t>
            </w:r>
            <w:proofErr w:type="spellStart"/>
            <w:r w:rsidRPr="0090429D">
              <w:rPr>
                <w:shd w:val="clear" w:color="auto" w:fill="FFFFFF"/>
              </w:rPr>
              <w:t>Telesakaru</w:t>
            </w:r>
            <w:proofErr w:type="spellEnd"/>
            <w:r w:rsidRPr="0090429D">
              <w:rPr>
                <w:shd w:val="clear" w:color="auto" w:fill="FFFFFF"/>
              </w:rPr>
              <w:t xml:space="preserve"> </w:t>
            </w:r>
            <w:proofErr w:type="spellStart"/>
            <w:r w:rsidRPr="0090429D">
              <w:rPr>
                <w:shd w:val="clear" w:color="auto" w:fill="FFFFFF"/>
              </w:rPr>
              <w:t>savienības</w:t>
            </w:r>
            <w:proofErr w:type="spellEnd"/>
            <w:r w:rsidRPr="0090429D">
              <w:rPr>
                <w:shd w:val="clear" w:color="auto" w:fill="FFFFFF"/>
              </w:rPr>
              <w:t xml:space="preserve"> (ITU – International </w:t>
            </w:r>
            <w:r w:rsidRPr="0090429D">
              <w:rPr>
                <w:shd w:val="clear" w:color="auto" w:fill="FFFFFF"/>
              </w:rPr>
              <w:lastRenderedPageBreak/>
              <w:t xml:space="preserve">Telecommunication Union) un </w:t>
            </w:r>
            <w:proofErr w:type="spellStart"/>
            <w:r w:rsidRPr="0090429D">
              <w:rPr>
                <w:shd w:val="clear" w:color="auto" w:fill="FFFFFF"/>
              </w:rPr>
              <w:t>Eiropas</w:t>
            </w:r>
            <w:proofErr w:type="spellEnd"/>
            <w:r w:rsidRPr="0090429D">
              <w:rPr>
                <w:shd w:val="clear" w:color="auto" w:fill="FFFFFF"/>
              </w:rPr>
              <w:t xml:space="preserve"> </w:t>
            </w:r>
            <w:proofErr w:type="spellStart"/>
            <w:r w:rsidRPr="0090429D">
              <w:rPr>
                <w:shd w:val="clear" w:color="auto" w:fill="FFFFFF"/>
              </w:rPr>
              <w:t>Komisijas</w:t>
            </w:r>
            <w:proofErr w:type="spellEnd"/>
            <w:r w:rsidRPr="0090429D">
              <w:rPr>
                <w:shd w:val="clear" w:color="auto" w:fill="FFFFFF"/>
              </w:rPr>
              <w:t xml:space="preserve"> </w:t>
            </w:r>
            <w:proofErr w:type="spellStart"/>
            <w:r w:rsidRPr="0090429D">
              <w:rPr>
                <w:shd w:val="clear" w:color="auto" w:fill="FFFFFF"/>
              </w:rPr>
              <w:t>struktūru</w:t>
            </w:r>
            <w:proofErr w:type="spellEnd"/>
            <w:r w:rsidRPr="0090429D">
              <w:rPr>
                <w:shd w:val="clear" w:color="auto" w:fill="FFFFFF"/>
              </w:rPr>
              <w:t xml:space="preserve"> un </w:t>
            </w:r>
            <w:proofErr w:type="spellStart"/>
            <w:r w:rsidRPr="0090429D">
              <w:rPr>
                <w:shd w:val="clear" w:color="auto" w:fill="FFFFFF"/>
              </w:rPr>
              <w:t>Eiropas</w:t>
            </w:r>
            <w:proofErr w:type="spellEnd"/>
            <w:r w:rsidRPr="0090429D">
              <w:rPr>
                <w:shd w:val="clear" w:color="auto" w:fill="FFFFFF"/>
              </w:rPr>
              <w:t xml:space="preserve"> pasta un </w:t>
            </w:r>
            <w:proofErr w:type="spellStart"/>
            <w:r w:rsidRPr="0090429D">
              <w:rPr>
                <w:shd w:val="clear" w:color="auto" w:fill="FFFFFF"/>
              </w:rPr>
              <w:t>telesakaru</w:t>
            </w:r>
            <w:proofErr w:type="spellEnd"/>
            <w:r w:rsidRPr="0090429D">
              <w:rPr>
                <w:shd w:val="clear" w:color="auto" w:fill="FFFFFF"/>
              </w:rPr>
              <w:t xml:space="preserve"> </w:t>
            </w:r>
            <w:proofErr w:type="spellStart"/>
            <w:r w:rsidRPr="0090429D">
              <w:rPr>
                <w:shd w:val="clear" w:color="auto" w:fill="FFFFFF"/>
              </w:rPr>
              <w:t>administrāciju</w:t>
            </w:r>
            <w:proofErr w:type="spellEnd"/>
            <w:r w:rsidRPr="0090429D">
              <w:rPr>
                <w:shd w:val="clear" w:color="auto" w:fill="FFFFFF"/>
              </w:rPr>
              <w:t xml:space="preserve"> </w:t>
            </w:r>
            <w:proofErr w:type="spellStart"/>
            <w:r w:rsidRPr="0090429D">
              <w:rPr>
                <w:shd w:val="clear" w:color="auto" w:fill="FFFFFF"/>
              </w:rPr>
              <w:t>konferences</w:t>
            </w:r>
            <w:proofErr w:type="spellEnd"/>
            <w:r w:rsidRPr="0090429D">
              <w:rPr>
                <w:shd w:val="clear" w:color="auto" w:fill="FFFFFF"/>
              </w:rPr>
              <w:t xml:space="preserve"> (</w:t>
            </w:r>
            <w:r w:rsidRPr="0090429D">
              <w:rPr>
                <w:rStyle w:val="Strong"/>
                <w:bdr w:val="none" w:sz="0" w:space="0" w:color="auto" w:frame="1"/>
              </w:rPr>
              <w:t>CEPT</w:t>
            </w:r>
            <w:r w:rsidRPr="0090429D">
              <w:rPr>
                <w:bdr w:val="none" w:sz="0" w:space="0" w:color="auto" w:frame="1"/>
              </w:rPr>
              <w:t xml:space="preserve"> - </w:t>
            </w:r>
            <w:r w:rsidRPr="0090429D">
              <w:rPr>
                <w:rStyle w:val="Emphasis"/>
                <w:bdr w:val="none" w:sz="0" w:space="0" w:color="auto" w:frame="1"/>
              </w:rPr>
              <w:t xml:space="preserve">European </w:t>
            </w:r>
            <w:r w:rsidRPr="00975947">
              <w:rPr>
                <w:rStyle w:val="Emphasis"/>
                <w:bdr w:val="none" w:sz="0" w:space="0" w:color="auto" w:frame="1"/>
              </w:rPr>
              <w:t xml:space="preserve">Conference of Postal </w:t>
            </w:r>
            <w:r w:rsidRPr="0090429D">
              <w:rPr>
                <w:rStyle w:val="Emphasis"/>
                <w:bdr w:val="none" w:sz="0" w:space="0" w:color="auto" w:frame="1"/>
              </w:rPr>
              <w:t>and Telecommunications Administrations</w:t>
            </w:r>
            <w:r w:rsidRPr="0090429D">
              <w:rPr>
                <w:bdr w:val="none" w:sz="0" w:space="0" w:color="auto" w:frame="1"/>
              </w:rPr>
              <w:t>)</w:t>
            </w:r>
            <w:r w:rsidRPr="0090429D">
              <w:rPr>
                <w:bdr w:val="none" w:sz="0" w:space="0" w:color="auto" w:frame="1"/>
                <w:lang w:val="lv-LV"/>
              </w:rPr>
              <w:t xml:space="preserve"> </w:t>
            </w:r>
            <w:r w:rsidRPr="0090429D">
              <w:rPr>
                <w:shd w:val="clear" w:color="auto" w:fill="FFFFFF"/>
                <w:lang w:val="lv-LV"/>
              </w:rPr>
              <w:t>darba</w:t>
            </w:r>
            <w:r w:rsidRPr="0090429D">
              <w:rPr>
                <w:shd w:val="clear" w:color="auto" w:fill="FFFFFF"/>
              </w:rPr>
              <w:t xml:space="preserve"> </w:t>
            </w:r>
            <w:proofErr w:type="spellStart"/>
            <w:r w:rsidRPr="0090429D">
              <w:rPr>
                <w:shd w:val="clear" w:color="auto" w:fill="FFFFFF"/>
              </w:rPr>
              <w:t>grupās</w:t>
            </w:r>
            <w:proofErr w:type="spellEnd"/>
            <w:r w:rsidRPr="0090429D">
              <w:rPr>
                <w:shd w:val="clear" w:color="auto" w:fill="FFFFFF"/>
              </w:rPr>
              <w:t xml:space="preserve">. </w:t>
            </w:r>
            <w:proofErr w:type="spellStart"/>
            <w:r w:rsidRPr="0090429D">
              <w:rPr>
                <w:shd w:val="clear" w:color="auto" w:fill="FFFFFF"/>
              </w:rPr>
              <w:t>Tāpat</w:t>
            </w:r>
            <w:proofErr w:type="spellEnd"/>
            <w:r w:rsidRPr="0090429D">
              <w:rPr>
                <w:shd w:val="clear" w:color="auto" w:fill="FFFFFF"/>
              </w:rPr>
              <w:t xml:space="preserve"> </w:t>
            </w:r>
            <w:proofErr w:type="spellStart"/>
            <w:r w:rsidRPr="0090429D">
              <w:rPr>
                <w:shd w:val="clear" w:color="auto" w:fill="FFFFFF"/>
              </w:rPr>
              <w:t>arī</w:t>
            </w:r>
            <w:proofErr w:type="spellEnd"/>
            <w:r w:rsidRPr="0090429D">
              <w:rPr>
                <w:shd w:val="clear" w:color="auto" w:fill="FFFFFF"/>
              </w:rPr>
              <w:t xml:space="preserve"> </w:t>
            </w:r>
            <w:proofErr w:type="spellStart"/>
            <w:r w:rsidRPr="0090429D">
              <w:rPr>
                <w:bdr w:val="none" w:sz="0" w:space="0" w:color="auto" w:frame="1"/>
              </w:rPr>
              <w:t>Elektronisko</w:t>
            </w:r>
            <w:proofErr w:type="spellEnd"/>
            <w:r w:rsidRPr="0090429D">
              <w:rPr>
                <w:bdr w:val="none" w:sz="0" w:space="0" w:color="auto" w:frame="1"/>
              </w:rPr>
              <w:t xml:space="preserve"> </w:t>
            </w:r>
            <w:proofErr w:type="spellStart"/>
            <w:r w:rsidRPr="0090429D">
              <w:rPr>
                <w:bdr w:val="none" w:sz="0" w:space="0" w:color="auto" w:frame="1"/>
              </w:rPr>
              <w:t>sakaru</w:t>
            </w:r>
            <w:proofErr w:type="spellEnd"/>
            <w:r w:rsidRPr="0090429D">
              <w:rPr>
                <w:bdr w:val="none" w:sz="0" w:space="0" w:color="auto" w:frame="1"/>
              </w:rPr>
              <w:t xml:space="preserve"> </w:t>
            </w:r>
            <w:proofErr w:type="spellStart"/>
            <w:r w:rsidRPr="0090429D">
              <w:rPr>
                <w:bdr w:val="none" w:sz="0" w:space="0" w:color="auto" w:frame="1"/>
              </w:rPr>
              <w:t>komitejā</w:t>
            </w:r>
            <w:proofErr w:type="spellEnd"/>
            <w:r w:rsidRPr="0090429D">
              <w:rPr>
                <w:bdr w:val="none" w:sz="0" w:space="0" w:color="auto" w:frame="1"/>
              </w:rPr>
              <w:t xml:space="preserve"> </w:t>
            </w:r>
            <w:r w:rsidRPr="0090429D">
              <w:rPr>
                <w:u w:val="single"/>
                <w:bdr w:val="none" w:sz="0" w:space="0" w:color="auto" w:frame="1"/>
              </w:rPr>
              <w:t>(</w:t>
            </w:r>
            <w:r w:rsidRPr="0090429D">
              <w:rPr>
                <w:rStyle w:val="Strong"/>
                <w:bdr w:val="none" w:sz="0" w:space="0" w:color="auto" w:frame="1"/>
              </w:rPr>
              <w:t>ECC</w:t>
            </w:r>
            <w:r w:rsidRPr="0090429D">
              <w:rPr>
                <w:rStyle w:val="apple-converted-space"/>
                <w:bdr w:val="none" w:sz="0" w:space="0" w:color="auto" w:frame="1"/>
              </w:rPr>
              <w:t xml:space="preserve"> - </w:t>
            </w:r>
            <w:r w:rsidRPr="00975947">
              <w:rPr>
                <w:rStyle w:val="Emphasis"/>
                <w:bdr w:val="none" w:sz="0" w:space="0" w:color="auto" w:frame="1"/>
              </w:rPr>
              <w:t>Electronic Communications Committee</w:t>
            </w:r>
            <w:r w:rsidRPr="00975947">
              <w:rPr>
                <w:bdr w:val="none" w:sz="0" w:space="0" w:color="auto" w:frame="1"/>
              </w:rPr>
              <w:t>), Radio spektra komitejā (</w:t>
            </w:r>
            <w:r w:rsidRPr="00975947">
              <w:rPr>
                <w:rStyle w:val="Strong"/>
                <w:bdr w:val="none" w:sz="0" w:space="0" w:color="auto" w:frame="1"/>
              </w:rPr>
              <w:t>RSC</w:t>
            </w:r>
            <w:r w:rsidRPr="00975947">
              <w:rPr>
                <w:rStyle w:val="apple-converted-space"/>
                <w:bCs/>
                <w:bdr w:val="none" w:sz="0" w:space="0" w:color="auto" w:frame="1"/>
              </w:rPr>
              <w:t xml:space="preserve"> - </w:t>
            </w:r>
            <w:r w:rsidRPr="00975947">
              <w:rPr>
                <w:rStyle w:val="Emphasis"/>
                <w:bdr w:val="none" w:sz="0" w:space="0" w:color="auto" w:frame="1"/>
              </w:rPr>
              <w:t>Radio Spectrum Committee) un</w:t>
            </w:r>
            <w:r w:rsidRPr="00975947">
              <w:rPr>
                <w:rStyle w:val="apple-converted-space"/>
                <w:bdr w:val="none" w:sz="0" w:space="0" w:color="auto" w:frame="1"/>
              </w:rPr>
              <w:t> </w:t>
            </w:r>
            <w:r w:rsidRPr="00975947">
              <w:rPr>
                <w:bdr w:val="none" w:sz="0" w:space="0" w:color="auto" w:frame="1"/>
              </w:rPr>
              <w:t>Radio spektra politikas grupā (</w:t>
            </w:r>
            <w:r w:rsidRPr="00975947">
              <w:rPr>
                <w:rStyle w:val="Strong"/>
                <w:bdr w:val="none" w:sz="0" w:space="0" w:color="auto" w:frame="1"/>
              </w:rPr>
              <w:t>RSPG</w:t>
            </w:r>
            <w:r w:rsidRPr="00975947">
              <w:rPr>
                <w:rStyle w:val="apple-converted-space"/>
                <w:bCs/>
                <w:bdr w:val="none" w:sz="0" w:space="0" w:color="auto" w:frame="1"/>
              </w:rPr>
              <w:t> -</w:t>
            </w:r>
            <w:r w:rsidRPr="00975947">
              <w:rPr>
                <w:rStyle w:val="Emphasis"/>
                <w:bdr w:val="none" w:sz="0" w:space="0" w:color="auto" w:frame="1"/>
              </w:rPr>
              <w:t xml:space="preserve">Radio Spectrum </w:t>
            </w:r>
            <w:proofErr w:type="spellStart"/>
            <w:r w:rsidRPr="00975947">
              <w:rPr>
                <w:rStyle w:val="Emphasis"/>
                <w:bdr w:val="none" w:sz="0" w:space="0" w:color="auto" w:frame="1"/>
              </w:rPr>
              <w:t>Poliy</w:t>
            </w:r>
            <w:proofErr w:type="spellEnd"/>
            <w:r w:rsidRPr="00975947">
              <w:rPr>
                <w:rStyle w:val="Emphasis"/>
                <w:bdr w:val="none" w:sz="0" w:space="0" w:color="auto" w:frame="1"/>
              </w:rPr>
              <w:t xml:space="preserve"> Group</w:t>
            </w:r>
            <w:r w:rsidRPr="00975947">
              <w:rPr>
                <w:bdr w:val="none" w:sz="0" w:space="0" w:color="auto" w:frame="1"/>
              </w:rPr>
              <w:t xml:space="preserve">). </w:t>
            </w:r>
          </w:p>
          <w:p w:rsidR="00F059E4" w:rsidRPr="0090429D" w:rsidRDefault="00895374" w:rsidP="00F059E4">
            <w:pPr>
              <w:pStyle w:val="NormalWeb"/>
              <w:shd w:val="clear" w:color="auto" w:fill="FFFFFF"/>
              <w:spacing w:before="0" w:beforeAutospacing="0" w:after="0" w:afterAutospacing="0"/>
              <w:textAlignment w:val="baseline"/>
            </w:pPr>
            <w:proofErr w:type="spellStart"/>
            <w:r w:rsidRPr="0090429D">
              <w:t>Nacionālā</w:t>
            </w:r>
            <w:proofErr w:type="spellEnd"/>
            <w:r w:rsidRPr="0090429D">
              <w:t xml:space="preserve"> </w:t>
            </w:r>
            <w:proofErr w:type="spellStart"/>
            <w:r w:rsidRPr="0090429D">
              <w:t>radiofrekvenču</w:t>
            </w:r>
            <w:proofErr w:type="spellEnd"/>
            <w:r w:rsidRPr="0090429D">
              <w:t xml:space="preserve"> </w:t>
            </w:r>
            <w:proofErr w:type="spellStart"/>
            <w:r w:rsidRPr="0090429D">
              <w:t>plān</w:t>
            </w:r>
            <w:r w:rsidR="00F059E4" w:rsidRPr="0090429D">
              <w:t>ā</w:t>
            </w:r>
            <w:proofErr w:type="spellEnd"/>
            <w:r w:rsidRPr="0090429D">
              <w:t xml:space="preserve"> </w:t>
            </w:r>
            <w:proofErr w:type="spellStart"/>
            <w:r w:rsidR="00FB3C9B" w:rsidRPr="0090429D">
              <w:t>katram</w:t>
            </w:r>
            <w:proofErr w:type="spellEnd"/>
            <w:r w:rsidR="00FB3C9B" w:rsidRPr="0090429D">
              <w:t xml:space="preserve"> </w:t>
            </w:r>
            <w:proofErr w:type="spellStart"/>
            <w:r w:rsidR="00F059E4" w:rsidRPr="0090429D">
              <w:t>radiosakaru</w:t>
            </w:r>
            <w:proofErr w:type="spellEnd"/>
            <w:r w:rsidR="00F059E4" w:rsidRPr="0090429D">
              <w:t xml:space="preserve"> </w:t>
            </w:r>
            <w:proofErr w:type="spellStart"/>
            <w:r w:rsidR="00F059E4" w:rsidRPr="0090429D">
              <w:t>veidam</w:t>
            </w:r>
            <w:proofErr w:type="spellEnd"/>
            <w:r w:rsidR="00F059E4" w:rsidRPr="0090429D">
              <w:t xml:space="preserve"> un </w:t>
            </w:r>
            <w:proofErr w:type="spellStart"/>
            <w:r w:rsidR="00F059E4" w:rsidRPr="0090429D">
              <w:t>radiofrekvenču</w:t>
            </w:r>
            <w:proofErr w:type="spellEnd"/>
            <w:r w:rsidR="00F059E4" w:rsidRPr="0090429D">
              <w:t xml:space="preserve"> </w:t>
            </w:r>
            <w:proofErr w:type="spellStart"/>
            <w:r w:rsidR="00F059E4" w:rsidRPr="0090429D">
              <w:t>joslai</w:t>
            </w:r>
            <w:proofErr w:type="spellEnd"/>
            <w:r w:rsidR="00F059E4" w:rsidRPr="0090429D">
              <w:t xml:space="preserve"> </w:t>
            </w:r>
            <w:proofErr w:type="spellStart"/>
            <w:r w:rsidR="00F059E4" w:rsidRPr="0090429D">
              <w:t>paredzēti</w:t>
            </w:r>
            <w:proofErr w:type="spellEnd"/>
            <w:r w:rsidR="00F059E4" w:rsidRPr="0090429D">
              <w:t xml:space="preserve"> </w:t>
            </w:r>
            <w:proofErr w:type="spellStart"/>
            <w:r w:rsidR="00F059E4" w:rsidRPr="0090429D">
              <w:t>atbilstoši</w:t>
            </w:r>
            <w:proofErr w:type="spellEnd"/>
            <w:r w:rsidR="00F059E4" w:rsidRPr="0090429D">
              <w:t xml:space="preserve"> </w:t>
            </w:r>
            <w:proofErr w:type="spellStart"/>
            <w:r w:rsidRPr="0090429D">
              <w:t>lēmumi</w:t>
            </w:r>
            <w:proofErr w:type="spellEnd"/>
            <w:r w:rsidRPr="0090429D">
              <w:t xml:space="preserve"> un </w:t>
            </w:r>
            <w:proofErr w:type="spellStart"/>
            <w:r w:rsidRPr="0090429D">
              <w:t>rekomendācijas</w:t>
            </w:r>
            <w:proofErr w:type="spellEnd"/>
            <w:r w:rsidR="00F059E4" w:rsidRPr="0090429D">
              <w:rPr>
                <w:bCs/>
              </w:rPr>
              <w:t>,</w:t>
            </w:r>
            <w:r w:rsidR="00FB3C9B" w:rsidRPr="0090429D">
              <w:rPr>
                <w:bCs/>
              </w:rPr>
              <w:t xml:space="preserve"> </w:t>
            </w:r>
            <w:proofErr w:type="spellStart"/>
            <w:r w:rsidR="00FB3C9B" w:rsidRPr="0090429D">
              <w:rPr>
                <w:bCs/>
              </w:rPr>
              <w:t>tiek</w:t>
            </w:r>
            <w:proofErr w:type="spellEnd"/>
            <w:r w:rsidR="00FB3C9B" w:rsidRPr="0090429D">
              <w:rPr>
                <w:bCs/>
              </w:rPr>
              <w:t xml:space="preserve"> </w:t>
            </w:r>
            <w:proofErr w:type="spellStart"/>
            <w:r w:rsidR="00FB3C9B" w:rsidRPr="0090429D">
              <w:rPr>
                <w:bCs/>
              </w:rPr>
              <w:t>veidotas</w:t>
            </w:r>
            <w:proofErr w:type="spellEnd"/>
            <w:r w:rsidR="00FB3C9B" w:rsidRPr="0090429D">
              <w:rPr>
                <w:bCs/>
              </w:rPr>
              <w:t xml:space="preserve"> </w:t>
            </w:r>
            <w:proofErr w:type="spellStart"/>
            <w:r w:rsidR="00FB3C9B" w:rsidRPr="0090429D">
              <w:rPr>
                <w:bCs/>
              </w:rPr>
              <w:t>atsauces</w:t>
            </w:r>
            <w:proofErr w:type="spellEnd"/>
            <w:r w:rsidR="00FB3C9B" w:rsidRPr="0090429D">
              <w:rPr>
                <w:bCs/>
              </w:rPr>
              <w:t xml:space="preserve"> </w:t>
            </w:r>
            <w:proofErr w:type="spellStart"/>
            <w:r w:rsidR="00FB3C9B" w:rsidRPr="0090429D">
              <w:rPr>
                <w:bCs/>
              </w:rPr>
              <w:t>uz</w:t>
            </w:r>
            <w:proofErr w:type="spellEnd"/>
            <w:r w:rsidR="00FB3C9B" w:rsidRPr="0090429D">
              <w:rPr>
                <w:bCs/>
              </w:rPr>
              <w:t xml:space="preserve"> </w:t>
            </w:r>
            <w:proofErr w:type="spellStart"/>
            <w:r w:rsidR="00FB3C9B" w:rsidRPr="0090429D">
              <w:rPr>
                <w:bCs/>
              </w:rPr>
              <w:t>tām</w:t>
            </w:r>
            <w:proofErr w:type="spellEnd"/>
            <w:r w:rsidR="00FB3C9B" w:rsidRPr="0090429D">
              <w:rPr>
                <w:bCs/>
              </w:rPr>
              <w:t xml:space="preserve">, </w:t>
            </w:r>
            <w:proofErr w:type="spellStart"/>
            <w:r w:rsidR="00FB3C9B" w:rsidRPr="0090429D">
              <w:rPr>
                <w:bCs/>
              </w:rPr>
              <w:t>jo</w:t>
            </w:r>
            <w:proofErr w:type="spellEnd"/>
            <w:r w:rsidR="00FB3C9B" w:rsidRPr="0090429D">
              <w:rPr>
                <w:bCs/>
              </w:rPr>
              <w:t xml:space="preserve"> </w:t>
            </w:r>
            <w:proofErr w:type="spellStart"/>
            <w:r w:rsidR="00FB3C9B" w:rsidRPr="0090429D">
              <w:rPr>
                <w:bCs/>
              </w:rPr>
              <w:t>o</w:t>
            </w:r>
            <w:r w:rsidR="00FB3C9B" w:rsidRPr="0090429D">
              <w:t>bjektīvu</w:t>
            </w:r>
            <w:proofErr w:type="spellEnd"/>
            <w:r w:rsidR="00FB3C9B" w:rsidRPr="0090429D">
              <w:t xml:space="preserve"> </w:t>
            </w:r>
            <w:proofErr w:type="spellStart"/>
            <w:r w:rsidR="00FB3C9B" w:rsidRPr="0090429D">
              <w:t>iemeslu</w:t>
            </w:r>
            <w:proofErr w:type="spellEnd"/>
            <w:r w:rsidR="00FB3C9B" w:rsidRPr="0090429D">
              <w:t xml:space="preserve"> </w:t>
            </w:r>
            <w:proofErr w:type="spellStart"/>
            <w:r w:rsidR="00FB3C9B" w:rsidRPr="0090429D">
              <w:t>dēļ</w:t>
            </w:r>
            <w:proofErr w:type="spellEnd"/>
            <w:r w:rsidR="00FB3C9B" w:rsidRPr="0090429D">
              <w:t xml:space="preserve"> </w:t>
            </w:r>
            <w:proofErr w:type="spellStart"/>
            <w:r w:rsidR="00FB3C9B" w:rsidRPr="0090429D">
              <w:t>nav</w:t>
            </w:r>
            <w:proofErr w:type="spellEnd"/>
            <w:r w:rsidR="00FB3C9B" w:rsidRPr="0090429D">
              <w:t xml:space="preserve"> </w:t>
            </w:r>
            <w:proofErr w:type="spellStart"/>
            <w:r w:rsidR="00FB3C9B" w:rsidRPr="0090429D">
              <w:t>iespējams</w:t>
            </w:r>
            <w:proofErr w:type="spellEnd"/>
            <w:r w:rsidR="00FB3C9B" w:rsidRPr="0090429D">
              <w:t xml:space="preserve"> </w:t>
            </w:r>
            <w:proofErr w:type="spellStart"/>
            <w:r w:rsidR="00FB3C9B" w:rsidRPr="0090429D">
              <w:t>visu</w:t>
            </w:r>
            <w:proofErr w:type="spellEnd"/>
            <w:r w:rsidR="00FB3C9B" w:rsidRPr="0090429D">
              <w:t xml:space="preserve"> </w:t>
            </w:r>
            <w:proofErr w:type="spellStart"/>
            <w:r w:rsidR="00FB3C9B" w:rsidRPr="0090429D">
              <w:t>lēmumu</w:t>
            </w:r>
            <w:proofErr w:type="spellEnd"/>
            <w:r w:rsidR="00FB3C9B" w:rsidRPr="0090429D">
              <w:t xml:space="preserve"> </w:t>
            </w:r>
            <w:proofErr w:type="spellStart"/>
            <w:r w:rsidR="00FB3C9B" w:rsidRPr="0090429D">
              <w:t>prasības</w:t>
            </w:r>
            <w:proofErr w:type="spellEnd"/>
            <w:r w:rsidR="00FB3C9B" w:rsidRPr="0090429D">
              <w:t xml:space="preserve"> </w:t>
            </w:r>
            <w:proofErr w:type="spellStart"/>
            <w:r w:rsidR="00FB3C9B" w:rsidRPr="0090429D">
              <w:t>apkopot</w:t>
            </w:r>
            <w:proofErr w:type="spellEnd"/>
            <w:r w:rsidR="00FB3C9B" w:rsidRPr="0090429D">
              <w:t xml:space="preserve"> </w:t>
            </w:r>
            <w:proofErr w:type="spellStart"/>
            <w:r w:rsidR="00FB3C9B" w:rsidRPr="0090429D">
              <w:t>vienā</w:t>
            </w:r>
            <w:proofErr w:type="spellEnd"/>
            <w:r w:rsidR="00FB3C9B" w:rsidRPr="0090429D">
              <w:t xml:space="preserve"> </w:t>
            </w:r>
            <w:proofErr w:type="spellStart"/>
            <w:r w:rsidR="00FB3C9B" w:rsidRPr="0090429D">
              <w:t>normatīvajā</w:t>
            </w:r>
            <w:proofErr w:type="spellEnd"/>
            <w:r w:rsidR="00FB3C9B" w:rsidRPr="0090429D">
              <w:t xml:space="preserve"> </w:t>
            </w:r>
            <w:proofErr w:type="spellStart"/>
            <w:r w:rsidR="00FB3C9B" w:rsidRPr="0090429D">
              <w:t>aktā</w:t>
            </w:r>
            <w:proofErr w:type="spellEnd"/>
            <w:r w:rsidR="00FB3C9B" w:rsidRPr="0090429D">
              <w:t xml:space="preserve">. </w:t>
            </w:r>
            <w:proofErr w:type="spellStart"/>
            <w:r w:rsidR="00FB3C9B" w:rsidRPr="0090429D">
              <w:rPr>
                <w:bCs/>
              </w:rPr>
              <w:t>Rezultātā</w:t>
            </w:r>
            <w:proofErr w:type="spellEnd"/>
            <w:r w:rsidR="00FB3C9B" w:rsidRPr="0090429D">
              <w:rPr>
                <w:bCs/>
              </w:rPr>
              <w:t xml:space="preserve"> </w:t>
            </w:r>
            <w:proofErr w:type="spellStart"/>
            <w:r w:rsidR="00FB3C9B" w:rsidRPr="0090429D">
              <w:rPr>
                <w:bCs/>
              </w:rPr>
              <w:t>tiek</w:t>
            </w:r>
            <w:proofErr w:type="spellEnd"/>
            <w:r w:rsidR="00FB3C9B" w:rsidRPr="0090429D">
              <w:rPr>
                <w:bCs/>
              </w:rPr>
              <w:t xml:space="preserve"> </w:t>
            </w:r>
            <w:proofErr w:type="spellStart"/>
            <w:r w:rsidR="00F059E4" w:rsidRPr="0090429D">
              <w:t>piemērot</w:t>
            </w:r>
            <w:r w:rsidR="00FB3C9B" w:rsidRPr="0090429D">
              <w:t>as</w:t>
            </w:r>
            <w:proofErr w:type="spellEnd"/>
            <w:r w:rsidR="00F059E4" w:rsidRPr="0090429D">
              <w:t xml:space="preserve"> </w:t>
            </w:r>
            <w:proofErr w:type="spellStart"/>
            <w:r w:rsidR="00FB3C9B" w:rsidRPr="0090429D">
              <w:t>atkāpes</w:t>
            </w:r>
            <w:proofErr w:type="spellEnd"/>
            <w:r w:rsidR="00FB3C9B" w:rsidRPr="0090429D">
              <w:t xml:space="preserve"> no </w:t>
            </w:r>
            <w:proofErr w:type="spellStart"/>
            <w:r w:rsidR="00FB3C9B" w:rsidRPr="0090429D">
              <w:t>noteiktās</w:t>
            </w:r>
            <w:proofErr w:type="spellEnd"/>
            <w:r w:rsidR="00FB3C9B" w:rsidRPr="0090429D">
              <w:t xml:space="preserve"> </w:t>
            </w:r>
            <w:proofErr w:type="spellStart"/>
            <w:r w:rsidR="00FB3C9B" w:rsidRPr="0090429D">
              <w:t>kārtības</w:t>
            </w:r>
            <w:proofErr w:type="spellEnd"/>
            <w:r w:rsidR="00FB3C9B" w:rsidRPr="0090429D">
              <w:t xml:space="preserve"> </w:t>
            </w:r>
            <w:proofErr w:type="spellStart"/>
            <w:r w:rsidR="00F059E4" w:rsidRPr="0090429D">
              <w:t>lēmumu</w:t>
            </w:r>
            <w:proofErr w:type="spellEnd"/>
            <w:r w:rsidR="00F059E4" w:rsidRPr="0090429D">
              <w:t xml:space="preserve"> </w:t>
            </w:r>
            <w:proofErr w:type="spellStart"/>
            <w:r w:rsidR="00F059E4" w:rsidRPr="0090429D">
              <w:t>normu</w:t>
            </w:r>
            <w:proofErr w:type="spellEnd"/>
            <w:r w:rsidR="00F059E4" w:rsidRPr="0090429D">
              <w:t xml:space="preserve"> </w:t>
            </w:r>
            <w:proofErr w:type="spellStart"/>
            <w:r w:rsidR="00F059E4" w:rsidRPr="0090429D">
              <w:t>pārņemšanā</w:t>
            </w:r>
            <w:proofErr w:type="spellEnd"/>
            <w:r w:rsidR="00F059E4" w:rsidRPr="0090429D">
              <w:t>.</w:t>
            </w:r>
            <w:r w:rsidRPr="0090429D">
              <w:t xml:space="preserve"> </w:t>
            </w:r>
          </w:p>
          <w:p w:rsidR="00FB3C9B" w:rsidRPr="0090429D" w:rsidRDefault="00FB3C9B" w:rsidP="00506D49">
            <w:pPr>
              <w:jc w:val="both"/>
            </w:pPr>
          </w:p>
          <w:p w:rsidR="00895374" w:rsidRPr="0090429D" w:rsidRDefault="00881D48" w:rsidP="00506D49">
            <w:pPr>
              <w:jc w:val="both"/>
            </w:pPr>
            <w:r w:rsidRPr="0090429D">
              <w:t xml:space="preserve">Lēmumā 2014/702/ES </w:t>
            </w:r>
            <w:r w:rsidR="00FF1546" w:rsidRPr="0090429D">
              <w:t>traucējumu mazināšanas paņēmienu tehniskā informācija ir noteikta ETSI harmonizētaj</w:t>
            </w:r>
            <w:r w:rsidR="002B6408" w:rsidRPr="0090429D">
              <w:t>os</w:t>
            </w:r>
            <w:r w:rsidR="00FF1546" w:rsidRPr="0090429D">
              <w:t xml:space="preserve"> Eiropas standart</w:t>
            </w:r>
            <w:r w:rsidR="002B6408" w:rsidRPr="0090429D">
              <w:t>os</w:t>
            </w:r>
            <w:r w:rsidR="00FF1546" w:rsidRPr="0090429D">
              <w:t xml:space="preserve"> un ECC Lēmum</w:t>
            </w:r>
            <w:r w:rsidR="002B6408" w:rsidRPr="0090429D">
              <w:t>ā</w:t>
            </w:r>
            <w:r w:rsidR="00FF1546" w:rsidRPr="0090429D">
              <w:t xml:space="preserve"> (06)04</w:t>
            </w:r>
            <w:r w:rsidR="007E0DBB" w:rsidRPr="0090429D">
              <w:t xml:space="preserve">, un </w:t>
            </w:r>
            <w:r w:rsidR="00895374" w:rsidRPr="0090429D">
              <w:t>kā noteikts ECC un ETSI saprašanās memorandā, tā arī turpmāk atbildīs visām nākamajām izmaiņām. Tādēļ Komisijas lēmumam būtu tikai jāmin atbilstoši traucējumu mazināšanas paņēmieni.</w:t>
            </w:r>
          </w:p>
          <w:p w:rsidR="006B70B6" w:rsidRPr="0090429D" w:rsidRDefault="006B70B6" w:rsidP="00506D49">
            <w:pPr>
              <w:jc w:val="both"/>
            </w:pPr>
            <w:r w:rsidRPr="0090429D">
              <w:t xml:space="preserve">Noteikumu projektā minētās </w:t>
            </w:r>
            <w:r w:rsidR="003B31D4" w:rsidRPr="0090429D">
              <w:t xml:space="preserve">tiešās </w:t>
            </w:r>
            <w:r w:rsidRPr="0090429D">
              <w:t>atsauces uz standartiem tiek lietotas atbilstoši Lēmumam 2014/702/ES, kura tehnisko parametru kopums pārņemts noteikumu projekta 3.pielikumā</w:t>
            </w:r>
            <w:r w:rsidR="006B58BC" w:rsidRPr="0090429D">
              <w:t xml:space="preserve"> (noteikumu projekta 80.punkts)</w:t>
            </w:r>
            <w:r w:rsidRPr="0090429D">
              <w:t>, vienlaikus ietverot tajā minētās atsauces uz standartiem</w:t>
            </w:r>
            <w:r w:rsidR="003B31D4" w:rsidRPr="0090429D">
              <w:t>, jo to paredz ES regulējums</w:t>
            </w:r>
            <w:r w:rsidRPr="0090429D">
              <w:t xml:space="preserve">. </w:t>
            </w:r>
          </w:p>
          <w:p w:rsidR="006B70B6" w:rsidRPr="0090429D" w:rsidRDefault="006B70B6" w:rsidP="00506D49">
            <w:pPr>
              <w:jc w:val="both"/>
            </w:pPr>
            <w:r w:rsidRPr="0090429D">
              <w:t xml:space="preserve">Ņemot vērā, ka standartus izmanto neliels skaits jomas speciālistu, to tulkošana nebūtu </w:t>
            </w:r>
            <w:r w:rsidR="00714A0E" w:rsidRPr="0090429D">
              <w:t>jā</w:t>
            </w:r>
            <w:r w:rsidRPr="0090429D">
              <w:t>uzskat</w:t>
            </w:r>
            <w:r w:rsidR="00714A0E" w:rsidRPr="0090429D">
              <w:t xml:space="preserve">a </w:t>
            </w:r>
            <w:r w:rsidRPr="0090429D">
              <w:t>par lietderīgu.</w:t>
            </w:r>
            <w:r w:rsidR="003B31D4" w:rsidRPr="0090429D">
              <w:t xml:space="preserve"> Precizējošu informāciju attiecībā uz Lēmumā 2014/702/ES minēto standartu, iespējams iegūt konsultējoties VAS “Elektroniskie sakari”.</w:t>
            </w:r>
          </w:p>
          <w:p w:rsidR="00573DA3" w:rsidRDefault="00573DA3" w:rsidP="006B70B6">
            <w:pPr>
              <w:jc w:val="both"/>
            </w:pPr>
          </w:p>
        </w:tc>
      </w:tr>
    </w:tbl>
    <w:p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11"/>
        <w:gridCol w:w="3195"/>
        <w:gridCol w:w="5714"/>
      </w:tblGrid>
      <w:tr w:rsidR="00895374" w:rsidRPr="00E030F4" w:rsidTr="00CF7285">
        <w:tc>
          <w:tcPr>
            <w:tcW w:w="5000" w:type="pct"/>
            <w:gridSpan w:val="3"/>
            <w:tcBorders>
              <w:top w:val="single" w:sz="4" w:space="0" w:color="auto"/>
              <w:left w:val="single" w:sz="4" w:space="0" w:color="auto"/>
              <w:bottom w:val="outset" w:sz="6" w:space="0" w:color="000000"/>
              <w:right w:val="single" w:sz="4" w:space="0" w:color="auto"/>
            </w:tcBorders>
          </w:tcPr>
          <w:p w:rsidR="00895374" w:rsidRPr="00E030F4" w:rsidRDefault="00895374" w:rsidP="00CF7285">
            <w:pPr>
              <w:spacing w:before="100" w:beforeAutospacing="1" w:after="100" w:afterAutospacing="1"/>
              <w:jc w:val="center"/>
              <w:rPr>
                <w:b/>
                <w:bCs/>
              </w:rPr>
            </w:pPr>
            <w:r w:rsidRPr="00CA06B9">
              <w:rPr>
                <w:b/>
                <w:bCs/>
              </w:rPr>
              <w:t>II. Tiesību akta projekta ietekme uz sabiedrību</w:t>
            </w:r>
            <w:r>
              <w:rPr>
                <w:b/>
                <w:bCs/>
              </w:rPr>
              <w:t>, tautsaimniecības attīstību un administratīvo slogu</w:t>
            </w:r>
          </w:p>
        </w:tc>
      </w:tr>
      <w:tr w:rsidR="00895374" w:rsidRPr="00E030F4" w:rsidTr="00CF7285">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CA06B9">
              <w:t>Sabiedrības mērķgrupa</w:t>
            </w:r>
            <w:r>
              <w:t xml:space="preserve">s,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rsidR="00895374" w:rsidRDefault="00895374" w:rsidP="00CF7285">
            <w:pPr>
              <w:jc w:val="both"/>
            </w:pPr>
            <w:r w:rsidRPr="00131F09">
              <w:t>Radiofrekvenču spektra lietotāji.</w:t>
            </w:r>
          </w:p>
          <w:p w:rsidR="00895374" w:rsidRPr="007F6CF5" w:rsidRDefault="00895374" w:rsidP="00CF7285">
            <w:pPr>
              <w:jc w:val="both"/>
            </w:pPr>
          </w:p>
        </w:tc>
      </w:tr>
      <w:tr w:rsidR="00895374" w:rsidRPr="00E030F4" w:rsidTr="00CF7285">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2.</w:t>
            </w:r>
          </w:p>
        </w:tc>
        <w:tc>
          <w:tcPr>
            <w:tcW w:w="1696"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after="100" w:afterAutospacing="1"/>
              <w:jc w:val="both"/>
            </w:pPr>
            <w:r>
              <w:t>Ietekmes nav</w:t>
            </w:r>
            <w:r w:rsidRPr="006D4B6A">
              <w:t xml:space="preserve">. </w:t>
            </w:r>
          </w:p>
        </w:tc>
      </w:tr>
      <w:tr w:rsidR="00895374" w:rsidRPr="00E030F4" w:rsidTr="00CF7285">
        <w:trPr>
          <w:trHeight w:val="536"/>
        </w:trPr>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rsidR="00895374" w:rsidRPr="00CE70FA" w:rsidRDefault="00895374" w:rsidP="00CF728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rsidR="00895374" w:rsidRDefault="00895374" w:rsidP="00CF7285">
            <w:pPr>
              <w:spacing w:before="100" w:beforeAutospacing="1" w:after="100" w:afterAutospacing="1"/>
            </w:pPr>
            <w:r w:rsidRPr="00CA06B9">
              <w:t>Projekts šo jomu neskar</w:t>
            </w:r>
            <w:r>
              <w:t>.</w:t>
            </w:r>
          </w:p>
        </w:tc>
      </w:tr>
      <w:tr w:rsidR="00895374" w:rsidRPr="00E030F4" w:rsidTr="00CF7285">
        <w:tc>
          <w:tcPr>
            <w:tcW w:w="271"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rsidR="00895374" w:rsidRDefault="00895374" w:rsidP="00CF7285">
            <w:pPr>
              <w:spacing w:before="100" w:beforeAutospacing="1" w:after="100" w:afterAutospacing="1"/>
              <w:jc w:val="both"/>
            </w:pPr>
            <w:r>
              <w:t>Nav.</w:t>
            </w:r>
          </w:p>
        </w:tc>
      </w:tr>
    </w:tbl>
    <w:p w:rsidR="00895374" w:rsidRDefault="00895374"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53"/>
        <w:gridCol w:w="1171"/>
        <w:gridCol w:w="1031"/>
        <w:gridCol w:w="916"/>
        <w:gridCol w:w="236"/>
        <w:gridCol w:w="857"/>
        <w:gridCol w:w="430"/>
        <w:gridCol w:w="1206"/>
        <w:gridCol w:w="232"/>
        <w:gridCol w:w="418"/>
        <w:gridCol w:w="2570"/>
      </w:tblGrid>
      <w:tr w:rsidR="00895374" w:rsidRPr="00E030F4" w:rsidTr="00CF7285">
        <w:tc>
          <w:tcPr>
            <w:tcW w:w="5000" w:type="pct"/>
            <w:gridSpan w:val="11"/>
            <w:tcBorders>
              <w:top w:val="single" w:sz="4" w:space="0" w:color="auto"/>
              <w:left w:val="single" w:sz="4" w:space="0" w:color="auto"/>
              <w:bottom w:val="outset" w:sz="6" w:space="0" w:color="000000"/>
              <w:right w:val="single" w:sz="4" w:space="0" w:color="auto"/>
            </w:tcBorders>
          </w:tcPr>
          <w:p w:rsidR="00895374" w:rsidRPr="00E030F4" w:rsidRDefault="00895374" w:rsidP="00CF7285">
            <w:pPr>
              <w:spacing w:before="100" w:beforeAutospacing="1" w:after="100" w:afterAutospacing="1"/>
              <w:jc w:val="center"/>
              <w:rPr>
                <w:b/>
                <w:bCs/>
              </w:rPr>
            </w:pPr>
            <w:r w:rsidRPr="00E030F4">
              <w:rPr>
                <w:b/>
                <w:bCs/>
              </w:rPr>
              <w:t>V. Tiesību akta projekta atbilstība Latvijas Republikas starptautiskajām saistībām</w:t>
            </w:r>
          </w:p>
        </w:tc>
      </w:tr>
      <w:tr w:rsidR="00895374" w:rsidRPr="00E030F4" w:rsidTr="00C66B90">
        <w:tc>
          <w:tcPr>
            <w:tcW w:w="188"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1.</w:t>
            </w:r>
          </w:p>
        </w:tc>
        <w:tc>
          <w:tcPr>
            <w:tcW w:w="1169" w:type="pct"/>
            <w:gridSpan w:val="2"/>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Saistības pret Eiropas Savienību</w:t>
            </w:r>
          </w:p>
        </w:tc>
        <w:tc>
          <w:tcPr>
            <w:tcW w:w="3643" w:type="pct"/>
            <w:gridSpan w:val="8"/>
            <w:tcBorders>
              <w:top w:val="outset" w:sz="6" w:space="0" w:color="000000"/>
              <w:left w:val="outset" w:sz="6" w:space="0" w:color="000000"/>
              <w:bottom w:val="outset" w:sz="6" w:space="0" w:color="000000"/>
              <w:right w:val="outset" w:sz="6" w:space="0" w:color="000000"/>
            </w:tcBorders>
          </w:tcPr>
          <w:p w:rsidR="00895374" w:rsidRDefault="00895374" w:rsidP="00CF7285">
            <w:pPr>
              <w:pStyle w:val="naiskr"/>
              <w:spacing w:before="0" w:after="0"/>
              <w:jc w:val="both"/>
            </w:pPr>
            <w:r>
              <w:t xml:space="preserve">Ar noteikumu projektu </w:t>
            </w:r>
            <w:r w:rsidRPr="00A02142">
              <w:t>tiek pārņemta</w:t>
            </w:r>
            <w:r>
              <w:t xml:space="preserve"> šādu Eiropas Savienības tiesību aktu prasības:</w:t>
            </w:r>
          </w:p>
          <w:p w:rsidR="00895374" w:rsidRDefault="00ED00CB" w:rsidP="00CF7285">
            <w:pPr>
              <w:jc w:val="both"/>
            </w:pPr>
            <w:r>
              <w:t>1)</w:t>
            </w:r>
            <w:r w:rsidR="00895374" w:rsidRPr="005831CB">
              <w:t>Komisijas 201</w:t>
            </w:r>
            <w:r w:rsidR="00895374">
              <w:t>4</w:t>
            </w:r>
            <w:r w:rsidR="00895374" w:rsidRPr="005831CB">
              <w:t xml:space="preserve">.gada </w:t>
            </w:r>
            <w:r w:rsidR="00895374">
              <w:t>2</w:t>
            </w:r>
            <w:r w:rsidR="00895374" w:rsidRPr="005831CB">
              <w:t>.</w:t>
            </w:r>
            <w:r w:rsidR="00895374">
              <w:t>maija</w:t>
            </w:r>
            <w:r w:rsidR="00895374" w:rsidRPr="005831CB">
              <w:t xml:space="preserve"> Lēmums 201</w:t>
            </w:r>
            <w:r w:rsidR="00895374">
              <w:t>4</w:t>
            </w:r>
            <w:r w:rsidR="00895374" w:rsidRPr="005831CB">
              <w:t>/</w:t>
            </w:r>
            <w:r w:rsidR="00895374">
              <w:t>276</w:t>
            </w:r>
            <w:r w:rsidR="00895374" w:rsidRPr="005831CB">
              <w:t xml:space="preserve">/ES par </w:t>
            </w:r>
            <w:r w:rsidR="00895374">
              <w:t xml:space="preserve">grozījumiem Lēmumā 2008/411/EK par 3400-3800 MHz frekvenču joslas harmonizāciju tādu zemes sistēmu vajadzībām, kas Kopienā </w:t>
            </w:r>
            <w:r w:rsidR="00895374" w:rsidRPr="005831CB">
              <w:t xml:space="preserve"> spēj nodrošināt elektronisko sakaru pakalpojumus</w:t>
            </w:r>
            <w:r w:rsidR="00895374">
              <w:t>;</w:t>
            </w:r>
          </w:p>
          <w:p w:rsidR="00895374" w:rsidRPr="005831CB" w:rsidRDefault="00ED00CB" w:rsidP="00CF7285">
            <w:pPr>
              <w:jc w:val="both"/>
            </w:pPr>
            <w:r>
              <w:t>2)</w:t>
            </w:r>
            <w:r w:rsidR="00895374" w:rsidRPr="005831CB">
              <w:t>Komisijas 201</w:t>
            </w:r>
            <w:r w:rsidR="00895374">
              <w:t>4.gada 1</w:t>
            </w:r>
            <w:r w:rsidR="00895374" w:rsidRPr="005831CB">
              <w:t>.</w:t>
            </w:r>
            <w:r w:rsidR="00895374">
              <w:t>septembra</w:t>
            </w:r>
            <w:r w:rsidR="00895374" w:rsidRPr="005831CB">
              <w:t xml:space="preserve"> Lēmums 201</w:t>
            </w:r>
            <w:r w:rsidR="00895374">
              <w:t>4</w:t>
            </w:r>
            <w:r w:rsidR="00895374" w:rsidRPr="005831CB">
              <w:t>/6</w:t>
            </w:r>
            <w:r w:rsidR="00895374">
              <w:t>41</w:t>
            </w:r>
            <w:r w:rsidR="00895374" w:rsidRPr="005831CB">
              <w:t>/ES par</w:t>
            </w:r>
            <w:r w:rsidR="00895374">
              <w:t xml:space="preserve"> harmonizētajiem tehniskajiem nosacījumiem radiofrekvenču spektra izmantošanai programmu gatavošanas un īpašo pasākumu bezvadu skaņas iekārtās Savienībā;</w:t>
            </w:r>
          </w:p>
          <w:p w:rsidR="00895374" w:rsidRDefault="00ED00CB" w:rsidP="00CF7285">
            <w:pPr>
              <w:jc w:val="both"/>
            </w:pPr>
            <w:r>
              <w:t>3)</w:t>
            </w:r>
            <w:r w:rsidR="00895374" w:rsidRPr="005831CB">
              <w:t>Komisijas 201</w:t>
            </w:r>
            <w:r w:rsidR="00895374">
              <w:t>4</w:t>
            </w:r>
            <w:r w:rsidR="00895374" w:rsidRPr="005831CB">
              <w:t xml:space="preserve">.gada </w:t>
            </w:r>
            <w:r w:rsidR="00895374">
              <w:t>7</w:t>
            </w:r>
            <w:r w:rsidR="00895374" w:rsidRPr="005831CB">
              <w:t>.</w:t>
            </w:r>
            <w:r w:rsidR="00895374">
              <w:t>oktobra</w:t>
            </w:r>
            <w:r w:rsidR="00895374" w:rsidRPr="005831CB">
              <w:t xml:space="preserve"> Lēmums 201</w:t>
            </w:r>
            <w:r w:rsidR="00895374">
              <w:t>4</w:t>
            </w:r>
            <w:r w:rsidR="00895374" w:rsidRPr="005831CB">
              <w:t>/7</w:t>
            </w:r>
            <w:r w:rsidR="00895374">
              <w:t>0</w:t>
            </w:r>
            <w:r w:rsidR="00895374" w:rsidRPr="005831CB">
              <w:t>2/ES, ar ko groz</w:t>
            </w:r>
            <w:r w:rsidR="00895374">
              <w:t>a</w:t>
            </w:r>
            <w:r w:rsidR="00895374" w:rsidRPr="005831CB">
              <w:t xml:space="preserve"> Lēmum</w:t>
            </w:r>
            <w:r w:rsidR="00895374">
              <w:t>u</w:t>
            </w:r>
            <w:r w:rsidR="00895374" w:rsidRPr="005831CB">
              <w:t xml:space="preserve"> 200</w:t>
            </w:r>
            <w:r w:rsidR="00895374">
              <w:t>7</w:t>
            </w:r>
            <w:r w:rsidR="00895374" w:rsidRPr="005831CB">
              <w:t>/</w:t>
            </w:r>
            <w:r w:rsidR="00895374">
              <w:t>13</w:t>
            </w:r>
            <w:r w:rsidR="00895374" w:rsidRPr="005831CB">
              <w:t xml:space="preserve">1/EK par </w:t>
            </w:r>
            <w:r w:rsidR="00895374">
              <w:t>atļauju</w:t>
            </w:r>
            <w:r w:rsidR="00895374" w:rsidRPr="005831CB">
              <w:t xml:space="preserve"> </w:t>
            </w:r>
            <w:r w:rsidR="00895374">
              <w:t>Kopienā harmonizēti izmantot radiofrekvenču spektru iekārtām, kurās izmantota ultraplatjoslas tehnoloģija</w:t>
            </w:r>
            <w:r>
              <w:t>;</w:t>
            </w:r>
          </w:p>
          <w:p w:rsidR="00ED00CB" w:rsidRPr="007F6CF5" w:rsidRDefault="00ED00CB" w:rsidP="00CF7285">
            <w:pPr>
              <w:jc w:val="both"/>
            </w:pPr>
            <w:r>
              <w:t>4)</w:t>
            </w:r>
            <w:r w:rsidRPr="000D6604">
              <w:t>2013.gada 11.decembra Komisijas īstenošanas Lēmum</w:t>
            </w:r>
            <w:r>
              <w:t xml:space="preserve">u </w:t>
            </w:r>
            <w:r w:rsidRPr="000D6604">
              <w:t>2013/752/ES</w:t>
            </w:r>
            <w:r>
              <w:t xml:space="preserve"> ar kuru groza Lēmumu 2006/771/EK par maza darbības darbības attāluma ierīcēs izmantotā radiofrekvenču spektra saskaņošanu.</w:t>
            </w:r>
          </w:p>
        </w:tc>
      </w:tr>
      <w:tr w:rsidR="00895374" w:rsidRPr="00E030F4" w:rsidTr="00C66B90">
        <w:tc>
          <w:tcPr>
            <w:tcW w:w="188"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2.</w:t>
            </w:r>
          </w:p>
        </w:tc>
        <w:tc>
          <w:tcPr>
            <w:tcW w:w="1169" w:type="pct"/>
            <w:gridSpan w:val="2"/>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Citas starptautiskās saistības</w:t>
            </w:r>
          </w:p>
        </w:tc>
        <w:tc>
          <w:tcPr>
            <w:tcW w:w="3643" w:type="pct"/>
            <w:gridSpan w:val="8"/>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t>Nav attiecināms.</w:t>
            </w:r>
          </w:p>
        </w:tc>
      </w:tr>
      <w:tr w:rsidR="00895374" w:rsidRPr="00E030F4" w:rsidTr="00C66B90">
        <w:tc>
          <w:tcPr>
            <w:tcW w:w="188" w:type="pct"/>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3.</w:t>
            </w:r>
          </w:p>
        </w:tc>
        <w:tc>
          <w:tcPr>
            <w:tcW w:w="1169" w:type="pct"/>
            <w:gridSpan w:val="2"/>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Cita informācija</w:t>
            </w:r>
          </w:p>
        </w:tc>
        <w:tc>
          <w:tcPr>
            <w:tcW w:w="3643" w:type="pct"/>
            <w:gridSpan w:val="8"/>
            <w:tcBorders>
              <w:top w:val="outset" w:sz="6" w:space="0" w:color="000000"/>
              <w:left w:val="outset" w:sz="6" w:space="0" w:color="000000"/>
              <w:bottom w:val="outset" w:sz="6" w:space="0" w:color="000000"/>
              <w:right w:val="outset" w:sz="6" w:space="0" w:color="000000"/>
            </w:tcBorders>
          </w:tcPr>
          <w:p w:rsidR="00895374" w:rsidRDefault="00895374" w:rsidP="00CF7285">
            <w:pPr>
              <w:spacing w:before="100" w:beforeAutospacing="1" w:after="100" w:afterAutospacing="1"/>
              <w:jc w:val="both"/>
            </w:pPr>
            <w:r>
              <w:t>Nav attiecināms.</w:t>
            </w:r>
          </w:p>
        </w:tc>
      </w:tr>
      <w:tr w:rsidR="00895374" w:rsidRPr="00E030F4" w:rsidTr="00CF7285">
        <w:tc>
          <w:tcPr>
            <w:tcW w:w="5000" w:type="pct"/>
            <w:gridSpan w:val="11"/>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jc w:val="center"/>
              <w:rPr>
                <w:b/>
                <w:bCs/>
              </w:rPr>
            </w:pPr>
            <w:r w:rsidRPr="00E030F4">
              <w:rPr>
                <w:b/>
                <w:bCs/>
              </w:rPr>
              <w:t>1.tabula</w:t>
            </w:r>
            <w:r w:rsidRPr="00E030F4">
              <w:rPr>
                <w:b/>
                <w:bCs/>
              </w:rPr>
              <w:br/>
              <w:t>Tiesību akta projekta atbilstība ES tiesību aktiem</w:t>
            </w:r>
          </w:p>
        </w:tc>
      </w:tr>
      <w:tr w:rsidR="00895374" w:rsidRPr="00E030F4" w:rsidTr="00CF7285">
        <w:tc>
          <w:tcPr>
            <w:tcW w:w="5000" w:type="pct"/>
            <w:gridSpan w:val="11"/>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ind w:firstLine="709"/>
              <w:jc w:val="both"/>
              <w:rPr>
                <w:b/>
                <w:bCs/>
              </w:rPr>
            </w:pPr>
          </w:p>
        </w:tc>
      </w:tr>
      <w:tr w:rsidR="00895374" w:rsidRPr="00E030F4" w:rsidTr="00CF7285">
        <w:tc>
          <w:tcPr>
            <w:tcW w:w="810" w:type="pct"/>
            <w:gridSpan w:val="2"/>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jc w:val="center"/>
            </w:pPr>
            <w:r w:rsidRPr="00E030F4">
              <w:t>A</w:t>
            </w:r>
          </w:p>
        </w:tc>
        <w:tc>
          <w:tcPr>
            <w:tcW w:w="1033" w:type="pct"/>
            <w:gridSpan w:val="2"/>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jc w:val="center"/>
            </w:pPr>
            <w:r w:rsidRPr="00E030F4">
              <w:t>B</w:t>
            </w:r>
          </w:p>
        </w:tc>
        <w:tc>
          <w:tcPr>
            <w:tcW w:w="1448" w:type="pct"/>
            <w:gridSpan w:val="4"/>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jc w:val="center"/>
            </w:pPr>
            <w:r w:rsidRPr="00E030F4">
              <w:t>C</w:t>
            </w:r>
          </w:p>
        </w:tc>
        <w:tc>
          <w:tcPr>
            <w:tcW w:w="1709" w:type="pct"/>
            <w:gridSpan w:val="3"/>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jc w:val="center"/>
            </w:pPr>
            <w:r w:rsidRPr="00E030F4">
              <w:t>D</w:t>
            </w:r>
          </w:p>
        </w:tc>
      </w:tr>
      <w:tr w:rsidR="00895374" w:rsidRPr="00E030F4" w:rsidTr="00CF7285">
        <w:tc>
          <w:tcPr>
            <w:tcW w:w="810" w:type="pct"/>
            <w:gridSpan w:val="2"/>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Attiecīgā ES tiesību akta panta numurs (uzskaitot katru tiesību akta</w:t>
            </w:r>
            <w:r w:rsidRPr="00E030F4">
              <w:br/>
              <w:t>vienību - pantu, daļu, punktu, apakšpunktu)</w:t>
            </w:r>
          </w:p>
        </w:tc>
        <w:tc>
          <w:tcPr>
            <w:tcW w:w="1033" w:type="pct"/>
            <w:gridSpan w:val="2"/>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Projekta vienība, kas pārņem vai ievieš katru šīs tabulas A ailē minēto ES tiesību akta vienību</w:t>
            </w:r>
          </w:p>
        </w:tc>
        <w:tc>
          <w:tcPr>
            <w:tcW w:w="1448" w:type="pct"/>
            <w:gridSpan w:val="4"/>
            <w:tcBorders>
              <w:top w:val="outset" w:sz="6" w:space="0" w:color="000000"/>
              <w:left w:val="outset" w:sz="6" w:space="0" w:color="000000"/>
              <w:bottom w:val="outset" w:sz="6" w:space="0" w:color="000000"/>
              <w:right w:val="outset" w:sz="6" w:space="0" w:color="000000"/>
            </w:tcBorders>
          </w:tcPr>
          <w:p w:rsidR="00895374" w:rsidRDefault="00895374" w:rsidP="00CF7285">
            <w:pPr>
              <w:spacing w:before="100" w:beforeAutospacing="1" w:after="100" w:afterAutospacing="1"/>
            </w:pPr>
            <w:r w:rsidRPr="00E030F4">
              <w:t>Informācija par to, vai šīs tabulas A ailē minētās ES tiesību akta vienības tiek pārņemtas vai ieviestas pilnībā vai daļēji.</w:t>
            </w:r>
            <w:r>
              <w:t xml:space="preserve"> </w:t>
            </w:r>
          </w:p>
          <w:p w:rsidR="00895374" w:rsidRPr="00E030F4" w:rsidRDefault="00895374" w:rsidP="00CF7285">
            <w:pPr>
              <w:spacing w:before="100" w:beforeAutospacing="1" w:after="100" w:afterAutospacing="1"/>
            </w:pPr>
            <w:r w:rsidRPr="00E030F4">
              <w:t>Ja attiecīgā ES tiesību akta vienība tiek pārņemta vai ieviesta daļēji, - sniedz attiecīgu skaidrojumu, kā arī precīzi norāda, kad un kādā veidā ES tiesību akta vienība tiks pārņemta vai ieviesta pilnībā.</w:t>
            </w:r>
          </w:p>
          <w:p w:rsidR="00895374" w:rsidRPr="00E030F4" w:rsidRDefault="00895374" w:rsidP="00CF7285">
            <w:pPr>
              <w:spacing w:before="100" w:beforeAutospacing="1" w:after="100" w:afterAutospacing="1"/>
            </w:pPr>
            <w:r w:rsidRPr="00E030F4">
              <w:lastRenderedPageBreak/>
              <w:t>Norāda institūciju, kas ir atbildīga par šo saistību izpildi pilnībā</w:t>
            </w:r>
            <w:r>
              <w:t>.</w:t>
            </w:r>
          </w:p>
        </w:tc>
        <w:tc>
          <w:tcPr>
            <w:tcW w:w="1709" w:type="pct"/>
            <w:gridSpan w:val="3"/>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lastRenderedPageBreak/>
              <w:t>Informācija par to, vai šīs tabulas B ailē minētās projekta vienības paredz stingrākas prasības nekā šīs tabulas A ailē minētās ES tiesību akta vienības.</w:t>
            </w:r>
          </w:p>
          <w:p w:rsidR="00895374" w:rsidRPr="00E030F4" w:rsidRDefault="00895374" w:rsidP="00CF7285">
            <w:pPr>
              <w:spacing w:before="100" w:beforeAutospacing="1" w:after="100" w:afterAutospacing="1"/>
            </w:pPr>
            <w:r w:rsidRPr="00E030F4">
              <w:t>Ja projekts satur stingrākas prasības nekā attiecīgais ES tiesību akts, - norāda pamatojumu un samērīgumu.</w:t>
            </w:r>
          </w:p>
          <w:p w:rsidR="00895374" w:rsidRPr="00E030F4" w:rsidRDefault="00895374" w:rsidP="00CF7285">
            <w:pPr>
              <w:spacing w:before="100" w:beforeAutospacing="1" w:after="100" w:afterAutospacing="1"/>
            </w:pPr>
            <w:r w:rsidRPr="00E030F4">
              <w:t xml:space="preserve">Norāda iespējamās alternatīvas (t.sk. alternatīvas, kas neparedz tiesiskā regulējuma izstrādi) - </w:t>
            </w:r>
            <w:r w:rsidRPr="00E030F4">
              <w:lastRenderedPageBreak/>
              <w:t>kādos gadījumos būtu iespējams izvairīties no stingrāku prasību noteikšanas, nekā paredzēts attiecīgajos ES tiesību aktos</w:t>
            </w:r>
            <w:r>
              <w:t>.</w:t>
            </w:r>
          </w:p>
        </w:tc>
      </w:tr>
      <w:tr w:rsidR="00895374" w:rsidRPr="00E030F4" w:rsidTr="00CF7285">
        <w:tc>
          <w:tcPr>
            <w:tcW w:w="5000" w:type="pct"/>
            <w:gridSpan w:val="11"/>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jc w:val="both"/>
              <w:rPr>
                <w:b/>
                <w:bCs/>
              </w:rPr>
            </w:pPr>
            <w:r w:rsidRPr="005831CB">
              <w:lastRenderedPageBreak/>
              <w:t>Komisijas 201</w:t>
            </w:r>
            <w:r>
              <w:t>4</w:t>
            </w:r>
            <w:r w:rsidRPr="005831CB">
              <w:t xml:space="preserve">.gada </w:t>
            </w:r>
            <w:r>
              <w:t>2</w:t>
            </w:r>
            <w:r w:rsidRPr="005831CB">
              <w:t xml:space="preserve">. </w:t>
            </w:r>
            <w:r>
              <w:t>maija</w:t>
            </w:r>
            <w:r w:rsidRPr="005831CB">
              <w:t xml:space="preserve"> Lēmums 201</w:t>
            </w:r>
            <w:r>
              <w:t>4</w:t>
            </w:r>
            <w:r w:rsidRPr="005831CB">
              <w:t>/</w:t>
            </w:r>
            <w:r>
              <w:t>276</w:t>
            </w:r>
            <w:r w:rsidRPr="005831CB">
              <w:t xml:space="preserve">/ES par </w:t>
            </w:r>
            <w:r>
              <w:t xml:space="preserve">grozījumiem Lēmumā 2008/411/EK par 3400-3800 MHz frekvenču joslas harmonizāciju tādu zemes sistēmu vajadzībām, kas Kopienā </w:t>
            </w:r>
            <w:r w:rsidRPr="005831CB">
              <w:t xml:space="preserve"> spēj nodrošināt elektronisko sakaru pakalpojumus</w:t>
            </w:r>
            <w:r w:rsidR="00077095">
              <w:t>.</w:t>
            </w:r>
          </w:p>
        </w:tc>
      </w:tr>
      <w:tr w:rsidR="00895374" w:rsidRPr="00E030F4" w:rsidTr="00792DCE">
        <w:tc>
          <w:tcPr>
            <w:tcW w:w="1357" w:type="pct"/>
            <w:gridSpan w:val="3"/>
            <w:tcBorders>
              <w:top w:val="outset" w:sz="6" w:space="0" w:color="000000"/>
              <w:left w:val="outset" w:sz="6" w:space="0" w:color="000000"/>
              <w:bottom w:val="outset" w:sz="6" w:space="0" w:color="000000"/>
              <w:right w:val="outset" w:sz="6" w:space="0" w:color="000000"/>
            </w:tcBorders>
          </w:tcPr>
          <w:p w:rsidR="00895374" w:rsidRPr="00B61F67" w:rsidRDefault="00895374" w:rsidP="00792DCE">
            <w:pPr>
              <w:spacing w:before="100" w:beforeAutospacing="1" w:after="100" w:afterAutospacing="1"/>
            </w:pPr>
            <w:r w:rsidRPr="005831CB">
              <w:t>Lēmum</w:t>
            </w:r>
            <w:r>
              <w:t>a</w:t>
            </w:r>
            <w:r w:rsidRPr="005831CB">
              <w:t xml:space="preserve"> 201</w:t>
            </w:r>
            <w:r>
              <w:t>4</w:t>
            </w:r>
            <w:r w:rsidRPr="005831CB">
              <w:t>/</w:t>
            </w:r>
            <w:r>
              <w:t>276</w:t>
            </w:r>
            <w:r w:rsidRPr="005831CB">
              <w:t xml:space="preserve">/ES </w:t>
            </w:r>
            <w:r w:rsidR="00792DCE">
              <w:t>1.pants</w:t>
            </w:r>
          </w:p>
        </w:tc>
        <w:tc>
          <w:tcPr>
            <w:tcW w:w="1294" w:type="pct"/>
            <w:gridSpan w:val="4"/>
            <w:tcBorders>
              <w:top w:val="outset" w:sz="6" w:space="0" w:color="000000"/>
              <w:left w:val="outset" w:sz="6" w:space="0" w:color="000000"/>
              <w:bottom w:val="outset" w:sz="6" w:space="0" w:color="000000"/>
              <w:right w:val="outset" w:sz="6" w:space="0" w:color="000000"/>
            </w:tcBorders>
          </w:tcPr>
          <w:p w:rsidR="00694397" w:rsidRDefault="00802DBA" w:rsidP="00077095">
            <w:pPr>
              <w:pStyle w:val="naiskr"/>
              <w:spacing w:before="0" w:after="0"/>
              <w:rPr>
                <w:bCs/>
              </w:rPr>
            </w:pPr>
            <w:r>
              <w:rPr>
                <w:bCs/>
              </w:rPr>
              <w:t>6</w:t>
            </w:r>
            <w:r w:rsidR="00895374">
              <w:rPr>
                <w:bCs/>
              </w:rPr>
              <w:t>.</w:t>
            </w:r>
            <w:r w:rsidR="00C36202">
              <w:rPr>
                <w:bCs/>
              </w:rPr>
              <w:t>punkts</w:t>
            </w:r>
            <w:r w:rsidR="00C66B90">
              <w:rPr>
                <w:bCs/>
              </w:rPr>
              <w:t xml:space="preserve"> </w:t>
            </w:r>
          </w:p>
          <w:p w:rsidR="00895374" w:rsidRDefault="00895374" w:rsidP="00077095">
            <w:pPr>
              <w:pStyle w:val="naiskr"/>
              <w:spacing w:before="0" w:after="0"/>
              <w:rPr>
                <w:bCs/>
              </w:rPr>
            </w:pPr>
          </w:p>
        </w:tc>
        <w:tc>
          <w:tcPr>
            <w:tcW w:w="985" w:type="pct"/>
            <w:gridSpan w:val="3"/>
            <w:tcBorders>
              <w:top w:val="outset" w:sz="6" w:space="0" w:color="000000"/>
              <w:left w:val="outset" w:sz="6" w:space="0" w:color="000000"/>
              <w:bottom w:val="outset" w:sz="6" w:space="0" w:color="000000"/>
              <w:right w:val="outset" w:sz="6" w:space="0" w:color="000000"/>
            </w:tcBorders>
          </w:tcPr>
          <w:p w:rsidR="00895374" w:rsidRPr="002B2D98" w:rsidRDefault="00895374" w:rsidP="00CF7285">
            <w:pPr>
              <w:spacing w:before="100" w:beforeAutospacing="1" w:after="100" w:afterAutospacing="1"/>
            </w:pPr>
            <w:r w:rsidRPr="002B2D98">
              <w:t>Ieviests pilnībā.</w:t>
            </w:r>
          </w:p>
        </w:tc>
        <w:tc>
          <w:tcPr>
            <w:tcW w:w="1364" w:type="pct"/>
            <w:tcBorders>
              <w:top w:val="outset" w:sz="6" w:space="0" w:color="000000"/>
              <w:left w:val="outset" w:sz="6" w:space="0" w:color="000000"/>
              <w:bottom w:val="outset" w:sz="6" w:space="0" w:color="000000"/>
              <w:right w:val="outset" w:sz="6" w:space="0" w:color="000000"/>
            </w:tcBorders>
          </w:tcPr>
          <w:p w:rsidR="00895374" w:rsidRPr="002B2D98" w:rsidRDefault="00895374" w:rsidP="00CF7285">
            <w:pPr>
              <w:spacing w:before="100" w:beforeAutospacing="1" w:after="100" w:afterAutospacing="1"/>
            </w:pPr>
            <w:r w:rsidRPr="002B2D98">
              <w:t>Neparedz stingrākas prasības.</w:t>
            </w:r>
          </w:p>
        </w:tc>
      </w:tr>
      <w:tr w:rsidR="00792DCE" w:rsidRPr="00E030F4" w:rsidTr="00792DCE">
        <w:tc>
          <w:tcPr>
            <w:tcW w:w="1357" w:type="pct"/>
            <w:gridSpan w:val="3"/>
            <w:tcBorders>
              <w:top w:val="outset" w:sz="6" w:space="0" w:color="000000"/>
              <w:left w:val="outset" w:sz="6" w:space="0" w:color="000000"/>
              <w:bottom w:val="outset" w:sz="6" w:space="0" w:color="000000"/>
              <w:right w:val="outset" w:sz="6" w:space="0" w:color="000000"/>
            </w:tcBorders>
          </w:tcPr>
          <w:p w:rsidR="00792DCE" w:rsidRPr="005831CB" w:rsidRDefault="00792DCE" w:rsidP="00CF7285">
            <w:pPr>
              <w:spacing w:before="100" w:beforeAutospacing="1" w:after="100" w:afterAutospacing="1"/>
            </w:pPr>
            <w:r w:rsidRPr="005831CB">
              <w:t>Lēmum</w:t>
            </w:r>
            <w:r>
              <w:t>a</w:t>
            </w:r>
            <w:r w:rsidRPr="005831CB">
              <w:t xml:space="preserve"> 201</w:t>
            </w:r>
            <w:r>
              <w:t>4</w:t>
            </w:r>
            <w:r w:rsidRPr="005831CB">
              <w:t>/</w:t>
            </w:r>
            <w:r>
              <w:t>276</w:t>
            </w:r>
            <w:r w:rsidRPr="005831CB">
              <w:t xml:space="preserve">/ES </w:t>
            </w:r>
            <w:r w:rsidRPr="008E35F0">
              <w:t>pielikums</w:t>
            </w:r>
          </w:p>
        </w:tc>
        <w:tc>
          <w:tcPr>
            <w:tcW w:w="1294" w:type="pct"/>
            <w:gridSpan w:val="4"/>
            <w:tcBorders>
              <w:top w:val="outset" w:sz="6" w:space="0" w:color="000000"/>
              <w:left w:val="outset" w:sz="6" w:space="0" w:color="000000"/>
              <w:bottom w:val="outset" w:sz="6" w:space="0" w:color="000000"/>
              <w:right w:val="outset" w:sz="6" w:space="0" w:color="000000"/>
            </w:tcBorders>
          </w:tcPr>
          <w:p w:rsidR="00792DCE" w:rsidRDefault="00792DCE" w:rsidP="00792DCE">
            <w:pPr>
              <w:pStyle w:val="naiskr"/>
              <w:spacing w:before="0" w:after="0"/>
              <w:rPr>
                <w:bCs/>
              </w:rPr>
            </w:pPr>
            <w:r>
              <w:rPr>
                <w:bCs/>
              </w:rPr>
              <w:t xml:space="preserve">49.punkts </w:t>
            </w:r>
          </w:p>
          <w:p w:rsidR="00792DCE" w:rsidRDefault="00792DCE" w:rsidP="00792DCE">
            <w:pPr>
              <w:pStyle w:val="naiskr"/>
              <w:spacing w:before="0" w:after="0"/>
              <w:rPr>
                <w:bCs/>
              </w:rPr>
            </w:pPr>
          </w:p>
        </w:tc>
        <w:tc>
          <w:tcPr>
            <w:tcW w:w="985" w:type="pct"/>
            <w:gridSpan w:val="3"/>
            <w:tcBorders>
              <w:top w:val="outset" w:sz="6" w:space="0" w:color="000000"/>
              <w:left w:val="outset" w:sz="6" w:space="0" w:color="000000"/>
              <w:bottom w:val="outset" w:sz="6" w:space="0" w:color="000000"/>
              <w:right w:val="outset" w:sz="6" w:space="0" w:color="000000"/>
            </w:tcBorders>
          </w:tcPr>
          <w:p w:rsidR="00792DCE" w:rsidRPr="002B2D98" w:rsidRDefault="00792DCE" w:rsidP="00CF7285">
            <w:pPr>
              <w:spacing w:before="100" w:beforeAutospacing="1" w:after="100" w:afterAutospacing="1"/>
            </w:pPr>
            <w:r w:rsidRPr="002B2D98">
              <w:t>Ieviests pilnībā.</w:t>
            </w:r>
          </w:p>
        </w:tc>
        <w:tc>
          <w:tcPr>
            <w:tcW w:w="1364" w:type="pct"/>
            <w:tcBorders>
              <w:top w:val="outset" w:sz="6" w:space="0" w:color="000000"/>
              <w:left w:val="outset" w:sz="6" w:space="0" w:color="000000"/>
              <w:bottom w:val="outset" w:sz="6" w:space="0" w:color="000000"/>
              <w:right w:val="outset" w:sz="6" w:space="0" w:color="000000"/>
            </w:tcBorders>
          </w:tcPr>
          <w:p w:rsidR="00792DCE" w:rsidRPr="002B2D98" w:rsidRDefault="00792DCE" w:rsidP="00CF7285">
            <w:pPr>
              <w:spacing w:before="100" w:beforeAutospacing="1" w:after="100" w:afterAutospacing="1"/>
            </w:pPr>
            <w:r w:rsidRPr="002B2D98">
              <w:t>Neparedz stingrākas prasības.</w:t>
            </w:r>
          </w:p>
        </w:tc>
      </w:tr>
      <w:tr w:rsidR="00792DCE" w:rsidRPr="00E030F4" w:rsidTr="00792DCE">
        <w:tc>
          <w:tcPr>
            <w:tcW w:w="1357" w:type="pct"/>
            <w:gridSpan w:val="3"/>
            <w:tcBorders>
              <w:top w:val="outset" w:sz="6" w:space="0" w:color="000000"/>
              <w:left w:val="outset" w:sz="6" w:space="0" w:color="000000"/>
              <w:bottom w:val="outset" w:sz="6" w:space="0" w:color="000000"/>
              <w:right w:val="outset" w:sz="6" w:space="0" w:color="000000"/>
            </w:tcBorders>
          </w:tcPr>
          <w:p w:rsidR="00792DCE" w:rsidRPr="005831CB" w:rsidRDefault="00792DCE" w:rsidP="00CF7285">
            <w:pPr>
              <w:spacing w:before="100" w:beforeAutospacing="1" w:after="100" w:afterAutospacing="1"/>
            </w:pPr>
            <w:r w:rsidRPr="005831CB">
              <w:t>Lēmum</w:t>
            </w:r>
            <w:r>
              <w:t>a</w:t>
            </w:r>
            <w:r w:rsidRPr="005831CB">
              <w:t xml:space="preserve"> 201</w:t>
            </w:r>
            <w:r>
              <w:t>4</w:t>
            </w:r>
            <w:r w:rsidRPr="005831CB">
              <w:t>/</w:t>
            </w:r>
            <w:r>
              <w:t>276</w:t>
            </w:r>
            <w:r w:rsidRPr="005831CB">
              <w:t xml:space="preserve">/ES </w:t>
            </w:r>
            <w:r w:rsidRPr="008E35F0">
              <w:t>pielikums</w:t>
            </w:r>
          </w:p>
        </w:tc>
        <w:tc>
          <w:tcPr>
            <w:tcW w:w="1294" w:type="pct"/>
            <w:gridSpan w:val="4"/>
            <w:tcBorders>
              <w:top w:val="outset" w:sz="6" w:space="0" w:color="000000"/>
              <w:left w:val="outset" w:sz="6" w:space="0" w:color="000000"/>
              <w:bottom w:val="outset" w:sz="6" w:space="0" w:color="000000"/>
              <w:right w:val="outset" w:sz="6" w:space="0" w:color="000000"/>
            </w:tcBorders>
          </w:tcPr>
          <w:p w:rsidR="00792DCE" w:rsidRDefault="00792DCE" w:rsidP="00792DCE">
            <w:pPr>
              <w:pStyle w:val="naiskr"/>
              <w:spacing w:before="0" w:after="0"/>
              <w:rPr>
                <w:bCs/>
              </w:rPr>
            </w:pPr>
            <w:r>
              <w:rPr>
                <w:bCs/>
              </w:rPr>
              <w:t>7</w:t>
            </w:r>
            <w:r w:rsidR="005E71BF">
              <w:rPr>
                <w:bCs/>
              </w:rPr>
              <w:t>7</w:t>
            </w:r>
            <w:r>
              <w:rPr>
                <w:bCs/>
              </w:rPr>
              <w:t xml:space="preserve">.punkts </w:t>
            </w:r>
          </w:p>
          <w:p w:rsidR="00792DCE" w:rsidRDefault="00792DCE" w:rsidP="00792DCE">
            <w:pPr>
              <w:pStyle w:val="naiskr"/>
              <w:spacing w:before="0" w:after="0"/>
              <w:rPr>
                <w:bCs/>
              </w:rPr>
            </w:pPr>
          </w:p>
        </w:tc>
        <w:tc>
          <w:tcPr>
            <w:tcW w:w="985" w:type="pct"/>
            <w:gridSpan w:val="3"/>
            <w:tcBorders>
              <w:top w:val="outset" w:sz="6" w:space="0" w:color="000000"/>
              <w:left w:val="outset" w:sz="6" w:space="0" w:color="000000"/>
              <w:bottom w:val="outset" w:sz="6" w:space="0" w:color="000000"/>
              <w:right w:val="outset" w:sz="6" w:space="0" w:color="000000"/>
            </w:tcBorders>
          </w:tcPr>
          <w:p w:rsidR="00792DCE" w:rsidRPr="002B2D98" w:rsidRDefault="00792DCE" w:rsidP="00CF7285">
            <w:pPr>
              <w:spacing w:before="100" w:beforeAutospacing="1" w:after="100" w:afterAutospacing="1"/>
            </w:pPr>
            <w:r w:rsidRPr="002B2D98">
              <w:t>Ieviests pilnībā.</w:t>
            </w:r>
          </w:p>
        </w:tc>
        <w:tc>
          <w:tcPr>
            <w:tcW w:w="1364" w:type="pct"/>
            <w:tcBorders>
              <w:top w:val="outset" w:sz="6" w:space="0" w:color="000000"/>
              <w:left w:val="outset" w:sz="6" w:space="0" w:color="000000"/>
              <w:bottom w:val="outset" w:sz="6" w:space="0" w:color="000000"/>
              <w:right w:val="outset" w:sz="6" w:space="0" w:color="000000"/>
            </w:tcBorders>
          </w:tcPr>
          <w:p w:rsidR="00792DCE" w:rsidRPr="002B2D98" w:rsidRDefault="00792DCE" w:rsidP="00CF7285">
            <w:pPr>
              <w:spacing w:before="100" w:beforeAutospacing="1" w:after="100" w:afterAutospacing="1"/>
            </w:pPr>
            <w:r w:rsidRPr="002B2D98">
              <w:t>Neparedz stingrākas prasības.</w:t>
            </w:r>
          </w:p>
        </w:tc>
      </w:tr>
      <w:tr w:rsidR="00792DCE" w:rsidRPr="00E030F4" w:rsidTr="00792DCE">
        <w:tc>
          <w:tcPr>
            <w:tcW w:w="1357" w:type="pct"/>
            <w:gridSpan w:val="3"/>
            <w:tcBorders>
              <w:top w:val="outset" w:sz="6" w:space="0" w:color="000000"/>
              <w:left w:val="outset" w:sz="6" w:space="0" w:color="000000"/>
              <w:bottom w:val="outset" w:sz="6" w:space="0" w:color="000000"/>
              <w:right w:val="outset" w:sz="6" w:space="0" w:color="000000"/>
            </w:tcBorders>
          </w:tcPr>
          <w:p w:rsidR="00792DCE" w:rsidRPr="005831CB" w:rsidRDefault="00792DCE" w:rsidP="00CF7285">
            <w:pPr>
              <w:spacing w:before="100" w:beforeAutospacing="1" w:after="100" w:afterAutospacing="1"/>
            </w:pPr>
            <w:r w:rsidRPr="005831CB">
              <w:t>Lēmum</w:t>
            </w:r>
            <w:r>
              <w:t>a</w:t>
            </w:r>
            <w:r w:rsidRPr="005831CB">
              <w:t xml:space="preserve"> 201</w:t>
            </w:r>
            <w:r>
              <w:t>4</w:t>
            </w:r>
            <w:r w:rsidRPr="005831CB">
              <w:t>/</w:t>
            </w:r>
            <w:r>
              <w:t>276</w:t>
            </w:r>
            <w:r w:rsidRPr="005831CB">
              <w:t xml:space="preserve">/ES </w:t>
            </w:r>
            <w:r w:rsidRPr="008E35F0">
              <w:t>pielikums</w:t>
            </w:r>
          </w:p>
        </w:tc>
        <w:tc>
          <w:tcPr>
            <w:tcW w:w="1294" w:type="pct"/>
            <w:gridSpan w:val="4"/>
            <w:tcBorders>
              <w:top w:val="outset" w:sz="6" w:space="0" w:color="000000"/>
              <w:left w:val="outset" w:sz="6" w:space="0" w:color="000000"/>
              <w:bottom w:val="outset" w:sz="6" w:space="0" w:color="000000"/>
              <w:right w:val="outset" w:sz="6" w:space="0" w:color="000000"/>
            </w:tcBorders>
          </w:tcPr>
          <w:p w:rsidR="00792DCE" w:rsidRDefault="005E71BF" w:rsidP="00792DCE">
            <w:pPr>
              <w:pStyle w:val="naiskr"/>
              <w:spacing w:before="0" w:after="0"/>
              <w:rPr>
                <w:bCs/>
              </w:rPr>
            </w:pPr>
            <w:r>
              <w:rPr>
                <w:bCs/>
              </w:rPr>
              <w:t>81</w:t>
            </w:r>
            <w:r w:rsidR="00792DCE">
              <w:rPr>
                <w:bCs/>
              </w:rPr>
              <w:t>.punkts</w:t>
            </w:r>
          </w:p>
        </w:tc>
        <w:tc>
          <w:tcPr>
            <w:tcW w:w="985" w:type="pct"/>
            <w:gridSpan w:val="3"/>
            <w:tcBorders>
              <w:top w:val="outset" w:sz="6" w:space="0" w:color="000000"/>
              <w:left w:val="outset" w:sz="6" w:space="0" w:color="000000"/>
              <w:bottom w:val="outset" w:sz="6" w:space="0" w:color="000000"/>
              <w:right w:val="outset" w:sz="6" w:space="0" w:color="000000"/>
            </w:tcBorders>
          </w:tcPr>
          <w:p w:rsidR="00792DCE" w:rsidRPr="002B2D98" w:rsidRDefault="00792DCE" w:rsidP="00CF7285">
            <w:pPr>
              <w:spacing w:before="100" w:beforeAutospacing="1" w:after="100" w:afterAutospacing="1"/>
            </w:pPr>
            <w:r w:rsidRPr="002B2D98">
              <w:t>Ieviests pilnībā.</w:t>
            </w:r>
          </w:p>
        </w:tc>
        <w:tc>
          <w:tcPr>
            <w:tcW w:w="1364" w:type="pct"/>
            <w:tcBorders>
              <w:top w:val="outset" w:sz="6" w:space="0" w:color="000000"/>
              <w:left w:val="outset" w:sz="6" w:space="0" w:color="000000"/>
              <w:bottom w:val="outset" w:sz="6" w:space="0" w:color="000000"/>
              <w:right w:val="outset" w:sz="6" w:space="0" w:color="000000"/>
            </w:tcBorders>
          </w:tcPr>
          <w:p w:rsidR="00792DCE" w:rsidRPr="002B2D98" w:rsidRDefault="00792DCE" w:rsidP="00CF7285">
            <w:pPr>
              <w:spacing w:before="100" w:beforeAutospacing="1" w:after="100" w:afterAutospacing="1"/>
            </w:pPr>
            <w:r w:rsidRPr="002B2D98">
              <w:t>Neparedz stingrākas prasības.</w:t>
            </w:r>
          </w:p>
        </w:tc>
      </w:tr>
      <w:tr w:rsidR="00895374" w:rsidRPr="00E030F4" w:rsidTr="00792DCE">
        <w:tc>
          <w:tcPr>
            <w:tcW w:w="2651" w:type="pct"/>
            <w:gridSpan w:val="7"/>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349" w:type="pct"/>
            <w:gridSpan w:val="4"/>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66BB3">
              <w:t>Nav attiecināms.</w:t>
            </w:r>
          </w:p>
        </w:tc>
      </w:tr>
      <w:tr w:rsidR="00895374" w:rsidRPr="00E030F4" w:rsidTr="00CF7285">
        <w:tc>
          <w:tcPr>
            <w:tcW w:w="5000" w:type="pct"/>
            <w:gridSpan w:val="11"/>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jc w:val="both"/>
              <w:rPr>
                <w:b/>
                <w:bCs/>
              </w:rPr>
            </w:pPr>
            <w:r w:rsidRPr="005831CB">
              <w:t>Komisijas 201</w:t>
            </w:r>
            <w:r>
              <w:t>4.gada 1</w:t>
            </w:r>
            <w:r w:rsidRPr="005831CB">
              <w:t>.</w:t>
            </w:r>
            <w:r>
              <w:t>septembra</w:t>
            </w:r>
            <w:r w:rsidRPr="005831CB">
              <w:t xml:space="preserve"> Lēmums 201</w:t>
            </w:r>
            <w:r>
              <w:t>4</w:t>
            </w:r>
            <w:r w:rsidRPr="005831CB">
              <w:t>/6</w:t>
            </w:r>
            <w:r>
              <w:t>41</w:t>
            </w:r>
            <w:r w:rsidRPr="005831CB">
              <w:t>/ES par</w:t>
            </w:r>
            <w:r>
              <w:t xml:space="preserve"> harmonizētajiem tehniskajiem nosacījumiem radiofrekvenču spektra izmantošanai programmu gatavošanas un īpašo pasākumu bezvadu skaņas iekārtās Savienībā</w:t>
            </w:r>
          </w:p>
        </w:tc>
      </w:tr>
      <w:tr w:rsidR="00895374" w:rsidRPr="00E030F4" w:rsidTr="00792DCE">
        <w:tc>
          <w:tcPr>
            <w:tcW w:w="1357" w:type="pct"/>
            <w:gridSpan w:val="3"/>
            <w:tcBorders>
              <w:top w:val="outset" w:sz="6" w:space="0" w:color="000000"/>
              <w:left w:val="outset" w:sz="6" w:space="0" w:color="000000"/>
              <w:bottom w:val="outset" w:sz="6" w:space="0" w:color="000000"/>
              <w:right w:val="outset" w:sz="6" w:space="0" w:color="000000"/>
            </w:tcBorders>
          </w:tcPr>
          <w:p w:rsidR="00895374" w:rsidRPr="00B61F67" w:rsidRDefault="00895374" w:rsidP="009E5E41">
            <w:pPr>
              <w:spacing w:before="100" w:beforeAutospacing="1" w:after="100" w:afterAutospacing="1"/>
            </w:pPr>
            <w:r w:rsidRPr="005831CB">
              <w:t>Lēmum</w:t>
            </w:r>
            <w:r>
              <w:t>a</w:t>
            </w:r>
            <w:r w:rsidRPr="005831CB">
              <w:t xml:space="preserve"> 201</w:t>
            </w:r>
            <w:r>
              <w:t>4</w:t>
            </w:r>
            <w:r w:rsidRPr="005831CB">
              <w:t>/6</w:t>
            </w:r>
            <w:r>
              <w:t>41</w:t>
            </w:r>
            <w:r w:rsidRPr="005831CB">
              <w:t xml:space="preserve">/ES </w:t>
            </w:r>
            <w:r w:rsidR="009E5E41">
              <w:t>1.pants</w:t>
            </w:r>
          </w:p>
        </w:tc>
        <w:tc>
          <w:tcPr>
            <w:tcW w:w="1294" w:type="pct"/>
            <w:gridSpan w:val="4"/>
            <w:tcBorders>
              <w:top w:val="outset" w:sz="6" w:space="0" w:color="000000"/>
              <w:left w:val="outset" w:sz="6" w:space="0" w:color="000000"/>
              <w:bottom w:val="outset" w:sz="6" w:space="0" w:color="000000"/>
              <w:right w:val="outset" w:sz="6" w:space="0" w:color="000000"/>
            </w:tcBorders>
          </w:tcPr>
          <w:p w:rsidR="005F3657" w:rsidRPr="00B61F67" w:rsidRDefault="00895374" w:rsidP="005F3657">
            <w:pPr>
              <w:pStyle w:val="naiskr"/>
              <w:spacing w:before="0" w:after="0"/>
              <w:rPr>
                <w:bCs/>
              </w:rPr>
            </w:pPr>
            <w:r>
              <w:rPr>
                <w:bCs/>
              </w:rPr>
              <w:t>2.</w:t>
            </w:r>
            <w:r w:rsidR="00C36202">
              <w:rPr>
                <w:bCs/>
              </w:rPr>
              <w:t>punkts</w:t>
            </w:r>
            <w:r>
              <w:rPr>
                <w:bCs/>
              </w:rPr>
              <w:t xml:space="preserve"> </w:t>
            </w:r>
          </w:p>
          <w:p w:rsidR="00895374" w:rsidRPr="00B61F67" w:rsidRDefault="00895374" w:rsidP="00C66B90">
            <w:pPr>
              <w:pStyle w:val="naiskr"/>
              <w:spacing w:before="0" w:after="0"/>
              <w:rPr>
                <w:bCs/>
              </w:rPr>
            </w:pPr>
          </w:p>
        </w:tc>
        <w:tc>
          <w:tcPr>
            <w:tcW w:w="985" w:type="pct"/>
            <w:gridSpan w:val="3"/>
            <w:tcBorders>
              <w:top w:val="outset" w:sz="6" w:space="0" w:color="000000"/>
              <w:left w:val="outset" w:sz="6" w:space="0" w:color="000000"/>
              <w:bottom w:val="outset" w:sz="6" w:space="0" w:color="000000"/>
              <w:right w:val="outset" w:sz="6" w:space="0" w:color="000000"/>
            </w:tcBorders>
          </w:tcPr>
          <w:p w:rsidR="00895374" w:rsidRPr="002B2D98" w:rsidRDefault="00895374" w:rsidP="00CF7285">
            <w:pPr>
              <w:spacing w:before="100" w:beforeAutospacing="1" w:after="100" w:afterAutospacing="1"/>
            </w:pPr>
            <w:r w:rsidRPr="002B2D98">
              <w:t>Ieviests pilnībā.</w:t>
            </w:r>
          </w:p>
        </w:tc>
        <w:tc>
          <w:tcPr>
            <w:tcW w:w="1364" w:type="pct"/>
            <w:tcBorders>
              <w:top w:val="outset" w:sz="6" w:space="0" w:color="000000"/>
              <w:left w:val="outset" w:sz="6" w:space="0" w:color="000000"/>
              <w:bottom w:val="outset" w:sz="6" w:space="0" w:color="000000"/>
              <w:right w:val="outset" w:sz="6" w:space="0" w:color="000000"/>
            </w:tcBorders>
          </w:tcPr>
          <w:p w:rsidR="00895374" w:rsidRPr="002B2D98" w:rsidRDefault="00895374" w:rsidP="00CF7285">
            <w:pPr>
              <w:spacing w:before="100" w:beforeAutospacing="1" w:after="100" w:afterAutospacing="1"/>
            </w:pPr>
            <w:r w:rsidRPr="002B2D98">
              <w:t>Neparedz stingrākas prasības.</w:t>
            </w:r>
          </w:p>
        </w:tc>
      </w:tr>
      <w:tr w:rsidR="005F3657" w:rsidRPr="00E030F4" w:rsidTr="00792DCE">
        <w:tc>
          <w:tcPr>
            <w:tcW w:w="1357" w:type="pct"/>
            <w:gridSpan w:val="3"/>
            <w:tcBorders>
              <w:top w:val="outset" w:sz="6" w:space="0" w:color="000000"/>
              <w:left w:val="outset" w:sz="6" w:space="0" w:color="000000"/>
              <w:bottom w:val="outset" w:sz="6" w:space="0" w:color="000000"/>
              <w:right w:val="outset" w:sz="6" w:space="0" w:color="000000"/>
            </w:tcBorders>
          </w:tcPr>
          <w:p w:rsidR="005F3657" w:rsidRPr="005831CB" w:rsidRDefault="005F3657" w:rsidP="000322D1">
            <w:pPr>
              <w:spacing w:before="100" w:beforeAutospacing="1" w:after="100" w:afterAutospacing="1"/>
            </w:pPr>
            <w:r w:rsidRPr="005831CB">
              <w:t>Lēmum</w:t>
            </w:r>
            <w:r>
              <w:t>a</w:t>
            </w:r>
            <w:r w:rsidRPr="005831CB">
              <w:t xml:space="preserve"> 201</w:t>
            </w:r>
            <w:r>
              <w:t>4</w:t>
            </w:r>
            <w:r w:rsidRPr="005831CB">
              <w:t>/6</w:t>
            </w:r>
            <w:r>
              <w:t>41</w:t>
            </w:r>
            <w:r w:rsidRPr="005831CB">
              <w:t xml:space="preserve">/ES </w:t>
            </w:r>
            <w:r w:rsidR="000322D1">
              <w:t>3.pants</w:t>
            </w:r>
          </w:p>
        </w:tc>
        <w:tc>
          <w:tcPr>
            <w:tcW w:w="1294" w:type="pct"/>
            <w:gridSpan w:val="4"/>
            <w:tcBorders>
              <w:top w:val="outset" w:sz="6" w:space="0" w:color="000000"/>
              <w:left w:val="outset" w:sz="6" w:space="0" w:color="000000"/>
              <w:bottom w:val="outset" w:sz="6" w:space="0" w:color="000000"/>
              <w:right w:val="outset" w:sz="6" w:space="0" w:color="000000"/>
            </w:tcBorders>
          </w:tcPr>
          <w:p w:rsidR="005F3657" w:rsidRDefault="005F3657" w:rsidP="005F3657">
            <w:pPr>
              <w:pStyle w:val="naiskr"/>
              <w:spacing w:before="0" w:after="0"/>
              <w:rPr>
                <w:bCs/>
              </w:rPr>
            </w:pPr>
            <w:r>
              <w:rPr>
                <w:bCs/>
              </w:rPr>
              <w:t xml:space="preserve">5.punkts </w:t>
            </w:r>
          </w:p>
          <w:p w:rsidR="005F3657" w:rsidRPr="00C23296" w:rsidRDefault="005F3657" w:rsidP="005F3657">
            <w:pPr>
              <w:pStyle w:val="naiskr"/>
              <w:spacing w:before="0" w:after="0"/>
              <w:rPr>
                <w:bCs/>
              </w:rPr>
            </w:pPr>
          </w:p>
        </w:tc>
        <w:tc>
          <w:tcPr>
            <w:tcW w:w="985" w:type="pct"/>
            <w:gridSpan w:val="3"/>
            <w:tcBorders>
              <w:top w:val="outset" w:sz="6" w:space="0" w:color="000000"/>
              <w:left w:val="outset" w:sz="6" w:space="0" w:color="000000"/>
              <w:bottom w:val="outset" w:sz="6" w:space="0" w:color="000000"/>
              <w:right w:val="outset" w:sz="6" w:space="0" w:color="000000"/>
            </w:tcBorders>
          </w:tcPr>
          <w:p w:rsidR="005F3657" w:rsidRPr="002B2D98" w:rsidRDefault="005F3657" w:rsidP="00CF7285">
            <w:pPr>
              <w:spacing w:before="100" w:beforeAutospacing="1" w:after="100" w:afterAutospacing="1"/>
            </w:pPr>
            <w:r w:rsidRPr="002B2D98">
              <w:t>Ieviests pilnībā.</w:t>
            </w:r>
          </w:p>
        </w:tc>
        <w:tc>
          <w:tcPr>
            <w:tcW w:w="1364" w:type="pct"/>
            <w:tcBorders>
              <w:top w:val="outset" w:sz="6" w:space="0" w:color="000000"/>
              <w:left w:val="outset" w:sz="6" w:space="0" w:color="000000"/>
              <w:bottom w:val="outset" w:sz="6" w:space="0" w:color="000000"/>
              <w:right w:val="outset" w:sz="6" w:space="0" w:color="000000"/>
            </w:tcBorders>
          </w:tcPr>
          <w:p w:rsidR="005F3657" w:rsidRPr="002B2D98" w:rsidRDefault="005F3657" w:rsidP="00CF7285">
            <w:pPr>
              <w:spacing w:before="100" w:beforeAutospacing="1" w:after="100" w:afterAutospacing="1"/>
            </w:pPr>
            <w:r w:rsidRPr="002B2D98">
              <w:t>Neparedz stingrākas prasības.</w:t>
            </w:r>
          </w:p>
        </w:tc>
      </w:tr>
      <w:tr w:rsidR="005F3657" w:rsidRPr="00E030F4" w:rsidTr="00792DCE">
        <w:tc>
          <w:tcPr>
            <w:tcW w:w="1357" w:type="pct"/>
            <w:gridSpan w:val="3"/>
            <w:tcBorders>
              <w:top w:val="outset" w:sz="6" w:space="0" w:color="000000"/>
              <w:left w:val="outset" w:sz="6" w:space="0" w:color="000000"/>
              <w:bottom w:val="outset" w:sz="6" w:space="0" w:color="000000"/>
              <w:right w:val="outset" w:sz="6" w:space="0" w:color="000000"/>
            </w:tcBorders>
          </w:tcPr>
          <w:p w:rsidR="005F3657" w:rsidRPr="005831CB" w:rsidRDefault="005F3657" w:rsidP="00CF7285">
            <w:pPr>
              <w:spacing w:before="100" w:beforeAutospacing="1" w:after="100" w:afterAutospacing="1"/>
            </w:pPr>
            <w:r w:rsidRPr="005831CB">
              <w:t>Lēmum</w:t>
            </w:r>
            <w:r>
              <w:t>a</w:t>
            </w:r>
            <w:r w:rsidRPr="005831CB">
              <w:t xml:space="preserve"> 201</w:t>
            </w:r>
            <w:r>
              <w:t>4</w:t>
            </w:r>
            <w:r w:rsidRPr="005831CB">
              <w:t>/6</w:t>
            </w:r>
            <w:r>
              <w:t>41</w:t>
            </w:r>
            <w:r w:rsidRPr="005831CB">
              <w:t xml:space="preserve">/ES </w:t>
            </w:r>
            <w:r w:rsidRPr="008E35F0">
              <w:t>pielikums</w:t>
            </w:r>
          </w:p>
        </w:tc>
        <w:tc>
          <w:tcPr>
            <w:tcW w:w="1294" w:type="pct"/>
            <w:gridSpan w:val="4"/>
            <w:tcBorders>
              <w:top w:val="outset" w:sz="6" w:space="0" w:color="000000"/>
              <w:left w:val="outset" w:sz="6" w:space="0" w:color="000000"/>
              <w:bottom w:val="outset" w:sz="6" w:space="0" w:color="000000"/>
              <w:right w:val="outset" w:sz="6" w:space="0" w:color="000000"/>
            </w:tcBorders>
          </w:tcPr>
          <w:p w:rsidR="005F3657" w:rsidRPr="00C23296" w:rsidRDefault="005F3657" w:rsidP="005F3657">
            <w:pPr>
              <w:pStyle w:val="naiskr"/>
              <w:spacing w:before="0" w:after="0"/>
              <w:rPr>
                <w:bCs/>
              </w:rPr>
            </w:pPr>
            <w:r>
              <w:rPr>
                <w:bCs/>
              </w:rPr>
              <w:t xml:space="preserve">45.punkts </w:t>
            </w:r>
          </w:p>
        </w:tc>
        <w:tc>
          <w:tcPr>
            <w:tcW w:w="985" w:type="pct"/>
            <w:gridSpan w:val="3"/>
            <w:tcBorders>
              <w:top w:val="outset" w:sz="6" w:space="0" w:color="000000"/>
              <w:left w:val="outset" w:sz="6" w:space="0" w:color="000000"/>
              <w:bottom w:val="outset" w:sz="6" w:space="0" w:color="000000"/>
              <w:right w:val="outset" w:sz="6" w:space="0" w:color="000000"/>
            </w:tcBorders>
          </w:tcPr>
          <w:p w:rsidR="005F3657" w:rsidRPr="002B2D98" w:rsidRDefault="005F3657" w:rsidP="00CF7285">
            <w:pPr>
              <w:spacing w:before="100" w:beforeAutospacing="1" w:after="100" w:afterAutospacing="1"/>
            </w:pPr>
            <w:r w:rsidRPr="002B2D98">
              <w:t>Ieviests pilnībā.</w:t>
            </w:r>
          </w:p>
        </w:tc>
        <w:tc>
          <w:tcPr>
            <w:tcW w:w="1364" w:type="pct"/>
            <w:tcBorders>
              <w:top w:val="outset" w:sz="6" w:space="0" w:color="000000"/>
              <w:left w:val="outset" w:sz="6" w:space="0" w:color="000000"/>
              <w:bottom w:val="outset" w:sz="6" w:space="0" w:color="000000"/>
              <w:right w:val="outset" w:sz="6" w:space="0" w:color="000000"/>
            </w:tcBorders>
          </w:tcPr>
          <w:p w:rsidR="005F3657" w:rsidRPr="002B2D98" w:rsidRDefault="005F3657" w:rsidP="00CF7285">
            <w:pPr>
              <w:spacing w:before="100" w:beforeAutospacing="1" w:after="100" w:afterAutospacing="1"/>
            </w:pPr>
            <w:r w:rsidRPr="002B2D98">
              <w:t>Neparedz stingrākas prasības.</w:t>
            </w:r>
          </w:p>
        </w:tc>
      </w:tr>
      <w:tr w:rsidR="005F3657" w:rsidRPr="00E030F4" w:rsidTr="00792DCE">
        <w:tc>
          <w:tcPr>
            <w:tcW w:w="1357" w:type="pct"/>
            <w:gridSpan w:val="3"/>
            <w:tcBorders>
              <w:top w:val="outset" w:sz="6" w:space="0" w:color="000000"/>
              <w:left w:val="outset" w:sz="6" w:space="0" w:color="000000"/>
              <w:bottom w:val="outset" w:sz="6" w:space="0" w:color="000000"/>
              <w:right w:val="outset" w:sz="6" w:space="0" w:color="000000"/>
            </w:tcBorders>
          </w:tcPr>
          <w:p w:rsidR="005F3657" w:rsidRPr="005831CB" w:rsidRDefault="005F3657" w:rsidP="00CF7285">
            <w:pPr>
              <w:spacing w:before="100" w:beforeAutospacing="1" w:after="100" w:afterAutospacing="1"/>
            </w:pPr>
            <w:r w:rsidRPr="005831CB">
              <w:t>Lēmum</w:t>
            </w:r>
            <w:r>
              <w:t>a</w:t>
            </w:r>
            <w:r w:rsidRPr="005831CB">
              <w:t xml:space="preserve"> 201</w:t>
            </w:r>
            <w:r>
              <w:t>4</w:t>
            </w:r>
            <w:r w:rsidRPr="005831CB">
              <w:t>/6</w:t>
            </w:r>
            <w:r>
              <w:t>41</w:t>
            </w:r>
            <w:r w:rsidRPr="005831CB">
              <w:t xml:space="preserve">/ES </w:t>
            </w:r>
            <w:r w:rsidRPr="008E35F0">
              <w:t>pielikums</w:t>
            </w:r>
          </w:p>
        </w:tc>
        <w:tc>
          <w:tcPr>
            <w:tcW w:w="1294" w:type="pct"/>
            <w:gridSpan w:val="4"/>
            <w:tcBorders>
              <w:top w:val="outset" w:sz="6" w:space="0" w:color="000000"/>
              <w:left w:val="outset" w:sz="6" w:space="0" w:color="000000"/>
              <w:bottom w:val="outset" w:sz="6" w:space="0" w:color="000000"/>
              <w:right w:val="outset" w:sz="6" w:space="0" w:color="000000"/>
            </w:tcBorders>
          </w:tcPr>
          <w:p w:rsidR="005F3657" w:rsidRPr="00C23296" w:rsidRDefault="005F3657" w:rsidP="005F3657">
            <w:pPr>
              <w:pStyle w:val="naiskr"/>
              <w:spacing w:before="0" w:after="0"/>
              <w:rPr>
                <w:bCs/>
              </w:rPr>
            </w:pPr>
            <w:r>
              <w:rPr>
                <w:bCs/>
              </w:rPr>
              <w:t xml:space="preserve">46.punkts </w:t>
            </w:r>
          </w:p>
        </w:tc>
        <w:tc>
          <w:tcPr>
            <w:tcW w:w="985" w:type="pct"/>
            <w:gridSpan w:val="3"/>
            <w:tcBorders>
              <w:top w:val="outset" w:sz="6" w:space="0" w:color="000000"/>
              <w:left w:val="outset" w:sz="6" w:space="0" w:color="000000"/>
              <w:bottom w:val="outset" w:sz="6" w:space="0" w:color="000000"/>
              <w:right w:val="outset" w:sz="6" w:space="0" w:color="000000"/>
            </w:tcBorders>
          </w:tcPr>
          <w:p w:rsidR="005F3657" w:rsidRPr="002B2D98" w:rsidRDefault="005F3657" w:rsidP="00CF7285">
            <w:pPr>
              <w:spacing w:before="100" w:beforeAutospacing="1" w:after="100" w:afterAutospacing="1"/>
            </w:pPr>
            <w:r w:rsidRPr="002B2D98">
              <w:t>Ieviests pilnībā.</w:t>
            </w:r>
          </w:p>
        </w:tc>
        <w:tc>
          <w:tcPr>
            <w:tcW w:w="1364" w:type="pct"/>
            <w:tcBorders>
              <w:top w:val="outset" w:sz="6" w:space="0" w:color="000000"/>
              <w:left w:val="outset" w:sz="6" w:space="0" w:color="000000"/>
              <w:bottom w:val="outset" w:sz="6" w:space="0" w:color="000000"/>
              <w:right w:val="outset" w:sz="6" w:space="0" w:color="000000"/>
            </w:tcBorders>
          </w:tcPr>
          <w:p w:rsidR="005F3657" w:rsidRPr="002B2D98" w:rsidRDefault="005F3657" w:rsidP="00CF7285">
            <w:pPr>
              <w:spacing w:before="100" w:beforeAutospacing="1" w:after="100" w:afterAutospacing="1"/>
            </w:pPr>
            <w:r w:rsidRPr="002B2D98">
              <w:t>Neparedz stingrākas prasības.</w:t>
            </w:r>
          </w:p>
        </w:tc>
      </w:tr>
      <w:tr w:rsidR="005F3657" w:rsidRPr="00E030F4" w:rsidTr="00792DCE">
        <w:tc>
          <w:tcPr>
            <w:tcW w:w="1357" w:type="pct"/>
            <w:gridSpan w:val="3"/>
            <w:tcBorders>
              <w:top w:val="outset" w:sz="6" w:space="0" w:color="000000"/>
              <w:left w:val="outset" w:sz="6" w:space="0" w:color="000000"/>
              <w:bottom w:val="outset" w:sz="6" w:space="0" w:color="000000"/>
              <w:right w:val="outset" w:sz="6" w:space="0" w:color="000000"/>
            </w:tcBorders>
          </w:tcPr>
          <w:p w:rsidR="005F3657" w:rsidRPr="005831CB" w:rsidRDefault="005F3657" w:rsidP="00CF7285">
            <w:pPr>
              <w:spacing w:before="100" w:beforeAutospacing="1" w:after="100" w:afterAutospacing="1"/>
            </w:pPr>
            <w:r w:rsidRPr="005831CB">
              <w:t>Lēmum</w:t>
            </w:r>
            <w:r>
              <w:t>a</w:t>
            </w:r>
            <w:r w:rsidRPr="005831CB">
              <w:t xml:space="preserve"> 201</w:t>
            </w:r>
            <w:r>
              <w:t>4</w:t>
            </w:r>
            <w:r w:rsidRPr="005831CB">
              <w:t>/6</w:t>
            </w:r>
            <w:r>
              <w:t>41</w:t>
            </w:r>
            <w:r w:rsidRPr="005831CB">
              <w:t xml:space="preserve">/ES </w:t>
            </w:r>
            <w:r w:rsidRPr="008E35F0">
              <w:t>pielikums</w:t>
            </w:r>
          </w:p>
        </w:tc>
        <w:tc>
          <w:tcPr>
            <w:tcW w:w="1294" w:type="pct"/>
            <w:gridSpan w:val="4"/>
            <w:tcBorders>
              <w:top w:val="outset" w:sz="6" w:space="0" w:color="000000"/>
              <w:left w:val="outset" w:sz="6" w:space="0" w:color="000000"/>
              <w:bottom w:val="outset" w:sz="6" w:space="0" w:color="000000"/>
              <w:right w:val="outset" w:sz="6" w:space="0" w:color="000000"/>
            </w:tcBorders>
          </w:tcPr>
          <w:p w:rsidR="005F3657" w:rsidRPr="00C23296" w:rsidRDefault="005E71BF" w:rsidP="005F3657">
            <w:pPr>
              <w:pStyle w:val="naiskr"/>
              <w:spacing w:before="0" w:after="0"/>
              <w:rPr>
                <w:bCs/>
              </w:rPr>
            </w:pPr>
            <w:r>
              <w:rPr>
                <w:bCs/>
              </w:rPr>
              <w:t>78</w:t>
            </w:r>
            <w:r w:rsidR="005F3657">
              <w:rPr>
                <w:bCs/>
              </w:rPr>
              <w:t xml:space="preserve">.punkts </w:t>
            </w:r>
          </w:p>
        </w:tc>
        <w:tc>
          <w:tcPr>
            <w:tcW w:w="985" w:type="pct"/>
            <w:gridSpan w:val="3"/>
            <w:tcBorders>
              <w:top w:val="outset" w:sz="6" w:space="0" w:color="000000"/>
              <w:left w:val="outset" w:sz="6" w:space="0" w:color="000000"/>
              <w:bottom w:val="outset" w:sz="6" w:space="0" w:color="000000"/>
              <w:right w:val="outset" w:sz="6" w:space="0" w:color="000000"/>
            </w:tcBorders>
          </w:tcPr>
          <w:p w:rsidR="005F3657" w:rsidRPr="002B2D98" w:rsidRDefault="005F3657" w:rsidP="00CF7285">
            <w:pPr>
              <w:spacing w:before="100" w:beforeAutospacing="1" w:after="100" w:afterAutospacing="1"/>
            </w:pPr>
            <w:r w:rsidRPr="002B2D98">
              <w:t>Ieviests pilnībā.</w:t>
            </w:r>
          </w:p>
        </w:tc>
        <w:tc>
          <w:tcPr>
            <w:tcW w:w="1364" w:type="pct"/>
            <w:tcBorders>
              <w:top w:val="outset" w:sz="6" w:space="0" w:color="000000"/>
              <w:left w:val="outset" w:sz="6" w:space="0" w:color="000000"/>
              <w:bottom w:val="outset" w:sz="6" w:space="0" w:color="000000"/>
              <w:right w:val="outset" w:sz="6" w:space="0" w:color="000000"/>
            </w:tcBorders>
          </w:tcPr>
          <w:p w:rsidR="005F3657" w:rsidRPr="002B2D98" w:rsidRDefault="005F3657" w:rsidP="00CF7285">
            <w:pPr>
              <w:spacing w:before="100" w:beforeAutospacing="1" w:after="100" w:afterAutospacing="1"/>
            </w:pPr>
            <w:r w:rsidRPr="002B2D98">
              <w:t>Neparedz stingrākas prasības.</w:t>
            </w:r>
          </w:p>
        </w:tc>
      </w:tr>
      <w:tr w:rsidR="005F3657" w:rsidRPr="00E030F4" w:rsidTr="00792DCE">
        <w:tc>
          <w:tcPr>
            <w:tcW w:w="1357" w:type="pct"/>
            <w:gridSpan w:val="3"/>
            <w:tcBorders>
              <w:top w:val="outset" w:sz="6" w:space="0" w:color="000000"/>
              <w:left w:val="outset" w:sz="6" w:space="0" w:color="000000"/>
              <w:bottom w:val="outset" w:sz="6" w:space="0" w:color="000000"/>
              <w:right w:val="outset" w:sz="6" w:space="0" w:color="000000"/>
            </w:tcBorders>
          </w:tcPr>
          <w:p w:rsidR="005F3657" w:rsidRPr="005831CB" w:rsidRDefault="005F3657" w:rsidP="00CF7285">
            <w:pPr>
              <w:spacing w:before="100" w:beforeAutospacing="1" w:after="100" w:afterAutospacing="1"/>
            </w:pPr>
            <w:r w:rsidRPr="005831CB">
              <w:t>Lēmum</w:t>
            </w:r>
            <w:r>
              <w:t>a</w:t>
            </w:r>
            <w:r w:rsidRPr="005831CB">
              <w:t xml:space="preserve"> 201</w:t>
            </w:r>
            <w:r>
              <w:t>4</w:t>
            </w:r>
            <w:r w:rsidRPr="005831CB">
              <w:t>/6</w:t>
            </w:r>
            <w:r>
              <w:t>41</w:t>
            </w:r>
            <w:r w:rsidRPr="005831CB">
              <w:t xml:space="preserve">/ES </w:t>
            </w:r>
            <w:r w:rsidRPr="008E35F0">
              <w:t>pielikums</w:t>
            </w:r>
          </w:p>
        </w:tc>
        <w:tc>
          <w:tcPr>
            <w:tcW w:w="1294" w:type="pct"/>
            <w:gridSpan w:val="4"/>
            <w:tcBorders>
              <w:top w:val="outset" w:sz="6" w:space="0" w:color="000000"/>
              <w:left w:val="outset" w:sz="6" w:space="0" w:color="000000"/>
              <w:bottom w:val="outset" w:sz="6" w:space="0" w:color="000000"/>
              <w:right w:val="outset" w:sz="6" w:space="0" w:color="000000"/>
            </w:tcBorders>
          </w:tcPr>
          <w:p w:rsidR="005F3657" w:rsidRPr="00C23296" w:rsidRDefault="005E71BF" w:rsidP="005F3657">
            <w:pPr>
              <w:pStyle w:val="naiskr"/>
              <w:spacing w:before="0" w:after="0"/>
              <w:rPr>
                <w:bCs/>
              </w:rPr>
            </w:pPr>
            <w:r>
              <w:rPr>
                <w:bCs/>
              </w:rPr>
              <w:t>83</w:t>
            </w:r>
            <w:r w:rsidR="005F3657">
              <w:rPr>
                <w:bCs/>
              </w:rPr>
              <w:t>.punkts</w:t>
            </w:r>
          </w:p>
        </w:tc>
        <w:tc>
          <w:tcPr>
            <w:tcW w:w="985" w:type="pct"/>
            <w:gridSpan w:val="3"/>
            <w:tcBorders>
              <w:top w:val="outset" w:sz="6" w:space="0" w:color="000000"/>
              <w:left w:val="outset" w:sz="6" w:space="0" w:color="000000"/>
              <w:bottom w:val="outset" w:sz="6" w:space="0" w:color="000000"/>
              <w:right w:val="outset" w:sz="6" w:space="0" w:color="000000"/>
            </w:tcBorders>
          </w:tcPr>
          <w:p w:rsidR="005F3657" w:rsidRPr="002B2D98" w:rsidRDefault="005F3657" w:rsidP="00CF7285">
            <w:pPr>
              <w:spacing w:before="100" w:beforeAutospacing="1" w:after="100" w:afterAutospacing="1"/>
            </w:pPr>
            <w:r w:rsidRPr="002B2D98">
              <w:t>Ieviests pilnībā.</w:t>
            </w:r>
          </w:p>
        </w:tc>
        <w:tc>
          <w:tcPr>
            <w:tcW w:w="1364" w:type="pct"/>
            <w:tcBorders>
              <w:top w:val="outset" w:sz="6" w:space="0" w:color="000000"/>
              <w:left w:val="outset" w:sz="6" w:space="0" w:color="000000"/>
              <w:bottom w:val="outset" w:sz="6" w:space="0" w:color="000000"/>
              <w:right w:val="outset" w:sz="6" w:space="0" w:color="000000"/>
            </w:tcBorders>
          </w:tcPr>
          <w:p w:rsidR="005F3657" w:rsidRPr="002B2D98" w:rsidRDefault="005F3657" w:rsidP="00CF7285">
            <w:pPr>
              <w:spacing w:before="100" w:beforeAutospacing="1" w:after="100" w:afterAutospacing="1"/>
            </w:pPr>
            <w:r w:rsidRPr="002B2D98">
              <w:t>Neparedz stingrākas prasības.</w:t>
            </w:r>
          </w:p>
        </w:tc>
      </w:tr>
      <w:tr w:rsidR="00895374" w:rsidRPr="00E030F4" w:rsidTr="00792DCE">
        <w:tc>
          <w:tcPr>
            <w:tcW w:w="2651" w:type="pct"/>
            <w:gridSpan w:val="7"/>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pPr>
            <w:r w:rsidRPr="00E030F4">
              <w:t>Kā ir izmantota ES tiesību aktā paredzētā rīcības brīvība</w:t>
            </w:r>
            <w:r w:rsidR="00095079">
              <w:t>,</w:t>
            </w:r>
            <w:r w:rsidRPr="00E030F4">
              <w:t xml:space="preserve"> dalībvalstij pārņemt vai ieviest noteiktas ES tiesību akta normas.</w:t>
            </w:r>
            <w:r>
              <w:t xml:space="preserve"> </w:t>
            </w:r>
            <w:r w:rsidRPr="00E030F4">
              <w:t>Kādēļ?</w:t>
            </w:r>
          </w:p>
        </w:tc>
        <w:tc>
          <w:tcPr>
            <w:tcW w:w="2349" w:type="pct"/>
            <w:gridSpan w:val="4"/>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66BB3">
              <w:t>Nav attiecināms.</w:t>
            </w:r>
          </w:p>
        </w:tc>
      </w:tr>
      <w:tr w:rsidR="00895374" w:rsidRPr="00E030F4" w:rsidTr="00CF7285">
        <w:tc>
          <w:tcPr>
            <w:tcW w:w="5000" w:type="pct"/>
            <w:gridSpan w:val="11"/>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jc w:val="both"/>
              <w:rPr>
                <w:b/>
                <w:bCs/>
              </w:rPr>
            </w:pPr>
            <w:r w:rsidRPr="005831CB">
              <w:t>Komisijas 201</w:t>
            </w:r>
            <w:r>
              <w:t>4</w:t>
            </w:r>
            <w:r w:rsidRPr="005831CB">
              <w:t xml:space="preserve">.gada </w:t>
            </w:r>
            <w:r>
              <w:t>7</w:t>
            </w:r>
            <w:r w:rsidRPr="005831CB">
              <w:t>.</w:t>
            </w:r>
            <w:r>
              <w:t>oktobra</w:t>
            </w:r>
            <w:r w:rsidRPr="005831CB">
              <w:t xml:space="preserve"> Lēmums 201</w:t>
            </w:r>
            <w:r>
              <w:t>4</w:t>
            </w:r>
            <w:r w:rsidRPr="005831CB">
              <w:t>/7</w:t>
            </w:r>
            <w:r>
              <w:t>0</w:t>
            </w:r>
            <w:r w:rsidRPr="005831CB">
              <w:t>2/ES, ar ko groz</w:t>
            </w:r>
            <w:r>
              <w:t>a</w:t>
            </w:r>
            <w:r w:rsidRPr="005831CB">
              <w:t xml:space="preserve"> Lēmum</w:t>
            </w:r>
            <w:r>
              <w:t>u</w:t>
            </w:r>
            <w:r w:rsidRPr="005831CB">
              <w:t xml:space="preserve"> 200</w:t>
            </w:r>
            <w:r>
              <w:t>7</w:t>
            </w:r>
            <w:r w:rsidRPr="005831CB">
              <w:t>/</w:t>
            </w:r>
            <w:r>
              <w:t>13</w:t>
            </w:r>
            <w:r w:rsidRPr="005831CB">
              <w:t xml:space="preserve">1/EK par </w:t>
            </w:r>
            <w:r>
              <w:t>atļauju</w:t>
            </w:r>
            <w:r w:rsidRPr="005831CB">
              <w:t xml:space="preserve"> </w:t>
            </w:r>
            <w:r>
              <w:t>Kopienā harmonizēti izmantot radiofrekvenču spektru iekārtām, kurās izmantota ultraplatjoslas tehnoloģija</w:t>
            </w:r>
          </w:p>
        </w:tc>
      </w:tr>
      <w:tr w:rsidR="00895374" w:rsidRPr="00E030F4" w:rsidTr="00792DCE">
        <w:trPr>
          <w:trHeight w:val="857"/>
        </w:trPr>
        <w:tc>
          <w:tcPr>
            <w:tcW w:w="1357" w:type="pct"/>
            <w:gridSpan w:val="3"/>
            <w:tcBorders>
              <w:top w:val="outset" w:sz="6" w:space="0" w:color="000000"/>
              <w:left w:val="outset" w:sz="6" w:space="0" w:color="000000"/>
              <w:bottom w:val="outset" w:sz="6" w:space="0" w:color="000000"/>
              <w:right w:val="outset" w:sz="6" w:space="0" w:color="000000"/>
            </w:tcBorders>
          </w:tcPr>
          <w:p w:rsidR="00895374" w:rsidRPr="00B61F67" w:rsidRDefault="00895374" w:rsidP="00A36826">
            <w:pPr>
              <w:spacing w:before="100" w:beforeAutospacing="1" w:after="100" w:afterAutospacing="1"/>
            </w:pPr>
            <w:r w:rsidRPr="005831CB">
              <w:lastRenderedPageBreak/>
              <w:t>Lēmum</w:t>
            </w:r>
            <w:r>
              <w:t>a</w:t>
            </w:r>
            <w:r w:rsidRPr="005831CB">
              <w:t xml:space="preserve"> 201</w:t>
            </w:r>
            <w:r>
              <w:t>4</w:t>
            </w:r>
            <w:r w:rsidRPr="005831CB">
              <w:t>/7</w:t>
            </w:r>
            <w:r>
              <w:t>0</w:t>
            </w:r>
            <w:r w:rsidRPr="005831CB">
              <w:t>2/ES</w:t>
            </w:r>
            <w:r>
              <w:t xml:space="preserve"> </w:t>
            </w:r>
            <w:r w:rsidR="00A36826">
              <w:t>1.pants</w:t>
            </w:r>
          </w:p>
        </w:tc>
        <w:tc>
          <w:tcPr>
            <w:tcW w:w="1066" w:type="pct"/>
            <w:gridSpan w:val="3"/>
            <w:tcBorders>
              <w:top w:val="outset" w:sz="6" w:space="0" w:color="000000"/>
              <w:left w:val="outset" w:sz="6" w:space="0" w:color="000000"/>
              <w:bottom w:val="outset" w:sz="6" w:space="0" w:color="000000"/>
              <w:right w:val="outset" w:sz="6" w:space="0" w:color="000000"/>
            </w:tcBorders>
          </w:tcPr>
          <w:p w:rsidR="00895374" w:rsidRPr="00B61F67" w:rsidRDefault="00876C50" w:rsidP="005E71BF">
            <w:pPr>
              <w:pStyle w:val="naiskr"/>
              <w:spacing w:before="0" w:after="0"/>
              <w:rPr>
                <w:bCs/>
              </w:rPr>
            </w:pPr>
            <w:r>
              <w:rPr>
                <w:bCs/>
              </w:rPr>
              <w:t>8</w:t>
            </w:r>
            <w:r w:rsidR="005E71BF">
              <w:rPr>
                <w:bCs/>
              </w:rPr>
              <w:t>5</w:t>
            </w:r>
            <w:r w:rsidR="00895374">
              <w:rPr>
                <w:bCs/>
              </w:rPr>
              <w:t>.punkts</w:t>
            </w:r>
          </w:p>
        </w:tc>
        <w:tc>
          <w:tcPr>
            <w:tcW w:w="1213" w:type="pct"/>
            <w:gridSpan w:val="4"/>
            <w:tcBorders>
              <w:top w:val="outset" w:sz="6" w:space="0" w:color="000000"/>
              <w:left w:val="outset" w:sz="6" w:space="0" w:color="000000"/>
              <w:bottom w:val="outset" w:sz="6" w:space="0" w:color="000000"/>
              <w:right w:val="outset" w:sz="6" w:space="0" w:color="000000"/>
            </w:tcBorders>
          </w:tcPr>
          <w:p w:rsidR="00895374" w:rsidRPr="002B2D98" w:rsidRDefault="00895374" w:rsidP="00CF7285">
            <w:pPr>
              <w:spacing w:before="100" w:beforeAutospacing="1" w:after="100" w:afterAutospacing="1"/>
            </w:pPr>
            <w:r w:rsidRPr="002B2D98">
              <w:t>Ieviests pilnībā.</w:t>
            </w:r>
          </w:p>
        </w:tc>
        <w:tc>
          <w:tcPr>
            <w:tcW w:w="1364" w:type="pct"/>
            <w:tcBorders>
              <w:top w:val="outset" w:sz="6" w:space="0" w:color="000000"/>
              <w:left w:val="outset" w:sz="6" w:space="0" w:color="000000"/>
              <w:bottom w:val="outset" w:sz="6" w:space="0" w:color="000000"/>
              <w:right w:val="outset" w:sz="6" w:space="0" w:color="000000"/>
            </w:tcBorders>
          </w:tcPr>
          <w:p w:rsidR="00895374" w:rsidRPr="002B2D98" w:rsidRDefault="00895374" w:rsidP="00CF7285">
            <w:pPr>
              <w:spacing w:before="100" w:beforeAutospacing="1" w:after="100" w:afterAutospacing="1"/>
            </w:pPr>
            <w:r w:rsidRPr="002B2D98">
              <w:t>Neparedz stingrākas prasības.</w:t>
            </w:r>
          </w:p>
        </w:tc>
      </w:tr>
      <w:tr w:rsidR="00A36826" w:rsidRPr="00E030F4" w:rsidTr="00792DCE">
        <w:trPr>
          <w:trHeight w:val="857"/>
        </w:trPr>
        <w:tc>
          <w:tcPr>
            <w:tcW w:w="1357" w:type="pct"/>
            <w:gridSpan w:val="3"/>
            <w:tcBorders>
              <w:top w:val="outset" w:sz="6" w:space="0" w:color="000000"/>
              <w:left w:val="outset" w:sz="6" w:space="0" w:color="000000"/>
              <w:bottom w:val="outset" w:sz="6" w:space="0" w:color="000000"/>
              <w:right w:val="outset" w:sz="6" w:space="0" w:color="000000"/>
            </w:tcBorders>
          </w:tcPr>
          <w:p w:rsidR="00A36826" w:rsidRPr="005831CB" w:rsidRDefault="00A36826" w:rsidP="00CF7285">
            <w:pPr>
              <w:spacing w:before="100" w:beforeAutospacing="1" w:after="100" w:afterAutospacing="1"/>
            </w:pPr>
            <w:r w:rsidRPr="005831CB">
              <w:t>Lēmum</w:t>
            </w:r>
            <w:r>
              <w:t>a</w:t>
            </w:r>
            <w:r w:rsidRPr="005831CB">
              <w:t xml:space="preserve"> 201</w:t>
            </w:r>
            <w:r>
              <w:t>4</w:t>
            </w:r>
            <w:r w:rsidRPr="005831CB">
              <w:t>/7</w:t>
            </w:r>
            <w:r>
              <w:t>0</w:t>
            </w:r>
            <w:r w:rsidRPr="005831CB">
              <w:t>2/ES</w:t>
            </w:r>
            <w:r>
              <w:t xml:space="preserve"> </w:t>
            </w:r>
            <w:r w:rsidRPr="008E35F0">
              <w:t>pielikums</w:t>
            </w:r>
          </w:p>
        </w:tc>
        <w:tc>
          <w:tcPr>
            <w:tcW w:w="1066" w:type="pct"/>
            <w:gridSpan w:val="3"/>
            <w:tcBorders>
              <w:top w:val="outset" w:sz="6" w:space="0" w:color="000000"/>
              <w:left w:val="outset" w:sz="6" w:space="0" w:color="000000"/>
              <w:bottom w:val="outset" w:sz="6" w:space="0" w:color="000000"/>
              <w:right w:val="outset" w:sz="6" w:space="0" w:color="000000"/>
            </w:tcBorders>
          </w:tcPr>
          <w:p w:rsidR="00A36826" w:rsidRDefault="00A36826" w:rsidP="00F44694">
            <w:pPr>
              <w:pStyle w:val="naiskr"/>
              <w:spacing w:before="0" w:after="0"/>
              <w:rPr>
                <w:bCs/>
              </w:rPr>
            </w:pPr>
            <w:r>
              <w:rPr>
                <w:bCs/>
              </w:rPr>
              <w:t>80.punkts</w:t>
            </w:r>
          </w:p>
        </w:tc>
        <w:tc>
          <w:tcPr>
            <w:tcW w:w="1213" w:type="pct"/>
            <w:gridSpan w:val="4"/>
            <w:tcBorders>
              <w:top w:val="outset" w:sz="6" w:space="0" w:color="000000"/>
              <w:left w:val="outset" w:sz="6" w:space="0" w:color="000000"/>
              <w:bottom w:val="outset" w:sz="6" w:space="0" w:color="000000"/>
              <w:right w:val="outset" w:sz="6" w:space="0" w:color="000000"/>
            </w:tcBorders>
          </w:tcPr>
          <w:p w:rsidR="00A36826" w:rsidRPr="002B2D98" w:rsidRDefault="00A36826" w:rsidP="00CF7285">
            <w:pPr>
              <w:spacing w:before="100" w:beforeAutospacing="1" w:after="100" w:afterAutospacing="1"/>
            </w:pPr>
          </w:p>
        </w:tc>
        <w:tc>
          <w:tcPr>
            <w:tcW w:w="1364" w:type="pct"/>
            <w:tcBorders>
              <w:top w:val="outset" w:sz="6" w:space="0" w:color="000000"/>
              <w:left w:val="outset" w:sz="6" w:space="0" w:color="000000"/>
              <w:bottom w:val="outset" w:sz="6" w:space="0" w:color="000000"/>
              <w:right w:val="outset" w:sz="6" w:space="0" w:color="000000"/>
            </w:tcBorders>
          </w:tcPr>
          <w:p w:rsidR="00A36826" w:rsidRPr="002B2D98" w:rsidRDefault="00A36826" w:rsidP="00CF7285">
            <w:pPr>
              <w:spacing w:before="100" w:beforeAutospacing="1" w:after="100" w:afterAutospacing="1"/>
            </w:pPr>
          </w:p>
        </w:tc>
      </w:tr>
      <w:tr w:rsidR="00895374" w:rsidRPr="00E030F4" w:rsidTr="00BD1A47">
        <w:tc>
          <w:tcPr>
            <w:tcW w:w="2423" w:type="pct"/>
            <w:gridSpan w:val="6"/>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pPr>
            <w:r w:rsidRPr="00E030F4">
              <w:t>Kā ir izmantota ES tiesību aktā paredzētā rīcības brīvība</w:t>
            </w:r>
            <w:r w:rsidR="00095079">
              <w:t>,</w:t>
            </w:r>
            <w:r w:rsidRPr="00E030F4">
              <w:t xml:space="preserve"> dalībvalstij pārņemt vai ieviest noteiktas ES tiesību akta normas.</w:t>
            </w:r>
            <w:r>
              <w:t xml:space="preserve"> </w:t>
            </w:r>
            <w:r w:rsidRPr="00E030F4">
              <w:t>Kādēļ?</w:t>
            </w:r>
          </w:p>
        </w:tc>
        <w:tc>
          <w:tcPr>
            <w:tcW w:w="2577" w:type="pct"/>
            <w:gridSpan w:val="5"/>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66BB3">
              <w:t>Nav attiecināms.</w:t>
            </w:r>
          </w:p>
        </w:tc>
      </w:tr>
      <w:tr w:rsidR="00ED00CB" w:rsidRPr="008866F8" w:rsidTr="009733E0">
        <w:tc>
          <w:tcPr>
            <w:tcW w:w="5000" w:type="pct"/>
            <w:gridSpan w:val="11"/>
            <w:tcBorders>
              <w:top w:val="outset" w:sz="6" w:space="0" w:color="000000"/>
              <w:left w:val="outset" w:sz="6" w:space="0" w:color="000000"/>
              <w:bottom w:val="outset" w:sz="6" w:space="0" w:color="000000"/>
              <w:right w:val="outset" w:sz="6" w:space="0" w:color="000000"/>
            </w:tcBorders>
            <w:vAlign w:val="center"/>
          </w:tcPr>
          <w:p w:rsidR="00ED00CB" w:rsidRPr="008866F8" w:rsidRDefault="003C3E6E" w:rsidP="009733E0">
            <w:pPr>
              <w:jc w:val="both"/>
              <w:rPr>
                <w:b/>
                <w:bCs/>
              </w:rPr>
            </w:pPr>
            <w:r w:rsidRPr="008866F8">
              <w:t>2013.gada 11.decembra Komisijas īstenošanas Lēmumu 2013/752/ES ar kuru groza Lēmumu 2006/771/EK par maza darbības darbības attāluma ierīcēs izmantotā radiofrekvenču spektra saskaņošanu.</w:t>
            </w:r>
          </w:p>
        </w:tc>
      </w:tr>
      <w:tr w:rsidR="00ED00CB" w:rsidRPr="00E030F4" w:rsidTr="00792DCE">
        <w:tc>
          <w:tcPr>
            <w:tcW w:w="1357" w:type="pct"/>
            <w:gridSpan w:val="3"/>
            <w:tcBorders>
              <w:top w:val="outset" w:sz="6" w:space="0" w:color="000000"/>
              <w:left w:val="outset" w:sz="6" w:space="0" w:color="000000"/>
              <w:bottom w:val="outset" w:sz="6" w:space="0" w:color="000000"/>
              <w:right w:val="outset" w:sz="6" w:space="0" w:color="000000"/>
            </w:tcBorders>
          </w:tcPr>
          <w:p w:rsidR="001C12C7" w:rsidRPr="008866F8" w:rsidRDefault="00ED00CB" w:rsidP="00ED00CB">
            <w:pPr>
              <w:spacing w:before="100" w:beforeAutospacing="1" w:after="100" w:afterAutospacing="1"/>
            </w:pPr>
            <w:r w:rsidRPr="008866F8">
              <w:t>Lēmuma 2013/752/ES pielikums</w:t>
            </w:r>
          </w:p>
          <w:p w:rsidR="001C12C7" w:rsidRPr="008866F8" w:rsidRDefault="001C12C7" w:rsidP="00ED00CB">
            <w:pPr>
              <w:spacing w:before="100" w:beforeAutospacing="1" w:after="100" w:afterAutospacing="1"/>
            </w:pPr>
          </w:p>
        </w:tc>
        <w:tc>
          <w:tcPr>
            <w:tcW w:w="1294" w:type="pct"/>
            <w:gridSpan w:val="4"/>
            <w:tcBorders>
              <w:top w:val="outset" w:sz="6" w:space="0" w:color="000000"/>
              <w:left w:val="outset" w:sz="6" w:space="0" w:color="000000"/>
              <w:bottom w:val="outset" w:sz="6" w:space="0" w:color="000000"/>
              <w:right w:val="outset" w:sz="6" w:space="0" w:color="000000"/>
            </w:tcBorders>
          </w:tcPr>
          <w:p w:rsidR="00694397" w:rsidRPr="008866F8" w:rsidRDefault="003C3E6E" w:rsidP="00095079">
            <w:pPr>
              <w:pStyle w:val="naiskr"/>
              <w:spacing w:before="0" w:after="0"/>
              <w:rPr>
                <w:bCs/>
              </w:rPr>
            </w:pPr>
            <w:r w:rsidRPr="008866F8">
              <w:rPr>
                <w:bCs/>
              </w:rPr>
              <w:t>7.-37.punkt</w:t>
            </w:r>
            <w:r w:rsidR="00095079" w:rsidRPr="008866F8">
              <w:rPr>
                <w:bCs/>
              </w:rPr>
              <w:t>s</w:t>
            </w:r>
            <w:r w:rsidRPr="008866F8">
              <w:rPr>
                <w:bCs/>
              </w:rPr>
              <w:t xml:space="preserve">, </w:t>
            </w:r>
          </w:p>
          <w:p w:rsidR="00694397" w:rsidRPr="008866F8" w:rsidRDefault="003C3E6E" w:rsidP="00095079">
            <w:pPr>
              <w:pStyle w:val="naiskr"/>
              <w:spacing w:before="0" w:after="0"/>
              <w:rPr>
                <w:bCs/>
              </w:rPr>
            </w:pPr>
            <w:r w:rsidRPr="008866F8">
              <w:rPr>
                <w:bCs/>
              </w:rPr>
              <w:t>44.</w:t>
            </w:r>
            <w:r w:rsidR="00117805" w:rsidRPr="008866F8">
              <w:rPr>
                <w:bCs/>
              </w:rPr>
              <w:t>punkts</w:t>
            </w:r>
            <w:r w:rsidRPr="008866F8">
              <w:rPr>
                <w:bCs/>
              </w:rPr>
              <w:t>, 45.</w:t>
            </w:r>
            <w:r w:rsidR="00117805" w:rsidRPr="008866F8">
              <w:rPr>
                <w:bCs/>
              </w:rPr>
              <w:t>punkts</w:t>
            </w:r>
            <w:r w:rsidRPr="008866F8">
              <w:rPr>
                <w:bCs/>
              </w:rPr>
              <w:t>, 47.</w:t>
            </w:r>
            <w:r w:rsidR="00117805" w:rsidRPr="008866F8">
              <w:rPr>
                <w:bCs/>
              </w:rPr>
              <w:t>punkts</w:t>
            </w:r>
            <w:r w:rsidRPr="008866F8">
              <w:rPr>
                <w:bCs/>
              </w:rPr>
              <w:t>, 48.</w:t>
            </w:r>
            <w:r w:rsidR="00117805" w:rsidRPr="008866F8">
              <w:rPr>
                <w:bCs/>
              </w:rPr>
              <w:t>punkts</w:t>
            </w:r>
            <w:r w:rsidRPr="008866F8">
              <w:rPr>
                <w:bCs/>
              </w:rPr>
              <w:t xml:space="preserve">, </w:t>
            </w:r>
          </w:p>
          <w:p w:rsidR="00694397" w:rsidRPr="008866F8" w:rsidRDefault="003C3E6E" w:rsidP="00095079">
            <w:pPr>
              <w:pStyle w:val="naiskr"/>
              <w:spacing w:before="0" w:after="0"/>
              <w:rPr>
                <w:bCs/>
              </w:rPr>
            </w:pPr>
            <w:r w:rsidRPr="008866F8">
              <w:rPr>
                <w:bCs/>
              </w:rPr>
              <w:t>50.-64.</w:t>
            </w:r>
            <w:r w:rsidR="00117805" w:rsidRPr="008866F8">
              <w:rPr>
                <w:bCs/>
              </w:rPr>
              <w:t>punkts</w:t>
            </w:r>
            <w:r w:rsidRPr="008866F8">
              <w:rPr>
                <w:bCs/>
              </w:rPr>
              <w:t xml:space="preserve">, </w:t>
            </w:r>
          </w:p>
          <w:p w:rsidR="00ED00CB" w:rsidRPr="008866F8" w:rsidRDefault="003C3E6E" w:rsidP="00095079">
            <w:pPr>
              <w:pStyle w:val="naiskr"/>
              <w:spacing w:before="0" w:after="0"/>
              <w:rPr>
                <w:bCs/>
              </w:rPr>
            </w:pPr>
            <w:r w:rsidRPr="008866F8">
              <w:rPr>
                <w:bCs/>
              </w:rPr>
              <w:t>66.-69.punkts.</w:t>
            </w:r>
          </w:p>
        </w:tc>
        <w:tc>
          <w:tcPr>
            <w:tcW w:w="985" w:type="pct"/>
            <w:gridSpan w:val="3"/>
            <w:tcBorders>
              <w:top w:val="outset" w:sz="6" w:space="0" w:color="000000"/>
              <w:left w:val="outset" w:sz="6" w:space="0" w:color="000000"/>
              <w:bottom w:val="outset" w:sz="6" w:space="0" w:color="000000"/>
              <w:right w:val="outset" w:sz="6" w:space="0" w:color="000000"/>
            </w:tcBorders>
          </w:tcPr>
          <w:p w:rsidR="00ED00CB" w:rsidRPr="008866F8" w:rsidRDefault="00ED00CB" w:rsidP="009733E0">
            <w:pPr>
              <w:spacing w:before="100" w:beforeAutospacing="1" w:after="100" w:afterAutospacing="1"/>
            </w:pPr>
            <w:r w:rsidRPr="008866F8">
              <w:t>Ieviests pilnībā.</w:t>
            </w:r>
          </w:p>
        </w:tc>
        <w:tc>
          <w:tcPr>
            <w:tcW w:w="1364" w:type="pct"/>
            <w:tcBorders>
              <w:top w:val="outset" w:sz="6" w:space="0" w:color="000000"/>
              <w:left w:val="outset" w:sz="6" w:space="0" w:color="000000"/>
              <w:bottom w:val="outset" w:sz="6" w:space="0" w:color="000000"/>
              <w:right w:val="outset" w:sz="6" w:space="0" w:color="000000"/>
            </w:tcBorders>
          </w:tcPr>
          <w:p w:rsidR="00ED00CB" w:rsidRPr="002B2D98" w:rsidRDefault="00ED00CB" w:rsidP="009733E0">
            <w:pPr>
              <w:spacing w:before="100" w:beforeAutospacing="1" w:after="100" w:afterAutospacing="1"/>
            </w:pPr>
            <w:r w:rsidRPr="008866F8">
              <w:t>Neparedz stingrākas prasības.</w:t>
            </w:r>
          </w:p>
        </w:tc>
      </w:tr>
      <w:tr w:rsidR="00ED00CB" w:rsidRPr="00E030F4" w:rsidTr="00792DCE">
        <w:tc>
          <w:tcPr>
            <w:tcW w:w="2651" w:type="pct"/>
            <w:gridSpan w:val="7"/>
            <w:tcBorders>
              <w:top w:val="outset" w:sz="6" w:space="0" w:color="000000"/>
              <w:left w:val="outset" w:sz="6" w:space="0" w:color="000000"/>
              <w:bottom w:val="outset" w:sz="6" w:space="0" w:color="000000"/>
              <w:right w:val="outset" w:sz="6" w:space="0" w:color="000000"/>
            </w:tcBorders>
            <w:vAlign w:val="center"/>
          </w:tcPr>
          <w:p w:rsidR="00ED00CB" w:rsidRPr="00E030F4" w:rsidRDefault="00ED00CB" w:rsidP="009733E0">
            <w:pPr>
              <w:spacing w:before="100" w:beforeAutospacing="1" w:after="100" w:afterAutospacing="1"/>
            </w:pPr>
            <w:r w:rsidRPr="00E030F4">
              <w:t>Kā ir izmantota ES tiesību aktā paredzētā rīcības brīvība</w:t>
            </w:r>
            <w:r w:rsidR="00095079">
              <w:t>,</w:t>
            </w:r>
            <w:r w:rsidRPr="00E030F4">
              <w:t xml:space="preserve"> dalībvalstij pārņemt vai ieviest noteiktas ES tiesību akta normas.</w:t>
            </w:r>
            <w:r>
              <w:t xml:space="preserve"> </w:t>
            </w:r>
            <w:r w:rsidRPr="00E030F4">
              <w:t>Kādēļ?</w:t>
            </w:r>
          </w:p>
        </w:tc>
        <w:tc>
          <w:tcPr>
            <w:tcW w:w="2349" w:type="pct"/>
            <w:gridSpan w:val="4"/>
            <w:tcBorders>
              <w:top w:val="outset" w:sz="6" w:space="0" w:color="000000"/>
              <w:left w:val="outset" w:sz="6" w:space="0" w:color="000000"/>
              <w:bottom w:val="outset" w:sz="6" w:space="0" w:color="000000"/>
              <w:right w:val="outset" w:sz="6" w:space="0" w:color="000000"/>
            </w:tcBorders>
          </w:tcPr>
          <w:p w:rsidR="00ED00CB" w:rsidRPr="00E030F4" w:rsidRDefault="00ED00CB" w:rsidP="009733E0">
            <w:pPr>
              <w:spacing w:before="100" w:beforeAutospacing="1" w:after="100" w:afterAutospacing="1"/>
            </w:pPr>
            <w:r w:rsidRPr="00E66BB3">
              <w:t>Nav attiecināms.</w:t>
            </w:r>
          </w:p>
        </w:tc>
      </w:tr>
      <w:tr w:rsidR="00895374" w:rsidRPr="00E030F4" w:rsidTr="00BD1A47">
        <w:tc>
          <w:tcPr>
            <w:tcW w:w="2423" w:type="pct"/>
            <w:gridSpan w:val="6"/>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77" w:type="pct"/>
            <w:gridSpan w:val="5"/>
            <w:tcBorders>
              <w:top w:val="outset" w:sz="6" w:space="0" w:color="000000"/>
              <w:left w:val="outset" w:sz="6" w:space="0" w:color="000000"/>
              <w:bottom w:val="outset" w:sz="6" w:space="0" w:color="000000"/>
              <w:right w:val="outset" w:sz="6" w:space="0" w:color="000000"/>
            </w:tcBorders>
          </w:tcPr>
          <w:p w:rsidR="00895374" w:rsidRPr="00335064" w:rsidRDefault="00895374" w:rsidP="00CF7285">
            <w:pPr>
              <w:spacing w:before="100" w:beforeAutospacing="1" w:after="100" w:afterAutospacing="1"/>
              <w:rPr>
                <w:highlight w:val="yellow"/>
              </w:rPr>
            </w:pPr>
            <w:r w:rsidRPr="00F2760E">
              <w:t xml:space="preserve">Saskaņā ar Eiropas Parlamenta un Padomes 2002.gada 7.marta lēmumu Nr.676/2002/EK par normatīvo bāzi radiofrekvenču spektra politikai Eiropas Kopienā </w:t>
            </w:r>
            <w:r>
              <w:t>(radiofrekvenču spektra lēmums)</w:t>
            </w:r>
            <w:r w:rsidRPr="00F2760E">
              <w:t xml:space="preserve"> Vides aizsardzības un reģionālās attīstības ministrija</w:t>
            </w:r>
            <w:r w:rsidRPr="00F2760E">
              <w:rPr>
                <w:bCs/>
              </w:rPr>
              <w:t xml:space="preserve"> informēs </w:t>
            </w:r>
            <w:r w:rsidRPr="00F2760E">
              <w:t xml:space="preserve">Eiropas Kopienu Komisijas Radiofrekvenču spektra komiteju </w:t>
            </w:r>
            <w:r w:rsidRPr="004E3AF0">
              <w:rPr>
                <w:bCs/>
              </w:rPr>
              <w:t xml:space="preserve">par </w:t>
            </w:r>
            <w:r w:rsidRPr="004E3AF0">
              <w:t xml:space="preserve">Komisijas </w:t>
            </w:r>
            <w:r>
              <w:t>lēmumu pārņemšanu nacionālajos tiesību aktos</w:t>
            </w:r>
            <w:r>
              <w:rPr>
                <w:color w:val="000000"/>
              </w:rPr>
              <w:t>.</w:t>
            </w:r>
          </w:p>
        </w:tc>
      </w:tr>
      <w:tr w:rsidR="00895374" w:rsidRPr="00E030F4" w:rsidTr="00BD1A47">
        <w:tc>
          <w:tcPr>
            <w:tcW w:w="2423" w:type="pct"/>
            <w:gridSpan w:val="6"/>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pPr>
            <w:r w:rsidRPr="00E030F4">
              <w:t>Cita informācija</w:t>
            </w:r>
          </w:p>
        </w:tc>
        <w:tc>
          <w:tcPr>
            <w:tcW w:w="2577" w:type="pct"/>
            <w:gridSpan w:val="5"/>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Nav</w:t>
            </w:r>
            <w:r>
              <w:t>.</w:t>
            </w:r>
          </w:p>
        </w:tc>
      </w:tr>
      <w:tr w:rsidR="00895374" w:rsidRPr="00E030F4" w:rsidTr="00CF7285">
        <w:tc>
          <w:tcPr>
            <w:tcW w:w="0" w:type="auto"/>
            <w:gridSpan w:val="11"/>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jc w:val="center"/>
              <w:rPr>
                <w:b/>
                <w:bCs/>
              </w:rPr>
            </w:pPr>
            <w:r w:rsidRPr="00E030F4">
              <w:rPr>
                <w:b/>
                <w:bCs/>
              </w:rPr>
              <w:t>2.tabula</w:t>
            </w:r>
            <w:r w:rsidRPr="00E030F4">
              <w:rPr>
                <w:b/>
                <w:bCs/>
              </w:rPr>
              <w:br/>
              <w:t>Ar tiesību akta projektu uzņemtās saistības, kas izriet no starptautiskajiem tiesību aktiem vai starptautiskas institūcijas vai organizācijas dokumentiem</w:t>
            </w:r>
            <w:r w:rsidRPr="00E030F4">
              <w:rPr>
                <w:b/>
                <w:bCs/>
              </w:rPr>
              <w:br/>
              <w:t>Pasākumi šo saistību izpildei</w:t>
            </w:r>
          </w:p>
        </w:tc>
      </w:tr>
      <w:tr w:rsidR="00895374" w:rsidRPr="00E030F4" w:rsidTr="00077095">
        <w:tc>
          <w:tcPr>
            <w:tcW w:w="1968" w:type="pct"/>
            <w:gridSpan w:val="5"/>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pPr>
            <w:r w:rsidRPr="00E030F4">
              <w:t>Attiecīgā starptautiskā tiesību akta vai starptautiskas institūcijas vai organizācijas dokumenta (turpmāk - starptautiskais dokuments) datums, numurs un nosaukums</w:t>
            </w:r>
          </w:p>
        </w:tc>
        <w:tc>
          <w:tcPr>
            <w:tcW w:w="3032" w:type="pct"/>
            <w:gridSpan w:val="6"/>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t>Nav attiecināms.</w:t>
            </w:r>
          </w:p>
        </w:tc>
      </w:tr>
      <w:tr w:rsidR="00895374" w:rsidRPr="00E030F4" w:rsidTr="00792DCE">
        <w:tc>
          <w:tcPr>
            <w:tcW w:w="1968" w:type="pct"/>
            <w:gridSpan w:val="5"/>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jc w:val="center"/>
            </w:pPr>
            <w:r w:rsidRPr="00E030F4">
              <w:t>A</w:t>
            </w:r>
          </w:p>
        </w:tc>
        <w:tc>
          <w:tcPr>
            <w:tcW w:w="1446" w:type="pct"/>
            <w:gridSpan w:val="4"/>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jc w:val="center"/>
            </w:pPr>
            <w:r w:rsidRPr="00E030F4">
              <w:t>B</w:t>
            </w:r>
          </w:p>
        </w:tc>
        <w:tc>
          <w:tcPr>
            <w:tcW w:w="1586" w:type="pct"/>
            <w:gridSpan w:val="2"/>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jc w:val="center"/>
            </w:pPr>
            <w:r w:rsidRPr="00E030F4">
              <w:t>C</w:t>
            </w:r>
          </w:p>
        </w:tc>
      </w:tr>
      <w:tr w:rsidR="00895374" w:rsidRPr="00E030F4" w:rsidTr="00792DCE">
        <w:tc>
          <w:tcPr>
            <w:tcW w:w="1968" w:type="pct"/>
            <w:gridSpan w:val="5"/>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 xml:space="preserve">Starptautiskās saistības (pēc būtības), </w:t>
            </w:r>
            <w:r w:rsidRPr="00E030F4">
              <w:lastRenderedPageBreak/>
              <w:t>kas izriet no norādītā starptautiskā dokumenta.</w:t>
            </w:r>
          </w:p>
          <w:p w:rsidR="00895374" w:rsidRPr="00E030F4" w:rsidRDefault="00895374" w:rsidP="00CF7285">
            <w:pPr>
              <w:spacing w:before="100" w:beforeAutospacing="1" w:after="100" w:afterAutospacing="1"/>
            </w:pPr>
            <w:r w:rsidRPr="00E030F4">
              <w:t>Konkrēti veicamie pasākumi vai uzdevumi, kas nepieciešami šo starptautisko saistību izpildei</w:t>
            </w:r>
          </w:p>
        </w:tc>
        <w:tc>
          <w:tcPr>
            <w:tcW w:w="1446" w:type="pct"/>
            <w:gridSpan w:val="4"/>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lastRenderedPageBreak/>
              <w:t xml:space="preserve">Ja pasākumi vai uzdevumi, </w:t>
            </w:r>
            <w:r w:rsidRPr="00E030F4">
              <w:lastRenderedPageBreak/>
              <w:t>ar ko tiks izpildītas starptautiskās saistības, tiek noteikti projektā, norāda attiecīgo projekta vienību</w:t>
            </w:r>
            <w:r>
              <w:t xml:space="preserve"> vai</w:t>
            </w:r>
            <w:r w:rsidRPr="00E030F4">
              <w:t xml:space="preserve"> dokumentu, kurā sniegts izvērsts skaidrojums, kādā veidā tiks nodrošināta starptautisko saistību izpilde</w:t>
            </w:r>
          </w:p>
        </w:tc>
        <w:tc>
          <w:tcPr>
            <w:tcW w:w="1586" w:type="pct"/>
            <w:gridSpan w:val="2"/>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lastRenderedPageBreak/>
              <w:t xml:space="preserve">Informācija par to, vai </w:t>
            </w:r>
            <w:r w:rsidRPr="00E030F4">
              <w:lastRenderedPageBreak/>
              <w:t>starptautiskās saistības, kas minētas šīs tabulas A ailē, tiek izpildītas pilnībā vai daļēji.</w:t>
            </w:r>
          </w:p>
          <w:p w:rsidR="00895374" w:rsidRPr="00E030F4" w:rsidRDefault="00895374" w:rsidP="00CF7285">
            <w:pPr>
              <w:spacing w:before="100" w:beforeAutospacing="1" w:after="100" w:afterAutospacing="1"/>
            </w:pPr>
            <w:r w:rsidRPr="00E030F4">
              <w:t>Ja attiecīgās starptautiskās saistības tiek izpildītas daļēji, sniedz attiecīgu skaidrojumu, kā arī precīzi norāda, kad un kādā veidā starptautiskās saistības tiks izpildītas pilnībā.</w:t>
            </w:r>
            <w:r>
              <w:t xml:space="preserve"> </w:t>
            </w:r>
            <w:r w:rsidRPr="00E030F4">
              <w:t>Norāda institūciju, kas ir atbildīga par šo saistību izpildi pilnībā</w:t>
            </w:r>
          </w:p>
        </w:tc>
      </w:tr>
      <w:tr w:rsidR="00895374" w:rsidRPr="00E030F4" w:rsidTr="00792DCE">
        <w:tc>
          <w:tcPr>
            <w:tcW w:w="1968" w:type="pct"/>
            <w:gridSpan w:val="5"/>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line="360" w:lineRule="auto"/>
            </w:pPr>
            <w:r>
              <w:lastRenderedPageBreak/>
              <w:t>Nav attiecināms.</w:t>
            </w:r>
            <w:r w:rsidRPr="00E030F4">
              <w:t> </w:t>
            </w:r>
          </w:p>
        </w:tc>
        <w:tc>
          <w:tcPr>
            <w:tcW w:w="1446" w:type="pct"/>
            <w:gridSpan w:val="4"/>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line="360" w:lineRule="auto"/>
            </w:pPr>
            <w:r>
              <w:t>Nav attiecināms.</w:t>
            </w:r>
            <w:r w:rsidRPr="00E030F4">
              <w:t> </w:t>
            </w:r>
          </w:p>
        </w:tc>
        <w:tc>
          <w:tcPr>
            <w:tcW w:w="1586" w:type="pct"/>
            <w:gridSpan w:val="2"/>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line="360" w:lineRule="auto"/>
            </w:pPr>
            <w:r>
              <w:t>Nav attiecināms.</w:t>
            </w:r>
          </w:p>
        </w:tc>
      </w:tr>
      <w:tr w:rsidR="00895374" w:rsidRPr="00E030F4" w:rsidTr="00CF7285">
        <w:tc>
          <w:tcPr>
            <w:tcW w:w="3414" w:type="pct"/>
            <w:gridSpan w:val="9"/>
            <w:tcBorders>
              <w:top w:val="outset" w:sz="6" w:space="0" w:color="000000"/>
              <w:left w:val="outset" w:sz="6" w:space="0" w:color="000000"/>
              <w:bottom w:val="outset" w:sz="6" w:space="0" w:color="000000"/>
              <w:right w:val="outset" w:sz="6" w:space="0" w:color="000000"/>
            </w:tcBorders>
            <w:vAlign w:val="center"/>
          </w:tcPr>
          <w:p w:rsidR="00895374" w:rsidRPr="00E030F4" w:rsidRDefault="00895374" w:rsidP="00CF7285">
            <w:pPr>
              <w:spacing w:before="100" w:beforeAutospacing="1" w:after="100" w:afterAutospacing="1"/>
            </w:pPr>
            <w:r w:rsidRPr="00E030F4">
              <w:t>Vai starptautiskajā dokumentā paredzētās saistības nav pretrunā ar jau esošajām Latvijas Republikas starptautiskajām saistībām</w:t>
            </w:r>
          </w:p>
        </w:tc>
        <w:tc>
          <w:tcPr>
            <w:tcW w:w="1586" w:type="pct"/>
            <w:gridSpan w:val="2"/>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t xml:space="preserve">Nav attiecināms. </w:t>
            </w:r>
          </w:p>
        </w:tc>
      </w:tr>
      <w:tr w:rsidR="00895374" w:rsidRPr="00E030F4" w:rsidTr="00CF7285">
        <w:tc>
          <w:tcPr>
            <w:tcW w:w="3414" w:type="pct"/>
            <w:gridSpan w:val="9"/>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Cita informācija</w:t>
            </w:r>
          </w:p>
        </w:tc>
        <w:tc>
          <w:tcPr>
            <w:tcW w:w="1586" w:type="pct"/>
            <w:gridSpan w:val="2"/>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Nav</w:t>
            </w:r>
            <w:r>
              <w:t>.</w:t>
            </w:r>
          </w:p>
        </w:tc>
      </w:tr>
    </w:tbl>
    <w:p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56"/>
        <w:gridCol w:w="4152"/>
        <w:gridCol w:w="4812"/>
      </w:tblGrid>
      <w:tr w:rsidR="00895374" w:rsidRPr="00B67103" w:rsidTr="00CF7285">
        <w:tc>
          <w:tcPr>
            <w:tcW w:w="0" w:type="auto"/>
            <w:gridSpan w:val="3"/>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jc w:val="center"/>
              <w:rPr>
                <w:b/>
                <w:bCs/>
                <w:lang w:val="lv-LV"/>
              </w:rPr>
            </w:pPr>
            <w:r w:rsidRPr="00B67103">
              <w:rPr>
                <w:b/>
                <w:bCs/>
                <w:lang w:val="lv-LV"/>
              </w:rPr>
              <w:t>VI. Sabiedrības līdzdalība un komunikācijas aktivitātes</w:t>
            </w:r>
          </w:p>
        </w:tc>
      </w:tr>
      <w:tr w:rsidR="00895374" w:rsidRPr="00B67103" w:rsidTr="00CF7285">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r w:rsidRPr="00B67103">
              <w:t>1.</w:t>
            </w:r>
          </w:p>
        </w:tc>
        <w:tc>
          <w:tcPr>
            <w:tcW w:w="2204"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proofErr w:type="spellStart"/>
            <w:r w:rsidRPr="00B67103">
              <w:t>Plānotās</w:t>
            </w:r>
            <w:proofErr w:type="spellEnd"/>
            <w:r w:rsidRPr="00B67103">
              <w:t xml:space="preserve"> </w:t>
            </w:r>
            <w:proofErr w:type="spellStart"/>
            <w:r w:rsidRPr="00B67103">
              <w:t>sabiedrības</w:t>
            </w:r>
            <w:proofErr w:type="spellEnd"/>
            <w:r w:rsidRPr="00B67103">
              <w:t xml:space="preserve"> </w:t>
            </w:r>
            <w:proofErr w:type="spellStart"/>
            <w:r w:rsidRPr="00B67103">
              <w:t>līdzdalības</w:t>
            </w:r>
            <w:proofErr w:type="spellEnd"/>
            <w:r w:rsidRPr="00B67103">
              <w:t xml:space="preserve"> un </w:t>
            </w:r>
            <w:proofErr w:type="spellStart"/>
            <w:r w:rsidRPr="00B67103">
              <w:t>komunikācijas</w:t>
            </w:r>
            <w:proofErr w:type="spellEnd"/>
            <w:r w:rsidRPr="00B67103">
              <w:t xml:space="preserve"> </w:t>
            </w:r>
            <w:proofErr w:type="spellStart"/>
            <w:r w:rsidRPr="00B67103">
              <w:t>aktivitātes</w:t>
            </w:r>
            <w:proofErr w:type="spellEnd"/>
            <w:r w:rsidRPr="00B67103">
              <w:t xml:space="preserve"> </w:t>
            </w:r>
            <w:proofErr w:type="spellStart"/>
            <w:r w:rsidRPr="00B67103">
              <w:t>saistībā</w:t>
            </w:r>
            <w:proofErr w:type="spellEnd"/>
            <w:r w:rsidRPr="00B67103">
              <w:t xml:space="preserve"> </w:t>
            </w:r>
            <w:proofErr w:type="spellStart"/>
            <w:r w:rsidRPr="00B67103">
              <w:t>ar</w:t>
            </w:r>
            <w:proofErr w:type="spellEnd"/>
            <w:r w:rsidRPr="00B67103">
              <w:t xml:space="preserve"> </w:t>
            </w:r>
            <w:proofErr w:type="spellStart"/>
            <w:r w:rsidRPr="00B67103">
              <w:t>projektu</w:t>
            </w:r>
            <w:proofErr w:type="spellEnd"/>
          </w:p>
        </w:tc>
        <w:tc>
          <w:tcPr>
            <w:tcW w:w="0" w:type="auto"/>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jc w:val="both"/>
            </w:pPr>
            <w:proofErr w:type="spellStart"/>
            <w:r>
              <w:t>Ievietota</w:t>
            </w:r>
            <w:proofErr w:type="spellEnd"/>
            <w:r>
              <w:t xml:space="preserve"> </w:t>
            </w:r>
            <w:proofErr w:type="spellStart"/>
            <w:r>
              <w:t>informācija</w:t>
            </w:r>
            <w:proofErr w:type="spellEnd"/>
            <w:r>
              <w:t xml:space="preserve"> </w:t>
            </w:r>
            <w:proofErr w:type="spellStart"/>
            <w:r>
              <w:t>ministrijas</w:t>
            </w:r>
            <w:proofErr w:type="spellEnd"/>
            <w:r>
              <w:t xml:space="preserve"> </w:t>
            </w:r>
            <w:proofErr w:type="spellStart"/>
            <w:r>
              <w:t>mājas</w:t>
            </w:r>
            <w:proofErr w:type="spellEnd"/>
            <w:r>
              <w:t xml:space="preserve"> </w:t>
            </w:r>
            <w:proofErr w:type="spellStart"/>
            <w:r>
              <w:t>lapā</w:t>
            </w:r>
            <w:proofErr w:type="spellEnd"/>
            <w:r>
              <w:t xml:space="preserve"> </w:t>
            </w:r>
            <w:proofErr w:type="spellStart"/>
            <w:r>
              <w:t>sadaļā</w:t>
            </w:r>
            <w:proofErr w:type="spellEnd"/>
            <w:r>
              <w:t xml:space="preserve"> ‘</w:t>
            </w:r>
            <w:proofErr w:type="spellStart"/>
            <w:r>
              <w:t>Sabiedrības</w:t>
            </w:r>
            <w:proofErr w:type="spellEnd"/>
            <w:r>
              <w:t xml:space="preserve"> </w:t>
            </w:r>
            <w:proofErr w:type="spellStart"/>
            <w:r>
              <w:t>līdzdalība</w:t>
            </w:r>
            <w:proofErr w:type="spellEnd"/>
            <w:r>
              <w:t>’/ ‘</w:t>
            </w:r>
            <w:proofErr w:type="spellStart"/>
            <w:r w:rsidRPr="00C6390A">
              <w:rPr>
                <w:bCs/>
              </w:rPr>
              <w:t>Paziņojumi</w:t>
            </w:r>
            <w:proofErr w:type="spellEnd"/>
            <w:r w:rsidRPr="00C6390A">
              <w:rPr>
                <w:bCs/>
              </w:rPr>
              <w:t xml:space="preserve"> par </w:t>
            </w:r>
            <w:proofErr w:type="spellStart"/>
            <w:r w:rsidRPr="00C6390A">
              <w:rPr>
                <w:bCs/>
              </w:rPr>
              <w:t>līdzdalības</w:t>
            </w:r>
            <w:proofErr w:type="spellEnd"/>
            <w:r w:rsidRPr="00C6390A">
              <w:rPr>
                <w:bCs/>
              </w:rPr>
              <w:t xml:space="preserve"> </w:t>
            </w:r>
            <w:proofErr w:type="spellStart"/>
            <w:r w:rsidRPr="00C6390A">
              <w:rPr>
                <w:bCs/>
              </w:rPr>
              <w:t>iespējām</w:t>
            </w:r>
            <w:proofErr w:type="spellEnd"/>
            <w:r w:rsidRPr="00C6390A">
              <w:rPr>
                <w:bCs/>
              </w:rPr>
              <w:t xml:space="preserve"> </w:t>
            </w:r>
            <w:proofErr w:type="spellStart"/>
            <w:r w:rsidRPr="00C6390A">
              <w:rPr>
                <w:bCs/>
              </w:rPr>
              <w:t>attīstības</w:t>
            </w:r>
            <w:proofErr w:type="spellEnd"/>
            <w:r w:rsidRPr="00C6390A">
              <w:rPr>
                <w:bCs/>
              </w:rPr>
              <w:t xml:space="preserve"> plānošanas </w:t>
            </w:r>
            <w:proofErr w:type="spellStart"/>
            <w:r w:rsidRPr="00C6390A">
              <w:rPr>
                <w:bCs/>
              </w:rPr>
              <w:t>dokumenta</w:t>
            </w:r>
            <w:proofErr w:type="spellEnd"/>
            <w:r w:rsidRPr="00C6390A">
              <w:rPr>
                <w:bCs/>
              </w:rPr>
              <w:t xml:space="preserve"> </w:t>
            </w:r>
            <w:proofErr w:type="spellStart"/>
            <w:r w:rsidRPr="00C6390A">
              <w:rPr>
                <w:bCs/>
              </w:rPr>
              <w:t>vai</w:t>
            </w:r>
            <w:proofErr w:type="spellEnd"/>
            <w:r w:rsidRPr="00C6390A">
              <w:rPr>
                <w:bCs/>
              </w:rPr>
              <w:t xml:space="preserve"> </w:t>
            </w:r>
            <w:proofErr w:type="spellStart"/>
            <w:r w:rsidRPr="00C6390A">
              <w:rPr>
                <w:bCs/>
              </w:rPr>
              <w:t>tiesību</w:t>
            </w:r>
            <w:proofErr w:type="spellEnd"/>
            <w:r w:rsidRPr="00C6390A">
              <w:rPr>
                <w:bCs/>
              </w:rPr>
              <w:t xml:space="preserve"> </w:t>
            </w:r>
            <w:proofErr w:type="spellStart"/>
            <w:r w:rsidRPr="00C6390A">
              <w:rPr>
                <w:bCs/>
              </w:rPr>
              <w:t>akta</w:t>
            </w:r>
            <w:proofErr w:type="spellEnd"/>
            <w:r w:rsidRPr="00C6390A">
              <w:rPr>
                <w:bCs/>
              </w:rPr>
              <w:t xml:space="preserve"> </w:t>
            </w:r>
            <w:proofErr w:type="spellStart"/>
            <w:r w:rsidRPr="00C6390A">
              <w:rPr>
                <w:bCs/>
              </w:rPr>
              <w:t>izstrādes</w:t>
            </w:r>
            <w:proofErr w:type="spellEnd"/>
            <w:r w:rsidRPr="00C6390A">
              <w:rPr>
                <w:bCs/>
              </w:rPr>
              <w:t xml:space="preserve"> </w:t>
            </w:r>
            <w:proofErr w:type="spellStart"/>
            <w:r w:rsidRPr="00C6390A">
              <w:rPr>
                <w:bCs/>
              </w:rPr>
              <w:t>procesā</w:t>
            </w:r>
            <w:proofErr w:type="spellEnd"/>
            <w:r>
              <w:rPr>
                <w:bCs/>
              </w:rPr>
              <w:t xml:space="preserve">’. </w:t>
            </w:r>
            <w:r w:rsidRPr="00B67103">
              <w:t xml:space="preserve"> </w:t>
            </w:r>
          </w:p>
        </w:tc>
      </w:tr>
      <w:tr w:rsidR="00895374" w:rsidRPr="00B67103" w:rsidTr="00CF7285">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r w:rsidRPr="00B67103">
              <w:t>2.</w:t>
            </w:r>
          </w:p>
        </w:tc>
        <w:tc>
          <w:tcPr>
            <w:tcW w:w="2204"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proofErr w:type="spellStart"/>
            <w:r w:rsidRPr="00B67103">
              <w:t>Sabiedrības</w:t>
            </w:r>
            <w:proofErr w:type="spellEnd"/>
            <w:r w:rsidRPr="00B67103">
              <w:t xml:space="preserve"> </w:t>
            </w:r>
            <w:proofErr w:type="spellStart"/>
            <w:r w:rsidRPr="00B67103">
              <w:t>līdzdalība</w:t>
            </w:r>
            <w:proofErr w:type="spellEnd"/>
            <w:r w:rsidRPr="00B67103">
              <w:t xml:space="preserve"> </w:t>
            </w:r>
            <w:proofErr w:type="spellStart"/>
            <w:r w:rsidRPr="00B67103">
              <w:t>projekta</w:t>
            </w:r>
            <w:proofErr w:type="spellEnd"/>
            <w:r w:rsidRPr="00B67103">
              <w:t xml:space="preserve"> </w:t>
            </w:r>
            <w:proofErr w:type="spellStart"/>
            <w:r w:rsidRPr="00B67103">
              <w:t>izstrādē</w:t>
            </w:r>
            <w:proofErr w:type="spellEnd"/>
          </w:p>
        </w:tc>
        <w:tc>
          <w:tcPr>
            <w:tcW w:w="0" w:type="auto"/>
            <w:tcBorders>
              <w:top w:val="outset" w:sz="6" w:space="0" w:color="000000"/>
              <w:left w:val="outset" w:sz="6" w:space="0" w:color="000000"/>
              <w:bottom w:val="outset" w:sz="6" w:space="0" w:color="000000"/>
              <w:right w:val="outset" w:sz="6" w:space="0" w:color="000000"/>
            </w:tcBorders>
          </w:tcPr>
          <w:p w:rsidR="00895374" w:rsidRPr="00B67103" w:rsidRDefault="00895374" w:rsidP="00CF7285">
            <w:pPr>
              <w:pStyle w:val="NormalWeb"/>
              <w:spacing w:before="0" w:beforeAutospacing="0" w:after="0" w:afterAutospacing="0"/>
              <w:jc w:val="both"/>
            </w:pPr>
            <w:proofErr w:type="spellStart"/>
            <w:r w:rsidRPr="00B67103">
              <w:t>Nav</w:t>
            </w:r>
            <w:proofErr w:type="spellEnd"/>
            <w:r w:rsidRPr="00B67103">
              <w:t xml:space="preserve"> </w:t>
            </w:r>
            <w:proofErr w:type="spellStart"/>
            <w:r w:rsidRPr="00B67103">
              <w:t>attiecināms</w:t>
            </w:r>
            <w:proofErr w:type="spellEnd"/>
            <w:r w:rsidRPr="00B67103">
              <w:t>.</w:t>
            </w:r>
          </w:p>
        </w:tc>
      </w:tr>
      <w:tr w:rsidR="00895374" w:rsidRPr="00B67103" w:rsidTr="00CF7285">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r w:rsidRPr="00B67103">
              <w:t>3.</w:t>
            </w:r>
          </w:p>
        </w:tc>
        <w:tc>
          <w:tcPr>
            <w:tcW w:w="2204"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proofErr w:type="spellStart"/>
            <w:r w:rsidRPr="00B67103">
              <w:t>Sabiedrības</w:t>
            </w:r>
            <w:proofErr w:type="spellEnd"/>
            <w:r w:rsidRPr="00B67103">
              <w:t xml:space="preserve"> </w:t>
            </w:r>
            <w:proofErr w:type="spellStart"/>
            <w:r w:rsidRPr="00B67103">
              <w:t>līdzdalības</w:t>
            </w:r>
            <w:proofErr w:type="spellEnd"/>
            <w:r w:rsidRPr="00B67103">
              <w:t xml:space="preserve"> </w:t>
            </w:r>
            <w:proofErr w:type="spellStart"/>
            <w:r w:rsidRPr="00B67103">
              <w:t>rezultāti</w:t>
            </w:r>
            <w:proofErr w:type="spellEnd"/>
          </w:p>
        </w:tc>
        <w:tc>
          <w:tcPr>
            <w:tcW w:w="0" w:type="auto"/>
            <w:tcBorders>
              <w:top w:val="outset" w:sz="6" w:space="0" w:color="000000"/>
              <w:left w:val="outset" w:sz="6" w:space="0" w:color="000000"/>
              <w:bottom w:val="outset" w:sz="6" w:space="0" w:color="000000"/>
              <w:right w:val="outset" w:sz="6" w:space="0" w:color="000000"/>
            </w:tcBorders>
          </w:tcPr>
          <w:p w:rsidR="00895374" w:rsidRPr="00B67103" w:rsidRDefault="00895374" w:rsidP="00CF7285">
            <w:pPr>
              <w:pStyle w:val="NormalWeb"/>
              <w:spacing w:before="0" w:beforeAutospacing="0" w:after="0" w:afterAutospacing="0"/>
              <w:jc w:val="both"/>
            </w:pPr>
            <w:proofErr w:type="spellStart"/>
            <w:r w:rsidRPr="00B67103">
              <w:t>Nav</w:t>
            </w:r>
            <w:proofErr w:type="spellEnd"/>
            <w:r w:rsidRPr="00B67103">
              <w:t xml:space="preserve"> </w:t>
            </w:r>
            <w:proofErr w:type="spellStart"/>
            <w:r w:rsidRPr="00B67103">
              <w:t>attiecināms</w:t>
            </w:r>
            <w:proofErr w:type="spellEnd"/>
            <w:r w:rsidRPr="00B67103">
              <w:t>.</w:t>
            </w:r>
          </w:p>
        </w:tc>
      </w:tr>
      <w:tr w:rsidR="00895374" w:rsidRPr="00B67103" w:rsidTr="00CF7285">
        <w:tc>
          <w:tcPr>
            <w:tcW w:w="242"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r w:rsidRPr="00B67103">
              <w:t>4.</w:t>
            </w:r>
          </w:p>
        </w:tc>
        <w:tc>
          <w:tcPr>
            <w:tcW w:w="2204" w:type="pct"/>
            <w:tcBorders>
              <w:top w:val="outset" w:sz="6" w:space="0" w:color="000000"/>
              <w:left w:val="outset" w:sz="6" w:space="0" w:color="000000"/>
              <w:bottom w:val="outset" w:sz="6" w:space="0" w:color="000000"/>
              <w:right w:val="outset" w:sz="6" w:space="0" w:color="000000"/>
            </w:tcBorders>
            <w:hideMark/>
          </w:tcPr>
          <w:p w:rsidR="00895374" w:rsidRPr="00B67103" w:rsidRDefault="00895374" w:rsidP="00CF7285">
            <w:pPr>
              <w:pStyle w:val="NormalWeb"/>
              <w:spacing w:before="0" w:beforeAutospacing="0" w:after="0" w:afterAutospacing="0"/>
            </w:pPr>
            <w:proofErr w:type="spellStart"/>
            <w:r w:rsidRPr="00B67103">
              <w:t>Cita</w:t>
            </w:r>
            <w:proofErr w:type="spellEnd"/>
            <w:r w:rsidRPr="00B67103">
              <w:t xml:space="preserve"> </w:t>
            </w:r>
            <w:proofErr w:type="spellStart"/>
            <w:r w:rsidRPr="00B67103">
              <w:t>informācija</w:t>
            </w:r>
            <w:proofErr w:type="spellEnd"/>
          </w:p>
        </w:tc>
        <w:tc>
          <w:tcPr>
            <w:tcW w:w="0" w:type="auto"/>
            <w:tcBorders>
              <w:top w:val="outset" w:sz="6" w:space="0" w:color="000000"/>
              <w:left w:val="outset" w:sz="6" w:space="0" w:color="000000"/>
              <w:bottom w:val="outset" w:sz="6" w:space="0" w:color="000000"/>
              <w:right w:val="outset" w:sz="6" w:space="0" w:color="000000"/>
            </w:tcBorders>
          </w:tcPr>
          <w:p w:rsidR="00895374" w:rsidRPr="00B67103" w:rsidRDefault="00895374" w:rsidP="00CF7285">
            <w:pPr>
              <w:pStyle w:val="NormalWeb"/>
              <w:spacing w:before="0" w:beforeAutospacing="0" w:after="0" w:afterAutospacing="0"/>
            </w:pPr>
            <w:r w:rsidRPr="00B67103">
              <w:t>Nav.</w:t>
            </w:r>
          </w:p>
        </w:tc>
      </w:tr>
    </w:tbl>
    <w:p w:rsidR="00895374" w:rsidRDefault="00895374"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71"/>
        <w:gridCol w:w="3931"/>
        <w:gridCol w:w="4961"/>
      </w:tblGrid>
      <w:tr w:rsidR="00895374" w:rsidRPr="00E030F4" w:rsidTr="00077095">
        <w:tc>
          <w:tcPr>
            <w:tcW w:w="9363" w:type="dxa"/>
            <w:gridSpan w:val="3"/>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jc w:val="center"/>
              <w:rPr>
                <w:b/>
                <w:bCs/>
              </w:rPr>
            </w:pPr>
            <w:r w:rsidRPr="00E030F4">
              <w:rPr>
                <w:b/>
                <w:bCs/>
              </w:rPr>
              <w:t>VII. Tiesību akta projekta izpildes nodrošināšana un tās ietekme uz institūcijām</w:t>
            </w:r>
          </w:p>
        </w:tc>
      </w:tr>
      <w:tr w:rsidR="00895374" w:rsidRPr="00E030F4" w:rsidTr="00077095">
        <w:tc>
          <w:tcPr>
            <w:tcW w:w="471" w:type="dxa"/>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1.</w:t>
            </w:r>
          </w:p>
        </w:tc>
        <w:tc>
          <w:tcPr>
            <w:tcW w:w="3931" w:type="dxa"/>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Projekta izpildē iesaistītās institūcijas</w:t>
            </w:r>
          </w:p>
        </w:tc>
        <w:tc>
          <w:tcPr>
            <w:tcW w:w="4961" w:type="dxa"/>
            <w:tcBorders>
              <w:top w:val="outset" w:sz="6" w:space="0" w:color="000000"/>
              <w:left w:val="outset" w:sz="6" w:space="0" w:color="000000"/>
              <w:bottom w:val="outset" w:sz="6" w:space="0" w:color="000000"/>
              <w:right w:val="outset" w:sz="6" w:space="0" w:color="000000"/>
            </w:tcBorders>
          </w:tcPr>
          <w:p w:rsidR="00895374" w:rsidRPr="002821DE" w:rsidRDefault="00895374" w:rsidP="00CF7285">
            <w:pPr>
              <w:spacing w:before="100" w:beforeAutospacing="1" w:after="100" w:afterAutospacing="1"/>
            </w:pPr>
            <w:r w:rsidRPr="0012182F">
              <w:t>Valsts akciju sabiedrīb</w:t>
            </w:r>
            <w:r>
              <w:t>a</w:t>
            </w:r>
            <w:r w:rsidRPr="0012182F">
              <w:t xml:space="preserve"> „Elektronisk</w:t>
            </w:r>
            <w:r>
              <w:t>ie s</w:t>
            </w:r>
            <w:r w:rsidRPr="0012182F">
              <w:t>akar</w:t>
            </w:r>
            <w:r>
              <w:t>i</w:t>
            </w:r>
            <w:r w:rsidRPr="0012182F">
              <w:t>”</w:t>
            </w:r>
            <w:r>
              <w:t>.</w:t>
            </w:r>
          </w:p>
        </w:tc>
      </w:tr>
      <w:tr w:rsidR="00895374" w:rsidRPr="00E030F4" w:rsidTr="00077095">
        <w:tc>
          <w:tcPr>
            <w:tcW w:w="471" w:type="dxa"/>
            <w:tcBorders>
              <w:top w:val="outset" w:sz="6" w:space="0" w:color="000000"/>
              <w:left w:val="outset" w:sz="6" w:space="0" w:color="000000"/>
              <w:bottom w:val="outset" w:sz="6" w:space="0" w:color="000000"/>
              <w:right w:val="outset" w:sz="6" w:space="0" w:color="000000"/>
            </w:tcBorders>
          </w:tcPr>
          <w:p w:rsidR="00895374" w:rsidRPr="00E030F4" w:rsidRDefault="00895374" w:rsidP="00CF7285">
            <w:r w:rsidRPr="00E030F4">
              <w:t>2.</w:t>
            </w:r>
          </w:p>
        </w:tc>
        <w:tc>
          <w:tcPr>
            <w:tcW w:w="3931" w:type="dxa"/>
            <w:tcBorders>
              <w:top w:val="outset" w:sz="6" w:space="0" w:color="000000"/>
              <w:left w:val="outset" w:sz="6" w:space="0" w:color="000000"/>
              <w:bottom w:val="outset" w:sz="6" w:space="0" w:color="000000"/>
              <w:right w:val="outset" w:sz="6" w:space="0" w:color="000000"/>
            </w:tcBorders>
          </w:tcPr>
          <w:p w:rsidR="00895374" w:rsidRDefault="00895374" w:rsidP="00CF7285">
            <w:r w:rsidRPr="00E030F4">
              <w:t>Projekta izpildes ietekme uz pārvaldes funkcijām</w:t>
            </w:r>
            <w:r>
              <w:t xml:space="preserve"> un </w:t>
            </w:r>
            <w:r w:rsidRPr="00E030F4">
              <w:t>institucionālo struktūru</w:t>
            </w:r>
            <w:r>
              <w:t xml:space="preserve">. </w:t>
            </w:r>
          </w:p>
          <w:p w:rsidR="00895374" w:rsidRPr="00E030F4" w:rsidRDefault="00895374" w:rsidP="00CF7285">
            <w:r w:rsidRPr="00E030F4">
              <w:t>Jaunu institūciju izveide</w:t>
            </w:r>
            <w:r>
              <w:t>, e</w:t>
            </w:r>
            <w:r w:rsidRPr="00E030F4">
              <w:t>sošu institūciju likvidācija</w:t>
            </w:r>
            <w:r>
              <w:t xml:space="preserve"> vai reorganizācija, to ietekme uz institūcijas cilvēkresursiem</w:t>
            </w:r>
          </w:p>
        </w:tc>
        <w:tc>
          <w:tcPr>
            <w:tcW w:w="4961" w:type="dxa"/>
            <w:tcBorders>
              <w:top w:val="outset" w:sz="6" w:space="0" w:color="000000"/>
              <w:left w:val="outset" w:sz="6" w:space="0" w:color="000000"/>
              <w:bottom w:val="outset" w:sz="6" w:space="0" w:color="000000"/>
              <w:right w:val="outset" w:sz="6" w:space="0" w:color="000000"/>
            </w:tcBorders>
          </w:tcPr>
          <w:p w:rsidR="00895374" w:rsidRDefault="00895374" w:rsidP="00CF7285">
            <w:pPr>
              <w:rPr>
                <w:color w:val="000000"/>
              </w:rPr>
            </w:pPr>
            <w:r w:rsidRPr="00D736EE">
              <w:rPr>
                <w:color w:val="000000"/>
              </w:rPr>
              <w:t>Nav ietekmes.</w:t>
            </w:r>
            <w:r>
              <w:rPr>
                <w:color w:val="000000"/>
              </w:rPr>
              <w:t xml:space="preserve"> </w:t>
            </w:r>
          </w:p>
          <w:p w:rsidR="00895374" w:rsidRDefault="00895374" w:rsidP="00CF7285">
            <w:pPr>
              <w:rPr>
                <w:color w:val="000000"/>
              </w:rPr>
            </w:pPr>
          </w:p>
          <w:p w:rsidR="00895374" w:rsidRPr="002821DE" w:rsidRDefault="00895374" w:rsidP="00CF7285">
            <w:r w:rsidRPr="002821DE">
              <w:rPr>
                <w:color w:val="000000"/>
              </w:rPr>
              <w:t>Projekts nemaina iesaistīto institūciju kompetenci</w:t>
            </w:r>
            <w:r w:rsidRPr="002821DE">
              <w:t>.</w:t>
            </w:r>
            <w:r w:rsidRPr="002821DE">
              <w:rPr>
                <w:color w:val="000000"/>
              </w:rPr>
              <w:t xml:space="preserve"> Institūcijas netiek likvidētas</w:t>
            </w:r>
            <w:r>
              <w:rPr>
                <w:color w:val="000000"/>
              </w:rPr>
              <w:t xml:space="preserve"> vai</w:t>
            </w:r>
            <w:r w:rsidRPr="002821DE">
              <w:rPr>
                <w:color w:val="000000"/>
              </w:rPr>
              <w:t xml:space="preserve"> reorganizētas.</w:t>
            </w:r>
          </w:p>
        </w:tc>
      </w:tr>
      <w:tr w:rsidR="00895374" w:rsidRPr="00E030F4" w:rsidTr="00077095">
        <w:tc>
          <w:tcPr>
            <w:tcW w:w="471" w:type="dxa"/>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t>3</w:t>
            </w:r>
            <w:r w:rsidRPr="00E030F4">
              <w:t>.</w:t>
            </w:r>
          </w:p>
        </w:tc>
        <w:tc>
          <w:tcPr>
            <w:tcW w:w="3931" w:type="dxa"/>
            <w:tcBorders>
              <w:top w:val="outset" w:sz="6" w:space="0" w:color="000000"/>
              <w:left w:val="outset" w:sz="6" w:space="0" w:color="000000"/>
              <w:bottom w:val="outset" w:sz="6" w:space="0" w:color="000000"/>
              <w:right w:val="outset" w:sz="6" w:space="0" w:color="000000"/>
            </w:tcBorders>
          </w:tcPr>
          <w:p w:rsidR="00895374" w:rsidRPr="00E030F4" w:rsidRDefault="00895374" w:rsidP="00CF7285">
            <w:pPr>
              <w:spacing w:before="100" w:beforeAutospacing="1" w:after="100" w:afterAutospacing="1"/>
            </w:pPr>
            <w:r w:rsidRPr="00E030F4">
              <w:t>Cita informācija</w:t>
            </w:r>
          </w:p>
        </w:tc>
        <w:tc>
          <w:tcPr>
            <w:tcW w:w="4961" w:type="dxa"/>
            <w:tcBorders>
              <w:top w:val="outset" w:sz="6" w:space="0" w:color="000000"/>
              <w:left w:val="outset" w:sz="6" w:space="0" w:color="000000"/>
              <w:bottom w:val="outset" w:sz="6" w:space="0" w:color="000000"/>
              <w:right w:val="outset" w:sz="6" w:space="0" w:color="000000"/>
            </w:tcBorders>
          </w:tcPr>
          <w:p w:rsidR="00895374" w:rsidRPr="002821DE" w:rsidRDefault="00895374" w:rsidP="00CF7285">
            <w:pPr>
              <w:spacing w:before="100" w:beforeAutospacing="1" w:after="100" w:afterAutospacing="1"/>
            </w:pPr>
            <w:r w:rsidRPr="002821DE">
              <w:t>Nav.</w:t>
            </w:r>
          </w:p>
        </w:tc>
      </w:tr>
    </w:tbl>
    <w:p w:rsidR="00895374" w:rsidRDefault="00895374" w:rsidP="00895374">
      <w:pPr>
        <w:tabs>
          <w:tab w:val="right" w:pos="8306"/>
        </w:tabs>
      </w:pPr>
    </w:p>
    <w:p w:rsidR="00077095" w:rsidRDefault="00077095" w:rsidP="00895374">
      <w:pPr>
        <w:tabs>
          <w:tab w:val="right" w:pos="8306"/>
        </w:tabs>
      </w:pPr>
    </w:p>
    <w:p w:rsidR="00895374" w:rsidRDefault="00895374" w:rsidP="00895374">
      <w:pPr>
        <w:tabs>
          <w:tab w:val="right" w:pos="8306"/>
        </w:tabs>
      </w:pPr>
      <w:r w:rsidRPr="00CE70FA">
        <w:t xml:space="preserve">Anotācijas </w:t>
      </w:r>
      <w:r>
        <w:t xml:space="preserve">III, IV </w:t>
      </w:r>
      <w:r w:rsidRPr="00CE70FA">
        <w:t>sadaļa – projekts šīs jomas neskar.</w:t>
      </w:r>
    </w:p>
    <w:p w:rsidR="00895374" w:rsidRPr="00103374" w:rsidRDefault="00895374" w:rsidP="00895374">
      <w:pPr>
        <w:pStyle w:val="naisf"/>
        <w:spacing w:before="0" w:after="0"/>
        <w:ind w:firstLine="0"/>
      </w:pPr>
    </w:p>
    <w:p w:rsidR="00895374" w:rsidRPr="00103374" w:rsidRDefault="00895374" w:rsidP="00895374">
      <w:pPr>
        <w:tabs>
          <w:tab w:val="left" w:pos="6379"/>
          <w:tab w:val="left" w:pos="6804"/>
        </w:tabs>
        <w:suppressAutoHyphens/>
        <w:jc w:val="both"/>
        <w:rPr>
          <w:lang w:eastAsia="ar-SA"/>
        </w:rPr>
      </w:pPr>
      <w:r w:rsidRPr="00103374">
        <w:rPr>
          <w:lang w:eastAsia="ar-SA"/>
        </w:rPr>
        <w:t xml:space="preserve">Vides aizsardzības </w:t>
      </w:r>
    </w:p>
    <w:p w:rsidR="00895374" w:rsidRDefault="00895374" w:rsidP="00895374">
      <w:pPr>
        <w:tabs>
          <w:tab w:val="left" w:pos="6804"/>
        </w:tabs>
        <w:suppressAutoHyphens/>
        <w:jc w:val="both"/>
        <w:rPr>
          <w:lang w:eastAsia="ar-SA"/>
        </w:rPr>
      </w:pPr>
      <w:r w:rsidRPr="00103374">
        <w:rPr>
          <w:lang w:eastAsia="ar-SA"/>
        </w:rPr>
        <w:lastRenderedPageBreak/>
        <w:t>un</w:t>
      </w:r>
      <w:r>
        <w:rPr>
          <w:lang w:eastAsia="ar-SA"/>
        </w:rPr>
        <w:t xml:space="preserve"> reģionālās attīstības ministrs</w:t>
      </w:r>
    </w:p>
    <w:p w:rsidR="00895374" w:rsidRPr="00103374" w:rsidRDefault="00895374" w:rsidP="00895374">
      <w:pPr>
        <w:tabs>
          <w:tab w:val="left" w:pos="6804"/>
        </w:tabs>
        <w:suppressAutoHyphens/>
        <w:jc w:val="both"/>
        <w:rPr>
          <w:lang w:eastAsia="ar-SA"/>
        </w:rPr>
      </w:pPr>
      <w:r>
        <w:rPr>
          <w:lang w:eastAsia="ar-SA"/>
        </w:rPr>
        <w:tab/>
        <w:t>K.Gerhards</w:t>
      </w:r>
    </w:p>
    <w:p w:rsidR="00895374" w:rsidRPr="00CE70FA" w:rsidRDefault="00895374" w:rsidP="00895374">
      <w:r w:rsidRPr="00CE70FA">
        <w:t>Vīza:</w:t>
      </w:r>
    </w:p>
    <w:p w:rsidR="00895374" w:rsidRPr="00CE70FA" w:rsidRDefault="00895374" w:rsidP="00895374">
      <w:pPr>
        <w:tabs>
          <w:tab w:val="left" w:pos="6804"/>
        </w:tabs>
        <w:jc w:val="both"/>
      </w:pPr>
      <w:r>
        <w:t>Valsts sekretārs</w:t>
      </w:r>
      <w:r>
        <w:tab/>
        <w:t>G</w:t>
      </w:r>
      <w:r w:rsidRPr="00CE70FA">
        <w:t>.</w:t>
      </w:r>
      <w:r>
        <w:t>Puķītis</w:t>
      </w:r>
    </w:p>
    <w:p w:rsidR="00895374" w:rsidRDefault="00895374" w:rsidP="00895374">
      <w:pPr>
        <w:tabs>
          <w:tab w:val="left" w:pos="2880"/>
        </w:tabs>
        <w:rPr>
          <w:iCs/>
          <w:sz w:val="20"/>
        </w:rPr>
      </w:pPr>
    </w:p>
    <w:p w:rsidR="00895374" w:rsidRPr="003B20E1" w:rsidRDefault="00B75443" w:rsidP="00895374">
      <w:pPr>
        <w:tabs>
          <w:tab w:val="left" w:pos="2880"/>
        </w:tabs>
        <w:rPr>
          <w:iCs/>
          <w:sz w:val="20"/>
        </w:rPr>
      </w:pPr>
      <w:r>
        <w:rPr>
          <w:iCs/>
          <w:sz w:val="20"/>
        </w:rPr>
        <w:t>12</w:t>
      </w:r>
      <w:r w:rsidR="00895374" w:rsidRPr="003B20E1">
        <w:rPr>
          <w:iCs/>
          <w:sz w:val="20"/>
        </w:rPr>
        <w:t>.</w:t>
      </w:r>
      <w:r w:rsidR="00895374">
        <w:rPr>
          <w:iCs/>
          <w:sz w:val="20"/>
        </w:rPr>
        <w:t>0</w:t>
      </w:r>
      <w:r>
        <w:rPr>
          <w:iCs/>
          <w:sz w:val="20"/>
        </w:rPr>
        <w:t>3</w:t>
      </w:r>
      <w:r w:rsidR="00895374" w:rsidRPr="003B20E1">
        <w:rPr>
          <w:iCs/>
          <w:sz w:val="20"/>
        </w:rPr>
        <w:t>.201</w:t>
      </w:r>
      <w:r w:rsidR="00895374">
        <w:rPr>
          <w:iCs/>
          <w:sz w:val="20"/>
        </w:rPr>
        <w:t>5</w:t>
      </w:r>
      <w:r w:rsidR="00895374" w:rsidRPr="003B20E1">
        <w:rPr>
          <w:iCs/>
          <w:sz w:val="20"/>
        </w:rPr>
        <w:t xml:space="preserve">. </w:t>
      </w:r>
    </w:p>
    <w:p w:rsidR="00895374" w:rsidRDefault="00AB2A01" w:rsidP="00895374">
      <w:pPr>
        <w:tabs>
          <w:tab w:val="left" w:pos="2880"/>
        </w:tabs>
        <w:rPr>
          <w:iCs/>
          <w:sz w:val="20"/>
        </w:rPr>
      </w:pPr>
      <w:fldSimple w:instr=" NUMWORDS   \* MERGEFORMAT ">
        <w:r w:rsidR="00561DF8">
          <w:rPr>
            <w:iCs/>
            <w:noProof/>
            <w:sz w:val="20"/>
          </w:rPr>
          <w:t>2004</w:t>
        </w:r>
      </w:fldSimple>
    </w:p>
    <w:p w:rsidR="00000023" w:rsidRDefault="00895374" w:rsidP="00895374">
      <w:r>
        <w:rPr>
          <w:iCs/>
          <w:sz w:val="20"/>
        </w:rPr>
        <w:t>A</w:t>
      </w:r>
      <w:r w:rsidRPr="00F50093">
        <w:rPr>
          <w:iCs/>
          <w:sz w:val="20"/>
        </w:rPr>
        <w:t>.</w:t>
      </w:r>
      <w:r>
        <w:rPr>
          <w:iCs/>
          <w:sz w:val="20"/>
        </w:rPr>
        <w:t xml:space="preserve">Vāvere, </w:t>
      </w:r>
      <w:r w:rsidRPr="00F50093">
        <w:rPr>
          <w:iCs/>
          <w:sz w:val="20"/>
        </w:rPr>
        <w:t>6</w:t>
      </w:r>
      <w:r>
        <w:rPr>
          <w:iCs/>
          <w:sz w:val="20"/>
        </w:rPr>
        <w:t xml:space="preserve">6016536, </w:t>
      </w:r>
      <w:hyperlink r:id="rId7" w:history="1">
        <w:r w:rsidRPr="00BA75D1">
          <w:rPr>
            <w:rStyle w:val="Hyperlink"/>
            <w:iCs/>
            <w:sz w:val="20"/>
          </w:rPr>
          <w:t>aija.vavere@varam.gov.l</w:t>
        </w:r>
        <w:bookmarkStart w:id="2" w:name="_GoBack"/>
        <w:bookmarkEnd w:id="2"/>
        <w:r w:rsidRPr="00BA75D1">
          <w:rPr>
            <w:rStyle w:val="Hyperlink"/>
            <w:iCs/>
            <w:sz w:val="20"/>
          </w:rPr>
          <w:t>v</w:t>
        </w:r>
      </w:hyperlink>
    </w:p>
    <w:sectPr w:rsidR="00000023" w:rsidSect="00AC4A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2F2" w:rsidRDefault="008502F2" w:rsidP="006451BA">
      <w:r>
        <w:separator/>
      </w:r>
    </w:p>
  </w:endnote>
  <w:endnote w:type="continuationSeparator" w:id="0">
    <w:p w:rsidR="008502F2" w:rsidRDefault="008502F2" w:rsidP="00645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BA" w:rsidRPr="00AD6658" w:rsidRDefault="00AB2A01" w:rsidP="006451BA">
    <w:pPr>
      <w:pStyle w:val="Footer"/>
      <w:jc w:val="both"/>
      <w:rPr>
        <w:sz w:val="20"/>
      </w:rPr>
    </w:pPr>
    <w:fldSimple w:instr=" FILENAME   \* MERGEFORMAT ">
      <w:r w:rsidR="005E71BF">
        <w:rPr>
          <w:noProof/>
          <w:sz w:val="20"/>
        </w:rPr>
        <w:t>VARAMAnot_120315_RadFrkvPlāns</w:t>
      </w:r>
    </w:fldSimple>
    <w:r w:rsidR="006451BA" w:rsidRPr="00AD6658">
      <w:rPr>
        <w:sz w:val="20"/>
      </w:rPr>
      <w:t xml:space="preserve">; Ministru kabineta noteikumu projekta </w:t>
    </w:r>
    <w:r w:rsidR="006451BA" w:rsidRPr="00AD6658">
      <w:rPr>
        <w:bCs/>
        <w:sz w:val="20"/>
      </w:rPr>
      <w:t>„Grozījumi Ministru kabineta 2009.gada 6.oktobra noteikumos Nr.1151 „Noteikumi par radiofrekvenču spektra joslu sadalījumu radiosakaru veidiem un iedalījumu radiosakaru sistēmām, kā arī par radiofrekvenču spektra joslu izmantošanas vispārīgajiem nosacījumiem (Nacionālais radiofrekvenču plāns)”” sākotnējās ietekmes novērtējuma ziņojums (anotācija)</w:t>
    </w:r>
  </w:p>
  <w:p w:rsidR="006451BA" w:rsidRDefault="006451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7E" w:rsidRPr="00AD6658" w:rsidRDefault="00AB2A01" w:rsidP="00C7067E">
    <w:pPr>
      <w:pStyle w:val="Footer"/>
      <w:jc w:val="both"/>
      <w:rPr>
        <w:sz w:val="20"/>
      </w:rPr>
    </w:pPr>
    <w:fldSimple w:instr=" FILENAME   \* MERGEFORMAT ">
      <w:r w:rsidR="005E71BF">
        <w:rPr>
          <w:noProof/>
          <w:sz w:val="20"/>
        </w:rPr>
        <w:t>VARAMAnot_120315_RadFrkvPlāns</w:t>
      </w:r>
    </w:fldSimple>
    <w:r w:rsidR="00C7067E" w:rsidRPr="00AD6658">
      <w:rPr>
        <w:sz w:val="20"/>
      </w:rPr>
      <w:t xml:space="preserve">; Ministru kabineta noteikumu projekta </w:t>
    </w:r>
    <w:r w:rsidR="00C7067E" w:rsidRPr="00AD6658">
      <w:rPr>
        <w:bCs/>
        <w:sz w:val="20"/>
      </w:rPr>
      <w:t>„Grozījumi Ministru kabineta 2009.gada 6.oktobra noteikumos Nr.1151 „Noteikumi par radiofrekvenču spektra joslu sadalījumu radiosakaru veidiem un iedalījumu radiosakaru sistēmām, kā arī par radiofrekvenču spektra joslu izmantošanas vispārīgajiem nosacījumiem (Nacionālais radiofrekvenču plāns)”” sākotnējās ietekmes novērtējuma ziņojums (anotācija)</w:t>
    </w:r>
  </w:p>
  <w:p w:rsidR="00C7067E" w:rsidRDefault="00C70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2F2" w:rsidRDefault="008502F2" w:rsidP="006451BA">
      <w:r>
        <w:separator/>
      </w:r>
    </w:p>
  </w:footnote>
  <w:footnote w:type="continuationSeparator" w:id="0">
    <w:p w:rsidR="008502F2" w:rsidRDefault="008502F2" w:rsidP="00645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107987"/>
      <w:docPartObj>
        <w:docPartGallery w:val="Page Numbers (Top of Page)"/>
        <w:docPartUnique/>
      </w:docPartObj>
    </w:sdtPr>
    <w:sdtEndPr>
      <w:rPr>
        <w:noProof/>
      </w:rPr>
    </w:sdtEndPr>
    <w:sdtContent>
      <w:p w:rsidR="00AC4AF3" w:rsidRDefault="00AB2A01">
        <w:pPr>
          <w:pStyle w:val="Header"/>
          <w:jc w:val="center"/>
        </w:pPr>
        <w:r>
          <w:fldChar w:fldCharType="begin"/>
        </w:r>
        <w:r w:rsidR="00AC4AF3">
          <w:instrText xml:space="preserve"> PAGE   \* MERGEFORMAT </w:instrText>
        </w:r>
        <w:r>
          <w:fldChar w:fldCharType="separate"/>
        </w:r>
        <w:r w:rsidR="00096630">
          <w:rPr>
            <w:noProof/>
          </w:rPr>
          <w:t>9</w:t>
        </w:r>
        <w:r>
          <w:rPr>
            <w:noProof/>
          </w:rPr>
          <w:fldChar w:fldCharType="end"/>
        </w:r>
      </w:p>
    </w:sdtContent>
  </w:sdt>
  <w:p w:rsidR="00AC4AF3" w:rsidRDefault="00AC4A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0C6365"/>
    <w:rsid w:val="00000023"/>
    <w:rsid w:val="000322D1"/>
    <w:rsid w:val="00035F55"/>
    <w:rsid w:val="00072A40"/>
    <w:rsid w:val="00077095"/>
    <w:rsid w:val="00081962"/>
    <w:rsid w:val="00095079"/>
    <w:rsid w:val="00096630"/>
    <w:rsid w:val="000C6365"/>
    <w:rsid w:val="000D20ED"/>
    <w:rsid w:val="00117805"/>
    <w:rsid w:val="00165AA4"/>
    <w:rsid w:val="001C12C7"/>
    <w:rsid w:val="001E3010"/>
    <w:rsid w:val="001F6340"/>
    <w:rsid w:val="00242E13"/>
    <w:rsid w:val="00253F73"/>
    <w:rsid w:val="002B6408"/>
    <w:rsid w:val="00343102"/>
    <w:rsid w:val="003B31D4"/>
    <w:rsid w:val="003C3E6E"/>
    <w:rsid w:val="003C7816"/>
    <w:rsid w:val="003D6C59"/>
    <w:rsid w:val="004A4853"/>
    <w:rsid w:val="004C5A46"/>
    <w:rsid w:val="004D19C9"/>
    <w:rsid w:val="00505451"/>
    <w:rsid w:val="00506D49"/>
    <w:rsid w:val="00561DF8"/>
    <w:rsid w:val="00573DA3"/>
    <w:rsid w:val="005B6A5D"/>
    <w:rsid w:val="005D1AB3"/>
    <w:rsid w:val="005E71BF"/>
    <w:rsid w:val="005F3657"/>
    <w:rsid w:val="0060199F"/>
    <w:rsid w:val="006135FD"/>
    <w:rsid w:val="006451BA"/>
    <w:rsid w:val="00694397"/>
    <w:rsid w:val="006B58BC"/>
    <w:rsid w:val="006B70B6"/>
    <w:rsid w:val="006D470C"/>
    <w:rsid w:val="006F0C9B"/>
    <w:rsid w:val="00714A0E"/>
    <w:rsid w:val="00792DCE"/>
    <w:rsid w:val="007B3A8B"/>
    <w:rsid w:val="007E0DBB"/>
    <w:rsid w:val="00802DBA"/>
    <w:rsid w:val="00820CB1"/>
    <w:rsid w:val="008502F2"/>
    <w:rsid w:val="00867B3C"/>
    <w:rsid w:val="00876C50"/>
    <w:rsid w:val="00881D48"/>
    <w:rsid w:val="008866F8"/>
    <w:rsid w:val="00895374"/>
    <w:rsid w:val="008B3766"/>
    <w:rsid w:val="008C7A13"/>
    <w:rsid w:val="008D257A"/>
    <w:rsid w:val="0090429D"/>
    <w:rsid w:val="00975947"/>
    <w:rsid w:val="009A1B53"/>
    <w:rsid w:val="009C57CC"/>
    <w:rsid w:val="009E5E41"/>
    <w:rsid w:val="00A14699"/>
    <w:rsid w:val="00A36826"/>
    <w:rsid w:val="00AB2A01"/>
    <w:rsid w:val="00AC4AF3"/>
    <w:rsid w:val="00AC6411"/>
    <w:rsid w:val="00B4323B"/>
    <w:rsid w:val="00B55F79"/>
    <w:rsid w:val="00B568BE"/>
    <w:rsid w:val="00B75443"/>
    <w:rsid w:val="00BD1A47"/>
    <w:rsid w:val="00C36202"/>
    <w:rsid w:val="00C66B90"/>
    <w:rsid w:val="00C7067E"/>
    <w:rsid w:val="00CC6D3D"/>
    <w:rsid w:val="00CE01AD"/>
    <w:rsid w:val="00D23BCA"/>
    <w:rsid w:val="00D454D4"/>
    <w:rsid w:val="00EA3A87"/>
    <w:rsid w:val="00EA6AEC"/>
    <w:rsid w:val="00ED00CB"/>
    <w:rsid w:val="00F059E4"/>
    <w:rsid w:val="00F44694"/>
    <w:rsid w:val="00F72982"/>
    <w:rsid w:val="00FB3C9B"/>
    <w:rsid w:val="00FD44A5"/>
    <w:rsid w:val="00FE0A22"/>
    <w:rsid w:val="00FF1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7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95374"/>
    <w:pPr>
      <w:spacing w:before="58" w:after="58"/>
      <w:ind w:firstLine="288"/>
      <w:jc w:val="both"/>
    </w:pPr>
  </w:style>
  <w:style w:type="paragraph" w:customStyle="1" w:styleId="naiskr">
    <w:name w:val="naiskr"/>
    <w:basedOn w:val="Normal"/>
    <w:rsid w:val="00895374"/>
    <w:pPr>
      <w:spacing w:before="58" w:after="58"/>
    </w:pPr>
  </w:style>
  <w:style w:type="paragraph" w:customStyle="1" w:styleId="naisc">
    <w:name w:val="naisc"/>
    <w:basedOn w:val="Normal"/>
    <w:rsid w:val="00895374"/>
    <w:pPr>
      <w:spacing w:before="58" w:after="58"/>
      <w:jc w:val="center"/>
    </w:pPr>
  </w:style>
  <w:style w:type="character" w:styleId="Hyperlink">
    <w:name w:val="Hyperlink"/>
    <w:rsid w:val="00895374"/>
    <w:rPr>
      <w:color w:val="0000FF"/>
      <w:u w:val="single"/>
    </w:rPr>
  </w:style>
  <w:style w:type="paragraph" w:styleId="NormalWeb">
    <w:name w:val="Normal (Web)"/>
    <w:basedOn w:val="Normal"/>
    <w:uiPriority w:val="99"/>
    <w:rsid w:val="00895374"/>
    <w:pPr>
      <w:spacing w:before="100" w:beforeAutospacing="1" w:after="100" w:afterAutospacing="1"/>
    </w:pPr>
    <w:rPr>
      <w:rFonts w:eastAsia="Arial Unicode MS"/>
      <w:lang w:val="en-GB" w:eastAsia="en-US"/>
    </w:rPr>
  </w:style>
  <w:style w:type="paragraph" w:styleId="Header">
    <w:name w:val="header"/>
    <w:basedOn w:val="Normal"/>
    <w:link w:val="HeaderChar"/>
    <w:uiPriority w:val="99"/>
    <w:unhideWhenUsed/>
    <w:rsid w:val="006451BA"/>
    <w:pPr>
      <w:tabs>
        <w:tab w:val="center" w:pos="4153"/>
        <w:tab w:val="right" w:pos="8306"/>
      </w:tabs>
    </w:pPr>
  </w:style>
  <w:style w:type="character" w:customStyle="1" w:styleId="HeaderChar">
    <w:name w:val="Header Char"/>
    <w:basedOn w:val="DefaultParagraphFont"/>
    <w:link w:val="Header"/>
    <w:uiPriority w:val="99"/>
    <w:rsid w:val="006451BA"/>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6451BA"/>
    <w:pPr>
      <w:tabs>
        <w:tab w:val="center" w:pos="4153"/>
        <w:tab w:val="right" w:pos="8306"/>
      </w:tabs>
    </w:pPr>
  </w:style>
  <w:style w:type="character" w:customStyle="1" w:styleId="FooterChar">
    <w:name w:val="Footer Char"/>
    <w:basedOn w:val="DefaultParagraphFont"/>
    <w:link w:val="Footer"/>
    <w:rsid w:val="006451BA"/>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876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C50"/>
    <w:rPr>
      <w:rFonts w:ascii="Segoe UI" w:eastAsia="Times New Roman" w:hAnsi="Segoe UI" w:cs="Segoe UI"/>
      <w:sz w:val="18"/>
      <w:szCs w:val="18"/>
      <w:lang w:val="lv-LV" w:eastAsia="lv-LV"/>
    </w:rPr>
  </w:style>
  <w:style w:type="paragraph" w:styleId="ListParagraph">
    <w:name w:val="List Paragraph"/>
    <w:basedOn w:val="Normal"/>
    <w:uiPriority w:val="34"/>
    <w:qFormat/>
    <w:rsid w:val="00FE0A22"/>
    <w:pPr>
      <w:ind w:left="720"/>
      <w:contextualSpacing/>
    </w:pPr>
  </w:style>
  <w:style w:type="character" w:styleId="Strong">
    <w:name w:val="Strong"/>
    <w:basedOn w:val="DefaultParagraphFont"/>
    <w:uiPriority w:val="22"/>
    <w:qFormat/>
    <w:rsid w:val="00F059E4"/>
    <w:rPr>
      <w:b/>
      <w:bCs/>
    </w:rPr>
  </w:style>
  <w:style w:type="character" w:customStyle="1" w:styleId="apple-converted-space">
    <w:name w:val="apple-converted-space"/>
    <w:basedOn w:val="DefaultParagraphFont"/>
    <w:rsid w:val="00F059E4"/>
  </w:style>
  <w:style w:type="character" w:styleId="Emphasis">
    <w:name w:val="Emphasis"/>
    <w:basedOn w:val="DefaultParagraphFont"/>
    <w:uiPriority w:val="20"/>
    <w:qFormat/>
    <w:rsid w:val="00F059E4"/>
    <w:rPr>
      <w:i/>
      <w:iCs/>
    </w:rPr>
  </w:style>
</w:styles>
</file>

<file path=word/webSettings.xml><?xml version="1.0" encoding="utf-8"?>
<w:webSettings xmlns:r="http://schemas.openxmlformats.org/officeDocument/2006/relationships" xmlns:w="http://schemas.openxmlformats.org/wordprocessingml/2006/main">
  <w:divs>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Vāvere</dc:creator>
  <cp:keywords/>
  <dc:description/>
  <cp:lastModifiedBy>larisat</cp:lastModifiedBy>
  <cp:revision>7</cp:revision>
  <cp:lastPrinted>2015-03-10T09:09:00Z</cp:lastPrinted>
  <dcterms:created xsi:type="dcterms:W3CDTF">2015-03-10T12:52:00Z</dcterms:created>
  <dcterms:modified xsi:type="dcterms:W3CDTF">2015-03-31T07:49:00Z</dcterms:modified>
</cp:coreProperties>
</file>