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B1D" w:rsidRPr="00665484" w:rsidRDefault="00B17B1D" w:rsidP="00B17B1D">
      <w:pPr>
        <w:ind w:left="170"/>
        <w:jc w:val="center"/>
        <w:rPr>
          <w:b/>
          <w:bCs/>
        </w:rPr>
      </w:pPr>
      <w:r w:rsidRPr="00665484">
        <w:rPr>
          <w:b/>
        </w:rPr>
        <w:t>Ministru kabineta rīkojuma projekta „Par finanšu līdzekļu piešķiršanu no valsts pamatbudžeta programmas „Līdzekļi neparedzētiem gadījumiem””</w:t>
      </w:r>
    </w:p>
    <w:p w:rsidR="00B17B1D" w:rsidRPr="00665484" w:rsidRDefault="00B17B1D" w:rsidP="00B17B1D">
      <w:pPr>
        <w:jc w:val="center"/>
        <w:rPr>
          <w:b/>
          <w:bCs/>
        </w:rPr>
      </w:pPr>
      <w:r w:rsidRPr="00665484">
        <w:rPr>
          <w:b/>
          <w:bCs/>
        </w:rPr>
        <w:t>sākotnējās ietekmes novērtējuma ziņojums (anotācija)</w:t>
      </w:r>
    </w:p>
    <w:p w:rsidR="00B17B1D" w:rsidRPr="003106A2" w:rsidRDefault="00B17B1D" w:rsidP="00B17B1D">
      <w:pPr>
        <w:jc w:val="center"/>
        <w:rPr>
          <w:b/>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732"/>
        <w:gridCol w:w="5982"/>
      </w:tblGrid>
      <w:tr w:rsidR="00B17B1D" w:rsidTr="009C3CF8">
        <w:tc>
          <w:tcPr>
            <w:tcW w:w="9351" w:type="dxa"/>
            <w:gridSpan w:val="3"/>
          </w:tcPr>
          <w:p w:rsidR="00B17B1D" w:rsidRDefault="00B17B1D" w:rsidP="009C3CF8">
            <w:pPr>
              <w:jc w:val="center"/>
            </w:pPr>
            <w:r w:rsidRPr="00802643">
              <w:rPr>
                <w:b/>
                <w:bCs/>
              </w:rPr>
              <w:t>I. Tiesību akta projekta izstrādes nepieciešamība</w:t>
            </w:r>
          </w:p>
        </w:tc>
      </w:tr>
      <w:tr w:rsidR="00B17B1D" w:rsidTr="00B9584E">
        <w:tc>
          <w:tcPr>
            <w:tcW w:w="637" w:type="dxa"/>
          </w:tcPr>
          <w:p w:rsidR="00B17B1D" w:rsidRDefault="00B17B1D" w:rsidP="009C3CF8">
            <w:pPr>
              <w:jc w:val="both"/>
            </w:pPr>
            <w:r>
              <w:t>1.</w:t>
            </w:r>
          </w:p>
        </w:tc>
        <w:tc>
          <w:tcPr>
            <w:tcW w:w="2732" w:type="dxa"/>
          </w:tcPr>
          <w:p w:rsidR="00B17B1D" w:rsidRDefault="00B17B1D" w:rsidP="009C3CF8">
            <w:pPr>
              <w:jc w:val="both"/>
            </w:pPr>
            <w:r>
              <w:t> Pamatojums</w:t>
            </w:r>
          </w:p>
        </w:tc>
        <w:tc>
          <w:tcPr>
            <w:tcW w:w="5982" w:type="dxa"/>
          </w:tcPr>
          <w:p w:rsidR="00E92C79" w:rsidRDefault="00B17B1D" w:rsidP="009C3CF8">
            <w:pPr>
              <w:jc w:val="both"/>
            </w:pPr>
            <w:r>
              <w:t xml:space="preserve">Ministru kabineta </w:t>
            </w:r>
            <w:proofErr w:type="gramStart"/>
            <w:r>
              <w:t>2009.gada</w:t>
            </w:r>
            <w:proofErr w:type="gramEnd"/>
            <w:r>
              <w:t xml:space="preserve"> 22.decembra noteikumu Nr.1644 „Kārtība, kādā pieprasa un izlieto budžeta programmas „Līdzekļi neparedzētiem gadījumiem” līdzekļus” (turpmāk – noteikumi Nr.1644) 2.punkts un Ministru kabineta 2014.gada 17.jūlija rīkojuma Nr.359 „Par pasākumiem Āfrikas cūku mēra izplatīšanās ierobežošanai” (turpmāk – rīkojums Nr.359) 6.punkts. </w:t>
            </w:r>
          </w:p>
        </w:tc>
      </w:tr>
      <w:tr w:rsidR="00B17B1D" w:rsidTr="00B9584E">
        <w:tc>
          <w:tcPr>
            <w:tcW w:w="637" w:type="dxa"/>
          </w:tcPr>
          <w:p w:rsidR="00B17B1D" w:rsidRDefault="00B17B1D" w:rsidP="009C3CF8">
            <w:pPr>
              <w:jc w:val="both"/>
            </w:pPr>
            <w:r>
              <w:t>2.</w:t>
            </w:r>
          </w:p>
        </w:tc>
        <w:tc>
          <w:tcPr>
            <w:tcW w:w="2732" w:type="dxa"/>
          </w:tcPr>
          <w:p w:rsidR="00B17B1D" w:rsidRDefault="00B17B1D" w:rsidP="009C3CF8">
            <w:pPr>
              <w:jc w:val="both"/>
            </w:pPr>
            <w:r>
              <w:t>Pašreizējā situācija un problēmas</w:t>
            </w:r>
            <w:r w:rsidR="008C779F">
              <w:t>, kuru risināšanai tiesību aktu projekts izstrādāts, tiesiskā regulējuma mērķis un būtība</w:t>
            </w:r>
          </w:p>
        </w:tc>
        <w:tc>
          <w:tcPr>
            <w:tcW w:w="5982" w:type="dxa"/>
          </w:tcPr>
          <w:p w:rsidR="00E92C79" w:rsidRDefault="00B17B1D" w:rsidP="00B17B1D">
            <w:pPr>
              <w:pStyle w:val="Bezatstarpm"/>
              <w:jc w:val="both"/>
            </w:pPr>
            <w:r>
              <w:t xml:space="preserve">Rīkojuma Nr.359 6.punkts paredzēja cūku sugas dzīvnieku īpašniekiem izmaksāt kompensāciju par katru nokauto dzīvnieku. </w:t>
            </w:r>
            <w:proofErr w:type="gramStart"/>
            <w:r>
              <w:t>2014.gada</w:t>
            </w:r>
            <w:proofErr w:type="gramEnd"/>
            <w:r>
              <w:t xml:space="preserve"> 9.septembrī Lauku atbalsta dienest</w:t>
            </w:r>
            <w:r w:rsidR="009844FF">
              <w:t>ā</w:t>
            </w:r>
            <w:r>
              <w:t xml:space="preserve"> (turpmāk – dienests) </w:t>
            </w:r>
            <w:r w:rsidR="009844FF">
              <w:t xml:space="preserve">tika </w:t>
            </w:r>
            <w:r>
              <w:t>saņ</w:t>
            </w:r>
            <w:r w:rsidR="009844FF">
              <w:t>emts</w:t>
            </w:r>
            <w:r>
              <w:t xml:space="preserve"> Jāņa </w:t>
            </w:r>
            <w:proofErr w:type="spellStart"/>
            <w:r>
              <w:t>Tarvana</w:t>
            </w:r>
            <w:proofErr w:type="spellEnd"/>
            <w:r>
              <w:t xml:space="preserve"> iesniegumu kompensācijas saņemšanai par zaudējumiem, kas radušies</w:t>
            </w:r>
            <w:r w:rsidR="009844FF">
              <w:t>,</w:t>
            </w:r>
            <w:r>
              <w:t xml:space="preserve"> </w:t>
            </w:r>
            <w:r w:rsidR="009844FF">
              <w:t xml:space="preserve">dzīvnieku īpašniekam </w:t>
            </w:r>
            <w:r>
              <w:t xml:space="preserve">ierobežojot Āfrikas cūku mēra izplatību. </w:t>
            </w:r>
            <w:proofErr w:type="spellStart"/>
            <w:r>
              <w:t>J</w:t>
            </w:r>
            <w:r w:rsidR="00B9584E">
              <w:t>.</w:t>
            </w:r>
            <w:r>
              <w:t>Tarvanam</w:t>
            </w:r>
            <w:proofErr w:type="spellEnd"/>
            <w:r>
              <w:t xml:space="preserve"> tika nokauta viena nobarojamā cūka, jo viņ</w:t>
            </w:r>
            <w:r w:rsidR="009844FF">
              <w:t>am</w:t>
            </w:r>
            <w:r>
              <w:t xml:space="preserve"> savā dzīvnieku novietnē ne</w:t>
            </w:r>
            <w:r w:rsidR="009844FF">
              <w:t>bija iespējams</w:t>
            </w:r>
            <w:r>
              <w:t xml:space="preserve"> ieviest biodrošības </w:t>
            </w:r>
            <w:r w:rsidR="00B9584E">
              <w:t>pasākumus</w:t>
            </w:r>
            <w:r>
              <w:t xml:space="preserve">. Dienests izvērtēja saņemto </w:t>
            </w:r>
            <w:proofErr w:type="spellStart"/>
            <w:r w:rsidR="00B9584E">
              <w:t>J.</w:t>
            </w:r>
            <w:r>
              <w:t>Tarvana</w:t>
            </w:r>
            <w:proofErr w:type="spellEnd"/>
            <w:r>
              <w:t xml:space="preserve"> iesniegumu </w:t>
            </w:r>
            <w:r w:rsidR="00B9584E">
              <w:t>un</w:t>
            </w:r>
            <w:r>
              <w:t xml:space="preserve"> </w:t>
            </w:r>
            <w:r w:rsidR="00B9584E">
              <w:t xml:space="preserve">citus </w:t>
            </w:r>
            <w:r>
              <w:t>dokument</w:t>
            </w:r>
            <w:r w:rsidR="00B9584E">
              <w:t>us</w:t>
            </w:r>
            <w:r>
              <w:t xml:space="preserve"> un apstiprināja kompensācijas izmaksu 120</w:t>
            </w:r>
            <w:r w:rsidR="00B9584E">
              <w:t>,</w:t>
            </w:r>
            <w:r>
              <w:t>00</w:t>
            </w:r>
            <w:r w:rsidR="00B9584E">
              <w:t xml:space="preserve"> </w:t>
            </w:r>
            <w:proofErr w:type="spellStart"/>
            <w:r w:rsidRPr="00366CE3">
              <w:rPr>
                <w:i/>
              </w:rPr>
              <w:t>euro</w:t>
            </w:r>
            <w:proofErr w:type="spellEnd"/>
            <w:r>
              <w:t xml:space="preserve"> apmērā, ko pieprasīja Zemkopības ministrijai. </w:t>
            </w:r>
            <w:proofErr w:type="gramStart"/>
            <w:r>
              <w:t>2014.gada</w:t>
            </w:r>
            <w:proofErr w:type="gramEnd"/>
            <w:r>
              <w:t xml:space="preserve"> 15.septembrī </w:t>
            </w:r>
            <w:proofErr w:type="spellStart"/>
            <w:r>
              <w:t>J</w:t>
            </w:r>
            <w:r w:rsidR="003F7958">
              <w:t>.</w:t>
            </w:r>
            <w:r>
              <w:t>Tarvans</w:t>
            </w:r>
            <w:proofErr w:type="spellEnd"/>
            <w:r>
              <w:t xml:space="preserve"> nomira</w:t>
            </w:r>
            <w:r w:rsidR="003F7958">
              <w:t>,</w:t>
            </w:r>
            <w:r>
              <w:t xml:space="preserve"> tāpēc dienests piešķirto kompensāciju nevarēja izmaksāt un neizmantotos finanšu līdzekļus gada beigās </w:t>
            </w:r>
            <w:r w:rsidR="003F7958">
              <w:t xml:space="preserve">pārskaitīja </w:t>
            </w:r>
            <w:r>
              <w:t>atpakaļ valsts budžetā. 2015.gada 18.februārī dienest</w:t>
            </w:r>
            <w:r w:rsidR="009844FF">
              <w:t>ā tika</w:t>
            </w:r>
            <w:r>
              <w:t xml:space="preserve"> saņ</w:t>
            </w:r>
            <w:r w:rsidR="009844FF">
              <w:t>emts</w:t>
            </w:r>
            <w:r>
              <w:t xml:space="preserve"> Māra </w:t>
            </w:r>
            <w:proofErr w:type="spellStart"/>
            <w:r>
              <w:t>Tarvana</w:t>
            </w:r>
            <w:proofErr w:type="spellEnd"/>
            <w:r>
              <w:t xml:space="preserve"> iesniegum</w:t>
            </w:r>
            <w:r w:rsidR="009844FF">
              <w:t>s</w:t>
            </w:r>
            <w:r>
              <w:t xml:space="preserve"> par to, ka viņš ir Jāņa </w:t>
            </w:r>
            <w:proofErr w:type="spellStart"/>
            <w:r>
              <w:t>Tarvana</w:t>
            </w:r>
            <w:proofErr w:type="spellEnd"/>
            <w:r>
              <w:t xml:space="preserve"> likumīgais mantinieks un </w:t>
            </w:r>
            <w:r w:rsidR="009844FF">
              <w:t xml:space="preserve">ka viņš </w:t>
            </w:r>
            <w:r>
              <w:t xml:space="preserve">lūdz izmaksāt </w:t>
            </w:r>
            <w:r w:rsidR="009844FF">
              <w:t>savam</w:t>
            </w:r>
            <w:r>
              <w:t xml:space="preserve"> tēvam piešķirto kompensāciju par nokauto nobarojamo cūku. </w:t>
            </w:r>
          </w:p>
          <w:p w:rsidR="008C779F" w:rsidRDefault="008C779F" w:rsidP="00B17B1D">
            <w:pPr>
              <w:pStyle w:val="Bezatstarpm"/>
              <w:jc w:val="both"/>
            </w:pPr>
            <w:r>
              <w:t xml:space="preserve">Ministru kabineta rīkojums sagatavots, lai izmaksātu Mārim </w:t>
            </w:r>
            <w:proofErr w:type="spellStart"/>
            <w:r>
              <w:t>Tarvanam</w:t>
            </w:r>
            <w:proofErr w:type="spellEnd"/>
            <w:r>
              <w:t xml:space="preserve"> viņa tēvam piešķirto kompensāciju 120,00 </w:t>
            </w:r>
            <w:proofErr w:type="spellStart"/>
            <w:r w:rsidRPr="00366CE3">
              <w:rPr>
                <w:i/>
              </w:rPr>
              <w:t>euro</w:t>
            </w:r>
            <w:proofErr w:type="spellEnd"/>
            <w:r>
              <w:t xml:space="preserve"> apmērā.</w:t>
            </w:r>
          </w:p>
          <w:p w:rsidR="008C779F" w:rsidRPr="008C779F" w:rsidRDefault="008C779F" w:rsidP="008C779F">
            <w:pPr>
              <w:pStyle w:val="Bezatstarpm"/>
              <w:jc w:val="both"/>
              <w:rPr>
                <w:b/>
              </w:rPr>
            </w:pPr>
            <w:r w:rsidRPr="008C779F">
              <w:rPr>
                <w:b/>
              </w:rPr>
              <w:t xml:space="preserve">Tāpat rīkojuma projekts paredz Zemkopības ministrijai nodrošināt, lai valsts budžetā daļēji tiktu atgūti līdzekļi par dzīvnieku īpašniekam izmaksāto kompensāciju saistībā ar Āfrikas cūku mēra programmu. Naudas līdzekļu atgūšana paredzēta no Eiropas Savienības budžeta saskaņā ar </w:t>
            </w:r>
            <w:r w:rsidRPr="00CE6D0A">
              <w:rPr>
                <w:rStyle w:val="Izteiksmgs"/>
              </w:rPr>
              <w:t xml:space="preserve">Eiropas Parlamenta un Padomes 2014. gada 15. maija Regulu (ES) Nr.652/2014, ar ko paredz noteikumus tādu izdevumu pārvaldībai, kuri attiecas uz pārtikas apriti, dzīvnieku veselību un dzīvnieku labturību, augu veselību un augu reproduktīvo materiālu, un ar ko groza Padomes Direktīvas 98/56/EK, 2000/29/EK un 2008/90/EK, Eiropas Parlamenta un Padomes Regulas (EK) Nr.178/2002, (EK) Nr.882/2004 un (EK) Nr.396/2005, Eiropas Parlamenta un Padomes Direktīvu 2009/128/EK un Eiropas Parlamenta un Padomes Regulu (EK) </w:t>
            </w:r>
            <w:r w:rsidRPr="00CE6D0A">
              <w:rPr>
                <w:rStyle w:val="Izteiksmgs"/>
              </w:rPr>
              <w:lastRenderedPageBreak/>
              <w:t>Nr.1107/2009 un atceļ Padomes Lēmumus 66/399/EEK, 76/894/EEK un 2009/470/EK</w:t>
            </w:r>
            <w:r w:rsidRPr="00CE6D0A">
              <w:t xml:space="preserve">. </w:t>
            </w:r>
          </w:p>
        </w:tc>
      </w:tr>
      <w:tr w:rsidR="00B17B1D" w:rsidTr="00B9584E">
        <w:tc>
          <w:tcPr>
            <w:tcW w:w="637" w:type="dxa"/>
          </w:tcPr>
          <w:p w:rsidR="00B17B1D" w:rsidRDefault="00CE6D0A" w:rsidP="009C3CF8">
            <w:pPr>
              <w:jc w:val="both"/>
            </w:pPr>
            <w:r>
              <w:lastRenderedPageBreak/>
              <w:t>3</w:t>
            </w:r>
            <w:r w:rsidR="00B17B1D">
              <w:t>.</w:t>
            </w:r>
          </w:p>
        </w:tc>
        <w:tc>
          <w:tcPr>
            <w:tcW w:w="2732" w:type="dxa"/>
          </w:tcPr>
          <w:p w:rsidR="00B17B1D" w:rsidRDefault="00B17B1D" w:rsidP="009C3CF8">
            <w:pPr>
              <w:jc w:val="both"/>
            </w:pPr>
            <w:r>
              <w:t>Projekta izstrādē iesaistītās institūcijas</w:t>
            </w:r>
          </w:p>
        </w:tc>
        <w:tc>
          <w:tcPr>
            <w:tcW w:w="5982" w:type="dxa"/>
          </w:tcPr>
          <w:p w:rsidR="00B17B1D" w:rsidRDefault="00B17B1D" w:rsidP="009C3CF8">
            <w:pPr>
              <w:jc w:val="both"/>
            </w:pPr>
            <w:r>
              <w:t>Lauku atbalsta dienests</w:t>
            </w:r>
          </w:p>
        </w:tc>
      </w:tr>
      <w:tr w:rsidR="00B17B1D" w:rsidTr="00B9584E">
        <w:tc>
          <w:tcPr>
            <w:tcW w:w="637" w:type="dxa"/>
          </w:tcPr>
          <w:p w:rsidR="00B17B1D" w:rsidRDefault="00CE6D0A" w:rsidP="009C3CF8">
            <w:pPr>
              <w:jc w:val="both"/>
            </w:pPr>
            <w:r>
              <w:t>4</w:t>
            </w:r>
            <w:r w:rsidR="00B17B1D">
              <w:t>.</w:t>
            </w:r>
          </w:p>
        </w:tc>
        <w:tc>
          <w:tcPr>
            <w:tcW w:w="2732" w:type="dxa"/>
          </w:tcPr>
          <w:p w:rsidR="00B17B1D" w:rsidRDefault="00B17B1D" w:rsidP="009C3CF8">
            <w:pPr>
              <w:jc w:val="both"/>
            </w:pPr>
            <w:r>
              <w:t>Cita informācija</w:t>
            </w:r>
          </w:p>
        </w:tc>
        <w:tc>
          <w:tcPr>
            <w:tcW w:w="5982" w:type="dxa"/>
          </w:tcPr>
          <w:p w:rsidR="00B17B1D" w:rsidRDefault="00B17B1D" w:rsidP="009C3CF8">
            <w:pPr>
              <w:jc w:val="both"/>
            </w:pPr>
            <w:r>
              <w:t>Nav.</w:t>
            </w:r>
          </w:p>
        </w:tc>
      </w:tr>
    </w:tbl>
    <w:p w:rsidR="00B17B1D" w:rsidRDefault="00B17B1D" w:rsidP="00B17B1D">
      <w:pPr>
        <w:jc w:val="both"/>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3445"/>
        <w:gridCol w:w="5387"/>
      </w:tblGrid>
      <w:tr w:rsidR="00B17B1D" w:rsidTr="009C3CF8">
        <w:tc>
          <w:tcPr>
            <w:tcW w:w="9351" w:type="dxa"/>
            <w:gridSpan w:val="3"/>
          </w:tcPr>
          <w:p w:rsidR="00B17B1D" w:rsidRDefault="00B17B1D" w:rsidP="009C3CF8">
            <w:pPr>
              <w:jc w:val="center"/>
            </w:pPr>
            <w:r w:rsidRPr="00802643">
              <w:rPr>
                <w:b/>
                <w:bCs/>
              </w:rPr>
              <w:t>II. Tiesību akta projekta ietekme uz sabiedrību</w:t>
            </w:r>
            <w:r w:rsidR="00CE6D0A">
              <w:rPr>
                <w:b/>
                <w:bCs/>
              </w:rPr>
              <w:t>, tautsaimniecības attīstību un administratīvo slogu</w:t>
            </w:r>
          </w:p>
        </w:tc>
      </w:tr>
      <w:tr w:rsidR="00B17B1D" w:rsidTr="009C3CF8">
        <w:tc>
          <w:tcPr>
            <w:tcW w:w="519" w:type="dxa"/>
          </w:tcPr>
          <w:p w:rsidR="00B17B1D" w:rsidRDefault="00B17B1D" w:rsidP="009C3CF8">
            <w:pPr>
              <w:jc w:val="both"/>
            </w:pPr>
            <w:r>
              <w:t>1.</w:t>
            </w:r>
          </w:p>
        </w:tc>
        <w:tc>
          <w:tcPr>
            <w:tcW w:w="3445" w:type="dxa"/>
          </w:tcPr>
          <w:p w:rsidR="00B17B1D" w:rsidRDefault="00B17B1D" w:rsidP="009C3CF8">
            <w:pPr>
              <w:jc w:val="both"/>
            </w:pPr>
            <w:r>
              <w:t>Sabiedrības mērķgrupa</w:t>
            </w:r>
            <w:r w:rsidR="00CE6D0A">
              <w:t>s, kuras tiesiskais regulējums ietekmē vai varētu ietekmēt</w:t>
            </w:r>
          </w:p>
        </w:tc>
        <w:tc>
          <w:tcPr>
            <w:tcW w:w="5387" w:type="dxa"/>
          </w:tcPr>
          <w:p w:rsidR="00B17B1D" w:rsidRDefault="00B17B1D" w:rsidP="00E92C79">
            <w:pPr>
              <w:jc w:val="both"/>
            </w:pPr>
            <w:r>
              <w:t xml:space="preserve"> Sabiedrības mērķgrupa ir </w:t>
            </w:r>
            <w:r w:rsidR="00E92C79">
              <w:t xml:space="preserve">Māris </w:t>
            </w:r>
            <w:proofErr w:type="spellStart"/>
            <w:r w:rsidR="00E92C79">
              <w:t>Tarvans</w:t>
            </w:r>
            <w:proofErr w:type="spellEnd"/>
            <w:r w:rsidR="00E92C79">
              <w:t xml:space="preserve">, kas ir Jāņa </w:t>
            </w:r>
            <w:proofErr w:type="spellStart"/>
            <w:r w:rsidR="00E92C79">
              <w:t>Tarvana</w:t>
            </w:r>
            <w:proofErr w:type="spellEnd"/>
            <w:r w:rsidR="00E92C79">
              <w:t xml:space="preserve"> likumīgais mantinieks.</w:t>
            </w:r>
          </w:p>
          <w:p w:rsidR="00E92C79" w:rsidRDefault="00E92C79" w:rsidP="00E92C79">
            <w:pPr>
              <w:jc w:val="both"/>
            </w:pPr>
          </w:p>
        </w:tc>
      </w:tr>
      <w:tr w:rsidR="00B17B1D" w:rsidTr="009C3CF8">
        <w:tc>
          <w:tcPr>
            <w:tcW w:w="519" w:type="dxa"/>
          </w:tcPr>
          <w:p w:rsidR="00B17B1D" w:rsidRDefault="00CE6D0A" w:rsidP="009C3CF8">
            <w:pPr>
              <w:jc w:val="both"/>
            </w:pPr>
            <w:r>
              <w:t>2</w:t>
            </w:r>
            <w:r w:rsidR="00B17B1D">
              <w:t>.</w:t>
            </w:r>
          </w:p>
        </w:tc>
        <w:tc>
          <w:tcPr>
            <w:tcW w:w="3445" w:type="dxa"/>
          </w:tcPr>
          <w:p w:rsidR="00B17B1D" w:rsidRDefault="00B17B1D" w:rsidP="00CE6D0A">
            <w:pPr>
              <w:jc w:val="both"/>
            </w:pPr>
            <w:r>
              <w:t>Tiesiskā regulējuma ietekme</w:t>
            </w:r>
            <w:r w:rsidR="00CE6D0A">
              <w:t xml:space="preserve"> uz tautsaimniecību un administratīvo slogu</w:t>
            </w:r>
          </w:p>
        </w:tc>
        <w:tc>
          <w:tcPr>
            <w:tcW w:w="5387" w:type="dxa"/>
          </w:tcPr>
          <w:p w:rsidR="00E92C79" w:rsidRDefault="00B17B1D" w:rsidP="00E92C79">
            <w:pPr>
              <w:jc w:val="both"/>
            </w:pPr>
            <w:r>
              <w:t xml:space="preserve">Rīkojuma projekts paredz izmaksāt </w:t>
            </w:r>
            <w:r w:rsidR="00E92C79">
              <w:t xml:space="preserve">Mārim </w:t>
            </w:r>
            <w:proofErr w:type="spellStart"/>
            <w:r w:rsidR="00E92C79">
              <w:t>Tarvanam</w:t>
            </w:r>
            <w:proofErr w:type="spellEnd"/>
            <w:r>
              <w:t xml:space="preserve"> 1</w:t>
            </w:r>
            <w:r w:rsidR="00E92C79">
              <w:t>20</w:t>
            </w:r>
            <w:r w:rsidR="003F7958">
              <w:t>,00</w:t>
            </w:r>
            <w:r>
              <w:t xml:space="preserve"> </w:t>
            </w:r>
            <w:proofErr w:type="spellStart"/>
            <w:r w:rsidRPr="002036A4">
              <w:rPr>
                <w:i/>
              </w:rPr>
              <w:t>euro</w:t>
            </w:r>
            <w:proofErr w:type="spellEnd"/>
            <w:r>
              <w:t>.</w:t>
            </w:r>
          </w:p>
        </w:tc>
      </w:tr>
      <w:tr w:rsidR="00B17B1D" w:rsidTr="009C3CF8">
        <w:tc>
          <w:tcPr>
            <w:tcW w:w="519" w:type="dxa"/>
          </w:tcPr>
          <w:p w:rsidR="00B17B1D" w:rsidRDefault="00CE6D0A" w:rsidP="009C3CF8">
            <w:pPr>
              <w:jc w:val="both"/>
            </w:pPr>
            <w:r>
              <w:t>3</w:t>
            </w:r>
            <w:r w:rsidR="00B17B1D">
              <w:t>.</w:t>
            </w:r>
          </w:p>
        </w:tc>
        <w:tc>
          <w:tcPr>
            <w:tcW w:w="3445" w:type="dxa"/>
          </w:tcPr>
          <w:p w:rsidR="00B17B1D" w:rsidRDefault="00B17B1D" w:rsidP="009C3CF8">
            <w:pPr>
              <w:jc w:val="both"/>
            </w:pPr>
            <w:r>
              <w:t>Administratīvo i</w:t>
            </w:r>
            <w:smartTag w:uri="urn:schemas-microsoft-com:office:smarttags" w:element="PersonName">
              <w:r>
                <w:t>zm</w:t>
              </w:r>
            </w:smartTag>
            <w:r>
              <w:t>aksu monetārs novērtējums</w:t>
            </w:r>
          </w:p>
        </w:tc>
        <w:tc>
          <w:tcPr>
            <w:tcW w:w="5387" w:type="dxa"/>
          </w:tcPr>
          <w:p w:rsidR="00B17B1D" w:rsidRDefault="00B17B1D" w:rsidP="009C3CF8">
            <w:pPr>
              <w:jc w:val="both"/>
            </w:pPr>
            <w:r>
              <w:t>Projekts šo jomu neskar.</w:t>
            </w:r>
          </w:p>
        </w:tc>
      </w:tr>
      <w:tr w:rsidR="00B17B1D" w:rsidTr="009C3CF8">
        <w:tc>
          <w:tcPr>
            <w:tcW w:w="519" w:type="dxa"/>
          </w:tcPr>
          <w:p w:rsidR="00B17B1D" w:rsidRDefault="00CE6D0A" w:rsidP="009C3CF8">
            <w:pPr>
              <w:jc w:val="both"/>
            </w:pPr>
            <w:r>
              <w:t>4</w:t>
            </w:r>
            <w:r w:rsidR="00B17B1D">
              <w:t>.</w:t>
            </w:r>
          </w:p>
        </w:tc>
        <w:tc>
          <w:tcPr>
            <w:tcW w:w="3445" w:type="dxa"/>
          </w:tcPr>
          <w:p w:rsidR="00B17B1D" w:rsidRDefault="00B17B1D" w:rsidP="009C3CF8">
            <w:pPr>
              <w:jc w:val="both"/>
            </w:pPr>
            <w:r>
              <w:t>Cita informācija</w:t>
            </w:r>
          </w:p>
        </w:tc>
        <w:tc>
          <w:tcPr>
            <w:tcW w:w="5387" w:type="dxa"/>
          </w:tcPr>
          <w:p w:rsidR="00B17B1D" w:rsidRDefault="00B17B1D" w:rsidP="009C3CF8">
            <w:pPr>
              <w:jc w:val="both"/>
            </w:pPr>
            <w:r>
              <w:t>Nav.</w:t>
            </w:r>
          </w:p>
        </w:tc>
      </w:tr>
    </w:tbl>
    <w:p w:rsidR="00B17B1D" w:rsidRDefault="00B17B1D" w:rsidP="00B17B1D">
      <w:pPr>
        <w:jc w:val="both"/>
      </w:pPr>
      <w:r>
        <w: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260"/>
        <w:gridCol w:w="1440"/>
        <w:gridCol w:w="1440"/>
        <w:gridCol w:w="1440"/>
        <w:gridCol w:w="1440"/>
      </w:tblGrid>
      <w:tr w:rsidR="00B17B1D" w:rsidTr="009C3CF8">
        <w:tc>
          <w:tcPr>
            <w:tcW w:w="9288" w:type="dxa"/>
            <w:gridSpan w:val="6"/>
          </w:tcPr>
          <w:p w:rsidR="00B17B1D" w:rsidRDefault="00B17B1D" w:rsidP="009C3CF8">
            <w:pPr>
              <w:jc w:val="center"/>
            </w:pPr>
            <w:r w:rsidRPr="00802643">
              <w:rPr>
                <w:b/>
                <w:bCs/>
              </w:rPr>
              <w:t>III. Tiesību akta projekta ietekme uz valsts budžetu un pašvaldību budžetiem</w:t>
            </w:r>
          </w:p>
        </w:tc>
      </w:tr>
      <w:tr w:rsidR="00B17B1D" w:rsidTr="009C3CF8">
        <w:tc>
          <w:tcPr>
            <w:tcW w:w="2268" w:type="dxa"/>
            <w:vMerge w:val="restart"/>
          </w:tcPr>
          <w:p w:rsidR="00B17B1D" w:rsidRDefault="00B17B1D" w:rsidP="009C3CF8">
            <w:pPr>
              <w:jc w:val="center"/>
            </w:pPr>
            <w:r w:rsidRPr="00802643">
              <w:rPr>
                <w:b/>
                <w:bCs/>
              </w:rPr>
              <w:t>Rādītāji</w:t>
            </w:r>
          </w:p>
        </w:tc>
        <w:tc>
          <w:tcPr>
            <w:tcW w:w="2700" w:type="dxa"/>
            <w:gridSpan w:val="2"/>
            <w:vMerge w:val="restart"/>
          </w:tcPr>
          <w:p w:rsidR="00B17B1D" w:rsidRDefault="00B17B1D" w:rsidP="009C3CF8">
            <w:pPr>
              <w:jc w:val="center"/>
            </w:pPr>
            <w:r>
              <w:rPr>
                <w:b/>
                <w:bCs/>
              </w:rPr>
              <w:t>2015</w:t>
            </w:r>
            <w:r w:rsidRPr="00802643">
              <w:rPr>
                <w:b/>
                <w:bCs/>
              </w:rPr>
              <w:t>.gads</w:t>
            </w:r>
          </w:p>
        </w:tc>
        <w:tc>
          <w:tcPr>
            <w:tcW w:w="4320" w:type="dxa"/>
            <w:gridSpan w:val="3"/>
          </w:tcPr>
          <w:p w:rsidR="00B17B1D" w:rsidRPr="00802643" w:rsidRDefault="00B17B1D" w:rsidP="009C3CF8">
            <w:pPr>
              <w:tabs>
                <w:tab w:val="left" w:pos="3480"/>
              </w:tabs>
              <w:jc w:val="center"/>
              <w:rPr>
                <w:b/>
              </w:rPr>
            </w:pPr>
            <w:r w:rsidRPr="00802643">
              <w:rPr>
                <w:b/>
              </w:rPr>
              <w:t xml:space="preserve">Turpmākie trīs gadi </w:t>
            </w:r>
            <w:r>
              <w:rPr>
                <w:b/>
              </w:rPr>
              <w:t>(</w:t>
            </w:r>
            <w:proofErr w:type="spellStart"/>
            <w:r>
              <w:rPr>
                <w:b/>
              </w:rPr>
              <w:t>euro</w:t>
            </w:r>
            <w:proofErr w:type="spellEnd"/>
            <w:r>
              <w:rPr>
                <w:b/>
              </w:rPr>
              <w:t>)</w:t>
            </w:r>
          </w:p>
        </w:tc>
      </w:tr>
      <w:tr w:rsidR="00B17B1D" w:rsidTr="009C3CF8">
        <w:tc>
          <w:tcPr>
            <w:tcW w:w="2268" w:type="dxa"/>
            <w:vMerge/>
          </w:tcPr>
          <w:p w:rsidR="00B17B1D" w:rsidRDefault="00B17B1D" w:rsidP="009C3CF8">
            <w:pPr>
              <w:jc w:val="both"/>
            </w:pPr>
          </w:p>
        </w:tc>
        <w:tc>
          <w:tcPr>
            <w:tcW w:w="2700" w:type="dxa"/>
            <w:gridSpan w:val="2"/>
            <w:vMerge/>
          </w:tcPr>
          <w:p w:rsidR="00B17B1D" w:rsidRDefault="00B17B1D" w:rsidP="009C3CF8">
            <w:pPr>
              <w:jc w:val="both"/>
            </w:pPr>
          </w:p>
        </w:tc>
        <w:tc>
          <w:tcPr>
            <w:tcW w:w="1440" w:type="dxa"/>
          </w:tcPr>
          <w:p w:rsidR="00B17B1D" w:rsidRPr="00BE099C" w:rsidRDefault="00B17B1D" w:rsidP="009C3CF8">
            <w:pPr>
              <w:jc w:val="center"/>
            </w:pPr>
            <w:r>
              <w:rPr>
                <w:b/>
                <w:bCs/>
              </w:rPr>
              <w:t xml:space="preserve"> 2016</w:t>
            </w:r>
            <w:r w:rsidRPr="00BE099C">
              <w:rPr>
                <w:b/>
                <w:bCs/>
              </w:rPr>
              <w:t>.gads</w:t>
            </w:r>
          </w:p>
        </w:tc>
        <w:tc>
          <w:tcPr>
            <w:tcW w:w="1440" w:type="dxa"/>
          </w:tcPr>
          <w:p w:rsidR="00B17B1D" w:rsidRPr="00BE099C" w:rsidRDefault="00B17B1D" w:rsidP="009C3CF8">
            <w:pPr>
              <w:jc w:val="center"/>
            </w:pPr>
            <w:r w:rsidRPr="00BE099C">
              <w:rPr>
                <w:b/>
                <w:bCs/>
              </w:rPr>
              <w:t xml:space="preserve"> 201</w:t>
            </w:r>
            <w:r>
              <w:rPr>
                <w:b/>
                <w:bCs/>
              </w:rPr>
              <w:t>7</w:t>
            </w:r>
            <w:r w:rsidRPr="00BE099C">
              <w:rPr>
                <w:b/>
                <w:bCs/>
              </w:rPr>
              <w:t>.gads</w:t>
            </w:r>
          </w:p>
        </w:tc>
        <w:tc>
          <w:tcPr>
            <w:tcW w:w="1440" w:type="dxa"/>
          </w:tcPr>
          <w:p w:rsidR="00B17B1D" w:rsidRPr="00BE099C" w:rsidRDefault="00B17B1D" w:rsidP="009C3CF8">
            <w:pPr>
              <w:ind w:right="4"/>
              <w:jc w:val="center"/>
            </w:pPr>
            <w:r w:rsidRPr="00BE099C">
              <w:rPr>
                <w:b/>
                <w:bCs/>
              </w:rPr>
              <w:t xml:space="preserve"> 201</w:t>
            </w:r>
            <w:r>
              <w:rPr>
                <w:b/>
                <w:bCs/>
              </w:rPr>
              <w:t>8</w:t>
            </w:r>
            <w:r w:rsidRPr="00BE099C">
              <w:rPr>
                <w:b/>
                <w:bCs/>
              </w:rPr>
              <w:t>.gads</w:t>
            </w:r>
          </w:p>
        </w:tc>
      </w:tr>
      <w:tr w:rsidR="00B17B1D" w:rsidTr="009C3CF8">
        <w:tc>
          <w:tcPr>
            <w:tcW w:w="2268" w:type="dxa"/>
            <w:vMerge/>
          </w:tcPr>
          <w:p w:rsidR="00B17B1D" w:rsidRDefault="00B17B1D" w:rsidP="009C3CF8">
            <w:pPr>
              <w:jc w:val="both"/>
            </w:pPr>
          </w:p>
        </w:tc>
        <w:tc>
          <w:tcPr>
            <w:tcW w:w="1260" w:type="dxa"/>
          </w:tcPr>
          <w:p w:rsidR="00B17B1D" w:rsidRDefault="00B17B1D" w:rsidP="009C3CF8">
            <w:pPr>
              <w:jc w:val="both"/>
            </w:pPr>
            <w:r>
              <w:t> Saskaņā ar valsts budžetu kārtējam gadam</w:t>
            </w:r>
          </w:p>
        </w:tc>
        <w:tc>
          <w:tcPr>
            <w:tcW w:w="1440" w:type="dxa"/>
          </w:tcPr>
          <w:p w:rsidR="00B17B1D" w:rsidRDefault="00B17B1D" w:rsidP="009C3CF8">
            <w:pPr>
              <w:ind w:left="-61"/>
              <w:jc w:val="both"/>
            </w:pPr>
            <w:r>
              <w:t> I</w:t>
            </w:r>
            <w:smartTag w:uri="urn:schemas-microsoft-com:office:smarttags" w:element="PersonName">
              <w:r>
                <w:t>zm</w:t>
              </w:r>
            </w:smartTag>
            <w:r>
              <w:t>aiņas kārtējā gadā, salīdzinot ar budžetu kārtējam gadam</w:t>
            </w:r>
          </w:p>
        </w:tc>
        <w:tc>
          <w:tcPr>
            <w:tcW w:w="1440" w:type="dxa"/>
          </w:tcPr>
          <w:p w:rsidR="00B17B1D" w:rsidRDefault="00B17B1D" w:rsidP="009C3CF8">
            <w:pPr>
              <w:ind w:left="-108"/>
              <w:jc w:val="both"/>
            </w:pPr>
            <w:r>
              <w:t>I</w:t>
            </w:r>
            <w:smartTag w:uri="urn:schemas-microsoft-com:office:smarttags" w:element="PersonName">
              <w:r>
                <w:t>zm</w:t>
              </w:r>
            </w:smartTag>
            <w:r>
              <w:t>aiņas, salīdzinot ar kārtējo (n) gadu</w:t>
            </w:r>
          </w:p>
        </w:tc>
        <w:tc>
          <w:tcPr>
            <w:tcW w:w="1440" w:type="dxa"/>
          </w:tcPr>
          <w:p w:rsidR="00B17B1D" w:rsidRDefault="00B17B1D" w:rsidP="009C3CF8">
            <w:pPr>
              <w:tabs>
                <w:tab w:val="left" w:pos="0"/>
              </w:tabs>
              <w:ind w:right="-108"/>
              <w:jc w:val="both"/>
            </w:pPr>
            <w:r>
              <w:t>I</w:t>
            </w:r>
            <w:smartTag w:uri="urn:schemas-microsoft-com:office:smarttags" w:element="PersonName">
              <w:r>
                <w:t>zm</w:t>
              </w:r>
            </w:smartTag>
            <w:r>
              <w:t>aiņas, salīdzinot ar kārtējo (n) gadu</w:t>
            </w:r>
          </w:p>
        </w:tc>
        <w:tc>
          <w:tcPr>
            <w:tcW w:w="1440" w:type="dxa"/>
          </w:tcPr>
          <w:p w:rsidR="00B17B1D" w:rsidRDefault="00B17B1D" w:rsidP="009C3CF8">
            <w:pPr>
              <w:jc w:val="both"/>
            </w:pPr>
            <w:r>
              <w:t> I</w:t>
            </w:r>
            <w:smartTag w:uri="urn:schemas-microsoft-com:office:smarttags" w:element="PersonName">
              <w:r>
                <w:t>zm</w:t>
              </w:r>
            </w:smartTag>
            <w:r>
              <w:t>aiņas, salīdzinot ar kārtējo (n) gadu</w:t>
            </w:r>
          </w:p>
        </w:tc>
      </w:tr>
      <w:tr w:rsidR="00B17B1D" w:rsidTr="009C3CF8">
        <w:tc>
          <w:tcPr>
            <w:tcW w:w="2268" w:type="dxa"/>
          </w:tcPr>
          <w:p w:rsidR="00B17B1D" w:rsidRDefault="00B17B1D" w:rsidP="009C3CF8">
            <w:pPr>
              <w:jc w:val="center"/>
            </w:pPr>
            <w:r>
              <w:t>1</w:t>
            </w:r>
          </w:p>
        </w:tc>
        <w:tc>
          <w:tcPr>
            <w:tcW w:w="1260" w:type="dxa"/>
          </w:tcPr>
          <w:p w:rsidR="00B17B1D" w:rsidRDefault="00B17B1D" w:rsidP="009C3CF8">
            <w:pPr>
              <w:jc w:val="center"/>
            </w:pPr>
            <w:r>
              <w:t>2</w:t>
            </w:r>
          </w:p>
        </w:tc>
        <w:tc>
          <w:tcPr>
            <w:tcW w:w="1440" w:type="dxa"/>
          </w:tcPr>
          <w:p w:rsidR="00B17B1D" w:rsidRDefault="00B17B1D" w:rsidP="009C3CF8">
            <w:pPr>
              <w:jc w:val="center"/>
            </w:pPr>
            <w:r>
              <w:t>3</w:t>
            </w:r>
          </w:p>
        </w:tc>
        <w:tc>
          <w:tcPr>
            <w:tcW w:w="1440" w:type="dxa"/>
          </w:tcPr>
          <w:p w:rsidR="00B17B1D" w:rsidRDefault="00B17B1D" w:rsidP="009C3CF8">
            <w:pPr>
              <w:jc w:val="center"/>
            </w:pPr>
            <w:r>
              <w:t>4</w:t>
            </w:r>
          </w:p>
        </w:tc>
        <w:tc>
          <w:tcPr>
            <w:tcW w:w="1440" w:type="dxa"/>
          </w:tcPr>
          <w:p w:rsidR="00B17B1D" w:rsidRDefault="00B17B1D" w:rsidP="009C3CF8">
            <w:pPr>
              <w:jc w:val="center"/>
            </w:pPr>
            <w:r>
              <w:t>5</w:t>
            </w:r>
          </w:p>
        </w:tc>
        <w:tc>
          <w:tcPr>
            <w:tcW w:w="1440" w:type="dxa"/>
          </w:tcPr>
          <w:p w:rsidR="00B17B1D" w:rsidRDefault="00B17B1D" w:rsidP="009C3CF8">
            <w:pPr>
              <w:jc w:val="center"/>
            </w:pPr>
            <w:r>
              <w:t>6</w:t>
            </w:r>
          </w:p>
        </w:tc>
      </w:tr>
      <w:tr w:rsidR="00B17B1D" w:rsidTr="009C3CF8">
        <w:tc>
          <w:tcPr>
            <w:tcW w:w="2268" w:type="dxa"/>
          </w:tcPr>
          <w:p w:rsidR="00B17B1D" w:rsidRDefault="00B17B1D" w:rsidP="009C3CF8">
            <w:pPr>
              <w:jc w:val="both"/>
            </w:pPr>
            <w:r>
              <w:t>1. Budžeta ieņēmumi:</w:t>
            </w:r>
          </w:p>
        </w:tc>
        <w:tc>
          <w:tcPr>
            <w:tcW w:w="126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E92C79">
            <w:pPr>
              <w:jc w:val="center"/>
            </w:pPr>
            <w:r>
              <w:t>6</w:t>
            </w:r>
            <w:r w:rsidR="00E92C79">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1.1. valsts pamatbudžets, tai skaitā ieņēmumi no maksas pakalpo-</w:t>
            </w:r>
            <w:proofErr w:type="spellStart"/>
            <w:r>
              <w:t>jumiem</w:t>
            </w:r>
            <w:proofErr w:type="spellEnd"/>
            <w:r>
              <w:t xml:space="preserve"> un citi pašu ieņēmumi</w:t>
            </w:r>
          </w:p>
        </w:tc>
        <w:tc>
          <w:tcPr>
            <w:tcW w:w="126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1.2. valsts speciālais budžets</w:t>
            </w:r>
          </w:p>
        </w:tc>
        <w:tc>
          <w:tcPr>
            <w:tcW w:w="126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1.3. pašvaldību budžets</w:t>
            </w:r>
          </w:p>
        </w:tc>
        <w:tc>
          <w:tcPr>
            <w:tcW w:w="126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2. Budžeta izdevumi:</w:t>
            </w:r>
          </w:p>
        </w:tc>
        <w:tc>
          <w:tcPr>
            <w:tcW w:w="1260" w:type="dxa"/>
          </w:tcPr>
          <w:p w:rsidR="00B17B1D" w:rsidRDefault="00B17B1D" w:rsidP="009C3CF8">
            <w:pPr>
              <w:jc w:val="center"/>
            </w:pPr>
            <w:r>
              <w:t>0</w:t>
            </w:r>
          </w:p>
        </w:tc>
        <w:tc>
          <w:tcPr>
            <w:tcW w:w="1440" w:type="dxa"/>
          </w:tcPr>
          <w:p w:rsidR="00B17B1D" w:rsidRPr="009941DE" w:rsidRDefault="00B17B1D" w:rsidP="00E92C79">
            <w:pPr>
              <w:jc w:val="center"/>
            </w:pPr>
            <w:r>
              <w:t>1</w:t>
            </w:r>
            <w:r w:rsidR="00E92C79">
              <w:t>20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2.1. valsts pamatbudžets</w:t>
            </w:r>
          </w:p>
        </w:tc>
        <w:tc>
          <w:tcPr>
            <w:tcW w:w="1260" w:type="dxa"/>
          </w:tcPr>
          <w:p w:rsidR="00B17B1D" w:rsidRDefault="00B17B1D" w:rsidP="009C3CF8">
            <w:pPr>
              <w:jc w:val="center"/>
            </w:pPr>
            <w:r>
              <w:t>0</w:t>
            </w:r>
          </w:p>
        </w:tc>
        <w:tc>
          <w:tcPr>
            <w:tcW w:w="1440" w:type="dxa"/>
          </w:tcPr>
          <w:p w:rsidR="00B17B1D" w:rsidRPr="009941DE" w:rsidRDefault="00B17B1D" w:rsidP="00E92C79">
            <w:pPr>
              <w:jc w:val="center"/>
            </w:pPr>
            <w:r>
              <w:t>1</w:t>
            </w:r>
            <w:r w:rsidR="00E92C79">
              <w:t>20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2.2. valsts speciālais budžets</w:t>
            </w:r>
          </w:p>
        </w:tc>
        <w:tc>
          <w:tcPr>
            <w:tcW w:w="1260" w:type="dxa"/>
          </w:tcPr>
          <w:p w:rsidR="00B17B1D" w:rsidRDefault="00B17B1D" w:rsidP="009C3CF8">
            <w:pPr>
              <w:jc w:val="center"/>
            </w:pPr>
            <w:r>
              <w:t>0</w:t>
            </w:r>
          </w:p>
        </w:tc>
        <w:tc>
          <w:tcPr>
            <w:tcW w:w="1440" w:type="dxa"/>
          </w:tcPr>
          <w:p w:rsidR="00B17B1D" w:rsidRPr="009941DE" w:rsidRDefault="00B17B1D" w:rsidP="009C3CF8">
            <w:pPr>
              <w:jc w:val="center"/>
            </w:pPr>
            <w:r w:rsidRPr="009941DE">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2.3. pašvaldību budžets</w:t>
            </w:r>
          </w:p>
        </w:tc>
        <w:tc>
          <w:tcPr>
            <w:tcW w:w="1260" w:type="dxa"/>
          </w:tcPr>
          <w:p w:rsidR="00B17B1D" w:rsidRDefault="00B17B1D" w:rsidP="009C3CF8">
            <w:pPr>
              <w:jc w:val="center"/>
            </w:pPr>
            <w:r>
              <w:t>0</w:t>
            </w:r>
          </w:p>
        </w:tc>
        <w:tc>
          <w:tcPr>
            <w:tcW w:w="1440" w:type="dxa"/>
          </w:tcPr>
          <w:p w:rsidR="00B17B1D" w:rsidRPr="009941DE" w:rsidRDefault="00B17B1D" w:rsidP="009C3CF8">
            <w:pPr>
              <w:jc w:val="center"/>
            </w:pPr>
            <w:r w:rsidRPr="009941DE">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3. Finansiālā ietekme:</w:t>
            </w:r>
          </w:p>
        </w:tc>
        <w:tc>
          <w:tcPr>
            <w:tcW w:w="1260" w:type="dxa"/>
          </w:tcPr>
          <w:p w:rsidR="00B17B1D" w:rsidRDefault="00B17B1D" w:rsidP="009C3CF8">
            <w:pPr>
              <w:jc w:val="center"/>
            </w:pPr>
            <w:r>
              <w:t>0</w:t>
            </w:r>
          </w:p>
        </w:tc>
        <w:tc>
          <w:tcPr>
            <w:tcW w:w="1440" w:type="dxa"/>
          </w:tcPr>
          <w:p w:rsidR="00B17B1D" w:rsidRPr="009941DE" w:rsidRDefault="00B17B1D" w:rsidP="00E92C79">
            <w:pPr>
              <w:jc w:val="center"/>
            </w:pPr>
            <w:r>
              <w:t>– 1</w:t>
            </w:r>
            <w:r w:rsidR="00E92C79">
              <w:t>20</w:t>
            </w:r>
            <w:r>
              <w:t xml:space="preserve"> </w:t>
            </w:r>
          </w:p>
        </w:tc>
        <w:tc>
          <w:tcPr>
            <w:tcW w:w="1440" w:type="dxa"/>
          </w:tcPr>
          <w:p w:rsidR="00B17B1D" w:rsidRDefault="00B17B1D" w:rsidP="00E92C79">
            <w:pPr>
              <w:jc w:val="center"/>
            </w:pPr>
            <w:r>
              <w:t>6</w:t>
            </w:r>
            <w:r w:rsidR="00E92C79">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lastRenderedPageBreak/>
              <w:t>3.1. valsts pamatbudžets</w:t>
            </w:r>
          </w:p>
        </w:tc>
        <w:tc>
          <w:tcPr>
            <w:tcW w:w="1260" w:type="dxa"/>
          </w:tcPr>
          <w:p w:rsidR="00B17B1D" w:rsidRDefault="00B17B1D" w:rsidP="009C3CF8">
            <w:pPr>
              <w:jc w:val="center"/>
            </w:pPr>
            <w:r>
              <w:t>0</w:t>
            </w:r>
          </w:p>
        </w:tc>
        <w:tc>
          <w:tcPr>
            <w:tcW w:w="1440" w:type="dxa"/>
          </w:tcPr>
          <w:p w:rsidR="00B17B1D" w:rsidRPr="009941DE" w:rsidRDefault="00B17B1D" w:rsidP="00E92C79">
            <w:pPr>
              <w:jc w:val="center"/>
            </w:pPr>
            <w:r>
              <w:t>– 1</w:t>
            </w:r>
            <w:r w:rsidR="00E92C79">
              <w:t>20</w:t>
            </w:r>
            <w:r>
              <w:t xml:space="preserve"> </w:t>
            </w:r>
          </w:p>
        </w:tc>
        <w:tc>
          <w:tcPr>
            <w:tcW w:w="1440" w:type="dxa"/>
          </w:tcPr>
          <w:p w:rsidR="00B17B1D" w:rsidRDefault="00B17B1D" w:rsidP="00E92C79">
            <w:pPr>
              <w:jc w:val="center"/>
            </w:pPr>
            <w:r>
              <w:t>6</w:t>
            </w:r>
            <w:r w:rsidR="00E92C79">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3.2. speciālais budžets</w:t>
            </w:r>
          </w:p>
        </w:tc>
        <w:tc>
          <w:tcPr>
            <w:tcW w:w="1260" w:type="dxa"/>
          </w:tcPr>
          <w:p w:rsidR="00B17B1D" w:rsidRDefault="00B17B1D" w:rsidP="009C3CF8">
            <w:pPr>
              <w:jc w:val="center"/>
            </w:pPr>
            <w:r>
              <w:t>0</w:t>
            </w:r>
          </w:p>
        </w:tc>
        <w:tc>
          <w:tcPr>
            <w:tcW w:w="1440" w:type="dxa"/>
          </w:tcPr>
          <w:p w:rsidR="00B17B1D" w:rsidRPr="009941DE" w:rsidRDefault="00B17B1D" w:rsidP="009C3CF8">
            <w:pPr>
              <w:jc w:val="center"/>
            </w:pPr>
            <w:r w:rsidRPr="009941DE">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3.3. pašvaldību budžets</w:t>
            </w:r>
          </w:p>
        </w:tc>
        <w:tc>
          <w:tcPr>
            <w:tcW w:w="1260" w:type="dxa"/>
          </w:tcPr>
          <w:p w:rsidR="00B17B1D" w:rsidRDefault="00B17B1D" w:rsidP="009C3CF8">
            <w:pPr>
              <w:jc w:val="center"/>
            </w:pPr>
            <w:r>
              <w:t>0</w:t>
            </w:r>
          </w:p>
        </w:tc>
        <w:tc>
          <w:tcPr>
            <w:tcW w:w="1440" w:type="dxa"/>
          </w:tcPr>
          <w:p w:rsidR="00B17B1D" w:rsidRPr="009941DE" w:rsidRDefault="00B17B1D" w:rsidP="009C3CF8">
            <w:pPr>
              <w:jc w:val="center"/>
            </w:pPr>
            <w:r w:rsidRPr="009941DE">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vMerge w:val="restart"/>
          </w:tcPr>
          <w:p w:rsidR="00B17B1D" w:rsidRDefault="00B17B1D" w:rsidP="009C3CF8">
            <w:pPr>
              <w:jc w:val="both"/>
            </w:pPr>
            <w:r>
              <w:t>4. Finanšu līdzekļi papildu izde</w:t>
            </w:r>
            <w:r>
              <w:softHyphen/>
              <w:t>vumu finansēšanai (kompensējošu izdevumu samazinājumu norāda ar "+" zīmi)</w:t>
            </w:r>
          </w:p>
        </w:tc>
        <w:tc>
          <w:tcPr>
            <w:tcW w:w="1260" w:type="dxa"/>
            <w:vMerge w:val="restart"/>
          </w:tcPr>
          <w:p w:rsidR="00B17B1D" w:rsidRDefault="00B17B1D" w:rsidP="009C3CF8">
            <w:pPr>
              <w:jc w:val="center"/>
            </w:pPr>
            <w:r>
              <w:t>X</w:t>
            </w:r>
          </w:p>
        </w:tc>
        <w:tc>
          <w:tcPr>
            <w:tcW w:w="1440" w:type="dxa"/>
          </w:tcPr>
          <w:p w:rsidR="00B17B1D" w:rsidRPr="009941DE" w:rsidRDefault="00B17B1D" w:rsidP="009C3CF8">
            <w:pPr>
              <w:jc w:val="center"/>
            </w:pPr>
            <w:r w:rsidRPr="009941DE">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vMerge/>
          </w:tcPr>
          <w:p w:rsidR="00B17B1D" w:rsidRDefault="00B17B1D" w:rsidP="009C3CF8">
            <w:pPr>
              <w:jc w:val="both"/>
            </w:pPr>
          </w:p>
        </w:tc>
        <w:tc>
          <w:tcPr>
            <w:tcW w:w="1260" w:type="dxa"/>
            <w:vMerge/>
          </w:tcPr>
          <w:p w:rsidR="00B17B1D" w:rsidRDefault="00B17B1D" w:rsidP="009C3CF8">
            <w:pPr>
              <w:jc w:val="both"/>
            </w:pPr>
          </w:p>
        </w:tc>
        <w:tc>
          <w:tcPr>
            <w:tcW w:w="1440" w:type="dxa"/>
          </w:tcPr>
          <w:p w:rsidR="00B17B1D" w:rsidRPr="009941DE" w:rsidRDefault="00B17B1D" w:rsidP="009C3CF8">
            <w:pPr>
              <w:jc w:val="center"/>
            </w:pPr>
            <w:r w:rsidRPr="009941DE">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vMerge/>
          </w:tcPr>
          <w:p w:rsidR="00B17B1D" w:rsidRDefault="00B17B1D" w:rsidP="009C3CF8">
            <w:pPr>
              <w:jc w:val="both"/>
            </w:pPr>
          </w:p>
        </w:tc>
        <w:tc>
          <w:tcPr>
            <w:tcW w:w="1260" w:type="dxa"/>
            <w:vMerge/>
          </w:tcPr>
          <w:p w:rsidR="00B17B1D" w:rsidRDefault="00B17B1D" w:rsidP="009C3CF8">
            <w:pPr>
              <w:jc w:val="both"/>
            </w:pPr>
          </w:p>
        </w:tc>
        <w:tc>
          <w:tcPr>
            <w:tcW w:w="1440" w:type="dxa"/>
          </w:tcPr>
          <w:p w:rsidR="00B17B1D" w:rsidRPr="009941DE" w:rsidRDefault="00B17B1D" w:rsidP="00E92C79">
            <w:pPr>
              <w:jc w:val="center"/>
            </w:pPr>
            <w:r>
              <w:t>+ 1</w:t>
            </w:r>
            <w:r w:rsidR="00E92C79">
              <w:t>20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5. Precizēta finansiālā ietekme:</w:t>
            </w:r>
          </w:p>
        </w:tc>
        <w:tc>
          <w:tcPr>
            <w:tcW w:w="1260" w:type="dxa"/>
            <w:vMerge w:val="restart"/>
          </w:tcPr>
          <w:p w:rsidR="00B17B1D" w:rsidRDefault="00B17B1D" w:rsidP="009C3CF8">
            <w:pPr>
              <w:jc w:val="center"/>
            </w:pPr>
            <w:r>
              <w:t>X</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5.1. valsts pamatbudžets</w:t>
            </w:r>
          </w:p>
        </w:tc>
        <w:tc>
          <w:tcPr>
            <w:tcW w:w="1260" w:type="dxa"/>
            <w:vMerge/>
          </w:tcPr>
          <w:p w:rsidR="00B17B1D" w:rsidRDefault="00B17B1D" w:rsidP="009C3CF8">
            <w:pPr>
              <w:jc w:val="both"/>
            </w:pP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5.2. speciālais budžets</w:t>
            </w:r>
          </w:p>
        </w:tc>
        <w:tc>
          <w:tcPr>
            <w:tcW w:w="1260" w:type="dxa"/>
            <w:vMerge/>
          </w:tcPr>
          <w:p w:rsidR="00B17B1D" w:rsidRDefault="00B17B1D" w:rsidP="009C3CF8">
            <w:pPr>
              <w:jc w:val="both"/>
            </w:pP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 5.3. pašvaldību budžets</w:t>
            </w:r>
          </w:p>
        </w:tc>
        <w:tc>
          <w:tcPr>
            <w:tcW w:w="1260" w:type="dxa"/>
            <w:vMerge/>
          </w:tcPr>
          <w:p w:rsidR="00B17B1D" w:rsidRDefault="00B17B1D" w:rsidP="009C3CF8">
            <w:pPr>
              <w:jc w:val="both"/>
            </w:pP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c>
          <w:tcPr>
            <w:tcW w:w="1440" w:type="dxa"/>
          </w:tcPr>
          <w:p w:rsidR="00B17B1D" w:rsidRDefault="00B17B1D" w:rsidP="009C3CF8">
            <w:pPr>
              <w:jc w:val="center"/>
            </w:pPr>
            <w:r>
              <w:t>0</w:t>
            </w:r>
          </w:p>
        </w:tc>
      </w:tr>
      <w:tr w:rsidR="00B17B1D" w:rsidTr="009C3CF8">
        <w:tc>
          <w:tcPr>
            <w:tcW w:w="2268" w:type="dxa"/>
          </w:tcPr>
          <w:p w:rsidR="00B17B1D" w:rsidRDefault="00B17B1D" w:rsidP="009C3CF8">
            <w:pPr>
              <w:jc w:val="both"/>
            </w:pPr>
            <w:r>
              <w:t>6. Detalizēts ieņēmumu un izdevu</w:t>
            </w:r>
            <w:r>
              <w:softHyphen/>
              <w:t>mu aprēķins (ja nepieciešams, detalizētu ieņēmumu un izdevumu aprēķinu var pievienot anotācijas pielikumā):</w:t>
            </w:r>
          </w:p>
        </w:tc>
        <w:tc>
          <w:tcPr>
            <w:tcW w:w="7020" w:type="dxa"/>
            <w:gridSpan w:val="5"/>
          </w:tcPr>
          <w:p w:rsidR="00E92C79" w:rsidRDefault="00B17B1D" w:rsidP="009C3CF8">
            <w:pPr>
              <w:jc w:val="both"/>
            </w:pPr>
            <w:r>
              <w:t>Ar rīkojuma projektu tiek paredzēta kompensācijas izmaksa dzīvnieku īpašniekam 1</w:t>
            </w:r>
            <w:r w:rsidR="00E92C79">
              <w:t>20</w:t>
            </w:r>
            <w:r w:rsidR="003A6E49">
              <w:t>,00</w:t>
            </w:r>
            <w:r>
              <w:t xml:space="preserve"> </w:t>
            </w:r>
            <w:proofErr w:type="spellStart"/>
            <w:r w:rsidRPr="002036A4">
              <w:rPr>
                <w:i/>
              </w:rPr>
              <w:t>euro</w:t>
            </w:r>
            <w:proofErr w:type="spellEnd"/>
            <w:r>
              <w:t xml:space="preserve"> apmērā. Atbilstoši Pārtikas un veterinārā dienesta (turpmāk – PVD) inspektora aktā Nr.1 norādītajai informācijai saimniecībā </w:t>
            </w:r>
            <w:r w:rsidR="00E92C79">
              <w:t>nokauta viena nobarojamā cūka</w:t>
            </w:r>
            <w:r>
              <w:t>. Tā kā akt</w:t>
            </w:r>
            <w:r w:rsidR="00E92C79">
              <w:t>ā</w:t>
            </w:r>
            <w:r>
              <w:t xml:space="preserve"> 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 PVD inspektors atzīmējis norādi par kompensācijas nesamazināšanu, dzīvnieku īpašniekam pienākas kompensācija 1</w:t>
            </w:r>
            <w:r w:rsidR="00E92C79">
              <w:t>20</w:t>
            </w:r>
            <w:r w:rsidR="0095792A">
              <w:t>,00</w:t>
            </w:r>
            <w:r>
              <w:t xml:space="preserve"> </w:t>
            </w:r>
            <w:proofErr w:type="spellStart"/>
            <w:r w:rsidRPr="00E664CD">
              <w:rPr>
                <w:i/>
              </w:rPr>
              <w:t>euro</w:t>
            </w:r>
            <w:proofErr w:type="spellEnd"/>
            <w:r>
              <w:t xml:space="preserve"> apmērā. </w:t>
            </w:r>
          </w:p>
        </w:tc>
      </w:tr>
      <w:tr w:rsidR="00B17B1D" w:rsidTr="009C3CF8">
        <w:tc>
          <w:tcPr>
            <w:tcW w:w="2268" w:type="dxa"/>
          </w:tcPr>
          <w:p w:rsidR="00B17B1D" w:rsidRDefault="00B17B1D" w:rsidP="009C3CF8">
            <w:pPr>
              <w:jc w:val="both"/>
            </w:pPr>
            <w:r>
              <w:t>6.1. detalizēts ieņēmumu aprēķins</w:t>
            </w:r>
          </w:p>
        </w:tc>
        <w:tc>
          <w:tcPr>
            <w:tcW w:w="7020" w:type="dxa"/>
            <w:gridSpan w:val="5"/>
          </w:tcPr>
          <w:p w:rsidR="00B17B1D" w:rsidRDefault="00B17B1D" w:rsidP="009C3CF8">
            <w:pPr>
              <w:jc w:val="both"/>
            </w:pPr>
          </w:p>
        </w:tc>
      </w:tr>
      <w:tr w:rsidR="00B17B1D" w:rsidTr="009C3CF8">
        <w:tc>
          <w:tcPr>
            <w:tcW w:w="2268" w:type="dxa"/>
          </w:tcPr>
          <w:p w:rsidR="00B17B1D" w:rsidRDefault="00B17B1D" w:rsidP="009C3CF8">
            <w:pPr>
              <w:jc w:val="both"/>
            </w:pPr>
            <w:r>
              <w:t>6.2. detalizēts izdevumu aprēķins</w:t>
            </w:r>
          </w:p>
        </w:tc>
        <w:tc>
          <w:tcPr>
            <w:tcW w:w="7020" w:type="dxa"/>
            <w:gridSpan w:val="5"/>
          </w:tcPr>
          <w:p w:rsidR="00B17B1D" w:rsidRDefault="00B17B1D" w:rsidP="009C3CF8">
            <w:pPr>
              <w:jc w:val="both"/>
            </w:pPr>
          </w:p>
        </w:tc>
      </w:tr>
      <w:tr w:rsidR="00B17B1D" w:rsidTr="009C3CF8">
        <w:tc>
          <w:tcPr>
            <w:tcW w:w="2268" w:type="dxa"/>
          </w:tcPr>
          <w:p w:rsidR="00B17B1D" w:rsidRDefault="00B17B1D" w:rsidP="009C3CF8">
            <w:pPr>
              <w:jc w:val="both"/>
            </w:pPr>
            <w:r>
              <w:t>7. Cita informācija</w:t>
            </w:r>
          </w:p>
        </w:tc>
        <w:tc>
          <w:tcPr>
            <w:tcW w:w="7020" w:type="dxa"/>
            <w:gridSpan w:val="5"/>
          </w:tcPr>
          <w:p w:rsidR="00B17B1D" w:rsidRDefault="00B17B1D" w:rsidP="009C3CF8">
            <w:pPr>
              <w:jc w:val="both"/>
            </w:pPr>
            <w:r>
              <w:t>Lēmums par kompensācijas apmēru pieņemts individuāli. Noteikumu Nr.177 6.punktā noteikti kritēriji, pēc kuriem var samazināt i</w:t>
            </w:r>
            <w:smartTag w:uri="urn:schemas-microsoft-com:office:smarttags" w:element="PersonName">
              <w:r>
                <w:t>zm</w:t>
              </w:r>
            </w:smartTag>
            <w:r>
              <w:t>aksājamo kompensāciju. Turklāt PVD inspektors vērtē to, kā dzīvnieku īpašnieks ir pildījis normatīvajos aktos noteiktās prasības, vai laikus ir ziņots par dzīvnieku saslimšanu un vai laikus veikti pasākumi slimības ierobežošanai. Tā kā iepriekšminētajam dzīvnieku īpašniekam nav konstatēti normatīvo aktu pārkāpumi, turklāt kaušanas brīdī dzīvniek</w:t>
            </w:r>
            <w:r w:rsidR="009844FF">
              <w:t>s</w:t>
            </w:r>
            <w:r>
              <w:t xml:space="preserve"> bija ar pietiekamu dzīvsvaru un t</w:t>
            </w:r>
            <w:r w:rsidR="009844FF">
              <w:t>a</w:t>
            </w:r>
            <w:r>
              <w:t>m nebija konstatētas slimību izraisītas pārmaiņas, tika pieņemts lēmums par kompensācij</w:t>
            </w:r>
            <w:r w:rsidR="009844FF">
              <w:t>as</w:t>
            </w:r>
            <w:r>
              <w:t xml:space="preserve"> nesamazināšanu.</w:t>
            </w:r>
          </w:p>
          <w:p w:rsidR="00B17B1D" w:rsidRDefault="00B17B1D" w:rsidP="009C3CF8">
            <w:pPr>
              <w:jc w:val="both"/>
            </w:pPr>
            <w:r>
              <w:t xml:space="preserve">Katru gadu no Eiropas Savienības budžeta līdzekļiem valstij tiek pārskaitīti līdz 50 % no iztērētajiem līdzekļiem kompensāciju izmaksai dzīvnieku īpašniekiem. </w:t>
            </w:r>
          </w:p>
          <w:p w:rsidR="00B17B1D" w:rsidRPr="00204ABF" w:rsidRDefault="00B17B1D" w:rsidP="009C3CF8">
            <w:pPr>
              <w:jc w:val="both"/>
            </w:pPr>
            <w:r w:rsidRPr="00802643">
              <w:rPr>
                <w:bCs/>
                <w:color w:val="000000"/>
              </w:rPr>
              <w:t>Izdevum</w:t>
            </w:r>
            <w:r w:rsidR="009844FF">
              <w:rPr>
                <w:bCs/>
                <w:color w:val="000000"/>
              </w:rPr>
              <w:t>i tiek</w:t>
            </w:r>
            <w:r w:rsidRPr="00802643">
              <w:rPr>
                <w:bCs/>
                <w:color w:val="000000"/>
              </w:rPr>
              <w:t xml:space="preserve"> se</w:t>
            </w:r>
            <w:r w:rsidR="009844FF">
              <w:rPr>
                <w:bCs/>
                <w:color w:val="000000"/>
              </w:rPr>
              <w:t>gti</w:t>
            </w:r>
            <w:r w:rsidRPr="00802643">
              <w:rPr>
                <w:bCs/>
                <w:color w:val="000000"/>
              </w:rPr>
              <w:t xml:space="preserve"> no valsts budžeta programmas 02.00.00 “Līdzekļi neparedzētiem gadījumiem</w:t>
            </w:r>
            <w:r>
              <w:rPr>
                <w:bCs/>
                <w:color w:val="000000"/>
              </w:rPr>
              <w:t>”</w:t>
            </w:r>
            <w:r w:rsidRPr="00802643">
              <w:rPr>
                <w:bCs/>
                <w:color w:val="000000"/>
              </w:rPr>
              <w:t>.</w:t>
            </w:r>
          </w:p>
        </w:tc>
      </w:tr>
    </w:tbl>
    <w:p w:rsidR="00B17B1D" w:rsidRDefault="00B17B1D" w:rsidP="00B17B1D">
      <w:pPr>
        <w:jc w:val="both"/>
      </w:pPr>
    </w:p>
    <w:p w:rsidR="00B17B1D" w:rsidRPr="00366CE3" w:rsidRDefault="00B17B1D" w:rsidP="00B17B1D">
      <w:pPr>
        <w:jc w:val="both"/>
        <w:rPr>
          <w:i/>
        </w:rPr>
      </w:pPr>
      <w:r w:rsidRPr="00366CE3">
        <w:rPr>
          <w:i/>
        </w:rPr>
        <w:t>Anotācijas IV, V, VI un VII sadaļa – projekts šo jomu neskar.</w:t>
      </w:r>
    </w:p>
    <w:p w:rsidR="00B17B1D" w:rsidRDefault="00B17B1D" w:rsidP="00B17B1D">
      <w:pPr>
        <w:jc w:val="both"/>
      </w:pPr>
    </w:p>
    <w:p w:rsidR="00B17B1D" w:rsidRPr="001F4884" w:rsidRDefault="00B17B1D" w:rsidP="00B17B1D">
      <w:pPr>
        <w:jc w:val="both"/>
        <w:rPr>
          <w:sz w:val="28"/>
          <w:szCs w:val="28"/>
        </w:rPr>
      </w:pPr>
    </w:p>
    <w:p w:rsidR="00B17B1D" w:rsidRPr="00665484" w:rsidRDefault="00B17B1D" w:rsidP="00B17B1D">
      <w:pPr>
        <w:jc w:val="both"/>
        <w:rPr>
          <w:color w:val="000000"/>
        </w:rPr>
      </w:pPr>
      <w:r w:rsidRPr="00665484">
        <w:rPr>
          <w:color w:val="000000"/>
        </w:rPr>
        <w:t xml:space="preserve">Zemkopības ministrs </w:t>
      </w:r>
      <w:r w:rsidRPr="00665484">
        <w:rPr>
          <w:color w:val="000000"/>
        </w:rPr>
        <w:tab/>
      </w:r>
      <w:r w:rsidRPr="00665484">
        <w:rPr>
          <w:color w:val="000000"/>
        </w:rPr>
        <w:tab/>
      </w:r>
      <w:r w:rsidRPr="00665484">
        <w:rPr>
          <w:color w:val="000000"/>
        </w:rPr>
        <w:tab/>
      </w:r>
      <w:r w:rsidRPr="00665484">
        <w:rPr>
          <w:color w:val="000000"/>
        </w:rPr>
        <w:tab/>
      </w:r>
      <w:r w:rsidRPr="00665484">
        <w:rPr>
          <w:color w:val="000000"/>
        </w:rPr>
        <w:tab/>
      </w:r>
      <w:r w:rsidRPr="00665484">
        <w:rPr>
          <w:color w:val="000000"/>
        </w:rPr>
        <w:tab/>
      </w:r>
      <w:r w:rsidRPr="00665484">
        <w:rPr>
          <w:color w:val="000000"/>
        </w:rPr>
        <w:tab/>
      </w:r>
      <w:r w:rsidRPr="00665484">
        <w:rPr>
          <w:color w:val="000000"/>
        </w:rPr>
        <w:tab/>
      </w:r>
      <w:proofErr w:type="spellStart"/>
      <w:r w:rsidRPr="00665484">
        <w:rPr>
          <w:color w:val="000000"/>
        </w:rPr>
        <w:t>J.Dūklavs</w:t>
      </w:r>
      <w:proofErr w:type="spellEnd"/>
    </w:p>
    <w:p w:rsidR="00B17B1D" w:rsidRPr="00665484" w:rsidRDefault="00B17B1D" w:rsidP="00B17B1D"/>
    <w:p w:rsidR="00B17B1D" w:rsidRPr="00665484" w:rsidRDefault="00B17B1D" w:rsidP="00B17B1D"/>
    <w:p w:rsidR="00B17B1D" w:rsidRDefault="00B17B1D" w:rsidP="00B17B1D"/>
    <w:p w:rsidR="00B17B1D" w:rsidRDefault="00B17B1D" w:rsidP="00B17B1D"/>
    <w:p w:rsidR="00B17B1D" w:rsidRDefault="00B17B1D" w:rsidP="00B17B1D"/>
    <w:p w:rsidR="00B17B1D" w:rsidRDefault="00B17B1D" w:rsidP="00B17B1D"/>
    <w:p w:rsidR="00B17B1D" w:rsidRDefault="00B17B1D" w:rsidP="00B17B1D"/>
    <w:p w:rsidR="00B17B1D" w:rsidRDefault="00B17B1D" w:rsidP="00B17B1D"/>
    <w:p w:rsidR="00B17B1D" w:rsidRDefault="00B17B1D" w:rsidP="00B17B1D"/>
    <w:p w:rsidR="00B17B1D" w:rsidRDefault="00B17B1D" w:rsidP="00B17B1D"/>
    <w:p w:rsidR="00B17B1D" w:rsidRDefault="00B17B1D" w:rsidP="00B17B1D"/>
    <w:p w:rsidR="00B17B1D" w:rsidRDefault="00B17B1D" w:rsidP="00B17B1D"/>
    <w:p w:rsidR="00B17B1D" w:rsidRDefault="00B17B1D" w:rsidP="00B17B1D"/>
    <w:p w:rsidR="00B17B1D" w:rsidRDefault="00B17B1D" w:rsidP="00B17B1D"/>
    <w:p w:rsidR="00B17B1D" w:rsidRDefault="00B17B1D"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E92C79" w:rsidRDefault="00E92C79" w:rsidP="00B17B1D"/>
    <w:p w:rsidR="00B17B1D" w:rsidRDefault="00B17B1D" w:rsidP="00B17B1D"/>
    <w:p w:rsidR="00B17B1D" w:rsidRDefault="00B17B1D" w:rsidP="00B17B1D"/>
    <w:p w:rsidR="00665484" w:rsidRDefault="00665484" w:rsidP="00B17B1D"/>
    <w:p w:rsidR="00665484" w:rsidRDefault="00665484" w:rsidP="00B17B1D"/>
    <w:p w:rsidR="00665484" w:rsidRDefault="00665484" w:rsidP="00B17B1D"/>
    <w:p w:rsidR="00B17B1D" w:rsidRDefault="00B17B1D" w:rsidP="00B17B1D"/>
    <w:p w:rsidR="00665484" w:rsidRDefault="00665484" w:rsidP="00B17B1D">
      <w:pPr>
        <w:jc w:val="both"/>
        <w:rPr>
          <w:sz w:val="20"/>
          <w:szCs w:val="20"/>
        </w:rPr>
      </w:pPr>
      <w:r>
        <w:rPr>
          <w:sz w:val="20"/>
          <w:szCs w:val="20"/>
        </w:rPr>
        <w:t>15.04.2015. 16:25</w:t>
      </w:r>
    </w:p>
    <w:p w:rsidR="00665484" w:rsidRDefault="00665484" w:rsidP="00B17B1D">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862</w:t>
      </w:r>
      <w:r>
        <w:rPr>
          <w:sz w:val="20"/>
          <w:szCs w:val="20"/>
        </w:rPr>
        <w:fldChar w:fldCharType="end"/>
      </w:r>
    </w:p>
    <w:p w:rsidR="00B17B1D" w:rsidRPr="003F2C13" w:rsidRDefault="00B17B1D" w:rsidP="00B17B1D">
      <w:pPr>
        <w:jc w:val="both"/>
        <w:rPr>
          <w:sz w:val="20"/>
          <w:szCs w:val="20"/>
        </w:rPr>
      </w:pPr>
      <w:bookmarkStart w:id="0" w:name="_GoBack"/>
      <w:bookmarkEnd w:id="0"/>
      <w:r>
        <w:rPr>
          <w:sz w:val="20"/>
          <w:szCs w:val="20"/>
        </w:rPr>
        <w:t>S.Vanaga</w:t>
      </w:r>
    </w:p>
    <w:p w:rsidR="00B17B1D" w:rsidRPr="007175CA" w:rsidRDefault="00B17B1D" w:rsidP="00B17B1D">
      <w:pPr>
        <w:jc w:val="both"/>
      </w:pPr>
      <w:r w:rsidRPr="003F2C13">
        <w:rPr>
          <w:sz w:val="20"/>
          <w:szCs w:val="20"/>
        </w:rPr>
        <w:t>67027</w:t>
      </w:r>
      <w:r>
        <w:rPr>
          <w:sz w:val="20"/>
          <w:szCs w:val="20"/>
        </w:rPr>
        <w:t>363</w:t>
      </w:r>
      <w:r w:rsidRPr="003F2C13">
        <w:rPr>
          <w:sz w:val="20"/>
          <w:szCs w:val="20"/>
        </w:rPr>
        <w:t xml:space="preserve">, </w:t>
      </w:r>
      <w:r>
        <w:rPr>
          <w:sz w:val="20"/>
          <w:szCs w:val="20"/>
        </w:rPr>
        <w:t>Sanita.Vanaga</w:t>
      </w:r>
      <w:r w:rsidRPr="003F2C13">
        <w:rPr>
          <w:sz w:val="20"/>
          <w:szCs w:val="20"/>
        </w:rPr>
        <w:t>@</w:t>
      </w:r>
      <w:smartTag w:uri="urn:schemas-microsoft-com:office:smarttags" w:element="PersonName">
        <w:smartTag w:uri="urn:schemas-microsoft-com:office:smarttags" w:element="place">
          <w:r w:rsidRPr="003F2C13">
            <w:rPr>
              <w:sz w:val="20"/>
              <w:szCs w:val="20"/>
            </w:rPr>
            <w:t>zm</w:t>
          </w:r>
        </w:smartTag>
      </w:smartTag>
      <w:r w:rsidRPr="003F2C13">
        <w:rPr>
          <w:sz w:val="20"/>
          <w:szCs w:val="20"/>
        </w:rPr>
        <w:t>.gov.lv</w:t>
      </w:r>
    </w:p>
    <w:p w:rsidR="00B17B1D" w:rsidRDefault="00B17B1D" w:rsidP="00B17B1D"/>
    <w:p w:rsidR="00B17B1D" w:rsidRDefault="00B17B1D" w:rsidP="00B17B1D"/>
    <w:p w:rsidR="00CF04E1" w:rsidRDefault="00CF04E1"/>
    <w:sectPr w:rsidR="00CF04E1" w:rsidSect="0099082C">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32" w:rsidRDefault="00397632" w:rsidP="009D33E6">
      <w:r>
        <w:separator/>
      </w:r>
    </w:p>
  </w:endnote>
  <w:endnote w:type="continuationSeparator" w:id="0">
    <w:p w:rsidR="00397632" w:rsidRDefault="00397632" w:rsidP="009D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9D33E6" w:rsidRDefault="009D33E6" w:rsidP="0099082C">
    <w:pPr>
      <w:pStyle w:val="Kjene"/>
      <w:jc w:val="both"/>
      <w:rPr>
        <w:sz w:val="20"/>
        <w:szCs w:val="20"/>
        <w:lang w:val="lv-LV"/>
      </w:rPr>
    </w:pPr>
    <w:r>
      <w:rPr>
        <w:sz w:val="20"/>
        <w:szCs w:val="20"/>
      </w:rPr>
      <w:t>ZMAnot_</w:t>
    </w:r>
    <w:r w:rsidR="005349F8">
      <w:rPr>
        <w:sz w:val="20"/>
        <w:szCs w:val="20"/>
        <w:lang w:val="lv-LV"/>
      </w:rPr>
      <w:t>1404</w:t>
    </w:r>
    <w:r>
      <w:rPr>
        <w:sz w:val="20"/>
        <w:szCs w:val="20"/>
        <w:lang w:val="lv-LV"/>
      </w:rPr>
      <w:t>15</w:t>
    </w:r>
    <w:r w:rsidRPr="006A7080">
      <w:rPr>
        <w:sz w:val="20"/>
        <w:szCs w:val="20"/>
      </w:rPr>
      <w:t>_</w:t>
    </w:r>
    <w:r>
      <w:rPr>
        <w:sz w:val="20"/>
        <w:szCs w:val="20"/>
        <w:lang w:val="lv-LV"/>
      </w:rPr>
      <w:t xml:space="preserve">ĀCM </w:t>
    </w:r>
    <w:proofErr w:type="spellStart"/>
    <w:r>
      <w:rPr>
        <w:sz w:val="20"/>
        <w:szCs w:val="20"/>
        <w:lang w:val="lv-LV"/>
      </w:rPr>
      <w:t>kompensāc</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Pr="009D33E6" w:rsidRDefault="009D33E6" w:rsidP="009D33E6">
    <w:pPr>
      <w:pStyle w:val="Kjene"/>
      <w:jc w:val="both"/>
      <w:rPr>
        <w:sz w:val="20"/>
        <w:szCs w:val="20"/>
        <w:lang w:val="lv-LV"/>
      </w:rPr>
    </w:pPr>
    <w:r>
      <w:rPr>
        <w:sz w:val="20"/>
        <w:szCs w:val="20"/>
      </w:rPr>
      <w:t>ZMAnot_</w:t>
    </w:r>
    <w:r w:rsidR="005349F8">
      <w:rPr>
        <w:sz w:val="20"/>
        <w:szCs w:val="20"/>
        <w:lang w:val="lv-LV"/>
      </w:rPr>
      <w:t>1404</w:t>
    </w:r>
    <w:r>
      <w:rPr>
        <w:sz w:val="20"/>
        <w:szCs w:val="20"/>
        <w:lang w:val="lv-LV"/>
      </w:rPr>
      <w:t>15</w:t>
    </w:r>
    <w:r w:rsidRPr="006A7080">
      <w:rPr>
        <w:sz w:val="20"/>
        <w:szCs w:val="20"/>
      </w:rPr>
      <w:t>_</w:t>
    </w:r>
    <w:r>
      <w:rPr>
        <w:sz w:val="20"/>
        <w:szCs w:val="20"/>
        <w:lang w:val="lv-LV"/>
      </w:rPr>
      <w:t xml:space="preserve">ĀCM </w:t>
    </w:r>
    <w:proofErr w:type="spellStart"/>
    <w:r>
      <w:rPr>
        <w:sz w:val="20"/>
        <w:szCs w:val="20"/>
        <w:lang w:val="lv-LV"/>
      </w:rPr>
      <w:t>kompensāc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32" w:rsidRDefault="00397632" w:rsidP="009D33E6">
      <w:r>
        <w:separator/>
      </w:r>
    </w:p>
  </w:footnote>
  <w:footnote w:type="continuationSeparator" w:id="0">
    <w:p w:rsidR="00397632" w:rsidRDefault="00397632" w:rsidP="009D3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2C" w:rsidRDefault="009D33E6" w:rsidP="0099082C">
    <w:pPr>
      <w:pStyle w:val="Galvene"/>
      <w:jc w:val="center"/>
    </w:pPr>
    <w:r>
      <w:rPr>
        <w:rStyle w:val="Lappusesnumurs"/>
      </w:rPr>
      <w:fldChar w:fldCharType="begin"/>
    </w:r>
    <w:r>
      <w:rPr>
        <w:rStyle w:val="Lappusesnumurs"/>
      </w:rPr>
      <w:instrText xml:space="preserve"> PAGE </w:instrText>
    </w:r>
    <w:r>
      <w:rPr>
        <w:rStyle w:val="Lappusesnumurs"/>
      </w:rPr>
      <w:fldChar w:fldCharType="separate"/>
    </w:r>
    <w:r w:rsidR="00665484">
      <w:rPr>
        <w:rStyle w:val="Lappusesnumurs"/>
        <w:noProof/>
      </w:rPr>
      <w:t>3</w:t>
    </w:r>
    <w:r>
      <w:rPr>
        <w:rStyle w:val="Lappusesnumur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B1D"/>
    <w:rsid w:val="00003471"/>
    <w:rsid w:val="00005DC7"/>
    <w:rsid w:val="00062849"/>
    <w:rsid w:val="00067A3E"/>
    <w:rsid w:val="000E5FC0"/>
    <w:rsid w:val="00156A22"/>
    <w:rsid w:val="0018140D"/>
    <w:rsid w:val="001822AD"/>
    <w:rsid w:val="001C7399"/>
    <w:rsid w:val="001E3427"/>
    <w:rsid w:val="00212E51"/>
    <w:rsid w:val="00224A1C"/>
    <w:rsid w:val="00230584"/>
    <w:rsid w:val="002903D4"/>
    <w:rsid w:val="002A70EE"/>
    <w:rsid w:val="00351252"/>
    <w:rsid w:val="00366CE3"/>
    <w:rsid w:val="00384C7B"/>
    <w:rsid w:val="00397632"/>
    <w:rsid w:val="003A6E49"/>
    <w:rsid w:val="003D4D41"/>
    <w:rsid w:val="003F7958"/>
    <w:rsid w:val="00405C7A"/>
    <w:rsid w:val="0048214F"/>
    <w:rsid w:val="004C53F1"/>
    <w:rsid w:val="005047FE"/>
    <w:rsid w:val="005349F8"/>
    <w:rsid w:val="0055587C"/>
    <w:rsid w:val="005C0829"/>
    <w:rsid w:val="005C31E6"/>
    <w:rsid w:val="00665484"/>
    <w:rsid w:val="0069165E"/>
    <w:rsid w:val="006B2E56"/>
    <w:rsid w:val="00777358"/>
    <w:rsid w:val="00790470"/>
    <w:rsid w:val="007A1ED8"/>
    <w:rsid w:val="007D2889"/>
    <w:rsid w:val="007F1DF0"/>
    <w:rsid w:val="00823A75"/>
    <w:rsid w:val="00846B34"/>
    <w:rsid w:val="008A0AA1"/>
    <w:rsid w:val="008C779F"/>
    <w:rsid w:val="008D2A81"/>
    <w:rsid w:val="008F1B1C"/>
    <w:rsid w:val="008F6771"/>
    <w:rsid w:val="0095792A"/>
    <w:rsid w:val="009663ED"/>
    <w:rsid w:val="009844FF"/>
    <w:rsid w:val="009D33E6"/>
    <w:rsid w:val="00A83A28"/>
    <w:rsid w:val="00AA5522"/>
    <w:rsid w:val="00B17B1D"/>
    <w:rsid w:val="00B33FC0"/>
    <w:rsid w:val="00B4053B"/>
    <w:rsid w:val="00B50A68"/>
    <w:rsid w:val="00B6397C"/>
    <w:rsid w:val="00B67459"/>
    <w:rsid w:val="00B83175"/>
    <w:rsid w:val="00B9584E"/>
    <w:rsid w:val="00BD0A8E"/>
    <w:rsid w:val="00BF1351"/>
    <w:rsid w:val="00CE6D0A"/>
    <w:rsid w:val="00CF04E1"/>
    <w:rsid w:val="00CF4FFA"/>
    <w:rsid w:val="00D12439"/>
    <w:rsid w:val="00D3669F"/>
    <w:rsid w:val="00D4331D"/>
    <w:rsid w:val="00E10DA7"/>
    <w:rsid w:val="00E433BF"/>
    <w:rsid w:val="00E56193"/>
    <w:rsid w:val="00E92C79"/>
    <w:rsid w:val="00EF5CBA"/>
    <w:rsid w:val="00F90CB0"/>
    <w:rsid w:val="00FA788C"/>
    <w:rsid w:val="00FB1FE9"/>
    <w:rsid w:val="00FB3111"/>
    <w:rsid w:val="00FE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A3BC59E6-A963-4D1D-AD73-7754B0F3E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7B1D"/>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B17B1D"/>
    <w:pPr>
      <w:tabs>
        <w:tab w:val="center" w:pos="4153"/>
        <w:tab w:val="right" w:pos="8306"/>
      </w:tabs>
    </w:pPr>
    <w:rPr>
      <w:lang w:val="x-none"/>
    </w:rPr>
  </w:style>
  <w:style w:type="character" w:customStyle="1" w:styleId="GalveneRakstz">
    <w:name w:val="Galvene Rakstz."/>
    <w:basedOn w:val="Noklusjumarindkopasfonts"/>
    <w:link w:val="Galvene"/>
    <w:rsid w:val="00B17B1D"/>
    <w:rPr>
      <w:rFonts w:ascii="Times New Roman" w:eastAsia="Times New Roman" w:hAnsi="Times New Roman" w:cs="Times New Roman"/>
      <w:sz w:val="24"/>
      <w:szCs w:val="24"/>
      <w:lang w:val="x-none" w:eastAsia="lv-LV"/>
    </w:rPr>
  </w:style>
  <w:style w:type="paragraph" w:styleId="Kjene">
    <w:name w:val="footer"/>
    <w:basedOn w:val="Parasts"/>
    <w:link w:val="KjeneRakstz"/>
    <w:rsid w:val="00B17B1D"/>
    <w:pPr>
      <w:tabs>
        <w:tab w:val="center" w:pos="4153"/>
        <w:tab w:val="right" w:pos="8306"/>
      </w:tabs>
    </w:pPr>
    <w:rPr>
      <w:lang w:val="x-none"/>
    </w:rPr>
  </w:style>
  <w:style w:type="character" w:customStyle="1" w:styleId="KjeneRakstz">
    <w:name w:val="Kājene Rakstz."/>
    <w:basedOn w:val="Noklusjumarindkopasfonts"/>
    <w:link w:val="Kjene"/>
    <w:rsid w:val="00B17B1D"/>
    <w:rPr>
      <w:rFonts w:ascii="Times New Roman" w:eastAsia="Times New Roman" w:hAnsi="Times New Roman" w:cs="Times New Roman"/>
      <w:sz w:val="24"/>
      <w:szCs w:val="24"/>
      <w:lang w:val="x-none" w:eastAsia="lv-LV"/>
    </w:rPr>
  </w:style>
  <w:style w:type="character" w:styleId="Lappusesnumurs">
    <w:name w:val="page number"/>
    <w:basedOn w:val="Noklusjumarindkopasfonts"/>
    <w:rsid w:val="00B17B1D"/>
  </w:style>
  <w:style w:type="paragraph" w:styleId="Bezatstarpm">
    <w:name w:val="No Spacing"/>
    <w:uiPriority w:val="1"/>
    <w:qFormat/>
    <w:rsid w:val="00B17B1D"/>
    <w:pPr>
      <w:spacing w:after="0"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B17B1D"/>
    <w:rPr>
      <w:b/>
      <w:bCs/>
    </w:rPr>
  </w:style>
  <w:style w:type="paragraph" w:styleId="Balonteksts">
    <w:name w:val="Balloon Text"/>
    <w:basedOn w:val="Parasts"/>
    <w:link w:val="BalontekstsRakstz"/>
    <w:uiPriority w:val="99"/>
    <w:semiHidden/>
    <w:unhideWhenUsed/>
    <w:rsid w:val="00B9584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84E"/>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884</Words>
  <Characters>5691</Characters>
  <Application>Microsoft Office Word</Application>
  <DocSecurity>0</DocSecurity>
  <Lines>379</Lines>
  <Paragraphs>193</Paragraphs>
  <ScaleCrop>false</ScaleCrop>
  <HeadingPairs>
    <vt:vector size="2" baseType="variant">
      <vt:variant>
        <vt:lpstr>Nosaukums</vt:lpstr>
      </vt:variant>
      <vt:variant>
        <vt:i4>1</vt:i4>
      </vt:variant>
    </vt:vector>
  </HeadingPairs>
  <TitlesOfParts>
    <vt:vector size="1" baseType="lpstr">
      <vt:lpstr/>
    </vt:vector>
  </TitlesOfParts>
  <Company>Zemkopibas Ministrija</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Vanaga</dc:creator>
  <cp:lastModifiedBy>Renārs Žagars</cp:lastModifiedBy>
  <cp:revision>5</cp:revision>
  <dcterms:created xsi:type="dcterms:W3CDTF">2015-04-14T08:21:00Z</dcterms:created>
  <dcterms:modified xsi:type="dcterms:W3CDTF">2015-04-15T13:25:00Z</dcterms:modified>
</cp:coreProperties>
</file>