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AF57" w14:textId="77777777" w:rsidR="001900E7" w:rsidRPr="00F5458C" w:rsidRDefault="001900E7" w:rsidP="001900E7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76B9540D" w14:textId="77777777" w:rsidR="001900E7" w:rsidRPr="00F5458C" w:rsidRDefault="001900E7" w:rsidP="001900E7">
      <w:pPr>
        <w:tabs>
          <w:tab w:val="left" w:pos="6663"/>
        </w:tabs>
        <w:rPr>
          <w:sz w:val="28"/>
          <w:szCs w:val="28"/>
        </w:rPr>
      </w:pPr>
    </w:p>
    <w:p w14:paraId="3EDA6072" w14:textId="77777777" w:rsidR="001900E7" w:rsidRPr="00F5458C" w:rsidRDefault="001900E7" w:rsidP="001900E7">
      <w:pPr>
        <w:tabs>
          <w:tab w:val="left" w:pos="6663"/>
        </w:tabs>
        <w:rPr>
          <w:sz w:val="28"/>
          <w:szCs w:val="28"/>
        </w:rPr>
      </w:pPr>
    </w:p>
    <w:p w14:paraId="5AB2DAA4" w14:textId="3B3DF019" w:rsidR="001900E7" w:rsidRPr="008C4EDF" w:rsidRDefault="001900E7" w:rsidP="001900E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126CD">
        <w:rPr>
          <w:sz w:val="28"/>
          <w:szCs w:val="28"/>
        </w:rPr>
        <w:t>2. jūnijā</w:t>
      </w:r>
      <w:r w:rsidRPr="008C4EDF">
        <w:rPr>
          <w:sz w:val="28"/>
          <w:szCs w:val="28"/>
        </w:rPr>
        <w:tab/>
        <w:t>Noteikumi Nr.</w:t>
      </w:r>
      <w:r w:rsidR="00A126CD">
        <w:rPr>
          <w:sz w:val="28"/>
          <w:szCs w:val="28"/>
        </w:rPr>
        <w:t> 268</w:t>
      </w:r>
    </w:p>
    <w:p w14:paraId="1A7AAEA1" w14:textId="04BC2441" w:rsidR="001900E7" w:rsidRPr="00E9501F" w:rsidRDefault="001900E7" w:rsidP="001900E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126CD">
        <w:rPr>
          <w:sz w:val="28"/>
          <w:szCs w:val="28"/>
        </w:rPr>
        <w:t>27</w:t>
      </w:r>
      <w:r>
        <w:rPr>
          <w:sz w:val="28"/>
          <w:szCs w:val="28"/>
        </w:rPr>
        <w:t>  </w:t>
      </w:r>
      <w:r w:rsidR="00A126CD">
        <w:rPr>
          <w:sz w:val="28"/>
          <w:szCs w:val="28"/>
        </w:rPr>
        <w:t>2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2547D0C" w14:textId="77777777" w:rsidR="00EB7D95" w:rsidRDefault="00EB7D95" w:rsidP="00EB7D95">
      <w:pPr>
        <w:ind w:firstLine="709"/>
        <w:jc w:val="both"/>
        <w:rPr>
          <w:bCs/>
          <w:sz w:val="28"/>
          <w:szCs w:val="28"/>
        </w:rPr>
      </w:pPr>
    </w:p>
    <w:p w14:paraId="636B8764" w14:textId="4E31E9C2" w:rsidR="00E33588" w:rsidRPr="007D6091" w:rsidRDefault="00EE7A19" w:rsidP="001900E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AF5FE7">
        <w:rPr>
          <w:b/>
          <w:bCs/>
          <w:sz w:val="28"/>
          <w:szCs w:val="28"/>
        </w:rPr>
        <w:t xml:space="preserve"> Ministru kabineta 2014</w:t>
      </w:r>
      <w:r w:rsidR="001900E7">
        <w:rPr>
          <w:b/>
          <w:bCs/>
          <w:sz w:val="28"/>
          <w:szCs w:val="28"/>
        </w:rPr>
        <w:t>. g</w:t>
      </w:r>
      <w:r w:rsidR="00AF5FE7">
        <w:rPr>
          <w:b/>
          <w:bCs/>
          <w:sz w:val="28"/>
          <w:szCs w:val="28"/>
        </w:rPr>
        <w:t>ada 26</w:t>
      </w:r>
      <w:r w:rsidR="001900E7">
        <w:rPr>
          <w:b/>
          <w:bCs/>
          <w:sz w:val="28"/>
          <w:szCs w:val="28"/>
        </w:rPr>
        <w:t>. a</w:t>
      </w:r>
      <w:r w:rsidR="00AF5FE7">
        <w:rPr>
          <w:b/>
          <w:bCs/>
          <w:sz w:val="28"/>
          <w:szCs w:val="28"/>
        </w:rPr>
        <w:t>ugusta noteikumos Nr.</w:t>
      </w:r>
      <w:r w:rsidR="001900E7">
        <w:rPr>
          <w:b/>
          <w:bCs/>
          <w:sz w:val="28"/>
          <w:szCs w:val="28"/>
        </w:rPr>
        <w:t> </w:t>
      </w:r>
      <w:r w:rsidR="00AF5FE7">
        <w:rPr>
          <w:b/>
          <w:bCs/>
          <w:sz w:val="28"/>
          <w:szCs w:val="28"/>
        </w:rPr>
        <w:t xml:space="preserve">509 </w:t>
      </w:r>
      <w:r w:rsidR="001900E7">
        <w:rPr>
          <w:b/>
          <w:bCs/>
          <w:sz w:val="28"/>
          <w:szCs w:val="28"/>
        </w:rPr>
        <w:t>"</w:t>
      </w:r>
      <w:r w:rsidR="00AF5FE7">
        <w:rPr>
          <w:b/>
          <w:bCs/>
          <w:sz w:val="28"/>
          <w:szCs w:val="28"/>
        </w:rPr>
        <w:t>Noteikumi par karavīra mēnešalgas un speciālo piemaksu noteikšanas kārtību un to apmēru</w:t>
      </w:r>
      <w:r w:rsidR="001900E7">
        <w:rPr>
          <w:b/>
          <w:bCs/>
          <w:sz w:val="28"/>
          <w:szCs w:val="28"/>
        </w:rPr>
        <w:t>"</w:t>
      </w:r>
    </w:p>
    <w:p w14:paraId="77CEC47A" w14:textId="77777777" w:rsidR="00EB7D95" w:rsidRDefault="00EB7D95" w:rsidP="00EB7D95">
      <w:pPr>
        <w:ind w:firstLine="709"/>
        <w:jc w:val="both"/>
        <w:rPr>
          <w:bCs/>
          <w:sz w:val="28"/>
          <w:szCs w:val="28"/>
        </w:rPr>
      </w:pPr>
    </w:p>
    <w:p w14:paraId="7F862202" w14:textId="77777777" w:rsidR="00EB7D95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 xml:space="preserve">Izdoti saskaņā ar </w:t>
      </w:r>
    </w:p>
    <w:p w14:paraId="316CC78F" w14:textId="57D39039" w:rsidR="00871259" w:rsidRPr="00871259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 xml:space="preserve">Valsts un pašvaldību institūciju </w:t>
      </w:r>
    </w:p>
    <w:p w14:paraId="35308A79" w14:textId="77777777" w:rsidR="00871259" w:rsidRPr="00871259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 xml:space="preserve">amatpersonu un darbinieku atlīdzības likuma </w:t>
      </w:r>
    </w:p>
    <w:p w14:paraId="223D0F69" w14:textId="02AE2281" w:rsidR="00871259" w:rsidRPr="00871259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>9</w:t>
      </w:r>
      <w:r w:rsidR="001900E7">
        <w:rPr>
          <w:sz w:val="28"/>
          <w:szCs w:val="28"/>
        </w:rPr>
        <w:t>. p</w:t>
      </w:r>
      <w:r w:rsidRPr="00871259">
        <w:rPr>
          <w:sz w:val="28"/>
          <w:szCs w:val="28"/>
        </w:rPr>
        <w:t>anta pirmo daļu un 15</w:t>
      </w:r>
      <w:r w:rsidR="001900E7">
        <w:rPr>
          <w:sz w:val="28"/>
          <w:szCs w:val="28"/>
        </w:rPr>
        <w:t>. p</w:t>
      </w:r>
      <w:r w:rsidRPr="00871259">
        <w:rPr>
          <w:sz w:val="28"/>
          <w:szCs w:val="28"/>
        </w:rPr>
        <w:t xml:space="preserve">anta pirmo daļu </w:t>
      </w:r>
      <w:r w:rsidR="00EB7D95" w:rsidRPr="00871259">
        <w:rPr>
          <w:sz w:val="28"/>
          <w:szCs w:val="28"/>
        </w:rPr>
        <w:t>un</w:t>
      </w:r>
    </w:p>
    <w:p w14:paraId="1B85059D" w14:textId="44AED856" w:rsidR="00871259" w:rsidRPr="00871259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 xml:space="preserve">likuma </w:t>
      </w:r>
      <w:r w:rsidR="001900E7">
        <w:rPr>
          <w:sz w:val="28"/>
          <w:szCs w:val="28"/>
        </w:rPr>
        <w:t>"</w:t>
      </w:r>
      <w:r w:rsidRPr="00871259">
        <w:rPr>
          <w:sz w:val="28"/>
          <w:szCs w:val="28"/>
        </w:rPr>
        <w:t xml:space="preserve">Latvijas Nacionālo bruņoto spēku </w:t>
      </w:r>
    </w:p>
    <w:p w14:paraId="6A50D151" w14:textId="77777777" w:rsidR="00EB7D95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>piedalīšanās starptautiskajās operācijās</w:t>
      </w:r>
      <w:r w:rsidR="001900E7">
        <w:rPr>
          <w:sz w:val="28"/>
          <w:szCs w:val="28"/>
        </w:rPr>
        <w:t>"</w:t>
      </w:r>
      <w:r w:rsidRPr="00871259">
        <w:rPr>
          <w:sz w:val="28"/>
          <w:szCs w:val="28"/>
        </w:rPr>
        <w:t xml:space="preserve"> </w:t>
      </w:r>
    </w:p>
    <w:p w14:paraId="636B8767" w14:textId="397AFEDF" w:rsidR="00B17BC3" w:rsidRDefault="00871259" w:rsidP="001900E7">
      <w:pPr>
        <w:jc w:val="right"/>
        <w:rPr>
          <w:sz w:val="28"/>
          <w:szCs w:val="28"/>
        </w:rPr>
      </w:pPr>
      <w:r w:rsidRPr="00871259">
        <w:rPr>
          <w:sz w:val="28"/>
          <w:szCs w:val="28"/>
        </w:rPr>
        <w:t>6</w:t>
      </w:r>
      <w:r w:rsidR="001900E7">
        <w:rPr>
          <w:sz w:val="28"/>
          <w:szCs w:val="28"/>
        </w:rPr>
        <w:t>. p</w:t>
      </w:r>
      <w:r w:rsidRPr="00871259">
        <w:rPr>
          <w:sz w:val="28"/>
          <w:szCs w:val="28"/>
        </w:rPr>
        <w:t>antu</w:t>
      </w:r>
    </w:p>
    <w:p w14:paraId="024A4F3F" w14:textId="77777777" w:rsidR="00EB7D95" w:rsidRDefault="00EB7D95" w:rsidP="00EB7D95">
      <w:pPr>
        <w:ind w:firstLine="709"/>
        <w:jc w:val="both"/>
        <w:rPr>
          <w:bCs/>
          <w:sz w:val="28"/>
          <w:szCs w:val="28"/>
        </w:rPr>
      </w:pPr>
    </w:p>
    <w:p w14:paraId="636B8768" w14:textId="35BE44F7" w:rsidR="0055633E" w:rsidRDefault="000004CA" w:rsidP="001900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17BC3">
        <w:rPr>
          <w:sz w:val="28"/>
          <w:szCs w:val="28"/>
        </w:rPr>
        <w:t xml:space="preserve">Izdarīt </w:t>
      </w:r>
      <w:r w:rsidR="00AF5FE7" w:rsidRPr="00B17BC3">
        <w:rPr>
          <w:sz w:val="28"/>
          <w:szCs w:val="28"/>
        </w:rPr>
        <w:t xml:space="preserve">Ministru kabineta </w:t>
      </w:r>
      <w:r w:rsidRPr="00B17BC3">
        <w:rPr>
          <w:bCs/>
          <w:sz w:val="28"/>
          <w:szCs w:val="28"/>
        </w:rPr>
        <w:t>2014</w:t>
      </w:r>
      <w:r w:rsidR="001900E7">
        <w:rPr>
          <w:bCs/>
          <w:sz w:val="28"/>
          <w:szCs w:val="28"/>
        </w:rPr>
        <w:t>. g</w:t>
      </w:r>
      <w:r w:rsidRPr="00B17BC3">
        <w:rPr>
          <w:bCs/>
          <w:sz w:val="28"/>
          <w:szCs w:val="28"/>
        </w:rPr>
        <w:t>ada 26</w:t>
      </w:r>
      <w:r w:rsidR="001900E7">
        <w:rPr>
          <w:bCs/>
          <w:sz w:val="28"/>
          <w:szCs w:val="28"/>
        </w:rPr>
        <w:t>. a</w:t>
      </w:r>
      <w:r w:rsidRPr="00B17BC3">
        <w:rPr>
          <w:bCs/>
          <w:sz w:val="28"/>
          <w:szCs w:val="28"/>
        </w:rPr>
        <w:t>ugusta noteikumos</w:t>
      </w:r>
      <w:r w:rsidR="00AF5FE7" w:rsidRPr="00B17BC3">
        <w:rPr>
          <w:bCs/>
          <w:sz w:val="28"/>
          <w:szCs w:val="28"/>
        </w:rPr>
        <w:t xml:space="preserve"> Nr.</w:t>
      </w:r>
      <w:r w:rsidR="001900E7">
        <w:rPr>
          <w:bCs/>
          <w:sz w:val="28"/>
          <w:szCs w:val="28"/>
        </w:rPr>
        <w:t> </w:t>
      </w:r>
      <w:r w:rsidR="00AF5FE7" w:rsidRPr="00B17BC3">
        <w:rPr>
          <w:bCs/>
          <w:sz w:val="28"/>
          <w:szCs w:val="28"/>
        </w:rPr>
        <w:t xml:space="preserve">509 </w:t>
      </w:r>
      <w:r w:rsidR="001900E7">
        <w:rPr>
          <w:bCs/>
          <w:sz w:val="28"/>
          <w:szCs w:val="28"/>
        </w:rPr>
        <w:t>"</w:t>
      </w:r>
      <w:r w:rsidR="00AF5FE7" w:rsidRPr="00B17BC3">
        <w:rPr>
          <w:bCs/>
          <w:sz w:val="28"/>
          <w:szCs w:val="28"/>
        </w:rPr>
        <w:t>Noteikumi par karavīra mēnešalgas un speciālo piemaksu noteikšanas kārtību un to apmēru</w:t>
      </w:r>
      <w:r w:rsidR="001900E7">
        <w:rPr>
          <w:bCs/>
          <w:sz w:val="28"/>
          <w:szCs w:val="28"/>
        </w:rPr>
        <w:t>"</w:t>
      </w:r>
      <w:r w:rsidR="00AF5FE7" w:rsidRPr="00B17BC3">
        <w:rPr>
          <w:bCs/>
          <w:sz w:val="28"/>
          <w:szCs w:val="28"/>
        </w:rPr>
        <w:t xml:space="preserve"> </w:t>
      </w:r>
      <w:r w:rsidRPr="00B17BC3">
        <w:rPr>
          <w:bCs/>
          <w:sz w:val="28"/>
          <w:szCs w:val="28"/>
        </w:rPr>
        <w:t>(Latvijas Vēstnesis</w:t>
      </w:r>
      <w:r w:rsidR="00AF5FE7" w:rsidRPr="00B17BC3">
        <w:rPr>
          <w:bCs/>
          <w:sz w:val="28"/>
          <w:szCs w:val="28"/>
        </w:rPr>
        <w:t>, 2014</w:t>
      </w:r>
      <w:r w:rsidRPr="00B17BC3">
        <w:rPr>
          <w:bCs/>
          <w:sz w:val="28"/>
          <w:szCs w:val="28"/>
        </w:rPr>
        <w:t>,</w:t>
      </w:r>
      <w:r w:rsidR="00AF5FE7" w:rsidRPr="00B17BC3">
        <w:rPr>
          <w:bCs/>
          <w:sz w:val="28"/>
          <w:szCs w:val="28"/>
        </w:rPr>
        <w:t xml:space="preserve"> 169</w:t>
      </w:r>
      <w:r w:rsidR="00871259">
        <w:rPr>
          <w:bCs/>
          <w:sz w:val="28"/>
          <w:szCs w:val="28"/>
        </w:rPr>
        <w:t xml:space="preserve">., </w:t>
      </w:r>
      <w:r w:rsidR="00B17BC3" w:rsidRPr="00B17BC3">
        <w:rPr>
          <w:bCs/>
          <w:sz w:val="28"/>
          <w:szCs w:val="28"/>
        </w:rPr>
        <w:t>255</w:t>
      </w:r>
      <w:r w:rsidR="00EB7D95" w:rsidRPr="00600B76">
        <w:rPr>
          <w:sz w:val="28"/>
          <w:szCs w:val="28"/>
        </w:rPr>
        <w:t>.</w:t>
      </w:r>
      <w:r w:rsidR="00EB7D95">
        <w:rPr>
          <w:sz w:val="28"/>
          <w:szCs w:val="28"/>
        </w:rPr>
        <w:t> </w:t>
      </w:r>
      <w:r w:rsidR="00B17BC3" w:rsidRPr="00B17BC3">
        <w:rPr>
          <w:bCs/>
          <w:sz w:val="28"/>
          <w:szCs w:val="28"/>
        </w:rPr>
        <w:t>nr.</w:t>
      </w:r>
      <w:r w:rsidR="00871259">
        <w:rPr>
          <w:bCs/>
          <w:sz w:val="28"/>
          <w:szCs w:val="28"/>
        </w:rPr>
        <w:t>; 2015, 93</w:t>
      </w:r>
      <w:r w:rsidR="00EB7D95" w:rsidRPr="00600B76">
        <w:rPr>
          <w:sz w:val="28"/>
          <w:szCs w:val="28"/>
        </w:rPr>
        <w:t>.</w:t>
      </w:r>
      <w:r w:rsidR="00EB7D95">
        <w:rPr>
          <w:sz w:val="28"/>
          <w:szCs w:val="28"/>
        </w:rPr>
        <w:t> </w:t>
      </w:r>
      <w:r w:rsidR="00871259">
        <w:rPr>
          <w:bCs/>
          <w:sz w:val="28"/>
          <w:szCs w:val="28"/>
        </w:rPr>
        <w:t>nr.</w:t>
      </w:r>
      <w:r w:rsidR="00AF5FE7" w:rsidRPr="00B17BC3">
        <w:rPr>
          <w:bCs/>
          <w:sz w:val="28"/>
          <w:szCs w:val="28"/>
        </w:rPr>
        <w:t>)</w:t>
      </w:r>
      <w:r w:rsidRPr="00B17BC3">
        <w:rPr>
          <w:bCs/>
          <w:sz w:val="28"/>
          <w:szCs w:val="28"/>
        </w:rPr>
        <w:t xml:space="preserve"> grozījumu un izteikt</w:t>
      </w:r>
      <w:r w:rsidR="00AF5FE7" w:rsidRPr="00B17BC3">
        <w:rPr>
          <w:bCs/>
          <w:sz w:val="28"/>
          <w:szCs w:val="28"/>
        </w:rPr>
        <w:t xml:space="preserve"> </w:t>
      </w:r>
      <w:r w:rsidR="00991922">
        <w:rPr>
          <w:bCs/>
          <w:sz w:val="28"/>
          <w:szCs w:val="28"/>
        </w:rPr>
        <w:t>2</w:t>
      </w:r>
      <w:r w:rsidR="001900E7">
        <w:rPr>
          <w:bCs/>
          <w:sz w:val="28"/>
          <w:szCs w:val="28"/>
        </w:rPr>
        <w:t>. p</w:t>
      </w:r>
      <w:r w:rsidR="00991922">
        <w:rPr>
          <w:bCs/>
          <w:sz w:val="28"/>
          <w:szCs w:val="28"/>
        </w:rPr>
        <w:t>ielikuma 2.</w:t>
      </w:r>
      <w:r w:rsidR="00B17BC3" w:rsidRPr="00B17BC3">
        <w:rPr>
          <w:bCs/>
          <w:sz w:val="28"/>
          <w:szCs w:val="28"/>
        </w:rPr>
        <w:t xml:space="preserve"> </w:t>
      </w:r>
      <w:r w:rsidR="00991922">
        <w:rPr>
          <w:bCs/>
          <w:sz w:val="28"/>
          <w:szCs w:val="28"/>
        </w:rPr>
        <w:t>un 3</w:t>
      </w:r>
      <w:r w:rsidR="001900E7">
        <w:rPr>
          <w:bCs/>
          <w:sz w:val="28"/>
          <w:szCs w:val="28"/>
        </w:rPr>
        <w:t>. p</w:t>
      </w:r>
      <w:r w:rsidR="00991922">
        <w:rPr>
          <w:bCs/>
          <w:sz w:val="28"/>
          <w:szCs w:val="28"/>
        </w:rPr>
        <w:t xml:space="preserve">unktu </w:t>
      </w:r>
      <w:r w:rsidR="00B17BC3" w:rsidRPr="00B17BC3">
        <w:rPr>
          <w:bCs/>
          <w:sz w:val="28"/>
          <w:szCs w:val="28"/>
        </w:rPr>
        <w:t>šādā redakcijā:</w:t>
      </w:r>
    </w:p>
    <w:p w14:paraId="0DC982CE" w14:textId="77777777" w:rsidR="001900E7" w:rsidRDefault="001900E7" w:rsidP="001900E7">
      <w:pPr>
        <w:ind w:firstLine="709"/>
        <w:jc w:val="both"/>
        <w:rPr>
          <w:bCs/>
          <w:sz w:val="28"/>
          <w:szCs w:val="28"/>
        </w:rPr>
      </w:pPr>
    </w:p>
    <w:p w14:paraId="636B8769" w14:textId="4266F5BA" w:rsidR="004C3633" w:rsidRDefault="001900E7" w:rsidP="00EB7D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6B3E66">
        <w:rPr>
          <w:bCs/>
          <w:sz w:val="28"/>
          <w:szCs w:val="28"/>
        </w:rPr>
        <w:t>2.</w:t>
      </w:r>
      <w:r w:rsidR="004C3633">
        <w:rPr>
          <w:bCs/>
          <w:sz w:val="28"/>
          <w:szCs w:val="28"/>
        </w:rPr>
        <w:t xml:space="preserve"> Atkarībā no starptautiskās operācijas rakstura u</w:t>
      </w:r>
      <w:r w:rsidR="00FE2E43">
        <w:rPr>
          <w:bCs/>
          <w:sz w:val="28"/>
          <w:szCs w:val="28"/>
        </w:rPr>
        <w:t>n</w:t>
      </w:r>
      <w:r w:rsidR="004C3633">
        <w:rPr>
          <w:bCs/>
          <w:sz w:val="28"/>
          <w:szCs w:val="28"/>
        </w:rPr>
        <w:t xml:space="preserve"> drošības apstākļiem tās norises reģionā šā pielikuma 1</w:t>
      </w:r>
      <w:r>
        <w:rPr>
          <w:bCs/>
          <w:sz w:val="28"/>
          <w:szCs w:val="28"/>
        </w:rPr>
        <w:t>. p</w:t>
      </w:r>
      <w:r w:rsidR="004C3633">
        <w:rPr>
          <w:bCs/>
          <w:sz w:val="28"/>
          <w:szCs w:val="28"/>
        </w:rPr>
        <w:t xml:space="preserve">unktā </w:t>
      </w:r>
      <w:r w:rsidR="0053329C">
        <w:rPr>
          <w:bCs/>
          <w:sz w:val="28"/>
          <w:szCs w:val="28"/>
        </w:rPr>
        <w:t>minēto</w:t>
      </w:r>
      <w:r w:rsidR="004C3633">
        <w:rPr>
          <w:bCs/>
          <w:sz w:val="28"/>
          <w:szCs w:val="28"/>
        </w:rPr>
        <w:t xml:space="preserve"> piemaks</w:t>
      </w:r>
      <w:r w:rsidR="0053329C">
        <w:rPr>
          <w:bCs/>
          <w:sz w:val="28"/>
          <w:szCs w:val="28"/>
        </w:rPr>
        <w:t>u</w:t>
      </w:r>
      <w:r w:rsidR="004C3633">
        <w:rPr>
          <w:bCs/>
          <w:sz w:val="28"/>
          <w:szCs w:val="28"/>
        </w:rPr>
        <w:t xml:space="preserve"> reizina ar šādu koeficientu:</w:t>
      </w:r>
    </w:p>
    <w:p w14:paraId="06ABC2E0" w14:textId="77777777" w:rsidR="001900E7" w:rsidRDefault="001900E7" w:rsidP="001900E7">
      <w:pPr>
        <w:ind w:firstLine="709"/>
        <w:jc w:val="both"/>
        <w:rPr>
          <w:bCs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6946"/>
        <w:gridCol w:w="1559"/>
      </w:tblGrid>
      <w:tr w:rsidR="004C3633" w14:paraId="636B876D" w14:textId="77777777" w:rsidTr="00EB7D95">
        <w:trPr>
          <w:trHeight w:val="569"/>
        </w:trPr>
        <w:tc>
          <w:tcPr>
            <w:tcW w:w="817" w:type="dxa"/>
            <w:vAlign w:val="center"/>
          </w:tcPr>
          <w:p w14:paraId="636B876A" w14:textId="407DECDB" w:rsidR="004C3633" w:rsidRDefault="004C3633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Nr.</w:t>
            </w:r>
            <w:r w:rsidR="00A20E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p.</w:t>
            </w:r>
            <w:r w:rsidR="001900E7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k.</w:t>
            </w:r>
          </w:p>
        </w:tc>
        <w:tc>
          <w:tcPr>
            <w:tcW w:w="6946" w:type="dxa"/>
            <w:vAlign w:val="center"/>
          </w:tcPr>
          <w:p w14:paraId="636B876B" w14:textId="77777777" w:rsidR="004C3633" w:rsidRDefault="004C3633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Operācijas veids</w:t>
            </w:r>
          </w:p>
        </w:tc>
        <w:tc>
          <w:tcPr>
            <w:tcW w:w="1559" w:type="dxa"/>
            <w:vAlign w:val="center"/>
          </w:tcPr>
          <w:p w14:paraId="636B876C" w14:textId="77777777" w:rsidR="004C3633" w:rsidRDefault="004C3633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Koeficients</w:t>
            </w:r>
          </w:p>
        </w:tc>
      </w:tr>
      <w:tr w:rsidR="004C3633" w14:paraId="636B8771" w14:textId="77777777" w:rsidTr="00EB7D95">
        <w:tc>
          <w:tcPr>
            <w:tcW w:w="817" w:type="dxa"/>
          </w:tcPr>
          <w:p w14:paraId="636B876E" w14:textId="77777777" w:rsidR="004C3633" w:rsidRDefault="00D67742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14:paraId="636B876F" w14:textId="77777777" w:rsidR="004C3633" w:rsidRDefault="00D67742" w:rsidP="00190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starptautiskās glābšanas operācijas un starptautiskās humānās operācijas</w:t>
            </w:r>
          </w:p>
        </w:tc>
        <w:tc>
          <w:tcPr>
            <w:tcW w:w="1559" w:type="dxa"/>
          </w:tcPr>
          <w:p w14:paraId="636B8770" w14:textId="45542E61" w:rsidR="004C3633" w:rsidRDefault="004575A9" w:rsidP="00F423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  <w:r w:rsidR="00F423DD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4C3633" w14:paraId="636B8775" w14:textId="77777777" w:rsidTr="00EB7D95">
        <w:tc>
          <w:tcPr>
            <w:tcW w:w="817" w:type="dxa"/>
          </w:tcPr>
          <w:p w14:paraId="636B8772" w14:textId="77777777" w:rsidR="004C3633" w:rsidRDefault="00D67742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14:paraId="636B8773" w14:textId="77777777" w:rsidR="004C3633" w:rsidRDefault="00C11B5F" w:rsidP="00190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starptautiskās miera uzturēšanas operācijas</w:t>
            </w:r>
          </w:p>
        </w:tc>
        <w:tc>
          <w:tcPr>
            <w:tcW w:w="1559" w:type="dxa"/>
          </w:tcPr>
          <w:p w14:paraId="636B8774" w14:textId="7DBF27B8" w:rsidR="004C3633" w:rsidRDefault="004575A9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  <w:r w:rsidR="00F423DD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1,8</w:t>
            </w:r>
          </w:p>
        </w:tc>
      </w:tr>
      <w:tr w:rsidR="004C3633" w14:paraId="636B8779" w14:textId="77777777" w:rsidTr="00EB7D95">
        <w:tc>
          <w:tcPr>
            <w:tcW w:w="817" w:type="dxa"/>
          </w:tcPr>
          <w:p w14:paraId="636B8776" w14:textId="77777777" w:rsidR="004C3633" w:rsidRDefault="00D67742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14:paraId="636B8777" w14:textId="77777777" w:rsidR="004C3633" w:rsidRDefault="00C11B5F" w:rsidP="00190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starptautiskās miera nodrošināšanas operācijas</w:t>
            </w:r>
          </w:p>
        </w:tc>
        <w:tc>
          <w:tcPr>
            <w:tcW w:w="1559" w:type="dxa"/>
          </w:tcPr>
          <w:p w14:paraId="636B8778" w14:textId="4E8ADA44" w:rsidR="004C3633" w:rsidRDefault="00F423DD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1,6–</w:t>
            </w:r>
            <w:r w:rsidR="004575A9">
              <w:rPr>
                <w:bCs/>
                <w:sz w:val="28"/>
                <w:szCs w:val="28"/>
              </w:rPr>
              <w:t>1,9</w:t>
            </w:r>
          </w:p>
        </w:tc>
      </w:tr>
      <w:tr w:rsidR="004C3633" w14:paraId="636B877D" w14:textId="77777777" w:rsidTr="00EB7D95">
        <w:tc>
          <w:tcPr>
            <w:tcW w:w="817" w:type="dxa"/>
          </w:tcPr>
          <w:p w14:paraId="636B877A" w14:textId="77777777" w:rsidR="004C3633" w:rsidRDefault="00D67742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14:paraId="636B877B" w14:textId="0546051F" w:rsidR="004C3633" w:rsidRDefault="009B55AD" w:rsidP="00190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C76EBD">
              <w:rPr>
                <w:bCs/>
                <w:sz w:val="28"/>
                <w:szCs w:val="28"/>
              </w:rPr>
              <w:t xml:space="preserve">tarptautiskās militārās operācijas, kuru mērķis ir </w:t>
            </w:r>
            <w:r>
              <w:rPr>
                <w:bCs/>
                <w:sz w:val="28"/>
                <w:szCs w:val="28"/>
              </w:rPr>
              <w:t>īstenot Apvienoto Nāciju Organizācijas S</w:t>
            </w:r>
            <w:r w:rsidR="00C76EBD">
              <w:rPr>
                <w:bCs/>
                <w:sz w:val="28"/>
                <w:szCs w:val="28"/>
              </w:rPr>
              <w:t>tatūtu 51</w:t>
            </w:r>
            <w:r w:rsidR="001900E7">
              <w:rPr>
                <w:bCs/>
                <w:sz w:val="28"/>
                <w:szCs w:val="28"/>
              </w:rPr>
              <w:t>. p</w:t>
            </w:r>
            <w:r w:rsidR="00C76EBD">
              <w:rPr>
                <w:bCs/>
                <w:sz w:val="28"/>
                <w:szCs w:val="28"/>
              </w:rPr>
              <w:t>antā noteiktās neatņemamās Apvienoto Nāciju Organizācijas dalībvalstu tiesības uz kolektīvo pašaizsardzību</w:t>
            </w:r>
          </w:p>
        </w:tc>
        <w:tc>
          <w:tcPr>
            <w:tcW w:w="1559" w:type="dxa"/>
          </w:tcPr>
          <w:p w14:paraId="636B877C" w14:textId="77777777" w:rsidR="004C3633" w:rsidRDefault="00600B76" w:rsidP="00190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</w:tbl>
    <w:p w14:paraId="0E4E2887" w14:textId="77777777" w:rsidR="00EB7D95" w:rsidRDefault="00EB7D95" w:rsidP="00EB7D95">
      <w:pPr>
        <w:ind w:firstLine="709"/>
        <w:jc w:val="both"/>
        <w:rPr>
          <w:bCs/>
          <w:sz w:val="28"/>
          <w:szCs w:val="28"/>
        </w:rPr>
      </w:pPr>
      <w:bookmarkStart w:id="1" w:name="piel1"/>
      <w:bookmarkEnd w:id="1"/>
    </w:p>
    <w:p w14:paraId="3EA1D687" w14:textId="77777777" w:rsidR="0053329C" w:rsidRDefault="005332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6B877F" w14:textId="2EB336E0" w:rsidR="00AF5FE7" w:rsidRDefault="00600B76" w:rsidP="00EB7D95">
      <w:pPr>
        <w:pStyle w:val="naisf"/>
        <w:spacing w:before="0" w:after="0"/>
        <w:ind w:firstLine="709"/>
        <w:rPr>
          <w:sz w:val="28"/>
          <w:szCs w:val="28"/>
        </w:rPr>
      </w:pPr>
      <w:r w:rsidRPr="00600B76">
        <w:rPr>
          <w:sz w:val="28"/>
          <w:szCs w:val="28"/>
        </w:rPr>
        <w:lastRenderedPageBreak/>
        <w:t>3.</w:t>
      </w:r>
      <w:r w:rsidR="00EB7D95">
        <w:rPr>
          <w:sz w:val="28"/>
          <w:szCs w:val="28"/>
        </w:rPr>
        <w:t> </w:t>
      </w:r>
      <w:r w:rsidRPr="00600B76">
        <w:rPr>
          <w:sz w:val="28"/>
          <w:szCs w:val="28"/>
        </w:rPr>
        <w:t>Aizsardzības ministrs noteiktā diapazona ietvaros katrā konkrētā gadījumā apstiprina koeficientu piemaksas aprēķināšanai par dalību šā pielikuma 2.1., 2.2. un 2.3</w:t>
      </w:r>
      <w:r w:rsidR="00EB7D95" w:rsidRPr="00600B76">
        <w:rPr>
          <w:sz w:val="28"/>
          <w:szCs w:val="28"/>
        </w:rPr>
        <w:t>.</w:t>
      </w:r>
      <w:r w:rsidR="00EB7D95">
        <w:rPr>
          <w:sz w:val="28"/>
          <w:szCs w:val="28"/>
        </w:rPr>
        <w:t> </w:t>
      </w:r>
      <w:r w:rsidRPr="00600B76">
        <w:rPr>
          <w:sz w:val="28"/>
          <w:szCs w:val="28"/>
        </w:rPr>
        <w:t xml:space="preserve">apakšpunktā minētajās starptautiskajās operācijās, </w:t>
      </w:r>
      <w:r w:rsidR="0053329C">
        <w:rPr>
          <w:sz w:val="28"/>
          <w:szCs w:val="28"/>
        </w:rPr>
        <w:t>pamatoj</w:t>
      </w:r>
      <w:r w:rsidR="00991922">
        <w:rPr>
          <w:sz w:val="28"/>
          <w:szCs w:val="28"/>
        </w:rPr>
        <w:t>oties uz Nacionālo bruņoto sp</w:t>
      </w:r>
      <w:r w:rsidR="00FE2E43">
        <w:rPr>
          <w:sz w:val="28"/>
          <w:szCs w:val="28"/>
        </w:rPr>
        <w:t>ēku komandiera ieteikumu un militāro izvērtējumu par</w:t>
      </w:r>
      <w:r w:rsidRPr="00600B76">
        <w:rPr>
          <w:sz w:val="28"/>
          <w:szCs w:val="28"/>
        </w:rPr>
        <w:t xml:space="preserve"> attiecīgās starptautiskās operācijas bīstamību un apdraudējuma raksturu.</w:t>
      </w:r>
      <w:r w:rsidR="001900E7">
        <w:rPr>
          <w:sz w:val="28"/>
          <w:szCs w:val="28"/>
        </w:rPr>
        <w:t>"</w:t>
      </w:r>
    </w:p>
    <w:p w14:paraId="636B8780" w14:textId="77777777" w:rsidR="00600B76" w:rsidRDefault="00600B76" w:rsidP="00EB7D95">
      <w:pPr>
        <w:pStyle w:val="naisf"/>
        <w:spacing w:before="0" w:after="0"/>
        <w:ind w:firstLine="709"/>
        <w:rPr>
          <w:sz w:val="28"/>
          <w:szCs w:val="28"/>
        </w:rPr>
      </w:pPr>
    </w:p>
    <w:p w14:paraId="48BC293C" w14:textId="77777777" w:rsidR="001900E7" w:rsidRDefault="001900E7" w:rsidP="00EB7D95">
      <w:pPr>
        <w:pStyle w:val="naisf"/>
        <w:spacing w:before="0" w:after="0"/>
        <w:ind w:firstLine="709"/>
        <w:rPr>
          <w:sz w:val="28"/>
          <w:szCs w:val="28"/>
        </w:rPr>
      </w:pPr>
    </w:p>
    <w:p w14:paraId="7586C94C" w14:textId="77777777" w:rsidR="001900E7" w:rsidRPr="00587361" w:rsidRDefault="001900E7" w:rsidP="00EB7D95">
      <w:pPr>
        <w:pStyle w:val="naisf"/>
        <w:spacing w:before="0" w:after="0"/>
        <w:ind w:firstLine="709"/>
        <w:rPr>
          <w:sz w:val="28"/>
          <w:szCs w:val="28"/>
        </w:rPr>
      </w:pPr>
    </w:p>
    <w:p w14:paraId="458E7C06" w14:textId="77777777" w:rsidR="001900E7" w:rsidRDefault="001900E7" w:rsidP="00EB7D95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75000A86" w14:textId="77777777" w:rsidR="001900E7" w:rsidRDefault="001900E7" w:rsidP="00EB7D95">
      <w:pPr>
        <w:ind w:firstLine="709"/>
        <w:rPr>
          <w:color w:val="2A2A2A"/>
          <w:sz w:val="28"/>
          <w:szCs w:val="28"/>
        </w:rPr>
      </w:pPr>
    </w:p>
    <w:p w14:paraId="1DA0BB01" w14:textId="77777777" w:rsidR="001900E7" w:rsidRDefault="001900E7" w:rsidP="00EB7D95">
      <w:pPr>
        <w:ind w:firstLine="709"/>
        <w:rPr>
          <w:color w:val="2A2A2A"/>
          <w:sz w:val="28"/>
          <w:szCs w:val="28"/>
        </w:rPr>
      </w:pPr>
    </w:p>
    <w:p w14:paraId="27325799" w14:textId="77777777" w:rsidR="0086168D" w:rsidRDefault="002854D3" w:rsidP="00EB7D95">
      <w:pPr>
        <w:tabs>
          <w:tab w:val="left" w:pos="6663"/>
        </w:tabs>
        <w:ind w:firstLine="709"/>
        <w:rPr>
          <w:sz w:val="28"/>
          <w:szCs w:val="28"/>
        </w:rPr>
      </w:pPr>
      <w:r w:rsidRPr="001900E7">
        <w:rPr>
          <w:sz w:val="28"/>
          <w:szCs w:val="28"/>
        </w:rPr>
        <w:t>Aizsardzības ministr</w:t>
      </w:r>
      <w:r w:rsidR="0086168D">
        <w:rPr>
          <w:sz w:val="28"/>
          <w:szCs w:val="28"/>
        </w:rPr>
        <w:t>a vietā –</w:t>
      </w:r>
    </w:p>
    <w:p w14:paraId="636B8783" w14:textId="545D9161" w:rsidR="00D73ECE" w:rsidRDefault="0086168D" w:rsidP="00EB7D95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="002854D3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D73ECE" w:rsidSect="001900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B8799" w14:textId="77777777" w:rsidR="00D65A3F" w:rsidRDefault="00D65A3F" w:rsidP="001C643C">
      <w:r>
        <w:separator/>
      </w:r>
    </w:p>
  </w:endnote>
  <w:endnote w:type="continuationSeparator" w:id="0">
    <w:p w14:paraId="636B879A" w14:textId="77777777" w:rsidR="00D65A3F" w:rsidRDefault="00D65A3F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F6A2" w14:textId="40025E63" w:rsidR="001900E7" w:rsidRPr="001900E7" w:rsidRDefault="001900E7">
    <w:pPr>
      <w:pStyle w:val="Footer"/>
      <w:rPr>
        <w:sz w:val="16"/>
        <w:szCs w:val="16"/>
      </w:rPr>
    </w:pPr>
    <w:r w:rsidRPr="001900E7">
      <w:rPr>
        <w:sz w:val="16"/>
        <w:szCs w:val="16"/>
      </w:rPr>
      <w:t>N0941_5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A1" w14:textId="564B88E1" w:rsidR="00CC789C" w:rsidRPr="001900E7" w:rsidRDefault="001900E7" w:rsidP="00E33588">
    <w:pPr>
      <w:pStyle w:val="Footer"/>
      <w:jc w:val="both"/>
      <w:rPr>
        <w:sz w:val="16"/>
        <w:szCs w:val="16"/>
      </w:rPr>
    </w:pPr>
    <w:r w:rsidRPr="001900E7">
      <w:rPr>
        <w:sz w:val="16"/>
        <w:szCs w:val="16"/>
      </w:rPr>
      <w:t>N0941_5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B8797" w14:textId="77777777" w:rsidR="00D65A3F" w:rsidRDefault="00D65A3F" w:rsidP="001C643C">
      <w:r>
        <w:separator/>
      </w:r>
    </w:p>
  </w:footnote>
  <w:footnote w:type="continuationSeparator" w:id="0">
    <w:p w14:paraId="636B8798" w14:textId="77777777" w:rsidR="00D65A3F" w:rsidRDefault="00D65A3F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C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AD0F" w14:textId="5711D42A" w:rsidR="001900E7" w:rsidRDefault="001900E7" w:rsidP="001900E7">
    <w:pPr>
      <w:pStyle w:val="Header"/>
      <w:rPr>
        <w:sz w:val="32"/>
      </w:rPr>
    </w:pPr>
  </w:p>
  <w:p w14:paraId="6205468B" w14:textId="71D11448" w:rsidR="001900E7" w:rsidRPr="001900E7" w:rsidRDefault="001900E7" w:rsidP="001900E7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119F6E2" wp14:editId="68DFEE9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38B1"/>
    <w:rsid w:val="000060FC"/>
    <w:rsid w:val="0003046C"/>
    <w:rsid w:val="00036654"/>
    <w:rsid w:val="00037030"/>
    <w:rsid w:val="00072343"/>
    <w:rsid w:val="00073E09"/>
    <w:rsid w:val="000D794F"/>
    <w:rsid w:val="000E216B"/>
    <w:rsid w:val="000E510E"/>
    <w:rsid w:val="000F3C50"/>
    <w:rsid w:val="00157B4D"/>
    <w:rsid w:val="001900E7"/>
    <w:rsid w:val="00192488"/>
    <w:rsid w:val="001C643C"/>
    <w:rsid w:val="00214A9D"/>
    <w:rsid w:val="0024681A"/>
    <w:rsid w:val="00246A51"/>
    <w:rsid w:val="0028151F"/>
    <w:rsid w:val="002854D3"/>
    <w:rsid w:val="002C59E5"/>
    <w:rsid w:val="002D1575"/>
    <w:rsid w:val="002D5D15"/>
    <w:rsid w:val="002E47D1"/>
    <w:rsid w:val="00333D02"/>
    <w:rsid w:val="00344191"/>
    <w:rsid w:val="00344C3A"/>
    <w:rsid w:val="00347805"/>
    <w:rsid w:val="0039730D"/>
    <w:rsid w:val="003A3D7F"/>
    <w:rsid w:val="003D1B77"/>
    <w:rsid w:val="003F14CD"/>
    <w:rsid w:val="003F7154"/>
    <w:rsid w:val="00411DAD"/>
    <w:rsid w:val="00415F48"/>
    <w:rsid w:val="00421048"/>
    <w:rsid w:val="004575A9"/>
    <w:rsid w:val="004576AD"/>
    <w:rsid w:val="00463DA3"/>
    <w:rsid w:val="00475BB3"/>
    <w:rsid w:val="004A69B3"/>
    <w:rsid w:val="004C3633"/>
    <w:rsid w:val="004E36B8"/>
    <w:rsid w:val="00503D57"/>
    <w:rsid w:val="00506FE7"/>
    <w:rsid w:val="0053329C"/>
    <w:rsid w:val="00546E35"/>
    <w:rsid w:val="0055633E"/>
    <w:rsid w:val="00585A88"/>
    <w:rsid w:val="005B1F3D"/>
    <w:rsid w:val="005B66E5"/>
    <w:rsid w:val="005D4A55"/>
    <w:rsid w:val="005E312B"/>
    <w:rsid w:val="005F201D"/>
    <w:rsid w:val="00600B76"/>
    <w:rsid w:val="00614A4D"/>
    <w:rsid w:val="006349C3"/>
    <w:rsid w:val="00663F81"/>
    <w:rsid w:val="0068742E"/>
    <w:rsid w:val="006A677E"/>
    <w:rsid w:val="006B3E66"/>
    <w:rsid w:val="007308DE"/>
    <w:rsid w:val="0074149E"/>
    <w:rsid w:val="0074317F"/>
    <w:rsid w:val="00744521"/>
    <w:rsid w:val="00750AED"/>
    <w:rsid w:val="00756D65"/>
    <w:rsid w:val="007634A1"/>
    <w:rsid w:val="00767EC9"/>
    <w:rsid w:val="00786358"/>
    <w:rsid w:val="007970A5"/>
    <w:rsid w:val="007B15CB"/>
    <w:rsid w:val="007B6F9E"/>
    <w:rsid w:val="007C0F59"/>
    <w:rsid w:val="007D0878"/>
    <w:rsid w:val="007D6091"/>
    <w:rsid w:val="007E2AAD"/>
    <w:rsid w:val="007F1CF4"/>
    <w:rsid w:val="00810364"/>
    <w:rsid w:val="00817EB6"/>
    <w:rsid w:val="00852C6E"/>
    <w:rsid w:val="008546B9"/>
    <w:rsid w:val="00856D84"/>
    <w:rsid w:val="0086168D"/>
    <w:rsid w:val="008626B4"/>
    <w:rsid w:val="008665BF"/>
    <w:rsid w:val="008669DB"/>
    <w:rsid w:val="00871259"/>
    <w:rsid w:val="008934C0"/>
    <w:rsid w:val="008C2D2E"/>
    <w:rsid w:val="008C31AE"/>
    <w:rsid w:val="008D7450"/>
    <w:rsid w:val="009165B4"/>
    <w:rsid w:val="00973730"/>
    <w:rsid w:val="009755F9"/>
    <w:rsid w:val="00991922"/>
    <w:rsid w:val="009B55AD"/>
    <w:rsid w:val="00A126CD"/>
    <w:rsid w:val="00A20EE9"/>
    <w:rsid w:val="00A41733"/>
    <w:rsid w:val="00A5320F"/>
    <w:rsid w:val="00A654B5"/>
    <w:rsid w:val="00A6735B"/>
    <w:rsid w:val="00AA5A76"/>
    <w:rsid w:val="00AA60E4"/>
    <w:rsid w:val="00AC45EB"/>
    <w:rsid w:val="00AF5FE7"/>
    <w:rsid w:val="00B0018D"/>
    <w:rsid w:val="00B055D6"/>
    <w:rsid w:val="00B17BC3"/>
    <w:rsid w:val="00B22B59"/>
    <w:rsid w:val="00B949A9"/>
    <w:rsid w:val="00B9539B"/>
    <w:rsid w:val="00B9676F"/>
    <w:rsid w:val="00B974E4"/>
    <w:rsid w:val="00BB430F"/>
    <w:rsid w:val="00BF3DC7"/>
    <w:rsid w:val="00BF667B"/>
    <w:rsid w:val="00C11B5F"/>
    <w:rsid w:val="00C171C4"/>
    <w:rsid w:val="00C76EBD"/>
    <w:rsid w:val="00CC789C"/>
    <w:rsid w:val="00CE0BCE"/>
    <w:rsid w:val="00D52BC4"/>
    <w:rsid w:val="00D65897"/>
    <w:rsid w:val="00D65A3F"/>
    <w:rsid w:val="00D67742"/>
    <w:rsid w:val="00D73ECE"/>
    <w:rsid w:val="00D87571"/>
    <w:rsid w:val="00DA32FF"/>
    <w:rsid w:val="00DC0CEA"/>
    <w:rsid w:val="00E33588"/>
    <w:rsid w:val="00EB7D95"/>
    <w:rsid w:val="00EE7A19"/>
    <w:rsid w:val="00F26B74"/>
    <w:rsid w:val="00F35529"/>
    <w:rsid w:val="00F423DD"/>
    <w:rsid w:val="00FA0B3E"/>
    <w:rsid w:val="00FA68B6"/>
    <w:rsid w:val="00FC790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B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D593-63CA-4233-9345-321B0F5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1873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Leontīne Babkina</cp:lastModifiedBy>
  <cp:revision>15</cp:revision>
  <cp:lastPrinted>2015-05-29T12:52:00Z</cp:lastPrinted>
  <dcterms:created xsi:type="dcterms:W3CDTF">2015-04-30T06:57:00Z</dcterms:created>
  <dcterms:modified xsi:type="dcterms:W3CDTF">2015-06-04T07:18:00Z</dcterms:modified>
</cp:coreProperties>
</file>