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A" w:rsidRPr="00A375B5" w:rsidRDefault="00CD135A" w:rsidP="00CD135A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bookmarkStart w:id="0" w:name="468683"/>
      <w:bookmarkEnd w:id="0"/>
      <w:r w:rsidRPr="00A375B5">
        <w:rPr>
          <w:rFonts w:cs="Times New Roman"/>
          <w:b/>
          <w:sz w:val="28"/>
          <w:szCs w:val="28"/>
          <w:lang w:eastAsia="lv-LV" w:bidi="ar-SA"/>
        </w:rPr>
        <w:t>Ministru kabineta noteikumu</w:t>
      </w:r>
      <w:r w:rsidRPr="00A375B5">
        <w:rPr>
          <w:b/>
          <w:bCs/>
          <w:sz w:val="28"/>
          <w:szCs w:val="28"/>
        </w:rPr>
        <w:t xml:space="preserve"> projekta</w:t>
      </w:r>
    </w:p>
    <w:p w:rsidR="00226001" w:rsidRPr="00A375B5" w:rsidRDefault="00CD135A" w:rsidP="00CD135A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A375B5">
        <w:rPr>
          <w:rFonts w:cs="Times New Roman"/>
          <w:b/>
          <w:sz w:val="28"/>
          <w:szCs w:val="28"/>
          <w:lang w:eastAsia="lv-LV" w:bidi="ar-SA"/>
        </w:rPr>
        <w:t>„</w:t>
      </w:r>
      <w:r w:rsidR="005F5249" w:rsidRPr="00A375B5">
        <w:rPr>
          <w:rFonts w:cs="Times New Roman"/>
          <w:b/>
          <w:sz w:val="28"/>
          <w:szCs w:val="28"/>
          <w:lang w:eastAsia="lv-LV" w:bidi="ar-SA"/>
        </w:rPr>
        <w:t>Grozījumi Ministru kabineta 2014.gada 26.augusta noteikumos Nr.509 „Noteikumi par karavīra mēnešalgas un speciālo piemaksu noteikšanas kārtību un to apmēru”</w:t>
      </w:r>
      <w:r w:rsidRPr="00A375B5">
        <w:rPr>
          <w:b/>
          <w:bCs/>
          <w:sz w:val="28"/>
          <w:szCs w:val="28"/>
        </w:rPr>
        <w:t xml:space="preserve"> </w:t>
      </w:r>
      <w:r w:rsidR="00226001" w:rsidRPr="00A375B5">
        <w:rPr>
          <w:b/>
          <w:bCs/>
          <w:sz w:val="28"/>
          <w:szCs w:val="28"/>
        </w:rPr>
        <w:t>sākotnējās ietekmes novērtējuma ziņojums (anotācija)</w:t>
      </w:r>
    </w:p>
    <w:p w:rsidR="00226001" w:rsidRPr="00E45DFB" w:rsidRDefault="00226001" w:rsidP="00226001">
      <w:pPr>
        <w:rPr>
          <w:iCs/>
          <w:color w:val="FF0000"/>
        </w:rPr>
      </w:pP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513"/>
        <w:gridCol w:w="5859"/>
      </w:tblGrid>
      <w:tr w:rsidR="007C1053" w:rsidRPr="00E45DFB" w:rsidTr="00055AF4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E45DFB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C1053" w:rsidRPr="00E45DFB" w:rsidTr="00055AF4">
        <w:trPr>
          <w:trHeight w:val="40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1.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AF4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Pamatojums</w:t>
            </w:r>
          </w:p>
          <w:p w:rsidR="00226001" w:rsidRPr="00E45DFB" w:rsidRDefault="00226001" w:rsidP="00055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5A" w:rsidRPr="0083688D" w:rsidRDefault="00A375B5" w:rsidP="00E14E15">
            <w:pPr>
              <w:jc w:val="both"/>
              <w:rPr>
                <w:sz w:val="28"/>
                <w:szCs w:val="28"/>
              </w:rPr>
            </w:pPr>
            <w:r w:rsidRPr="0083688D">
              <w:rPr>
                <w:rFonts w:cs="Times New Roman"/>
                <w:sz w:val="28"/>
                <w:szCs w:val="28"/>
                <w:lang w:eastAsia="lv-LV" w:bidi="ar-SA"/>
              </w:rPr>
              <w:t>Ministru kabineta noteikumu projekts „Grozījumi Ministru kabineta 2014.gada 26.augusta noteikumos Nr.509 „Noteikumi par karavīra mēnešalgas un speciālo piemaksu noteikšanas kārtību un to apmēru”</w:t>
            </w:r>
            <w:r w:rsidR="00CD135A" w:rsidRPr="0083688D">
              <w:rPr>
                <w:bCs/>
                <w:sz w:val="28"/>
                <w:szCs w:val="28"/>
              </w:rPr>
              <w:t xml:space="preserve"> </w:t>
            </w:r>
            <w:r w:rsidR="00CD135A" w:rsidRPr="0083688D">
              <w:rPr>
                <w:sz w:val="28"/>
                <w:szCs w:val="28"/>
              </w:rPr>
              <w:t xml:space="preserve">izstrādāts pamatojoties uz </w:t>
            </w:r>
            <w:r w:rsidR="000356BC" w:rsidRPr="0083688D">
              <w:rPr>
                <w:sz w:val="28"/>
                <w:szCs w:val="28"/>
              </w:rPr>
              <w:t>Deklarācijas par Laimdotas Straujumas vadītā Ministru kabineta</w:t>
            </w:r>
            <w:r w:rsidR="00E14E15" w:rsidRPr="0083688D">
              <w:rPr>
                <w:sz w:val="28"/>
                <w:szCs w:val="28"/>
              </w:rPr>
              <w:t xml:space="preserve"> </w:t>
            </w:r>
            <w:r w:rsidR="00137257">
              <w:rPr>
                <w:sz w:val="28"/>
                <w:szCs w:val="28"/>
              </w:rPr>
              <w:t>iecerēto darbību 177</w:t>
            </w:r>
            <w:r w:rsidR="000356BC" w:rsidRPr="0083688D">
              <w:rPr>
                <w:sz w:val="28"/>
                <w:szCs w:val="28"/>
              </w:rPr>
              <w:t>. un 179. punktiem, kur</w:t>
            </w:r>
            <w:r w:rsidR="00E14E15" w:rsidRPr="0083688D">
              <w:rPr>
                <w:sz w:val="28"/>
                <w:szCs w:val="28"/>
              </w:rPr>
              <w:t xml:space="preserve">u izpilde </w:t>
            </w:r>
            <w:r w:rsidR="000356BC" w:rsidRPr="0083688D">
              <w:rPr>
                <w:sz w:val="28"/>
                <w:szCs w:val="28"/>
              </w:rPr>
              <w:t xml:space="preserve">paredz </w:t>
            </w:r>
            <w:r w:rsidR="00E14E15" w:rsidRPr="0083688D">
              <w:rPr>
                <w:sz w:val="28"/>
                <w:szCs w:val="28"/>
              </w:rPr>
              <w:t>Nacionālo bruņoto spēku karavīru motivācijas spēju paplašināšanu,  nodrošinot pilnvērtīgu Nacionālo bruņoto spēku līdzdalību starptautiskajās operācijās</w:t>
            </w:r>
            <w:r w:rsidR="008C2F87">
              <w:rPr>
                <w:sz w:val="28"/>
                <w:szCs w:val="28"/>
              </w:rPr>
              <w:t>, pildot Latvijas starptautiskās saistības</w:t>
            </w:r>
            <w:r w:rsidR="00E14E15" w:rsidRPr="0083688D">
              <w:rPr>
                <w:sz w:val="28"/>
                <w:szCs w:val="28"/>
              </w:rPr>
              <w:t xml:space="preserve">.  </w:t>
            </w:r>
          </w:p>
        </w:tc>
      </w:tr>
      <w:tr w:rsidR="007C1053" w:rsidRPr="00E45DFB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2.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7FE" w:rsidRDefault="002F4AF9" w:rsidP="00E9544C">
            <w:pPr>
              <w:jc w:val="both"/>
              <w:rPr>
                <w:rFonts w:cs="Times New Roman"/>
                <w:sz w:val="28"/>
                <w:szCs w:val="28"/>
                <w:lang w:eastAsia="lv-LV" w:bidi="ar-SA"/>
              </w:rPr>
            </w:pPr>
            <w:r w:rsidRPr="00E9544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Saskaņā ar </w:t>
            </w:r>
            <w:r w:rsidR="009C5B57" w:rsidRPr="00D07515">
              <w:rPr>
                <w:rFonts w:cs="Times New Roman"/>
                <w:bCs/>
                <w:sz w:val="28"/>
                <w:szCs w:val="28"/>
                <w:lang w:eastAsia="lv-LV" w:bidi="ar-SA"/>
              </w:rPr>
              <w:t>spēkā esošo</w:t>
            </w:r>
            <w:r w:rsidR="009C5B57" w:rsidRPr="00E9544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</w:t>
            </w:r>
            <w:r w:rsidRPr="00E9544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Ministru kabineta </w:t>
            </w:r>
            <w:r w:rsidRPr="00E9544C">
              <w:rPr>
                <w:rFonts w:cs="Times New Roman"/>
                <w:sz w:val="28"/>
                <w:szCs w:val="28"/>
                <w:lang w:bidi="ar-SA"/>
              </w:rPr>
              <w:t>201</w:t>
            </w:r>
            <w:r w:rsidR="00B1791B" w:rsidRPr="00E9544C">
              <w:rPr>
                <w:rFonts w:cs="Times New Roman"/>
                <w:sz w:val="28"/>
                <w:szCs w:val="28"/>
                <w:lang w:bidi="ar-SA"/>
              </w:rPr>
              <w:t>4</w:t>
            </w:r>
            <w:r w:rsidRPr="00E9544C">
              <w:rPr>
                <w:rFonts w:cs="Times New Roman"/>
                <w:sz w:val="28"/>
                <w:szCs w:val="28"/>
                <w:lang w:bidi="ar-SA"/>
              </w:rPr>
              <w:t xml:space="preserve">.gada </w:t>
            </w:r>
            <w:r w:rsidR="00B1791B" w:rsidRPr="00E9544C">
              <w:rPr>
                <w:rFonts w:cs="Times New Roman"/>
                <w:sz w:val="28"/>
                <w:szCs w:val="28"/>
                <w:lang w:bidi="ar-SA"/>
              </w:rPr>
              <w:t xml:space="preserve">26. augusta </w:t>
            </w:r>
            <w:r w:rsidRPr="00E9544C">
              <w:rPr>
                <w:rFonts w:cs="Times New Roman"/>
                <w:sz w:val="28"/>
                <w:szCs w:val="28"/>
                <w:lang w:bidi="ar-SA"/>
              </w:rPr>
              <w:t>noteikumu Nr.</w:t>
            </w:r>
            <w:r w:rsidR="00B1791B" w:rsidRPr="00E9544C">
              <w:rPr>
                <w:rFonts w:cs="Times New Roman"/>
                <w:sz w:val="28"/>
                <w:szCs w:val="28"/>
                <w:lang w:bidi="ar-SA"/>
              </w:rPr>
              <w:t>509</w:t>
            </w:r>
            <w:r w:rsidRPr="00E9544C">
              <w:rPr>
                <w:rFonts w:cs="Times New Roman"/>
                <w:sz w:val="28"/>
                <w:szCs w:val="28"/>
                <w:lang w:bidi="ar-SA"/>
              </w:rPr>
              <w:t xml:space="preserve"> „</w:t>
            </w:r>
            <w:r w:rsidRPr="00E9544C">
              <w:rPr>
                <w:rFonts w:cs="Times New Roman"/>
                <w:bCs/>
                <w:sz w:val="28"/>
                <w:szCs w:val="28"/>
                <w:lang w:eastAsia="lv-LV" w:bidi="ar-SA"/>
              </w:rPr>
              <w:t>Noteikumi par karavīra mēnešalgas un speciālo piemaksu noteikšanas kārtību un to apmēru”</w:t>
            </w:r>
            <w:r w:rsidR="009005C4" w:rsidRPr="00E9544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(turpmāk – noteikumi)</w:t>
            </w:r>
            <w:r w:rsidRPr="00E9544C">
              <w:rPr>
                <w:rFonts w:cs="Times New Roman"/>
                <w:b/>
                <w:bCs/>
                <w:sz w:val="28"/>
                <w:szCs w:val="28"/>
                <w:lang w:eastAsia="lv-LV" w:bidi="ar-SA"/>
              </w:rPr>
              <w:t xml:space="preserve"> </w:t>
            </w:r>
            <w:r w:rsidRPr="00E9544C">
              <w:rPr>
                <w:rFonts w:cs="Times New Roman"/>
                <w:sz w:val="28"/>
                <w:szCs w:val="28"/>
                <w:lang w:bidi="ar-SA"/>
              </w:rPr>
              <w:t>2.pielikum</w:t>
            </w:r>
            <w:r w:rsidR="00FB516A">
              <w:rPr>
                <w:rFonts w:cs="Times New Roman"/>
                <w:sz w:val="28"/>
                <w:szCs w:val="28"/>
                <w:lang w:bidi="ar-SA"/>
              </w:rPr>
              <w:t>u</w:t>
            </w:r>
            <w:r w:rsidR="00B30FA4" w:rsidRPr="00E9544C"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  <w:r w:rsidRPr="00E9544C">
              <w:rPr>
                <w:rFonts w:cs="Times New Roman"/>
                <w:sz w:val="28"/>
                <w:szCs w:val="28"/>
                <w:lang w:eastAsia="lv-LV" w:bidi="ar-SA"/>
              </w:rPr>
              <w:t>karavīrs, piedaloties starptautiskajā</w:t>
            </w:r>
            <w:r w:rsidR="00B30FA4" w:rsidRPr="00E9544C">
              <w:rPr>
                <w:rFonts w:cs="Times New Roman"/>
                <w:sz w:val="28"/>
                <w:szCs w:val="28"/>
                <w:lang w:eastAsia="lv-LV" w:bidi="ar-SA"/>
              </w:rPr>
              <w:t xml:space="preserve"> </w:t>
            </w:r>
            <w:r w:rsidRPr="00E9544C">
              <w:rPr>
                <w:rFonts w:cs="Times New Roman"/>
                <w:sz w:val="28"/>
                <w:szCs w:val="28"/>
                <w:lang w:eastAsia="lv-LV" w:bidi="ar-SA"/>
              </w:rPr>
              <w:t>operācijā, papildus mēnešalgai mēnesī saņem piemaksu 1423 EUR apmērā proporcionāli laikam, kurā viņš piedalās starptautiskajā operācijā. Atkarībā no starptautiskās operācijas rakstura un drošības apstākļiem tās norises reģionā piemaksu re</w:t>
            </w:r>
            <w:r w:rsidR="002437FE">
              <w:rPr>
                <w:rFonts w:cs="Times New Roman"/>
                <w:sz w:val="28"/>
                <w:szCs w:val="28"/>
                <w:lang w:eastAsia="lv-LV" w:bidi="ar-SA"/>
              </w:rPr>
              <w:t xml:space="preserve">izina ar atbilstošu koeficientu: </w:t>
            </w:r>
            <w:r w:rsidR="002437FE" w:rsidRPr="002437FE">
              <w:rPr>
                <w:rFonts w:cs="Times New Roman"/>
                <w:sz w:val="28"/>
                <w:szCs w:val="28"/>
                <w:lang w:eastAsia="lv-LV" w:bidi="ar-SA"/>
              </w:rPr>
              <w:t>starptautiskajām glābšanas operācijām un starptautiskajām humānām operācijām – no 1,0 līdz 1,</w:t>
            </w:r>
            <w:r w:rsidR="002437FE">
              <w:rPr>
                <w:rFonts w:cs="Times New Roman"/>
                <w:sz w:val="28"/>
                <w:szCs w:val="28"/>
                <w:lang w:eastAsia="lv-LV" w:bidi="ar-SA"/>
              </w:rPr>
              <w:t>2</w:t>
            </w:r>
            <w:r w:rsidR="002437FE" w:rsidRPr="002437FE">
              <w:rPr>
                <w:rFonts w:cs="Times New Roman"/>
                <w:sz w:val="28"/>
                <w:szCs w:val="28"/>
                <w:lang w:eastAsia="lv-LV" w:bidi="ar-SA"/>
              </w:rPr>
              <w:t>; starptautiskajām miera uzturēšanas operācijām – no 1,3 līdz 1,</w:t>
            </w:r>
            <w:r w:rsidR="002437FE">
              <w:rPr>
                <w:rFonts w:cs="Times New Roman"/>
                <w:sz w:val="28"/>
                <w:szCs w:val="28"/>
                <w:lang w:eastAsia="lv-LV" w:bidi="ar-SA"/>
              </w:rPr>
              <w:t>5</w:t>
            </w:r>
            <w:r w:rsidR="002437FE" w:rsidRPr="002437FE">
              <w:rPr>
                <w:rFonts w:cs="Times New Roman"/>
                <w:sz w:val="28"/>
                <w:szCs w:val="28"/>
                <w:lang w:eastAsia="lv-LV" w:bidi="ar-SA"/>
              </w:rPr>
              <w:t>; starptautiskajām miera nodrošināšanas operācijām – no 1,6 līdz 1,</w:t>
            </w:r>
            <w:r w:rsidR="002437FE">
              <w:rPr>
                <w:rFonts w:cs="Times New Roman"/>
                <w:sz w:val="28"/>
                <w:szCs w:val="28"/>
                <w:lang w:eastAsia="lv-LV" w:bidi="ar-SA"/>
              </w:rPr>
              <w:t xml:space="preserve">8; starptautiskajām militārām operācijām, kuru mērķis ir īstenot Apvienoto Nāciju Organizācijas Statūtu 51.panta noteiktās tiesības uz kolektīvo pašaizsardzību – 2,0. </w:t>
            </w:r>
            <w:r w:rsidR="002437FE" w:rsidRPr="002437FE">
              <w:rPr>
                <w:rFonts w:cs="Times New Roman"/>
                <w:sz w:val="28"/>
                <w:szCs w:val="28"/>
                <w:lang w:eastAsia="lv-LV" w:bidi="ar-SA"/>
              </w:rPr>
              <w:t xml:space="preserve">  </w:t>
            </w:r>
          </w:p>
          <w:p w:rsidR="00910940" w:rsidRPr="00E9544C" w:rsidRDefault="00B070ED" w:rsidP="00E9544C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544C">
              <w:rPr>
                <w:rFonts w:cs="Times New Roman"/>
                <w:sz w:val="28"/>
                <w:szCs w:val="28"/>
                <w:lang w:bidi="ar-SA"/>
              </w:rPr>
              <w:t>Tomēr pēdējo mēnešu</w:t>
            </w:r>
            <w:r w:rsidR="00886FE4">
              <w:rPr>
                <w:rFonts w:cs="Times New Roman"/>
                <w:sz w:val="28"/>
                <w:szCs w:val="28"/>
                <w:lang w:bidi="ar-SA"/>
              </w:rPr>
              <w:t xml:space="preserve"> laikā veiktie </w:t>
            </w:r>
            <w:r w:rsidR="003909C9" w:rsidRPr="00E9544C">
              <w:rPr>
                <w:rFonts w:cs="Times New Roman"/>
                <w:sz w:val="28"/>
                <w:szCs w:val="28"/>
                <w:lang w:bidi="ar-SA"/>
              </w:rPr>
              <w:t xml:space="preserve">drošības situācijas izvērtējumi krīzes reģionos un starptautisko operāciju norises </w:t>
            </w:r>
            <w:r w:rsidR="00E9544C" w:rsidRPr="00E9544C">
              <w:rPr>
                <w:rFonts w:cs="Times New Roman"/>
                <w:sz w:val="28"/>
                <w:szCs w:val="28"/>
                <w:lang w:bidi="ar-SA"/>
              </w:rPr>
              <w:t>vietās</w:t>
            </w:r>
            <w:r w:rsidR="003909C9" w:rsidRPr="00E9544C">
              <w:rPr>
                <w:rFonts w:cs="Times New Roman"/>
                <w:sz w:val="28"/>
                <w:szCs w:val="28"/>
                <w:lang w:bidi="ar-SA"/>
              </w:rPr>
              <w:t xml:space="preserve"> liecina, ka </w:t>
            </w:r>
            <w:r w:rsidR="003909C9" w:rsidRPr="00E9544C">
              <w:rPr>
                <w:rFonts w:cs="Times New Roman"/>
                <w:sz w:val="28"/>
                <w:szCs w:val="28"/>
                <w:lang w:bidi="ar-SA"/>
              </w:rPr>
              <w:lastRenderedPageBreak/>
              <w:t xml:space="preserve">noteikumu 2.pielikumā 2.punktā noteiktie piemaksu koeficentu diapazoni neatbilst apdraudējuma līmenim </w:t>
            </w:r>
            <w:r w:rsidR="00FB516A">
              <w:rPr>
                <w:rFonts w:cs="Times New Roman"/>
                <w:sz w:val="28"/>
                <w:szCs w:val="28"/>
                <w:lang w:bidi="ar-SA"/>
              </w:rPr>
              <w:t xml:space="preserve">un pildāmajiem uzdevumiem </w:t>
            </w:r>
            <w:r w:rsidR="003909C9" w:rsidRPr="00E9544C">
              <w:rPr>
                <w:rFonts w:cs="Times New Roman"/>
                <w:sz w:val="28"/>
                <w:szCs w:val="28"/>
                <w:lang w:bidi="ar-SA"/>
              </w:rPr>
              <w:t xml:space="preserve">esošo un </w:t>
            </w:r>
            <w:r w:rsidR="00C23B02">
              <w:rPr>
                <w:rFonts w:cs="Times New Roman"/>
                <w:sz w:val="28"/>
                <w:szCs w:val="28"/>
                <w:lang w:bidi="ar-SA"/>
              </w:rPr>
              <w:t>potenciāli iespējamo</w:t>
            </w:r>
            <w:r w:rsidR="003909C9" w:rsidRPr="00E9544C">
              <w:rPr>
                <w:rFonts w:cs="Times New Roman"/>
                <w:sz w:val="28"/>
                <w:szCs w:val="28"/>
                <w:lang w:bidi="ar-SA"/>
              </w:rPr>
              <w:t xml:space="preserve"> operāciju rajonos.   </w:t>
            </w:r>
          </w:p>
          <w:p w:rsidR="00E9544C" w:rsidRDefault="00E9544C" w:rsidP="00E9544C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Ņemot vērā iepriekš minēto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 xml:space="preserve">, kā arī novēroto  tendenci 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>draudiem krīžu  reģionos pēc to rakstura kļūt kompleksākiem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 xml:space="preserve">,   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Aizsardzības ministrija</w:t>
            </w:r>
            <w:r w:rsidR="00A16D9F">
              <w:rPr>
                <w:rFonts w:cs="Times New Roman"/>
                <w:sz w:val="28"/>
                <w:szCs w:val="28"/>
                <w:lang w:bidi="ar-SA"/>
              </w:rPr>
              <w:t>, iesniedz šo noteikumu projektu,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>kas paplašina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 xml:space="preserve"> Aizsardzības ministrijas un Nacionālo bruņoto spēku </w:t>
            </w:r>
            <w:r w:rsidR="00A04B18">
              <w:rPr>
                <w:rFonts w:cs="Times New Roman"/>
                <w:sz w:val="28"/>
                <w:szCs w:val="28"/>
                <w:lang w:bidi="ar-SA"/>
              </w:rPr>
              <w:t>ie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>spējas adekvāti reaģēt uz apdraudējumu daudzveidības</w:t>
            </w:r>
            <w:r w:rsidR="00965A5E">
              <w:rPr>
                <w:rFonts w:cs="Times New Roman"/>
                <w:sz w:val="28"/>
                <w:szCs w:val="28"/>
                <w:lang w:bidi="ar-SA"/>
              </w:rPr>
              <w:t xml:space="preserve"> un intensitātes 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 xml:space="preserve"> pieaugumu </w:t>
            </w:r>
            <w:r w:rsidR="00BA657C">
              <w:rPr>
                <w:rFonts w:cs="Times New Roman"/>
                <w:sz w:val="28"/>
                <w:szCs w:val="28"/>
                <w:lang w:bidi="ar-SA"/>
              </w:rPr>
              <w:t>esošo</w:t>
            </w:r>
            <w:r w:rsidR="00965A5E">
              <w:rPr>
                <w:rFonts w:cs="Times New Roman"/>
                <w:sz w:val="28"/>
                <w:szCs w:val="28"/>
                <w:lang w:bidi="ar-SA"/>
              </w:rPr>
              <w:t xml:space="preserve"> un potenciālo starptautisko operāciju </w:t>
            </w:r>
            <w:r w:rsidR="00D036E1">
              <w:rPr>
                <w:rFonts w:cs="Times New Roman"/>
                <w:sz w:val="28"/>
                <w:szCs w:val="28"/>
                <w:lang w:bidi="ar-SA"/>
              </w:rPr>
              <w:t xml:space="preserve"> rajonos</w:t>
            </w:r>
            <w:r w:rsidR="007942C7">
              <w:rPr>
                <w:rFonts w:cs="Times New Roman"/>
                <w:sz w:val="28"/>
                <w:szCs w:val="28"/>
                <w:lang w:bidi="ar-SA"/>
              </w:rPr>
              <w:t>,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>nosakot elastīgāku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koeficentu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 xml:space="preserve"> noteikšanas diapazonu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par dalību starptautiskajās operācijās 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 xml:space="preserve">šādiem </w:t>
            </w:r>
            <w:r>
              <w:rPr>
                <w:rFonts w:cs="Times New Roman"/>
                <w:sz w:val="28"/>
                <w:szCs w:val="28"/>
                <w:lang w:bidi="ar-SA"/>
              </w:rPr>
              <w:t>operācij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>u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veid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>iem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  <w:r w:rsidR="00A16D9F">
              <w:rPr>
                <w:rFonts w:cs="Times New Roman"/>
                <w:sz w:val="28"/>
                <w:szCs w:val="28"/>
                <w:lang w:bidi="ar-SA"/>
              </w:rPr>
              <w:t>atbilstoši</w:t>
            </w:r>
            <w:r w:rsidR="00965A5E">
              <w:rPr>
                <w:rFonts w:cs="Times New Roman"/>
                <w:sz w:val="28"/>
                <w:szCs w:val="28"/>
                <w:lang w:bidi="ar-SA"/>
              </w:rPr>
              <w:t xml:space="preserve"> likuma un</w:t>
            </w:r>
            <w:r w:rsidR="00A16D9F">
              <w:rPr>
                <w:rFonts w:cs="Times New Roman"/>
                <w:sz w:val="28"/>
                <w:szCs w:val="28"/>
                <w:lang w:bidi="ar-SA"/>
              </w:rPr>
              <w:t xml:space="preserve"> noteikumu 2.pielikuma klasifik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>ācijai: starptautiskajām glābšanas operācijām un starptautisk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>ajām humānām operācijām – no 1,0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 xml:space="preserve"> līdz 1,5; starptautiskajām miera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 xml:space="preserve"> uzturēšanas operācijām – no 1,3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 xml:space="preserve"> līdz 1,8; starptautiskaj</w:t>
            </w:r>
            <w:r w:rsidR="002437FE">
              <w:rPr>
                <w:rFonts w:cs="Times New Roman"/>
                <w:sz w:val="28"/>
                <w:szCs w:val="28"/>
                <w:lang w:bidi="ar-SA"/>
              </w:rPr>
              <w:t xml:space="preserve">ām 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>miera no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>drošināšanas operācij</w:t>
            </w:r>
            <w:r w:rsidR="002437FE">
              <w:rPr>
                <w:rFonts w:cs="Times New Roman"/>
                <w:sz w:val="28"/>
                <w:szCs w:val="28"/>
                <w:lang w:bidi="ar-SA"/>
              </w:rPr>
              <w:t>ām</w:t>
            </w:r>
            <w:r w:rsidR="007D40A7">
              <w:rPr>
                <w:rFonts w:cs="Times New Roman"/>
                <w:sz w:val="28"/>
                <w:szCs w:val="28"/>
                <w:lang w:bidi="ar-SA"/>
              </w:rPr>
              <w:t xml:space="preserve"> – no 1,6</w:t>
            </w:r>
            <w:r w:rsidR="00221928">
              <w:rPr>
                <w:rFonts w:cs="Times New Roman"/>
                <w:sz w:val="28"/>
                <w:szCs w:val="28"/>
                <w:lang w:bidi="ar-SA"/>
              </w:rPr>
              <w:t xml:space="preserve"> līdz 1,9.  </w:t>
            </w:r>
          </w:p>
          <w:p w:rsidR="00910940" w:rsidRPr="00E45DFB" w:rsidRDefault="00976F58" w:rsidP="00A04B18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976F58">
              <w:rPr>
                <w:rFonts w:cs="Times New Roman"/>
                <w:sz w:val="28"/>
                <w:szCs w:val="28"/>
                <w:lang w:bidi="ar-SA"/>
              </w:rPr>
              <w:t>Piemaksas koeficentu katrai konkrētai Nacionālo bruņoto spēku iesaistei starptautiskajā operācijā noteikumos paredzētajos ietvaros noteiks aizsardzības ministrs</w:t>
            </w:r>
            <w:r w:rsidR="00C23B02">
              <w:rPr>
                <w:rFonts w:cs="Times New Roman"/>
                <w:sz w:val="28"/>
                <w:szCs w:val="28"/>
                <w:lang w:bidi="ar-SA"/>
              </w:rPr>
              <w:t>,</w:t>
            </w:r>
            <w:r w:rsidRPr="00976F58">
              <w:rPr>
                <w:rFonts w:cs="Times New Roman"/>
                <w:sz w:val="28"/>
                <w:szCs w:val="28"/>
                <w:lang w:bidi="ar-SA"/>
              </w:rPr>
              <w:t xml:space="preserve"> pamatojoties uz Nacionālo bruņoto spēku komandiera </w:t>
            </w:r>
            <w:r w:rsidR="00A04B18">
              <w:rPr>
                <w:rFonts w:cs="Times New Roman"/>
                <w:sz w:val="28"/>
                <w:szCs w:val="28"/>
                <w:lang w:bidi="ar-SA"/>
              </w:rPr>
              <w:t>ieteikumu</w:t>
            </w:r>
            <w:r w:rsidRPr="00976F58">
              <w:rPr>
                <w:rFonts w:cs="Times New Roman"/>
                <w:sz w:val="28"/>
                <w:szCs w:val="28"/>
                <w:lang w:bidi="ar-SA"/>
              </w:rPr>
              <w:t xml:space="preserve">, kas </w:t>
            </w:r>
            <w:r w:rsidR="00C23B02">
              <w:rPr>
                <w:rFonts w:cs="Times New Roman"/>
                <w:sz w:val="28"/>
                <w:szCs w:val="28"/>
                <w:lang w:bidi="ar-SA"/>
              </w:rPr>
              <w:t xml:space="preserve">izriet no </w:t>
            </w:r>
            <w:r w:rsidR="00A04B18" w:rsidRPr="00A04B18">
              <w:rPr>
                <w:rFonts w:cs="Times New Roman"/>
                <w:sz w:val="28"/>
                <w:szCs w:val="28"/>
                <w:lang w:bidi="ar-SA"/>
              </w:rPr>
              <w:t>Apvienotā štāba visaptveroša militārā izvērtējuma par attiecīgās starptautiskās operācijas bīstamību un apdraudējuma raksturu</w:t>
            </w:r>
            <w:r w:rsidRPr="00976F58">
              <w:rPr>
                <w:rFonts w:cs="Times New Roman"/>
                <w:sz w:val="28"/>
                <w:szCs w:val="28"/>
                <w:lang w:bidi="ar-SA"/>
              </w:rPr>
              <w:t>.</w:t>
            </w:r>
          </w:p>
        </w:tc>
      </w:tr>
      <w:tr w:rsidR="007C1053" w:rsidRPr="00E45DFB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910940" w:rsidP="00A04B18">
            <w:pPr>
              <w:jc w:val="both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Noteikumu projekt</w:t>
            </w:r>
            <w:r w:rsidR="00A04B18">
              <w:rPr>
                <w:sz w:val="28"/>
                <w:szCs w:val="28"/>
              </w:rPr>
              <w:t xml:space="preserve">u </w:t>
            </w:r>
            <w:r w:rsidRPr="00E45DFB">
              <w:rPr>
                <w:sz w:val="28"/>
                <w:szCs w:val="28"/>
              </w:rPr>
              <w:t>izstrād</w:t>
            </w:r>
            <w:r w:rsidR="00C23B02">
              <w:rPr>
                <w:sz w:val="28"/>
                <w:szCs w:val="28"/>
              </w:rPr>
              <w:t>ājusi Aizsardzības ministrija</w:t>
            </w:r>
            <w:r w:rsidRPr="00E45DFB">
              <w:rPr>
                <w:sz w:val="28"/>
                <w:szCs w:val="28"/>
              </w:rPr>
              <w:t xml:space="preserve"> sadarbībā ar Nacionālajiem bruņotajiem spēkiem.</w:t>
            </w:r>
          </w:p>
        </w:tc>
      </w:tr>
      <w:tr w:rsidR="007C1053" w:rsidRPr="00E45DFB" w:rsidTr="00055AF4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4.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Cita informācija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D07F2B" w:rsidP="00C25CDC">
            <w:pPr>
              <w:jc w:val="both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Normatīvā akta izpi</w:t>
            </w:r>
            <w:r>
              <w:rPr>
                <w:sz w:val="28"/>
                <w:szCs w:val="28"/>
              </w:rPr>
              <w:t>ldi Aizsardzības ministrija 2015</w:t>
            </w:r>
            <w:r w:rsidRPr="00E45DFB">
              <w:rPr>
                <w:sz w:val="28"/>
                <w:szCs w:val="28"/>
              </w:rPr>
              <w:t>.</w:t>
            </w:r>
            <w:r w:rsidR="00A04B18">
              <w:rPr>
                <w:sz w:val="28"/>
                <w:szCs w:val="28"/>
              </w:rPr>
              <w:t xml:space="preserve"> gadā</w:t>
            </w:r>
            <w:r w:rsidRPr="00E45DFB">
              <w:rPr>
                <w:sz w:val="28"/>
                <w:szCs w:val="28"/>
              </w:rPr>
              <w:t xml:space="preserve"> un turpmākajos gados </w:t>
            </w:r>
            <w:r>
              <w:rPr>
                <w:sz w:val="28"/>
                <w:szCs w:val="28"/>
              </w:rPr>
              <w:t xml:space="preserve">attiecībā uz </w:t>
            </w:r>
            <w:r w:rsidR="00C25CDC">
              <w:rPr>
                <w:sz w:val="28"/>
                <w:szCs w:val="28"/>
              </w:rPr>
              <w:t xml:space="preserve">šobrīd spēkā esošajiem Saeimas apstiprinātajiem lēmumiem par Latvijas Nacionālo bruņoto spēku karavīru dalību </w:t>
            </w:r>
            <w:r>
              <w:rPr>
                <w:sz w:val="28"/>
                <w:szCs w:val="28"/>
              </w:rPr>
              <w:t>starptautiskajā</w:t>
            </w:r>
            <w:r w:rsidR="00C25CD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operācij</w:t>
            </w:r>
            <w:r w:rsidR="00C25CDC">
              <w:rPr>
                <w:sz w:val="28"/>
                <w:szCs w:val="28"/>
              </w:rPr>
              <w:t>ās</w:t>
            </w:r>
            <w:r>
              <w:rPr>
                <w:sz w:val="28"/>
                <w:szCs w:val="28"/>
              </w:rPr>
              <w:t xml:space="preserve">,  </w:t>
            </w:r>
            <w:r w:rsidRPr="00E45DFB">
              <w:rPr>
                <w:sz w:val="28"/>
                <w:szCs w:val="28"/>
              </w:rPr>
              <w:t xml:space="preserve">nodrošinās atbilstoši tai piešķirtajiem </w:t>
            </w:r>
            <w:r>
              <w:rPr>
                <w:sz w:val="28"/>
                <w:szCs w:val="28"/>
              </w:rPr>
              <w:t xml:space="preserve">valsts </w:t>
            </w:r>
            <w:r w:rsidRPr="00E45DFB">
              <w:rPr>
                <w:sz w:val="28"/>
                <w:szCs w:val="28"/>
              </w:rPr>
              <w:t xml:space="preserve">budžeta līdzekļiem no budžeta programmas 22.00.00 „Nacionālie bruņotie spēki” apakšprogrammas 22.10.00 „Starptautisko </w:t>
            </w:r>
            <w:r w:rsidRPr="00E45DFB">
              <w:rPr>
                <w:sz w:val="28"/>
                <w:szCs w:val="28"/>
              </w:rPr>
              <w:lastRenderedPageBreak/>
              <w:t>operāciju un Nacionālo bruņoto spēku personālsastāva centralizētais atalgojums” ietvaros</w:t>
            </w:r>
            <w:r>
              <w:rPr>
                <w:sz w:val="28"/>
                <w:szCs w:val="28"/>
              </w:rPr>
              <w:t>.</w:t>
            </w:r>
            <w:r w:rsidRPr="00E45DFB">
              <w:rPr>
                <w:sz w:val="28"/>
                <w:szCs w:val="28"/>
              </w:rPr>
              <w:t xml:space="preserve"> </w:t>
            </w:r>
          </w:p>
        </w:tc>
      </w:tr>
    </w:tbl>
    <w:p w:rsidR="00226001" w:rsidRPr="00E45DFB" w:rsidRDefault="00226001" w:rsidP="00226001">
      <w:r w:rsidRPr="00E45DFB">
        <w:lastRenderedPageBreak/>
        <w:t> </w:t>
      </w: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488"/>
        <w:gridCol w:w="5884"/>
      </w:tblGrid>
      <w:tr w:rsidR="00226001" w:rsidRPr="00E45DFB" w:rsidTr="00055AF4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E45DFB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F24779" w:rsidRPr="00E45DFB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1.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910940" w:rsidP="00A822E2">
            <w:pPr>
              <w:jc w:val="both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Noteikumu projekts attiecināms uz </w:t>
            </w:r>
            <w:r w:rsidR="00DD7579" w:rsidRPr="00E45DFB">
              <w:rPr>
                <w:sz w:val="28"/>
                <w:szCs w:val="28"/>
              </w:rPr>
              <w:t>Nacionālo bruņoto spēku karavīri</w:t>
            </w:r>
            <w:r w:rsidRPr="00E45DFB">
              <w:rPr>
                <w:sz w:val="28"/>
                <w:szCs w:val="28"/>
              </w:rPr>
              <w:t>em</w:t>
            </w:r>
            <w:r w:rsidR="00DD7579" w:rsidRPr="00E45DFB">
              <w:rPr>
                <w:sz w:val="28"/>
                <w:szCs w:val="28"/>
              </w:rPr>
              <w:t>,</w:t>
            </w:r>
            <w:r w:rsidR="00DD7579" w:rsidRPr="00E45DFB">
              <w:rPr>
                <w:bCs/>
                <w:sz w:val="28"/>
                <w:szCs w:val="28"/>
              </w:rPr>
              <w:t xml:space="preserve"> kuri</w:t>
            </w:r>
            <w:r w:rsidR="00DD7579" w:rsidRPr="00E45DFB">
              <w:rPr>
                <w:sz w:val="28"/>
                <w:szCs w:val="28"/>
              </w:rPr>
              <w:t xml:space="preserve"> piedalās starptautiskajās operācijās.</w:t>
            </w:r>
            <w:r w:rsidR="00302CB0" w:rsidRPr="00E45DFB">
              <w:rPr>
                <w:sz w:val="28"/>
                <w:szCs w:val="28"/>
              </w:rPr>
              <w:t xml:space="preserve"> </w:t>
            </w:r>
          </w:p>
          <w:p w:rsidR="00910940" w:rsidRPr="00E45DFB" w:rsidRDefault="00910940" w:rsidP="00A822E2">
            <w:pPr>
              <w:jc w:val="both"/>
              <w:rPr>
                <w:sz w:val="28"/>
                <w:szCs w:val="28"/>
              </w:rPr>
            </w:pPr>
          </w:p>
        </w:tc>
      </w:tr>
      <w:tr w:rsidR="00F24779" w:rsidRPr="00E45DFB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2.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910940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Noteikumu projekts nemaina tiesības un pienākumus, kā arī veicamās darbības</w:t>
            </w:r>
            <w:r w:rsidR="00C23B02">
              <w:rPr>
                <w:sz w:val="28"/>
                <w:szCs w:val="28"/>
              </w:rPr>
              <w:t>.</w:t>
            </w:r>
          </w:p>
        </w:tc>
      </w:tr>
      <w:tr w:rsidR="00F24779" w:rsidRPr="00E45DFB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3.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9235D7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Projekts šo jomu neskar.</w:t>
            </w:r>
          </w:p>
        </w:tc>
      </w:tr>
      <w:tr w:rsidR="00F24779" w:rsidRPr="00E45DFB" w:rsidTr="00055AF4">
        <w:trPr>
          <w:trHeight w:val="456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4.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Na</w:t>
            </w:r>
            <w:r w:rsidR="009235D7" w:rsidRPr="00E45DFB">
              <w:rPr>
                <w:sz w:val="28"/>
                <w:szCs w:val="28"/>
              </w:rPr>
              <w:t>v</w:t>
            </w:r>
          </w:p>
        </w:tc>
      </w:tr>
    </w:tbl>
    <w:p w:rsidR="00226001" w:rsidRPr="00E45DFB" w:rsidRDefault="00226001" w:rsidP="00226001"/>
    <w:p w:rsidR="00226001" w:rsidRPr="00E45DFB" w:rsidRDefault="00226001" w:rsidP="00226001">
      <w:r w:rsidRPr="00E45DFB">
        <w:t> </w:t>
      </w:r>
    </w:p>
    <w:tbl>
      <w:tblPr>
        <w:tblW w:w="5331" w:type="pct"/>
        <w:jc w:val="center"/>
        <w:tblCellSpacing w:w="15" w:type="dxa"/>
        <w:tblInd w:w="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035"/>
        <w:gridCol w:w="6420"/>
      </w:tblGrid>
      <w:tr w:rsidR="00226001" w:rsidRPr="00E45DFB" w:rsidTr="00055AF4">
        <w:trPr>
          <w:trHeight w:val="450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E45DFB" w:rsidRDefault="00F25F8B" w:rsidP="00226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  <w:r w:rsidR="00226001" w:rsidRPr="00E45DFB">
              <w:rPr>
                <w:b/>
                <w:bCs/>
                <w:sz w:val="28"/>
                <w:szCs w:val="28"/>
              </w:rPr>
              <w:t>. Tiesību akta projekta ietekme uz spēkā esošo tiesību normu sistēmu</w:t>
            </w:r>
          </w:p>
        </w:tc>
      </w:tr>
      <w:tr w:rsidR="00F24779" w:rsidRPr="00E45DFB" w:rsidTr="00055AF4">
        <w:trPr>
          <w:tblCellSpacing w:w="15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1.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DFB" w:rsidRPr="009E3130" w:rsidRDefault="00E45DFB" w:rsidP="007027FC">
            <w:pPr>
              <w:jc w:val="both"/>
              <w:rPr>
                <w:rFonts w:cs="Times New Roman"/>
                <w:sz w:val="28"/>
                <w:szCs w:val="28"/>
                <w:u w:val="single"/>
                <w:lang w:eastAsia="lv-LV" w:bidi="ar-SA"/>
              </w:rPr>
            </w:pPr>
          </w:p>
        </w:tc>
      </w:tr>
      <w:tr w:rsidR="00F24779" w:rsidRPr="00E45DFB" w:rsidTr="00055AF4">
        <w:trPr>
          <w:tblCellSpacing w:w="15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2.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C02BED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Aizsardzības ministrija</w:t>
            </w:r>
          </w:p>
        </w:tc>
      </w:tr>
      <w:tr w:rsidR="00F24779" w:rsidRPr="00E45DFB" w:rsidTr="00055AF4">
        <w:trPr>
          <w:tblCellSpacing w:w="15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3.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Cita informācija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Nav</w:t>
            </w:r>
          </w:p>
        </w:tc>
      </w:tr>
    </w:tbl>
    <w:p w:rsidR="00226001" w:rsidRPr="00E45DFB" w:rsidRDefault="00226001" w:rsidP="00226001">
      <w:pPr>
        <w:rPr>
          <w:sz w:val="28"/>
          <w:szCs w:val="28"/>
        </w:rPr>
      </w:pPr>
      <w:r w:rsidRPr="00E45DFB">
        <w:rPr>
          <w:sz w:val="28"/>
          <w:szCs w:val="28"/>
        </w:rPr>
        <w:t>  </w:t>
      </w:r>
    </w:p>
    <w:tbl>
      <w:tblPr>
        <w:tblW w:w="5306" w:type="pct"/>
        <w:jc w:val="center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2666"/>
        <w:gridCol w:w="5580"/>
      </w:tblGrid>
      <w:tr w:rsidR="00226001" w:rsidRPr="00E45DFB" w:rsidTr="00055AF4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E45DFB" w:rsidRDefault="00226001" w:rsidP="00EE0DF1">
            <w:pPr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V</w:t>
            </w:r>
            <w:r w:rsidR="00F25F8B">
              <w:rPr>
                <w:b/>
                <w:bCs/>
                <w:sz w:val="28"/>
                <w:szCs w:val="28"/>
              </w:rPr>
              <w:t>II</w:t>
            </w:r>
            <w:r w:rsidRPr="00E45DFB">
              <w:rPr>
                <w:b/>
                <w:bCs/>
                <w:sz w:val="28"/>
                <w:szCs w:val="28"/>
              </w:rPr>
              <w:t>. Tiesību akta projekta izpildes nodrošināšana un tās ietekme uz institūcijām</w:t>
            </w:r>
          </w:p>
        </w:tc>
      </w:tr>
      <w:tr w:rsidR="00204FD2" w:rsidRPr="00E45DFB" w:rsidTr="00055AF4">
        <w:trPr>
          <w:trHeight w:val="42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C3358A" w:rsidP="00C3358A">
            <w:pPr>
              <w:jc w:val="both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Projekta izpildi nodrošinās Aizsardzības ministrija un Nacionālie bruņotie spēki normatīvajos aktos noteiktajā kārtībā.</w:t>
            </w:r>
          </w:p>
        </w:tc>
      </w:tr>
      <w:tr w:rsidR="00204FD2" w:rsidRPr="00E45DFB" w:rsidTr="00055AF4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Projekta izpildes ietekme uz pārvaldes funkcijām un </w:t>
            </w:r>
            <w:r w:rsidRPr="00E45DFB">
              <w:rPr>
                <w:sz w:val="28"/>
                <w:szCs w:val="28"/>
              </w:rPr>
              <w:lastRenderedPageBreak/>
              <w:t xml:space="preserve">institucionālo struktūru. </w:t>
            </w:r>
          </w:p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6E64F5" w:rsidP="006E64F5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lastRenderedPageBreak/>
              <w:t xml:space="preserve">Projekta izpilde notiks esošo pārvaldes funkciju ietvaros. </w:t>
            </w:r>
            <w:r w:rsidR="00C3358A" w:rsidRPr="00E45DFB">
              <w:rPr>
                <w:sz w:val="28"/>
                <w:szCs w:val="28"/>
              </w:rPr>
              <w:t>Veicamās funkcijas un uzdevumi netiek paplašināti vai sašaurināti.</w:t>
            </w:r>
            <w:r w:rsidR="0015005A" w:rsidRPr="00E45DFB">
              <w:rPr>
                <w:sz w:val="28"/>
                <w:szCs w:val="28"/>
              </w:rPr>
              <w:t xml:space="preserve"> </w:t>
            </w:r>
          </w:p>
        </w:tc>
      </w:tr>
      <w:tr w:rsidR="00204FD2" w:rsidRPr="00E45DFB" w:rsidTr="00055AF4">
        <w:trPr>
          <w:trHeight w:val="39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Cita informācija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E45DFB" w:rsidRDefault="00226001" w:rsidP="00226001">
            <w:pPr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>Nav</w:t>
            </w:r>
          </w:p>
        </w:tc>
      </w:tr>
    </w:tbl>
    <w:p w:rsidR="009F337A" w:rsidRPr="00E45DFB" w:rsidRDefault="009F337A" w:rsidP="00CB08E1">
      <w:pPr>
        <w:rPr>
          <w:rFonts w:cs="Times New Roman"/>
          <w:sz w:val="28"/>
          <w:szCs w:val="28"/>
          <w:lang w:eastAsia="lv-LV" w:bidi="ar-SA"/>
        </w:rPr>
      </w:pPr>
    </w:p>
    <w:p w:rsidR="00364681" w:rsidRPr="00E45DFB" w:rsidRDefault="009F337A" w:rsidP="00CD33D9">
      <w:pPr>
        <w:ind w:left="-709"/>
        <w:rPr>
          <w:rFonts w:cs="Times New Roman"/>
          <w:sz w:val="28"/>
          <w:szCs w:val="28"/>
          <w:lang w:eastAsia="lv-LV" w:bidi="ar-SA"/>
        </w:rPr>
      </w:pPr>
      <w:r w:rsidRPr="00E45DFB">
        <w:rPr>
          <w:rFonts w:cs="Times New Roman"/>
          <w:sz w:val="28"/>
          <w:szCs w:val="28"/>
          <w:lang w:eastAsia="lv-LV" w:bidi="ar-SA"/>
        </w:rPr>
        <w:t xml:space="preserve">  </w:t>
      </w:r>
      <w:r w:rsidR="00CD33D9">
        <w:rPr>
          <w:rFonts w:cs="Times New Roman"/>
          <w:sz w:val="28"/>
          <w:szCs w:val="28"/>
          <w:lang w:eastAsia="lv-LV" w:bidi="ar-SA"/>
        </w:rPr>
        <w:t xml:space="preserve">  </w:t>
      </w:r>
      <w:r w:rsidR="00790A41" w:rsidRPr="00E45DFB">
        <w:rPr>
          <w:rFonts w:cs="Times New Roman"/>
          <w:i/>
          <w:sz w:val="28"/>
          <w:szCs w:val="28"/>
          <w:lang w:eastAsia="lv-LV" w:bidi="ar-SA"/>
        </w:rPr>
        <w:t>An</w:t>
      </w:r>
      <w:r w:rsidR="00D41263" w:rsidRPr="00E45DFB">
        <w:rPr>
          <w:rFonts w:cs="Times New Roman"/>
          <w:i/>
          <w:sz w:val="28"/>
          <w:szCs w:val="28"/>
          <w:lang w:eastAsia="lv-LV" w:bidi="ar-SA"/>
        </w:rPr>
        <w:t>otācijas</w:t>
      </w:r>
      <w:r w:rsidR="00790A41" w:rsidRPr="00E45DFB">
        <w:rPr>
          <w:rFonts w:cs="Times New Roman"/>
          <w:i/>
          <w:sz w:val="28"/>
          <w:szCs w:val="28"/>
          <w:lang w:eastAsia="lv-LV" w:bidi="ar-SA"/>
        </w:rPr>
        <w:t xml:space="preserve"> </w:t>
      </w:r>
      <w:r w:rsidR="00D07F2B">
        <w:rPr>
          <w:rFonts w:cs="Times New Roman"/>
          <w:i/>
          <w:sz w:val="28"/>
          <w:szCs w:val="28"/>
          <w:lang w:eastAsia="lv-LV" w:bidi="ar-SA"/>
        </w:rPr>
        <w:t xml:space="preserve">III, </w:t>
      </w:r>
      <w:r w:rsidR="001E7CA9" w:rsidRPr="00E45DFB">
        <w:rPr>
          <w:rFonts w:cs="Times New Roman"/>
          <w:i/>
          <w:sz w:val="28"/>
          <w:szCs w:val="28"/>
          <w:lang w:eastAsia="lv-LV" w:bidi="ar-SA"/>
        </w:rPr>
        <w:t>V un VI sadaļa – projekts šīs jomas</w:t>
      </w:r>
      <w:r w:rsidR="00FD1311" w:rsidRPr="00E45DFB">
        <w:rPr>
          <w:rFonts w:cs="Times New Roman"/>
          <w:i/>
          <w:sz w:val="28"/>
          <w:szCs w:val="28"/>
          <w:lang w:eastAsia="lv-LV" w:bidi="ar-SA"/>
        </w:rPr>
        <w:t xml:space="preserve"> neskar</w:t>
      </w:r>
      <w:r w:rsidR="00D07F2B">
        <w:rPr>
          <w:rFonts w:cs="Times New Roman"/>
          <w:i/>
          <w:sz w:val="28"/>
          <w:szCs w:val="28"/>
          <w:lang w:eastAsia="lv-LV" w:bidi="ar-SA"/>
        </w:rPr>
        <w:t>.</w:t>
      </w:r>
    </w:p>
    <w:p w:rsidR="00364681" w:rsidRPr="00E45DFB" w:rsidRDefault="00364681" w:rsidP="00CF6861">
      <w:pPr>
        <w:ind w:left="-364"/>
        <w:jc w:val="both"/>
        <w:rPr>
          <w:rFonts w:cs="Times New Roman"/>
          <w:sz w:val="28"/>
          <w:szCs w:val="28"/>
          <w:lang w:eastAsia="lv-LV" w:bidi="ar-SA"/>
        </w:rPr>
      </w:pPr>
    </w:p>
    <w:p w:rsidR="00892928" w:rsidRDefault="00892928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</w:p>
    <w:p w:rsidR="006B4918" w:rsidRPr="00077503" w:rsidRDefault="00077503" w:rsidP="00077503">
      <w:pPr>
        <w:tabs>
          <w:tab w:val="left" w:pos="3090"/>
        </w:tabs>
        <w:ind w:left="-709"/>
        <w:rPr>
          <w:rFonts w:cs="Times New Roman"/>
          <w:b/>
          <w:sz w:val="28"/>
          <w:szCs w:val="28"/>
          <w:lang w:eastAsia="lv-LV" w:bidi="ar-SA"/>
        </w:rPr>
      </w:pPr>
      <w:r w:rsidRPr="00077503">
        <w:rPr>
          <w:rFonts w:cs="Times New Roman"/>
          <w:b/>
          <w:sz w:val="28"/>
          <w:szCs w:val="28"/>
          <w:lang w:eastAsia="lv-LV" w:bidi="ar-SA"/>
        </w:rPr>
        <w:tab/>
      </w:r>
    </w:p>
    <w:p w:rsidR="00790A41" w:rsidRPr="00E45DFB" w:rsidRDefault="00892928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  <w:r w:rsidRPr="00E45DFB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E45DFB">
        <w:rPr>
          <w:rFonts w:cs="Times New Roman"/>
          <w:sz w:val="28"/>
          <w:szCs w:val="28"/>
          <w:lang w:eastAsia="lv-LV" w:bidi="ar-SA"/>
        </w:rPr>
        <w:t xml:space="preserve">Aizsardzības ministrs                                              </w:t>
      </w:r>
      <w:r w:rsidR="00055AF4" w:rsidRPr="00E45DFB">
        <w:rPr>
          <w:rFonts w:cs="Times New Roman"/>
          <w:sz w:val="28"/>
          <w:szCs w:val="28"/>
          <w:lang w:eastAsia="lv-LV" w:bidi="ar-SA"/>
        </w:rPr>
        <w:t xml:space="preserve">                        </w:t>
      </w:r>
      <w:r w:rsidR="00790A41" w:rsidRPr="00E45DFB">
        <w:rPr>
          <w:rFonts w:cs="Times New Roman"/>
          <w:sz w:val="28"/>
          <w:szCs w:val="28"/>
          <w:lang w:eastAsia="lv-LV" w:bidi="ar-SA"/>
        </w:rPr>
        <w:t xml:space="preserve">R.Vējonis </w:t>
      </w:r>
    </w:p>
    <w:p w:rsidR="00790A41" w:rsidRPr="00E45DFB" w:rsidRDefault="00790A41" w:rsidP="00790A41">
      <w:pPr>
        <w:tabs>
          <w:tab w:val="right" w:pos="9074"/>
        </w:tabs>
        <w:rPr>
          <w:rFonts w:cs="Times New Roman"/>
          <w:sz w:val="28"/>
          <w:szCs w:val="28"/>
          <w:lang w:eastAsia="lv-LV" w:bidi="ar-SA"/>
        </w:rPr>
      </w:pPr>
    </w:p>
    <w:p w:rsidR="007568C6" w:rsidRPr="00E45DFB" w:rsidRDefault="00055AF4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E45DFB">
        <w:rPr>
          <w:rFonts w:cs="Times New Roman"/>
          <w:sz w:val="28"/>
          <w:szCs w:val="28"/>
          <w:lang w:eastAsia="lv-LV" w:bidi="ar-SA"/>
        </w:rPr>
        <w:t xml:space="preserve">     </w:t>
      </w:r>
    </w:p>
    <w:p w:rsidR="00790A41" w:rsidRPr="00E45DFB" w:rsidRDefault="007568C6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E45DFB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E45DFB">
        <w:rPr>
          <w:rFonts w:cs="Times New Roman"/>
          <w:sz w:val="28"/>
          <w:szCs w:val="28"/>
          <w:lang w:eastAsia="lv-LV" w:bidi="ar-SA"/>
        </w:rPr>
        <w:t xml:space="preserve">Vīza: Valsts </w:t>
      </w:r>
      <w:r w:rsidR="00976F58" w:rsidRPr="00E45DFB">
        <w:rPr>
          <w:rFonts w:cs="Times New Roman"/>
          <w:sz w:val="28"/>
          <w:szCs w:val="28"/>
          <w:lang w:eastAsia="lv-LV" w:bidi="ar-SA"/>
        </w:rPr>
        <w:t>sekretār</w:t>
      </w:r>
      <w:r w:rsidR="00976F58">
        <w:rPr>
          <w:rFonts w:cs="Times New Roman"/>
          <w:sz w:val="28"/>
          <w:szCs w:val="28"/>
          <w:lang w:eastAsia="lv-LV" w:bidi="ar-SA"/>
        </w:rPr>
        <w:t>s</w:t>
      </w:r>
      <w:r w:rsidR="00790A41" w:rsidRPr="00E45DFB">
        <w:rPr>
          <w:rFonts w:cs="Times New Roman"/>
          <w:sz w:val="28"/>
          <w:szCs w:val="28"/>
          <w:lang w:eastAsia="lv-LV" w:bidi="ar-SA"/>
        </w:rPr>
        <w:tab/>
      </w:r>
      <w:r w:rsidR="00055AF4" w:rsidRPr="00E45DFB">
        <w:rPr>
          <w:rFonts w:cs="Times New Roman"/>
          <w:sz w:val="28"/>
          <w:szCs w:val="28"/>
          <w:lang w:eastAsia="lv-LV" w:bidi="ar-SA"/>
        </w:rPr>
        <w:tab/>
      </w:r>
      <w:r w:rsidR="00055AF4" w:rsidRPr="00E45DFB">
        <w:rPr>
          <w:rFonts w:cs="Times New Roman"/>
          <w:sz w:val="28"/>
          <w:szCs w:val="28"/>
          <w:lang w:eastAsia="lv-LV" w:bidi="ar-SA"/>
        </w:rPr>
        <w:tab/>
      </w:r>
      <w:r w:rsidR="00055AF4" w:rsidRPr="00E45DFB">
        <w:rPr>
          <w:rFonts w:cs="Times New Roman"/>
          <w:sz w:val="28"/>
          <w:szCs w:val="28"/>
          <w:lang w:eastAsia="lv-LV" w:bidi="ar-SA"/>
        </w:rPr>
        <w:tab/>
        <w:t xml:space="preserve">                </w:t>
      </w:r>
      <w:r w:rsidRPr="00E45DFB">
        <w:rPr>
          <w:rFonts w:cs="Times New Roman"/>
          <w:sz w:val="28"/>
          <w:szCs w:val="28"/>
          <w:lang w:eastAsia="lv-LV" w:bidi="ar-SA"/>
        </w:rPr>
        <w:t xml:space="preserve"> </w:t>
      </w:r>
      <w:r w:rsidR="00055AF4" w:rsidRPr="00E45DFB">
        <w:rPr>
          <w:rFonts w:cs="Times New Roman"/>
          <w:sz w:val="28"/>
          <w:szCs w:val="28"/>
          <w:lang w:eastAsia="lv-LV" w:bidi="ar-SA"/>
        </w:rPr>
        <w:t xml:space="preserve"> </w:t>
      </w:r>
      <w:r w:rsidR="00C23B02">
        <w:rPr>
          <w:rFonts w:cs="Times New Roman"/>
          <w:sz w:val="28"/>
          <w:szCs w:val="28"/>
          <w:lang w:eastAsia="lv-LV" w:bidi="ar-SA"/>
        </w:rPr>
        <w:tab/>
      </w:r>
      <w:r w:rsidR="00C23B02">
        <w:rPr>
          <w:rFonts w:cs="Times New Roman"/>
          <w:sz w:val="28"/>
          <w:szCs w:val="28"/>
          <w:lang w:eastAsia="lv-LV" w:bidi="ar-SA"/>
        </w:rPr>
        <w:tab/>
        <w:t xml:space="preserve">       </w:t>
      </w:r>
      <w:r w:rsidR="00976F58">
        <w:rPr>
          <w:rFonts w:cs="Times New Roman"/>
          <w:sz w:val="28"/>
          <w:szCs w:val="28"/>
          <w:lang w:eastAsia="lv-LV" w:bidi="ar-SA"/>
        </w:rPr>
        <w:t>J.Sārts</w:t>
      </w:r>
    </w:p>
    <w:p w:rsidR="00790A41" w:rsidRDefault="00790A41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332D02" w:rsidRDefault="00332D02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332D02" w:rsidRDefault="00332D02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332D02" w:rsidRDefault="00332D02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EE0DF1" w:rsidRDefault="00EE0DF1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EE0DF1" w:rsidRDefault="00EE0DF1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EE0DF1" w:rsidRPr="00E45DFB" w:rsidRDefault="00EE0DF1" w:rsidP="00790A41">
      <w:pPr>
        <w:ind w:left="-709"/>
        <w:rPr>
          <w:rFonts w:cs="Times New Roman"/>
          <w:color w:val="FF0000"/>
          <w:lang w:eastAsia="lv-LV" w:bidi="ar-SA"/>
        </w:rPr>
      </w:pPr>
    </w:p>
    <w:p w:rsidR="007568C6" w:rsidRPr="00E45DFB" w:rsidRDefault="007568C6" w:rsidP="00CD33D9">
      <w:pPr>
        <w:rPr>
          <w:rFonts w:cs="Times New Roman"/>
          <w:lang w:eastAsia="lv-LV" w:bidi="ar-SA"/>
        </w:rPr>
      </w:pPr>
    </w:p>
    <w:p w:rsidR="00D07515" w:rsidRPr="00D07515" w:rsidRDefault="00D07515" w:rsidP="00D07515">
      <w:pPr>
        <w:rPr>
          <w:rFonts w:cs="Times New Roman"/>
          <w:lang w:eastAsia="lv-LV" w:bidi="ar-SA"/>
        </w:rPr>
      </w:pPr>
    </w:p>
    <w:p w:rsidR="00D07515" w:rsidRPr="00D07515" w:rsidRDefault="00D07515" w:rsidP="00D07515">
      <w:pPr>
        <w:rPr>
          <w:rFonts w:cs="Times New Roman"/>
          <w:lang w:eastAsia="lv-LV" w:bidi="ar-SA"/>
        </w:rPr>
      </w:pPr>
      <w:r w:rsidRPr="00D07515">
        <w:rPr>
          <w:rFonts w:cs="Times New Roman"/>
          <w:lang w:eastAsia="lv-LV" w:bidi="ar-SA"/>
        </w:rPr>
        <w:fldChar w:fldCharType="begin"/>
      </w:r>
      <w:r w:rsidRPr="00D07515">
        <w:rPr>
          <w:rFonts w:cs="Times New Roman"/>
          <w:lang w:eastAsia="lv-LV" w:bidi="ar-SA"/>
        </w:rPr>
        <w:instrText xml:space="preserve"> CREATEDATE  \@ "dd.MM.yyyy H:mm"  \* MERGEFORMAT </w:instrText>
      </w:r>
      <w:r w:rsidRPr="00D07515">
        <w:rPr>
          <w:rFonts w:cs="Times New Roman"/>
          <w:lang w:eastAsia="lv-LV" w:bidi="ar-SA"/>
        </w:rPr>
        <w:fldChar w:fldCharType="separate"/>
      </w:r>
      <w:r w:rsidR="008C0949">
        <w:rPr>
          <w:rFonts w:cs="Times New Roman"/>
          <w:noProof/>
          <w:lang w:eastAsia="lv-LV" w:bidi="ar-SA"/>
        </w:rPr>
        <w:t>30.04.2015 9:50</w:t>
      </w:r>
      <w:r w:rsidRPr="00D07515">
        <w:rPr>
          <w:rFonts w:cs="Times New Roman"/>
          <w:lang w:eastAsia="lv-LV" w:bidi="ar-SA"/>
        </w:rPr>
        <w:fldChar w:fldCharType="end"/>
      </w:r>
    </w:p>
    <w:p w:rsidR="00D07515" w:rsidRPr="00D07515" w:rsidRDefault="00D07515" w:rsidP="00D07515">
      <w:pPr>
        <w:rPr>
          <w:rFonts w:cs="Times New Roman"/>
          <w:lang w:eastAsia="lv-LV" w:bidi="ar-SA"/>
        </w:rPr>
      </w:pPr>
      <w:r w:rsidRPr="00D07515">
        <w:rPr>
          <w:rFonts w:cs="Times New Roman"/>
          <w:lang w:eastAsia="lv-LV" w:bidi="ar-SA"/>
        </w:rPr>
        <w:fldChar w:fldCharType="begin"/>
      </w:r>
      <w:r w:rsidRPr="00D07515">
        <w:rPr>
          <w:rFonts w:cs="Times New Roman"/>
          <w:lang w:eastAsia="lv-LV" w:bidi="ar-SA"/>
        </w:rPr>
        <w:instrText xml:space="preserve"> NUMWORDS   \* MERGEFORMAT </w:instrText>
      </w:r>
      <w:r w:rsidRPr="00D07515">
        <w:rPr>
          <w:rFonts w:cs="Times New Roman"/>
          <w:lang w:eastAsia="lv-LV" w:bidi="ar-SA"/>
        </w:rPr>
        <w:fldChar w:fldCharType="separate"/>
      </w:r>
      <w:r w:rsidR="008C0949">
        <w:rPr>
          <w:rFonts w:cs="Times New Roman"/>
          <w:noProof/>
          <w:lang w:eastAsia="lv-LV" w:bidi="ar-SA"/>
        </w:rPr>
        <w:t>642</w:t>
      </w:r>
      <w:r w:rsidRPr="00D07515">
        <w:rPr>
          <w:rFonts w:cs="Times New Roman"/>
          <w:lang w:eastAsia="lv-LV" w:bidi="ar-SA"/>
        </w:rPr>
        <w:fldChar w:fldCharType="end"/>
      </w:r>
    </w:p>
    <w:p w:rsidR="00D07515" w:rsidRPr="00D07515" w:rsidRDefault="00D07515" w:rsidP="00D07515">
      <w:pPr>
        <w:rPr>
          <w:rFonts w:cs="Times New Roman"/>
          <w:lang w:eastAsia="lv-LV" w:bidi="ar-SA"/>
        </w:rPr>
      </w:pPr>
      <w:r w:rsidRPr="00D07515">
        <w:rPr>
          <w:rFonts w:cs="Times New Roman"/>
          <w:lang w:eastAsia="lv-LV" w:bidi="ar-SA"/>
        </w:rPr>
        <w:t xml:space="preserve">J.Pavlovičs </w:t>
      </w:r>
    </w:p>
    <w:p w:rsidR="00D07515" w:rsidRPr="00D07515" w:rsidRDefault="00D07515" w:rsidP="00D07515">
      <w:pPr>
        <w:rPr>
          <w:rFonts w:cs="Times New Roman"/>
          <w:lang w:eastAsia="lv-LV" w:bidi="ar-SA"/>
        </w:rPr>
      </w:pPr>
      <w:r w:rsidRPr="00D07515">
        <w:rPr>
          <w:rFonts w:cs="Times New Roman"/>
          <w:lang w:eastAsia="lv-LV" w:bidi="ar-SA"/>
        </w:rPr>
        <w:t>tālr:7335285;fakss 67335130</w:t>
      </w:r>
    </w:p>
    <w:p w:rsidR="00D07515" w:rsidRPr="00D07515" w:rsidRDefault="008C0949" w:rsidP="00D07515">
      <w:pPr>
        <w:rPr>
          <w:rFonts w:cs="Times New Roman"/>
          <w:sz w:val="24"/>
          <w:szCs w:val="24"/>
          <w:lang w:eastAsia="lv-LV" w:bidi="ar-SA"/>
        </w:rPr>
      </w:pPr>
      <w:hyperlink r:id="rId9" w:history="1">
        <w:r w:rsidR="00D07515" w:rsidRPr="00D07515">
          <w:rPr>
            <w:rFonts w:cs="Times New Roman"/>
            <w:color w:val="0000FF"/>
            <w:u w:val="single"/>
            <w:lang w:eastAsia="lv-LV" w:bidi="ar-SA"/>
          </w:rPr>
          <w:t>Jevgenijs.Pavlovics@mod.gov.lv</w:t>
        </w:r>
      </w:hyperlink>
      <w:r w:rsidR="00D07515" w:rsidRPr="00D07515">
        <w:rPr>
          <w:rFonts w:cs="Times New Roman"/>
          <w:lang w:eastAsia="lv-LV" w:bidi="ar-SA"/>
        </w:rPr>
        <w:t xml:space="preserve"> </w:t>
      </w:r>
    </w:p>
    <w:p w:rsidR="006E64F5" w:rsidRPr="00E45DFB" w:rsidRDefault="006E64F5" w:rsidP="00D07515">
      <w:bookmarkStart w:id="1" w:name="_GoBack"/>
      <w:bookmarkEnd w:id="1"/>
    </w:p>
    <w:sectPr w:rsidR="006E64F5" w:rsidRPr="00E45DFB" w:rsidSect="00055AF4">
      <w:footerReference w:type="default" r:id="rId10"/>
      <w:pgSz w:w="11906" w:h="16838"/>
      <w:pgMar w:top="1440" w:right="1800" w:bottom="1440" w:left="1800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1" w:rsidRDefault="00D036E1" w:rsidP="00721C60">
      <w:r>
        <w:separator/>
      </w:r>
    </w:p>
  </w:endnote>
  <w:endnote w:type="continuationSeparator" w:id="0">
    <w:p w:rsidR="00D036E1" w:rsidRDefault="00D036E1" w:rsidP="007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E1" w:rsidRPr="00F72CEF" w:rsidRDefault="00D036E1" w:rsidP="00F72CEF">
    <w:pPr>
      <w:ind w:left="-284" w:right="-341"/>
      <w:jc w:val="both"/>
      <w:rPr>
        <w:rFonts w:cs="Times New Roman"/>
        <w:lang w:eastAsia="lv-LV" w:bidi="ar-SA"/>
      </w:rPr>
    </w:pPr>
    <w:r w:rsidRPr="00055AF4">
      <w:rPr>
        <w:rFonts w:cs="Times New Roman"/>
        <w:lang w:eastAsia="lv-LV" w:bidi="ar-SA"/>
      </w:rPr>
      <w:t>A</w:t>
    </w:r>
    <w:r>
      <w:rPr>
        <w:rFonts w:cs="Times New Roman"/>
        <w:lang w:eastAsia="lv-LV" w:bidi="ar-SA"/>
      </w:rPr>
      <w:t>IManot_</w:t>
    </w:r>
    <w:r w:rsidR="001B42A7">
      <w:rPr>
        <w:rFonts w:cs="Times New Roman"/>
        <w:lang w:eastAsia="lv-LV" w:bidi="ar-SA"/>
      </w:rPr>
      <w:t>30042015</w:t>
    </w:r>
    <w:r w:rsidRPr="00055AF4">
      <w:rPr>
        <w:rFonts w:cs="Times New Roman"/>
        <w:lang w:eastAsia="lv-LV" w:bidi="ar-SA"/>
      </w:rPr>
      <w:t>_MK</w:t>
    </w:r>
    <w:r w:rsidR="00F72CEF">
      <w:rPr>
        <w:rFonts w:cs="Times New Roman"/>
        <w:lang w:eastAsia="lv-LV" w:bidi="ar-SA"/>
      </w:rPr>
      <w:t>509</w:t>
    </w:r>
    <w:r w:rsidRPr="00055AF4">
      <w:rPr>
        <w:rFonts w:cs="Times New Roman"/>
        <w:lang w:eastAsia="lv-LV" w:bidi="ar-SA"/>
      </w:rPr>
      <w:t xml:space="preserve">; </w:t>
    </w:r>
    <w:r w:rsidR="00F72CEF" w:rsidRPr="00F72CEF">
      <w:rPr>
        <w:rFonts w:cs="Times New Roman"/>
        <w:lang w:eastAsia="lv-LV" w:bidi="ar-SA"/>
      </w:rPr>
      <w:t>Ministru kabineta noteikumu projekta</w:t>
    </w:r>
    <w:r w:rsidR="00F72CEF">
      <w:rPr>
        <w:rFonts w:cs="Times New Roman"/>
        <w:lang w:eastAsia="lv-LV" w:bidi="ar-SA"/>
      </w:rPr>
      <w:t xml:space="preserve"> </w:t>
    </w:r>
    <w:r w:rsidR="00F72CEF" w:rsidRPr="00F72CEF">
      <w:rPr>
        <w:rFonts w:cs="Times New Roman"/>
        <w:lang w:eastAsia="lv-LV" w:bidi="ar-SA"/>
      </w:rPr>
      <w:t>„Grozījumi Ministru kabineta 2014.gada 26.augusta noteikumos Nr.509 „Noteikumi par karavīra mēnešalgas un speciālo piemaksu noteikšanas kārtību un to apmēru” sākotnējās ietekmes novērtējuma ziņojums (anotācija)</w:t>
    </w:r>
    <w:r w:rsidR="00F72CEF">
      <w:rPr>
        <w:rFonts w:cs="Times New Roman"/>
        <w:lang w:eastAsia="lv-LV" w:bidi="ar-SA"/>
      </w:rPr>
      <w:t xml:space="preserve">  </w:t>
    </w:r>
    <w:r w:rsidR="007E5ADE">
      <w:rPr>
        <w:rFonts w:cs="Times New Roman"/>
        <w:lang w:eastAsia="lv-LV" w:bidi="ar-SA"/>
      </w:rPr>
      <w:t xml:space="preserve">                                                               </w:t>
    </w:r>
    <w:r w:rsidRPr="00055AF4">
      <w:rPr>
        <w:rFonts w:cs="Times New Roman"/>
        <w:sz w:val="24"/>
        <w:szCs w:val="24"/>
        <w:lang w:eastAsia="lv-LV" w:bidi="ar-SA"/>
      </w:rPr>
      <w:fldChar w:fldCharType="begin"/>
    </w:r>
    <w:r w:rsidRPr="00055AF4">
      <w:rPr>
        <w:rFonts w:cs="Times New Roman"/>
        <w:sz w:val="24"/>
        <w:szCs w:val="24"/>
        <w:lang w:eastAsia="lv-LV" w:bidi="ar-SA"/>
      </w:rPr>
      <w:instrText xml:space="preserve"> PAGE   \* MERGEFORMAT </w:instrText>
    </w:r>
    <w:r w:rsidRPr="00055AF4">
      <w:rPr>
        <w:rFonts w:cs="Times New Roman"/>
        <w:sz w:val="24"/>
        <w:szCs w:val="24"/>
        <w:lang w:eastAsia="lv-LV" w:bidi="ar-SA"/>
      </w:rPr>
      <w:fldChar w:fldCharType="separate"/>
    </w:r>
    <w:r w:rsidR="008C0949">
      <w:rPr>
        <w:rFonts w:cs="Times New Roman"/>
        <w:noProof/>
        <w:sz w:val="24"/>
        <w:szCs w:val="24"/>
        <w:lang w:eastAsia="lv-LV" w:bidi="ar-SA"/>
      </w:rPr>
      <w:t>2</w:t>
    </w:r>
    <w:r w:rsidRPr="00055AF4">
      <w:rPr>
        <w:rFonts w:cs="Times New Roman"/>
        <w:noProof/>
        <w:sz w:val="24"/>
        <w:szCs w:val="24"/>
        <w:lang w:eastAsia="lv-LV" w:bidi="ar-SA"/>
      </w:rPr>
      <w:fldChar w:fldCharType="end"/>
    </w:r>
  </w:p>
  <w:p w:rsidR="00D036E1" w:rsidRPr="00055AF4" w:rsidRDefault="00D036E1" w:rsidP="00055AF4">
    <w:pPr>
      <w:jc w:val="both"/>
      <w:rPr>
        <w:rFonts w:cs="Times New Roman"/>
        <w:lang w:eastAsia="lv-LV" w:bidi="ar-SA"/>
      </w:rPr>
    </w:pPr>
  </w:p>
  <w:p w:rsidR="00D036E1" w:rsidRDefault="00D03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1" w:rsidRDefault="00D036E1" w:rsidP="00721C60">
      <w:r>
        <w:separator/>
      </w:r>
    </w:p>
  </w:footnote>
  <w:footnote w:type="continuationSeparator" w:id="0">
    <w:p w:rsidR="00D036E1" w:rsidRDefault="00D036E1" w:rsidP="0072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628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88F"/>
    <w:multiLevelType w:val="hybridMultilevel"/>
    <w:tmpl w:val="8A8A69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C9B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400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7"/>
    <w:rsid w:val="00034D90"/>
    <w:rsid w:val="000356BC"/>
    <w:rsid w:val="00042181"/>
    <w:rsid w:val="00042F0F"/>
    <w:rsid w:val="00045145"/>
    <w:rsid w:val="00055AF4"/>
    <w:rsid w:val="00077503"/>
    <w:rsid w:val="000A2455"/>
    <w:rsid w:val="000D0727"/>
    <w:rsid w:val="000F493B"/>
    <w:rsid w:val="00131927"/>
    <w:rsid w:val="00135EE7"/>
    <w:rsid w:val="0013670B"/>
    <w:rsid w:val="00137257"/>
    <w:rsid w:val="00146413"/>
    <w:rsid w:val="0015005A"/>
    <w:rsid w:val="00150778"/>
    <w:rsid w:val="001A16AF"/>
    <w:rsid w:val="001A5282"/>
    <w:rsid w:val="001B42A7"/>
    <w:rsid w:val="001C0FC5"/>
    <w:rsid w:val="001C25DB"/>
    <w:rsid w:val="001C3BD5"/>
    <w:rsid w:val="001C6616"/>
    <w:rsid w:val="001D5C7A"/>
    <w:rsid w:val="001E7CA9"/>
    <w:rsid w:val="001F6099"/>
    <w:rsid w:val="00204FD2"/>
    <w:rsid w:val="00214049"/>
    <w:rsid w:val="00221928"/>
    <w:rsid w:val="00226001"/>
    <w:rsid w:val="002276DA"/>
    <w:rsid w:val="00230D1E"/>
    <w:rsid w:val="002437FE"/>
    <w:rsid w:val="0026236D"/>
    <w:rsid w:val="00281AF8"/>
    <w:rsid w:val="00285737"/>
    <w:rsid w:val="0029183A"/>
    <w:rsid w:val="002A05A7"/>
    <w:rsid w:val="002A5FAE"/>
    <w:rsid w:val="002F4AF9"/>
    <w:rsid w:val="00302CB0"/>
    <w:rsid w:val="00304507"/>
    <w:rsid w:val="003103CD"/>
    <w:rsid w:val="00332D02"/>
    <w:rsid w:val="00364681"/>
    <w:rsid w:val="003909C9"/>
    <w:rsid w:val="00392774"/>
    <w:rsid w:val="00396F6B"/>
    <w:rsid w:val="003A10A1"/>
    <w:rsid w:val="003A56E4"/>
    <w:rsid w:val="003B135F"/>
    <w:rsid w:val="003C497E"/>
    <w:rsid w:val="003C5875"/>
    <w:rsid w:val="003E53AB"/>
    <w:rsid w:val="0041677F"/>
    <w:rsid w:val="00424B4B"/>
    <w:rsid w:val="00457A2D"/>
    <w:rsid w:val="004B2601"/>
    <w:rsid w:val="004C2B6A"/>
    <w:rsid w:val="004D6CBB"/>
    <w:rsid w:val="004F77DB"/>
    <w:rsid w:val="00511A3D"/>
    <w:rsid w:val="00521500"/>
    <w:rsid w:val="00564858"/>
    <w:rsid w:val="005864ED"/>
    <w:rsid w:val="0059118B"/>
    <w:rsid w:val="00594E03"/>
    <w:rsid w:val="005A6830"/>
    <w:rsid w:val="005A6B38"/>
    <w:rsid w:val="005B3197"/>
    <w:rsid w:val="005B4C6F"/>
    <w:rsid w:val="005B6A53"/>
    <w:rsid w:val="005F520F"/>
    <w:rsid w:val="005F5249"/>
    <w:rsid w:val="00627937"/>
    <w:rsid w:val="00647166"/>
    <w:rsid w:val="00683762"/>
    <w:rsid w:val="00686C54"/>
    <w:rsid w:val="006B3862"/>
    <w:rsid w:val="006B4918"/>
    <w:rsid w:val="006D079F"/>
    <w:rsid w:val="006D1E8B"/>
    <w:rsid w:val="006D2226"/>
    <w:rsid w:val="006D358B"/>
    <w:rsid w:val="006E64F5"/>
    <w:rsid w:val="007027FC"/>
    <w:rsid w:val="00721C60"/>
    <w:rsid w:val="007568C6"/>
    <w:rsid w:val="0076163E"/>
    <w:rsid w:val="007635F3"/>
    <w:rsid w:val="00780963"/>
    <w:rsid w:val="00790815"/>
    <w:rsid w:val="00790A41"/>
    <w:rsid w:val="007942C7"/>
    <w:rsid w:val="007A0562"/>
    <w:rsid w:val="007A1516"/>
    <w:rsid w:val="007A5830"/>
    <w:rsid w:val="007C1053"/>
    <w:rsid w:val="007D21DE"/>
    <w:rsid w:val="007D40A7"/>
    <w:rsid w:val="007E5ADE"/>
    <w:rsid w:val="007F4377"/>
    <w:rsid w:val="00802F61"/>
    <w:rsid w:val="008171F7"/>
    <w:rsid w:val="0083688D"/>
    <w:rsid w:val="008444EF"/>
    <w:rsid w:val="00844558"/>
    <w:rsid w:val="00854C82"/>
    <w:rsid w:val="00856AAF"/>
    <w:rsid w:val="00856F83"/>
    <w:rsid w:val="0088025F"/>
    <w:rsid w:val="008804EF"/>
    <w:rsid w:val="00886FE4"/>
    <w:rsid w:val="00892928"/>
    <w:rsid w:val="008944AB"/>
    <w:rsid w:val="008A6D6A"/>
    <w:rsid w:val="008B0935"/>
    <w:rsid w:val="008B3CF4"/>
    <w:rsid w:val="008C0949"/>
    <w:rsid w:val="008C1C39"/>
    <w:rsid w:val="008C2F87"/>
    <w:rsid w:val="008E6D94"/>
    <w:rsid w:val="008F0A5B"/>
    <w:rsid w:val="008F0C02"/>
    <w:rsid w:val="008F6DE2"/>
    <w:rsid w:val="009005C4"/>
    <w:rsid w:val="00910940"/>
    <w:rsid w:val="009235D7"/>
    <w:rsid w:val="009247C8"/>
    <w:rsid w:val="0095145F"/>
    <w:rsid w:val="00961EAA"/>
    <w:rsid w:val="0096447E"/>
    <w:rsid w:val="00965A5E"/>
    <w:rsid w:val="0096701F"/>
    <w:rsid w:val="00976F58"/>
    <w:rsid w:val="009A48D6"/>
    <w:rsid w:val="009C5B57"/>
    <w:rsid w:val="009D1A1A"/>
    <w:rsid w:val="009E3130"/>
    <w:rsid w:val="009F337A"/>
    <w:rsid w:val="00A04B18"/>
    <w:rsid w:val="00A04DD0"/>
    <w:rsid w:val="00A14FF3"/>
    <w:rsid w:val="00A16D9F"/>
    <w:rsid w:val="00A23FBF"/>
    <w:rsid w:val="00A30EF1"/>
    <w:rsid w:val="00A32227"/>
    <w:rsid w:val="00A32467"/>
    <w:rsid w:val="00A375B5"/>
    <w:rsid w:val="00A53AE5"/>
    <w:rsid w:val="00A822E2"/>
    <w:rsid w:val="00A937F1"/>
    <w:rsid w:val="00AD208D"/>
    <w:rsid w:val="00AD4150"/>
    <w:rsid w:val="00AF3AC3"/>
    <w:rsid w:val="00B070ED"/>
    <w:rsid w:val="00B12015"/>
    <w:rsid w:val="00B1791B"/>
    <w:rsid w:val="00B30FA4"/>
    <w:rsid w:val="00B371D1"/>
    <w:rsid w:val="00B44769"/>
    <w:rsid w:val="00BA657C"/>
    <w:rsid w:val="00BD065A"/>
    <w:rsid w:val="00BD3CC6"/>
    <w:rsid w:val="00BD4391"/>
    <w:rsid w:val="00BD4489"/>
    <w:rsid w:val="00BF6C2C"/>
    <w:rsid w:val="00C01B5F"/>
    <w:rsid w:val="00C02BED"/>
    <w:rsid w:val="00C16194"/>
    <w:rsid w:val="00C23B02"/>
    <w:rsid w:val="00C25CDC"/>
    <w:rsid w:val="00C27BB0"/>
    <w:rsid w:val="00C30F99"/>
    <w:rsid w:val="00C3237D"/>
    <w:rsid w:val="00C3358A"/>
    <w:rsid w:val="00C47459"/>
    <w:rsid w:val="00C729FB"/>
    <w:rsid w:val="00C81C18"/>
    <w:rsid w:val="00C978D5"/>
    <w:rsid w:val="00CB08E1"/>
    <w:rsid w:val="00CB1BBD"/>
    <w:rsid w:val="00CB7567"/>
    <w:rsid w:val="00CD135A"/>
    <w:rsid w:val="00CD33D9"/>
    <w:rsid w:val="00CD58B7"/>
    <w:rsid w:val="00CF2177"/>
    <w:rsid w:val="00CF5CF2"/>
    <w:rsid w:val="00CF6861"/>
    <w:rsid w:val="00D036E1"/>
    <w:rsid w:val="00D07280"/>
    <w:rsid w:val="00D07515"/>
    <w:rsid w:val="00D07F2B"/>
    <w:rsid w:val="00D16953"/>
    <w:rsid w:val="00D36ED9"/>
    <w:rsid w:val="00D41263"/>
    <w:rsid w:val="00D51502"/>
    <w:rsid w:val="00D51782"/>
    <w:rsid w:val="00D8501E"/>
    <w:rsid w:val="00D960F6"/>
    <w:rsid w:val="00DD1759"/>
    <w:rsid w:val="00DD4D52"/>
    <w:rsid w:val="00DD7579"/>
    <w:rsid w:val="00DE3821"/>
    <w:rsid w:val="00E14E15"/>
    <w:rsid w:val="00E37E70"/>
    <w:rsid w:val="00E4593B"/>
    <w:rsid w:val="00E45DFB"/>
    <w:rsid w:val="00E737A6"/>
    <w:rsid w:val="00E74E30"/>
    <w:rsid w:val="00E924F1"/>
    <w:rsid w:val="00E9544C"/>
    <w:rsid w:val="00EC1681"/>
    <w:rsid w:val="00EE0DF1"/>
    <w:rsid w:val="00F00E6A"/>
    <w:rsid w:val="00F12A5A"/>
    <w:rsid w:val="00F154E6"/>
    <w:rsid w:val="00F22346"/>
    <w:rsid w:val="00F24779"/>
    <w:rsid w:val="00F25F8B"/>
    <w:rsid w:val="00F4179A"/>
    <w:rsid w:val="00F56727"/>
    <w:rsid w:val="00F663BE"/>
    <w:rsid w:val="00F665C1"/>
    <w:rsid w:val="00F72CEF"/>
    <w:rsid w:val="00FB516A"/>
    <w:rsid w:val="00FD1311"/>
    <w:rsid w:val="00FE0FC0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07F2B"/>
    <w:rPr>
      <w:rFonts w:cs="Arial Unicode MS"/>
      <w:b/>
      <w:bCs/>
      <w:lang w:eastAsia="en-US" w:bidi="lo-LA"/>
    </w:rPr>
  </w:style>
  <w:style w:type="character" w:customStyle="1" w:styleId="CommentSubjectChar">
    <w:name w:val="Comment Subject Char"/>
    <w:basedOn w:val="CommentTextChar"/>
    <w:link w:val="CommentSubject"/>
    <w:rsid w:val="00D07F2B"/>
    <w:rPr>
      <w:rFonts w:cs="Arial Unicode MS"/>
      <w:b/>
      <w:bCs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07F2B"/>
    <w:rPr>
      <w:rFonts w:cs="Arial Unicode MS"/>
      <w:b/>
      <w:bCs/>
      <w:lang w:eastAsia="en-US" w:bidi="lo-LA"/>
    </w:rPr>
  </w:style>
  <w:style w:type="character" w:customStyle="1" w:styleId="CommentSubjectChar">
    <w:name w:val="Comment Subject Char"/>
    <w:basedOn w:val="CommentTextChar"/>
    <w:link w:val="CommentSubject"/>
    <w:rsid w:val="00D07F2B"/>
    <w:rPr>
      <w:rFonts w:cs="Arial Unicode MS"/>
      <w:b/>
      <w:bCs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1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vgenijs.Pavlovic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24F7-A7D5-40BF-BA58-8937CFD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642</Words>
  <Characters>5226</Characters>
  <Application>Microsoft Office Word</Application>
  <DocSecurity>0</DocSecurity>
  <Lines>193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projeks</vt:lpstr>
    </vt:vector>
  </TitlesOfParts>
  <Manager>Krīzes vadības departaments</Manager>
  <Company>AiM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projeks</dc:title>
  <dc:subject>Grozījumi Ministru kabineta 2014.gada 26.augusta noteikumos Nr.509 "Noteikumi par karavīra mēnešalgas un speciālo piemaksu noteikšanas kārtību un apmēru"</dc:subject>
  <dc:creator>jevgenijs.pavlovics@mod.gov.lv</dc:creator>
  <cp:keywords>Grozījumi MK noteikumos 509</cp:keywords>
  <dc:description>J.Pavlovičs_x000d_
tālr:67335285, fakss:67335130_x000d_
jevgenijs.pavlovics@mod.gov.lv</dc:description>
  <cp:lastModifiedBy>Jevgenijs Pavlovics</cp:lastModifiedBy>
  <cp:revision>6</cp:revision>
  <cp:lastPrinted>2015-04-30T09:55:00Z</cp:lastPrinted>
  <dcterms:created xsi:type="dcterms:W3CDTF">2015-04-30T06:50:00Z</dcterms:created>
  <dcterms:modified xsi:type="dcterms:W3CDTF">2015-04-30T10:01:00Z</dcterms:modified>
</cp:coreProperties>
</file>