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9" w:rsidRDefault="000C15E2" w:rsidP="00033149">
      <w:pPr>
        <w:jc w:val="center"/>
        <w:rPr>
          <w:b/>
          <w:bCs/>
          <w:sz w:val="24"/>
          <w:szCs w:val="24"/>
          <w:lang w:val="lv-LV"/>
        </w:rPr>
      </w:pPr>
      <w:r w:rsidRPr="00033149">
        <w:rPr>
          <w:rFonts w:cs="Times New Roman"/>
          <w:b/>
          <w:sz w:val="24"/>
          <w:szCs w:val="24"/>
          <w:lang w:val="lv-LV" w:eastAsia="lv-LV" w:bidi="ar-SA"/>
        </w:rPr>
        <w:t>Ministru kabineta noteikumu projekta „</w:t>
      </w:r>
      <w:r w:rsidR="00033149" w:rsidRPr="00033149">
        <w:rPr>
          <w:b/>
          <w:bCs/>
          <w:sz w:val="24"/>
          <w:szCs w:val="24"/>
          <w:lang w:val="lv-LV"/>
        </w:rPr>
        <w:t>Grozījum</w:t>
      </w:r>
      <w:r w:rsidR="000F009D">
        <w:rPr>
          <w:b/>
          <w:bCs/>
          <w:sz w:val="24"/>
          <w:szCs w:val="24"/>
          <w:lang w:val="lv-LV"/>
        </w:rPr>
        <w:t xml:space="preserve">i </w:t>
      </w:r>
      <w:r w:rsidR="00033149" w:rsidRPr="00033149">
        <w:rPr>
          <w:b/>
          <w:bCs/>
          <w:sz w:val="24"/>
          <w:szCs w:val="24"/>
          <w:lang w:val="lv-LV"/>
        </w:rPr>
        <w:t xml:space="preserve"> Ministru kabineta </w:t>
      </w:r>
    </w:p>
    <w:p w:rsidR="00033149" w:rsidRPr="00033149" w:rsidRDefault="00033149" w:rsidP="00033149">
      <w:pPr>
        <w:jc w:val="center"/>
        <w:rPr>
          <w:b/>
          <w:bCs/>
          <w:sz w:val="24"/>
          <w:szCs w:val="24"/>
          <w:lang w:val="lv-LV"/>
        </w:rPr>
      </w:pPr>
      <w:r w:rsidRPr="00033149">
        <w:rPr>
          <w:b/>
          <w:bCs/>
          <w:sz w:val="24"/>
          <w:szCs w:val="24"/>
          <w:lang w:val="lv-LV"/>
        </w:rPr>
        <w:t>20</w:t>
      </w:r>
      <w:r w:rsidRPr="003263B1">
        <w:rPr>
          <w:b/>
          <w:bCs/>
          <w:sz w:val="24"/>
          <w:szCs w:val="24"/>
          <w:lang w:val="lv-LV"/>
        </w:rPr>
        <w:t>12</w:t>
      </w:r>
      <w:r w:rsidRPr="00033149">
        <w:rPr>
          <w:b/>
          <w:bCs/>
          <w:sz w:val="24"/>
          <w:szCs w:val="24"/>
          <w:lang w:val="lv-LV"/>
        </w:rPr>
        <w:t xml:space="preserve">.gada </w:t>
      </w:r>
      <w:r w:rsidRPr="003263B1">
        <w:rPr>
          <w:b/>
          <w:bCs/>
          <w:sz w:val="24"/>
          <w:szCs w:val="24"/>
          <w:lang w:val="lv-LV"/>
        </w:rPr>
        <w:t xml:space="preserve">24.aprīļa </w:t>
      </w:r>
      <w:r w:rsidRPr="00033149">
        <w:rPr>
          <w:b/>
          <w:bCs/>
          <w:sz w:val="24"/>
          <w:szCs w:val="24"/>
          <w:lang w:val="lv-LV"/>
        </w:rPr>
        <w:t>noteikumos Nr.</w:t>
      </w:r>
      <w:r w:rsidRPr="003263B1">
        <w:rPr>
          <w:b/>
          <w:bCs/>
          <w:sz w:val="24"/>
          <w:szCs w:val="24"/>
          <w:lang w:val="lv-LV"/>
        </w:rPr>
        <w:t xml:space="preserve"> 294</w:t>
      </w:r>
      <w:r w:rsidR="00B5613E" w:rsidRPr="003263B1">
        <w:rPr>
          <w:b/>
          <w:bCs/>
          <w:sz w:val="24"/>
          <w:szCs w:val="24"/>
          <w:lang w:val="lv-LV"/>
        </w:rPr>
        <w:t xml:space="preserve"> </w:t>
      </w:r>
      <w:r w:rsidRPr="00033149">
        <w:rPr>
          <w:b/>
          <w:bCs/>
          <w:sz w:val="24"/>
          <w:szCs w:val="24"/>
          <w:lang w:val="lv-LV"/>
        </w:rPr>
        <w:t xml:space="preserve"> „</w:t>
      </w:r>
      <w:r w:rsidRPr="003263B1">
        <w:rPr>
          <w:b/>
          <w:bCs/>
          <w:sz w:val="24"/>
          <w:szCs w:val="24"/>
          <w:lang w:val="lv-LV"/>
        </w:rPr>
        <w:t>Kārtība, kādā valsts un pašvaldību iestāde</w:t>
      </w:r>
      <w:r w:rsidR="003B02B6" w:rsidRPr="003263B1">
        <w:rPr>
          <w:b/>
          <w:bCs/>
          <w:sz w:val="24"/>
          <w:szCs w:val="24"/>
          <w:lang w:val="lv-LV"/>
        </w:rPr>
        <w:t>s</w:t>
      </w:r>
      <w:r w:rsidRPr="003263B1">
        <w:rPr>
          <w:b/>
          <w:bCs/>
          <w:sz w:val="24"/>
          <w:szCs w:val="24"/>
          <w:lang w:val="lv-LV"/>
        </w:rPr>
        <w:t xml:space="preserve"> iegādājas un realizē ieročus un speciālos līdzekļus</w:t>
      </w:r>
      <w:r w:rsidRPr="00033149">
        <w:rPr>
          <w:b/>
          <w:bCs/>
          <w:sz w:val="24"/>
          <w:szCs w:val="24"/>
          <w:lang w:val="lv-LV"/>
        </w:rPr>
        <w:t xml:space="preserve">” </w:t>
      </w:r>
    </w:p>
    <w:p w:rsidR="003B02B6" w:rsidRDefault="000C15E2" w:rsidP="00033149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 w:rsidRPr="000C15E2">
        <w:rPr>
          <w:rFonts w:cs="Times New Roman"/>
          <w:b/>
          <w:sz w:val="24"/>
          <w:szCs w:val="24"/>
          <w:lang w:val="lv-LV" w:eastAsia="lv-LV" w:bidi="ar-SA"/>
        </w:rPr>
        <w:t xml:space="preserve"> sākotnējās ietekmes novērtējuma ziņojums</w:t>
      </w:r>
    </w:p>
    <w:p w:rsidR="00D7483A" w:rsidRPr="00D7483A" w:rsidRDefault="000C15E2" w:rsidP="00033149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 w:rsidRPr="000C15E2">
        <w:rPr>
          <w:rFonts w:cs="Times New Roman"/>
          <w:b/>
          <w:sz w:val="24"/>
          <w:szCs w:val="24"/>
          <w:lang w:val="lv-LV" w:eastAsia="lv-LV" w:bidi="ar-SA"/>
        </w:rPr>
        <w:t xml:space="preserve"> (anotācija)</w:t>
      </w:r>
    </w:p>
    <w:p w:rsidR="00DA55F2" w:rsidRPr="00E65F9E" w:rsidRDefault="00DA55F2" w:rsidP="00DA55F2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i/>
          <w:iCs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2"/>
        <w:gridCol w:w="62"/>
        <w:gridCol w:w="2691"/>
        <w:gridCol w:w="62"/>
        <w:gridCol w:w="5623"/>
        <w:gridCol w:w="60"/>
      </w:tblGrid>
      <w:tr w:rsidR="00065F37" w:rsidRPr="00E65F9E" w:rsidTr="009F4558">
        <w:trPr>
          <w:gridAfter w:val="1"/>
          <w:wAfter w:w="34" w:type="pct"/>
          <w:trHeight w:val="324"/>
        </w:trPr>
        <w:tc>
          <w:tcPr>
            <w:tcW w:w="496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065F37" w:rsidRPr="005602E6" w:rsidTr="009F4558">
        <w:trPr>
          <w:gridAfter w:val="1"/>
          <w:wAfter w:w="34" w:type="pct"/>
          <w:trHeight w:val="324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0C15E2" w:rsidRDefault="003B02B6" w:rsidP="008C18E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</w:t>
            </w:r>
            <w:r w:rsidRPr="009E755B">
              <w:rPr>
                <w:bCs/>
                <w:sz w:val="24"/>
                <w:szCs w:val="24"/>
                <w:lang w:val="lv-LV"/>
              </w:rPr>
              <w:t xml:space="preserve">   </w:t>
            </w:r>
            <w:r w:rsidR="00033149" w:rsidRPr="009E755B">
              <w:rPr>
                <w:bCs/>
                <w:sz w:val="24"/>
                <w:szCs w:val="24"/>
                <w:lang w:val="lv-LV"/>
              </w:rPr>
              <w:t>Grozījum</w:t>
            </w:r>
            <w:r w:rsidR="000F009D" w:rsidRPr="009E755B">
              <w:rPr>
                <w:bCs/>
                <w:sz w:val="24"/>
                <w:szCs w:val="24"/>
                <w:lang w:val="lv-LV"/>
              </w:rPr>
              <w:t>i</w:t>
            </w:r>
            <w:r w:rsidR="00033149" w:rsidRPr="009E755B">
              <w:rPr>
                <w:bCs/>
                <w:sz w:val="24"/>
                <w:szCs w:val="24"/>
                <w:lang w:val="lv-LV"/>
              </w:rPr>
              <w:t xml:space="preserve"> Ministru kabineta  2012.gada 24.aprīļa noteikumos Nr. 294  „Kārtība, kādā valsts un pašvaldību iestāde</w:t>
            </w:r>
            <w:r w:rsidRPr="009E755B">
              <w:rPr>
                <w:bCs/>
                <w:sz w:val="24"/>
                <w:szCs w:val="24"/>
                <w:lang w:val="lv-LV"/>
              </w:rPr>
              <w:t>s</w:t>
            </w:r>
            <w:r w:rsidR="00033149" w:rsidRPr="009E755B">
              <w:rPr>
                <w:bCs/>
                <w:sz w:val="24"/>
                <w:szCs w:val="24"/>
                <w:lang w:val="lv-LV"/>
              </w:rPr>
              <w:t xml:space="preserve"> iegādājas un realizē ieročus un speciālos līdzekļus” </w:t>
            </w:r>
            <w:r w:rsidR="007A2691" w:rsidRPr="009E755B">
              <w:rPr>
                <w:bCs/>
                <w:sz w:val="24"/>
                <w:szCs w:val="24"/>
                <w:lang w:val="lv-LV"/>
              </w:rPr>
              <w:t>izstrādā</w:t>
            </w:r>
            <w:r w:rsidR="008C18E9">
              <w:rPr>
                <w:bCs/>
                <w:sz w:val="24"/>
                <w:szCs w:val="24"/>
                <w:lang w:val="lv-LV"/>
              </w:rPr>
              <w:t xml:space="preserve">ti </w:t>
            </w:r>
            <w:r w:rsidR="007A2691" w:rsidRPr="009E755B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033149" w:rsidRPr="009E755B">
              <w:rPr>
                <w:rFonts w:cs="Times New Roman"/>
                <w:bCs/>
                <w:sz w:val="24"/>
                <w:szCs w:val="24"/>
                <w:lang w:val="lv-LV"/>
              </w:rPr>
              <w:t>saskaņā ar</w:t>
            </w:r>
            <w:r w:rsidR="00033149" w:rsidRPr="009E755B">
              <w:rPr>
                <w:bCs/>
                <w:sz w:val="24"/>
                <w:szCs w:val="24"/>
                <w:lang w:val="lv-LV"/>
              </w:rPr>
              <w:t xml:space="preserve"> Ieroču un speciālo līdzekļu </w:t>
            </w:r>
            <w:r w:rsidR="007A2691" w:rsidRPr="009E755B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033149" w:rsidRPr="009E755B">
              <w:rPr>
                <w:bCs/>
                <w:sz w:val="24"/>
                <w:szCs w:val="24"/>
                <w:lang w:val="lv-LV"/>
              </w:rPr>
              <w:t>aprites likuma 25.panta otro daļu</w:t>
            </w:r>
            <w:r w:rsidR="008C18E9">
              <w:rPr>
                <w:bCs/>
                <w:sz w:val="24"/>
                <w:szCs w:val="24"/>
                <w:lang w:val="lv-LV"/>
              </w:rPr>
              <w:t>.</w:t>
            </w:r>
            <w:r w:rsidR="009E755B">
              <w:rPr>
                <w:bCs/>
                <w:sz w:val="24"/>
                <w:szCs w:val="24"/>
                <w:lang w:val="lv-LV"/>
              </w:rPr>
              <w:t xml:space="preserve"> </w:t>
            </w:r>
          </w:p>
        </w:tc>
      </w:tr>
      <w:tr w:rsidR="00065F37" w:rsidRPr="005602E6" w:rsidTr="009F4558">
        <w:trPr>
          <w:gridAfter w:val="1"/>
          <w:wAfter w:w="34" w:type="pct"/>
          <w:trHeight w:val="372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5A3F88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5A3F88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033C2" w:rsidRPr="0071201B" w:rsidRDefault="00F033C2" w:rsidP="00F033C2">
            <w:pPr>
              <w:ind w:left="27" w:firstLine="333"/>
              <w:jc w:val="both"/>
              <w:rPr>
                <w:sz w:val="24"/>
                <w:szCs w:val="24"/>
                <w:lang w:val="lv-LV"/>
              </w:rPr>
            </w:pPr>
            <w:r w:rsidRPr="0071201B">
              <w:rPr>
                <w:sz w:val="24"/>
                <w:szCs w:val="24"/>
                <w:lang w:val="lv-LV"/>
              </w:rPr>
              <w:t>Militārā dienesta likuma 17.</w:t>
            </w:r>
            <w:r w:rsidRPr="0071201B">
              <w:rPr>
                <w:sz w:val="24"/>
                <w:szCs w:val="24"/>
                <w:vertAlign w:val="superscript"/>
                <w:lang w:val="lv-LV"/>
              </w:rPr>
              <w:t>1 </w:t>
            </w:r>
            <w:r w:rsidRPr="0071201B">
              <w:rPr>
                <w:sz w:val="24"/>
                <w:szCs w:val="24"/>
                <w:lang w:val="lv-LV"/>
              </w:rPr>
              <w:t>pant</w:t>
            </w:r>
            <w:r w:rsidR="004E0266">
              <w:rPr>
                <w:sz w:val="24"/>
                <w:szCs w:val="24"/>
                <w:lang w:val="lv-LV"/>
              </w:rPr>
              <w:t xml:space="preserve">a pirmajā daļā </w:t>
            </w:r>
            <w:r w:rsidRPr="0071201B">
              <w:rPr>
                <w:sz w:val="24"/>
                <w:szCs w:val="24"/>
                <w:lang w:val="lv-LV"/>
              </w:rPr>
              <w:t>ir</w:t>
            </w:r>
            <w:r w:rsidRPr="0071201B"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71201B">
              <w:rPr>
                <w:sz w:val="24"/>
                <w:szCs w:val="24"/>
                <w:lang w:val="lv-LV"/>
              </w:rPr>
              <w:t>iekļauta norma, kas</w:t>
            </w:r>
            <w:proofErr w:type="gramStart"/>
            <w:r w:rsidRPr="0071201B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="00F85F75" w:rsidRPr="0071201B">
              <w:rPr>
                <w:sz w:val="24"/>
                <w:szCs w:val="24"/>
                <w:lang w:val="lv-LV"/>
              </w:rPr>
              <w:t>nosaka, ka „Re</w:t>
            </w:r>
            <w:r w:rsidRPr="0071201B">
              <w:rPr>
                <w:sz w:val="24"/>
                <w:szCs w:val="24"/>
                <w:shd w:val="clear" w:color="auto" w:fill="FFFFFF"/>
                <w:lang w:val="lv-LV"/>
              </w:rPr>
              <w:t>krutēšanas un jaunsardzes centr</w:t>
            </w:r>
            <w:r w:rsidR="00F85F75" w:rsidRPr="0071201B">
              <w:rPr>
                <w:sz w:val="24"/>
                <w:szCs w:val="24"/>
                <w:shd w:val="clear" w:color="auto" w:fill="FFFFFF"/>
                <w:lang w:val="lv-LV"/>
              </w:rPr>
              <w:t>am  noteikto uzdevumu izpildei  ir tiesības iegādāties, glabāt un savā darbībā izmantot šaujamieročus ministra noteiktajā kārtībā</w:t>
            </w:r>
            <w:r w:rsidRPr="0071201B">
              <w:rPr>
                <w:sz w:val="24"/>
                <w:szCs w:val="24"/>
                <w:shd w:val="clear" w:color="auto" w:fill="FFFFFF"/>
                <w:lang w:val="lv-LV"/>
              </w:rPr>
              <w:t>”.</w:t>
            </w:r>
          </w:p>
          <w:p w:rsidR="00F033C2" w:rsidRPr="0071201B" w:rsidRDefault="00F033C2" w:rsidP="00F033C2">
            <w:pPr>
              <w:ind w:left="27" w:firstLine="333"/>
              <w:jc w:val="both"/>
              <w:rPr>
                <w:sz w:val="24"/>
                <w:szCs w:val="24"/>
                <w:lang w:val="lv-LV"/>
              </w:rPr>
            </w:pPr>
            <w:r w:rsidRPr="0071201B">
              <w:rPr>
                <w:sz w:val="24"/>
                <w:szCs w:val="24"/>
                <w:lang w:val="lv-LV"/>
              </w:rPr>
              <w:t xml:space="preserve">Kopš obligātā dienesta atcelšanas Jaunsardze ir vienīgā jauniešu brīvprātīgā kustība, kuras mērķis ir jaunatnes izglītošana valsts aizsardzības jomā un pilsoniskās apziņas un patriotisma veicināšana. </w:t>
            </w:r>
            <w:r w:rsidR="0071201B" w:rsidRPr="0071201B">
              <w:rPr>
                <w:sz w:val="24"/>
                <w:szCs w:val="24"/>
                <w:lang w:val="lv-LV"/>
              </w:rPr>
              <w:t xml:space="preserve">Šaušana ir viens no pamatelementiem apstiprinātajā Jaunsargu mācību paraugprogrammā. </w:t>
            </w:r>
            <w:r w:rsidRPr="0071201B">
              <w:rPr>
                <w:sz w:val="24"/>
                <w:szCs w:val="24"/>
                <w:lang w:val="lv-LV"/>
              </w:rPr>
              <w:t>Jaunsardzes kustības ietvaros jauniešiem Rekrutēšanas un jaunsardzes centrs dod iespēju interaktīvā veidā iepazīties ar militārā dienesta specifiku, apgūt šaušanas pamatus, iepazīties ar Nacionālo bruņoto spēku struktūru, uzdevumiem un dažādām militār</w:t>
            </w:r>
            <w:r w:rsidR="005602E6">
              <w:rPr>
                <w:sz w:val="24"/>
                <w:szCs w:val="24"/>
                <w:lang w:val="lv-LV"/>
              </w:rPr>
              <w:t>aj</w:t>
            </w:r>
            <w:r w:rsidRPr="0071201B">
              <w:rPr>
                <w:sz w:val="24"/>
                <w:szCs w:val="24"/>
                <w:lang w:val="lv-LV"/>
              </w:rPr>
              <w:t xml:space="preserve">ām profesijām. </w:t>
            </w:r>
          </w:p>
          <w:p w:rsidR="00FF11F7" w:rsidRPr="00F033C2" w:rsidRDefault="00FF11F7" w:rsidP="00C75784">
            <w:pPr>
              <w:ind w:left="27" w:firstLine="333"/>
              <w:jc w:val="both"/>
              <w:rPr>
                <w:sz w:val="24"/>
                <w:szCs w:val="24"/>
                <w:lang w:val="lv-LV"/>
              </w:rPr>
            </w:pPr>
            <w:r w:rsidRPr="00F033C2">
              <w:rPr>
                <w:sz w:val="24"/>
                <w:szCs w:val="24"/>
                <w:lang w:val="lv-LV"/>
              </w:rPr>
              <w:t xml:space="preserve">Ieroču un speciālo līdzekļu aprites likuma </w:t>
            </w:r>
            <w:r w:rsidRPr="00F033C2">
              <w:rPr>
                <w:bCs/>
                <w:sz w:val="24"/>
                <w:szCs w:val="24"/>
                <w:lang w:val="lv-LV"/>
              </w:rPr>
              <w:t xml:space="preserve">25.panta otrā daļa ir papildināta ar normu, kas nosaka, ka  Rekrutēšanas un jaunsardzes centrs </w:t>
            </w:r>
            <w:r w:rsidRPr="00F033C2">
              <w:rPr>
                <w:sz w:val="24"/>
                <w:szCs w:val="24"/>
                <w:lang w:val="lv-LV"/>
              </w:rPr>
              <w:t xml:space="preserve"> var iegādāties, glabāt un savā darbībā izmantot  šaujamieročus, lielas enerģijas pneimatiskos ieročus un to munīciju un organizēt </w:t>
            </w:r>
            <w:proofErr w:type="spellStart"/>
            <w:r w:rsidRPr="00F033C2">
              <w:rPr>
                <w:sz w:val="24"/>
                <w:szCs w:val="24"/>
                <w:lang w:val="lv-LV"/>
              </w:rPr>
              <w:t>treniņšaušanu</w:t>
            </w:r>
            <w:proofErr w:type="spellEnd"/>
            <w:r w:rsidR="00FA23CD" w:rsidRPr="00F033C2">
              <w:rPr>
                <w:sz w:val="24"/>
                <w:szCs w:val="24"/>
                <w:lang w:val="lv-LV"/>
              </w:rPr>
              <w:t>.</w:t>
            </w:r>
          </w:p>
          <w:p w:rsidR="00471F6D" w:rsidRPr="00F033C2" w:rsidRDefault="008D42B9" w:rsidP="00471F6D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F033C2">
              <w:rPr>
                <w:sz w:val="24"/>
                <w:szCs w:val="24"/>
                <w:lang w:val="lv-LV"/>
              </w:rPr>
              <w:t xml:space="preserve">      </w:t>
            </w:r>
            <w:r w:rsidR="00FF11F7" w:rsidRPr="00F033C2">
              <w:rPr>
                <w:sz w:val="24"/>
                <w:szCs w:val="24"/>
                <w:lang w:val="lv-LV"/>
              </w:rPr>
              <w:t xml:space="preserve"> Lai </w:t>
            </w:r>
            <w:r w:rsidRPr="00F033C2">
              <w:rPr>
                <w:sz w:val="24"/>
                <w:szCs w:val="24"/>
                <w:lang w:val="lv-LV"/>
              </w:rPr>
              <w:t>noteiktu kārtību, kādā Rekrutēšanas un jaunsardzes centrs iegādājas un realiz</w:t>
            </w:r>
            <w:r w:rsidR="001330C7" w:rsidRPr="00F033C2">
              <w:rPr>
                <w:sz w:val="24"/>
                <w:szCs w:val="24"/>
                <w:lang w:val="lv-LV"/>
              </w:rPr>
              <w:t>ē</w:t>
            </w:r>
            <w:r w:rsidRPr="00F033C2">
              <w:rPr>
                <w:sz w:val="24"/>
                <w:szCs w:val="24"/>
                <w:lang w:val="lv-LV"/>
              </w:rPr>
              <w:t xml:space="preserve"> šaujamieročus, lielas enerģijas pneimatiskos ieročus un to munīciju</w:t>
            </w:r>
            <w:r w:rsidR="00FF11F7" w:rsidRPr="00F033C2">
              <w:rPr>
                <w:sz w:val="24"/>
                <w:szCs w:val="24"/>
                <w:lang w:val="lv-LV"/>
              </w:rPr>
              <w:t>, Aizsardzības ministrija konstatēj</w:t>
            </w:r>
            <w:r w:rsidR="00D412E5" w:rsidRPr="00F033C2">
              <w:rPr>
                <w:sz w:val="24"/>
                <w:szCs w:val="24"/>
                <w:lang w:val="lv-LV"/>
              </w:rPr>
              <w:t>a</w:t>
            </w:r>
            <w:r w:rsidR="00FF11F7" w:rsidRPr="00F033C2">
              <w:rPr>
                <w:sz w:val="24"/>
                <w:szCs w:val="24"/>
                <w:lang w:val="lv-LV"/>
              </w:rPr>
              <w:t>, ka</w:t>
            </w:r>
            <w:proofErr w:type="gramStart"/>
            <w:r w:rsidR="00FF11F7" w:rsidRPr="00F033C2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="00FF11F7" w:rsidRPr="00F033C2">
              <w:rPr>
                <w:sz w:val="24"/>
                <w:szCs w:val="24"/>
                <w:lang w:val="lv-LV"/>
              </w:rPr>
              <w:t>nepieciešams izdarīt grozījumu</w:t>
            </w:r>
            <w:r w:rsidRPr="00F033C2">
              <w:rPr>
                <w:sz w:val="24"/>
                <w:szCs w:val="24"/>
                <w:lang w:val="lv-LV"/>
              </w:rPr>
              <w:t xml:space="preserve">s </w:t>
            </w:r>
            <w:r w:rsidRPr="00F033C2">
              <w:rPr>
                <w:bCs/>
                <w:sz w:val="24"/>
                <w:szCs w:val="24"/>
                <w:lang w:val="lv-LV"/>
              </w:rPr>
              <w:t>Ministru kabineta  2012.gada 24.aprīļa noteikum</w:t>
            </w:r>
            <w:r w:rsidR="005602E6">
              <w:rPr>
                <w:bCs/>
                <w:sz w:val="24"/>
                <w:szCs w:val="24"/>
                <w:lang w:val="lv-LV"/>
              </w:rPr>
              <w:t>os</w:t>
            </w:r>
            <w:r w:rsidRPr="00F033C2">
              <w:rPr>
                <w:bCs/>
                <w:sz w:val="24"/>
                <w:szCs w:val="24"/>
                <w:lang w:val="lv-LV"/>
              </w:rPr>
              <w:t xml:space="preserve"> Nr. 294  „Kārtība, kādā valsts un pašvaldību iestāde</w:t>
            </w:r>
            <w:r w:rsidR="002562CB" w:rsidRPr="00F033C2">
              <w:rPr>
                <w:bCs/>
                <w:sz w:val="24"/>
                <w:szCs w:val="24"/>
                <w:lang w:val="lv-LV"/>
              </w:rPr>
              <w:t>s</w:t>
            </w:r>
            <w:r w:rsidRPr="00F033C2">
              <w:rPr>
                <w:bCs/>
                <w:sz w:val="24"/>
                <w:szCs w:val="24"/>
                <w:lang w:val="lv-LV"/>
              </w:rPr>
              <w:t xml:space="preserve"> iegādājas un realizē ieročus un speciālos līdzekļus” </w:t>
            </w:r>
            <w:r w:rsidR="00D412E5" w:rsidRPr="00F033C2">
              <w:rPr>
                <w:bCs/>
                <w:sz w:val="24"/>
                <w:szCs w:val="24"/>
                <w:lang w:val="lv-LV"/>
              </w:rPr>
              <w:t xml:space="preserve">un </w:t>
            </w:r>
            <w:r w:rsidR="00471F6D" w:rsidRPr="00F033C2">
              <w:rPr>
                <w:bCs/>
                <w:sz w:val="24"/>
                <w:szCs w:val="24"/>
                <w:lang w:val="lv-LV"/>
              </w:rPr>
              <w:t xml:space="preserve">papildināt </w:t>
            </w:r>
            <w:r w:rsidRPr="00F033C2">
              <w:rPr>
                <w:bCs/>
                <w:sz w:val="24"/>
                <w:szCs w:val="24"/>
                <w:lang w:val="lv-LV"/>
              </w:rPr>
              <w:t xml:space="preserve">1.1. </w:t>
            </w:r>
            <w:r w:rsidR="00A816A7" w:rsidRPr="00F033C2">
              <w:rPr>
                <w:bCs/>
                <w:sz w:val="24"/>
                <w:szCs w:val="24"/>
                <w:lang w:val="lv-LV"/>
              </w:rPr>
              <w:t>apakš</w:t>
            </w:r>
            <w:r w:rsidRPr="00F033C2">
              <w:rPr>
                <w:bCs/>
                <w:sz w:val="24"/>
                <w:szCs w:val="24"/>
                <w:lang w:val="lv-LV"/>
              </w:rPr>
              <w:t>punkt</w:t>
            </w:r>
            <w:r w:rsidR="002562CB" w:rsidRPr="00F033C2">
              <w:rPr>
                <w:bCs/>
                <w:sz w:val="24"/>
                <w:szCs w:val="24"/>
                <w:lang w:val="lv-LV"/>
              </w:rPr>
              <w:t>u</w:t>
            </w:r>
            <w:r w:rsidR="001330C7" w:rsidRPr="00F033C2">
              <w:rPr>
                <w:bCs/>
                <w:sz w:val="24"/>
                <w:szCs w:val="24"/>
                <w:lang w:val="lv-LV"/>
              </w:rPr>
              <w:t>,</w:t>
            </w:r>
            <w:r w:rsidRPr="00F033C2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816A7" w:rsidRPr="00F033C2">
              <w:rPr>
                <w:bCs/>
                <w:sz w:val="24"/>
                <w:szCs w:val="24"/>
                <w:lang w:val="lv-LV"/>
              </w:rPr>
              <w:t>II</w:t>
            </w:r>
            <w:r w:rsidR="00C409D9" w:rsidRPr="00F033C2">
              <w:rPr>
                <w:bCs/>
                <w:sz w:val="24"/>
                <w:szCs w:val="24"/>
                <w:lang w:val="lv-LV"/>
              </w:rPr>
              <w:t>.</w:t>
            </w:r>
            <w:r w:rsidR="00A816A7" w:rsidRPr="00F033C2">
              <w:rPr>
                <w:bCs/>
                <w:sz w:val="24"/>
                <w:szCs w:val="24"/>
                <w:lang w:val="lv-LV"/>
              </w:rPr>
              <w:t xml:space="preserve"> nodaļas nosaukum</w:t>
            </w:r>
            <w:r w:rsidR="002562CB" w:rsidRPr="00F033C2">
              <w:rPr>
                <w:bCs/>
                <w:sz w:val="24"/>
                <w:szCs w:val="24"/>
                <w:lang w:val="lv-LV"/>
              </w:rPr>
              <w:t>u</w:t>
            </w:r>
            <w:r w:rsidR="00A816A7" w:rsidRPr="00F033C2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1330C7" w:rsidRPr="00F033C2">
              <w:rPr>
                <w:bCs/>
                <w:sz w:val="24"/>
                <w:szCs w:val="24"/>
                <w:lang w:val="lv-LV"/>
              </w:rPr>
              <w:t xml:space="preserve">un 2.punktu </w:t>
            </w:r>
            <w:r w:rsidR="00471F6D" w:rsidRPr="00F033C2">
              <w:rPr>
                <w:bCs/>
                <w:sz w:val="24"/>
                <w:szCs w:val="24"/>
                <w:lang w:val="lv-LV"/>
              </w:rPr>
              <w:t>ar  vārdiem „Rekrutēšanas un jaunsardzes centr</w:t>
            </w:r>
            <w:r w:rsidR="001330C7" w:rsidRPr="00F033C2">
              <w:rPr>
                <w:bCs/>
                <w:sz w:val="24"/>
                <w:szCs w:val="24"/>
                <w:lang w:val="lv-LV"/>
              </w:rPr>
              <w:t>s</w:t>
            </w:r>
            <w:r w:rsidR="00471F6D" w:rsidRPr="00F033C2">
              <w:rPr>
                <w:bCs/>
                <w:sz w:val="24"/>
                <w:szCs w:val="24"/>
                <w:lang w:val="lv-LV"/>
              </w:rPr>
              <w:t>”.</w:t>
            </w:r>
          </w:p>
          <w:p w:rsidR="00C409D9" w:rsidRDefault="00C409D9" w:rsidP="00471F6D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F033C2">
              <w:rPr>
                <w:bCs/>
                <w:sz w:val="24"/>
                <w:szCs w:val="24"/>
                <w:lang w:val="lv-LV"/>
              </w:rPr>
              <w:t>Vienlaikus nepieciešams  noteikt institūciju, kura nodrošinās ieroču iegādi Rekrutēšanas un jaunsardzes centra vajadzībām.</w:t>
            </w:r>
          </w:p>
          <w:p w:rsidR="0071201B" w:rsidRPr="00F033C2" w:rsidRDefault="0071201B" w:rsidP="00471F6D">
            <w:pPr>
              <w:jc w:val="both"/>
              <w:rPr>
                <w:sz w:val="24"/>
                <w:szCs w:val="24"/>
                <w:lang w:val="lv-LV"/>
              </w:rPr>
            </w:pPr>
          </w:p>
          <w:p w:rsidR="00065F37" w:rsidRPr="00FB0F67" w:rsidRDefault="00065F37" w:rsidP="00FB0F67">
            <w:pPr>
              <w:jc w:val="both"/>
              <w:rPr>
                <w:rFonts w:cs="Times New Roman"/>
                <w:i/>
                <w:sz w:val="24"/>
                <w:szCs w:val="24"/>
                <w:lang w:val="lv-LV" w:eastAsia="lv-LV" w:bidi="ar-SA"/>
              </w:rPr>
            </w:pPr>
          </w:p>
        </w:tc>
      </w:tr>
      <w:tr w:rsidR="00065F37" w:rsidRPr="00E65F9E" w:rsidTr="009F4558">
        <w:trPr>
          <w:gridAfter w:val="1"/>
          <w:wAfter w:w="34" w:type="pct"/>
          <w:trHeight w:val="372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0C15E2" w:rsidP="00FC22F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R</w:t>
            </w:r>
            <w:r w:rsidR="00FC22F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ekrutēšanas un jaunsardzes centrs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E64ADC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un </w:t>
            </w:r>
            <w:r w:rsidR="001F2472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 </w:t>
            </w:r>
          </w:p>
        </w:tc>
      </w:tr>
      <w:tr w:rsidR="00065F37" w:rsidRPr="00E65F9E" w:rsidTr="009F4558">
        <w:trPr>
          <w:gridAfter w:val="1"/>
          <w:wAfter w:w="34" w:type="pct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0637B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</w:t>
            </w:r>
            <w:r w:rsidR="000637B5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v.</w:t>
            </w:r>
          </w:p>
        </w:tc>
      </w:tr>
      <w:tr w:rsidR="00065F37" w:rsidRPr="000C15E2" w:rsidTr="009F4558">
        <w:trPr>
          <w:trHeight w:val="444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065F37" w:rsidRPr="005602E6" w:rsidTr="009F4558">
        <w:trPr>
          <w:trHeight w:val="372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0C15E2" w:rsidP="00FC22F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0C15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Jautājumam nav tiešas ietekmes uz sabiedrību kopumā, tas attiecas </w:t>
            </w:r>
            <w:r w:rsidR="00601E6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uz </w:t>
            </w:r>
            <w:r w:rsidRPr="000C15E2">
              <w:rPr>
                <w:rFonts w:cs="Times New Roman"/>
                <w:sz w:val="24"/>
                <w:szCs w:val="24"/>
                <w:lang w:val="lv-LV" w:eastAsia="lv-LV" w:bidi="ar-SA"/>
              </w:rPr>
              <w:t>R</w:t>
            </w:r>
            <w:r w:rsidR="00FC22F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ekrutēšanas un jaunsardzes centra </w:t>
            </w:r>
            <w:r w:rsidRPr="000C15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uzdevumiem.</w:t>
            </w:r>
          </w:p>
        </w:tc>
      </w:tr>
      <w:tr w:rsidR="00065F37" w:rsidRPr="00E65F9E" w:rsidTr="009F4558">
        <w:trPr>
          <w:trHeight w:val="408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9F4558">
        <w:trPr>
          <w:trHeight w:val="408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9F4558">
        <w:trPr>
          <w:trHeight w:val="276"/>
        </w:trPr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D50FA7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DA55F2" w:rsidRPr="00E65F9E" w:rsidRDefault="00DA55F2" w:rsidP="00DA55F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74"/>
        <w:gridCol w:w="5506"/>
      </w:tblGrid>
      <w:tr w:rsidR="00533376" w:rsidRPr="005602E6" w:rsidTr="00FB3975">
        <w:trPr>
          <w:trHeight w:val="300"/>
          <w:jc w:val="center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3376" w:rsidRPr="00E65F9E" w:rsidRDefault="00533376" w:rsidP="00FB3975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33376" w:rsidRPr="00E65F9E" w:rsidTr="00533376">
        <w:trPr>
          <w:trHeight w:val="336"/>
          <w:jc w:val="center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Pr="00E65F9E" w:rsidRDefault="00533376" w:rsidP="00FB397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Pr="00A23904" w:rsidRDefault="00533376" w:rsidP="00190FD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23904">
              <w:rPr>
                <w:rFonts w:cs="Times New Roman"/>
                <w:sz w:val="24"/>
                <w:szCs w:val="24"/>
                <w:lang w:val="lv-LV" w:eastAsia="lv-LV" w:bidi="ar-SA"/>
              </w:rPr>
              <w:t>R</w:t>
            </w:r>
            <w:r w:rsidR="00A23904" w:rsidRPr="00A23904">
              <w:rPr>
                <w:rFonts w:cs="Times New Roman"/>
                <w:sz w:val="24"/>
                <w:szCs w:val="24"/>
                <w:lang w:val="lv-LV" w:eastAsia="lv-LV" w:bidi="ar-SA"/>
              </w:rPr>
              <w:t>ekrutēšanas un jaunsardzes centrs</w:t>
            </w:r>
            <w:r w:rsidR="00190FD3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33376" w:rsidRPr="00B42912" w:rsidTr="00533376">
        <w:trPr>
          <w:trHeight w:val="360"/>
          <w:jc w:val="center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Pr="00E65F9E" w:rsidRDefault="00533376" w:rsidP="00FB397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533376" w:rsidRPr="00E65F9E" w:rsidRDefault="00533376" w:rsidP="00FB3975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  <w:p w:rsidR="00ED0FA2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ED0FA2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ED0FA2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ED0FA2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  <w:p w:rsidR="00ED0FA2" w:rsidRPr="00B42912" w:rsidRDefault="00ED0FA2" w:rsidP="00ED0FA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533376" w:rsidRPr="00E65F9E" w:rsidTr="00533376">
        <w:trPr>
          <w:trHeight w:val="312"/>
          <w:jc w:val="center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Pr="00E65F9E" w:rsidRDefault="00533376" w:rsidP="00FB397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376" w:rsidRPr="00E65F9E" w:rsidRDefault="00533376" w:rsidP="00FB3975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1259D2" w:rsidRDefault="001259D2" w:rsidP="00DD0703">
      <w:pPr>
        <w:tabs>
          <w:tab w:val="right" w:pos="9074"/>
        </w:tabs>
        <w:rPr>
          <w:i/>
          <w:iCs/>
          <w:sz w:val="25"/>
          <w:szCs w:val="25"/>
        </w:rPr>
      </w:pPr>
    </w:p>
    <w:p w:rsidR="001259D2" w:rsidRDefault="001259D2" w:rsidP="00DD0703">
      <w:pPr>
        <w:tabs>
          <w:tab w:val="right" w:pos="9074"/>
        </w:tabs>
        <w:rPr>
          <w:i/>
          <w:iCs/>
          <w:sz w:val="25"/>
          <w:szCs w:val="25"/>
        </w:rPr>
      </w:pPr>
    </w:p>
    <w:p w:rsidR="004600D1" w:rsidRPr="00E04AC2" w:rsidRDefault="00B42912" w:rsidP="00DD0703">
      <w:pPr>
        <w:tabs>
          <w:tab w:val="right" w:pos="9074"/>
        </w:tabs>
        <w:rPr>
          <w:i/>
          <w:iCs/>
          <w:sz w:val="25"/>
          <w:szCs w:val="25"/>
          <w:lang w:val="lv-LV"/>
        </w:rPr>
      </w:pPr>
      <w:r w:rsidRPr="00E04AC2">
        <w:rPr>
          <w:i/>
          <w:iCs/>
          <w:sz w:val="25"/>
          <w:szCs w:val="25"/>
          <w:lang w:val="lv-LV"/>
        </w:rPr>
        <w:t>Anotācijas II</w:t>
      </w:r>
      <w:r w:rsidR="00085A58" w:rsidRPr="00E04AC2">
        <w:rPr>
          <w:i/>
          <w:iCs/>
          <w:sz w:val="25"/>
          <w:szCs w:val="25"/>
          <w:lang w:val="lv-LV"/>
        </w:rPr>
        <w:t>I</w:t>
      </w:r>
      <w:r w:rsidR="005C2C69" w:rsidRPr="00E04AC2">
        <w:rPr>
          <w:i/>
          <w:iCs/>
          <w:sz w:val="25"/>
          <w:szCs w:val="25"/>
          <w:lang w:val="lv-LV"/>
        </w:rPr>
        <w:t>,</w:t>
      </w:r>
      <w:r w:rsidRPr="00E04AC2">
        <w:rPr>
          <w:i/>
          <w:iCs/>
          <w:sz w:val="25"/>
          <w:szCs w:val="25"/>
          <w:lang w:val="lv-LV"/>
        </w:rPr>
        <w:t xml:space="preserve"> IV</w:t>
      </w:r>
      <w:r w:rsidR="005F0A19" w:rsidRPr="00E04AC2">
        <w:rPr>
          <w:i/>
          <w:iCs/>
          <w:sz w:val="25"/>
          <w:szCs w:val="25"/>
          <w:lang w:val="lv-LV"/>
        </w:rPr>
        <w:t>,</w:t>
      </w:r>
      <w:r w:rsidRPr="00E04AC2">
        <w:rPr>
          <w:i/>
          <w:iCs/>
          <w:sz w:val="25"/>
          <w:szCs w:val="25"/>
          <w:lang w:val="lv-LV"/>
        </w:rPr>
        <w:t xml:space="preserve"> V</w:t>
      </w:r>
      <w:r w:rsidR="005F0A19" w:rsidRPr="00E04AC2">
        <w:rPr>
          <w:i/>
          <w:iCs/>
          <w:sz w:val="25"/>
          <w:szCs w:val="25"/>
          <w:lang w:val="lv-LV"/>
        </w:rPr>
        <w:t xml:space="preserve"> un V</w:t>
      </w:r>
      <w:r w:rsidR="00C92F5A" w:rsidRPr="00E04AC2">
        <w:rPr>
          <w:i/>
          <w:iCs/>
          <w:sz w:val="25"/>
          <w:szCs w:val="25"/>
          <w:lang w:val="lv-LV"/>
        </w:rPr>
        <w:t>I</w:t>
      </w:r>
      <w:r w:rsidR="005F0A19" w:rsidRPr="00E04AC2">
        <w:rPr>
          <w:i/>
          <w:iCs/>
          <w:sz w:val="25"/>
          <w:szCs w:val="25"/>
          <w:lang w:val="lv-LV"/>
        </w:rPr>
        <w:t xml:space="preserve"> </w:t>
      </w:r>
      <w:r w:rsidRPr="00E04AC2">
        <w:rPr>
          <w:i/>
          <w:iCs/>
          <w:sz w:val="25"/>
          <w:szCs w:val="25"/>
          <w:lang w:val="lv-LV"/>
        </w:rPr>
        <w:t>sadaļa</w:t>
      </w:r>
      <w:proofErr w:type="gramStart"/>
      <w:r w:rsidRPr="00E04AC2">
        <w:rPr>
          <w:i/>
          <w:iCs/>
          <w:sz w:val="25"/>
          <w:szCs w:val="25"/>
          <w:lang w:val="lv-LV"/>
        </w:rPr>
        <w:t xml:space="preserve"> </w:t>
      </w:r>
      <w:r w:rsidR="005A3F88" w:rsidRPr="00E04AC2">
        <w:rPr>
          <w:i/>
          <w:iCs/>
          <w:sz w:val="25"/>
          <w:szCs w:val="25"/>
          <w:lang w:val="lv-LV"/>
        </w:rPr>
        <w:t xml:space="preserve"> </w:t>
      </w:r>
      <w:proofErr w:type="gramEnd"/>
      <w:r w:rsidRPr="00E04AC2">
        <w:rPr>
          <w:i/>
          <w:iCs/>
          <w:sz w:val="25"/>
          <w:szCs w:val="25"/>
          <w:lang w:val="lv-LV"/>
        </w:rPr>
        <w:t xml:space="preserve">– </w:t>
      </w:r>
      <w:r w:rsidR="005A3F88" w:rsidRPr="00E04AC2">
        <w:rPr>
          <w:i/>
          <w:iCs/>
          <w:sz w:val="25"/>
          <w:szCs w:val="25"/>
          <w:lang w:val="lv-LV"/>
        </w:rPr>
        <w:t xml:space="preserve"> </w:t>
      </w:r>
      <w:r w:rsidRPr="00E04AC2">
        <w:rPr>
          <w:i/>
          <w:iCs/>
          <w:sz w:val="25"/>
          <w:szCs w:val="25"/>
          <w:lang w:val="lv-LV"/>
        </w:rPr>
        <w:t>projekts šīs jomas neskar</w:t>
      </w:r>
      <w:r w:rsidR="0063100B">
        <w:rPr>
          <w:i/>
          <w:iCs/>
          <w:sz w:val="25"/>
          <w:szCs w:val="25"/>
          <w:lang w:val="lv-LV"/>
        </w:rPr>
        <w:t>.</w:t>
      </w:r>
    </w:p>
    <w:p w:rsidR="001259D2" w:rsidRDefault="001259D2" w:rsidP="00DD0703">
      <w:pPr>
        <w:tabs>
          <w:tab w:val="right" w:pos="9074"/>
        </w:tabs>
        <w:rPr>
          <w:i/>
          <w:iCs/>
          <w:sz w:val="25"/>
          <w:szCs w:val="25"/>
        </w:rPr>
      </w:pPr>
    </w:p>
    <w:p w:rsidR="000C15E2" w:rsidRDefault="000C15E2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0C15E2" w:rsidRDefault="000C15E2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DD0703" w:rsidRPr="00E65F9E" w:rsidRDefault="00DD0703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  <w:r w:rsidRPr="00E65F9E">
        <w:rPr>
          <w:rFonts w:cs="Times New Roman"/>
          <w:sz w:val="24"/>
          <w:szCs w:val="24"/>
          <w:lang w:val="lv-LV"/>
        </w:rPr>
        <w:t>Aizsardzības ministrs</w:t>
      </w:r>
      <w:r w:rsidRPr="00E65F9E">
        <w:rPr>
          <w:rFonts w:cs="Times New Roman"/>
          <w:sz w:val="24"/>
          <w:szCs w:val="24"/>
          <w:lang w:val="lv-LV"/>
        </w:rPr>
        <w:tab/>
      </w:r>
      <w:r w:rsidR="004600D1" w:rsidRPr="00E65F9E">
        <w:rPr>
          <w:rFonts w:cs="Times New Roman"/>
          <w:sz w:val="24"/>
          <w:szCs w:val="24"/>
          <w:lang w:val="lv-LV"/>
        </w:rPr>
        <w:t>R.Vējonis</w:t>
      </w:r>
    </w:p>
    <w:p w:rsidR="004600D1" w:rsidRPr="00E65F9E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600D1" w:rsidRPr="00E65F9E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DD0703" w:rsidRPr="00E65F9E" w:rsidRDefault="00DD0703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r w:rsidRPr="00E65F9E">
        <w:rPr>
          <w:rFonts w:cs="Times New Roman"/>
          <w:sz w:val="24"/>
          <w:szCs w:val="24"/>
          <w:lang w:val="lv-LV"/>
        </w:rPr>
        <w:t>Vīza: valsts sekretārs</w:t>
      </w:r>
      <w:r w:rsidRPr="00E65F9E">
        <w:rPr>
          <w:rFonts w:cs="Times New Roman"/>
          <w:sz w:val="24"/>
          <w:szCs w:val="24"/>
          <w:lang w:val="lv-LV"/>
        </w:rPr>
        <w:tab/>
        <w:t>J.Sārts</w:t>
      </w:r>
    </w:p>
    <w:p w:rsidR="00085A58" w:rsidRDefault="00085A58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0C15E2" w:rsidRDefault="000C15E2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0C15E2" w:rsidRDefault="000C15E2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0C15E2" w:rsidRDefault="000C15E2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0C15E2" w:rsidRPr="002E6F96" w:rsidRDefault="00A506C4" w:rsidP="000C15E2">
      <w:pPr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1</w:t>
      </w:r>
      <w:r w:rsidR="004577F6">
        <w:rPr>
          <w:rFonts w:cs="Times New Roman"/>
          <w:lang w:val="lv-LV" w:eastAsia="lv-LV" w:bidi="ar-SA"/>
        </w:rPr>
        <w:t>4</w:t>
      </w:r>
      <w:r w:rsidR="00991F35">
        <w:rPr>
          <w:rFonts w:cs="Times New Roman"/>
          <w:lang w:val="lv-LV" w:eastAsia="lv-LV" w:bidi="ar-SA"/>
        </w:rPr>
        <w:t>.0</w:t>
      </w:r>
      <w:r>
        <w:rPr>
          <w:rFonts w:cs="Times New Roman"/>
          <w:lang w:val="lv-LV" w:eastAsia="lv-LV" w:bidi="ar-SA"/>
        </w:rPr>
        <w:t>5</w:t>
      </w:r>
      <w:r w:rsidR="00991F35">
        <w:rPr>
          <w:rFonts w:cs="Times New Roman"/>
          <w:lang w:val="lv-LV" w:eastAsia="lv-LV" w:bidi="ar-SA"/>
        </w:rPr>
        <w:t>.</w:t>
      </w:r>
      <w:r w:rsidR="000C15E2" w:rsidRPr="002E6F96">
        <w:rPr>
          <w:rFonts w:cs="Times New Roman"/>
          <w:lang w:val="lv-LV" w:eastAsia="lv-LV" w:bidi="ar-SA"/>
        </w:rPr>
        <w:t>201</w:t>
      </w:r>
      <w:r w:rsidR="006A58E1" w:rsidRPr="002E6F96">
        <w:rPr>
          <w:rFonts w:cs="Times New Roman"/>
          <w:lang w:val="lv-LV" w:eastAsia="lv-LV" w:bidi="ar-SA"/>
        </w:rPr>
        <w:t xml:space="preserve">5  </w:t>
      </w:r>
      <w:r w:rsidR="000C15E2" w:rsidRPr="002E6F96">
        <w:rPr>
          <w:rFonts w:cs="Times New Roman"/>
          <w:lang w:val="lv-LV" w:eastAsia="lv-LV" w:bidi="ar-SA"/>
        </w:rPr>
        <w:t xml:space="preserve"> 1</w:t>
      </w:r>
      <w:r w:rsidR="006A58E1" w:rsidRPr="002E6F96">
        <w:rPr>
          <w:rFonts w:cs="Times New Roman"/>
          <w:lang w:val="lv-LV" w:eastAsia="lv-LV" w:bidi="ar-SA"/>
        </w:rPr>
        <w:t>1</w:t>
      </w:r>
      <w:r w:rsidR="000C15E2" w:rsidRPr="002E6F96">
        <w:rPr>
          <w:rFonts w:cs="Times New Roman"/>
          <w:lang w:val="lv-LV" w:eastAsia="lv-LV" w:bidi="ar-SA"/>
        </w:rPr>
        <w:t>:</w:t>
      </w:r>
      <w:r w:rsidR="006A58E1" w:rsidRPr="002E6F96">
        <w:rPr>
          <w:rFonts w:cs="Times New Roman"/>
          <w:lang w:val="lv-LV" w:eastAsia="lv-LV" w:bidi="ar-SA"/>
        </w:rPr>
        <w:t>51</w:t>
      </w:r>
    </w:p>
    <w:p w:rsidR="000C15E2" w:rsidRPr="002E6F96" w:rsidRDefault="00C875B2" w:rsidP="000C15E2">
      <w:pPr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4</w:t>
      </w:r>
      <w:r w:rsidR="00991F35">
        <w:rPr>
          <w:rFonts w:cs="Times New Roman"/>
          <w:lang w:val="lv-LV" w:eastAsia="lv-LV" w:bidi="ar-SA"/>
        </w:rPr>
        <w:t>5</w:t>
      </w:r>
      <w:r w:rsidR="008C31B0">
        <w:rPr>
          <w:rFonts w:cs="Times New Roman"/>
          <w:lang w:val="lv-LV" w:eastAsia="lv-LV" w:bidi="ar-SA"/>
        </w:rPr>
        <w:t>1</w:t>
      </w:r>
    </w:p>
    <w:p w:rsidR="000C15E2" w:rsidRPr="002E6F96" w:rsidRDefault="000C15E2" w:rsidP="000C15E2">
      <w:pPr>
        <w:rPr>
          <w:rFonts w:cs="Times New Roman"/>
          <w:lang w:val="lv-LV" w:eastAsia="lv-LV" w:bidi="ar-SA"/>
        </w:rPr>
      </w:pPr>
      <w:r w:rsidRPr="002E6F96">
        <w:rPr>
          <w:rFonts w:cs="Times New Roman"/>
          <w:lang w:val="lv-LV" w:eastAsia="lv-LV" w:bidi="ar-SA"/>
        </w:rPr>
        <w:t>Kalvāne</w:t>
      </w:r>
      <w:r w:rsidR="002E6F96" w:rsidRPr="002E6F96">
        <w:rPr>
          <w:rFonts w:cs="Times New Roman"/>
          <w:lang w:val="lv-LV" w:eastAsia="lv-LV" w:bidi="ar-SA"/>
        </w:rPr>
        <w:t xml:space="preserve">, </w:t>
      </w:r>
      <w:r w:rsidRPr="002E6F96">
        <w:rPr>
          <w:rFonts w:cs="Times New Roman"/>
          <w:lang w:val="lv-LV" w:eastAsia="lv-LV" w:bidi="ar-SA"/>
        </w:rPr>
        <w:t>67335372</w:t>
      </w:r>
    </w:p>
    <w:p w:rsidR="000C15E2" w:rsidRDefault="000C15E2" w:rsidP="00085A58">
      <w:pPr>
        <w:rPr>
          <w:rFonts w:cs="Times New Roman"/>
          <w:sz w:val="16"/>
          <w:szCs w:val="16"/>
          <w:lang w:val="lv-LV" w:eastAsia="lv-LV" w:bidi="ar-SA"/>
        </w:rPr>
      </w:pPr>
      <w:r w:rsidRPr="002E6F96">
        <w:rPr>
          <w:rFonts w:cs="Times New Roman"/>
          <w:lang w:val="lv-LV" w:eastAsia="lv-LV" w:bidi="ar-SA"/>
        </w:rPr>
        <w:t>marija.kalvane@rjc.gov.lv</w:t>
      </w:r>
    </w:p>
    <w:sectPr w:rsidR="000C15E2" w:rsidSect="00306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274" w:bottom="1440" w:left="180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71" w:rsidRDefault="009D3671" w:rsidP="00793251">
      <w:r>
        <w:separator/>
      </w:r>
    </w:p>
  </w:endnote>
  <w:endnote w:type="continuationSeparator" w:id="0">
    <w:p w:rsidR="009D3671" w:rsidRDefault="009D3671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5" w:rsidRDefault="008B6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2019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8C63AD" w:rsidRPr="00FB0F67" w:rsidRDefault="008C63AD" w:rsidP="008C63AD">
        <w:pPr>
          <w:rPr>
            <w:rFonts w:cs="Times New Roman"/>
            <w:color w:val="808080" w:themeColor="background1" w:themeShade="80"/>
            <w:lang w:val="lv-LV" w:eastAsia="lv-LV" w:bidi="ar-SA"/>
          </w:rPr>
        </w:pPr>
        <w:r w:rsidRPr="00FB0F67">
          <w:rPr>
            <w:color w:val="808080" w:themeColor="background1" w:themeShade="80"/>
            <w:lang w:val="lv-LV"/>
          </w:rPr>
          <w:t>A</w:t>
        </w:r>
        <w:r w:rsidR="00C84114">
          <w:rPr>
            <w:color w:val="808080" w:themeColor="background1" w:themeShade="80"/>
            <w:lang w:val="lv-LV"/>
          </w:rPr>
          <w:t>i</w:t>
        </w:r>
        <w:bookmarkStart w:id="0" w:name="_GoBack"/>
        <w:bookmarkEnd w:id="0"/>
        <w:r w:rsidRPr="00FB0F67">
          <w:rPr>
            <w:color w:val="808080" w:themeColor="background1" w:themeShade="80"/>
            <w:lang w:val="lv-LV"/>
          </w:rPr>
          <w:t>MAnot_</w:t>
        </w:r>
        <w:r>
          <w:rPr>
            <w:color w:val="808080" w:themeColor="background1" w:themeShade="80"/>
            <w:lang w:val="lv-LV"/>
          </w:rPr>
          <w:t>1</w:t>
        </w:r>
        <w:r w:rsidR="00956B96">
          <w:rPr>
            <w:color w:val="808080" w:themeColor="background1" w:themeShade="80"/>
            <w:lang w:val="lv-LV"/>
          </w:rPr>
          <w:t>4</w:t>
        </w:r>
        <w:r>
          <w:rPr>
            <w:color w:val="808080" w:themeColor="background1" w:themeShade="80"/>
            <w:lang w:val="lv-LV"/>
          </w:rPr>
          <w:t>0</w:t>
        </w:r>
        <w:r w:rsidR="001559D3">
          <w:rPr>
            <w:color w:val="808080" w:themeColor="background1" w:themeShade="80"/>
            <w:lang w:val="lv-LV"/>
          </w:rPr>
          <w:t>5</w:t>
        </w:r>
        <w:r>
          <w:rPr>
            <w:color w:val="808080" w:themeColor="background1" w:themeShade="80"/>
            <w:lang w:val="lv-LV"/>
          </w:rPr>
          <w:t>2</w:t>
        </w:r>
        <w:r w:rsidRPr="00FB0F67">
          <w:rPr>
            <w:color w:val="808080" w:themeColor="background1" w:themeShade="80"/>
            <w:lang w:val="lv-LV"/>
          </w:rPr>
          <w:t>01</w:t>
        </w:r>
        <w:r>
          <w:rPr>
            <w:color w:val="808080" w:themeColor="background1" w:themeShade="80"/>
            <w:lang w:val="lv-LV"/>
          </w:rPr>
          <w:t>5_</w:t>
        </w:r>
        <w:r w:rsidRPr="00FB0F67">
          <w:rPr>
            <w:rFonts w:cs="Times New Roman"/>
            <w:color w:val="808080" w:themeColor="background1" w:themeShade="80"/>
            <w:lang w:val="lv-LV" w:eastAsia="lv-LV" w:bidi="ar-SA"/>
          </w:rPr>
          <w:t>Ministru kabineta noteikumu projekta „</w:t>
        </w:r>
        <w:r w:rsidRPr="00FB0F67">
          <w:rPr>
            <w:bCs/>
            <w:color w:val="808080" w:themeColor="background1" w:themeShade="80"/>
            <w:lang w:val="lv-LV"/>
          </w:rPr>
          <w:t>Grozījum</w:t>
        </w:r>
        <w:r>
          <w:rPr>
            <w:bCs/>
            <w:color w:val="808080" w:themeColor="background1" w:themeShade="80"/>
            <w:lang w:val="lv-LV"/>
          </w:rPr>
          <w:t>i</w:t>
        </w:r>
        <w:proofErr w:type="gramStart"/>
        <w:r>
          <w:rPr>
            <w:bCs/>
            <w:color w:val="808080" w:themeColor="background1" w:themeShade="80"/>
            <w:lang w:val="lv-LV"/>
          </w:rPr>
          <w:t xml:space="preserve"> </w:t>
        </w:r>
        <w:r w:rsidRPr="00FB0F67">
          <w:rPr>
            <w:bCs/>
            <w:color w:val="808080" w:themeColor="background1" w:themeShade="80"/>
            <w:lang w:val="lv-LV"/>
          </w:rPr>
          <w:t xml:space="preserve"> </w:t>
        </w:r>
        <w:proofErr w:type="gramEnd"/>
        <w:r w:rsidRPr="00FB0F67">
          <w:rPr>
            <w:bCs/>
            <w:color w:val="808080" w:themeColor="background1" w:themeShade="80"/>
            <w:lang w:val="lv-LV"/>
          </w:rPr>
          <w:t>Ministru kabineta  20</w:t>
        </w:r>
        <w:r w:rsidRPr="00FB0F67">
          <w:rPr>
            <w:bCs/>
            <w:color w:val="808080" w:themeColor="background1" w:themeShade="80"/>
          </w:rPr>
          <w:t>12</w:t>
        </w:r>
        <w:r w:rsidRPr="00FB0F67">
          <w:rPr>
            <w:bCs/>
            <w:color w:val="808080" w:themeColor="background1" w:themeShade="80"/>
            <w:lang w:val="lv-LV"/>
          </w:rPr>
          <w:t xml:space="preserve">.gada </w:t>
        </w:r>
        <w:r w:rsidRPr="00FB0F67">
          <w:rPr>
            <w:bCs/>
            <w:color w:val="808080" w:themeColor="background1" w:themeShade="80"/>
          </w:rPr>
          <w:t xml:space="preserve">24.aprīļa </w:t>
        </w:r>
        <w:r w:rsidRPr="00FB0F67">
          <w:rPr>
            <w:bCs/>
            <w:color w:val="808080" w:themeColor="background1" w:themeShade="80"/>
            <w:lang w:val="lv-LV"/>
          </w:rPr>
          <w:t>noteikumos Nr.</w:t>
        </w:r>
        <w:r w:rsidRPr="00FB0F67">
          <w:rPr>
            <w:bCs/>
            <w:color w:val="808080" w:themeColor="background1" w:themeShade="80"/>
          </w:rPr>
          <w:t xml:space="preserve"> 294 </w:t>
        </w:r>
        <w:r w:rsidRPr="00FB0F67">
          <w:rPr>
            <w:bCs/>
            <w:color w:val="808080" w:themeColor="background1" w:themeShade="80"/>
            <w:lang w:val="lv-LV"/>
          </w:rPr>
          <w:t xml:space="preserve"> „</w:t>
        </w:r>
        <w:proofErr w:type="spellStart"/>
        <w:r w:rsidRPr="00FB0F67">
          <w:rPr>
            <w:bCs/>
            <w:color w:val="808080" w:themeColor="background1" w:themeShade="80"/>
          </w:rPr>
          <w:t>Kārtība</w:t>
        </w:r>
        <w:proofErr w:type="spellEnd"/>
        <w:r w:rsidRPr="00FB0F67">
          <w:rPr>
            <w:bCs/>
            <w:color w:val="808080" w:themeColor="background1" w:themeShade="80"/>
          </w:rPr>
          <w:t xml:space="preserve">, </w:t>
        </w:r>
        <w:proofErr w:type="spellStart"/>
        <w:r w:rsidRPr="00FB0F67">
          <w:rPr>
            <w:bCs/>
            <w:color w:val="808080" w:themeColor="background1" w:themeShade="80"/>
          </w:rPr>
          <w:t>kādā</w:t>
        </w:r>
        <w:proofErr w:type="spellEnd"/>
        <w:r w:rsidRPr="00FB0F67">
          <w:rPr>
            <w:bCs/>
            <w:color w:val="808080" w:themeColor="background1" w:themeShade="80"/>
          </w:rPr>
          <w:t xml:space="preserve"> </w:t>
        </w:r>
        <w:proofErr w:type="spellStart"/>
        <w:r w:rsidRPr="00FB0F67">
          <w:rPr>
            <w:bCs/>
            <w:color w:val="808080" w:themeColor="background1" w:themeShade="80"/>
          </w:rPr>
          <w:t>valsts</w:t>
        </w:r>
        <w:proofErr w:type="spellEnd"/>
        <w:r w:rsidRPr="00FB0F67">
          <w:rPr>
            <w:bCs/>
            <w:color w:val="808080" w:themeColor="background1" w:themeShade="80"/>
          </w:rPr>
          <w:t xml:space="preserve"> un </w:t>
        </w:r>
        <w:proofErr w:type="spellStart"/>
        <w:r w:rsidRPr="00FB0F67">
          <w:rPr>
            <w:bCs/>
            <w:color w:val="808080" w:themeColor="background1" w:themeShade="80"/>
          </w:rPr>
          <w:t>pašvaldību</w:t>
        </w:r>
        <w:proofErr w:type="spellEnd"/>
        <w:r w:rsidRPr="00FB0F67">
          <w:rPr>
            <w:bCs/>
            <w:color w:val="808080" w:themeColor="background1" w:themeShade="80"/>
          </w:rPr>
          <w:t xml:space="preserve"> </w:t>
        </w:r>
        <w:proofErr w:type="spellStart"/>
        <w:r w:rsidRPr="00FB0F67">
          <w:rPr>
            <w:bCs/>
            <w:color w:val="808080" w:themeColor="background1" w:themeShade="80"/>
          </w:rPr>
          <w:t>iestāde</w:t>
        </w:r>
        <w:r>
          <w:rPr>
            <w:bCs/>
            <w:color w:val="808080" w:themeColor="background1" w:themeShade="80"/>
          </w:rPr>
          <w:t>s</w:t>
        </w:r>
        <w:proofErr w:type="spellEnd"/>
        <w:r>
          <w:rPr>
            <w:bCs/>
            <w:color w:val="808080" w:themeColor="background1" w:themeShade="80"/>
          </w:rPr>
          <w:t xml:space="preserve"> </w:t>
        </w:r>
        <w:r w:rsidRPr="00FB0F67">
          <w:rPr>
            <w:bCs/>
            <w:color w:val="808080" w:themeColor="background1" w:themeShade="80"/>
          </w:rPr>
          <w:t xml:space="preserve"> </w:t>
        </w:r>
        <w:proofErr w:type="spellStart"/>
        <w:r w:rsidRPr="00FB0F67">
          <w:rPr>
            <w:bCs/>
            <w:color w:val="808080" w:themeColor="background1" w:themeShade="80"/>
          </w:rPr>
          <w:t>iegādājas</w:t>
        </w:r>
        <w:proofErr w:type="spellEnd"/>
        <w:r w:rsidRPr="00FB0F67">
          <w:rPr>
            <w:bCs/>
            <w:color w:val="808080" w:themeColor="background1" w:themeShade="80"/>
          </w:rPr>
          <w:t xml:space="preserve">  un  </w:t>
        </w:r>
        <w:proofErr w:type="spellStart"/>
        <w:r w:rsidRPr="00FB0F67">
          <w:rPr>
            <w:bCs/>
            <w:color w:val="808080" w:themeColor="background1" w:themeShade="80"/>
          </w:rPr>
          <w:t>realizē</w:t>
        </w:r>
        <w:proofErr w:type="spellEnd"/>
        <w:r w:rsidRPr="00FB0F67">
          <w:rPr>
            <w:bCs/>
            <w:color w:val="808080" w:themeColor="background1" w:themeShade="80"/>
          </w:rPr>
          <w:t xml:space="preserve">  </w:t>
        </w:r>
        <w:proofErr w:type="spellStart"/>
        <w:r w:rsidRPr="00FB0F67">
          <w:rPr>
            <w:bCs/>
            <w:color w:val="808080" w:themeColor="background1" w:themeShade="80"/>
          </w:rPr>
          <w:t>ieročus</w:t>
        </w:r>
        <w:proofErr w:type="spellEnd"/>
        <w:r w:rsidRPr="00FB0F67">
          <w:rPr>
            <w:bCs/>
            <w:color w:val="808080" w:themeColor="background1" w:themeShade="80"/>
          </w:rPr>
          <w:t xml:space="preserve"> un </w:t>
        </w:r>
        <w:proofErr w:type="spellStart"/>
        <w:r w:rsidRPr="00FB0F67">
          <w:rPr>
            <w:bCs/>
            <w:color w:val="808080" w:themeColor="background1" w:themeShade="80"/>
          </w:rPr>
          <w:t>speciālos</w:t>
        </w:r>
        <w:proofErr w:type="spellEnd"/>
        <w:r w:rsidRPr="00FB0F67">
          <w:rPr>
            <w:bCs/>
            <w:color w:val="808080" w:themeColor="background1" w:themeShade="80"/>
          </w:rPr>
          <w:t xml:space="preserve">  </w:t>
        </w:r>
        <w:proofErr w:type="spellStart"/>
        <w:r w:rsidRPr="00FB0F67">
          <w:rPr>
            <w:bCs/>
            <w:color w:val="808080" w:themeColor="background1" w:themeShade="80"/>
          </w:rPr>
          <w:t>līdzekļus</w:t>
        </w:r>
        <w:proofErr w:type="spellEnd"/>
        <w:r w:rsidRPr="00FB0F67">
          <w:rPr>
            <w:bCs/>
            <w:color w:val="808080" w:themeColor="background1" w:themeShade="80"/>
            <w:lang w:val="lv-LV"/>
          </w:rPr>
          <w:t>”</w:t>
        </w:r>
        <w:r w:rsidR="008B6955">
          <w:rPr>
            <w:bCs/>
            <w:color w:val="808080" w:themeColor="background1" w:themeShade="80"/>
            <w:lang w:val="lv-LV"/>
          </w:rPr>
          <w:t>”</w:t>
        </w:r>
        <w:r w:rsidRPr="00FB0F67">
          <w:rPr>
            <w:bCs/>
            <w:color w:val="808080" w:themeColor="background1" w:themeShade="80"/>
            <w:lang w:val="lv-LV"/>
          </w:rPr>
          <w:t xml:space="preserve">  </w:t>
        </w:r>
        <w:r w:rsidRPr="00FB0F67">
          <w:rPr>
            <w:rFonts w:cs="Times New Roman"/>
            <w:color w:val="808080" w:themeColor="background1" w:themeShade="80"/>
            <w:lang w:val="lv-LV" w:eastAsia="lv-LV" w:bidi="ar-SA"/>
          </w:rPr>
          <w:t xml:space="preserve"> sākotnējās ietekmes novērtējuma ziņojums (anotācija)</w:t>
        </w:r>
        <w:r>
          <w:rPr>
            <w:rFonts w:cs="Times New Roman"/>
            <w:color w:val="808080" w:themeColor="background1" w:themeShade="80"/>
            <w:lang w:val="lv-LV" w:eastAsia="lv-LV" w:bidi="ar-SA"/>
          </w:rPr>
          <w:t xml:space="preserve">                                                 </w:t>
        </w:r>
      </w:p>
      <w:p w:rsidR="008C63AD" w:rsidRPr="008C63AD" w:rsidRDefault="008C63AD">
        <w:pPr>
          <w:pStyle w:val="Footer"/>
          <w:jc w:val="right"/>
          <w:rPr>
            <w:color w:val="808080" w:themeColor="background1" w:themeShade="80"/>
          </w:rPr>
        </w:pPr>
        <w:r w:rsidRPr="008C63AD">
          <w:rPr>
            <w:color w:val="808080" w:themeColor="background1" w:themeShade="80"/>
          </w:rPr>
          <w:fldChar w:fldCharType="begin"/>
        </w:r>
        <w:r w:rsidRPr="008C63AD">
          <w:rPr>
            <w:color w:val="808080" w:themeColor="background1" w:themeShade="80"/>
          </w:rPr>
          <w:instrText>PAGE   \* MERGEFORMAT</w:instrText>
        </w:r>
        <w:r w:rsidRPr="008C63AD">
          <w:rPr>
            <w:color w:val="808080" w:themeColor="background1" w:themeShade="80"/>
          </w:rPr>
          <w:fldChar w:fldCharType="separate"/>
        </w:r>
        <w:r w:rsidR="00C84114" w:rsidRPr="00C84114">
          <w:rPr>
            <w:noProof/>
            <w:color w:val="808080" w:themeColor="background1" w:themeShade="80"/>
            <w:lang w:val="lv-LV"/>
          </w:rPr>
          <w:t>1</w:t>
        </w:r>
        <w:r w:rsidRPr="008C63AD">
          <w:rPr>
            <w:color w:val="808080" w:themeColor="background1" w:themeShade="80"/>
          </w:rPr>
          <w:fldChar w:fldCharType="end"/>
        </w:r>
      </w:p>
    </w:sdtContent>
  </w:sdt>
  <w:p w:rsidR="00793251" w:rsidRPr="00FB0F67" w:rsidRDefault="00793251" w:rsidP="000C15E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5" w:rsidRDefault="008B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71" w:rsidRDefault="009D3671" w:rsidP="00793251">
      <w:r>
        <w:separator/>
      </w:r>
    </w:p>
  </w:footnote>
  <w:footnote w:type="continuationSeparator" w:id="0">
    <w:p w:rsidR="009D3671" w:rsidRDefault="009D3671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5" w:rsidRDefault="008B6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5" w:rsidRDefault="008B6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5" w:rsidRDefault="008B6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23719"/>
    <w:rsid w:val="00030C42"/>
    <w:rsid w:val="00033149"/>
    <w:rsid w:val="000402EC"/>
    <w:rsid w:val="00040BA5"/>
    <w:rsid w:val="00042947"/>
    <w:rsid w:val="000637B5"/>
    <w:rsid w:val="00065F37"/>
    <w:rsid w:val="00085A58"/>
    <w:rsid w:val="000C15E2"/>
    <w:rsid w:val="000E4F01"/>
    <w:rsid w:val="000E69BF"/>
    <w:rsid w:val="000F009D"/>
    <w:rsid w:val="000F24DA"/>
    <w:rsid w:val="001259D2"/>
    <w:rsid w:val="001330C7"/>
    <w:rsid w:val="0014533C"/>
    <w:rsid w:val="00154B0D"/>
    <w:rsid w:val="001559D3"/>
    <w:rsid w:val="00190FD3"/>
    <w:rsid w:val="001919C8"/>
    <w:rsid w:val="0019390A"/>
    <w:rsid w:val="001C25DB"/>
    <w:rsid w:val="001E4AA9"/>
    <w:rsid w:val="001E4F19"/>
    <w:rsid w:val="001F2472"/>
    <w:rsid w:val="00205799"/>
    <w:rsid w:val="00224D82"/>
    <w:rsid w:val="00242A1F"/>
    <w:rsid w:val="002447A7"/>
    <w:rsid w:val="002562CB"/>
    <w:rsid w:val="0026236D"/>
    <w:rsid w:val="002768AB"/>
    <w:rsid w:val="00287DA8"/>
    <w:rsid w:val="002E6F96"/>
    <w:rsid w:val="002E7FD5"/>
    <w:rsid w:val="00304507"/>
    <w:rsid w:val="00306AA5"/>
    <w:rsid w:val="003263B1"/>
    <w:rsid w:val="00333AAA"/>
    <w:rsid w:val="003B02B6"/>
    <w:rsid w:val="003B1EE2"/>
    <w:rsid w:val="003F7185"/>
    <w:rsid w:val="00410617"/>
    <w:rsid w:val="00423EAE"/>
    <w:rsid w:val="00430395"/>
    <w:rsid w:val="0043361D"/>
    <w:rsid w:val="004577F6"/>
    <w:rsid w:val="004600D1"/>
    <w:rsid w:val="004630A0"/>
    <w:rsid w:val="00464E74"/>
    <w:rsid w:val="00471F6D"/>
    <w:rsid w:val="004917C2"/>
    <w:rsid w:val="00496FD3"/>
    <w:rsid w:val="004C59A9"/>
    <w:rsid w:val="004E0266"/>
    <w:rsid w:val="00504AE1"/>
    <w:rsid w:val="005239FF"/>
    <w:rsid w:val="00533376"/>
    <w:rsid w:val="005379D4"/>
    <w:rsid w:val="005602E6"/>
    <w:rsid w:val="0056112C"/>
    <w:rsid w:val="0058356D"/>
    <w:rsid w:val="005A3F88"/>
    <w:rsid w:val="005C2C69"/>
    <w:rsid w:val="005D4556"/>
    <w:rsid w:val="005E2B7A"/>
    <w:rsid w:val="005E5934"/>
    <w:rsid w:val="005F0A19"/>
    <w:rsid w:val="005F1F40"/>
    <w:rsid w:val="005F674E"/>
    <w:rsid w:val="00601E6C"/>
    <w:rsid w:val="006115EB"/>
    <w:rsid w:val="00611E52"/>
    <w:rsid w:val="0063100B"/>
    <w:rsid w:val="00650AAC"/>
    <w:rsid w:val="0065610B"/>
    <w:rsid w:val="006673C3"/>
    <w:rsid w:val="00680C7C"/>
    <w:rsid w:val="0068754C"/>
    <w:rsid w:val="006A58E1"/>
    <w:rsid w:val="006D409C"/>
    <w:rsid w:val="006F1D9D"/>
    <w:rsid w:val="0071201B"/>
    <w:rsid w:val="007635F3"/>
    <w:rsid w:val="00793251"/>
    <w:rsid w:val="00797A20"/>
    <w:rsid w:val="007A2691"/>
    <w:rsid w:val="007C578E"/>
    <w:rsid w:val="007C6210"/>
    <w:rsid w:val="007F1D73"/>
    <w:rsid w:val="008118E4"/>
    <w:rsid w:val="008804EF"/>
    <w:rsid w:val="008B6955"/>
    <w:rsid w:val="008C18E9"/>
    <w:rsid w:val="008C31B0"/>
    <w:rsid w:val="008C63AD"/>
    <w:rsid w:val="008C704F"/>
    <w:rsid w:val="008D42B9"/>
    <w:rsid w:val="008E0711"/>
    <w:rsid w:val="008F6121"/>
    <w:rsid w:val="009213E1"/>
    <w:rsid w:val="0093126B"/>
    <w:rsid w:val="009504AB"/>
    <w:rsid w:val="00956B96"/>
    <w:rsid w:val="00961EAA"/>
    <w:rsid w:val="00963455"/>
    <w:rsid w:val="00972D20"/>
    <w:rsid w:val="00976F2C"/>
    <w:rsid w:val="00986CF4"/>
    <w:rsid w:val="00991F35"/>
    <w:rsid w:val="009A48D6"/>
    <w:rsid w:val="009B0629"/>
    <w:rsid w:val="009B32A9"/>
    <w:rsid w:val="009B4033"/>
    <w:rsid w:val="009D3671"/>
    <w:rsid w:val="009D65E0"/>
    <w:rsid w:val="009D7E83"/>
    <w:rsid w:val="009E755B"/>
    <w:rsid w:val="009F1792"/>
    <w:rsid w:val="009F4558"/>
    <w:rsid w:val="00A23904"/>
    <w:rsid w:val="00A26527"/>
    <w:rsid w:val="00A506C4"/>
    <w:rsid w:val="00A506D9"/>
    <w:rsid w:val="00A669D6"/>
    <w:rsid w:val="00A816A7"/>
    <w:rsid w:val="00A9513D"/>
    <w:rsid w:val="00AB52CE"/>
    <w:rsid w:val="00AE08B7"/>
    <w:rsid w:val="00AE5374"/>
    <w:rsid w:val="00AE7E75"/>
    <w:rsid w:val="00AF3AC3"/>
    <w:rsid w:val="00B3041C"/>
    <w:rsid w:val="00B40B11"/>
    <w:rsid w:val="00B42912"/>
    <w:rsid w:val="00B47AF6"/>
    <w:rsid w:val="00B5613E"/>
    <w:rsid w:val="00B56DB1"/>
    <w:rsid w:val="00B7629C"/>
    <w:rsid w:val="00B80259"/>
    <w:rsid w:val="00B91800"/>
    <w:rsid w:val="00B91C5E"/>
    <w:rsid w:val="00BA6DC0"/>
    <w:rsid w:val="00BC37F4"/>
    <w:rsid w:val="00BE2A18"/>
    <w:rsid w:val="00C15175"/>
    <w:rsid w:val="00C409D9"/>
    <w:rsid w:val="00C53718"/>
    <w:rsid w:val="00C612DB"/>
    <w:rsid w:val="00C7185B"/>
    <w:rsid w:val="00C729FB"/>
    <w:rsid w:val="00C75784"/>
    <w:rsid w:val="00C84114"/>
    <w:rsid w:val="00C875B2"/>
    <w:rsid w:val="00C92F5A"/>
    <w:rsid w:val="00CB586D"/>
    <w:rsid w:val="00CB7EEF"/>
    <w:rsid w:val="00CD2361"/>
    <w:rsid w:val="00CE7300"/>
    <w:rsid w:val="00D412E5"/>
    <w:rsid w:val="00D50FA7"/>
    <w:rsid w:val="00D7483A"/>
    <w:rsid w:val="00DA4064"/>
    <w:rsid w:val="00DA55F2"/>
    <w:rsid w:val="00DC7750"/>
    <w:rsid w:val="00DD0703"/>
    <w:rsid w:val="00E04AC2"/>
    <w:rsid w:val="00E20B65"/>
    <w:rsid w:val="00E6032C"/>
    <w:rsid w:val="00E64ADC"/>
    <w:rsid w:val="00E65F9E"/>
    <w:rsid w:val="00E90E0F"/>
    <w:rsid w:val="00EB5489"/>
    <w:rsid w:val="00ED0902"/>
    <w:rsid w:val="00ED0FA2"/>
    <w:rsid w:val="00F033C2"/>
    <w:rsid w:val="00F22346"/>
    <w:rsid w:val="00F36056"/>
    <w:rsid w:val="00F44D94"/>
    <w:rsid w:val="00F64DAF"/>
    <w:rsid w:val="00F74DE5"/>
    <w:rsid w:val="00F85F75"/>
    <w:rsid w:val="00FA23CD"/>
    <w:rsid w:val="00FB0F67"/>
    <w:rsid w:val="00FC1FF4"/>
    <w:rsid w:val="00FC22F7"/>
    <w:rsid w:val="00FC37CB"/>
    <w:rsid w:val="00FD24CA"/>
    <w:rsid w:val="00FF11F7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BE2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A18"/>
  </w:style>
  <w:style w:type="character" w:customStyle="1" w:styleId="CommentTextChar">
    <w:name w:val="Comment Text Char"/>
    <w:basedOn w:val="DefaultParagraphFont"/>
    <w:link w:val="CommentText"/>
    <w:rsid w:val="00BE2A18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BE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A18"/>
    <w:rPr>
      <w:rFonts w:cs="Arial Unicode MS"/>
      <w:b/>
      <w:bCs/>
      <w:lang w:val="en-AU" w:eastAsia="en-US" w:bidi="lo-LA"/>
    </w:rPr>
  </w:style>
  <w:style w:type="character" w:styleId="Emphasis">
    <w:name w:val="Emphasis"/>
    <w:basedOn w:val="DefaultParagraphFont"/>
    <w:qFormat/>
    <w:rsid w:val="00C84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BE2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A18"/>
  </w:style>
  <w:style w:type="character" w:customStyle="1" w:styleId="CommentTextChar">
    <w:name w:val="Comment Text Char"/>
    <w:basedOn w:val="DefaultParagraphFont"/>
    <w:link w:val="CommentText"/>
    <w:rsid w:val="00BE2A18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BE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A18"/>
    <w:rPr>
      <w:rFonts w:cs="Arial Unicode MS"/>
      <w:b/>
      <w:bCs/>
      <w:lang w:val="en-AU" w:eastAsia="en-US" w:bidi="lo-LA"/>
    </w:rPr>
  </w:style>
  <w:style w:type="character" w:styleId="Emphasis">
    <w:name w:val="Emphasis"/>
    <w:basedOn w:val="DefaultParagraphFont"/>
    <w:qFormat/>
    <w:rsid w:val="00C84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76B-7FAF-4B77-BEE9-F041BFC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2010.gada 5.oktobra noteikumos Nr.947 "Karavīru un zemessargu militārās disciplīnas reglaments"" sākotnējās ietekmes novērtējuma ziņojums (anotācija)</vt:lpstr>
      <vt:lpstr>Ministru kabineta noteikumu projekta "Grozījumi Ministru kabineta 2010.gada 5.oktobra noteikumos Nr.947 "Karavīru un zemessargu militārās disciplīnas reglaments"" sākotnējās ietekmes novērtējuma ziņojums (anotācija)</vt:lpstr>
    </vt:vector>
  </TitlesOfParts>
  <Manager>Aizsardzības ministrija</Manager>
  <Company>Aizsardzības ministrija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2010.gada 5.oktobra noteikumos Nr.947 "Karavīru un zemessargu militārās disciplīnas reglaments"" sākotnējās ietekmes novērtējuma ziņojums (anotācija)</dc:title>
  <dc:subject>anotācija</dc:subject>
  <dc:creator>V.Upeniece</dc:creator>
  <dc:description>Vita.Upeniece@mod.gov.lv; 67335077</dc:description>
  <cp:lastModifiedBy>Irēna Kalna</cp:lastModifiedBy>
  <cp:revision>6</cp:revision>
  <cp:lastPrinted>2015-03-17T11:01:00Z</cp:lastPrinted>
  <dcterms:created xsi:type="dcterms:W3CDTF">2015-05-14T11:02:00Z</dcterms:created>
  <dcterms:modified xsi:type="dcterms:W3CDTF">2015-05-15T11:14:00Z</dcterms:modified>
</cp:coreProperties>
</file>