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473656" w:rsidRDefault="00BB09C5" w:rsidP="00C263E1">
      <w:pPr>
        <w:pStyle w:val="BodyText"/>
        <w:jc w:val="center"/>
        <w:rPr>
          <w:b/>
          <w:sz w:val="25"/>
          <w:szCs w:val="25"/>
        </w:rPr>
        <w:sectPr w:rsidR="00C97F6E" w:rsidRPr="00473656"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473656">
        <w:rPr>
          <w:b/>
          <w:sz w:val="25"/>
          <w:szCs w:val="25"/>
        </w:rPr>
        <w:t xml:space="preserve">Ministru kabineta </w:t>
      </w:r>
      <w:r w:rsidR="00C83591" w:rsidRPr="00473656">
        <w:rPr>
          <w:b/>
          <w:sz w:val="25"/>
          <w:szCs w:val="25"/>
        </w:rPr>
        <w:t>noteikumu</w:t>
      </w:r>
      <w:r w:rsidR="001764E7" w:rsidRPr="00473656">
        <w:rPr>
          <w:b/>
          <w:sz w:val="25"/>
          <w:szCs w:val="25"/>
        </w:rPr>
        <w:t xml:space="preserve"> </w:t>
      </w:r>
      <w:r w:rsidRPr="00473656">
        <w:rPr>
          <w:b/>
          <w:sz w:val="25"/>
          <w:szCs w:val="25"/>
        </w:rPr>
        <w:t xml:space="preserve">projekta </w:t>
      </w:r>
      <w:r w:rsidR="00092473" w:rsidRPr="00473656">
        <w:rPr>
          <w:b/>
          <w:sz w:val="25"/>
          <w:szCs w:val="25"/>
        </w:rPr>
        <w:t>„</w:t>
      </w:r>
      <w:r w:rsidR="00C263E1" w:rsidRPr="00C263E1">
        <w:rPr>
          <w:b/>
          <w:sz w:val="25"/>
          <w:szCs w:val="25"/>
        </w:rPr>
        <w:t>Grozīj</w:t>
      </w:r>
      <w:r w:rsidR="00C263E1">
        <w:rPr>
          <w:b/>
          <w:sz w:val="25"/>
          <w:szCs w:val="25"/>
        </w:rPr>
        <w:t>umi Ministru kabineta 2010.gada 26.oktobra noteikumos Nr.</w:t>
      </w:r>
      <w:r w:rsidR="00C263E1" w:rsidRPr="00C263E1">
        <w:rPr>
          <w:b/>
          <w:sz w:val="25"/>
          <w:szCs w:val="25"/>
        </w:rPr>
        <w:t>997 „Noteikumi par garantijām komersantu un atbilstošu lauksaimniecības pakalpojumu kooperatīvo sabied</w:t>
      </w:r>
      <w:r w:rsidR="00C263E1">
        <w:rPr>
          <w:b/>
          <w:sz w:val="25"/>
          <w:szCs w:val="25"/>
        </w:rPr>
        <w:t xml:space="preserve">rību konkurētspējas uzlabošanai”” </w:t>
      </w:r>
      <w:r w:rsidR="003000F0" w:rsidRPr="00473656">
        <w:rPr>
          <w:b/>
          <w:sz w:val="25"/>
          <w:szCs w:val="25"/>
        </w:rPr>
        <w:t xml:space="preserve">sākotnējās ietekmes novērtējuma </w:t>
      </w:r>
      <w:smartTag w:uri="schemas-tilde-lv/tildestengine" w:element="veidnes">
        <w:smartTagPr>
          <w:attr w:name="text" w:val="ziņojums"/>
          <w:attr w:name="baseform" w:val="ziņojums"/>
          <w:attr w:name="id" w:val="-1"/>
        </w:smartTagPr>
        <w:r w:rsidR="003000F0" w:rsidRPr="00473656">
          <w:rPr>
            <w:b/>
            <w:sz w:val="25"/>
            <w:szCs w:val="25"/>
          </w:rPr>
          <w:t>ziņojums</w:t>
        </w:r>
      </w:smartTag>
      <w:r w:rsidR="00E73425" w:rsidRPr="00473656">
        <w:rPr>
          <w:b/>
          <w:sz w:val="25"/>
          <w:szCs w:val="25"/>
        </w:rPr>
        <w:t xml:space="preserve"> </w:t>
      </w:r>
      <w:r w:rsidR="003000F0" w:rsidRPr="00473656">
        <w:rPr>
          <w:b/>
          <w:sz w:val="25"/>
          <w:szCs w:val="25"/>
        </w:rPr>
        <w:t>(</w:t>
      </w:r>
      <w:r w:rsidR="00E73425" w:rsidRPr="00473656">
        <w:rPr>
          <w:b/>
          <w:sz w:val="25"/>
          <w:szCs w:val="25"/>
        </w:rPr>
        <w:t>anotācija</w:t>
      </w:r>
      <w:bookmarkEnd w:id="3"/>
      <w:bookmarkEnd w:id="4"/>
      <w:bookmarkEnd w:id="5"/>
      <w:r w:rsidR="00E009B0" w:rsidRPr="00473656">
        <w:rPr>
          <w:b/>
          <w:sz w:val="25"/>
          <w:szCs w:val="25"/>
        </w:rPr>
        <w:t>)</w:t>
      </w:r>
    </w:p>
    <w:p w:rsidR="00C97F6E" w:rsidRPr="00473656" w:rsidRDefault="00C97F6E" w:rsidP="00F22471">
      <w:pPr>
        <w:jc w:val="both"/>
        <w:rPr>
          <w:rFonts w:eastAsia="Times New Roman"/>
          <w:sz w:val="25"/>
          <w:szCs w:val="25"/>
          <w:lang w:val="lv-LV" w:eastAsia="lv-LV"/>
        </w:rPr>
        <w:sectPr w:rsidR="00C97F6E" w:rsidRPr="00473656"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473656"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491A8C">
            <w:pPr>
              <w:ind w:firstLine="720"/>
              <w:jc w:val="center"/>
              <w:rPr>
                <w:rFonts w:eastAsia="Times New Roman"/>
                <w:b/>
                <w:sz w:val="25"/>
                <w:szCs w:val="25"/>
                <w:lang w:val="lv-LV" w:eastAsia="lv-LV"/>
              </w:rPr>
            </w:pPr>
            <w:r w:rsidRPr="00473656">
              <w:rPr>
                <w:rFonts w:eastAsia="Times New Roman"/>
                <w:b/>
                <w:sz w:val="25"/>
                <w:szCs w:val="25"/>
                <w:lang w:val="lv-LV" w:eastAsia="lv-LV"/>
              </w:rPr>
              <w:lastRenderedPageBreak/>
              <w:t>I.Tiesību akta projekta izstrādes nepieciešamība</w:t>
            </w:r>
          </w:p>
        </w:tc>
      </w:tr>
      <w:tr w:rsidR="00D11308" w:rsidRPr="00473656"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363B50">
            <w:pPr>
              <w:ind w:firstLine="567"/>
              <w:jc w:val="both"/>
              <w:rPr>
                <w:sz w:val="25"/>
                <w:szCs w:val="25"/>
                <w:lang w:val="lv-LV"/>
              </w:rPr>
            </w:pPr>
            <w:r w:rsidRPr="00473656">
              <w:rPr>
                <w:sz w:val="25"/>
                <w:szCs w:val="25"/>
                <w:lang w:val="lv-LV"/>
              </w:rPr>
              <w:t>Noteikumu projekts sagatavots</w:t>
            </w:r>
            <w:r w:rsidR="00BE7E50" w:rsidRPr="00473656">
              <w:rPr>
                <w:sz w:val="25"/>
                <w:szCs w:val="25"/>
                <w:lang w:val="lv-LV"/>
              </w:rPr>
              <w:t>,</w:t>
            </w:r>
            <w:r w:rsidRPr="00473656">
              <w:rPr>
                <w:sz w:val="25"/>
                <w:szCs w:val="25"/>
                <w:lang w:val="lv-LV"/>
              </w:rPr>
              <w:t xml:space="preserve"> pamatojoties uz Ministru kabineta iekārtas likuma 31.panta pirmās daļas 3.punktu.</w:t>
            </w:r>
          </w:p>
        </w:tc>
      </w:tr>
      <w:tr w:rsidR="00D11308" w:rsidRPr="00473656" w:rsidTr="00E567BD">
        <w:trPr>
          <w:trHeight w:val="22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655415" w:rsidRDefault="00655415" w:rsidP="005C4038">
            <w:pPr>
              <w:ind w:firstLine="567"/>
              <w:jc w:val="both"/>
              <w:rPr>
                <w:bCs/>
                <w:sz w:val="25"/>
                <w:szCs w:val="25"/>
                <w:lang w:val="lv-LV"/>
              </w:rPr>
            </w:pPr>
            <w:r w:rsidRPr="00473656">
              <w:rPr>
                <w:bCs/>
                <w:sz w:val="25"/>
                <w:szCs w:val="25"/>
                <w:lang w:val="lv-LV"/>
              </w:rPr>
              <w:t xml:space="preserve">Ministru kabineta </w:t>
            </w:r>
            <w:r w:rsidR="00C263E1" w:rsidRPr="00C263E1">
              <w:rPr>
                <w:bCs/>
                <w:sz w:val="25"/>
                <w:szCs w:val="25"/>
                <w:lang w:val="lv-LV"/>
              </w:rPr>
              <w:t>2010.gada 26.oktobra noteikum</w:t>
            </w:r>
            <w:r w:rsidR="00C263E1">
              <w:rPr>
                <w:bCs/>
                <w:sz w:val="25"/>
                <w:szCs w:val="25"/>
                <w:lang w:val="lv-LV"/>
              </w:rPr>
              <w:t>i Nr.</w:t>
            </w:r>
            <w:r w:rsidR="00C263E1" w:rsidRPr="00C263E1">
              <w:rPr>
                <w:bCs/>
                <w:sz w:val="25"/>
                <w:szCs w:val="25"/>
                <w:lang w:val="lv-LV"/>
              </w:rPr>
              <w:t>997 „Noteikumi par garantijām komersantu un atbilstošu lauksaimniecības pakalpojumu kooperatīvo sabiedrību konkurētspējas uzlabošanai”</w:t>
            </w:r>
            <w:r w:rsidRPr="00473656">
              <w:rPr>
                <w:bCs/>
                <w:sz w:val="25"/>
                <w:szCs w:val="25"/>
                <w:lang w:val="lv-LV"/>
              </w:rPr>
              <w:t xml:space="preserve"> (turpmāk – MK noteikumi Nr.</w:t>
            </w:r>
            <w:r w:rsidR="00C263E1">
              <w:rPr>
                <w:bCs/>
                <w:sz w:val="25"/>
                <w:szCs w:val="25"/>
                <w:lang w:val="lv-LV"/>
              </w:rPr>
              <w:t>997</w:t>
            </w:r>
            <w:r w:rsidRPr="00473656">
              <w:rPr>
                <w:bCs/>
                <w:sz w:val="25"/>
                <w:szCs w:val="25"/>
                <w:lang w:val="lv-LV"/>
              </w:rPr>
              <w:t xml:space="preserve">)  </w:t>
            </w:r>
            <w:r w:rsidR="00FC5B44" w:rsidRPr="00473656">
              <w:rPr>
                <w:bCs/>
                <w:sz w:val="25"/>
                <w:szCs w:val="25"/>
                <w:lang w:val="lv-LV"/>
              </w:rPr>
              <w:t>nosaka nosacījumus</w:t>
            </w:r>
            <w:r w:rsidR="009F0E50" w:rsidRPr="00473656">
              <w:rPr>
                <w:bCs/>
                <w:sz w:val="25"/>
                <w:szCs w:val="25"/>
                <w:lang w:val="lv-LV"/>
              </w:rPr>
              <w:t>, saskaņā ar kādiem</w:t>
            </w:r>
            <w:r w:rsidR="00FC5B44" w:rsidRPr="00473656">
              <w:rPr>
                <w:bCs/>
                <w:sz w:val="25"/>
                <w:szCs w:val="25"/>
                <w:lang w:val="lv-LV"/>
              </w:rPr>
              <w:t xml:space="preserve"> </w:t>
            </w:r>
            <w:r w:rsidR="00C263E1">
              <w:rPr>
                <w:bCs/>
                <w:sz w:val="25"/>
                <w:szCs w:val="25"/>
                <w:lang w:val="lv-LV"/>
              </w:rPr>
              <w:t xml:space="preserve">aizdevumu garantijas tiek piešķirtas </w:t>
            </w:r>
            <w:r w:rsidR="00C263E1" w:rsidRPr="0013296D">
              <w:rPr>
                <w:bCs/>
                <w:sz w:val="25"/>
                <w:szCs w:val="25"/>
                <w:u w:val="single"/>
                <w:lang w:val="lv-LV"/>
              </w:rPr>
              <w:t>saimnieciskās darbības veicējiem</w:t>
            </w:r>
            <w:r w:rsidR="00C263E1">
              <w:rPr>
                <w:bCs/>
                <w:sz w:val="25"/>
                <w:szCs w:val="25"/>
                <w:lang w:val="lv-LV"/>
              </w:rPr>
              <w:t xml:space="preserve"> (komersantiem un lauksaimniecības pakalpojumu kooperatīvajām sabiedrībām) un </w:t>
            </w:r>
            <w:r w:rsidR="00C263E1" w:rsidRPr="0013296D">
              <w:rPr>
                <w:bCs/>
                <w:sz w:val="25"/>
                <w:szCs w:val="25"/>
                <w:u w:val="single"/>
                <w:lang w:val="lv-LV"/>
              </w:rPr>
              <w:t>daudzdzīvokļu dzīvojamās mājas dzīvokļu īpašnieku kopības pilnvarotajām personām</w:t>
            </w:r>
            <w:r w:rsidR="00510744">
              <w:rPr>
                <w:bCs/>
                <w:sz w:val="25"/>
                <w:szCs w:val="25"/>
                <w:lang w:val="lv-LV"/>
              </w:rPr>
              <w:t xml:space="preserve"> (turpmāk – Pilnvarotās personas)</w:t>
            </w:r>
            <w:r w:rsidR="00C263E1">
              <w:rPr>
                <w:bCs/>
                <w:sz w:val="25"/>
                <w:szCs w:val="25"/>
                <w:lang w:val="lv-LV"/>
              </w:rPr>
              <w:t>, kas īsteno projektus 3.4.4.1.aktivitātes „</w:t>
            </w:r>
            <w:r w:rsidR="00C263E1" w:rsidRPr="00C263E1">
              <w:rPr>
                <w:bCs/>
                <w:sz w:val="25"/>
                <w:szCs w:val="25"/>
                <w:lang w:val="lv-LV"/>
              </w:rPr>
              <w:t>Daudzdzīvokļu māju siltu</w:t>
            </w:r>
            <w:r w:rsidR="00C263E1">
              <w:rPr>
                <w:bCs/>
                <w:sz w:val="25"/>
                <w:szCs w:val="25"/>
                <w:lang w:val="lv-LV"/>
              </w:rPr>
              <w:t>mnoturības uzlabošanas pasākumi”</w:t>
            </w:r>
            <w:r w:rsidR="00E8461D">
              <w:rPr>
                <w:bCs/>
                <w:sz w:val="25"/>
                <w:szCs w:val="25"/>
                <w:lang w:val="lv-LV"/>
              </w:rPr>
              <w:t xml:space="preserve"> (turpmāk – 3.4.4.1.aktivitāte)</w:t>
            </w:r>
            <w:r w:rsidR="00C263E1" w:rsidRPr="00C263E1">
              <w:rPr>
                <w:bCs/>
                <w:sz w:val="25"/>
                <w:szCs w:val="25"/>
                <w:lang w:val="lv-LV"/>
              </w:rPr>
              <w:t xml:space="preserve"> ietvaros</w:t>
            </w:r>
            <w:r w:rsidR="006650C6">
              <w:rPr>
                <w:bCs/>
                <w:sz w:val="25"/>
                <w:szCs w:val="25"/>
                <w:lang w:val="lv-LV"/>
              </w:rPr>
              <w:t>. 3.4.4.1.aktivitātes ietvaros</w:t>
            </w:r>
            <w:r w:rsidR="00510744">
              <w:rPr>
                <w:bCs/>
                <w:sz w:val="25"/>
                <w:szCs w:val="25"/>
                <w:lang w:val="lv-LV"/>
              </w:rPr>
              <w:t xml:space="preserve"> īstenojamie projekti </w:t>
            </w:r>
            <w:r w:rsidR="001461D5">
              <w:rPr>
                <w:bCs/>
                <w:sz w:val="25"/>
                <w:szCs w:val="25"/>
                <w:lang w:val="lv-LV"/>
              </w:rPr>
              <w:t xml:space="preserve">nav komerciāli un to </w:t>
            </w:r>
            <w:r w:rsidR="006650C6">
              <w:rPr>
                <w:bCs/>
                <w:sz w:val="25"/>
                <w:szCs w:val="25"/>
                <w:lang w:val="lv-LV"/>
              </w:rPr>
              <w:t>atmaksāšanās periods ir ilgs – pārsniedz 20 gadus</w:t>
            </w:r>
            <w:r w:rsidR="001461D5">
              <w:rPr>
                <w:bCs/>
                <w:sz w:val="25"/>
                <w:szCs w:val="25"/>
                <w:lang w:val="lv-LV"/>
              </w:rPr>
              <w:t xml:space="preserve">. Ņemot vērā, ka komercbankas </w:t>
            </w:r>
            <w:r w:rsidR="00510744">
              <w:rPr>
                <w:bCs/>
                <w:sz w:val="25"/>
                <w:szCs w:val="25"/>
                <w:lang w:val="lv-LV"/>
              </w:rPr>
              <w:t xml:space="preserve">šādu </w:t>
            </w:r>
            <w:r w:rsidR="001461D5">
              <w:rPr>
                <w:bCs/>
                <w:sz w:val="25"/>
                <w:szCs w:val="25"/>
                <w:lang w:val="lv-LV"/>
              </w:rPr>
              <w:t>projektu</w:t>
            </w:r>
            <w:r w:rsidR="00510744">
              <w:rPr>
                <w:bCs/>
                <w:sz w:val="25"/>
                <w:szCs w:val="25"/>
                <w:lang w:val="lv-LV"/>
              </w:rPr>
              <w:t xml:space="preserve"> </w:t>
            </w:r>
            <w:r w:rsidR="001461D5">
              <w:rPr>
                <w:bCs/>
                <w:sz w:val="25"/>
                <w:szCs w:val="25"/>
                <w:lang w:val="lv-LV"/>
              </w:rPr>
              <w:t xml:space="preserve">finansēšanu uzskata par </w:t>
            </w:r>
            <w:r w:rsidR="00510744">
              <w:rPr>
                <w:bCs/>
                <w:sz w:val="25"/>
                <w:szCs w:val="25"/>
                <w:lang w:val="lv-LV"/>
              </w:rPr>
              <w:t xml:space="preserve">pārāk </w:t>
            </w:r>
            <w:r w:rsidR="001461D5">
              <w:rPr>
                <w:bCs/>
                <w:sz w:val="25"/>
                <w:szCs w:val="25"/>
                <w:lang w:val="lv-LV"/>
              </w:rPr>
              <w:t xml:space="preserve">riskantu, </w:t>
            </w:r>
            <w:r w:rsidR="00510744">
              <w:rPr>
                <w:bCs/>
                <w:sz w:val="25"/>
                <w:szCs w:val="25"/>
                <w:lang w:val="lv-LV"/>
              </w:rPr>
              <w:t>pieejamība komercbanku aizdevumiem daudzdzīvokļu dzīvojamo māju siltumnoturības uzlabošanas pasākumu īstenošanai  ir ierobežota.  Tādēļ aizdevumu garantij</w:t>
            </w:r>
            <w:r w:rsidR="000306C7">
              <w:rPr>
                <w:bCs/>
                <w:sz w:val="25"/>
                <w:szCs w:val="25"/>
                <w:lang w:val="lv-LV"/>
              </w:rPr>
              <w:t xml:space="preserve">as </w:t>
            </w:r>
            <w:r w:rsidR="00510744">
              <w:rPr>
                <w:bCs/>
                <w:sz w:val="25"/>
                <w:szCs w:val="25"/>
                <w:lang w:val="lv-LV"/>
              </w:rPr>
              <w:t>situācijās, kad</w:t>
            </w:r>
            <w:r w:rsidR="005C4038" w:rsidRPr="005C4038">
              <w:rPr>
                <w:bCs/>
                <w:sz w:val="25"/>
                <w:szCs w:val="25"/>
                <w:lang w:val="lv-LV"/>
              </w:rPr>
              <w:t xml:space="preserve"> </w:t>
            </w:r>
            <w:r w:rsidR="005C4038">
              <w:rPr>
                <w:bCs/>
                <w:sz w:val="25"/>
                <w:szCs w:val="25"/>
                <w:lang w:val="lv-LV"/>
              </w:rPr>
              <w:t>komercbankas</w:t>
            </w:r>
            <w:r w:rsidR="005C4038" w:rsidRPr="005C4038">
              <w:rPr>
                <w:bCs/>
                <w:sz w:val="25"/>
                <w:szCs w:val="25"/>
                <w:lang w:val="lv-LV"/>
              </w:rPr>
              <w:t xml:space="preserve"> tās kreditēšanas politika</w:t>
            </w:r>
            <w:r w:rsidR="005C4038">
              <w:rPr>
                <w:bCs/>
                <w:sz w:val="25"/>
                <w:szCs w:val="25"/>
                <w:lang w:val="lv-LV"/>
              </w:rPr>
              <w:t>s rezultātā (liela darījuma riska gadījumā)</w:t>
            </w:r>
            <w:r w:rsidR="00510744">
              <w:rPr>
                <w:bCs/>
                <w:sz w:val="25"/>
                <w:szCs w:val="25"/>
                <w:lang w:val="lv-LV"/>
              </w:rPr>
              <w:t xml:space="preserve"> </w:t>
            </w:r>
            <w:r w:rsidR="005C4038">
              <w:rPr>
                <w:bCs/>
                <w:sz w:val="25"/>
                <w:szCs w:val="25"/>
                <w:lang w:val="lv-LV"/>
              </w:rPr>
              <w:t xml:space="preserve">neuzņemas </w:t>
            </w:r>
            <w:r w:rsidR="000306C7" w:rsidRPr="000306C7">
              <w:rPr>
                <w:bCs/>
                <w:sz w:val="25"/>
                <w:szCs w:val="25"/>
                <w:lang w:val="lv-LV"/>
              </w:rPr>
              <w:t xml:space="preserve">daudzdzīvokļu dzīvojamo māju siltumnoturības uzlabošanas </w:t>
            </w:r>
            <w:r w:rsidR="000306C7">
              <w:rPr>
                <w:bCs/>
                <w:sz w:val="25"/>
                <w:szCs w:val="25"/>
                <w:lang w:val="lv-LV"/>
              </w:rPr>
              <w:t>projektu</w:t>
            </w:r>
            <w:r w:rsidR="005C4038">
              <w:rPr>
                <w:bCs/>
                <w:sz w:val="25"/>
                <w:szCs w:val="25"/>
                <w:lang w:val="lv-LV"/>
              </w:rPr>
              <w:t xml:space="preserve"> finansēšanas risku</w:t>
            </w:r>
            <w:r w:rsidR="005C4038" w:rsidRPr="005C4038">
              <w:rPr>
                <w:bCs/>
                <w:sz w:val="25"/>
                <w:szCs w:val="25"/>
                <w:lang w:val="lv-LV"/>
              </w:rPr>
              <w:t>,</w:t>
            </w:r>
            <w:r w:rsidR="005C4038">
              <w:rPr>
                <w:bCs/>
                <w:sz w:val="25"/>
                <w:szCs w:val="25"/>
                <w:lang w:val="lv-LV"/>
              </w:rPr>
              <w:t xml:space="preserve"> kalpo par papildus nodrošinājumu</w:t>
            </w:r>
            <w:r w:rsidR="000306C7">
              <w:rPr>
                <w:bCs/>
                <w:sz w:val="25"/>
                <w:szCs w:val="25"/>
                <w:lang w:val="lv-LV"/>
              </w:rPr>
              <w:t xml:space="preserve">, veicinot </w:t>
            </w:r>
            <w:r w:rsidR="005C4038">
              <w:rPr>
                <w:bCs/>
                <w:sz w:val="25"/>
                <w:szCs w:val="25"/>
                <w:lang w:val="lv-LV"/>
              </w:rPr>
              <w:t xml:space="preserve">pieejamību komercbanku aizdevumiem. </w:t>
            </w:r>
            <w:r w:rsidR="00C263E1">
              <w:rPr>
                <w:bCs/>
                <w:sz w:val="25"/>
                <w:szCs w:val="25"/>
                <w:lang w:val="lv-LV"/>
              </w:rPr>
              <w:t xml:space="preserve">Līdz </w:t>
            </w:r>
            <w:r w:rsidR="00271575">
              <w:rPr>
                <w:bCs/>
                <w:sz w:val="25"/>
                <w:szCs w:val="25"/>
                <w:lang w:val="lv-LV"/>
              </w:rPr>
              <w:t>2014</w:t>
            </w:r>
            <w:r w:rsidR="00C263E1">
              <w:rPr>
                <w:bCs/>
                <w:sz w:val="25"/>
                <w:szCs w:val="25"/>
                <w:lang w:val="lv-LV"/>
              </w:rPr>
              <w:t xml:space="preserve">.gada 31.janvārim MK noteikumu Nr.997 ietvaros ir izsniegtas </w:t>
            </w:r>
            <w:r w:rsidR="005C4038">
              <w:rPr>
                <w:bCs/>
                <w:sz w:val="25"/>
                <w:szCs w:val="25"/>
                <w:lang w:val="lv-LV"/>
              </w:rPr>
              <w:t xml:space="preserve">119 </w:t>
            </w:r>
            <w:r w:rsidR="008726B3">
              <w:rPr>
                <w:bCs/>
                <w:sz w:val="25"/>
                <w:szCs w:val="25"/>
                <w:lang w:val="lv-LV"/>
              </w:rPr>
              <w:t xml:space="preserve">aizdevumu </w:t>
            </w:r>
            <w:r w:rsidR="005C4038">
              <w:rPr>
                <w:bCs/>
                <w:sz w:val="25"/>
                <w:szCs w:val="25"/>
                <w:lang w:val="lv-LV"/>
              </w:rPr>
              <w:t xml:space="preserve">garantijas </w:t>
            </w:r>
            <w:r w:rsidR="008726B3">
              <w:rPr>
                <w:bCs/>
                <w:sz w:val="25"/>
                <w:szCs w:val="25"/>
                <w:lang w:val="lv-LV"/>
              </w:rPr>
              <w:t>Pilnvarot</w:t>
            </w:r>
            <w:r w:rsidR="00CB749F">
              <w:rPr>
                <w:bCs/>
                <w:sz w:val="25"/>
                <w:szCs w:val="25"/>
                <w:lang w:val="lv-LV"/>
              </w:rPr>
              <w:t>aj</w:t>
            </w:r>
            <w:r w:rsidR="008726B3">
              <w:rPr>
                <w:bCs/>
                <w:sz w:val="25"/>
                <w:szCs w:val="25"/>
                <w:lang w:val="lv-LV"/>
              </w:rPr>
              <w:t>ām personām, kas īsteno projektus 3.4.4.1.aktivitātē, 17,</w:t>
            </w:r>
            <w:r w:rsidR="005C4038">
              <w:rPr>
                <w:bCs/>
                <w:sz w:val="25"/>
                <w:szCs w:val="25"/>
                <w:lang w:val="lv-LV"/>
              </w:rPr>
              <w:t xml:space="preserve">9 miljonu </w:t>
            </w:r>
            <w:r w:rsidR="005C4038" w:rsidRPr="005C4038">
              <w:rPr>
                <w:bCs/>
                <w:i/>
                <w:sz w:val="25"/>
                <w:szCs w:val="25"/>
                <w:lang w:val="lv-LV"/>
              </w:rPr>
              <w:t>euro</w:t>
            </w:r>
            <w:r w:rsidR="000306C7">
              <w:rPr>
                <w:bCs/>
                <w:sz w:val="25"/>
                <w:szCs w:val="25"/>
                <w:lang w:val="lv-LV"/>
              </w:rPr>
              <w:t xml:space="preserve"> apmērā.</w:t>
            </w:r>
            <w:r w:rsidR="00640C5C">
              <w:rPr>
                <w:bCs/>
                <w:sz w:val="25"/>
                <w:szCs w:val="25"/>
                <w:lang w:val="lv-LV"/>
              </w:rPr>
              <w:t xml:space="preserve"> </w:t>
            </w:r>
          </w:p>
          <w:p w:rsidR="00615B53" w:rsidRDefault="000306C7" w:rsidP="005C1382">
            <w:pPr>
              <w:ind w:firstLine="567"/>
              <w:jc w:val="both"/>
              <w:rPr>
                <w:bCs/>
                <w:sz w:val="25"/>
                <w:szCs w:val="25"/>
                <w:lang w:val="lv-LV"/>
              </w:rPr>
            </w:pPr>
            <w:r w:rsidRPr="00A50481">
              <w:rPr>
                <w:bCs/>
                <w:sz w:val="25"/>
                <w:szCs w:val="25"/>
                <w:lang w:val="lv-LV"/>
              </w:rPr>
              <w:t xml:space="preserve">MK noteikumu Nr.997 ietvaros </w:t>
            </w:r>
            <w:r w:rsidRPr="00A50481">
              <w:rPr>
                <w:bCs/>
                <w:sz w:val="25"/>
                <w:szCs w:val="25"/>
                <w:u w:val="single"/>
                <w:lang w:val="lv-LV"/>
              </w:rPr>
              <w:t xml:space="preserve">aizdevumu garantijas </w:t>
            </w:r>
            <w:r w:rsidR="00865ACE" w:rsidRPr="00A50481">
              <w:rPr>
                <w:bCs/>
                <w:sz w:val="25"/>
                <w:szCs w:val="25"/>
                <w:u w:val="single"/>
                <w:lang w:val="lv-LV"/>
              </w:rPr>
              <w:t>daudzdzīvokļu māju siltumnoturības uzlabošanas p</w:t>
            </w:r>
            <w:r w:rsidRPr="00A50481">
              <w:rPr>
                <w:bCs/>
                <w:sz w:val="25"/>
                <w:szCs w:val="25"/>
                <w:u w:val="single"/>
                <w:lang w:val="lv-LV"/>
              </w:rPr>
              <w:t xml:space="preserve">rojektu </w:t>
            </w:r>
            <w:r w:rsidR="000378F0" w:rsidRPr="00A50481">
              <w:rPr>
                <w:bCs/>
                <w:sz w:val="25"/>
                <w:szCs w:val="25"/>
                <w:u w:val="single"/>
                <w:lang w:val="lv-LV"/>
              </w:rPr>
              <w:t xml:space="preserve">īstenošanai </w:t>
            </w:r>
            <w:r w:rsidRPr="00A50481">
              <w:rPr>
                <w:bCs/>
                <w:sz w:val="25"/>
                <w:szCs w:val="25"/>
                <w:u w:val="single"/>
                <w:lang w:val="lv-LV"/>
              </w:rPr>
              <w:t>3.4.4.1.</w:t>
            </w:r>
            <w:r w:rsidR="000378F0" w:rsidRPr="00A50481">
              <w:rPr>
                <w:bCs/>
                <w:sz w:val="25"/>
                <w:szCs w:val="25"/>
                <w:u w:val="single"/>
                <w:lang w:val="lv-LV"/>
              </w:rPr>
              <w:t>aktivitātē</w:t>
            </w:r>
            <w:r w:rsidR="000378F0" w:rsidRPr="00A50481">
              <w:rPr>
                <w:bCs/>
                <w:sz w:val="25"/>
                <w:szCs w:val="25"/>
                <w:lang w:val="lv-LV"/>
              </w:rPr>
              <w:t xml:space="preserve"> netiek finansētas no Eiropas Savienības reģionālās attīstības</w:t>
            </w:r>
            <w:r w:rsidR="000378F0">
              <w:rPr>
                <w:bCs/>
                <w:sz w:val="25"/>
                <w:szCs w:val="25"/>
                <w:lang w:val="lv-LV"/>
              </w:rPr>
              <w:t xml:space="preserve"> fonda līdzekļiem</w:t>
            </w:r>
            <w:r w:rsidR="008726B3">
              <w:rPr>
                <w:bCs/>
                <w:sz w:val="25"/>
                <w:szCs w:val="25"/>
                <w:lang w:val="lv-LV"/>
              </w:rPr>
              <w:t>,</w:t>
            </w:r>
            <w:r w:rsidR="008726B3">
              <w:t xml:space="preserve"> </w:t>
            </w:r>
            <w:r w:rsidR="008726B3">
              <w:rPr>
                <w:bCs/>
                <w:sz w:val="25"/>
                <w:szCs w:val="25"/>
                <w:lang w:val="lv-LV"/>
              </w:rPr>
              <w:t xml:space="preserve">bet no </w:t>
            </w:r>
            <w:r w:rsidR="008726B3" w:rsidRPr="008726B3">
              <w:rPr>
                <w:bCs/>
                <w:sz w:val="25"/>
                <w:szCs w:val="25"/>
                <w:lang w:val="lv-LV"/>
              </w:rPr>
              <w:t>procentu ieņēmumiem</w:t>
            </w:r>
            <w:r w:rsidR="00AE33E0">
              <w:rPr>
                <w:bCs/>
                <w:sz w:val="25"/>
                <w:szCs w:val="25"/>
                <w:lang w:val="lv-LV"/>
              </w:rPr>
              <w:t xml:space="preserve">, kas gūti no </w:t>
            </w:r>
            <w:r w:rsidR="008726B3" w:rsidRPr="008726B3">
              <w:rPr>
                <w:bCs/>
                <w:sz w:val="25"/>
                <w:szCs w:val="25"/>
                <w:lang w:val="lv-LV"/>
              </w:rPr>
              <w:t xml:space="preserve">brīvo līdzekļu </w:t>
            </w:r>
            <w:r w:rsidR="00AE33E0">
              <w:rPr>
                <w:bCs/>
                <w:sz w:val="25"/>
                <w:szCs w:val="25"/>
                <w:lang w:val="lv-LV"/>
              </w:rPr>
              <w:t xml:space="preserve">jeb papildus piešķirto </w:t>
            </w:r>
            <w:r w:rsidR="00CB749F">
              <w:rPr>
                <w:bCs/>
                <w:sz w:val="25"/>
                <w:szCs w:val="25"/>
                <w:lang w:val="lv-LV"/>
              </w:rPr>
              <w:t>valsts budžeta līdzekļu 38 milj.</w:t>
            </w:r>
            <w:r w:rsidR="00AE33E0">
              <w:rPr>
                <w:bCs/>
                <w:sz w:val="25"/>
                <w:szCs w:val="25"/>
                <w:lang w:val="lv-LV"/>
              </w:rPr>
              <w:t xml:space="preserve"> </w:t>
            </w:r>
            <w:r w:rsidR="00AE33E0" w:rsidRPr="00AE33E0">
              <w:rPr>
                <w:bCs/>
                <w:i/>
                <w:sz w:val="25"/>
                <w:szCs w:val="25"/>
                <w:lang w:val="lv-LV"/>
              </w:rPr>
              <w:t>euro</w:t>
            </w:r>
            <w:r w:rsidR="00AE33E0">
              <w:rPr>
                <w:bCs/>
                <w:sz w:val="25"/>
                <w:szCs w:val="25"/>
                <w:lang w:val="lv-LV"/>
              </w:rPr>
              <w:t xml:space="preserve"> apmērā, kas</w:t>
            </w:r>
            <w:r w:rsidR="00AE33E0" w:rsidRPr="008726B3">
              <w:rPr>
                <w:bCs/>
                <w:sz w:val="25"/>
                <w:szCs w:val="25"/>
                <w:lang w:val="lv-LV"/>
              </w:rPr>
              <w:t xml:space="preserve"> nav un netiks deklarēti Eiropas Komisijai</w:t>
            </w:r>
            <w:r w:rsidR="00AE33E0">
              <w:rPr>
                <w:bCs/>
                <w:sz w:val="25"/>
                <w:szCs w:val="25"/>
                <w:lang w:val="lv-LV"/>
              </w:rPr>
              <w:t>,</w:t>
            </w:r>
            <w:r w:rsidR="00AE33E0" w:rsidRPr="008726B3">
              <w:rPr>
                <w:bCs/>
                <w:sz w:val="25"/>
                <w:szCs w:val="25"/>
                <w:lang w:val="lv-LV"/>
              </w:rPr>
              <w:t xml:space="preserve"> </w:t>
            </w:r>
            <w:r w:rsidR="00AE33E0">
              <w:rPr>
                <w:bCs/>
                <w:sz w:val="25"/>
                <w:szCs w:val="25"/>
                <w:lang w:val="lv-LV"/>
              </w:rPr>
              <w:t xml:space="preserve">noguldījumiem vērtspapīros. </w:t>
            </w:r>
            <w:r w:rsidR="00A50481">
              <w:rPr>
                <w:bCs/>
                <w:sz w:val="25"/>
                <w:szCs w:val="25"/>
                <w:lang w:val="lv-LV"/>
              </w:rPr>
              <w:t>Vēl p</w:t>
            </w:r>
            <w:r w:rsidR="00AE33E0">
              <w:rPr>
                <w:bCs/>
                <w:sz w:val="25"/>
                <w:szCs w:val="25"/>
                <w:lang w:val="lv-LV"/>
              </w:rPr>
              <w:t xml:space="preserve">apildus finansējumu veido  </w:t>
            </w:r>
            <w:r w:rsidR="00AE33E0" w:rsidRPr="00AE33E0">
              <w:rPr>
                <w:bCs/>
                <w:sz w:val="25"/>
                <w:szCs w:val="25"/>
                <w:lang w:val="lv-LV"/>
              </w:rPr>
              <w:t>prēmiju ieņēmum</w:t>
            </w:r>
            <w:r w:rsidR="00AE33E0">
              <w:rPr>
                <w:bCs/>
                <w:sz w:val="25"/>
                <w:szCs w:val="25"/>
                <w:lang w:val="lv-LV"/>
              </w:rPr>
              <w:t xml:space="preserve">i </w:t>
            </w:r>
            <w:r w:rsidR="00AE33E0" w:rsidRPr="00AE33E0">
              <w:rPr>
                <w:bCs/>
                <w:sz w:val="25"/>
                <w:szCs w:val="25"/>
                <w:lang w:val="lv-LV"/>
              </w:rPr>
              <w:t>no Pilnvarot</w:t>
            </w:r>
            <w:r w:rsidR="00AE33E0">
              <w:rPr>
                <w:bCs/>
                <w:sz w:val="25"/>
                <w:szCs w:val="25"/>
                <w:lang w:val="lv-LV"/>
              </w:rPr>
              <w:t>aj</w:t>
            </w:r>
            <w:r w:rsidR="00AE33E0" w:rsidRPr="00AE33E0">
              <w:rPr>
                <w:bCs/>
                <w:sz w:val="25"/>
                <w:szCs w:val="25"/>
                <w:lang w:val="lv-LV"/>
              </w:rPr>
              <w:t>ām personām izsniegtajām garantijām</w:t>
            </w:r>
            <w:r w:rsidR="00AE33E0">
              <w:rPr>
                <w:bCs/>
                <w:sz w:val="25"/>
                <w:szCs w:val="25"/>
                <w:lang w:val="lv-LV"/>
              </w:rPr>
              <w:t>. Laikā uz 2014.gada 31.decembri kopēja</w:t>
            </w:r>
            <w:r w:rsidR="00A878A5">
              <w:rPr>
                <w:bCs/>
                <w:sz w:val="25"/>
                <w:szCs w:val="25"/>
                <w:lang w:val="lv-LV"/>
              </w:rPr>
              <w:t>i</w:t>
            </w:r>
            <w:r w:rsidR="00AE33E0">
              <w:rPr>
                <w:bCs/>
                <w:sz w:val="25"/>
                <w:szCs w:val="25"/>
                <w:lang w:val="lv-LV"/>
              </w:rPr>
              <w:t>s finansējums aizdevumu garantijām</w:t>
            </w:r>
            <w:r w:rsidR="00AE33E0">
              <w:t xml:space="preserve"> </w:t>
            </w:r>
            <w:r w:rsidR="00AE33E0" w:rsidRPr="00AE33E0">
              <w:rPr>
                <w:bCs/>
                <w:sz w:val="25"/>
                <w:szCs w:val="25"/>
                <w:lang w:val="lv-LV"/>
              </w:rPr>
              <w:t>daudzdzīvokļu māju siltumnoturības uzlabošanas projektu īstenošanai 3.4.4.1.aktivitātē</w:t>
            </w:r>
            <w:r w:rsidR="00AE33E0">
              <w:rPr>
                <w:bCs/>
                <w:sz w:val="25"/>
                <w:szCs w:val="25"/>
                <w:lang w:val="lv-LV"/>
              </w:rPr>
              <w:t xml:space="preserve"> sastāda</w:t>
            </w:r>
            <w:r w:rsidR="00A50481">
              <w:rPr>
                <w:bCs/>
                <w:sz w:val="25"/>
                <w:szCs w:val="25"/>
                <w:lang w:val="lv-LV"/>
              </w:rPr>
              <w:t xml:space="preserve"> </w:t>
            </w:r>
            <w:r w:rsidR="00AE33E0">
              <w:rPr>
                <w:bCs/>
                <w:sz w:val="25"/>
                <w:szCs w:val="25"/>
                <w:lang w:val="lv-LV"/>
              </w:rPr>
              <w:t xml:space="preserve">10 miljonus </w:t>
            </w:r>
            <w:r w:rsidR="00AE33E0" w:rsidRPr="00AE33E0">
              <w:rPr>
                <w:bCs/>
                <w:i/>
                <w:sz w:val="25"/>
                <w:szCs w:val="25"/>
                <w:lang w:val="lv-LV"/>
              </w:rPr>
              <w:t>euro</w:t>
            </w:r>
            <w:r w:rsidR="00AE33E0">
              <w:rPr>
                <w:bCs/>
                <w:sz w:val="25"/>
                <w:szCs w:val="25"/>
                <w:lang w:val="lv-LV"/>
              </w:rPr>
              <w:t xml:space="preserve">.  </w:t>
            </w:r>
            <w:r w:rsidR="00865ACE" w:rsidRPr="00865ACE">
              <w:rPr>
                <w:bCs/>
                <w:sz w:val="25"/>
                <w:szCs w:val="25"/>
                <w:lang w:val="lv-LV"/>
              </w:rPr>
              <w:t xml:space="preserve">Garantijas saņēmējiem </w:t>
            </w:r>
            <w:r w:rsidR="00865ACE">
              <w:rPr>
                <w:bCs/>
                <w:sz w:val="25"/>
                <w:szCs w:val="25"/>
                <w:lang w:val="lv-LV"/>
              </w:rPr>
              <w:t>–</w:t>
            </w:r>
            <w:r w:rsidR="00865ACE" w:rsidRPr="00865ACE">
              <w:rPr>
                <w:bCs/>
                <w:sz w:val="25"/>
                <w:szCs w:val="25"/>
                <w:lang w:val="lv-LV"/>
              </w:rPr>
              <w:t xml:space="preserve"> </w:t>
            </w:r>
            <w:r w:rsidR="003D3345">
              <w:rPr>
                <w:bCs/>
                <w:sz w:val="25"/>
                <w:szCs w:val="25"/>
                <w:lang w:val="lv-LV"/>
              </w:rPr>
              <w:t>P</w:t>
            </w:r>
            <w:r w:rsidR="00865ACE" w:rsidRPr="00865ACE">
              <w:rPr>
                <w:bCs/>
                <w:sz w:val="25"/>
                <w:szCs w:val="25"/>
                <w:lang w:val="lv-LV"/>
              </w:rPr>
              <w:t>ilnvarot</w:t>
            </w:r>
            <w:r w:rsidR="008C78B1">
              <w:rPr>
                <w:bCs/>
                <w:sz w:val="25"/>
                <w:szCs w:val="25"/>
                <w:lang w:val="lv-LV"/>
              </w:rPr>
              <w:t>aj</w:t>
            </w:r>
            <w:r w:rsidR="00865ACE" w:rsidRPr="00865ACE">
              <w:rPr>
                <w:bCs/>
                <w:sz w:val="25"/>
                <w:szCs w:val="25"/>
                <w:lang w:val="lv-LV"/>
              </w:rPr>
              <w:t>ām personām</w:t>
            </w:r>
            <w:r w:rsidR="007825D2">
              <w:rPr>
                <w:bCs/>
                <w:sz w:val="25"/>
                <w:szCs w:val="25"/>
                <w:lang w:val="lv-LV"/>
              </w:rPr>
              <w:t xml:space="preserve"> – </w:t>
            </w:r>
            <w:r w:rsidR="00865ACE">
              <w:rPr>
                <w:bCs/>
                <w:sz w:val="25"/>
                <w:szCs w:val="25"/>
                <w:lang w:val="lv-LV"/>
              </w:rPr>
              <w:t>atbilstoši</w:t>
            </w:r>
            <w:r w:rsidR="00865ACE" w:rsidRPr="00865ACE">
              <w:rPr>
                <w:bCs/>
                <w:sz w:val="25"/>
                <w:szCs w:val="25"/>
                <w:lang w:val="lv-LV"/>
              </w:rPr>
              <w:t xml:space="preserve"> MK noteikum</w:t>
            </w:r>
            <w:r w:rsidR="00865ACE">
              <w:rPr>
                <w:bCs/>
                <w:sz w:val="25"/>
                <w:szCs w:val="25"/>
                <w:lang w:val="lv-LV"/>
              </w:rPr>
              <w:t>u</w:t>
            </w:r>
            <w:r w:rsidR="00865ACE" w:rsidRPr="00865ACE">
              <w:rPr>
                <w:bCs/>
                <w:sz w:val="25"/>
                <w:szCs w:val="25"/>
                <w:lang w:val="lv-LV"/>
              </w:rPr>
              <w:t xml:space="preserve"> Nr.997 10.</w:t>
            </w:r>
            <w:r w:rsidR="00865ACE" w:rsidRPr="00865ACE">
              <w:rPr>
                <w:bCs/>
                <w:sz w:val="25"/>
                <w:szCs w:val="25"/>
                <w:vertAlign w:val="superscript"/>
                <w:lang w:val="lv-LV"/>
              </w:rPr>
              <w:t>1</w:t>
            </w:r>
            <w:r w:rsidR="00865ACE">
              <w:rPr>
                <w:bCs/>
                <w:sz w:val="25"/>
                <w:szCs w:val="25"/>
                <w:lang w:val="lv-LV"/>
              </w:rPr>
              <w:t xml:space="preserve"> punktam</w:t>
            </w:r>
            <w:r w:rsidR="00865ACE" w:rsidRPr="00865ACE">
              <w:rPr>
                <w:bCs/>
                <w:sz w:val="25"/>
                <w:szCs w:val="25"/>
                <w:lang w:val="lv-LV"/>
              </w:rPr>
              <w:t xml:space="preserve"> </w:t>
            </w:r>
            <w:r w:rsidR="008C78B1">
              <w:rPr>
                <w:bCs/>
                <w:sz w:val="25"/>
                <w:szCs w:val="25"/>
                <w:lang w:val="lv-LV"/>
              </w:rPr>
              <w:t xml:space="preserve">piešķirtā garantija </w:t>
            </w:r>
            <w:r w:rsidR="00865ACE" w:rsidRPr="00203B8B">
              <w:rPr>
                <w:bCs/>
                <w:sz w:val="25"/>
                <w:szCs w:val="25"/>
                <w:u w:val="single"/>
                <w:lang w:val="lv-LV"/>
              </w:rPr>
              <w:t xml:space="preserve">netiek </w:t>
            </w:r>
            <w:r w:rsidR="008C78B1" w:rsidRPr="00203B8B">
              <w:rPr>
                <w:bCs/>
                <w:sz w:val="25"/>
                <w:szCs w:val="25"/>
                <w:u w:val="single"/>
                <w:lang w:val="lv-LV"/>
              </w:rPr>
              <w:t xml:space="preserve">uzskatīta par </w:t>
            </w:r>
            <w:r w:rsidR="00865ACE" w:rsidRPr="00203B8B">
              <w:rPr>
                <w:bCs/>
                <w:sz w:val="25"/>
                <w:szCs w:val="25"/>
                <w:u w:val="single"/>
                <w:lang w:val="lv-LV"/>
              </w:rPr>
              <w:t xml:space="preserve">valsts </w:t>
            </w:r>
            <w:r w:rsidR="008C78B1" w:rsidRPr="00203B8B">
              <w:rPr>
                <w:bCs/>
                <w:sz w:val="25"/>
                <w:szCs w:val="25"/>
                <w:u w:val="single"/>
                <w:lang w:val="lv-LV"/>
              </w:rPr>
              <w:t>atbalstu</w:t>
            </w:r>
            <w:r w:rsidR="00A50481">
              <w:rPr>
                <w:bCs/>
                <w:sz w:val="25"/>
                <w:szCs w:val="25"/>
                <w:lang w:val="lv-LV"/>
              </w:rPr>
              <w:t>, jo</w:t>
            </w:r>
            <w:r w:rsidR="003D3345">
              <w:rPr>
                <w:bCs/>
                <w:sz w:val="25"/>
                <w:szCs w:val="25"/>
                <w:lang w:val="lv-LV"/>
              </w:rPr>
              <w:t xml:space="preserve"> </w:t>
            </w:r>
            <w:r w:rsidR="007825D2">
              <w:rPr>
                <w:bCs/>
                <w:sz w:val="25"/>
                <w:szCs w:val="25"/>
                <w:lang w:val="lv-LV"/>
              </w:rPr>
              <w:t xml:space="preserve">garantijas saņēmēji </w:t>
            </w:r>
            <w:r w:rsidR="000C522B">
              <w:rPr>
                <w:bCs/>
                <w:sz w:val="25"/>
                <w:szCs w:val="25"/>
                <w:lang w:val="lv-LV"/>
              </w:rPr>
              <w:t xml:space="preserve">šajā </w:t>
            </w:r>
            <w:r w:rsidR="000C522B">
              <w:rPr>
                <w:bCs/>
                <w:sz w:val="25"/>
                <w:szCs w:val="25"/>
                <w:lang w:val="lv-LV"/>
              </w:rPr>
              <w:lastRenderedPageBreak/>
              <w:t>gadījumā</w:t>
            </w:r>
            <w:r w:rsidR="003D3345" w:rsidRPr="003D3345">
              <w:rPr>
                <w:bCs/>
                <w:sz w:val="25"/>
                <w:szCs w:val="25"/>
                <w:lang w:val="lv-LV"/>
              </w:rPr>
              <w:t xml:space="preserve"> ir nesaimniecisko aktivitāšu veicēji, un </w:t>
            </w:r>
            <w:r w:rsidR="007825D2">
              <w:rPr>
                <w:bCs/>
                <w:sz w:val="25"/>
                <w:szCs w:val="25"/>
                <w:lang w:val="lv-LV"/>
              </w:rPr>
              <w:t>gala</w:t>
            </w:r>
            <w:r w:rsidR="003D3345" w:rsidRPr="003D3345">
              <w:rPr>
                <w:bCs/>
                <w:sz w:val="25"/>
                <w:szCs w:val="25"/>
                <w:lang w:val="lv-LV"/>
              </w:rPr>
              <w:t xml:space="preserve"> labuma</w:t>
            </w:r>
            <w:r w:rsidR="007825D2">
              <w:rPr>
                <w:bCs/>
                <w:sz w:val="25"/>
                <w:szCs w:val="25"/>
                <w:lang w:val="lv-LV"/>
              </w:rPr>
              <w:t xml:space="preserve"> saņēmēji</w:t>
            </w:r>
            <w:r w:rsidR="003D3345" w:rsidRPr="003D3345">
              <w:rPr>
                <w:bCs/>
                <w:sz w:val="25"/>
                <w:szCs w:val="25"/>
                <w:lang w:val="lv-LV"/>
              </w:rPr>
              <w:t xml:space="preserve"> ir daudzdzīvokļu dzīvojamo māju iedzīvotāji. </w:t>
            </w:r>
            <w:r w:rsidR="007825D2">
              <w:rPr>
                <w:bCs/>
                <w:sz w:val="25"/>
                <w:szCs w:val="25"/>
                <w:lang w:val="lv-LV"/>
              </w:rPr>
              <w:t xml:space="preserve">Līdzšinēji garantijas </w:t>
            </w:r>
            <w:r w:rsidR="00640C5C">
              <w:rPr>
                <w:bCs/>
                <w:sz w:val="25"/>
                <w:szCs w:val="25"/>
                <w:lang w:val="lv-LV"/>
              </w:rPr>
              <w:t>projektu īstenošanai 3.4.4.1.aktivitātē</w:t>
            </w:r>
            <w:r w:rsidR="007825D2">
              <w:rPr>
                <w:bCs/>
                <w:sz w:val="25"/>
                <w:szCs w:val="25"/>
                <w:lang w:val="lv-LV"/>
              </w:rPr>
              <w:t xml:space="preserve"> tiek piešķirtas, ievērojot MK noteikumu Nr.997 10.punktā noteiktos ierobežojumus</w:t>
            </w:r>
            <w:r w:rsidR="00640C5C">
              <w:rPr>
                <w:bCs/>
                <w:sz w:val="25"/>
                <w:szCs w:val="25"/>
                <w:lang w:val="lv-LV"/>
              </w:rPr>
              <w:t xml:space="preserve"> attiecībā uz garantijas segumu, garantēto summu un garantijas termiņu</w:t>
            </w:r>
            <w:r w:rsidR="007825D2">
              <w:rPr>
                <w:bCs/>
                <w:sz w:val="25"/>
                <w:szCs w:val="25"/>
                <w:lang w:val="lv-LV"/>
              </w:rPr>
              <w:t xml:space="preserve">. </w:t>
            </w:r>
            <w:r w:rsidR="008C78B1">
              <w:rPr>
                <w:bCs/>
                <w:sz w:val="25"/>
                <w:szCs w:val="25"/>
                <w:lang w:val="lv-LV"/>
              </w:rPr>
              <w:t xml:space="preserve">Vienlaikus jānorāda, ka </w:t>
            </w:r>
            <w:r w:rsidR="00615B53" w:rsidRPr="00615B53">
              <w:rPr>
                <w:bCs/>
                <w:sz w:val="25"/>
                <w:szCs w:val="25"/>
                <w:lang w:val="lv-LV"/>
              </w:rPr>
              <w:t>MK noteikum</w:t>
            </w:r>
            <w:r w:rsidR="00615B53">
              <w:rPr>
                <w:bCs/>
                <w:sz w:val="25"/>
                <w:szCs w:val="25"/>
                <w:lang w:val="lv-LV"/>
              </w:rPr>
              <w:t xml:space="preserve">i </w:t>
            </w:r>
            <w:r w:rsidR="00615B53" w:rsidRPr="00615B53">
              <w:rPr>
                <w:bCs/>
                <w:sz w:val="25"/>
                <w:szCs w:val="25"/>
                <w:lang w:val="lv-LV"/>
              </w:rPr>
              <w:t xml:space="preserve">Nr.997 </w:t>
            </w:r>
            <w:r w:rsidR="008C78B1">
              <w:rPr>
                <w:bCs/>
                <w:sz w:val="25"/>
                <w:szCs w:val="25"/>
                <w:lang w:val="lv-LV"/>
              </w:rPr>
              <w:t xml:space="preserve">tieši </w:t>
            </w:r>
            <w:r w:rsidR="00615B53" w:rsidRPr="00615B53">
              <w:rPr>
                <w:bCs/>
                <w:sz w:val="25"/>
                <w:szCs w:val="25"/>
                <w:lang w:val="lv-LV"/>
              </w:rPr>
              <w:t>nosaka, ka 10.punkts</w:t>
            </w:r>
            <w:r w:rsidR="008C78B1">
              <w:rPr>
                <w:bCs/>
                <w:sz w:val="25"/>
                <w:szCs w:val="25"/>
                <w:lang w:val="lv-LV"/>
              </w:rPr>
              <w:t>, proti, tajā ietvertie nosacījumi/ierobežojumi</w:t>
            </w:r>
            <w:r w:rsidR="00615B53" w:rsidRPr="00615B53">
              <w:rPr>
                <w:bCs/>
                <w:sz w:val="25"/>
                <w:szCs w:val="25"/>
                <w:lang w:val="lv-LV"/>
              </w:rPr>
              <w:t xml:space="preserve"> ir </w:t>
            </w:r>
            <w:r w:rsidR="008C78B1" w:rsidRPr="00615B53">
              <w:rPr>
                <w:bCs/>
                <w:sz w:val="25"/>
                <w:szCs w:val="25"/>
                <w:lang w:val="lv-LV"/>
              </w:rPr>
              <w:t>piemērojam</w:t>
            </w:r>
            <w:r w:rsidR="008C78B1">
              <w:rPr>
                <w:bCs/>
                <w:sz w:val="25"/>
                <w:szCs w:val="25"/>
                <w:lang w:val="lv-LV"/>
              </w:rPr>
              <w:t>i</w:t>
            </w:r>
            <w:r w:rsidR="008C78B1" w:rsidRPr="00615B53">
              <w:rPr>
                <w:bCs/>
                <w:sz w:val="25"/>
                <w:szCs w:val="25"/>
                <w:lang w:val="lv-LV"/>
              </w:rPr>
              <w:t xml:space="preserve"> </w:t>
            </w:r>
            <w:r w:rsidR="00615B53" w:rsidRPr="00AE33E0">
              <w:rPr>
                <w:bCs/>
                <w:sz w:val="25"/>
                <w:szCs w:val="25"/>
                <w:u w:val="single"/>
                <w:lang w:val="lv-LV"/>
              </w:rPr>
              <w:t xml:space="preserve">saimnieciskās darbības </w:t>
            </w:r>
            <w:r w:rsidR="008C78B1" w:rsidRPr="00AE33E0">
              <w:rPr>
                <w:bCs/>
                <w:sz w:val="25"/>
                <w:szCs w:val="25"/>
                <w:u w:val="single"/>
                <w:lang w:val="lv-LV"/>
              </w:rPr>
              <w:t>veicējiem</w:t>
            </w:r>
            <w:r w:rsidR="001B6F7F">
              <w:rPr>
                <w:bCs/>
                <w:sz w:val="25"/>
                <w:szCs w:val="25"/>
                <w:lang w:val="lv-LV"/>
              </w:rPr>
              <w:t>. Tādēļ</w:t>
            </w:r>
            <w:r w:rsidR="00615B53">
              <w:rPr>
                <w:bCs/>
                <w:sz w:val="25"/>
                <w:szCs w:val="25"/>
                <w:lang w:val="lv-LV"/>
              </w:rPr>
              <w:t xml:space="preserve"> noteikumu projekts paredz </w:t>
            </w:r>
            <w:r w:rsidR="00E061C3">
              <w:rPr>
                <w:bCs/>
                <w:sz w:val="25"/>
                <w:szCs w:val="25"/>
                <w:lang w:val="lv-LV"/>
              </w:rPr>
              <w:t>papildināt MK noteikumus ar 10.</w:t>
            </w:r>
            <w:r w:rsidR="00E061C3" w:rsidRPr="00E061C3">
              <w:rPr>
                <w:bCs/>
                <w:sz w:val="25"/>
                <w:szCs w:val="25"/>
                <w:vertAlign w:val="superscript"/>
                <w:lang w:val="lv-LV"/>
              </w:rPr>
              <w:t>2</w:t>
            </w:r>
            <w:r w:rsidR="00E061C3">
              <w:rPr>
                <w:bCs/>
                <w:sz w:val="25"/>
                <w:szCs w:val="25"/>
                <w:lang w:val="lv-LV"/>
              </w:rPr>
              <w:t xml:space="preserve"> punktu</w:t>
            </w:r>
            <w:r w:rsidR="00615B53">
              <w:rPr>
                <w:bCs/>
                <w:sz w:val="25"/>
                <w:szCs w:val="25"/>
                <w:lang w:val="lv-LV"/>
              </w:rPr>
              <w:t>,</w:t>
            </w:r>
            <w:r w:rsidR="00E061C3">
              <w:rPr>
                <w:bCs/>
                <w:sz w:val="25"/>
                <w:szCs w:val="25"/>
                <w:lang w:val="lv-LV"/>
              </w:rPr>
              <w:t xml:space="preserve"> lai</w:t>
            </w:r>
            <w:r w:rsidR="00615B53">
              <w:rPr>
                <w:bCs/>
                <w:sz w:val="25"/>
                <w:szCs w:val="25"/>
                <w:lang w:val="lv-LV"/>
              </w:rPr>
              <w:t xml:space="preserve"> </w:t>
            </w:r>
            <w:r w:rsidR="00D138D8">
              <w:rPr>
                <w:bCs/>
                <w:sz w:val="25"/>
                <w:szCs w:val="25"/>
                <w:lang w:val="lv-LV"/>
              </w:rPr>
              <w:t xml:space="preserve">diferencētu </w:t>
            </w:r>
            <w:r w:rsidR="00091D4E">
              <w:rPr>
                <w:bCs/>
                <w:sz w:val="25"/>
                <w:szCs w:val="25"/>
                <w:lang w:val="lv-LV"/>
              </w:rPr>
              <w:t>subjektu</w:t>
            </w:r>
            <w:r w:rsidR="00D138D8">
              <w:rPr>
                <w:bCs/>
                <w:sz w:val="25"/>
                <w:szCs w:val="25"/>
                <w:lang w:val="lv-LV"/>
              </w:rPr>
              <w:t xml:space="preserve"> </w:t>
            </w:r>
            <w:r w:rsidR="00091D4E">
              <w:rPr>
                <w:bCs/>
                <w:sz w:val="25"/>
                <w:szCs w:val="25"/>
                <w:lang w:val="lv-LV"/>
              </w:rPr>
              <w:t xml:space="preserve">un attiecīgajam subjektam piemērojamos nosacījumus attiecībā uz garantijas segumu un </w:t>
            </w:r>
            <w:r w:rsidR="00A878A5">
              <w:rPr>
                <w:bCs/>
                <w:sz w:val="25"/>
                <w:szCs w:val="25"/>
                <w:lang w:val="lv-LV"/>
              </w:rPr>
              <w:t>kopējo garantētās summas apmēru</w:t>
            </w:r>
            <w:r w:rsidR="00091D4E">
              <w:rPr>
                <w:bCs/>
                <w:sz w:val="25"/>
                <w:szCs w:val="25"/>
                <w:lang w:val="lv-LV"/>
              </w:rPr>
              <w:t xml:space="preserve">. </w:t>
            </w:r>
            <w:r w:rsidR="00A878A5">
              <w:rPr>
                <w:bCs/>
                <w:sz w:val="25"/>
                <w:szCs w:val="25"/>
                <w:lang w:val="lv-LV"/>
              </w:rPr>
              <w:t xml:space="preserve">Lai nodrošinātu, ka </w:t>
            </w:r>
            <w:r w:rsidR="00A878A5" w:rsidRPr="00A878A5">
              <w:rPr>
                <w:bCs/>
                <w:sz w:val="25"/>
                <w:szCs w:val="25"/>
                <w:lang w:val="lv-LV"/>
              </w:rPr>
              <w:t xml:space="preserve">aizdevumu garantijas </w:t>
            </w:r>
            <w:r w:rsidR="00A878A5" w:rsidRPr="004F7434">
              <w:rPr>
                <w:bCs/>
                <w:sz w:val="25"/>
                <w:szCs w:val="25"/>
                <w:lang w:val="lv-LV"/>
              </w:rPr>
              <w:t xml:space="preserve">Pilnvarotām personām, kas īsteno projektus 3.4.4.1.aktivitātē termiņš tiek noteikts </w:t>
            </w:r>
            <w:r w:rsidR="004F7434" w:rsidRPr="004F7434">
              <w:rPr>
                <w:bCs/>
                <w:sz w:val="25"/>
                <w:szCs w:val="25"/>
                <w:lang w:val="lv-LV"/>
              </w:rPr>
              <w:t>vienāds ar</w:t>
            </w:r>
            <w:r w:rsidR="00A878A5" w:rsidRPr="004F7434">
              <w:rPr>
                <w:bCs/>
                <w:sz w:val="25"/>
                <w:szCs w:val="25"/>
                <w:lang w:val="lv-LV"/>
              </w:rPr>
              <w:t xml:space="preserve"> komercbankas piešķirtā aizdevuma </w:t>
            </w:r>
            <w:r w:rsidR="004F7434" w:rsidRPr="004F7434">
              <w:rPr>
                <w:bCs/>
                <w:sz w:val="25"/>
                <w:szCs w:val="25"/>
                <w:lang w:val="lv-LV"/>
              </w:rPr>
              <w:t>termiņu</w:t>
            </w:r>
            <w:r w:rsidR="004F7434">
              <w:rPr>
                <w:bCs/>
                <w:sz w:val="25"/>
                <w:szCs w:val="25"/>
                <w:lang w:val="lv-LV"/>
              </w:rPr>
              <w:t xml:space="preserve"> (kas var </w:t>
            </w:r>
            <w:r w:rsidR="00203B8B">
              <w:rPr>
                <w:bCs/>
                <w:sz w:val="25"/>
                <w:szCs w:val="25"/>
                <w:lang w:val="lv-LV"/>
              </w:rPr>
              <w:t xml:space="preserve">sasniegt </w:t>
            </w:r>
            <w:r w:rsidR="004F7434">
              <w:rPr>
                <w:bCs/>
                <w:sz w:val="25"/>
                <w:szCs w:val="25"/>
                <w:lang w:val="lv-LV"/>
              </w:rPr>
              <w:t>pat 15 gadus)</w:t>
            </w:r>
            <w:r w:rsidR="00A878A5" w:rsidRPr="004F7434">
              <w:rPr>
                <w:bCs/>
                <w:sz w:val="25"/>
                <w:szCs w:val="25"/>
                <w:lang w:val="lv-LV"/>
              </w:rPr>
              <w:t xml:space="preserve">, noteikumu projekts paredz </w:t>
            </w:r>
            <w:r w:rsidR="00271575">
              <w:rPr>
                <w:bCs/>
                <w:sz w:val="25"/>
                <w:szCs w:val="25"/>
                <w:lang w:val="lv-LV"/>
              </w:rPr>
              <w:t>noteikt</w:t>
            </w:r>
            <w:r w:rsidR="00271575" w:rsidRPr="004F7434">
              <w:rPr>
                <w:bCs/>
                <w:sz w:val="25"/>
                <w:szCs w:val="25"/>
                <w:lang w:val="lv-LV"/>
              </w:rPr>
              <w:t xml:space="preserve"> </w:t>
            </w:r>
            <w:r w:rsidR="004F7434" w:rsidRPr="004F7434">
              <w:rPr>
                <w:bCs/>
                <w:sz w:val="25"/>
                <w:szCs w:val="25"/>
                <w:lang w:val="lv-LV"/>
              </w:rPr>
              <w:t>termiņu minētām garantijām</w:t>
            </w:r>
            <w:r w:rsidR="00203B8B">
              <w:rPr>
                <w:bCs/>
                <w:sz w:val="25"/>
                <w:szCs w:val="25"/>
                <w:lang w:val="lv-LV"/>
              </w:rPr>
              <w:t xml:space="preserve"> līdz 15 gadiem</w:t>
            </w:r>
            <w:r w:rsidR="004F7434" w:rsidRPr="004F7434">
              <w:rPr>
                <w:bCs/>
                <w:sz w:val="25"/>
                <w:szCs w:val="25"/>
                <w:lang w:val="lv-LV"/>
              </w:rPr>
              <w:t xml:space="preserve">. </w:t>
            </w:r>
            <w:r w:rsidR="00E061C3" w:rsidRPr="004F7434">
              <w:rPr>
                <w:bCs/>
                <w:sz w:val="25"/>
                <w:szCs w:val="25"/>
                <w:lang w:val="lv-LV"/>
              </w:rPr>
              <w:t>Ņemot vērā aizdevumu garantiju izsniegšanu gan saimnieciskās darbības veicējiem, gan  Pilnvarot</w:t>
            </w:r>
            <w:r w:rsidR="00E649C2">
              <w:rPr>
                <w:bCs/>
                <w:sz w:val="25"/>
                <w:szCs w:val="25"/>
                <w:lang w:val="lv-LV"/>
              </w:rPr>
              <w:t>aj</w:t>
            </w:r>
            <w:r w:rsidR="00E061C3" w:rsidRPr="004F7434">
              <w:rPr>
                <w:bCs/>
                <w:sz w:val="25"/>
                <w:szCs w:val="25"/>
                <w:lang w:val="lv-LV"/>
              </w:rPr>
              <w:t>ām personām, kas īsteno projektus 3.4.4.1.aktivitātē, noteikumu projekts paredz precizēt subjektus</w:t>
            </w:r>
            <w:r w:rsidR="00D138D8" w:rsidRPr="004F7434">
              <w:rPr>
                <w:bCs/>
                <w:sz w:val="25"/>
                <w:szCs w:val="25"/>
                <w:lang w:val="lv-LV"/>
              </w:rPr>
              <w:t>, uz kuriem attiecas MK noteikumi Nr.997,</w:t>
            </w:r>
            <w:r w:rsidR="00E061C3" w:rsidRPr="004F7434">
              <w:rPr>
                <w:bCs/>
                <w:sz w:val="25"/>
                <w:szCs w:val="25"/>
                <w:lang w:val="lv-LV"/>
              </w:rPr>
              <w:t xml:space="preserve"> arī MK noteikumu</w:t>
            </w:r>
            <w:r w:rsidR="00D138D8" w:rsidRPr="004F7434">
              <w:rPr>
                <w:bCs/>
                <w:sz w:val="25"/>
                <w:szCs w:val="25"/>
                <w:lang w:val="lv-LV"/>
              </w:rPr>
              <w:t xml:space="preserve"> Nr.997</w:t>
            </w:r>
            <w:r w:rsidR="00E061C3" w:rsidRPr="004F7434">
              <w:rPr>
                <w:bCs/>
                <w:sz w:val="25"/>
                <w:szCs w:val="25"/>
                <w:lang w:val="lv-LV"/>
              </w:rPr>
              <w:t xml:space="preserve"> 1. un 2.punktā.</w:t>
            </w:r>
          </w:p>
          <w:p w:rsidR="000F57B6" w:rsidRDefault="001B6F7F" w:rsidP="005C1382">
            <w:pPr>
              <w:ind w:firstLine="567"/>
              <w:jc w:val="both"/>
              <w:rPr>
                <w:bCs/>
                <w:sz w:val="25"/>
                <w:szCs w:val="25"/>
                <w:lang w:val="lv-LV"/>
              </w:rPr>
            </w:pPr>
            <w:r>
              <w:rPr>
                <w:bCs/>
                <w:sz w:val="25"/>
                <w:szCs w:val="25"/>
                <w:lang w:val="lv-LV"/>
              </w:rPr>
              <w:t xml:space="preserve">Garantiju piešķiršanai </w:t>
            </w:r>
            <w:r w:rsidRPr="003B4A90">
              <w:rPr>
                <w:bCs/>
                <w:sz w:val="25"/>
                <w:szCs w:val="25"/>
                <w:u w:val="single"/>
                <w:lang w:val="lv-LV"/>
              </w:rPr>
              <w:t>Pilnvarot</w:t>
            </w:r>
            <w:r w:rsidR="00E649C2">
              <w:rPr>
                <w:bCs/>
                <w:sz w:val="25"/>
                <w:szCs w:val="25"/>
                <w:u w:val="single"/>
                <w:lang w:val="lv-LV"/>
              </w:rPr>
              <w:t>aj</w:t>
            </w:r>
            <w:r w:rsidRPr="003B4A90">
              <w:rPr>
                <w:bCs/>
                <w:sz w:val="25"/>
                <w:szCs w:val="25"/>
                <w:u w:val="single"/>
                <w:lang w:val="lv-LV"/>
              </w:rPr>
              <w:t>ām personām</w:t>
            </w:r>
            <w:r w:rsidR="000C522B" w:rsidRPr="003B4A90">
              <w:rPr>
                <w:bCs/>
                <w:sz w:val="25"/>
                <w:szCs w:val="25"/>
                <w:u w:val="single"/>
                <w:lang w:val="lv-LV"/>
              </w:rPr>
              <w:t>, kas īsteno</w:t>
            </w:r>
            <w:r w:rsidRPr="003B4A90">
              <w:rPr>
                <w:bCs/>
                <w:sz w:val="25"/>
                <w:szCs w:val="25"/>
                <w:u w:val="single"/>
                <w:lang w:val="lv-LV"/>
              </w:rPr>
              <w:t xml:space="preserve"> projektu</w:t>
            </w:r>
            <w:r w:rsidR="000C522B" w:rsidRPr="003B4A90">
              <w:rPr>
                <w:bCs/>
                <w:sz w:val="25"/>
                <w:szCs w:val="25"/>
                <w:u w:val="single"/>
                <w:lang w:val="lv-LV"/>
              </w:rPr>
              <w:t>s</w:t>
            </w:r>
            <w:r w:rsidRPr="003B4A90">
              <w:rPr>
                <w:bCs/>
                <w:sz w:val="25"/>
                <w:szCs w:val="25"/>
                <w:u w:val="single"/>
                <w:lang w:val="lv-LV"/>
              </w:rPr>
              <w:t xml:space="preserve"> 3.4.4.1.aktivitātē</w:t>
            </w:r>
            <w:r w:rsidR="000C522B">
              <w:rPr>
                <w:bCs/>
                <w:sz w:val="25"/>
                <w:szCs w:val="25"/>
                <w:lang w:val="lv-LV"/>
              </w:rPr>
              <w:t>,</w:t>
            </w:r>
            <w:r>
              <w:rPr>
                <w:bCs/>
                <w:sz w:val="25"/>
                <w:szCs w:val="25"/>
                <w:lang w:val="lv-LV"/>
              </w:rPr>
              <w:t xml:space="preserve"> ir ierobežots </w:t>
            </w:r>
            <w:r w:rsidR="000C522B">
              <w:rPr>
                <w:bCs/>
                <w:sz w:val="25"/>
                <w:szCs w:val="25"/>
                <w:lang w:val="lv-LV"/>
              </w:rPr>
              <w:t>pieejamā finansējuma apmērs</w:t>
            </w:r>
            <w:r w:rsidR="00A50481">
              <w:rPr>
                <w:bCs/>
                <w:sz w:val="25"/>
                <w:szCs w:val="25"/>
                <w:lang w:val="lv-LV"/>
              </w:rPr>
              <w:t>. T</w:t>
            </w:r>
            <w:r w:rsidR="005C1382">
              <w:rPr>
                <w:bCs/>
                <w:sz w:val="25"/>
                <w:szCs w:val="25"/>
                <w:lang w:val="lv-LV"/>
              </w:rPr>
              <w:t>ādēļ</w:t>
            </w:r>
            <w:r w:rsidR="00091D4E">
              <w:rPr>
                <w:bCs/>
                <w:sz w:val="25"/>
                <w:szCs w:val="25"/>
                <w:lang w:val="lv-LV"/>
              </w:rPr>
              <w:t xml:space="preserve"> sabiedrība ar ierobežotu atbildību „Latvijas Garantiju aģentūra”</w:t>
            </w:r>
            <w:r>
              <w:rPr>
                <w:bCs/>
                <w:sz w:val="25"/>
                <w:szCs w:val="25"/>
                <w:lang w:val="lv-LV"/>
              </w:rPr>
              <w:t xml:space="preserve"> (turpmāk – LGA)</w:t>
            </w:r>
            <w:r w:rsidR="00E649C2">
              <w:rPr>
                <w:bCs/>
                <w:sz w:val="25"/>
                <w:szCs w:val="25"/>
                <w:lang w:val="lv-LV"/>
              </w:rPr>
              <w:t xml:space="preserve"> (kopš 2015.gada 15.aprīļa AS „Attīstības finanšu institūcija ALTUM” sastāvā)</w:t>
            </w:r>
            <w:r w:rsidR="00A50481">
              <w:rPr>
                <w:bCs/>
                <w:sz w:val="25"/>
                <w:szCs w:val="25"/>
                <w:lang w:val="lv-LV"/>
              </w:rPr>
              <w:t xml:space="preserve">, </w:t>
            </w:r>
            <w:r w:rsidR="00A50481" w:rsidRPr="00A50481">
              <w:rPr>
                <w:bCs/>
                <w:sz w:val="25"/>
                <w:szCs w:val="25"/>
                <w:lang w:val="lv-LV"/>
              </w:rPr>
              <w:t>pamatojoties uz MK noteikumu Nr.997 10.1.punktu</w:t>
            </w:r>
            <w:r w:rsidR="00A50481">
              <w:rPr>
                <w:bCs/>
                <w:sz w:val="25"/>
                <w:szCs w:val="25"/>
                <w:lang w:val="lv-LV"/>
              </w:rPr>
              <w:t>,</w:t>
            </w:r>
            <w:r w:rsidR="00324552">
              <w:rPr>
                <w:bCs/>
                <w:sz w:val="25"/>
                <w:szCs w:val="25"/>
                <w:lang w:val="lv-LV"/>
              </w:rPr>
              <w:t xml:space="preserve"> nodrošināja,</w:t>
            </w:r>
            <w:r w:rsidR="00091D4E">
              <w:rPr>
                <w:bCs/>
                <w:sz w:val="25"/>
                <w:szCs w:val="25"/>
                <w:lang w:val="lv-LV"/>
              </w:rPr>
              <w:t xml:space="preserve"> </w:t>
            </w:r>
            <w:r w:rsidR="00615B53">
              <w:rPr>
                <w:bCs/>
                <w:sz w:val="25"/>
                <w:szCs w:val="25"/>
                <w:lang w:val="lv-LV"/>
              </w:rPr>
              <w:t>ka</w:t>
            </w:r>
            <w:r w:rsidR="00091D4E">
              <w:rPr>
                <w:bCs/>
                <w:sz w:val="25"/>
                <w:szCs w:val="25"/>
                <w:lang w:val="lv-LV"/>
              </w:rPr>
              <w:t xml:space="preserve"> kopējās aktīvās </w:t>
            </w:r>
            <w:r w:rsidR="00324552">
              <w:rPr>
                <w:bCs/>
                <w:sz w:val="25"/>
                <w:szCs w:val="25"/>
                <w:lang w:val="lv-LV"/>
              </w:rPr>
              <w:t xml:space="preserve">garantiju </w:t>
            </w:r>
            <w:r w:rsidR="00091D4E">
              <w:rPr>
                <w:bCs/>
                <w:sz w:val="25"/>
                <w:szCs w:val="25"/>
                <w:lang w:val="lv-LV"/>
              </w:rPr>
              <w:t xml:space="preserve">saistības </w:t>
            </w:r>
            <w:r w:rsidR="00324552">
              <w:rPr>
                <w:bCs/>
                <w:sz w:val="25"/>
                <w:szCs w:val="25"/>
                <w:lang w:val="lv-LV"/>
              </w:rPr>
              <w:t xml:space="preserve">vienai Pilnvarotajai personai </w:t>
            </w:r>
            <w:r w:rsidR="000C522B">
              <w:rPr>
                <w:bCs/>
                <w:sz w:val="25"/>
                <w:szCs w:val="25"/>
                <w:lang w:val="lv-LV"/>
              </w:rPr>
              <w:t xml:space="preserve">projektu īstenošanai 3.4.4.1.aktivitātē </w:t>
            </w:r>
            <w:r w:rsidR="00091D4E" w:rsidRPr="00091D4E">
              <w:rPr>
                <w:bCs/>
                <w:sz w:val="25"/>
                <w:szCs w:val="25"/>
                <w:lang w:val="lv-LV"/>
              </w:rPr>
              <w:t>nepārsniedz 1,5 milj</w:t>
            </w:r>
            <w:r w:rsidR="00E649C2">
              <w:rPr>
                <w:bCs/>
                <w:sz w:val="25"/>
                <w:szCs w:val="25"/>
                <w:lang w:val="lv-LV"/>
              </w:rPr>
              <w:t>.</w:t>
            </w:r>
            <w:r w:rsidR="00091D4E" w:rsidRPr="00091D4E">
              <w:rPr>
                <w:bCs/>
                <w:sz w:val="25"/>
                <w:szCs w:val="25"/>
                <w:lang w:val="lv-LV"/>
              </w:rPr>
              <w:t xml:space="preserve"> </w:t>
            </w:r>
            <w:r w:rsidR="00091D4E" w:rsidRPr="00324552">
              <w:rPr>
                <w:bCs/>
                <w:i/>
                <w:sz w:val="25"/>
                <w:szCs w:val="25"/>
                <w:lang w:val="lv-LV"/>
              </w:rPr>
              <w:t>euro</w:t>
            </w:r>
            <w:r w:rsidR="00A50481">
              <w:rPr>
                <w:bCs/>
                <w:i/>
                <w:sz w:val="25"/>
                <w:szCs w:val="25"/>
                <w:lang w:val="lv-LV"/>
              </w:rPr>
              <w:t xml:space="preserve">. </w:t>
            </w:r>
            <w:r w:rsidR="000C522B" w:rsidRPr="000C522B">
              <w:rPr>
                <w:bCs/>
                <w:sz w:val="25"/>
                <w:szCs w:val="25"/>
                <w:lang w:val="lv-LV"/>
              </w:rPr>
              <w:t>LGA</w:t>
            </w:r>
            <w:r w:rsidR="000C522B">
              <w:rPr>
                <w:bCs/>
                <w:i/>
                <w:sz w:val="25"/>
                <w:szCs w:val="25"/>
                <w:lang w:val="lv-LV"/>
              </w:rPr>
              <w:t xml:space="preserve"> </w:t>
            </w:r>
            <w:r w:rsidR="000C522B">
              <w:rPr>
                <w:bCs/>
                <w:sz w:val="25"/>
                <w:szCs w:val="25"/>
                <w:lang w:val="lv-LV"/>
              </w:rPr>
              <w:t>i</w:t>
            </w:r>
            <w:r>
              <w:rPr>
                <w:bCs/>
                <w:sz w:val="25"/>
                <w:szCs w:val="25"/>
                <w:lang w:val="lv-LV"/>
              </w:rPr>
              <w:t>r</w:t>
            </w:r>
            <w:r w:rsidR="00324552" w:rsidRPr="00615B53">
              <w:rPr>
                <w:bCs/>
                <w:sz w:val="25"/>
                <w:szCs w:val="25"/>
                <w:lang w:val="lv-LV"/>
              </w:rPr>
              <w:t xml:space="preserve"> </w:t>
            </w:r>
            <w:r w:rsidR="00615B53">
              <w:rPr>
                <w:bCs/>
                <w:sz w:val="25"/>
                <w:szCs w:val="25"/>
                <w:lang w:val="lv-LV"/>
              </w:rPr>
              <w:t>konstatē</w:t>
            </w:r>
            <w:r w:rsidR="000C522B">
              <w:rPr>
                <w:bCs/>
                <w:sz w:val="25"/>
                <w:szCs w:val="25"/>
                <w:lang w:val="lv-LV"/>
              </w:rPr>
              <w:t>jusi</w:t>
            </w:r>
            <w:r>
              <w:rPr>
                <w:bCs/>
                <w:sz w:val="25"/>
                <w:szCs w:val="25"/>
                <w:lang w:val="lv-LV"/>
              </w:rPr>
              <w:t xml:space="preserve"> vairāk</w:t>
            </w:r>
            <w:r w:rsidR="000C522B">
              <w:rPr>
                <w:bCs/>
                <w:sz w:val="25"/>
                <w:szCs w:val="25"/>
                <w:lang w:val="lv-LV"/>
              </w:rPr>
              <w:t>us</w:t>
            </w:r>
            <w:r>
              <w:rPr>
                <w:bCs/>
                <w:sz w:val="25"/>
                <w:szCs w:val="25"/>
                <w:lang w:val="lv-LV"/>
              </w:rPr>
              <w:t xml:space="preserve"> gadījum</w:t>
            </w:r>
            <w:r w:rsidR="000C522B">
              <w:rPr>
                <w:bCs/>
                <w:sz w:val="25"/>
                <w:szCs w:val="25"/>
                <w:lang w:val="lv-LV"/>
              </w:rPr>
              <w:t>us</w:t>
            </w:r>
            <w:r>
              <w:rPr>
                <w:bCs/>
                <w:sz w:val="25"/>
                <w:szCs w:val="25"/>
                <w:lang w:val="lv-LV"/>
              </w:rPr>
              <w:t>, kad</w:t>
            </w:r>
            <w:r w:rsidR="00D138D8">
              <w:rPr>
                <w:bCs/>
                <w:sz w:val="25"/>
                <w:szCs w:val="25"/>
                <w:lang w:val="lv-LV"/>
              </w:rPr>
              <w:t xml:space="preserve"> atsevišķas</w:t>
            </w:r>
            <w:r w:rsidR="00324552" w:rsidRPr="00615B53">
              <w:rPr>
                <w:bCs/>
                <w:sz w:val="25"/>
                <w:szCs w:val="25"/>
                <w:lang w:val="lv-LV"/>
              </w:rPr>
              <w:t xml:space="preserve"> </w:t>
            </w:r>
            <w:r w:rsidR="00615B53" w:rsidRPr="00615B53">
              <w:rPr>
                <w:bCs/>
                <w:sz w:val="25"/>
                <w:szCs w:val="25"/>
                <w:lang w:val="lv-LV"/>
              </w:rPr>
              <w:t>Pilnvarotās p</w:t>
            </w:r>
            <w:r w:rsidR="00615B53">
              <w:rPr>
                <w:bCs/>
                <w:sz w:val="25"/>
                <w:szCs w:val="25"/>
                <w:lang w:val="lv-LV"/>
              </w:rPr>
              <w:t>ersonas</w:t>
            </w:r>
            <w:r w:rsidR="00D138D8">
              <w:rPr>
                <w:bCs/>
                <w:sz w:val="25"/>
                <w:szCs w:val="25"/>
                <w:lang w:val="lv-LV"/>
              </w:rPr>
              <w:t>, kuras īsteno vairākus projektus 3.4.4.1.aktivitātes ietvaros,</w:t>
            </w:r>
            <w:r w:rsidR="00615B53">
              <w:rPr>
                <w:bCs/>
                <w:sz w:val="25"/>
                <w:szCs w:val="25"/>
                <w:lang w:val="lv-LV"/>
              </w:rPr>
              <w:t xml:space="preserve"> ir sasniegušas</w:t>
            </w:r>
            <w:r w:rsidR="00324552">
              <w:rPr>
                <w:bCs/>
                <w:sz w:val="25"/>
                <w:szCs w:val="25"/>
                <w:lang w:val="lv-LV"/>
              </w:rPr>
              <w:t xml:space="preserve"> </w:t>
            </w:r>
            <w:r w:rsidR="00615B53" w:rsidRPr="001B6F7F">
              <w:rPr>
                <w:bCs/>
                <w:sz w:val="25"/>
                <w:szCs w:val="25"/>
                <w:lang w:val="lv-LV"/>
              </w:rPr>
              <w:t>kopējo</w:t>
            </w:r>
            <w:r w:rsidR="00324552" w:rsidRPr="001B6F7F">
              <w:rPr>
                <w:bCs/>
                <w:sz w:val="25"/>
                <w:szCs w:val="25"/>
                <w:lang w:val="lv-LV"/>
              </w:rPr>
              <w:t xml:space="preserve"> </w:t>
            </w:r>
            <w:r w:rsidRPr="001B6F7F">
              <w:rPr>
                <w:bCs/>
                <w:sz w:val="25"/>
                <w:szCs w:val="25"/>
                <w:lang w:val="lv-LV"/>
              </w:rPr>
              <w:t>aktīvo saistību limitu</w:t>
            </w:r>
            <w:r w:rsidR="00D138D8">
              <w:rPr>
                <w:bCs/>
                <w:sz w:val="25"/>
                <w:szCs w:val="25"/>
                <w:lang w:val="lv-LV"/>
              </w:rPr>
              <w:t xml:space="preserve"> – 1,5 milj</w:t>
            </w:r>
            <w:r w:rsidR="00E649C2">
              <w:rPr>
                <w:bCs/>
                <w:sz w:val="25"/>
                <w:szCs w:val="25"/>
                <w:lang w:val="lv-LV"/>
              </w:rPr>
              <w:t>.</w:t>
            </w:r>
            <w:r w:rsidR="00D138D8">
              <w:rPr>
                <w:bCs/>
                <w:sz w:val="25"/>
                <w:szCs w:val="25"/>
                <w:lang w:val="lv-LV"/>
              </w:rPr>
              <w:t xml:space="preserve"> </w:t>
            </w:r>
            <w:r w:rsidR="00D138D8" w:rsidRPr="005C1382">
              <w:rPr>
                <w:bCs/>
                <w:i/>
                <w:sz w:val="25"/>
                <w:szCs w:val="25"/>
                <w:lang w:val="lv-LV"/>
              </w:rPr>
              <w:t>euro</w:t>
            </w:r>
            <w:r w:rsidR="00D138D8">
              <w:rPr>
                <w:bCs/>
                <w:sz w:val="25"/>
                <w:szCs w:val="25"/>
                <w:lang w:val="lv-LV"/>
              </w:rPr>
              <w:t xml:space="preserve"> </w:t>
            </w:r>
            <w:r w:rsidR="005C1382">
              <w:rPr>
                <w:bCs/>
                <w:sz w:val="25"/>
                <w:szCs w:val="25"/>
                <w:lang w:val="lv-LV"/>
              </w:rPr>
              <w:t>–</w:t>
            </w:r>
            <w:r w:rsidR="00D138D8">
              <w:rPr>
                <w:bCs/>
                <w:sz w:val="25"/>
                <w:szCs w:val="25"/>
                <w:lang w:val="lv-LV"/>
              </w:rPr>
              <w:t xml:space="preserve"> </w:t>
            </w:r>
            <w:r w:rsidRPr="001B6F7F">
              <w:rPr>
                <w:bCs/>
                <w:sz w:val="25"/>
                <w:szCs w:val="25"/>
                <w:lang w:val="lv-LV"/>
              </w:rPr>
              <w:t xml:space="preserve"> </w:t>
            </w:r>
            <w:r w:rsidR="000C522B">
              <w:rPr>
                <w:bCs/>
                <w:sz w:val="25"/>
                <w:szCs w:val="25"/>
                <w:lang w:val="lv-LV"/>
              </w:rPr>
              <w:t xml:space="preserve">aizdevumu garantijām projektu finansēšanai 3.4.4.1.aktivitātē. </w:t>
            </w:r>
            <w:r w:rsidR="00741519">
              <w:rPr>
                <w:bCs/>
                <w:sz w:val="25"/>
                <w:szCs w:val="25"/>
                <w:lang w:val="lv-LV"/>
              </w:rPr>
              <w:t>A</w:t>
            </w:r>
            <w:r w:rsidR="000C522B">
              <w:rPr>
                <w:bCs/>
                <w:sz w:val="25"/>
                <w:szCs w:val="25"/>
                <w:lang w:val="lv-LV"/>
              </w:rPr>
              <w:t>pzinot</w:t>
            </w:r>
            <w:r w:rsidR="00741519">
              <w:rPr>
                <w:bCs/>
                <w:sz w:val="25"/>
                <w:szCs w:val="25"/>
                <w:lang w:val="lv-LV"/>
              </w:rPr>
              <w:t>ies</w:t>
            </w:r>
            <w:r w:rsidR="000C522B">
              <w:rPr>
                <w:bCs/>
                <w:sz w:val="25"/>
                <w:szCs w:val="25"/>
                <w:lang w:val="lv-LV"/>
              </w:rPr>
              <w:t xml:space="preserve"> vēl potenciālo </w:t>
            </w:r>
            <w:r w:rsidR="00741519">
              <w:rPr>
                <w:bCs/>
                <w:sz w:val="25"/>
                <w:szCs w:val="25"/>
                <w:lang w:val="lv-LV"/>
              </w:rPr>
              <w:t xml:space="preserve">pieprasījumu pēc aizdevumu garantijām, kā arī </w:t>
            </w:r>
            <w:r w:rsidR="000C522B">
              <w:rPr>
                <w:bCs/>
                <w:sz w:val="25"/>
                <w:szCs w:val="25"/>
                <w:lang w:val="lv-LV"/>
              </w:rPr>
              <w:t xml:space="preserve">ņemot vērā būvniecības sezonas sākšanos, </w:t>
            </w:r>
            <w:r w:rsidR="00741519">
              <w:rPr>
                <w:bCs/>
                <w:sz w:val="25"/>
                <w:szCs w:val="25"/>
                <w:lang w:val="lv-LV"/>
              </w:rPr>
              <w:t xml:space="preserve">un, </w:t>
            </w:r>
            <w:r>
              <w:rPr>
                <w:bCs/>
                <w:sz w:val="25"/>
                <w:szCs w:val="25"/>
                <w:lang w:val="lv-LV"/>
              </w:rPr>
              <w:t xml:space="preserve">lai nodrošinātu </w:t>
            </w:r>
            <w:r w:rsidRPr="001B6F7F">
              <w:rPr>
                <w:bCs/>
                <w:sz w:val="25"/>
                <w:szCs w:val="25"/>
                <w:lang w:val="lv-LV"/>
              </w:rPr>
              <w:t>daudzdzīvokļu dzīvojamo māju siltumnoturības uzlabošanas projektu</w:t>
            </w:r>
            <w:r>
              <w:rPr>
                <w:bCs/>
                <w:sz w:val="25"/>
                <w:szCs w:val="25"/>
                <w:lang w:val="lv-LV"/>
              </w:rPr>
              <w:t xml:space="preserve"> realizēšanu</w:t>
            </w:r>
            <w:r w:rsidR="000F57B6">
              <w:rPr>
                <w:bCs/>
                <w:sz w:val="25"/>
                <w:szCs w:val="25"/>
                <w:lang w:val="lv-LV"/>
              </w:rPr>
              <w:t xml:space="preserve"> 3.4.4.1.aktivitātes ietvaros</w:t>
            </w:r>
            <w:r w:rsidR="00741519">
              <w:rPr>
                <w:bCs/>
                <w:sz w:val="25"/>
                <w:szCs w:val="25"/>
                <w:lang w:val="lv-LV"/>
              </w:rPr>
              <w:t>, ir nepieciešams nodrošināt pieejamību komercbanku aizdevumiem projektu finansēšanai 3.4.4.1.aktivitātē tām Pilnvarot</w:t>
            </w:r>
            <w:r w:rsidR="00E649C2">
              <w:rPr>
                <w:bCs/>
                <w:sz w:val="25"/>
                <w:szCs w:val="25"/>
                <w:lang w:val="lv-LV"/>
              </w:rPr>
              <w:t>aj</w:t>
            </w:r>
            <w:r w:rsidR="00741519">
              <w:rPr>
                <w:bCs/>
                <w:sz w:val="25"/>
                <w:szCs w:val="25"/>
                <w:lang w:val="lv-LV"/>
              </w:rPr>
              <w:t>ām personām, kuru uzņemto aktīvo garantiju saistību apmērs līdzšinēji jau sasniedz 1,5 milj</w:t>
            </w:r>
            <w:r w:rsidR="00E649C2">
              <w:rPr>
                <w:bCs/>
                <w:sz w:val="25"/>
                <w:szCs w:val="25"/>
                <w:lang w:val="lv-LV"/>
              </w:rPr>
              <w:t>.</w:t>
            </w:r>
            <w:r w:rsidR="00741519">
              <w:rPr>
                <w:bCs/>
                <w:sz w:val="25"/>
                <w:szCs w:val="25"/>
                <w:lang w:val="lv-LV"/>
              </w:rPr>
              <w:t xml:space="preserve"> </w:t>
            </w:r>
            <w:r w:rsidR="00741519" w:rsidRPr="00741519">
              <w:rPr>
                <w:bCs/>
                <w:i/>
                <w:sz w:val="25"/>
                <w:szCs w:val="25"/>
                <w:lang w:val="lv-LV"/>
              </w:rPr>
              <w:t>euro</w:t>
            </w:r>
            <w:r w:rsidR="00741519">
              <w:rPr>
                <w:bCs/>
                <w:sz w:val="25"/>
                <w:szCs w:val="25"/>
                <w:lang w:val="lv-LV"/>
              </w:rPr>
              <w:t>. Ņemot vērā minēto,</w:t>
            </w:r>
            <w:r>
              <w:rPr>
                <w:bCs/>
                <w:sz w:val="25"/>
                <w:szCs w:val="25"/>
                <w:lang w:val="lv-LV"/>
              </w:rPr>
              <w:t xml:space="preserve"> noteikumu projekts </w:t>
            </w:r>
            <w:r w:rsidR="00741519">
              <w:rPr>
                <w:bCs/>
                <w:sz w:val="25"/>
                <w:szCs w:val="25"/>
                <w:lang w:val="lv-LV"/>
              </w:rPr>
              <w:t>paredz noteikt</w:t>
            </w:r>
            <w:r>
              <w:rPr>
                <w:bCs/>
                <w:sz w:val="25"/>
                <w:szCs w:val="25"/>
                <w:lang w:val="lv-LV"/>
              </w:rPr>
              <w:t>, ka aktīvo garantiju saistību apmērs vienai Pilnvarot</w:t>
            </w:r>
            <w:r w:rsidR="00E649C2">
              <w:rPr>
                <w:bCs/>
                <w:sz w:val="25"/>
                <w:szCs w:val="25"/>
                <w:lang w:val="lv-LV"/>
              </w:rPr>
              <w:t>aj</w:t>
            </w:r>
            <w:r>
              <w:rPr>
                <w:bCs/>
                <w:sz w:val="25"/>
                <w:szCs w:val="25"/>
                <w:lang w:val="lv-LV"/>
              </w:rPr>
              <w:t>a</w:t>
            </w:r>
            <w:r w:rsidR="00741519">
              <w:rPr>
                <w:bCs/>
                <w:sz w:val="25"/>
                <w:szCs w:val="25"/>
                <w:lang w:val="lv-LV"/>
              </w:rPr>
              <w:t xml:space="preserve">i personai, kas īsteno projektus 3.4.4.1.aktivitātē, </w:t>
            </w:r>
            <w:r>
              <w:rPr>
                <w:bCs/>
                <w:sz w:val="25"/>
                <w:szCs w:val="25"/>
                <w:lang w:val="lv-LV"/>
              </w:rPr>
              <w:t xml:space="preserve">nepārsniedz </w:t>
            </w:r>
            <w:r w:rsidR="004F7434">
              <w:rPr>
                <w:bCs/>
                <w:sz w:val="25"/>
                <w:szCs w:val="25"/>
                <w:lang w:val="lv-LV"/>
              </w:rPr>
              <w:t>3</w:t>
            </w:r>
            <w:r>
              <w:rPr>
                <w:bCs/>
                <w:sz w:val="25"/>
                <w:szCs w:val="25"/>
                <w:lang w:val="lv-LV"/>
              </w:rPr>
              <w:t xml:space="preserve"> milj</w:t>
            </w:r>
            <w:r w:rsidR="00E649C2">
              <w:rPr>
                <w:bCs/>
                <w:sz w:val="25"/>
                <w:szCs w:val="25"/>
                <w:lang w:val="lv-LV"/>
              </w:rPr>
              <w:t>.</w:t>
            </w:r>
            <w:r>
              <w:rPr>
                <w:bCs/>
                <w:sz w:val="25"/>
                <w:szCs w:val="25"/>
                <w:lang w:val="lv-LV"/>
              </w:rPr>
              <w:t xml:space="preserve"> </w:t>
            </w:r>
            <w:proofErr w:type="spellStart"/>
            <w:r w:rsidRPr="001B6F7F">
              <w:rPr>
                <w:bCs/>
                <w:i/>
                <w:sz w:val="25"/>
                <w:szCs w:val="25"/>
                <w:lang w:val="lv-LV"/>
              </w:rPr>
              <w:t>euro</w:t>
            </w:r>
            <w:proofErr w:type="spellEnd"/>
            <w:r w:rsidR="004F7434">
              <w:rPr>
                <w:bCs/>
                <w:sz w:val="25"/>
                <w:szCs w:val="25"/>
                <w:lang w:val="lv-LV"/>
              </w:rPr>
              <w:t>.</w:t>
            </w:r>
            <w:r w:rsidR="000F57B6">
              <w:rPr>
                <w:bCs/>
                <w:sz w:val="25"/>
                <w:szCs w:val="25"/>
                <w:lang w:val="lv-LV"/>
              </w:rPr>
              <w:t xml:space="preserve"> </w:t>
            </w:r>
            <w:r w:rsidR="0058422C">
              <w:rPr>
                <w:bCs/>
                <w:sz w:val="25"/>
                <w:szCs w:val="25"/>
                <w:lang w:val="lv-LV"/>
              </w:rPr>
              <w:t>S</w:t>
            </w:r>
            <w:r w:rsidR="0058422C" w:rsidRPr="0058422C">
              <w:rPr>
                <w:bCs/>
                <w:sz w:val="25"/>
                <w:szCs w:val="25"/>
                <w:lang w:val="lv-LV"/>
              </w:rPr>
              <w:t>pēkā esošajos un attiecināmajos normatīvajos aktos nepastā</w:t>
            </w:r>
            <w:r w:rsidR="0058422C">
              <w:rPr>
                <w:bCs/>
                <w:sz w:val="25"/>
                <w:szCs w:val="25"/>
                <w:lang w:val="lv-LV"/>
              </w:rPr>
              <w:t>v ierobežojumi minēto garantiju saistī</w:t>
            </w:r>
            <w:r w:rsidR="0058422C" w:rsidRPr="0058422C">
              <w:rPr>
                <w:bCs/>
                <w:sz w:val="25"/>
                <w:szCs w:val="25"/>
                <w:lang w:val="lv-LV"/>
              </w:rPr>
              <w:t>bu apmēra palielināšanai.</w:t>
            </w:r>
            <w:r w:rsidR="0058422C">
              <w:rPr>
                <w:bCs/>
                <w:sz w:val="25"/>
                <w:szCs w:val="25"/>
                <w:lang w:val="lv-LV"/>
              </w:rPr>
              <w:t xml:space="preserve"> </w:t>
            </w:r>
          </w:p>
          <w:p w:rsidR="009A6493" w:rsidRDefault="00327BF6" w:rsidP="00327BF6">
            <w:pPr>
              <w:ind w:firstLine="567"/>
              <w:jc w:val="both"/>
              <w:rPr>
                <w:bCs/>
                <w:sz w:val="25"/>
                <w:szCs w:val="25"/>
                <w:lang w:val="lv-LV"/>
              </w:rPr>
            </w:pPr>
            <w:r>
              <w:rPr>
                <w:bCs/>
                <w:sz w:val="25"/>
                <w:szCs w:val="25"/>
                <w:lang w:val="lv-LV"/>
              </w:rPr>
              <w:t>MK noteikumu Nr.997 ietvaros aizdevumu</w:t>
            </w:r>
            <w:r w:rsidRPr="00327BF6">
              <w:rPr>
                <w:bCs/>
                <w:sz w:val="25"/>
                <w:szCs w:val="25"/>
                <w:lang w:val="lv-LV"/>
              </w:rPr>
              <w:t xml:space="preserve"> garantijas </w:t>
            </w:r>
            <w:r w:rsidRPr="003B4A90">
              <w:rPr>
                <w:bCs/>
                <w:sz w:val="25"/>
                <w:szCs w:val="25"/>
                <w:u w:val="single"/>
                <w:lang w:val="lv-LV"/>
              </w:rPr>
              <w:t>saimnieciskās darbības veicējiem</w:t>
            </w:r>
            <w:r>
              <w:rPr>
                <w:bCs/>
                <w:sz w:val="25"/>
                <w:szCs w:val="25"/>
                <w:lang w:val="lv-LV"/>
              </w:rPr>
              <w:t xml:space="preserve"> </w:t>
            </w:r>
            <w:r w:rsidRPr="00327BF6">
              <w:rPr>
                <w:bCs/>
                <w:sz w:val="25"/>
                <w:szCs w:val="25"/>
                <w:lang w:val="lv-LV"/>
              </w:rPr>
              <w:t xml:space="preserve">tiek finansētas no 2007.-2013.gada </w:t>
            </w:r>
            <w:r w:rsidRPr="00327BF6">
              <w:rPr>
                <w:bCs/>
                <w:sz w:val="25"/>
                <w:szCs w:val="25"/>
                <w:lang w:val="lv-LV"/>
              </w:rPr>
              <w:lastRenderedPageBreak/>
              <w:t>plānošanas perioda Eiropas Reģionālā attīstības fonda finansējuma</w:t>
            </w:r>
            <w:r>
              <w:rPr>
                <w:bCs/>
                <w:sz w:val="25"/>
                <w:szCs w:val="25"/>
                <w:lang w:val="lv-LV"/>
              </w:rPr>
              <w:t>, attiecīgi tiek ievēroti</w:t>
            </w:r>
            <w:r w:rsidRPr="00327BF6">
              <w:rPr>
                <w:bCs/>
                <w:sz w:val="25"/>
                <w:szCs w:val="25"/>
                <w:lang w:val="lv-LV"/>
              </w:rPr>
              <w:t xml:space="preserve"> Komisijas 2006.gada 8.decembra Regula</w:t>
            </w:r>
            <w:r>
              <w:rPr>
                <w:bCs/>
                <w:sz w:val="25"/>
                <w:szCs w:val="25"/>
                <w:lang w:val="lv-LV"/>
              </w:rPr>
              <w:t>s</w:t>
            </w:r>
            <w:r w:rsidRPr="00327BF6">
              <w:rPr>
                <w:bCs/>
                <w:sz w:val="25"/>
                <w:szCs w:val="25"/>
                <w:lang w:val="lv-LV"/>
              </w:rPr>
              <w:t xml:space="preserve"> (EK) Nr.1828/2006, kas paredz noteikumus par to, kā īstenot Padomes Regulu (EK) Nr.1083/2006, ar ko paredz vispārīgus noteikumus par Eiropas Reģionālās attīstības fondu, Eiropas Sociālo fondu un Kohēzijas fondu, un Eiropas Parlamenta un Padomes Regulu (EK) Nr.1080/2006 par Eiro</w:t>
            </w:r>
            <w:r w:rsidR="0058422C">
              <w:rPr>
                <w:bCs/>
                <w:sz w:val="25"/>
                <w:szCs w:val="25"/>
                <w:lang w:val="lv-LV"/>
              </w:rPr>
              <w:t xml:space="preserve">pas Reģionālās attīstības fondu, </w:t>
            </w:r>
            <w:r w:rsidRPr="00327BF6">
              <w:rPr>
                <w:bCs/>
                <w:sz w:val="25"/>
                <w:szCs w:val="25"/>
                <w:lang w:val="lv-LV"/>
              </w:rPr>
              <w:t>45.pant</w:t>
            </w:r>
            <w:r w:rsidR="003B4A90">
              <w:rPr>
                <w:bCs/>
                <w:sz w:val="25"/>
                <w:szCs w:val="25"/>
                <w:lang w:val="lv-LV"/>
              </w:rPr>
              <w:t xml:space="preserve">a nosacījumi. </w:t>
            </w:r>
            <w:r>
              <w:rPr>
                <w:bCs/>
                <w:sz w:val="25"/>
                <w:szCs w:val="25"/>
                <w:lang w:val="lv-LV"/>
              </w:rPr>
              <w:t xml:space="preserve"> </w:t>
            </w:r>
            <w:r w:rsidR="003B4A90">
              <w:rPr>
                <w:bCs/>
                <w:sz w:val="25"/>
                <w:szCs w:val="25"/>
                <w:lang w:val="lv-LV"/>
              </w:rPr>
              <w:t xml:space="preserve">MK noteikumu Nr.997 ietvaros </w:t>
            </w:r>
            <w:r w:rsidRPr="00327BF6">
              <w:rPr>
                <w:bCs/>
                <w:sz w:val="25"/>
                <w:szCs w:val="25"/>
                <w:lang w:val="lv-LV"/>
              </w:rPr>
              <w:t>atbalst</w:t>
            </w:r>
            <w:r w:rsidR="003B4A90">
              <w:rPr>
                <w:bCs/>
                <w:sz w:val="25"/>
                <w:szCs w:val="25"/>
                <w:lang w:val="lv-LV"/>
              </w:rPr>
              <w:t>s</w:t>
            </w:r>
            <w:r w:rsidRPr="00327BF6">
              <w:rPr>
                <w:bCs/>
                <w:sz w:val="25"/>
                <w:szCs w:val="25"/>
                <w:lang w:val="lv-LV"/>
              </w:rPr>
              <w:t xml:space="preserve"> ne</w:t>
            </w:r>
            <w:r w:rsidR="003B4A90">
              <w:rPr>
                <w:bCs/>
                <w:sz w:val="25"/>
                <w:szCs w:val="25"/>
                <w:lang w:val="lv-LV"/>
              </w:rPr>
              <w:t>tiek</w:t>
            </w:r>
            <w:r w:rsidRPr="00327BF6">
              <w:rPr>
                <w:bCs/>
                <w:sz w:val="25"/>
                <w:szCs w:val="25"/>
                <w:lang w:val="lv-LV"/>
              </w:rPr>
              <w:t xml:space="preserve"> piešķirt</w:t>
            </w:r>
            <w:r w:rsidR="003B4A90">
              <w:rPr>
                <w:bCs/>
                <w:sz w:val="25"/>
                <w:szCs w:val="25"/>
                <w:lang w:val="lv-LV"/>
              </w:rPr>
              <w:t>s</w:t>
            </w:r>
            <w:r w:rsidRPr="00327BF6">
              <w:rPr>
                <w:bCs/>
                <w:sz w:val="25"/>
                <w:szCs w:val="25"/>
                <w:lang w:val="lv-LV"/>
              </w:rPr>
              <w:t xml:space="preserve"> grūtībās nonākušiem saimnieciskās darbības veicējiem saskaņā ar Kopienas 2014.gada 31.jūlija Pamatnostādn</w:t>
            </w:r>
            <w:r w:rsidR="003B4A90">
              <w:rPr>
                <w:bCs/>
                <w:sz w:val="25"/>
                <w:szCs w:val="25"/>
                <w:lang w:val="lv-LV"/>
              </w:rPr>
              <w:t>ēm</w:t>
            </w:r>
            <w:r w:rsidRPr="00327BF6">
              <w:rPr>
                <w:bCs/>
                <w:sz w:val="25"/>
                <w:szCs w:val="25"/>
                <w:lang w:val="lv-LV"/>
              </w:rPr>
              <w:t xml:space="preserve"> par valsts atbalstu grūtībās nonākušu nefinanšu uzņēmumu glābšanai un pārstrukturēšanai (OV C 249, 31.7.2014) </w:t>
            </w:r>
            <w:r w:rsidRPr="00D61CAD">
              <w:rPr>
                <w:bCs/>
                <w:sz w:val="25"/>
                <w:szCs w:val="25"/>
                <w:lang w:val="lv-LV"/>
              </w:rPr>
              <w:t>(turpmāk – Kopienas 2014</w:t>
            </w:r>
            <w:r w:rsidR="003B4A90" w:rsidRPr="00D61CAD">
              <w:rPr>
                <w:bCs/>
                <w:sz w:val="25"/>
                <w:szCs w:val="25"/>
                <w:lang w:val="lv-LV"/>
              </w:rPr>
              <w:t xml:space="preserve">.gada 31.jūlija Pamatnostādnes). </w:t>
            </w:r>
            <w:r w:rsidR="00AE4437">
              <w:rPr>
                <w:bCs/>
                <w:sz w:val="25"/>
                <w:szCs w:val="25"/>
                <w:lang w:val="lv-LV"/>
              </w:rPr>
              <w:t xml:space="preserve">Nolūkā ievērot </w:t>
            </w:r>
            <w:r w:rsidR="00AE4437" w:rsidRPr="00D61CAD">
              <w:rPr>
                <w:bCs/>
                <w:sz w:val="25"/>
                <w:szCs w:val="25"/>
                <w:lang w:val="lv-LV"/>
              </w:rPr>
              <w:t>Kopienas 2014.gada 31.jūlija Pamatnostādn</w:t>
            </w:r>
            <w:r w:rsidR="00AE4437">
              <w:rPr>
                <w:bCs/>
                <w:sz w:val="25"/>
                <w:szCs w:val="25"/>
                <w:lang w:val="lv-LV"/>
              </w:rPr>
              <w:t>ēs precizēto grūtībās nonākuša uzņēmuma definīciju</w:t>
            </w:r>
            <w:r w:rsidR="003B4A90" w:rsidRPr="00D61CAD">
              <w:rPr>
                <w:bCs/>
                <w:sz w:val="25"/>
                <w:szCs w:val="25"/>
                <w:lang w:val="lv-LV"/>
              </w:rPr>
              <w:t xml:space="preserve">, noteikumu projekts paredz precizēt </w:t>
            </w:r>
            <w:r w:rsidRPr="00D61CAD">
              <w:rPr>
                <w:bCs/>
                <w:sz w:val="25"/>
                <w:szCs w:val="25"/>
                <w:lang w:val="lv-LV"/>
              </w:rPr>
              <w:t>MK noteikumu Nr.997 7.punkt</w:t>
            </w:r>
            <w:r w:rsidR="003B4A90" w:rsidRPr="00D61CAD">
              <w:rPr>
                <w:bCs/>
                <w:sz w:val="25"/>
                <w:szCs w:val="25"/>
                <w:lang w:val="lv-LV"/>
              </w:rPr>
              <w:t>a redakciju</w:t>
            </w:r>
            <w:r w:rsidR="009A6493">
              <w:rPr>
                <w:bCs/>
                <w:sz w:val="25"/>
                <w:szCs w:val="25"/>
                <w:lang w:val="lv-LV"/>
              </w:rPr>
              <w:t>,</w:t>
            </w:r>
            <w:r w:rsidR="003B4A90" w:rsidRPr="00D61CAD">
              <w:rPr>
                <w:bCs/>
                <w:sz w:val="25"/>
                <w:szCs w:val="25"/>
                <w:lang w:val="lv-LV"/>
              </w:rPr>
              <w:t xml:space="preserve"> nosakot, ka </w:t>
            </w:r>
            <w:r w:rsidR="009A6493">
              <w:rPr>
                <w:bCs/>
                <w:sz w:val="25"/>
                <w:szCs w:val="25"/>
                <w:lang w:val="lv-LV"/>
              </w:rPr>
              <w:t xml:space="preserve">atbalsts </w:t>
            </w:r>
            <w:r w:rsidR="003B4A90" w:rsidRPr="00D61CAD">
              <w:rPr>
                <w:bCs/>
                <w:sz w:val="25"/>
                <w:szCs w:val="25"/>
                <w:lang w:val="lv-LV"/>
              </w:rPr>
              <w:t>aizdevumu garantiju</w:t>
            </w:r>
            <w:r w:rsidR="003B4A90">
              <w:rPr>
                <w:bCs/>
                <w:sz w:val="25"/>
                <w:szCs w:val="25"/>
                <w:lang w:val="lv-LV"/>
              </w:rPr>
              <w:t xml:space="preserve"> veidā netiek piešķirts</w:t>
            </w:r>
            <w:r w:rsidR="003B4A90" w:rsidRPr="003B4A90">
              <w:rPr>
                <w:bCs/>
                <w:sz w:val="25"/>
                <w:szCs w:val="25"/>
                <w:lang w:val="lv-LV"/>
              </w:rPr>
              <w:t xml:space="preserve"> </w:t>
            </w:r>
            <w:r w:rsidR="003B4A90">
              <w:rPr>
                <w:bCs/>
                <w:sz w:val="25"/>
                <w:szCs w:val="25"/>
                <w:lang w:val="lv-LV"/>
              </w:rPr>
              <w:t>arī t</w:t>
            </w:r>
            <w:r w:rsidR="009A6493">
              <w:rPr>
                <w:bCs/>
                <w:sz w:val="25"/>
                <w:szCs w:val="25"/>
                <w:lang w:val="lv-LV"/>
              </w:rPr>
              <w:t>iem</w:t>
            </w:r>
            <w:r w:rsidR="003B4A90">
              <w:rPr>
                <w:bCs/>
                <w:sz w:val="25"/>
                <w:szCs w:val="25"/>
                <w:lang w:val="lv-LV"/>
              </w:rPr>
              <w:t xml:space="preserve"> saimnieciskās darbības veicēj</w:t>
            </w:r>
            <w:r w:rsidR="009A6493">
              <w:rPr>
                <w:bCs/>
                <w:sz w:val="25"/>
                <w:szCs w:val="25"/>
                <w:lang w:val="lv-LV"/>
              </w:rPr>
              <w:t>iem</w:t>
            </w:r>
            <w:r w:rsidR="003B4A90">
              <w:rPr>
                <w:bCs/>
                <w:sz w:val="25"/>
                <w:szCs w:val="25"/>
                <w:lang w:val="lv-LV"/>
              </w:rPr>
              <w:t>, kur</w:t>
            </w:r>
            <w:r w:rsidR="009A6493">
              <w:rPr>
                <w:bCs/>
                <w:sz w:val="25"/>
                <w:szCs w:val="25"/>
                <w:lang w:val="lv-LV"/>
              </w:rPr>
              <w:t>i</w:t>
            </w:r>
            <w:r w:rsidR="003B4A90">
              <w:rPr>
                <w:bCs/>
                <w:sz w:val="25"/>
                <w:szCs w:val="25"/>
                <w:lang w:val="lv-LV"/>
              </w:rPr>
              <w:t xml:space="preserve"> </w:t>
            </w:r>
            <w:r w:rsidR="003B4A90" w:rsidRPr="003B4A90">
              <w:rPr>
                <w:bCs/>
                <w:sz w:val="25"/>
                <w:szCs w:val="25"/>
                <w:lang w:val="lv-LV"/>
              </w:rPr>
              <w:t>atbilst normatīvajos aktos noteiktajiem kritērijiem, lai t</w:t>
            </w:r>
            <w:r w:rsidR="009A6493">
              <w:rPr>
                <w:bCs/>
                <w:sz w:val="25"/>
                <w:szCs w:val="25"/>
                <w:lang w:val="lv-LV"/>
              </w:rPr>
              <w:t>iem</w:t>
            </w:r>
            <w:r w:rsidR="003B4A90" w:rsidRPr="003B4A90">
              <w:rPr>
                <w:bCs/>
                <w:sz w:val="25"/>
                <w:szCs w:val="25"/>
                <w:lang w:val="lv-LV"/>
              </w:rPr>
              <w:t xml:space="preserve"> pēc kreditoru pieprasījuma pieprasītu maksātnespējas procedūru</w:t>
            </w:r>
            <w:r w:rsidR="009A6493">
              <w:rPr>
                <w:bCs/>
                <w:sz w:val="25"/>
                <w:szCs w:val="25"/>
                <w:lang w:val="lv-LV"/>
              </w:rPr>
              <w:t xml:space="preserve">. </w:t>
            </w:r>
            <w:r w:rsidR="00AE4437">
              <w:rPr>
                <w:bCs/>
                <w:sz w:val="25"/>
                <w:szCs w:val="25"/>
                <w:lang w:val="lv-LV"/>
              </w:rPr>
              <w:t xml:space="preserve"> Jāņem vērā, ka saskaņā </w:t>
            </w:r>
            <w:r w:rsidR="009A6493">
              <w:rPr>
                <w:bCs/>
                <w:sz w:val="25"/>
                <w:szCs w:val="25"/>
                <w:lang w:val="lv-LV"/>
              </w:rPr>
              <w:t xml:space="preserve">ar </w:t>
            </w:r>
            <w:r w:rsidR="009A6493" w:rsidRPr="009A6493">
              <w:rPr>
                <w:bCs/>
                <w:sz w:val="25"/>
                <w:szCs w:val="25"/>
                <w:lang w:val="lv-LV"/>
              </w:rPr>
              <w:t>Kopienas 2014.gada 31.jūlija Pamatnostādņu 24.punkta (b) apakšpunkt</w:t>
            </w:r>
            <w:r w:rsidR="009A6493">
              <w:rPr>
                <w:bCs/>
                <w:sz w:val="25"/>
                <w:szCs w:val="25"/>
                <w:lang w:val="lv-LV"/>
              </w:rPr>
              <w:t xml:space="preserve">u </w:t>
            </w:r>
            <w:r w:rsidR="009A6493" w:rsidRPr="009A6493">
              <w:rPr>
                <w:bCs/>
                <w:sz w:val="25"/>
                <w:szCs w:val="25"/>
                <w:lang w:val="lv-LV"/>
              </w:rPr>
              <w:t>jaundibināt</w:t>
            </w:r>
            <w:r w:rsidR="009A6493">
              <w:rPr>
                <w:bCs/>
                <w:sz w:val="25"/>
                <w:szCs w:val="25"/>
                <w:lang w:val="lv-LV"/>
              </w:rPr>
              <w:t>s</w:t>
            </w:r>
            <w:r w:rsidR="009A6493" w:rsidRPr="009A6493">
              <w:rPr>
                <w:bCs/>
                <w:sz w:val="25"/>
                <w:szCs w:val="25"/>
                <w:lang w:val="lv-LV"/>
              </w:rPr>
              <w:t xml:space="preserve"> </w:t>
            </w:r>
            <w:r w:rsidR="009A6493">
              <w:rPr>
                <w:bCs/>
                <w:sz w:val="25"/>
                <w:szCs w:val="25"/>
                <w:lang w:val="lv-LV"/>
              </w:rPr>
              <w:t>saimnieciskās darbības veicējs</w:t>
            </w:r>
            <w:r w:rsidR="009A6493" w:rsidRPr="009A6493">
              <w:rPr>
                <w:bCs/>
                <w:sz w:val="25"/>
                <w:szCs w:val="25"/>
                <w:lang w:val="lv-LV"/>
              </w:rPr>
              <w:t xml:space="preserve"> tiek uzskatīts par nonākušu grūtībās</w:t>
            </w:r>
            <w:r w:rsidR="009A6493">
              <w:rPr>
                <w:bCs/>
                <w:sz w:val="25"/>
                <w:szCs w:val="25"/>
                <w:lang w:val="lv-LV"/>
              </w:rPr>
              <w:t xml:space="preserve"> </w:t>
            </w:r>
            <w:r w:rsidR="00AE4437">
              <w:rPr>
                <w:bCs/>
                <w:sz w:val="25"/>
                <w:szCs w:val="25"/>
                <w:lang w:val="lv-LV"/>
              </w:rPr>
              <w:t xml:space="preserve">tikai </w:t>
            </w:r>
            <w:r w:rsidR="009A6493">
              <w:rPr>
                <w:bCs/>
                <w:sz w:val="25"/>
                <w:szCs w:val="25"/>
                <w:lang w:val="lv-LV"/>
              </w:rPr>
              <w:t>tad</w:t>
            </w:r>
            <w:r w:rsidR="009A6493" w:rsidRPr="009A6493">
              <w:rPr>
                <w:bCs/>
                <w:sz w:val="25"/>
                <w:szCs w:val="25"/>
                <w:lang w:val="lv-LV"/>
              </w:rPr>
              <w:t>, ja tas atbilst Kopienas 2014.gada 31.jūlija Pamatnostādņu 20.punkta (c) apakšpunktā minētajiem nosacījumiem</w:t>
            </w:r>
            <w:r w:rsidR="009A6493">
              <w:rPr>
                <w:bCs/>
                <w:sz w:val="25"/>
                <w:szCs w:val="25"/>
                <w:lang w:val="lv-LV"/>
              </w:rPr>
              <w:t>. Tādēļ,</w:t>
            </w:r>
            <w:r w:rsidR="009A6493" w:rsidRPr="009A6493">
              <w:rPr>
                <w:bCs/>
                <w:sz w:val="25"/>
                <w:szCs w:val="25"/>
                <w:lang w:val="lv-LV"/>
              </w:rPr>
              <w:t xml:space="preserve"> lai neierobežotu potenciālo atbalsta saņēmēju </w:t>
            </w:r>
            <w:r w:rsidR="009A6493">
              <w:rPr>
                <w:bCs/>
                <w:sz w:val="25"/>
                <w:szCs w:val="25"/>
                <w:lang w:val="lv-LV"/>
              </w:rPr>
              <w:t>loku</w:t>
            </w:r>
            <w:r w:rsidR="009A6493" w:rsidRPr="009A6493">
              <w:rPr>
                <w:bCs/>
                <w:sz w:val="25"/>
                <w:szCs w:val="25"/>
                <w:lang w:val="lv-LV"/>
              </w:rPr>
              <w:t>, noteikumu projekts paredz</w:t>
            </w:r>
            <w:r w:rsidR="00267243">
              <w:rPr>
                <w:bCs/>
                <w:sz w:val="25"/>
                <w:szCs w:val="25"/>
                <w:lang w:val="lv-LV"/>
              </w:rPr>
              <w:t xml:space="preserve"> noteikt</w:t>
            </w:r>
            <w:r w:rsidR="009A6493">
              <w:rPr>
                <w:bCs/>
                <w:sz w:val="25"/>
                <w:szCs w:val="25"/>
                <w:lang w:val="lv-LV"/>
              </w:rPr>
              <w:t xml:space="preserve">, </w:t>
            </w:r>
            <w:r w:rsidR="009A6493" w:rsidRPr="009A6493">
              <w:rPr>
                <w:bCs/>
                <w:sz w:val="25"/>
                <w:szCs w:val="25"/>
                <w:lang w:val="lv-LV"/>
              </w:rPr>
              <w:t xml:space="preserve">ka jaundibināta saimnieciskā darbības veicēja </w:t>
            </w:r>
            <w:r w:rsidR="00A836AD">
              <w:rPr>
                <w:bCs/>
                <w:sz w:val="25"/>
                <w:szCs w:val="25"/>
                <w:lang w:val="lv-LV"/>
              </w:rPr>
              <w:t>(</w:t>
            </w:r>
            <w:r w:rsidR="00A836AD" w:rsidRPr="00A836AD">
              <w:rPr>
                <w:bCs/>
                <w:sz w:val="25"/>
                <w:szCs w:val="25"/>
                <w:lang w:val="lv-LV"/>
              </w:rPr>
              <w:t>reģistrēt</w:t>
            </w:r>
            <w:r w:rsidR="00A836AD">
              <w:rPr>
                <w:bCs/>
                <w:sz w:val="25"/>
                <w:szCs w:val="25"/>
                <w:lang w:val="lv-LV"/>
              </w:rPr>
              <w:t>s</w:t>
            </w:r>
            <w:r w:rsidR="00A836AD" w:rsidRPr="00A836AD">
              <w:rPr>
                <w:bCs/>
                <w:sz w:val="25"/>
                <w:szCs w:val="25"/>
                <w:lang w:val="lv-LV"/>
              </w:rPr>
              <w:t xml:space="preserve"> </w:t>
            </w:r>
            <w:r w:rsidR="00F55ECE" w:rsidRPr="00F55ECE">
              <w:rPr>
                <w:bCs/>
                <w:sz w:val="25"/>
                <w:szCs w:val="25"/>
                <w:lang w:val="lv-LV"/>
              </w:rPr>
              <w:t>Latvijas Republikas Uzņēmumu reģistr</w:t>
            </w:r>
            <w:r w:rsidR="00F55ECE">
              <w:rPr>
                <w:bCs/>
                <w:sz w:val="25"/>
                <w:szCs w:val="25"/>
                <w:lang w:val="lv-LV"/>
              </w:rPr>
              <w:t>a vestajā attiecīgajā reģistrā</w:t>
            </w:r>
            <w:r w:rsidR="00A836AD" w:rsidRPr="00A836AD">
              <w:rPr>
                <w:bCs/>
                <w:sz w:val="25"/>
                <w:szCs w:val="25"/>
                <w:lang w:val="lv-LV"/>
              </w:rPr>
              <w:t xml:space="preserve"> ne vēlāk kā trīs gadus pirms garantijas pieteikuma iesniegšanas dienas</w:t>
            </w:r>
            <w:r w:rsidR="00A836AD">
              <w:rPr>
                <w:bCs/>
                <w:sz w:val="25"/>
                <w:szCs w:val="25"/>
                <w:lang w:val="lv-LV"/>
              </w:rPr>
              <w:t>)</w:t>
            </w:r>
            <w:r w:rsidR="009A6493" w:rsidRPr="009A6493">
              <w:rPr>
                <w:bCs/>
                <w:sz w:val="25"/>
                <w:szCs w:val="25"/>
                <w:lang w:val="lv-LV"/>
              </w:rPr>
              <w:t xml:space="preserve"> </w:t>
            </w:r>
            <w:r w:rsidR="00A836AD" w:rsidRPr="009A6493">
              <w:rPr>
                <w:bCs/>
                <w:sz w:val="25"/>
                <w:szCs w:val="25"/>
                <w:lang w:val="lv-LV"/>
              </w:rPr>
              <w:t>gadījumā</w:t>
            </w:r>
            <w:r w:rsidR="00A836AD">
              <w:rPr>
                <w:bCs/>
                <w:sz w:val="25"/>
                <w:szCs w:val="25"/>
                <w:lang w:val="lv-LV"/>
              </w:rPr>
              <w:t xml:space="preserve"> no MK noteikumu Nr.997 7.punktā ietvertajiem nosacījumiem pārbauda tikai to, vai neiestājās 7.1. un 7.5.apakšpunktā minētā</w:t>
            </w:r>
            <w:r w:rsidR="0058422C">
              <w:rPr>
                <w:bCs/>
                <w:sz w:val="25"/>
                <w:szCs w:val="25"/>
                <w:lang w:val="lv-LV"/>
              </w:rPr>
              <w:t>s</w:t>
            </w:r>
            <w:r w:rsidR="00A836AD">
              <w:rPr>
                <w:bCs/>
                <w:sz w:val="25"/>
                <w:szCs w:val="25"/>
                <w:lang w:val="lv-LV"/>
              </w:rPr>
              <w:t xml:space="preserve"> paz</w:t>
            </w:r>
            <w:r w:rsidR="0058422C">
              <w:rPr>
                <w:bCs/>
                <w:sz w:val="25"/>
                <w:szCs w:val="25"/>
                <w:lang w:val="lv-LV"/>
              </w:rPr>
              <w:t>īmes.</w:t>
            </w:r>
            <w:r w:rsidR="00A836AD">
              <w:rPr>
                <w:bCs/>
                <w:sz w:val="25"/>
                <w:szCs w:val="25"/>
                <w:lang w:val="lv-LV"/>
              </w:rPr>
              <w:t xml:space="preserve"> </w:t>
            </w:r>
            <w:r w:rsidR="00254EEA">
              <w:rPr>
                <w:bCs/>
                <w:sz w:val="25"/>
                <w:szCs w:val="25"/>
                <w:lang w:val="lv-LV"/>
              </w:rPr>
              <w:t>Noteikumu projektā</w:t>
            </w:r>
            <w:r w:rsidR="0063335B">
              <w:rPr>
                <w:bCs/>
                <w:sz w:val="25"/>
                <w:szCs w:val="25"/>
                <w:lang w:val="lv-LV"/>
              </w:rPr>
              <w:t xml:space="preserve"> atbilstoši tiek precizēta jaundibināta saimnieciskā darbības veicēja definīcija.</w:t>
            </w:r>
          </w:p>
          <w:p w:rsidR="00267243" w:rsidRDefault="00D61CAD" w:rsidP="00327BF6">
            <w:pPr>
              <w:ind w:firstLine="567"/>
              <w:jc w:val="both"/>
              <w:rPr>
                <w:bCs/>
                <w:sz w:val="25"/>
                <w:szCs w:val="25"/>
                <w:lang w:val="lv-LV"/>
              </w:rPr>
            </w:pPr>
            <w:r>
              <w:rPr>
                <w:bCs/>
                <w:sz w:val="25"/>
                <w:szCs w:val="25"/>
                <w:lang w:val="lv-LV"/>
              </w:rPr>
              <w:t xml:space="preserve">Lai būtu viennozīmīgi </w:t>
            </w:r>
            <w:r w:rsidR="00254EEA">
              <w:rPr>
                <w:bCs/>
                <w:sz w:val="25"/>
                <w:szCs w:val="25"/>
                <w:lang w:val="lv-LV"/>
              </w:rPr>
              <w:t xml:space="preserve">izprotama </w:t>
            </w:r>
            <w:r>
              <w:rPr>
                <w:bCs/>
                <w:sz w:val="25"/>
                <w:szCs w:val="25"/>
                <w:lang w:val="lv-LV"/>
              </w:rPr>
              <w:t>7.3.punkt</w:t>
            </w:r>
            <w:r w:rsidR="0058422C">
              <w:rPr>
                <w:bCs/>
                <w:sz w:val="25"/>
                <w:szCs w:val="25"/>
                <w:lang w:val="lv-LV"/>
              </w:rPr>
              <w:t>ā ietvertās tiesību normas jēga</w:t>
            </w:r>
            <w:r>
              <w:rPr>
                <w:bCs/>
                <w:sz w:val="25"/>
                <w:szCs w:val="25"/>
                <w:lang w:val="lv-LV"/>
              </w:rPr>
              <w:t xml:space="preserve"> un lai </w:t>
            </w:r>
            <w:r w:rsidR="00254EEA">
              <w:rPr>
                <w:bCs/>
                <w:sz w:val="25"/>
                <w:szCs w:val="25"/>
                <w:lang w:val="lv-LV"/>
              </w:rPr>
              <w:t xml:space="preserve">nodrošinātu vienotu </w:t>
            </w:r>
            <w:r>
              <w:rPr>
                <w:bCs/>
                <w:sz w:val="25"/>
                <w:szCs w:val="25"/>
                <w:lang w:val="lv-LV"/>
              </w:rPr>
              <w:t>7.3.punkta</w:t>
            </w:r>
            <w:r w:rsidR="00254EEA">
              <w:rPr>
                <w:bCs/>
                <w:sz w:val="25"/>
                <w:szCs w:val="25"/>
                <w:lang w:val="lv-LV"/>
              </w:rPr>
              <w:t xml:space="preserve"> piemērošanas izpratni</w:t>
            </w:r>
            <w:r>
              <w:rPr>
                <w:bCs/>
                <w:sz w:val="25"/>
                <w:szCs w:val="25"/>
                <w:lang w:val="lv-LV"/>
              </w:rPr>
              <w:t xml:space="preserve">  </w:t>
            </w:r>
            <w:r w:rsidR="00254EEA">
              <w:rPr>
                <w:bCs/>
                <w:sz w:val="25"/>
                <w:szCs w:val="25"/>
                <w:lang w:val="lv-LV"/>
              </w:rPr>
              <w:t>visu</w:t>
            </w:r>
            <w:r>
              <w:rPr>
                <w:bCs/>
                <w:sz w:val="25"/>
                <w:szCs w:val="25"/>
                <w:lang w:val="lv-LV"/>
              </w:rPr>
              <w:t xml:space="preserve"> finanšu instrumentu valsts atbalsta </w:t>
            </w:r>
            <w:r w:rsidR="00C66A15">
              <w:rPr>
                <w:bCs/>
                <w:sz w:val="25"/>
                <w:szCs w:val="25"/>
                <w:lang w:val="lv-LV"/>
              </w:rPr>
              <w:t xml:space="preserve">noteikumos (skatīt, piemēram, </w:t>
            </w:r>
            <w:r>
              <w:rPr>
                <w:bCs/>
                <w:sz w:val="25"/>
                <w:szCs w:val="25"/>
                <w:lang w:val="lv-LV"/>
              </w:rPr>
              <w:t>2014.gada 13.maija Ministru kabineta noteikum</w:t>
            </w:r>
            <w:r w:rsidR="00C66A15">
              <w:rPr>
                <w:bCs/>
                <w:sz w:val="25"/>
                <w:szCs w:val="25"/>
                <w:lang w:val="lv-LV"/>
              </w:rPr>
              <w:t xml:space="preserve">us </w:t>
            </w:r>
            <w:r>
              <w:rPr>
                <w:bCs/>
                <w:sz w:val="25"/>
                <w:szCs w:val="25"/>
                <w:lang w:val="lv-LV"/>
              </w:rPr>
              <w:t>Nr.241 „Noteikumi par mezanīna aizdevumiem saimnieciskās darbības veicēju konkurētspējas uzlaboša</w:t>
            </w:r>
            <w:r w:rsidRPr="004F522E">
              <w:rPr>
                <w:bCs/>
                <w:sz w:val="25"/>
                <w:szCs w:val="25"/>
                <w:lang w:val="lv-LV"/>
              </w:rPr>
              <w:t>nai”</w:t>
            </w:r>
            <w:r w:rsidR="0044105C" w:rsidRPr="004F522E">
              <w:rPr>
                <w:bCs/>
                <w:sz w:val="25"/>
                <w:szCs w:val="25"/>
                <w:lang w:val="lv-LV"/>
              </w:rPr>
              <w:t xml:space="preserve"> (turpmāk – MK noteikumi Nr.241</w:t>
            </w:r>
            <w:r w:rsidRPr="004F522E">
              <w:rPr>
                <w:bCs/>
                <w:sz w:val="25"/>
                <w:szCs w:val="25"/>
                <w:lang w:val="lv-LV"/>
              </w:rPr>
              <w:t>)</w:t>
            </w:r>
            <w:r w:rsidR="00C66A15" w:rsidRPr="004F522E">
              <w:rPr>
                <w:bCs/>
                <w:sz w:val="25"/>
                <w:szCs w:val="25"/>
                <w:lang w:val="lv-LV"/>
              </w:rPr>
              <w:t xml:space="preserve">, noteikumu projekts paredz precizēt </w:t>
            </w:r>
            <w:r w:rsidR="00267243" w:rsidRPr="004F522E">
              <w:rPr>
                <w:bCs/>
                <w:sz w:val="25"/>
                <w:szCs w:val="25"/>
                <w:lang w:val="lv-LV"/>
              </w:rPr>
              <w:t xml:space="preserve">MK noteikumu Nr.997 </w:t>
            </w:r>
            <w:r w:rsidR="00C66A15" w:rsidRPr="004F522E">
              <w:rPr>
                <w:bCs/>
                <w:sz w:val="25"/>
                <w:szCs w:val="25"/>
                <w:lang w:val="lv-LV"/>
              </w:rPr>
              <w:t>7.3.punkta redakciju.</w:t>
            </w:r>
            <w:r w:rsidR="00C66A15">
              <w:rPr>
                <w:bCs/>
                <w:sz w:val="25"/>
                <w:szCs w:val="25"/>
                <w:lang w:val="lv-LV"/>
              </w:rPr>
              <w:t xml:space="preserve"> </w:t>
            </w:r>
          </w:p>
          <w:p w:rsidR="00271575" w:rsidRDefault="0044105C" w:rsidP="006E2736">
            <w:pPr>
              <w:ind w:firstLine="567"/>
              <w:jc w:val="both"/>
              <w:rPr>
                <w:bCs/>
                <w:sz w:val="25"/>
                <w:szCs w:val="25"/>
                <w:lang w:val="lv-LV"/>
              </w:rPr>
            </w:pPr>
            <w:r w:rsidRPr="00505C07">
              <w:rPr>
                <w:bCs/>
                <w:sz w:val="25"/>
                <w:szCs w:val="25"/>
                <w:lang w:val="lv-LV"/>
              </w:rPr>
              <w:t>I</w:t>
            </w:r>
            <w:r w:rsidR="00C66A15" w:rsidRPr="00B54AE0">
              <w:rPr>
                <w:bCs/>
                <w:sz w:val="25"/>
                <w:szCs w:val="25"/>
                <w:lang w:val="lv-LV"/>
              </w:rPr>
              <w:t>nformācija par nodokļu vai nodevu parādiem tiek uzkrāta un ir pieejama Valsts ieņēmumu dienesta administrēto nodokļu (nodevu) parādnieku datu</w:t>
            </w:r>
            <w:r w:rsidR="004F522E">
              <w:rPr>
                <w:bCs/>
                <w:sz w:val="25"/>
                <w:szCs w:val="25"/>
                <w:lang w:val="lv-LV"/>
              </w:rPr>
              <w:t xml:space="preserve"> </w:t>
            </w:r>
            <w:r w:rsidR="00C66A15" w:rsidRPr="00B54AE0">
              <w:rPr>
                <w:bCs/>
                <w:sz w:val="25"/>
                <w:szCs w:val="25"/>
                <w:lang w:val="lv-LV"/>
              </w:rPr>
              <w:t>bāzē</w:t>
            </w:r>
            <w:r w:rsidRPr="00505C07">
              <w:rPr>
                <w:bCs/>
                <w:sz w:val="25"/>
                <w:szCs w:val="25"/>
                <w:lang w:val="lv-LV"/>
              </w:rPr>
              <w:t>. Lai nodrošinātu</w:t>
            </w:r>
            <w:r w:rsidR="00C66A15" w:rsidRPr="00B54AE0">
              <w:rPr>
                <w:bCs/>
                <w:sz w:val="25"/>
                <w:szCs w:val="25"/>
                <w:lang w:val="lv-LV"/>
              </w:rPr>
              <w:t xml:space="preserve"> </w:t>
            </w:r>
            <w:r w:rsidRPr="00505C07">
              <w:rPr>
                <w:bCs/>
                <w:sz w:val="25"/>
                <w:szCs w:val="25"/>
                <w:lang w:val="lv-LV"/>
              </w:rPr>
              <w:t>MK noteikumu Nr.997 7.5.punkta  un 7.</w:t>
            </w:r>
            <w:r w:rsidRPr="00505C07">
              <w:rPr>
                <w:bCs/>
                <w:sz w:val="25"/>
                <w:szCs w:val="25"/>
                <w:vertAlign w:val="superscript"/>
                <w:lang w:val="lv-LV"/>
              </w:rPr>
              <w:t>1</w:t>
            </w:r>
            <w:r w:rsidRPr="00505C07">
              <w:rPr>
                <w:bCs/>
                <w:sz w:val="25"/>
                <w:szCs w:val="25"/>
                <w:lang w:val="lv-LV"/>
              </w:rPr>
              <w:t xml:space="preserve">2.punkta vienlīdzību ar attiecīgās normas redakciju citu valsts atbalsta noteikumu ietvaros </w:t>
            </w:r>
            <w:r w:rsidRPr="00B54AE0">
              <w:rPr>
                <w:bCs/>
                <w:sz w:val="25"/>
                <w:szCs w:val="25"/>
                <w:lang w:val="lv-LV"/>
              </w:rPr>
              <w:t>(skatīt, piemēram, MK noteikumus Nr.241</w:t>
            </w:r>
            <w:r w:rsidRPr="00505C07">
              <w:rPr>
                <w:bCs/>
                <w:sz w:val="25"/>
                <w:szCs w:val="25"/>
                <w:lang w:val="lv-LV"/>
              </w:rPr>
              <w:t xml:space="preserve">), </w:t>
            </w:r>
            <w:r w:rsidR="00267243" w:rsidRPr="00B54AE0">
              <w:rPr>
                <w:bCs/>
                <w:sz w:val="25"/>
                <w:szCs w:val="25"/>
                <w:lang w:val="lv-LV"/>
              </w:rPr>
              <w:t xml:space="preserve">noteikumu projekta ietvaros </w:t>
            </w:r>
            <w:r w:rsidR="00C66A15" w:rsidRPr="00B54AE0">
              <w:rPr>
                <w:bCs/>
                <w:sz w:val="25"/>
                <w:szCs w:val="25"/>
                <w:lang w:val="lv-LV"/>
              </w:rPr>
              <w:t xml:space="preserve">tiek precizēta </w:t>
            </w:r>
            <w:r w:rsidR="00267243" w:rsidRPr="00B54AE0">
              <w:rPr>
                <w:bCs/>
                <w:sz w:val="25"/>
                <w:szCs w:val="25"/>
                <w:lang w:val="lv-LV"/>
              </w:rPr>
              <w:lastRenderedPageBreak/>
              <w:t xml:space="preserve">MK noteikumu Nr.997 </w:t>
            </w:r>
            <w:r w:rsidR="00C66A15" w:rsidRPr="00B54AE0">
              <w:rPr>
                <w:bCs/>
                <w:sz w:val="25"/>
                <w:szCs w:val="25"/>
                <w:lang w:val="lv-LV"/>
              </w:rPr>
              <w:t xml:space="preserve">7.5.punkta </w:t>
            </w:r>
            <w:r w:rsidR="00271575">
              <w:rPr>
                <w:bCs/>
                <w:sz w:val="25"/>
                <w:szCs w:val="25"/>
                <w:lang w:val="lv-LV"/>
              </w:rPr>
              <w:t xml:space="preserve">un </w:t>
            </w:r>
            <w:r w:rsidR="0050790B" w:rsidRPr="00B54AE0">
              <w:rPr>
                <w:bCs/>
                <w:sz w:val="25"/>
                <w:szCs w:val="25"/>
                <w:lang w:val="lv-LV"/>
              </w:rPr>
              <w:t>7.</w:t>
            </w:r>
            <w:r w:rsidR="00271575">
              <w:rPr>
                <w:bCs/>
                <w:sz w:val="25"/>
                <w:szCs w:val="25"/>
                <w:vertAlign w:val="superscript"/>
                <w:lang w:val="lv-LV"/>
              </w:rPr>
              <w:t>1</w:t>
            </w:r>
            <w:r w:rsidR="00271575" w:rsidRPr="00B54AE0">
              <w:rPr>
                <w:bCs/>
                <w:sz w:val="25"/>
                <w:szCs w:val="25"/>
                <w:lang w:val="lv-LV"/>
              </w:rPr>
              <w:t xml:space="preserve"> </w:t>
            </w:r>
            <w:r w:rsidR="0050790B" w:rsidRPr="00B54AE0">
              <w:rPr>
                <w:bCs/>
                <w:sz w:val="25"/>
                <w:szCs w:val="25"/>
                <w:lang w:val="lv-LV"/>
              </w:rPr>
              <w:t>2.</w:t>
            </w:r>
            <w:r w:rsidR="00271575" w:rsidRPr="00B54AE0">
              <w:rPr>
                <w:bCs/>
                <w:sz w:val="25"/>
                <w:szCs w:val="25"/>
                <w:lang w:val="lv-LV"/>
              </w:rPr>
              <w:t>apakšpunkt</w:t>
            </w:r>
            <w:r w:rsidR="00271575">
              <w:rPr>
                <w:bCs/>
                <w:sz w:val="25"/>
                <w:szCs w:val="25"/>
                <w:lang w:val="lv-LV"/>
              </w:rPr>
              <w:t>a redakcija</w:t>
            </w:r>
            <w:r w:rsidR="0050790B" w:rsidRPr="00B54AE0">
              <w:rPr>
                <w:bCs/>
                <w:sz w:val="25"/>
                <w:szCs w:val="25"/>
                <w:lang w:val="lv-LV"/>
              </w:rPr>
              <w:t>.</w:t>
            </w:r>
            <w:r w:rsidR="00C66A15" w:rsidRPr="00B54AE0">
              <w:rPr>
                <w:bCs/>
                <w:sz w:val="25"/>
                <w:szCs w:val="25"/>
                <w:lang w:val="lv-LV"/>
              </w:rPr>
              <w:t xml:space="preserve"> </w:t>
            </w:r>
          </w:p>
          <w:p w:rsidR="00505C07" w:rsidRDefault="00302300" w:rsidP="00505C07">
            <w:pPr>
              <w:ind w:firstLine="567"/>
              <w:jc w:val="both"/>
              <w:rPr>
                <w:bCs/>
                <w:sz w:val="25"/>
                <w:szCs w:val="25"/>
                <w:lang w:val="lv-LV"/>
              </w:rPr>
            </w:pPr>
            <w:r w:rsidRPr="00C61C3B">
              <w:rPr>
                <w:bCs/>
                <w:sz w:val="25"/>
                <w:szCs w:val="25"/>
                <w:lang w:val="lv-LV"/>
              </w:rPr>
              <w:t>Valsts ieņēmuma</w:t>
            </w:r>
            <w:r>
              <w:rPr>
                <w:bCs/>
                <w:sz w:val="25"/>
                <w:szCs w:val="25"/>
                <w:lang w:val="lv-LV"/>
              </w:rPr>
              <w:t xml:space="preserve"> dienesta </w:t>
            </w:r>
            <w:r w:rsidRPr="00302300">
              <w:rPr>
                <w:bCs/>
                <w:sz w:val="25"/>
                <w:szCs w:val="25"/>
                <w:lang w:val="lv-LV"/>
              </w:rPr>
              <w:t>administrēto nodokļu (nodevu) parādnieku datu</w:t>
            </w:r>
            <w:r w:rsidR="004F522E">
              <w:rPr>
                <w:bCs/>
                <w:sz w:val="25"/>
                <w:szCs w:val="25"/>
                <w:lang w:val="lv-LV"/>
              </w:rPr>
              <w:t xml:space="preserve"> </w:t>
            </w:r>
            <w:r w:rsidRPr="00302300">
              <w:rPr>
                <w:bCs/>
                <w:sz w:val="25"/>
                <w:szCs w:val="25"/>
                <w:lang w:val="lv-LV"/>
              </w:rPr>
              <w:t xml:space="preserve">bāzē tiek ietverta informācija vienīgi par tiem </w:t>
            </w:r>
            <w:r>
              <w:rPr>
                <w:bCs/>
                <w:sz w:val="25"/>
                <w:szCs w:val="25"/>
                <w:lang w:val="lv-LV"/>
              </w:rPr>
              <w:t>saimnieciskās darbības veicējiem</w:t>
            </w:r>
            <w:r w:rsidRPr="00302300">
              <w:rPr>
                <w:bCs/>
                <w:sz w:val="25"/>
                <w:szCs w:val="25"/>
                <w:lang w:val="lv-LV"/>
              </w:rPr>
              <w:t xml:space="preserve">, kuriem administrēto nodokļu (nodevu) parāda kopsumma pārsniedz 150 </w:t>
            </w:r>
            <w:r w:rsidRPr="001A4ACA">
              <w:rPr>
                <w:bCs/>
                <w:i/>
                <w:sz w:val="25"/>
                <w:szCs w:val="25"/>
                <w:lang w:val="lv-LV"/>
              </w:rPr>
              <w:t>euro</w:t>
            </w:r>
            <w:r w:rsidRPr="00302300">
              <w:rPr>
                <w:bCs/>
                <w:sz w:val="25"/>
                <w:szCs w:val="25"/>
                <w:lang w:val="lv-LV"/>
              </w:rPr>
              <w:t>, izņemot nodokļu maksājumus, kuru maksāšanas termiņš saskaņā ar likuma „Par nodokļiem un nodevām” 24.panta pirmo un pirmo trīs prim daļu ir pagarināts, sadalīts termiņos, atlikts vai atkārtoti sadalīts</w:t>
            </w:r>
            <w:r w:rsidR="006E2736">
              <w:rPr>
                <w:bCs/>
                <w:sz w:val="25"/>
                <w:szCs w:val="25"/>
                <w:lang w:val="lv-LV"/>
              </w:rPr>
              <w:t>. Ņemot vērā minēto, līdz ar grozījumiem MK noteikumos Nr.997 joprojām tiks nodrošināts MK noteikum</w:t>
            </w:r>
            <w:r w:rsidR="00B54AE0">
              <w:rPr>
                <w:bCs/>
                <w:sz w:val="25"/>
                <w:szCs w:val="25"/>
                <w:lang w:val="lv-LV"/>
              </w:rPr>
              <w:t>os</w:t>
            </w:r>
            <w:r w:rsidR="006E2736">
              <w:rPr>
                <w:bCs/>
                <w:sz w:val="25"/>
                <w:szCs w:val="25"/>
                <w:lang w:val="lv-LV"/>
              </w:rPr>
              <w:t xml:space="preserve"> Nr.997 </w:t>
            </w:r>
            <w:r w:rsidR="00B54AE0">
              <w:rPr>
                <w:bCs/>
                <w:sz w:val="25"/>
                <w:szCs w:val="25"/>
                <w:lang w:val="lv-LV"/>
              </w:rPr>
              <w:t xml:space="preserve">līdzšinēji </w:t>
            </w:r>
            <w:r w:rsidR="006E2736">
              <w:rPr>
                <w:bCs/>
                <w:sz w:val="25"/>
                <w:szCs w:val="25"/>
                <w:lang w:val="lv-LV"/>
              </w:rPr>
              <w:t>noteiktais</w:t>
            </w:r>
            <w:r w:rsidR="00B54AE0">
              <w:rPr>
                <w:bCs/>
                <w:sz w:val="25"/>
                <w:szCs w:val="25"/>
                <w:lang w:val="lv-LV"/>
              </w:rPr>
              <w:t xml:space="preserve"> nosacījums</w:t>
            </w:r>
            <w:r w:rsidRPr="00302300">
              <w:rPr>
                <w:bCs/>
                <w:sz w:val="25"/>
                <w:szCs w:val="25"/>
                <w:lang w:val="lv-LV"/>
              </w:rPr>
              <w:t>,</w:t>
            </w:r>
            <w:r w:rsidR="006E2736">
              <w:rPr>
                <w:bCs/>
                <w:sz w:val="25"/>
                <w:szCs w:val="25"/>
                <w:lang w:val="lv-LV"/>
              </w:rPr>
              <w:t xml:space="preserve"> ka garantiju MK noteikumu Nr.997 ietvaros var saņemt, ja </w:t>
            </w:r>
            <w:r w:rsidR="006E2736" w:rsidRPr="006E2736">
              <w:rPr>
                <w:bCs/>
                <w:sz w:val="25"/>
                <w:szCs w:val="25"/>
                <w:lang w:val="lv-LV"/>
              </w:rPr>
              <w:t xml:space="preserve"> saimnieciskās darbības veicējs ir vienojies ar Valsts ieņēmumu dienestu par nodokļu parāda atmaksas grafiku un pilda šīs vienošanās nosacījumus</w:t>
            </w:r>
            <w:r w:rsidR="006E2736">
              <w:rPr>
                <w:bCs/>
                <w:sz w:val="25"/>
                <w:szCs w:val="25"/>
                <w:lang w:val="lv-LV"/>
              </w:rPr>
              <w:t xml:space="preserve">. </w:t>
            </w:r>
          </w:p>
          <w:p w:rsidR="00505C07" w:rsidRDefault="00505C07" w:rsidP="001A4ACA">
            <w:pPr>
              <w:ind w:firstLine="708"/>
              <w:jc w:val="both"/>
              <w:rPr>
                <w:bCs/>
                <w:sz w:val="25"/>
                <w:szCs w:val="25"/>
                <w:lang w:val="lv-LV"/>
              </w:rPr>
            </w:pPr>
            <w:r w:rsidRPr="001A4ACA">
              <w:rPr>
                <w:bCs/>
                <w:sz w:val="25"/>
                <w:szCs w:val="25"/>
                <w:lang w:val="lv-LV"/>
              </w:rPr>
              <w:t xml:space="preserve">Lai izpildītu Ministru kabineta 2014.gada 12.augusta sēdes protokola Nr.43 59.§ 4.1.punktā doto uzdevumu saistībā ar informatīvajā ziņojumā “Par pasākumiem Krievijas ekonomisko sankciju negatīvo seku mazināšanai” noteikto attiecībā uz kredīta brīvdienu garantiju piešķiršanas nodrošināšanu, Ekonomikas ministrija </w:t>
            </w:r>
            <w:r>
              <w:rPr>
                <w:bCs/>
                <w:sz w:val="25"/>
                <w:szCs w:val="25"/>
                <w:lang w:val="lv-LV"/>
              </w:rPr>
              <w:t xml:space="preserve">(turpmāk – EM) </w:t>
            </w:r>
            <w:r w:rsidRPr="001A4ACA">
              <w:rPr>
                <w:bCs/>
                <w:sz w:val="25"/>
                <w:szCs w:val="25"/>
                <w:lang w:val="lv-LV"/>
              </w:rPr>
              <w:t xml:space="preserve">izstrādāja un Ministru kabinets 2014.gada 9.septembrī apstiprināja grozījumus </w:t>
            </w:r>
            <w:r>
              <w:rPr>
                <w:bCs/>
                <w:sz w:val="25"/>
                <w:szCs w:val="25"/>
                <w:lang w:val="lv-LV"/>
              </w:rPr>
              <w:t>MK noteikumos Nr.997</w:t>
            </w:r>
            <w:r w:rsidRPr="001A4ACA">
              <w:rPr>
                <w:bCs/>
                <w:sz w:val="25"/>
                <w:szCs w:val="25"/>
                <w:lang w:val="lv-LV"/>
              </w:rPr>
              <w:t xml:space="preserve">, paredzot iespējas saņemt kredītbrīvdienas tiem saimnieciskās darbības veicējiem, kuru Krievijas Federācijas noteiktajiem ierobežojumiem pakļauto preču ražošanas un eksporta apjomi vai izejvielu piegādes apjomi, pārvadāšanas, ekspedīcijas vai loģistikas pakalpojumu sniegšanas apjomi ir vismaz 10 % apmērā no kopējā saimnieciskās darbības veicēja apgrozījuma un kuru Krievijas Federācijas noteikto ierobežojumu ietekmē tiek izbeigti piegādes vai pakalpojuma līgumi vai samazināta preces (piegādes) vai pakalpojuma iepirkuma cena, vai samazinājies attiecīgo piegāžu vai pakalpojumu apjoms. </w:t>
            </w:r>
          </w:p>
          <w:p w:rsidR="00094353" w:rsidRPr="00094353" w:rsidRDefault="00505C07" w:rsidP="00094353">
            <w:pPr>
              <w:ind w:firstLine="708"/>
              <w:jc w:val="both"/>
              <w:rPr>
                <w:bCs/>
                <w:sz w:val="25"/>
                <w:szCs w:val="25"/>
                <w:lang w:val="lv-LV"/>
              </w:rPr>
            </w:pPr>
            <w:r>
              <w:rPr>
                <w:bCs/>
                <w:sz w:val="25"/>
                <w:szCs w:val="25"/>
                <w:lang w:val="lv-LV"/>
              </w:rPr>
              <w:t>F</w:t>
            </w:r>
            <w:r w:rsidRPr="001A4ACA">
              <w:rPr>
                <w:bCs/>
                <w:sz w:val="25"/>
                <w:szCs w:val="25"/>
                <w:lang w:val="lv-LV"/>
              </w:rPr>
              <w:t>inanšu instrumenti tiek izstrādāti, lai risinātu tirgus nepilnības un veicinātu Latvijas komersantu konkurētspēju</w:t>
            </w:r>
            <w:r>
              <w:rPr>
                <w:bCs/>
                <w:sz w:val="25"/>
                <w:szCs w:val="25"/>
                <w:lang w:val="lv-LV"/>
              </w:rPr>
              <w:t>,</w:t>
            </w:r>
            <w:r w:rsidR="004470A5">
              <w:rPr>
                <w:bCs/>
                <w:sz w:val="25"/>
                <w:szCs w:val="25"/>
                <w:lang w:val="lv-LV"/>
              </w:rPr>
              <w:t xml:space="preserve"> kā arī,</w:t>
            </w:r>
            <w:r>
              <w:rPr>
                <w:bCs/>
                <w:sz w:val="25"/>
                <w:szCs w:val="25"/>
                <w:lang w:val="lv-LV"/>
              </w:rPr>
              <w:t xml:space="preserve"> izvērtējot</w:t>
            </w:r>
            <w:r w:rsidRPr="001A4ACA">
              <w:rPr>
                <w:bCs/>
                <w:sz w:val="25"/>
                <w:szCs w:val="25"/>
                <w:lang w:val="lv-LV"/>
              </w:rPr>
              <w:t xml:space="preserve"> </w:t>
            </w:r>
            <w:r w:rsidRPr="001A4ACA">
              <w:rPr>
                <w:b/>
                <w:bCs/>
                <w:sz w:val="25"/>
                <w:szCs w:val="25"/>
                <w:lang w:val="lv-LV"/>
              </w:rPr>
              <w:t>aktuālo</w:t>
            </w:r>
            <w:r w:rsidRPr="001A4ACA">
              <w:rPr>
                <w:bCs/>
                <w:sz w:val="25"/>
                <w:szCs w:val="25"/>
                <w:lang w:val="lv-LV"/>
              </w:rPr>
              <w:t xml:space="preserve"> situāciju tautsaimniecībā un finanšu tirgū. </w:t>
            </w:r>
            <w:r w:rsidR="004470A5">
              <w:rPr>
                <w:bCs/>
                <w:sz w:val="25"/>
                <w:szCs w:val="25"/>
                <w:lang w:val="lv-LV"/>
              </w:rPr>
              <w:t>Grozījumu MK noteikumu Nr.997, kas apstiprināti Ministru kabinetā 2014.gada 9.septembrī,</w:t>
            </w:r>
            <w:r w:rsidRPr="001A4ACA">
              <w:rPr>
                <w:bCs/>
                <w:sz w:val="25"/>
                <w:szCs w:val="25"/>
                <w:lang w:val="lv-LV"/>
              </w:rPr>
              <w:t xml:space="preserve"> izstrādes brīdī nepastāvēja ārkārtējas rubļa vērības svārstības</w:t>
            </w:r>
            <w:r w:rsidR="00094353">
              <w:rPr>
                <w:bCs/>
                <w:sz w:val="25"/>
                <w:szCs w:val="25"/>
                <w:lang w:val="lv-LV"/>
              </w:rPr>
              <w:t xml:space="preserve"> apmērā līdz pat 44 %</w:t>
            </w:r>
            <w:r w:rsidRPr="001A4ACA">
              <w:rPr>
                <w:bCs/>
                <w:sz w:val="25"/>
                <w:szCs w:val="25"/>
                <w:lang w:val="lv-LV"/>
              </w:rPr>
              <w:t>, attiecīgi grozījumu izstrādes brīdī nebija indikācijas par kredīt</w:t>
            </w:r>
            <w:r w:rsidR="004470A5" w:rsidRPr="004470A5">
              <w:rPr>
                <w:bCs/>
                <w:sz w:val="25"/>
                <w:szCs w:val="25"/>
                <w:lang w:val="lv-LV"/>
              </w:rPr>
              <w:t>a br</w:t>
            </w:r>
            <w:r w:rsidRPr="001A4ACA">
              <w:rPr>
                <w:bCs/>
                <w:sz w:val="25"/>
                <w:szCs w:val="25"/>
                <w:lang w:val="lv-LV"/>
              </w:rPr>
              <w:t xml:space="preserve">īvdienu piešķiršanas nepieciešamību saimnieciskās darbības veicējiem, kuru likviditāti skārušas Krievijas Federācijas rubļa vērtības svārstības. Rubļa vērtība strauji sāka samazināties 2014.gada </w:t>
            </w:r>
            <w:r w:rsidR="00094353">
              <w:rPr>
                <w:bCs/>
                <w:sz w:val="25"/>
                <w:szCs w:val="25"/>
                <w:lang w:val="lv-LV"/>
              </w:rPr>
              <w:t>novembrī</w:t>
            </w:r>
            <w:r w:rsidRPr="001A4ACA">
              <w:rPr>
                <w:bCs/>
                <w:sz w:val="25"/>
                <w:szCs w:val="25"/>
                <w:lang w:val="lv-LV"/>
              </w:rPr>
              <w:t xml:space="preserve">, </w:t>
            </w:r>
            <w:r w:rsidR="00094353" w:rsidRPr="00094353">
              <w:rPr>
                <w:bCs/>
                <w:sz w:val="25"/>
                <w:szCs w:val="25"/>
                <w:lang w:val="lv-LV"/>
              </w:rPr>
              <w:t xml:space="preserve">un saskaņā ar Latvijas Bankas datiem rubļa vērtības kurss pret </w:t>
            </w:r>
            <w:proofErr w:type="spellStart"/>
            <w:r w:rsidR="00094353" w:rsidRPr="001A4ACA">
              <w:rPr>
                <w:bCs/>
                <w:i/>
                <w:sz w:val="25"/>
                <w:szCs w:val="25"/>
                <w:lang w:val="lv-LV"/>
              </w:rPr>
              <w:t>euro</w:t>
            </w:r>
            <w:proofErr w:type="spellEnd"/>
            <w:r w:rsidR="00094353">
              <w:rPr>
                <w:bCs/>
                <w:sz w:val="25"/>
                <w:szCs w:val="25"/>
                <w:lang w:val="lv-LV"/>
              </w:rPr>
              <w:t xml:space="preserve"> </w:t>
            </w:r>
            <w:r w:rsidR="00094353" w:rsidRPr="00094353">
              <w:rPr>
                <w:bCs/>
                <w:sz w:val="25"/>
                <w:szCs w:val="25"/>
                <w:lang w:val="lv-LV"/>
              </w:rPr>
              <w:t>kopš 2014.gada novembra (54,11 RUB = 1 EUR 2014.gada 3.novembrī)  ir svārstījies</w:t>
            </w:r>
            <w:r w:rsidR="00094353">
              <w:rPr>
                <w:bCs/>
                <w:sz w:val="25"/>
                <w:szCs w:val="25"/>
                <w:lang w:val="lv-LV"/>
              </w:rPr>
              <w:t xml:space="preserve"> un</w:t>
            </w:r>
            <w:r w:rsidR="00094353" w:rsidRPr="00094353">
              <w:rPr>
                <w:bCs/>
                <w:sz w:val="25"/>
                <w:szCs w:val="25"/>
                <w:lang w:val="lv-LV"/>
              </w:rPr>
              <w:t xml:space="preserve"> samazinājies </w:t>
            </w:r>
            <w:r w:rsidR="00094353">
              <w:rPr>
                <w:bCs/>
                <w:sz w:val="25"/>
                <w:szCs w:val="25"/>
                <w:lang w:val="lv-LV"/>
              </w:rPr>
              <w:t>līdz</w:t>
            </w:r>
            <w:r w:rsidR="00094353" w:rsidRPr="00094353">
              <w:rPr>
                <w:bCs/>
                <w:sz w:val="25"/>
                <w:szCs w:val="25"/>
                <w:lang w:val="lv-LV"/>
              </w:rPr>
              <w:t xml:space="preserve">: </w:t>
            </w:r>
          </w:p>
          <w:p w:rsidR="00094353" w:rsidRPr="00094353" w:rsidRDefault="00094353" w:rsidP="00094353">
            <w:pPr>
              <w:ind w:firstLine="708"/>
              <w:jc w:val="both"/>
              <w:rPr>
                <w:bCs/>
                <w:sz w:val="25"/>
                <w:szCs w:val="25"/>
                <w:lang w:val="lv-LV"/>
              </w:rPr>
            </w:pPr>
            <w:r w:rsidRPr="00094353">
              <w:rPr>
                <w:bCs/>
                <w:sz w:val="25"/>
                <w:szCs w:val="25"/>
                <w:lang w:val="lv-LV"/>
              </w:rPr>
              <w:t>1)</w:t>
            </w:r>
            <w:r w:rsidRPr="00094353">
              <w:rPr>
                <w:bCs/>
                <w:sz w:val="25"/>
                <w:szCs w:val="25"/>
                <w:lang w:val="lv-LV"/>
              </w:rPr>
              <w:tab/>
              <w:t xml:space="preserve">65,27 RUB = 1 EUR </w:t>
            </w:r>
            <w:r>
              <w:rPr>
                <w:bCs/>
                <w:sz w:val="25"/>
                <w:szCs w:val="25"/>
                <w:lang w:val="lv-LV"/>
              </w:rPr>
              <w:t xml:space="preserve">periodā no 2014.gada 3.novembra </w:t>
            </w:r>
            <w:r w:rsidRPr="00094353">
              <w:rPr>
                <w:bCs/>
                <w:sz w:val="25"/>
                <w:szCs w:val="25"/>
                <w:lang w:val="lv-LV"/>
              </w:rPr>
              <w:t>līdz 2014.gada 1.decembrim (rubļa vērtības samazinājums par 21 %);</w:t>
            </w:r>
          </w:p>
          <w:p w:rsidR="00094353" w:rsidRPr="00094353" w:rsidRDefault="00094353" w:rsidP="00094353">
            <w:pPr>
              <w:ind w:firstLine="708"/>
              <w:jc w:val="both"/>
              <w:rPr>
                <w:bCs/>
                <w:sz w:val="25"/>
                <w:szCs w:val="25"/>
                <w:lang w:val="lv-LV"/>
              </w:rPr>
            </w:pPr>
            <w:r w:rsidRPr="00094353">
              <w:rPr>
                <w:bCs/>
                <w:sz w:val="25"/>
                <w:szCs w:val="25"/>
                <w:lang w:val="lv-LV"/>
              </w:rPr>
              <w:lastRenderedPageBreak/>
              <w:t>2)</w:t>
            </w:r>
            <w:r w:rsidRPr="00094353">
              <w:rPr>
                <w:bCs/>
                <w:sz w:val="25"/>
                <w:szCs w:val="25"/>
                <w:lang w:val="lv-LV"/>
              </w:rPr>
              <w:tab/>
              <w:t xml:space="preserve">70,46 RUB = 1 EUR </w:t>
            </w:r>
            <w:r>
              <w:rPr>
                <w:bCs/>
                <w:sz w:val="25"/>
                <w:szCs w:val="25"/>
                <w:lang w:val="lv-LV"/>
              </w:rPr>
              <w:t xml:space="preserve">periodā no 2014.gada 3.novembra </w:t>
            </w:r>
            <w:r w:rsidRPr="00094353">
              <w:rPr>
                <w:bCs/>
                <w:sz w:val="25"/>
                <w:szCs w:val="25"/>
                <w:lang w:val="lv-LV"/>
              </w:rPr>
              <w:t xml:space="preserve">līdz 2014.gada 2.janvārim (rubļa vērtības samazinājums par 30 </w:t>
            </w:r>
            <w:r w:rsidR="004F522E">
              <w:rPr>
                <w:bCs/>
                <w:sz w:val="25"/>
                <w:szCs w:val="25"/>
                <w:lang w:val="lv-LV"/>
              </w:rPr>
              <w:t>%)</w:t>
            </w:r>
            <w:r w:rsidRPr="00094353">
              <w:rPr>
                <w:bCs/>
                <w:sz w:val="25"/>
                <w:szCs w:val="25"/>
                <w:lang w:val="lv-LV"/>
              </w:rPr>
              <w:t>;</w:t>
            </w:r>
          </w:p>
          <w:p w:rsidR="00094353" w:rsidRPr="00094353" w:rsidRDefault="00094353" w:rsidP="00094353">
            <w:pPr>
              <w:ind w:firstLine="708"/>
              <w:jc w:val="both"/>
              <w:rPr>
                <w:bCs/>
                <w:sz w:val="25"/>
                <w:szCs w:val="25"/>
                <w:lang w:val="lv-LV"/>
              </w:rPr>
            </w:pPr>
            <w:r w:rsidRPr="00094353">
              <w:rPr>
                <w:bCs/>
                <w:sz w:val="25"/>
                <w:szCs w:val="25"/>
                <w:lang w:val="lv-LV"/>
              </w:rPr>
              <w:t>3)</w:t>
            </w:r>
            <w:r w:rsidRPr="00094353">
              <w:rPr>
                <w:bCs/>
                <w:sz w:val="25"/>
                <w:szCs w:val="25"/>
                <w:lang w:val="lv-LV"/>
              </w:rPr>
              <w:tab/>
              <w:t xml:space="preserve">78,06 RUB = 1 EUR </w:t>
            </w:r>
            <w:r>
              <w:rPr>
                <w:bCs/>
                <w:sz w:val="25"/>
                <w:szCs w:val="25"/>
                <w:lang w:val="lv-LV"/>
              </w:rPr>
              <w:t xml:space="preserve">periodā no 2014.gada 3.novembra </w:t>
            </w:r>
            <w:r w:rsidRPr="00094353">
              <w:rPr>
                <w:bCs/>
                <w:sz w:val="25"/>
                <w:szCs w:val="25"/>
                <w:lang w:val="lv-LV"/>
              </w:rPr>
              <w:t>līdz 2015.gada 2.februārim (rubļa vērtības samazinājums par 44 %);</w:t>
            </w:r>
          </w:p>
          <w:p w:rsidR="00094353" w:rsidRPr="00094353" w:rsidRDefault="00094353" w:rsidP="00094353">
            <w:pPr>
              <w:ind w:firstLine="708"/>
              <w:jc w:val="both"/>
              <w:rPr>
                <w:bCs/>
                <w:sz w:val="25"/>
                <w:szCs w:val="25"/>
                <w:lang w:val="lv-LV"/>
              </w:rPr>
            </w:pPr>
            <w:r w:rsidRPr="00094353">
              <w:rPr>
                <w:bCs/>
                <w:sz w:val="25"/>
                <w:szCs w:val="25"/>
                <w:lang w:val="lv-LV"/>
              </w:rPr>
              <w:t>4)</w:t>
            </w:r>
            <w:r w:rsidRPr="00094353">
              <w:rPr>
                <w:bCs/>
                <w:sz w:val="25"/>
                <w:szCs w:val="25"/>
                <w:lang w:val="lv-LV"/>
              </w:rPr>
              <w:tab/>
              <w:t xml:space="preserve">70,70 RUB = 1 EUR </w:t>
            </w:r>
            <w:r>
              <w:rPr>
                <w:bCs/>
                <w:sz w:val="25"/>
                <w:szCs w:val="25"/>
                <w:lang w:val="lv-LV"/>
              </w:rPr>
              <w:t xml:space="preserve">periodā no 2014.gada 3.novembra </w:t>
            </w:r>
            <w:r w:rsidRPr="00094353">
              <w:rPr>
                <w:bCs/>
                <w:sz w:val="25"/>
                <w:szCs w:val="25"/>
                <w:lang w:val="lv-LV"/>
              </w:rPr>
              <w:t>līdz 2015.gada 3.martam (rubļa vērtības samazinājums par 29 %);</w:t>
            </w:r>
          </w:p>
          <w:p w:rsidR="00094353" w:rsidRDefault="00094353" w:rsidP="001A4ACA">
            <w:pPr>
              <w:ind w:firstLine="708"/>
              <w:jc w:val="both"/>
              <w:rPr>
                <w:bCs/>
                <w:sz w:val="25"/>
                <w:szCs w:val="25"/>
                <w:lang w:val="lv-LV"/>
              </w:rPr>
            </w:pPr>
            <w:r w:rsidRPr="00094353">
              <w:rPr>
                <w:bCs/>
                <w:sz w:val="25"/>
                <w:szCs w:val="25"/>
                <w:lang w:val="lv-LV"/>
              </w:rPr>
              <w:t>5)</w:t>
            </w:r>
            <w:r w:rsidRPr="00094353">
              <w:rPr>
                <w:bCs/>
                <w:sz w:val="25"/>
                <w:szCs w:val="25"/>
                <w:lang w:val="lv-LV"/>
              </w:rPr>
              <w:tab/>
              <w:t xml:space="preserve">62,43 RUB = 1 EUR </w:t>
            </w:r>
            <w:r>
              <w:rPr>
                <w:bCs/>
                <w:sz w:val="25"/>
                <w:szCs w:val="25"/>
                <w:lang w:val="lv-LV"/>
              </w:rPr>
              <w:t xml:space="preserve">periodā no 2014.gada 3.novembra </w:t>
            </w:r>
            <w:r w:rsidRPr="00094353">
              <w:rPr>
                <w:bCs/>
                <w:sz w:val="25"/>
                <w:szCs w:val="25"/>
                <w:lang w:val="lv-LV"/>
              </w:rPr>
              <w:t>līdz 2015.gada 1.aprīli</w:t>
            </w:r>
            <w:r>
              <w:rPr>
                <w:bCs/>
                <w:sz w:val="25"/>
                <w:szCs w:val="25"/>
                <w:lang w:val="lv-LV"/>
              </w:rPr>
              <w:t>m</w:t>
            </w:r>
            <w:r w:rsidRPr="00094353">
              <w:rPr>
                <w:bCs/>
                <w:sz w:val="25"/>
                <w:szCs w:val="25"/>
                <w:lang w:val="lv-LV"/>
              </w:rPr>
              <w:t xml:space="preserve"> (rubļa vērtības samazinājums par 15 %).</w:t>
            </w:r>
          </w:p>
          <w:p w:rsidR="00094353" w:rsidRDefault="00505C07" w:rsidP="001A4ACA">
            <w:pPr>
              <w:ind w:firstLine="708"/>
              <w:jc w:val="both"/>
              <w:rPr>
                <w:bCs/>
                <w:sz w:val="25"/>
                <w:szCs w:val="25"/>
                <w:lang w:val="lv-LV"/>
              </w:rPr>
            </w:pPr>
            <w:r w:rsidRPr="001A4ACA">
              <w:rPr>
                <w:bCs/>
                <w:sz w:val="25"/>
                <w:szCs w:val="25"/>
                <w:lang w:val="lv-LV"/>
              </w:rPr>
              <w:t xml:space="preserve">2014.gada 1.pusgadā Latvijas uzņēmumu preču eksports uz Krieviju sastādīja 11 % no kopējā eksporta apjoma,  un  rubļa vērtības kritums līdzšinēji ir </w:t>
            </w:r>
            <w:r w:rsidRPr="001A4ACA">
              <w:rPr>
                <w:b/>
                <w:bCs/>
                <w:sz w:val="25"/>
                <w:szCs w:val="25"/>
                <w:lang w:val="lv-LV"/>
              </w:rPr>
              <w:t>ietekmējis</w:t>
            </w:r>
            <w:r w:rsidRPr="001A4ACA">
              <w:rPr>
                <w:bCs/>
                <w:sz w:val="25"/>
                <w:szCs w:val="25"/>
                <w:lang w:val="lv-LV"/>
              </w:rPr>
              <w:t xml:space="preserve"> visus </w:t>
            </w:r>
            <w:r w:rsidR="004470A5">
              <w:rPr>
                <w:bCs/>
                <w:sz w:val="25"/>
                <w:szCs w:val="25"/>
                <w:lang w:val="lv-LV"/>
              </w:rPr>
              <w:t xml:space="preserve">tos </w:t>
            </w:r>
            <w:r w:rsidRPr="001A4ACA">
              <w:rPr>
                <w:bCs/>
                <w:sz w:val="25"/>
                <w:szCs w:val="25"/>
                <w:lang w:val="lv-LV"/>
              </w:rPr>
              <w:t xml:space="preserve">Latvijas uzņēmumus, kas eksportē preces uz Krievijas tirgu, visās nozarēs. Ņemot vērā </w:t>
            </w:r>
            <w:r w:rsidR="004470A5">
              <w:rPr>
                <w:bCs/>
                <w:sz w:val="25"/>
                <w:szCs w:val="25"/>
                <w:lang w:val="lv-LV"/>
              </w:rPr>
              <w:t>minēto</w:t>
            </w:r>
            <w:r w:rsidRPr="001A4ACA">
              <w:rPr>
                <w:bCs/>
                <w:sz w:val="25"/>
                <w:szCs w:val="25"/>
                <w:lang w:val="lv-LV"/>
              </w:rPr>
              <w:t xml:space="preserve">, </w:t>
            </w:r>
            <w:r w:rsidR="004470A5">
              <w:rPr>
                <w:bCs/>
                <w:sz w:val="25"/>
                <w:szCs w:val="25"/>
                <w:lang w:val="lv-LV"/>
              </w:rPr>
              <w:t>ir būtiski</w:t>
            </w:r>
            <w:r w:rsidRPr="001A4ACA">
              <w:rPr>
                <w:bCs/>
                <w:sz w:val="25"/>
                <w:szCs w:val="25"/>
                <w:lang w:val="lv-LV"/>
              </w:rPr>
              <w:t xml:space="preserve"> atbalstīt Latvijas uzņēmējus, sniedzot </w:t>
            </w:r>
            <w:r w:rsidR="004470A5">
              <w:rPr>
                <w:bCs/>
                <w:sz w:val="25"/>
                <w:szCs w:val="25"/>
                <w:lang w:val="lv-LV"/>
              </w:rPr>
              <w:t xml:space="preserve">tiem </w:t>
            </w:r>
            <w:r w:rsidRPr="001A4ACA">
              <w:rPr>
                <w:bCs/>
                <w:sz w:val="25"/>
                <w:szCs w:val="25"/>
                <w:lang w:val="lv-LV"/>
              </w:rPr>
              <w:t>iespēju atlikt komercbankas sniegtā aizdevuma pamatsummas atmaksu līdz 2 gadiem</w:t>
            </w:r>
            <w:r w:rsidR="00094353">
              <w:rPr>
                <w:bCs/>
                <w:sz w:val="25"/>
                <w:szCs w:val="25"/>
                <w:lang w:val="lv-LV"/>
              </w:rPr>
              <w:t>. Šād</w:t>
            </w:r>
            <w:r w:rsidR="00810681">
              <w:rPr>
                <w:bCs/>
                <w:sz w:val="25"/>
                <w:szCs w:val="25"/>
                <w:lang w:val="lv-LV"/>
              </w:rPr>
              <w:t>as</w:t>
            </w:r>
            <w:r w:rsidR="00094353">
              <w:rPr>
                <w:bCs/>
                <w:sz w:val="25"/>
                <w:szCs w:val="25"/>
                <w:lang w:val="lv-LV"/>
              </w:rPr>
              <w:t xml:space="preserve"> kredīta brīvdienu garantij</w:t>
            </w:r>
            <w:r w:rsidR="00810681">
              <w:rPr>
                <w:bCs/>
                <w:sz w:val="25"/>
                <w:szCs w:val="25"/>
                <w:lang w:val="lv-LV"/>
              </w:rPr>
              <w:t>as</w:t>
            </w:r>
            <w:r w:rsidR="00094353">
              <w:rPr>
                <w:bCs/>
                <w:sz w:val="25"/>
                <w:szCs w:val="25"/>
                <w:lang w:val="lv-LV"/>
              </w:rPr>
              <w:t xml:space="preserve"> programma ir </w:t>
            </w:r>
            <w:r w:rsidR="00094353" w:rsidRPr="001A4ACA">
              <w:rPr>
                <w:b/>
                <w:bCs/>
                <w:sz w:val="25"/>
                <w:szCs w:val="25"/>
                <w:lang w:val="lv-LV"/>
              </w:rPr>
              <w:t>mērķtiecīgs</w:t>
            </w:r>
            <w:r w:rsidR="00094353">
              <w:rPr>
                <w:bCs/>
                <w:sz w:val="25"/>
                <w:szCs w:val="25"/>
                <w:lang w:val="lv-LV"/>
              </w:rPr>
              <w:t xml:space="preserve"> finanšu instruments un ir paredzēts noteiktam saimnieciskās darbības veicēju lokam:</w:t>
            </w:r>
          </w:p>
          <w:p w:rsidR="00810681" w:rsidRDefault="00094353" w:rsidP="001A4ACA">
            <w:pPr>
              <w:ind w:firstLine="708"/>
              <w:jc w:val="both"/>
              <w:rPr>
                <w:bCs/>
                <w:sz w:val="25"/>
                <w:szCs w:val="25"/>
                <w:lang w:val="lv-LV"/>
              </w:rPr>
            </w:pPr>
            <w:r>
              <w:rPr>
                <w:bCs/>
                <w:sz w:val="25"/>
                <w:szCs w:val="25"/>
                <w:lang w:val="lv-LV"/>
              </w:rPr>
              <w:t xml:space="preserve">1) </w:t>
            </w:r>
            <w:r w:rsidR="004470A5">
              <w:rPr>
                <w:bCs/>
                <w:sz w:val="25"/>
                <w:szCs w:val="25"/>
                <w:lang w:val="lv-LV"/>
              </w:rPr>
              <w:t>saimnieciskās darbības veicējiem</w:t>
            </w:r>
            <w:r w:rsidR="00505C07" w:rsidRPr="001A4ACA">
              <w:rPr>
                <w:bCs/>
                <w:sz w:val="25"/>
                <w:szCs w:val="25"/>
                <w:lang w:val="lv-LV"/>
              </w:rPr>
              <w:t xml:space="preserve">, kuriem eksporta apjoms </w:t>
            </w:r>
            <w:r>
              <w:rPr>
                <w:bCs/>
                <w:sz w:val="25"/>
                <w:szCs w:val="25"/>
                <w:lang w:val="lv-LV"/>
              </w:rPr>
              <w:t xml:space="preserve">uz Krievijas Federāciju </w:t>
            </w:r>
            <w:r w:rsidR="00505C07" w:rsidRPr="001A4ACA">
              <w:rPr>
                <w:bCs/>
                <w:sz w:val="25"/>
                <w:szCs w:val="25"/>
                <w:lang w:val="lv-LV"/>
              </w:rPr>
              <w:t>ir pietiekoši liels (vismaz 30 %</w:t>
            </w:r>
            <w:r w:rsidR="004470A5">
              <w:rPr>
                <w:bCs/>
                <w:sz w:val="25"/>
                <w:szCs w:val="25"/>
                <w:lang w:val="lv-LV"/>
              </w:rPr>
              <w:t xml:space="preserve"> apmērā</w:t>
            </w:r>
            <w:r w:rsidR="00505C07" w:rsidRPr="001A4ACA">
              <w:rPr>
                <w:bCs/>
                <w:sz w:val="25"/>
                <w:szCs w:val="25"/>
                <w:lang w:val="lv-LV"/>
              </w:rPr>
              <w:t>)</w:t>
            </w:r>
            <w:r w:rsidR="004F522E">
              <w:rPr>
                <w:bCs/>
                <w:sz w:val="25"/>
                <w:szCs w:val="25"/>
                <w:lang w:val="lv-LV"/>
              </w:rPr>
              <w:t xml:space="preserve">, </w:t>
            </w:r>
            <w:r w:rsidR="004470A5">
              <w:rPr>
                <w:bCs/>
                <w:sz w:val="25"/>
                <w:szCs w:val="25"/>
                <w:lang w:val="lv-LV"/>
              </w:rPr>
              <w:t xml:space="preserve">attiecīgi </w:t>
            </w:r>
            <w:r>
              <w:rPr>
                <w:bCs/>
                <w:sz w:val="25"/>
                <w:szCs w:val="25"/>
                <w:lang w:val="lv-LV"/>
              </w:rPr>
              <w:t xml:space="preserve">Krievijas Federācijas rubļa vērtības samazinājums </w:t>
            </w:r>
            <w:r w:rsidR="004470A5">
              <w:rPr>
                <w:bCs/>
                <w:sz w:val="25"/>
                <w:szCs w:val="25"/>
                <w:lang w:val="lv-LV"/>
              </w:rPr>
              <w:t xml:space="preserve">paredz būtisku </w:t>
            </w:r>
            <w:r w:rsidR="00505C07" w:rsidRPr="001A4ACA">
              <w:rPr>
                <w:bCs/>
                <w:sz w:val="25"/>
                <w:szCs w:val="25"/>
                <w:lang w:val="lv-LV"/>
              </w:rPr>
              <w:t>ietekm</w:t>
            </w:r>
            <w:r w:rsidR="004470A5">
              <w:rPr>
                <w:bCs/>
                <w:sz w:val="25"/>
                <w:szCs w:val="25"/>
                <w:lang w:val="lv-LV"/>
              </w:rPr>
              <w:t>i</w:t>
            </w:r>
            <w:r w:rsidR="00505C07" w:rsidRPr="001A4ACA">
              <w:rPr>
                <w:bCs/>
                <w:sz w:val="25"/>
                <w:szCs w:val="25"/>
                <w:lang w:val="lv-LV"/>
              </w:rPr>
              <w:t xml:space="preserve"> uz </w:t>
            </w:r>
            <w:r w:rsidR="004470A5">
              <w:rPr>
                <w:bCs/>
                <w:sz w:val="25"/>
                <w:szCs w:val="25"/>
                <w:lang w:val="lv-LV"/>
              </w:rPr>
              <w:t>saimnieciskā darbības veicēja</w:t>
            </w:r>
            <w:r w:rsidR="00505C07" w:rsidRPr="001A4ACA">
              <w:rPr>
                <w:bCs/>
                <w:sz w:val="25"/>
                <w:szCs w:val="25"/>
                <w:lang w:val="lv-LV"/>
              </w:rPr>
              <w:t xml:space="preserve"> finanšu rādītājiem</w:t>
            </w:r>
            <w:r w:rsidR="00810681">
              <w:rPr>
                <w:bCs/>
                <w:sz w:val="25"/>
                <w:szCs w:val="25"/>
                <w:lang w:val="lv-LV"/>
              </w:rPr>
              <w:t>;</w:t>
            </w:r>
          </w:p>
          <w:p w:rsidR="00810681" w:rsidRDefault="00810681" w:rsidP="001A4ACA">
            <w:pPr>
              <w:ind w:firstLine="708"/>
              <w:jc w:val="both"/>
              <w:rPr>
                <w:bCs/>
                <w:sz w:val="25"/>
                <w:szCs w:val="25"/>
                <w:lang w:val="lv-LV"/>
              </w:rPr>
            </w:pPr>
            <w:r>
              <w:rPr>
                <w:bCs/>
                <w:sz w:val="25"/>
                <w:szCs w:val="25"/>
                <w:lang w:val="lv-LV"/>
              </w:rPr>
              <w:t>2) saimnieciskās darbības veicējiem, kuri Krievijas Federācijas rubļa vērtības svārstību rezultātā saskaras ar likviditātes problēmām (šādas problēmas esamība tiks izvērtēta</w:t>
            </w:r>
            <w:r w:rsidR="004F522E">
              <w:rPr>
                <w:bCs/>
                <w:sz w:val="25"/>
                <w:szCs w:val="25"/>
                <w:lang w:val="lv-LV"/>
              </w:rPr>
              <w:t xml:space="preserve"> atbilstoši metodikai</w:t>
            </w:r>
            <w:r>
              <w:rPr>
                <w:bCs/>
                <w:sz w:val="25"/>
                <w:szCs w:val="25"/>
                <w:lang w:val="lv-LV"/>
              </w:rPr>
              <w:t>);</w:t>
            </w:r>
          </w:p>
          <w:p w:rsidR="00505C07" w:rsidRDefault="00810681" w:rsidP="004F522E">
            <w:pPr>
              <w:ind w:firstLine="708"/>
              <w:jc w:val="both"/>
              <w:rPr>
                <w:bCs/>
                <w:sz w:val="25"/>
                <w:szCs w:val="25"/>
                <w:lang w:val="lv-LV"/>
              </w:rPr>
            </w:pPr>
            <w:r>
              <w:rPr>
                <w:bCs/>
                <w:sz w:val="25"/>
                <w:szCs w:val="25"/>
                <w:lang w:val="lv-LV"/>
              </w:rPr>
              <w:t xml:space="preserve">3) saimnieciskās darbības veicējiem, kuriem saskaņā ar </w:t>
            </w:r>
            <w:r w:rsidRPr="00810681">
              <w:rPr>
                <w:bCs/>
                <w:sz w:val="25"/>
                <w:szCs w:val="25"/>
                <w:lang w:val="lv-LV"/>
              </w:rPr>
              <w:t>AS „Attīstības finanšu institūcija ALTUM”</w:t>
            </w:r>
            <w:r>
              <w:rPr>
                <w:bCs/>
                <w:sz w:val="25"/>
                <w:szCs w:val="25"/>
                <w:lang w:val="lv-LV"/>
              </w:rPr>
              <w:t xml:space="preserve"> (turpmāk – Attīstības finanšu institūcija) vērtējumu pārstrukturēšanās darbību rezultātā ir iespējams atjaunot ekonomisko dzīvotspēju.</w:t>
            </w:r>
          </w:p>
          <w:p w:rsidR="00810681" w:rsidRDefault="004470A5" w:rsidP="004F522E">
            <w:pPr>
              <w:ind w:firstLine="567"/>
              <w:jc w:val="both"/>
              <w:rPr>
                <w:bCs/>
                <w:sz w:val="25"/>
                <w:szCs w:val="25"/>
                <w:lang w:val="lv-LV"/>
              </w:rPr>
            </w:pPr>
            <w:r>
              <w:rPr>
                <w:bCs/>
                <w:sz w:val="25"/>
                <w:szCs w:val="25"/>
                <w:lang w:val="lv-LV"/>
              </w:rPr>
              <w:t xml:space="preserve">Ņemot vērā </w:t>
            </w:r>
            <w:r w:rsidR="00810681">
              <w:rPr>
                <w:bCs/>
                <w:sz w:val="25"/>
                <w:szCs w:val="25"/>
                <w:lang w:val="lv-LV"/>
              </w:rPr>
              <w:t xml:space="preserve">augstāk </w:t>
            </w:r>
            <w:r>
              <w:rPr>
                <w:bCs/>
                <w:sz w:val="25"/>
                <w:szCs w:val="25"/>
                <w:lang w:val="lv-LV"/>
              </w:rPr>
              <w:t xml:space="preserve">minēto, </w:t>
            </w:r>
            <w:r w:rsidR="00D8582C">
              <w:rPr>
                <w:bCs/>
                <w:sz w:val="25"/>
                <w:szCs w:val="25"/>
                <w:lang w:val="lv-LV"/>
              </w:rPr>
              <w:t xml:space="preserve">noteikumu projekts </w:t>
            </w:r>
            <w:r w:rsidR="00810681">
              <w:rPr>
                <w:bCs/>
                <w:sz w:val="25"/>
                <w:szCs w:val="25"/>
                <w:lang w:val="lv-LV"/>
              </w:rPr>
              <w:t>papildina</w:t>
            </w:r>
            <w:r w:rsidR="00D8582C">
              <w:rPr>
                <w:bCs/>
                <w:sz w:val="25"/>
                <w:szCs w:val="25"/>
                <w:lang w:val="lv-LV"/>
              </w:rPr>
              <w:t xml:space="preserve"> MK noteikumu N</w:t>
            </w:r>
            <w:r w:rsidR="00CA3A8D">
              <w:rPr>
                <w:bCs/>
                <w:sz w:val="25"/>
                <w:szCs w:val="25"/>
                <w:lang w:val="lv-LV"/>
              </w:rPr>
              <w:t>r</w:t>
            </w:r>
            <w:r w:rsidR="00D8582C">
              <w:rPr>
                <w:bCs/>
                <w:sz w:val="25"/>
                <w:szCs w:val="25"/>
                <w:lang w:val="lv-LV"/>
              </w:rPr>
              <w:t xml:space="preserve">.997 </w:t>
            </w:r>
            <w:r w:rsidR="00690C0F" w:rsidRPr="004470A5">
              <w:rPr>
                <w:bCs/>
                <w:sz w:val="25"/>
                <w:szCs w:val="25"/>
                <w:lang w:val="lv-LV"/>
              </w:rPr>
              <w:t>9.2.1.apakšpunktu,</w:t>
            </w:r>
            <w:r w:rsidR="00D8582C">
              <w:rPr>
                <w:bCs/>
                <w:sz w:val="25"/>
                <w:szCs w:val="25"/>
                <w:lang w:val="lv-LV"/>
              </w:rPr>
              <w:t xml:space="preserve"> paredz</w:t>
            </w:r>
            <w:r w:rsidR="00690C0F">
              <w:rPr>
                <w:bCs/>
                <w:sz w:val="25"/>
                <w:szCs w:val="25"/>
                <w:lang w:val="lv-LV"/>
              </w:rPr>
              <w:t>ot</w:t>
            </w:r>
            <w:r w:rsidR="00D8582C">
              <w:rPr>
                <w:bCs/>
                <w:sz w:val="25"/>
                <w:szCs w:val="25"/>
                <w:lang w:val="lv-LV"/>
              </w:rPr>
              <w:t xml:space="preserve"> iespēju kredīta brīvdienas saņemt arī tiem saimnieciskās darbības veicējiem, kuru </w:t>
            </w:r>
            <w:r w:rsidR="00CA3A8D">
              <w:rPr>
                <w:bCs/>
                <w:sz w:val="25"/>
                <w:szCs w:val="25"/>
                <w:lang w:val="lv-LV"/>
              </w:rPr>
              <w:t>eksporta apjoms uz</w:t>
            </w:r>
            <w:r w:rsidR="00D8582C" w:rsidRPr="00D8582C">
              <w:rPr>
                <w:bCs/>
                <w:sz w:val="25"/>
                <w:szCs w:val="25"/>
                <w:lang w:val="lv-LV"/>
              </w:rPr>
              <w:t xml:space="preserve"> Kri</w:t>
            </w:r>
            <w:r w:rsidR="00D8582C">
              <w:rPr>
                <w:bCs/>
                <w:sz w:val="25"/>
                <w:szCs w:val="25"/>
                <w:lang w:val="lv-LV"/>
              </w:rPr>
              <w:t>evijas Federāciju pārsniedz 30%</w:t>
            </w:r>
            <w:r w:rsidR="00D8582C" w:rsidRPr="00D8582C">
              <w:rPr>
                <w:bCs/>
                <w:sz w:val="25"/>
                <w:szCs w:val="25"/>
                <w:lang w:val="lv-LV"/>
              </w:rPr>
              <w:t xml:space="preserve"> un </w:t>
            </w:r>
            <w:r w:rsidR="00D8582C">
              <w:rPr>
                <w:bCs/>
                <w:sz w:val="25"/>
                <w:szCs w:val="25"/>
                <w:lang w:val="lv-LV"/>
              </w:rPr>
              <w:t xml:space="preserve">kuri </w:t>
            </w:r>
            <w:r w:rsidR="00D8582C" w:rsidRPr="00D8582C">
              <w:rPr>
                <w:bCs/>
                <w:sz w:val="25"/>
                <w:szCs w:val="25"/>
                <w:lang w:val="lv-LV"/>
              </w:rPr>
              <w:t xml:space="preserve">Krievijas Federācijas valūtas svārstību rezultātā saskaras </w:t>
            </w:r>
            <w:r w:rsidR="00D8582C" w:rsidRPr="00690C0F">
              <w:rPr>
                <w:bCs/>
                <w:sz w:val="25"/>
                <w:szCs w:val="25"/>
                <w:lang w:val="lv-LV"/>
              </w:rPr>
              <w:t xml:space="preserve">ar </w:t>
            </w:r>
            <w:r w:rsidR="00D8582C" w:rsidRPr="00D8582C">
              <w:rPr>
                <w:bCs/>
                <w:sz w:val="25"/>
                <w:szCs w:val="25"/>
                <w:lang w:val="lv-LV"/>
              </w:rPr>
              <w:t>likviditātes problēmām</w:t>
            </w:r>
            <w:r w:rsidR="00D8582C">
              <w:rPr>
                <w:bCs/>
                <w:sz w:val="25"/>
                <w:szCs w:val="25"/>
                <w:lang w:val="lv-LV"/>
              </w:rPr>
              <w:t xml:space="preserve">. </w:t>
            </w:r>
            <w:r w:rsidR="004F522E">
              <w:rPr>
                <w:bCs/>
                <w:sz w:val="25"/>
                <w:szCs w:val="25"/>
                <w:lang w:val="lv-LV"/>
              </w:rPr>
              <w:t>Šādu k</w:t>
            </w:r>
            <w:r w:rsidR="00D8582C">
              <w:rPr>
                <w:bCs/>
                <w:sz w:val="25"/>
                <w:szCs w:val="25"/>
                <w:lang w:val="lv-LV"/>
              </w:rPr>
              <w:t xml:space="preserve">redīta brīvdienu piešķiršanai </w:t>
            </w:r>
            <w:r>
              <w:rPr>
                <w:bCs/>
                <w:sz w:val="25"/>
                <w:szCs w:val="25"/>
                <w:lang w:val="lv-LV"/>
              </w:rPr>
              <w:t>saimnieciskās darbības veicējiem</w:t>
            </w:r>
            <w:r w:rsidR="00D8582C">
              <w:rPr>
                <w:bCs/>
                <w:sz w:val="25"/>
                <w:szCs w:val="25"/>
                <w:lang w:val="lv-LV"/>
              </w:rPr>
              <w:t xml:space="preserve"> </w:t>
            </w:r>
            <w:r>
              <w:rPr>
                <w:bCs/>
                <w:sz w:val="25"/>
                <w:szCs w:val="25"/>
                <w:lang w:val="lv-LV"/>
              </w:rPr>
              <w:t xml:space="preserve">ir  </w:t>
            </w:r>
            <w:r w:rsidR="00D8582C">
              <w:rPr>
                <w:bCs/>
                <w:sz w:val="25"/>
                <w:szCs w:val="25"/>
                <w:lang w:val="lv-LV"/>
              </w:rPr>
              <w:t xml:space="preserve">novirzīts </w:t>
            </w:r>
            <w:r w:rsidR="00BD6A47">
              <w:rPr>
                <w:bCs/>
                <w:sz w:val="25"/>
                <w:szCs w:val="25"/>
                <w:lang w:val="lv-LV"/>
              </w:rPr>
              <w:t xml:space="preserve">publiskais finansējums </w:t>
            </w:r>
            <w:r>
              <w:rPr>
                <w:bCs/>
                <w:sz w:val="25"/>
                <w:szCs w:val="25"/>
                <w:lang w:val="lv-LV"/>
              </w:rPr>
              <w:t>3 </w:t>
            </w:r>
            <w:r w:rsidR="00BD6A47">
              <w:rPr>
                <w:bCs/>
                <w:sz w:val="25"/>
                <w:szCs w:val="25"/>
                <w:lang w:val="lv-LV"/>
              </w:rPr>
              <w:t xml:space="preserve">000 000 </w:t>
            </w:r>
            <w:r w:rsidR="00BD6A47" w:rsidRPr="004F522E">
              <w:rPr>
                <w:bCs/>
                <w:i/>
                <w:sz w:val="25"/>
                <w:szCs w:val="25"/>
                <w:lang w:val="lv-LV"/>
              </w:rPr>
              <w:t>euro</w:t>
            </w:r>
            <w:r w:rsidR="00BD6A47">
              <w:rPr>
                <w:bCs/>
                <w:sz w:val="25"/>
                <w:szCs w:val="25"/>
                <w:lang w:val="lv-LV"/>
              </w:rPr>
              <w:t xml:space="preserve"> apmērā no </w:t>
            </w:r>
            <w:r w:rsidR="00BD6A47" w:rsidRPr="00BD6A47">
              <w:rPr>
                <w:bCs/>
                <w:sz w:val="25"/>
                <w:szCs w:val="25"/>
                <w:lang w:val="lv-LV"/>
              </w:rPr>
              <w:t xml:space="preserve">2.2.1.4.1.aktivitātē „Atbalsts aizdevumu veidā komersantu konkurētspējas uzlabošanai” </w:t>
            </w:r>
            <w:r w:rsidR="00CA3A8D">
              <w:rPr>
                <w:bCs/>
                <w:sz w:val="25"/>
                <w:szCs w:val="25"/>
                <w:lang w:val="lv-LV"/>
              </w:rPr>
              <w:t xml:space="preserve">(turpmāk – 2.2.1.4.1.aktivitāte) </w:t>
            </w:r>
            <w:r w:rsidR="00BD6A47">
              <w:rPr>
                <w:bCs/>
                <w:sz w:val="25"/>
                <w:szCs w:val="25"/>
                <w:lang w:val="lv-LV"/>
              </w:rPr>
              <w:t>atmaksātā</w:t>
            </w:r>
            <w:r w:rsidR="00D8582C">
              <w:rPr>
                <w:bCs/>
                <w:sz w:val="25"/>
                <w:szCs w:val="25"/>
                <w:lang w:val="lv-LV"/>
              </w:rPr>
              <w:t xml:space="preserve"> </w:t>
            </w:r>
            <w:r w:rsidR="004F522E">
              <w:rPr>
                <w:bCs/>
                <w:sz w:val="25"/>
                <w:szCs w:val="25"/>
                <w:lang w:val="lv-LV"/>
              </w:rPr>
              <w:t xml:space="preserve">brīvā </w:t>
            </w:r>
            <w:r w:rsidR="00D8582C">
              <w:rPr>
                <w:bCs/>
                <w:sz w:val="25"/>
                <w:szCs w:val="25"/>
                <w:lang w:val="lv-LV"/>
              </w:rPr>
              <w:t>finansējum</w:t>
            </w:r>
            <w:r w:rsidR="00BD6A47">
              <w:rPr>
                <w:bCs/>
                <w:sz w:val="25"/>
                <w:szCs w:val="25"/>
                <w:lang w:val="lv-LV"/>
              </w:rPr>
              <w:t xml:space="preserve">a. </w:t>
            </w:r>
            <w:r w:rsidR="00810681">
              <w:rPr>
                <w:bCs/>
                <w:sz w:val="25"/>
                <w:szCs w:val="25"/>
                <w:lang w:val="lv-LV"/>
              </w:rPr>
              <w:t xml:space="preserve">Šāds atmaksātā publiskā finansējuma izlietojums ir paredzēts EM izstrādātajā informatīvajā ziņojumā „Par publiskā finansējuma izmantošanu 2007.-2013.gada plānošanas perioda Ekonomikas ministrijas kompetencē esošo finanšu instrumentu ietvaros” (tiks virzīts </w:t>
            </w:r>
            <w:r w:rsidR="00810681">
              <w:rPr>
                <w:bCs/>
                <w:sz w:val="25"/>
                <w:szCs w:val="25"/>
                <w:lang w:val="lv-LV"/>
              </w:rPr>
              <w:lastRenderedPageBreak/>
              <w:t>apstiprināšanai 2015.gada 1</w:t>
            </w:r>
            <w:r w:rsidR="004F522E">
              <w:rPr>
                <w:bCs/>
                <w:sz w:val="25"/>
                <w:szCs w:val="25"/>
                <w:lang w:val="lv-LV"/>
              </w:rPr>
              <w:t>9</w:t>
            </w:r>
            <w:r w:rsidR="00810681">
              <w:rPr>
                <w:bCs/>
                <w:sz w:val="25"/>
                <w:szCs w:val="25"/>
                <w:lang w:val="lv-LV"/>
              </w:rPr>
              <w:t>.maija Ministru kabineta sēdē).</w:t>
            </w:r>
          </w:p>
          <w:p w:rsidR="004470A5" w:rsidRDefault="00810681" w:rsidP="004F522E">
            <w:pPr>
              <w:ind w:firstLine="850"/>
              <w:jc w:val="both"/>
              <w:rPr>
                <w:bCs/>
                <w:sz w:val="25"/>
                <w:szCs w:val="25"/>
                <w:lang w:val="lv-LV"/>
              </w:rPr>
            </w:pPr>
            <w:r>
              <w:rPr>
                <w:bCs/>
                <w:sz w:val="25"/>
                <w:szCs w:val="25"/>
                <w:lang w:val="lv-LV"/>
              </w:rPr>
              <w:t>K</w:t>
            </w:r>
            <w:r w:rsidR="00BD6A47">
              <w:rPr>
                <w:bCs/>
                <w:sz w:val="25"/>
                <w:szCs w:val="25"/>
                <w:lang w:val="lv-LV"/>
              </w:rPr>
              <w:t>redītu brīvdienu piešķiršanai</w:t>
            </w:r>
            <w:r w:rsidR="004F522E">
              <w:t xml:space="preserve"> </w:t>
            </w:r>
            <w:r w:rsidR="004F522E" w:rsidRPr="004F522E">
              <w:rPr>
                <w:bCs/>
                <w:sz w:val="25"/>
                <w:szCs w:val="25"/>
                <w:lang w:val="lv-LV"/>
              </w:rPr>
              <w:t>saimnieciskās darbības veicējiem, kuru eksporta apjoms uz Krievijas Federāciju pārsniedz 30% un kuri Krievijas Federācijas valūtas svārstību rezultātā saskaras ar likviditātes problēmām</w:t>
            </w:r>
            <w:r w:rsidR="00BD6A47">
              <w:rPr>
                <w:bCs/>
                <w:sz w:val="25"/>
                <w:szCs w:val="25"/>
                <w:lang w:val="lv-LV"/>
              </w:rPr>
              <w:t xml:space="preserve"> tiek novirzīts atmaksātais finansējums</w:t>
            </w:r>
            <w:r w:rsidR="00CA3A8D">
              <w:rPr>
                <w:bCs/>
                <w:sz w:val="25"/>
                <w:szCs w:val="25"/>
                <w:lang w:val="lv-LV"/>
              </w:rPr>
              <w:t xml:space="preserve"> </w:t>
            </w:r>
            <w:r w:rsidR="004F522E">
              <w:rPr>
                <w:bCs/>
                <w:sz w:val="25"/>
                <w:szCs w:val="25"/>
                <w:lang w:val="lv-LV"/>
              </w:rPr>
              <w:t xml:space="preserve">no </w:t>
            </w:r>
            <w:r w:rsidR="00CA3A8D">
              <w:rPr>
                <w:bCs/>
                <w:sz w:val="25"/>
                <w:szCs w:val="25"/>
                <w:lang w:val="lv-LV"/>
              </w:rPr>
              <w:t>2.2.1.4.1.aktivitāt</w:t>
            </w:r>
            <w:r w:rsidR="004F522E">
              <w:rPr>
                <w:bCs/>
                <w:sz w:val="25"/>
                <w:szCs w:val="25"/>
                <w:lang w:val="lv-LV"/>
              </w:rPr>
              <w:t>es</w:t>
            </w:r>
            <w:r w:rsidR="00BD6A47">
              <w:rPr>
                <w:bCs/>
                <w:sz w:val="25"/>
                <w:szCs w:val="25"/>
                <w:lang w:val="lv-LV"/>
              </w:rPr>
              <w:t>,</w:t>
            </w:r>
            <w:r>
              <w:rPr>
                <w:bCs/>
                <w:sz w:val="25"/>
                <w:szCs w:val="25"/>
                <w:lang w:val="lv-LV"/>
              </w:rPr>
              <w:t xml:space="preserve"> attiecīgi</w:t>
            </w:r>
            <w:r w:rsidR="00BD6A47">
              <w:rPr>
                <w:bCs/>
                <w:sz w:val="25"/>
                <w:szCs w:val="25"/>
                <w:lang w:val="lv-LV"/>
              </w:rPr>
              <w:t xml:space="preserve"> nav piemērojami</w:t>
            </w:r>
            <w:r w:rsidR="00BD6A47" w:rsidRPr="00BD6A47">
              <w:rPr>
                <w:bCs/>
                <w:sz w:val="25"/>
                <w:szCs w:val="25"/>
                <w:lang w:val="lv-LV"/>
              </w:rPr>
              <w:t xml:space="preserve"> Komisijas Regula</w:t>
            </w:r>
            <w:r w:rsidR="00BD6A47">
              <w:rPr>
                <w:bCs/>
                <w:sz w:val="25"/>
                <w:szCs w:val="25"/>
                <w:lang w:val="lv-LV"/>
              </w:rPr>
              <w:t>s</w:t>
            </w:r>
            <w:r w:rsidR="00BD6A47" w:rsidRPr="00BD6A47">
              <w:rPr>
                <w:bCs/>
                <w:sz w:val="25"/>
                <w:szCs w:val="25"/>
                <w:lang w:val="lv-LV"/>
              </w:rPr>
              <w:t xml:space="preserve">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K</w:t>
            </w:r>
            <w:r w:rsidR="00CA3A8D">
              <w:rPr>
                <w:bCs/>
                <w:sz w:val="25"/>
                <w:szCs w:val="25"/>
                <w:lang w:val="lv-LV"/>
              </w:rPr>
              <w:t xml:space="preserve">omisijas Regula Nr.1828/2006) </w:t>
            </w:r>
            <w:r w:rsidR="00BD6A47" w:rsidRPr="00BD6A47">
              <w:rPr>
                <w:bCs/>
                <w:sz w:val="25"/>
                <w:szCs w:val="25"/>
                <w:lang w:val="lv-LV"/>
              </w:rPr>
              <w:t>45.pant</w:t>
            </w:r>
            <w:r w:rsidR="00BD6A47">
              <w:rPr>
                <w:bCs/>
                <w:sz w:val="25"/>
                <w:szCs w:val="25"/>
                <w:lang w:val="lv-LV"/>
              </w:rPr>
              <w:t>a</w:t>
            </w:r>
            <w:r w:rsidR="00BD6A47" w:rsidRPr="00BD6A47">
              <w:rPr>
                <w:bCs/>
                <w:sz w:val="25"/>
                <w:szCs w:val="25"/>
                <w:lang w:val="lv-LV"/>
              </w:rPr>
              <w:t xml:space="preserve"> </w:t>
            </w:r>
            <w:r w:rsidR="00BD6A47">
              <w:rPr>
                <w:bCs/>
                <w:sz w:val="25"/>
                <w:szCs w:val="25"/>
                <w:lang w:val="lv-LV"/>
              </w:rPr>
              <w:t>nosacījumi par to</w:t>
            </w:r>
            <w:r w:rsidR="00BD6A47" w:rsidRPr="00BD6A47">
              <w:rPr>
                <w:bCs/>
                <w:sz w:val="25"/>
                <w:szCs w:val="25"/>
                <w:lang w:val="lv-LV"/>
              </w:rPr>
              <w:t xml:space="preserve">, ka ieguldījumi nedrīkst tikt veikti </w:t>
            </w:r>
            <w:r w:rsidR="00CA3A8D">
              <w:rPr>
                <w:bCs/>
                <w:sz w:val="25"/>
                <w:szCs w:val="25"/>
                <w:lang w:val="lv-LV"/>
              </w:rPr>
              <w:t xml:space="preserve">finanšu </w:t>
            </w:r>
            <w:r w:rsidR="00BD6A47" w:rsidRPr="00BD6A47">
              <w:rPr>
                <w:bCs/>
                <w:sz w:val="25"/>
                <w:szCs w:val="25"/>
                <w:lang w:val="lv-LV"/>
              </w:rPr>
              <w:t>grūtībās nonākušos uzņēmumos, atbilstoši Komisijas paziņojumā par pamatnostādnēm par valsts atbalstu grūtībās nonākušu nefinanšu uzņēmumu glābšanai un pārstrukturēšanai (Eiropas Savienības Oficiālais Vēstnesis, 2014.gada 31.jūlijs, Nr. C 249/1) noteiktajai definīcijai.</w:t>
            </w:r>
            <w:r w:rsidR="004470A5">
              <w:rPr>
                <w:bCs/>
                <w:sz w:val="25"/>
                <w:szCs w:val="25"/>
                <w:lang w:val="lv-LV"/>
              </w:rPr>
              <w:t xml:space="preserve"> Vienlaikus, lai nodrošinātu, ka ierobežotais finansējums tiek atgūts un izlietots atkārtoti finanšu instrumentu ietvaros,  garantija kredīta brīvdienām tiks piešķirta </w:t>
            </w:r>
            <w:r>
              <w:rPr>
                <w:bCs/>
                <w:sz w:val="25"/>
                <w:szCs w:val="25"/>
                <w:lang w:val="lv-LV"/>
              </w:rPr>
              <w:t xml:space="preserve">saimnieciskās darbības veicējiem </w:t>
            </w:r>
            <w:r w:rsidR="004470A5">
              <w:rPr>
                <w:bCs/>
                <w:sz w:val="25"/>
                <w:szCs w:val="25"/>
                <w:lang w:val="lv-LV"/>
              </w:rPr>
              <w:t xml:space="preserve">tikai tādā gadījumā, </w:t>
            </w:r>
            <w:r w:rsidR="004470A5" w:rsidRPr="004470A5">
              <w:rPr>
                <w:bCs/>
                <w:sz w:val="25"/>
                <w:szCs w:val="25"/>
                <w:lang w:val="lv-LV"/>
              </w:rPr>
              <w:t xml:space="preserve">ja  </w:t>
            </w:r>
            <w:r w:rsidR="004470A5">
              <w:rPr>
                <w:bCs/>
                <w:sz w:val="25"/>
                <w:szCs w:val="25"/>
                <w:lang w:val="lv-LV"/>
              </w:rPr>
              <w:t xml:space="preserve">saimnieciskās darbības veicējs </w:t>
            </w:r>
            <w:r w:rsidR="004470A5" w:rsidRPr="004470A5">
              <w:rPr>
                <w:bCs/>
                <w:sz w:val="25"/>
                <w:szCs w:val="25"/>
                <w:lang w:val="lv-LV"/>
              </w:rPr>
              <w:t xml:space="preserve"> pēc </w:t>
            </w:r>
            <w:r w:rsidR="004470A5">
              <w:rPr>
                <w:bCs/>
                <w:sz w:val="25"/>
                <w:szCs w:val="25"/>
                <w:lang w:val="lv-LV"/>
              </w:rPr>
              <w:t>Attīstības finanšu institūcijas</w:t>
            </w:r>
            <w:r w:rsidR="004470A5" w:rsidRPr="004470A5">
              <w:rPr>
                <w:bCs/>
                <w:sz w:val="25"/>
                <w:szCs w:val="25"/>
                <w:lang w:val="lv-LV"/>
              </w:rPr>
              <w:t xml:space="preserve"> atzinuma var</w:t>
            </w:r>
            <w:r w:rsidR="004470A5">
              <w:rPr>
                <w:bCs/>
                <w:sz w:val="25"/>
                <w:szCs w:val="25"/>
                <w:lang w:val="lv-LV"/>
              </w:rPr>
              <w:t>ēs</w:t>
            </w:r>
            <w:r w:rsidR="004470A5" w:rsidRPr="004470A5">
              <w:rPr>
                <w:bCs/>
                <w:sz w:val="25"/>
                <w:szCs w:val="25"/>
                <w:lang w:val="lv-LV"/>
              </w:rPr>
              <w:t xml:space="preserve"> atgūt ekonomisko dzīvotspēju pārstrukturēšanas pasākum</w:t>
            </w:r>
            <w:r w:rsidR="004470A5">
              <w:rPr>
                <w:bCs/>
                <w:sz w:val="25"/>
                <w:szCs w:val="25"/>
                <w:lang w:val="lv-LV"/>
              </w:rPr>
              <w:t>u īstenošanas rezultātā</w:t>
            </w:r>
            <w:r w:rsidR="004470A5" w:rsidRPr="004470A5">
              <w:rPr>
                <w:bCs/>
                <w:sz w:val="25"/>
                <w:szCs w:val="25"/>
                <w:lang w:val="lv-LV"/>
              </w:rPr>
              <w:t xml:space="preserve">. </w:t>
            </w:r>
            <w:r>
              <w:rPr>
                <w:bCs/>
                <w:sz w:val="25"/>
                <w:szCs w:val="25"/>
                <w:lang w:val="lv-LV"/>
              </w:rPr>
              <w:t>Turklāt 2009.gada prakse, sniedzot kredīta brīvdienu garantijas komersantiem, kas ekonomiskās un finanšu krīzes rezultātā saskārās ar likviditātes problēmām</w:t>
            </w:r>
            <w:r w:rsidR="00E068D8">
              <w:rPr>
                <w:bCs/>
                <w:sz w:val="25"/>
                <w:szCs w:val="25"/>
                <w:lang w:val="lv-LV"/>
              </w:rPr>
              <w:t>, liecina, ka, izvērtējot darījumu riskus, tajā skaitā uzņēmuma iespējas noteiktā periodā atjaunot savu dzīvotspēju un likviditāti, tiek nodrošināts, ka programmai novirzītais finansējums noteiktā apmērā tiek atgūts (2009.gadā īstenotās kredītu brīvdienu garantijas programmas ietvaros izsniegtas 277 kredīta garantijas, kuru ietvaros izmaksātas 13 kompensācijas). Jānorāda, ka šādas garantijas kredītu brīvdienām tiks sniegtas, ievērojot MK noteikumu Nr.997 10.2.punktā noteiktos ierobežojumus attiecī</w:t>
            </w:r>
            <w:r w:rsidR="00CC3FDC">
              <w:rPr>
                <w:bCs/>
                <w:sz w:val="25"/>
                <w:szCs w:val="25"/>
                <w:lang w:val="lv-LV"/>
              </w:rPr>
              <w:t>b</w:t>
            </w:r>
            <w:r w:rsidR="00E068D8">
              <w:rPr>
                <w:bCs/>
                <w:sz w:val="25"/>
                <w:szCs w:val="25"/>
                <w:lang w:val="lv-LV"/>
              </w:rPr>
              <w:t xml:space="preserve">ā uz garantijas segumu, garantētās summas apmēru un garantijas termiņu. </w:t>
            </w:r>
          </w:p>
          <w:p w:rsidR="00175029" w:rsidRDefault="00690C0F" w:rsidP="00175029">
            <w:pPr>
              <w:ind w:firstLine="567"/>
              <w:jc w:val="both"/>
              <w:rPr>
                <w:bCs/>
                <w:sz w:val="25"/>
                <w:szCs w:val="25"/>
                <w:lang w:val="lv-LV"/>
              </w:rPr>
            </w:pPr>
            <w:r>
              <w:rPr>
                <w:bCs/>
                <w:sz w:val="25"/>
                <w:szCs w:val="25"/>
                <w:lang w:val="lv-LV"/>
              </w:rPr>
              <w:t xml:space="preserve">Līdz ar </w:t>
            </w:r>
            <w:r w:rsidR="00E068D8">
              <w:rPr>
                <w:bCs/>
                <w:sz w:val="25"/>
                <w:szCs w:val="25"/>
                <w:lang w:val="lv-LV"/>
              </w:rPr>
              <w:t>Attīstības finanšu institūcijas</w:t>
            </w:r>
            <w:r w:rsidR="00BD6A47">
              <w:rPr>
                <w:bCs/>
                <w:sz w:val="25"/>
                <w:szCs w:val="25"/>
                <w:lang w:val="lv-LV"/>
              </w:rPr>
              <w:t xml:space="preserve"> reorganizācijas procesa beigām 2015.gada </w:t>
            </w:r>
            <w:r w:rsidR="00BD6A47" w:rsidRPr="00505C07">
              <w:rPr>
                <w:bCs/>
                <w:sz w:val="25"/>
                <w:szCs w:val="25"/>
                <w:lang w:val="lv-LV"/>
              </w:rPr>
              <w:t>1</w:t>
            </w:r>
            <w:r w:rsidR="00557370" w:rsidRPr="00505C07">
              <w:rPr>
                <w:bCs/>
                <w:sz w:val="25"/>
                <w:szCs w:val="25"/>
                <w:lang w:val="lv-LV"/>
              </w:rPr>
              <w:t>5</w:t>
            </w:r>
            <w:r w:rsidR="00BD6A47" w:rsidRPr="00505C07">
              <w:rPr>
                <w:bCs/>
                <w:sz w:val="25"/>
                <w:szCs w:val="25"/>
                <w:lang w:val="lv-LV"/>
              </w:rPr>
              <w:t>.aprīl</w:t>
            </w:r>
            <w:r w:rsidR="006B155B" w:rsidRPr="00505C07">
              <w:rPr>
                <w:bCs/>
                <w:sz w:val="25"/>
                <w:szCs w:val="25"/>
                <w:lang w:val="lv-LV"/>
              </w:rPr>
              <w:t>ī</w:t>
            </w:r>
            <w:r w:rsidR="00BD6A47">
              <w:rPr>
                <w:bCs/>
                <w:sz w:val="25"/>
                <w:szCs w:val="25"/>
                <w:lang w:val="lv-LV"/>
              </w:rPr>
              <w:t xml:space="preserve"> LGA </w:t>
            </w:r>
            <w:r w:rsidR="00505C07">
              <w:rPr>
                <w:bCs/>
                <w:sz w:val="25"/>
                <w:szCs w:val="25"/>
                <w:lang w:val="lv-LV"/>
              </w:rPr>
              <w:t xml:space="preserve">ir </w:t>
            </w:r>
            <w:r w:rsidR="00BD6A47">
              <w:rPr>
                <w:bCs/>
                <w:sz w:val="25"/>
                <w:szCs w:val="25"/>
                <w:lang w:val="lv-LV"/>
              </w:rPr>
              <w:t>svītrota no komercreģistra</w:t>
            </w:r>
            <w:r w:rsidR="006B155B">
              <w:rPr>
                <w:bCs/>
                <w:sz w:val="25"/>
                <w:szCs w:val="25"/>
                <w:lang w:val="lv-LV"/>
              </w:rPr>
              <w:t>, un garantiju izsniegšanu MK noteikumu Nr.997 ietvaros turpin</w:t>
            </w:r>
            <w:r w:rsidR="00505C07">
              <w:rPr>
                <w:bCs/>
                <w:sz w:val="25"/>
                <w:szCs w:val="25"/>
                <w:lang w:val="lv-LV"/>
              </w:rPr>
              <w:t>a</w:t>
            </w:r>
            <w:r>
              <w:rPr>
                <w:bCs/>
                <w:sz w:val="25"/>
                <w:szCs w:val="25"/>
                <w:lang w:val="lv-LV"/>
              </w:rPr>
              <w:t xml:space="preserve"> </w:t>
            </w:r>
            <w:r w:rsidR="006B155B">
              <w:rPr>
                <w:bCs/>
                <w:sz w:val="25"/>
                <w:szCs w:val="25"/>
                <w:lang w:val="lv-LV"/>
              </w:rPr>
              <w:t>Attīstības finanšu institūcija kā</w:t>
            </w:r>
            <w:r w:rsidR="00BD6A47">
              <w:rPr>
                <w:bCs/>
                <w:sz w:val="25"/>
                <w:szCs w:val="25"/>
                <w:lang w:val="lv-LV"/>
              </w:rPr>
              <w:t xml:space="preserve"> LGA saistību un tiesību pār</w:t>
            </w:r>
            <w:r w:rsidR="00EE7983">
              <w:rPr>
                <w:bCs/>
                <w:sz w:val="25"/>
                <w:szCs w:val="25"/>
                <w:lang w:val="lv-LV"/>
              </w:rPr>
              <w:t>ņēmējs</w:t>
            </w:r>
            <w:r w:rsidR="00BD6A47">
              <w:rPr>
                <w:bCs/>
                <w:sz w:val="25"/>
                <w:szCs w:val="25"/>
                <w:lang w:val="lv-LV"/>
              </w:rPr>
              <w:t>. Ņemot vērā minēto,</w:t>
            </w:r>
            <w:r w:rsidR="006B155B">
              <w:rPr>
                <w:bCs/>
                <w:sz w:val="25"/>
                <w:szCs w:val="25"/>
                <w:lang w:val="lv-LV"/>
              </w:rPr>
              <w:t xml:space="preserve"> noteikumu projekts paredz no MK noteikumu Nr.997 normām svītrot atsauces uz LGA, tā vietā paredzot atsauces</w:t>
            </w:r>
            <w:r w:rsidR="00BD6A47">
              <w:rPr>
                <w:bCs/>
                <w:sz w:val="25"/>
                <w:szCs w:val="25"/>
                <w:lang w:val="lv-LV"/>
              </w:rPr>
              <w:t xml:space="preserve"> </w:t>
            </w:r>
            <w:r w:rsidR="006B155B">
              <w:rPr>
                <w:bCs/>
                <w:sz w:val="25"/>
                <w:szCs w:val="25"/>
                <w:lang w:val="lv-LV"/>
              </w:rPr>
              <w:t xml:space="preserve">uz Attīstības finanšu institūciju. </w:t>
            </w:r>
          </w:p>
          <w:p w:rsidR="00C431AB" w:rsidRDefault="00C431AB" w:rsidP="00175029">
            <w:pPr>
              <w:ind w:firstLine="567"/>
              <w:jc w:val="both"/>
              <w:rPr>
                <w:bCs/>
                <w:sz w:val="25"/>
                <w:szCs w:val="25"/>
                <w:lang w:val="lv-LV"/>
              </w:rPr>
            </w:pPr>
            <w:r>
              <w:rPr>
                <w:bCs/>
                <w:sz w:val="25"/>
                <w:szCs w:val="25"/>
                <w:lang w:val="lv-LV"/>
              </w:rPr>
              <w:t>Noteikumu projekts paredz redakcionālus grozījumus MK noteikumu Nr.997 10.punkta redakcijā, lai padarītu normu saimnieciskās darbības veicējiem vieglāk uztveramu.</w:t>
            </w:r>
          </w:p>
          <w:p w:rsidR="00016DB0" w:rsidRPr="00473656" w:rsidRDefault="00AD0D67" w:rsidP="00AD0D67">
            <w:pPr>
              <w:ind w:firstLine="567"/>
              <w:jc w:val="both"/>
              <w:rPr>
                <w:bCs/>
                <w:sz w:val="25"/>
                <w:szCs w:val="25"/>
                <w:lang w:val="lv-LV"/>
              </w:rPr>
            </w:pPr>
            <w:r w:rsidRPr="00AD0D67">
              <w:rPr>
                <w:bCs/>
                <w:sz w:val="25"/>
                <w:szCs w:val="25"/>
                <w:lang w:val="lv-LV"/>
              </w:rPr>
              <w:t xml:space="preserve">Garantiju pieteikumus, kas ir iesniegti pirms šo noteikumu spēkā stāšanās dienas, izskatīs saskaņā ar tiem normatīvajiem </w:t>
            </w:r>
            <w:r w:rsidRPr="00AD0D67">
              <w:rPr>
                <w:bCs/>
                <w:sz w:val="25"/>
                <w:szCs w:val="25"/>
                <w:lang w:val="lv-LV"/>
              </w:rPr>
              <w:lastRenderedPageBreak/>
              <w:t xml:space="preserve">aktiem, kas bija spēkā šo pieteikumu iesniegšanas dienā.   </w:t>
            </w:r>
          </w:p>
        </w:tc>
      </w:tr>
      <w:tr w:rsidR="00D11308" w:rsidRPr="00473656"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bCs/>
                <w:sz w:val="25"/>
                <w:szCs w:val="25"/>
                <w:lang w:val="lv-LV"/>
              </w:rPr>
            </w:pPr>
            <w:r w:rsidRPr="00473656">
              <w:rPr>
                <w:iCs/>
                <w:sz w:val="25"/>
                <w:szCs w:val="25"/>
                <w:lang w:val="lv-LV"/>
              </w:rPr>
              <w:t>Projekts šo jomu neskar</w:t>
            </w:r>
            <w:r w:rsidRPr="00473656">
              <w:rPr>
                <w:color w:val="000000"/>
                <w:sz w:val="25"/>
                <w:szCs w:val="25"/>
                <w:lang w:val="lv-LV"/>
              </w:rPr>
              <w:t xml:space="preserve">. </w:t>
            </w:r>
          </w:p>
        </w:tc>
      </w:tr>
      <w:tr w:rsidR="00D11308" w:rsidRPr="00473656"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0B5B6D" w:rsidRPr="00473656" w:rsidRDefault="00327BF6" w:rsidP="00C31ED2">
            <w:pPr>
              <w:jc w:val="both"/>
              <w:rPr>
                <w:iCs/>
                <w:sz w:val="25"/>
                <w:szCs w:val="25"/>
                <w:lang w:val="lv-LV"/>
              </w:rPr>
            </w:pPr>
            <w:r>
              <w:rPr>
                <w:iCs/>
                <w:sz w:val="25"/>
                <w:szCs w:val="25"/>
                <w:lang w:val="lv-LV"/>
              </w:rPr>
              <w:t>Nav.</w:t>
            </w:r>
          </w:p>
        </w:tc>
      </w:tr>
    </w:tbl>
    <w:p w:rsidR="00D11308" w:rsidRPr="00473656" w:rsidRDefault="00D11308" w:rsidP="00D11308">
      <w:pPr>
        <w:jc w:val="both"/>
        <w:rPr>
          <w:rFonts w:eastAsia="Times New Roman"/>
          <w:sz w:val="25"/>
          <w:szCs w:val="25"/>
          <w:lang w:val="lv-LV" w:eastAsia="lv-LV"/>
        </w:rPr>
        <w:sectPr w:rsidR="00D11308" w:rsidRPr="00473656"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C31ED2" w:rsidRPr="00473656" w:rsidRDefault="00C31ED2" w:rsidP="00D11308">
      <w:pPr>
        <w:jc w:val="both"/>
        <w:rPr>
          <w:rFonts w:eastAsia="Times New Roman"/>
          <w:sz w:val="25"/>
          <w:szCs w:val="25"/>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491A8C" w:rsidRPr="00491A8C" w:rsidTr="00AD7639">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center"/>
              <w:rPr>
                <w:b/>
                <w:sz w:val="25"/>
                <w:szCs w:val="25"/>
                <w:lang w:val="lv-LV"/>
              </w:rPr>
            </w:pPr>
            <w:r w:rsidRPr="00491A8C">
              <w:rPr>
                <w:b/>
                <w:sz w:val="25"/>
                <w:szCs w:val="25"/>
                <w:lang w:val="lv-LV"/>
              </w:rPr>
              <w:t>II. Tiesību akta projekta ietekme uz sabiedrību, tautsaimniecības attīstību un administratīvo slogu</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491A8C">
            <w:pPr>
              <w:jc w:val="both"/>
              <w:rPr>
                <w:sz w:val="25"/>
                <w:szCs w:val="25"/>
                <w:lang w:val="lv-LV"/>
              </w:rPr>
            </w:pPr>
            <w:r w:rsidRPr="00491A8C">
              <w:rPr>
                <w:sz w:val="25"/>
                <w:szCs w:val="25"/>
                <w:lang w:val="lv-LV"/>
              </w:rPr>
              <w:t>Sabiedrības mērķgrupas,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267243">
            <w:pPr>
              <w:ind w:firstLine="720"/>
              <w:jc w:val="both"/>
              <w:rPr>
                <w:sz w:val="25"/>
                <w:szCs w:val="25"/>
                <w:lang w:val="lv-LV"/>
              </w:rPr>
            </w:pPr>
            <w:r w:rsidRPr="00491A8C">
              <w:rPr>
                <w:sz w:val="25"/>
                <w:szCs w:val="25"/>
                <w:lang w:val="lv-LV"/>
              </w:rPr>
              <w:t>Latvijā reģistrēti saimnieciskās darbības veicēji</w:t>
            </w:r>
            <w:r w:rsidR="00327BF6">
              <w:rPr>
                <w:sz w:val="25"/>
                <w:szCs w:val="25"/>
                <w:lang w:val="lv-LV"/>
              </w:rPr>
              <w:t xml:space="preserve"> un Pilnvarotās personas, k</w:t>
            </w:r>
            <w:r w:rsidR="00267243">
              <w:rPr>
                <w:sz w:val="25"/>
                <w:szCs w:val="25"/>
                <w:lang w:val="lv-LV"/>
              </w:rPr>
              <w:t>uras</w:t>
            </w:r>
            <w:r w:rsidR="00327BF6">
              <w:rPr>
                <w:sz w:val="25"/>
                <w:szCs w:val="25"/>
                <w:lang w:val="lv-LV"/>
              </w:rPr>
              <w:t xml:space="preserve"> īsteno projektu</w:t>
            </w:r>
            <w:r w:rsidR="00F81B56">
              <w:rPr>
                <w:sz w:val="25"/>
                <w:szCs w:val="25"/>
                <w:lang w:val="lv-LV"/>
              </w:rPr>
              <w:t>s</w:t>
            </w:r>
            <w:r w:rsidR="00327BF6">
              <w:rPr>
                <w:sz w:val="25"/>
                <w:szCs w:val="25"/>
                <w:lang w:val="lv-LV"/>
              </w:rPr>
              <w:t xml:space="preserve"> 3.4.4.1.aktivitātes ietvaros</w:t>
            </w:r>
            <w:r w:rsidRPr="00491A8C">
              <w:rPr>
                <w:sz w:val="25"/>
                <w:szCs w:val="25"/>
                <w:lang w:val="lv-LV"/>
              </w:rPr>
              <w:t>.</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491A8C">
            <w:pPr>
              <w:jc w:val="both"/>
              <w:rPr>
                <w:sz w:val="25"/>
                <w:szCs w:val="25"/>
                <w:lang w:val="lv-LV"/>
              </w:rPr>
            </w:pPr>
            <w:r w:rsidRPr="00491A8C">
              <w:rPr>
                <w:sz w:val="25"/>
                <w:szCs w:val="25"/>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491A8C">
            <w:pPr>
              <w:ind w:right="142" w:firstLine="720"/>
              <w:jc w:val="both"/>
              <w:rPr>
                <w:sz w:val="25"/>
                <w:szCs w:val="25"/>
                <w:lang w:val="lv-LV"/>
              </w:rPr>
            </w:pPr>
            <w:r w:rsidRPr="00491A8C">
              <w:rPr>
                <w:sz w:val="25"/>
                <w:szCs w:val="25"/>
                <w:lang w:val="lv-LV"/>
              </w:rPr>
              <w:t>Noteikumu projekts neparedz ietekmi uz administratīvo slogu.</w:t>
            </w:r>
          </w:p>
          <w:p w:rsidR="00491A8C" w:rsidRPr="00491A8C" w:rsidRDefault="00491A8C" w:rsidP="00267243">
            <w:pPr>
              <w:ind w:right="142" w:firstLine="720"/>
              <w:jc w:val="both"/>
              <w:rPr>
                <w:sz w:val="25"/>
                <w:szCs w:val="25"/>
                <w:lang w:val="lv-LV"/>
              </w:rPr>
            </w:pPr>
            <w:r w:rsidRPr="00491A8C">
              <w:rPr>
                <w:sz w:val="25"/>
                <w:szCs w:val="25"/>
                <w:lang w:val="lv-LV"/>
              </w:rPr>
              <w:t xml:space="preserve">Noteikumu projekts sniedz ieguldījumu tautsaimniecībā, </w:t>
            </w:r>
            <w:r w:rsidR="00267243">
              <w:rPr>
                <w:sz w:val="25"/>
                <w:szCs w:val="25"/>
                <w:lang w:val="lv-LV"/>
              </w:rPr>
              <w:t>jo aizdevumu garantiju pieejamība nodrošina</w:t>
            </w:r>
            <w:r w:rsidR="00F81B56">
              <w:rPr>
                <w:sz w:val="25"/>
                <w:szCs w:val="25"/>
                <w:lang w:val="lv-LV"/>
              </w:rPr>
              <w:t xml:space="preserve"> </w:t>
            </w:r>
            <w:r w:rsidR="00267243">
              <w:rPr>
                <w:sz w:val="25"/>
                <w:szCs w:val="25"/>
                <w:lang w:val="lv-LV"/>
              </w:rPr>
              <w:t xml:space="preserve">iespēju piesaistīt komercbanku aizdevumu </w:t>
            </w:r>
            <w:r w:rsidRPr="00473656">
              <w:rPr>
                <w:sz w:val="25"/>
                <w:szCs w:val="25"/>
                <w:lang w:val="lv-LV"/>
              </w:rPr>
              <w:t xml:space="preserve">saimnieciskās darbības veicējiem </w:t>
            </w:r>
            <w:r w:rsidR="00267243">
              <w:rPr>
                <w:sz w:val="25"/>
                <w:szCs w:val="25"/>
                <w:lang w:val="lv-LV"/>
              </w:rPr>
              <w:t xml:space="preserve">projektu realizēšanai </w:t>
            </w:r>
            <w:r w:rsidR="00F81B56">
              <w:rPr>
                <w:sz w:val="25"/>
                <w:szCs w:val="25"/>
                <w:lang w:val="lv-LV"/>
              </w:rPr>
              <w:t xml:space="preserve">un </w:t>
            </w:r>
            <w:r w:rsidR="00F81B56" w:rsidRPr="00F81B56">
              <w:rPr>
                <w:sz w:val="25"/>
                <w:szCs w:val="25"/>
                <w:lang w:val="lv-LV"/>
              </w:rPr>
              <w:t>Pilnvarotā</w:t>
            </w:r>
            <w:r w:rsidR="00F81B56">
              <w:rPr>
                <w:sz w:val="25"/>
                <w:szCs w:val="25"/>
                <w:lang w:val="lv-LV"/>
              </w:rPr>
              <w:t>m</w:t>
            </w:r>
            <w:r w:rsidR="00F81B56" w:rsidRPr="00F81B56">
              <w:rPr>
                <w:sz w:val="25"/>
                <w:szCs w:val="25"/>
                <w:lang w:val="lv-LV"/>
              </w:rPr>
              <w:t xml:space="preserve"> person</w:t>
            </w:r>
            <w:r w:rsidR="00F81B56">
              <w:rPr>
                <w:sz w:val="25"/>
                <w:szCs w:val="25"/>
                <w:lang w:val="lv-LV"/>
              </w:rPr>
              <w:t>ām</w:t>
            </w:r>
            <w:r w:rsidR="00F81B56" w:rsidRPr="00F81B56">
              <w:rPr>
                <w:sz w:val="25"/>
                <w:szCs w:val="25"/>
                <w:lang w:val="lv-LV"/>
              </w:rPr>
              <w:t xml:space="preserve"> projektu 3.4.4.1.aktivitāt</w:t>
            </w:r>
            <w:r w:rsidR="00267243">
              <w:rPr>
                <w:sz w:val="25"/>
                <w:szCs w:val="25"/>
                <w:lang w:val="lv-LV"/>
              </w:rPr>
              <w:t>ē īstenošanai.</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ind w:right="142" w:firstLine="720"/>
              <w:jc w:val="both"/>
              <w:rPr>
                <w:sz w:val="25"/>
                <w:szCs w:val="25"/>
                <w:lang w:val="lv-LV"/>
              </w:rPr>
            </w:pPr>
            <w:r w:rsidRPr="00491A8C">
              <w:rPr>
                <w:sz w:val="25"/>
                <w:szCs w:val="25"/>
                <w:lang w:val="lv-LV"/>
              </w:rPr>
              <w:t>Projekts šo jomu neskar.</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ind w:firstLine="720"/>
              <w:jc w:val="both"/>
              <w:rPr>
                <w:sz w:val="25"/>
                <w:szCs w:val="25"/>
                <w:lang w:val="lv-LV"/>
              </w:rPr>
            </w:pPr>
            <w:r w:rsidRPr="00491A8C">
              <w:rPr>
                <w:sz w:val="25"/>
                <w:szCs w:val="25"/>
                <w:lang w:val="lv-LV"/>
              </w:rPr>
              <w:t>Nav</w:t>
            </w:r>
            <w:r w:rsidR="00F81B56">
              <w:rPr>
                <w:sz w:val="25"/>
                <w:szCs w:val="25"/>
                <w:lang w:val="lv-LV"/>
              </w:rPr>
              <w:t>.</w:t>
            </w:r>
          </w:p>
        </w:tc>
      </w:tr>
    </w:tbl>
    <w:p w:rsidR="00491A8C" w:rsidRPr="00473656" w:rsidRDefault="00491A8C" w:rsidP="00D11308">
      <w:pPr>
        <w:jc w:val="both"/>
        <w:rPr>
          <w:rFonts w:eastAsia="Times New Roman"/>
          <w:sz w:val="25"/>
          <w:szCs w:val="25"/>
          <w:lang w:val="lv-LV" w:eastAsia="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0"/>
        <w:gridCol w:w="1612"/>
        <w:gridCol w:w="358"/>
        <w:gridCol w:w="665"/>
        <w:gridCol w:w="694"/>
        <w:gridCol w:w="1433"/>
        <w:gridCol w:w="898"/>
        <w:gridCol w:w="2914"/>
      </w:tblGrid>
      <w:tr w:rsidR="00491A8C" w:rsidRPr="00491A8C" w:rsidTr="00AD7639">
        <w:trPr>
          <w:tblCellSpacing w:w="15" w:type="dxa"/>
        </w:trPr>
        <w:tc>
          <w:tcPr>
            <w:tcW w:w="4966" w:type="pct"/>
            <w:gridSpan w:val="8"/>
            <w:shd w:val="clear" w:color="auto" w:fill="auto"/>
            <w:hideMark/>
          </w:tcPr>
          <w:p w:rsidR="00491A8C" w:rsidRPr="00491A8C" w:rsidRDefault="00491A8C" w:rsidP="00491A8C">
            <w:pPr>
              <w:jc w:val="center"/>
              <w:rPr>
                <w:rFonts w:eastAsia="Times New Roman"/>
                <w:b/>
                <w:bCs/>
                <w:sz w:val="25"/>
                <w:szCs w:val="25"/>
                <w:lang w:val="lv-LV" w:eastAsia="lv-LV"/>
              </w:rPr>
            </w:pPr>
            <w:r w:rsidRPr="00491A8C">
              <w:rPr>
                <w:rFonts w:eastAsia="Times New Roman"/>
                <w:b/>
                <w:bCs/>
                <w:sz w:val="25"/>
                <w:szCs w:val="25"/>
                <w:lang w:val="lv-LV" w:eastAsia="lv-LV"/>
              </w:rPr>
              <w:t>V. Tiesību akta projekta atbilstība Latvijas Republikas starptautiskajām saistībām</w:t>
            </w:r>
          </w:p>
        </w:tc>
      </w:tr>
      <w:tr w:rsidR="00491A8C" w:rsidRPr="00491A8C" w:rsidTr="001A4ACA">
        <w:trPr>
          <w:tblCellSpacing w:w="15" w:type="dxa"/>
        </w:trPr>
        <w:tc>
          <w:tcPr>
            <w:tcW w:w="182" w:type="pct"/>
            <w:shd w:val="clear" w:color="auto" w:fill="auto"/>
            <w:hideMark/>
          </w:tcPr>
          <w:p w:rsidR="00491A8C" w:rsidRPr="00491A8C" w:rsidRDefault="00491A8C" w:rsidP="00491A8C">
            <w:pPr>
              <w:jc w:val="center"/>
              <w:rPr>
                <w:rFonts w:eastAsia="Times New Roman"/>
                <w:sz w:val="25"/>
                <w:szCs w:val="25"/>
                <w:lang w:val="lv-LV" w:eastAsia="lv-LV"/>
              </w:rPr>
            </w:pPr>
            <w:r w:rsidRPr="00491A8C">
              <w:rPr>
                <w:rFonts w:eastAsia="Times New Roman"/>
                <w:sz w:val="25"/>
                <w:szCs w:val="25"/>
                <w:lang w:val="lv-LV" w:eastAsia="lv-LV"/>
              </w:rPr>
              <w:t>1.</w:t>
            </w:r>
          </w:p>
        </w:tc>
        <w:tc>
          <w:tcPr>
            <w:tcW w:w="1102"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Saistības pret Eiropas Savienību</w:t>
            </w:r>
          </w:p>
        </w:tc>
        <w:tc>
          <w:tcPr>
            <w:tcW w:w="3649" w:type="pct"/>
            <w:gridSpan w:val="5"/>
            <w:shd w:val="clear" w:color="auto" w:fill="auto"/>
            <w:hideMark/>
          </w:tcPr>
          <w:p w:rsidR="00491A8C" w:rsidRPr="00491A8C" w:rsidRDefault="00BF0CB0" w:rsidP="002A6A9D">
            <w:pPr>
              <w:ind w:firstLine="364"/>
              <w:jc w:val="both"/>
              <w:rPr>
                <w:sz w:val="25"/>
                <w:szCs w:val="25"/>
                <w:lang w:val="lv-LV"/>
              </w:rPr>
            </w:pPr>
            <w:r w:rsidRPr="00BF0CB0">
              <w:rPr>
                <w:sz w:val="25"/>
                <w:szCs w:val="25"/>
                <w:lang w:val="lv-LV"/>
              </w:rPr>
              <w:t xml:space="preserve">Komisijas 2013. gada 18. decembra Regula (ES) Nr.1407/2013 par Līguma par Eiropas Savienības darbību 107. un 108. panta piemērošanu </w:t>
            </w:r>
            <w:r w:rsidRPr="00BF0CB0">
              <w:rPr>
                <w:i/>
                <w:sz w:val="25"/>
                <w:szCs w:val="25"/>
                <w:lang w:val="lv-LV"/>
              </w:rPr>
              <w:t>de minimis</w:t>
            </w:r>
            <w:r w:rsidRPr="00BF0CB0">
              <w:rPr>
                <w:sz w:val="25"/>
                <w:szCs w:val="25"/>
                <w:lang w:val="lv-LV"/>
              </w:rPr>
              <w:t xml:space="preserve"> atbalstam</w:t>
            </w:r>
            <w:r>
              <w:rPr>
                <w:sz w:val="25"/>
                <w:szCs w:val="25"/>
                <w:lang w:val="lv-LV"/>
              </w:rPr>
              <w:t>.</w:t>
            </w:r>
          </w:p>
        </w:tc>
      </w:tr>
      <w:tr w:rsidR="00491A8C" w:rsidRPr="00491A8C" w:rsidTr="001A4ACA">
        <w:trPr>
          <w:tblCellSpacing w:w="15" w:type="dxa"/>
        </w:trPr>
        <w:tc>
          <w:tcPr>
            <w:tcW w:w="182" w:type="pct"/>
            <w:shd w:val="clear" w:color="auto" w:fill="auto"/>
            <w:hideMark/>
          </w:tcPr>
          <w:p w:rsidR="00491A8C" w:rsidRPr="00491A8C" w:rsidRDefault="00491A8C" w:rsidP="00491A8C">
            <w:pPr>
              <w:jc w:val="center"/>
              <w:rPr>
                <w:rFonts w:eastAsia="Times New Roman"/>
                <w:sz w:val="25"/>
                <w:szCs w:val="25"/>
                <w:lang w:val="lv-LV" w:eastAsia="lv-LV"/>
              </w:rPr>
            </w:pPr>
            <w:r w:rsidRPr="00491A8C">
              <w:rPr>
                <w:rFonts w:eastAsia="Times New Roman"/>
                <w:sz w:val="25"/>
                <w:szCs w:val="25"/>
                <w:lang w:val="lv-LV" w:eastAsia="lv-LV"/>
              </w:rPr>
              <w:t>2.</w:t>
            </w:r>
          </w:p>
        </w:tc>
        <w:tc>
          <w:tcPr>
            <w:tcW w:w="1102"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Citas starptautiskās saistības</w:t>
            </w:r>
          </w:p>
        </w:tc>
        <w:tc>
          <w:tcPr>
            <w:tcW w:w="3649" w:type="pct"/>
            <w:gridSpan w:val="5"/>
            <w:shd w:val="clear" w:color="auto" w:fill="auto"/>
            <w:hideMark/>
          </w:tcPr>
          <w:p w:rsidR="00491A8C" w:rsidRPr="00491A8C" w:rsidRDefault="00491A8C" w:rsidP="00491A8C">
            <w:pPr>
              <w:ind w:firstLine="341"/>
              <w:jc w:val="both"/>
              <w:rPr>
                <w:rFonts w:eastAsia="Times New Roman"/>
                <w:sz w:val="25"/>
                <w:szCs w:val="25"/>
                <w:lang w:val="lv-LV" w:eastAsia="lv-LV"/>
              </w:rPr>
            </w:pPr>
            <w:r w:rsidRPr="00491A8C">
              <w:rPr>
                <w:rFonts w:eastAsia="Times New Roman"/>
                <w:sz w:val="25"/>
                <w:szCs w:val="25"/>
                <w:lang w:val="lv-LV" w:eastAsia="lv-LV"/>
              </w:rPr>
              <w:t>Projekts šo jomu neskar.</w:t>
            </w:r>
          </w:p>
        </w:tc>
      </w:tr>
      <w:tr w:rsidR="00491A8C" w:rsidRPr="00491A8C" w:rsidTr="00505C07">
        <w:trPr>
          <w:tblCellSpacing w:w="15" w:type="dxa"/>
        </w:trPr>
        <w:tc>
          <w:tcPr>
            <w:tcW w:w="182" w:type="pct"/>
            <w:shd w:val="clear" w:color="auto" w:fill="auto"/>
            <w:hideMark/>
          </w:tcPr>
          <w:p w:rsidR="00491A8C" w:rsidRPr="00491A8C" w:rsidRDefault="00491A8C" w:rsidP="00491A8C">
            <w:pPr>
              <w:jc w:val="center"/>
              <w:rPr>
                <w:rFonts w:eastAsia="Times New Roman"/>
                <w:sz w:val="25"/>
                <w:szCs w:val="25"/>
                <w:lang w:val="lv-LV" w:eastAsia="lv-LV"/>
              </w:rPr>
            </w:pPr>
            <w:r w:rsidRPr="00491A8C">
              <w:rPr>
                <w:rFonts w:eastAsia="Times New Roman"/>
                <w:sz w:val="25"/>
                <w:szCs w:val="25"/>
                <w:lang w:val="lv-LV" w:eastAsia="lv-LV"/>
              </w:rPr>
              <w:t>3.</w:t>
            </w:r>
          </w:p>
        </w:tc>
        <w:tc>
          <w:tcPr>
            <w:tcW w:w="1102"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Cita informācija</w:t>
            </w:r>
          </w:p>
        </w:tc>
        <w:tc>
          <w:tcPr>
            <w:tcW w:w="3649" w:type="pct"/>
            <w:gridSpan w:val="5"/>
            <w:shd w:val="clear" w:color="auto" w:fill="auto"/>
            <w:hideMark/>
          </w:tcPr>
          <w:p w:rsidR="00491A8C" w:rsidRPr="00491A8C" w:rsidRDefault="00491A8C" w:rsidP="00491A8C">
            <w:pPr>
              <w:ind w:firstLine="341"/>
              <w:jc w:val="both"/>
              <w:rPr>
                <w:rFonts w:eastAsia="Times New Roman"/>
                <w:sz w:val="25"/>
                <w:szCs w:val="25"/>
                <w:lang w:val="lv-LV" w:eastAsia="lv-LV"/>
              </w:rPr>
            </w:pPr>
            <w:r w:rsidRPr="00491A8C">
              <w:rPr>
                <w:rFonts w:eastAsia="Times New Roman"/>
                <w:sz w:val="25"/>
                <w:szCs w:val="25"/>
                <w:lang w:val="lv-LV" w:eastAsia="lv-LV"/>
              </w:rPr>
              <w:t>Izstrādājot noteikumu projektu, ir ņemtas vērā Kopienas 2014.gada Pamatnostādnes.</w:t>
            </w:r>
          </w:p>
          <w:p w:rsidR="00491A8C" w:rsidRDefault="00491A8C" w:rsidP="00F81B56">
            <w:pPr>
              <w:ind w:firstLine="341"/>
              <w:jc w:val="both"/>
              <w:rPr>
                <w:rFonts w:eastAsia="Times New Roman"/>
                <w:sz w:val="25"/>
                <w:szCs w:val="25"/>
                <w:lang w:val="lv-LV" w:eastAsia="lv-LV"/>
              </w:rPr>
            </w:pPr>
            <w:r w:rsidRPr="00491A8C">
              <w:rPr>
                <w:rFonts w:eastAsia="Times New Roman"/>
                <w:sz w:val="25"/>
                <w:szCs w:val="25"/>
                <w:lang w:val="lv-LV" w:eastAsia="lv-LV"/>
              </w:rPr>
              <w:t xml:space="preserve">Noteikumu projekta </w:t>
            </w:r>
            <w:r w:rsidR="002D0489">
              <w:rPr>
                <w:rFonts w:eastAsia="Times New Roman"/>
                <w:sz w:val="25"/>
                <w:szCs w:val="25"/>
                <w:lang w:val="lv-LV" w:eastAsia="lv-LV"/>
              </w:rPr>
              <w:t>6.</w:t>
            </w:r>
            <w:r w:rsidRPr="00491A8C">
              <w:rPr>
                <w:rFonts w:eastAsia="Times New Roman"/>
                <w:sz w:val="25"/>
                <w:szCs w:val="25"/>
                <w:lang w:val="lv-LV" w:eastAsia="lv-LV"/>
              </w:rPr>
              <w:t>punkts</w:t>
            </w:r>
            <w:r w:rsidR="002D0489">
              <w:rPr>
                <w:rFonts w:eastAsia="Times New Roman"/>
                <w:sz w:val="25"/>
                <w:szCs w:val="25"/>
                <w:lang w:val="lv-LV" w:eastAsia="lv-LV"/>
              </w:rPr>
              <w:t xml:space="preserve"> un 9.punkts</w:t>
            </w:r>
            <w:r w:rsidRPr="00491A8C">
              <w:rPr>
                <w:rFonts w:eastAsia="Times New Roman"/>
                <w:sz w:val="25"/>
                <w:szCs w:val="25"/>
                <w:lang w:val="lv-LV" w:eastAsia="lv-LV"/>
              </w:rPr>
              <w:t xml:space="preserve"> ir izstrādāts atbilstoši Kopienas 2014.gada Pamatnostādņu 20.punktam.</w:t>
            </w:r>
          </w:p>
          <w:p w:rsidR="002D0489" w:rsidRDefault="002D0489" w:rsidP="00F81B56">
            <w:pPr>
              <w:ind w:firstLine="341"/>
              <w:jc w:val="both"/>
              <w:rPr>
                <w:rFonts w:eastAsia="Times New Roman"/>
                <w:sz w:val="25"/>
                <w:szCs w:val="25"/>
                <w:lang w:val="lv-LV" w:eastAsia="lv-LV"/>
              </w:rPr>
            </w:pPr>
            <w:r>
              <w:rPr>
                <w:rFonts w:eastAsia="Times New Roman"/>
                <w:sz w:val="25"/>
                <w:szCs w:val="25"/>
                <w:lang w:val="lv-LV" w:eastAsia="lv-LV"/>
              </w:rPr>
              <w:t>Noteikumu projekta 10.punkts ir izstrādāts atbilstoši Kopienas 2014.gada Pamatnostādņu 24.punktam.</w:t>
            </w:r>
          </w:p>
          <w:p w:rsidR="0058422C" w:rsidRPr="00491A8C" w:rsidRDefault="0058422C" w:rsidP="0058422C">
            <w:pPr>
              <w:ind w:firstLine="341"/>
              <w:jc w:val="both"/>
              <w:rPr>
                <w:rFonts w:eastAsia="Times New Roman"/>
                <w:sz w:val="25"/>
                <w:szCs w:val="25"/>
                <w:lang w:val="lv-LV" w:eastAsia="lv-LV"/>
              </w:rPr>
            </w:pPr>
            <w:r>
              <w:rPr>
                <w:rFonts w:eastAsia="Times New Roman"/>
                <w:sz w:val="25"/>
                <w:szCs w:val="25"/>
                <w:lang w:val="lv-LV" w:eastAsia="lv-LV"/>
              </w:rPr>
              <w:t xml:space="preserve">Atbalsts saimnieciskās darbības veicējiem tiek sniegts, ievērojot Komisijas paziņojumā par EK līguma 87. un 88.panta piemērošanu valsts atbalstam garantiju veidā (2008/C 155/02) </w:t>
            </w:r>
            <w:r w:rsidRPr="0058422C">
              <w:rPr>
                <w:rFonts w:eastAsia="Times New Roman"/>
                <w:sz w:val="25"/>
                <w:szCs w:val="25"/>
                <w:lang w:val="lv-LV" w:eastAsia="lv-LV"/>
              </w:rPr>
              <w:t>noteikto</w:t>
            </w:r>
            <w:r>
              <w:rPr>
                <w:rFonts w:eastAsia="Times New Roman"/>
                <w:sz w:val="25"/>
                <w:szCs w:val="25"/>
                <w:lang w:val="lv-LV" w:eastAsia="lv-LV"/>
              </w:rPr>
              <w:t>.</w:t>
            </w:r>
          </w:p>
        </w:tc>
      </w:tr>
      <w:tr w:rsidR="00491A8C" w:rsidRPr="00491A8C" w:rsidTr="00AD7639">
        <w:trPr>
          <w:tblCellSpacing w:w="15" w:type="dxa"/>
        </w:trPr>
        <w:tc>
          <w:tcPr>
            <w:tcW w:w="4966" w:type="pct"/>
            <w:gridSpan w:val="8"/>
            <w:shd w:val="clear" w:color="auto" w:fill="auto"/>
            <w:vAlign w:val="center"/>
            <w:hideMark/>
          </w:tcPr>
          <w:p w:rsidR="00491A8C" w:rsidRPr="00491A8C" w:rsidRDefault="00491A8C" w:rsidP="00491A8C">
            <w:pPr>
              <w:jc w:val="center"/>
              <w:rPr>
                <w:rFonts w:eastAsia="Times New Roman"/>
                <w:b/>
                <w:bCs/>
                <w:sz w:val="25"/>
                <w:szCs w:val="25"/>
                <w:lang w:val="lv-LV" w:eastAsia="lv-LV"/>
              </w:rPr>
            </w:pPr>
            <w:r w:rsidRPr="00491A8C">
              <w:rPr>
                <w:rFonts w:eastAsia="Times New Roman"/>
                <w:b/>
                <w:bCs/>
                <w:sz w:val="25"/>
                <w:szCs w:val="25"/>
                <w:lang w:val="lv-LV" w:eastAsia="lv-LV"/>
              </w:rPr>
              <w:t>1.tabula</w:t>
            </w:r>
            <w:r w:rsidRPr="00491A8C">
              <w:rPr>
                <w:rFonts w:eastAsia="Times New Roman"/>
                <w:b/>
                <w:bCs/>
                <w:sz w:val="25"/>
                <w:szCs w:val="25"/>
                <w:lang w:val="lv-LV" w:eastAsia="lv-LV"/>
              </w:rPr>
              <w:br/>
            </w:r>
            <w:r w:rsidRPr="00491A8C">
              <w:rPr>
                <w:rFonts w:eastAsia="Times New Roman"/>
                <w:b/>
                <w:bCs/>
                <w:sz w:val="25"/>
                <w:szCs w:val="25"/>
                <w:lang w:val="lv-LV" w:eastAsia="lv-LV"/>
              </w:rPr>
              <w:lastRenderedPageBreak/>
              <w:t>Tiesību akta projekta atbilstība ES tiesību aktiem</w:t>
            </w:r>
          </w:p>
        </w:tc>
      </w:tr>
      <w:tr w:rsidR="00491A8C" w:rsidRPr="00491A8C" w:rsidTr="001A4ACA">
        <w:trPr>
          <w:tblCellSpacing w:w="15" w:type="dxa"/>
        </w:trPr>
        <w:tc>
          <w:tcPr>
            <w:tcW w:w="1092"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lastRenderedPageBreak/>
              <w:t>Attiecīgā ES tiesību akta datums, numurs un nosaukums</w:t>
            </w:r>
          </w:p>
        </w:tc>
        <w:tc>
          <w:tcPr>
            <w:tcW w:w="3857" w:type="pct"/>
            <w:gridSpan w:val="6"/>
            <w:shd w:val="clear" w:color="auto" w:fill="auto"/>
            <w:vAlign w:val="center"/>
            <w:hideMark/>
          </w:tcPr>
          <w:p w:rsidR="00491A8C" w:rsidRPr="00491A8C" w:rsidRDefault="00034B14" w:rsidP="00491A8C">
            <w:pPr>
              <w:spacing w:after="120"/>
              <w:jc w:val="both"/>
              <w:rPr>
                <w:sz w:val="25"/>
                <w:szCs w:val="25"/>
                <w:lang w:val="lv-LV"/>
              </w:rPr>
            </w:pPr>
            <w:r>
              <w:rPr>
                <w:bCs/>
                <w:sz w:val="25"/>
                <w:szCs w:val="25"/>
                <w:lang w:val="lv-LV"/>
              </w:rPr>
              <w:t>Projekts šo jomu neskar.</w:t>
            </w:r>
          </w:p>
        </w:tc>
      </w:tr>
      <w:tr w:rsidR="00491A8C" w:rsidRPr="00491A8C" w:rsidTr="001A4ACA">
        <w:trPr>
          <w:tblCellSpacing w:w="15" w:type="dxa"/>
        </w:trPr>
        <w:tc>
          <w:tcPr>
            <w:tcW w:w="1092"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A</w:t>
            </w:r>
          </w:p>
        </w:tc>
        <w:tc>
          <w:tcPr>
            <w:tcW w:w="943" w:type="pct"/>
            <w:gridSpan w:val="3"/>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B</w:t>
            </w:r>
          </w:p>
        </w:tc>
        <w:tc>
          <w:tcPr>
            <w:tcW w:w="784" w:type="pct"/>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w:t>
            </w:r>
          </w:p>
        </w:tc>
        <w:tc>
          <w:tcPr>
            <w:tcW w:w="2097"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D</w:t>
            </w:r>
          </w:p>
        </w:tc>
      </w:tr>
      <w:tr w:rsidR="00491A8C" w:rsidRPr="00491A8C" w:rsidTr="001A4ACA">
        <w:trPr>
          <w:tblCellSpacing w:w="15" w:type="dxa"/>
        </w:trPr>
        <w:tc>
          <w:tcPr>
            <w:tcW w:w="1092"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 xml:space="preserve">Attiecīgā ES tiesību akta panta numurs (uzskaitot katru tiesību akta </w:t>
            </w:r>
            <w:r w:rsidRPr="00491A8C">
              <w:rPr>
                <w:rFonts w:eastAsia="Times New Roman"/>
                <w:sz w:val="25"/>
                <w:szCs w:val="25"/>
                <w:lang w:val="lv-LV" w:eastAsia="lv-LV"/>
              </w:rPr>
              <w:br/>
              <w:t>vienību – pantu, daļu, punktu, apakšpunktu)</w:t>
            </w:r>
          </w:p>
        </w:tc>
        <w:tc>
          <w:tcPr>
            <w:tcW w:w="943" w:type="pct"/>
            <w:gridSpan w:val="3"/>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Projekta vienība, kas pārņem vai ievieš katru šīs tabulas A ailē minēto ES tiesību akta vienību</w:t>
            </w:r>
          </w:p>
        </w:tc>
        <w:tc>
          <w:tcPr>
            <w:tcW w:w="784" w:type="pct"/>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Informācija par to, vai šīs tabulas A ailē minētās ES tiesību akta vienības tiek pārņemtas vai ieviestas pilnībā vai daļēji.</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Ja attiecīgā ES tiesību akta vienība tiek pārņemta vai ieviesta daļēji, – sniedz attiecīgu skaidrojumu, kā arī precīzi norāda, kad un kādā veidā ES tiesību akta vienība tiks pārņemta vai ieviesta pilnībā.</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Norāda institūciju, kas ir atbildīga par šo saistību izpildi pilnībā</w:t>
            </w:r>
          </w:p>
        </w:tc>
        <w:tc>
          <w:tcPr>
            <w:tcW w:w="2097"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Informācija par to, vai šīs tabulas B ailē minētās projekta vienības paredz stingrākas prasības nekā šīs tabulas A ailē minētās ES tiesību akta vienības.</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491A8C">
                <w:rPr>
                  <w:rFonts w:eastAsia="Times New Roman"/>
                  <w:sz w:val="25"/>
                  <w:szCs w:val="25"/>
                  <w:lang w:val="lv-LV" w:eastAsia="lv-LV"/>
                </w:rPr>
                <w:t>akts</w:t>
              </w:r>
            </w:smartTag>
            <w:r w:rsidRPr="00491A8C">
              <w:rPr>
                <w:rFonts w:eastAsia="Times New Roman"/>
                <w:sz w:val="25"/>
                <w:szCs w:val="25"/>
                <w:lang w:val="lv-LV" w:eastAsia="lv-LV"/>
              </w:rPr>
              <w:t>, – norāda pamatojumu un samērīgumu.</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E0C96" w:rsidRPr="00491A8C" w:rsidTr="001A4ACA">
        <w:trPr>
          <w:tblCellSpacing w:w="15" w:type="dxa"/>
        </w:trPr>
        <w:tc>
          <w:tcPr>
            <w:tcW w:w="1092" w:type="pct"/>
            <w:gridSpan w:val="2"/>
            <w:shd w:val="clear" w:color="auto" w:fill="auto"/>
          </w:tcPr>
          <w:p w:rsidR="004060AA" w:rsidRPr="001A4ACA" w:rsidRDefault="004060AA" w:rsidP="004060AA">
            <w:pPr>
              <w:pStyle w:val="naiskr"/>
              <w:spacing w:before="0" w:after="0"/>
              <w:jc w:val="both"/>
              <w:rPr>
                <w:sz w:val="25"/>
                <w:szCs w:val="25"/>
              </w:rPr>
            </w:pPr>
            <w:r w:rsidRPr="001A4ACA">
              <w:rPr>
                <w:sz w:val="25"/>
                <w:szCs w:val="25"/>
              </w:rPr>
              <w:t xml:space="preserve">Komisijas Regulas </w:t>
            </w:r>
            <w:r w:rsidRPr="001A4ACA">
              <w:rPr>
                <w:sz w:val="25"/>
                <w:szCs w:val="25"/>
              </w:rPr>
              <w:lastRenderedPageBreak/>
              <w:t xml:space="preserve">Nr.1407/2013 </w:t>
            </w:r>
          </w:p>
          <w:p w:rsidR="008E0C96" w:rsidRPr="00491A8C" w:rsidRDefault="004060AA" w:rsidP="004060AA">
            <w:pPr>
              <w:jc w:val="both"/>
              <w:rPr>
                <w:rFonts w:eastAsia="Times New Roman"/>
                <w:sz w:val="25"/>
                <w:szCs w:val="25"/>
                <w:lang w:val="lv-LV" w:eastAsia="lv-LV"/>
              </w:rPr>
            </w:pPr>
            <w:r w:rsidRPr="001A4ACA">
              <w:rPr>
                <w:rFonts w:eastAsia="Times New Roman"/>
                <w:sz w:val="25"/>
                <w:szCs w:val="25"/>
                <w:lang w:val="lv-LV" w:eastAsia="lv-LV"/>
              </w:rPr>
              <w:t>4.panta 6.punkta b) apakšpunkts</w:t>
            </w:r>
          </w:p>
        </w:tc>
        <w:tc>
          <w:tcPr>
            <w:tcW w:w="943" w:type="pct"/>
            <w:gridSpan w:val="3"/>
            <w:shd w:val="clear" w:color="auto" w:fill="auto"/>
          </w:tcPr>
          <w:p w:rsidR="008E0C96" w:rsidRPr="00491A8C" w:rsidRDefault="004060AA" w:rsidP="00491A8C">
            <w:pPr>
              <w:jc w:val="both"/>
              <w:rPr>
                <w:rFonts w:eastAsia="Times New Roman"/>
                <w:sz w:val="25"/>
                <w:szCs w:val="25"/>
                <w:lang w:val="lv-LV" w:eastAsia="lv-LV"/>
              </w:rPr>
            </w:pPr>
            <w:r>
              <w:rPr>
                <w:rFonts w:eastAsia="Times New Roman"/>
                <w:sz w:val="25"/>
                <w:szCs w:val="25"/>
                <w:lang w:val="lv-LV" w:eastAsia="lv-LV"/>
              </w:rPr>
              <w:lastRenderedPageBreak/>
              <w:t xml:space="preserve">Noteikumu projekta </w:t>
            </w:r>
            <w:r>
              <w:rPr>
                <w:rFonts w:eastAsia="Times New Roman"/>
                <w:sz w:val="25"/>
                <w:szCs w:val="25"/>
                <w:lang w:val="lv-LV" w:eastAsia="lv-LV"/>
              </w:rPr>
              <w:lastRenderedPageBreak/>
              <w:t>12.punkts</w:t>
            </w:r>
          </w:p>
        </w:tc>
        <w:tc>
          <w:tcPr>
            <w:tcW w:w="784" w:type="pct"/>
            <w:shd w:val="clear" w:color="auto" w:fill="auto"/>
          </w:tcPr>
          <w:p w:rsidR="008E0C96" w:rsidRPr="00491A8C" w:rsidRDefault="004060AA" w:rsidP="00491A8C">
            <w:pPr>
              <w:jc w:val="both"/>
              <w:rPr>
                <w:rFonts w:eastAsia="Times New Roman"/>
                <w:sz w:val="25"/>
                <w:szCs w:val="25"/>
                <w:lang w:val="lv-LV" w:eastAsia="lv-LV"/>
              </w:rPr>
            </w:pPr>
            <w:r>
              <w:rPr>
                <w:rFonts w:eastAsia="Times New Roman"/>
                <w:sz w:val="25"/>
                <w:szCs w:val="25"/>
                <w:lang w:val="lv-LV" w:eastAsia="lv-LV"/>
              </w:rPr>
              <w:lastRenderedPageBreak/>
              <w:t>Ieviests pilnībā</w:t>
            </w:r>
          </w:p>
        </w:tc>
        <w:tc>
          <w:tcPr>
            <w:tcW w:w="2097" w:type="pct"/>
            <w:gridSpan w:val="2"/>
            <w:shd w:val="clear" w:color="auto" w:fill="auto"/>
          </w:tcPr>
          <w:p w:rsidR="008E0C96" w:rsidRPr="00491A8C" w:rsidRDefault="004060AA" w:rsidP="00491A8C">
            <w:pPr>
              <w:jc w:val="both"/>
              <w:rPr>
                <w:rFonts w:eastAsia="Times New Roman"/>
                <w:sz w:val="25"/>
                <w:szCs w:val="25"/>
                <w:lang w:val="lv-LV" w:eastAsia="lv-LV"/>
              </w:rPr>
            </w:pPr>
            <w:r>
              <w:rPr>
                <w:rFonts w:eastAsia="Times New Roman"/>
                <w:sz w:val="25"/>
                <w:szCs w:val="25"/>
                <w:lang w:val="lv-LV" w:eastAsia="lv-LV"/>
              </w:rPr>
              <w:t>Neparedz stingrākas prasības</w:t>
            </w:r>
          </w:p>
        </w:tc>
      </w:tr>
      <w:tr w:rsidR="008E0C96" w:rsidRPr="00491A8C" w:rsidTr="00CC3FDC">
        <w:trPr>
          <w:tblCellSpacing w:w="15" w:type="dxa"/>
        </w:trPr>
        <w:tc>
          <w:tcPr>
            <w:tcW w:w="1092" w:type="pct"/>
            <w:gridSpan w:val="2"/>
            <w:shd w:val="clear" w:color="auto" w:fill="auto"/>
          </w:tcPr>
          <w:p w:rsidR="004060AA" w:rsidRPr="001A4ACA" w:rsidRDefault="004060AA" w:rsidP="004060AA">
            <w:pPr>
              <w:pStyle w:val="naiskr"/>
              <w:spacing w:before="0" w:after="0"/>
              <w:jc w:val="both"/>
              <w:rPr>
                <w:sz w:val="25"/>
                <w:szCs w:val="25"/>
              </w:rPr>
            </w:pPr>
            <w:r w:rsidRPr="001A4ACA">
              <w:rPr>
                <w:sz w:val="25"/>
                <w:szCs w:val="25"/>
              </w:rPr>
              <w:lastRenderedPageBreak/>
              <w:t>Komisijas Regulas Nr.1407/2013 3.panta 2.punkts;</w:t>
            </w:r>
          </w:p>
          <w:p w:rsidR="008E0C96" w:rsidRPr="00491A8C" w:rsidRDefault="004060AA" w:rsidP="001A4ACA">
            <w:pPr>
              <w:pStyle w:val="naiskr"/>
              <w:spacing w:before="0" w:after="0"/>
              <w:jc w:val="both"/>
              <w:rPr>
                <w:sz w:val="25"/>
                <w:szCs w:val="25"/>
              </w:rPr>
            </w:pPr>
            <w:r w:rsidRPr="001A4ACA">
              <w:rPr>
                <w:sz w:val="25"/>
                <w:szCs w:val="25"/>
              </w:rPr>
              <w:t>4.panta 6.punkta b) apakšpunkts</w:t>
            </w:r>
          </w:p>
        </w:tc>
        <w:tc>
          <w:tcPr>
            <w:tcW w:w="943" w:type="pct"/>
            <w:gridSpan w:val="3"/>
            <w:shd w:val="clear" w:color="auto" w:fill="auto"/>
          </w:tcPr>
          <w:p w:rsidR="008E0C96" w:rsidRPr="00491A8C" w:rsidRDefault="004060AA">
            <w:pPr>
              <w:jc w:val="both"/>
              <w:rPr>
                <w:rFonts w:eastAsia="Times New Roman"/>
                <w:sz w:val="25"/>
                <w:szCs w:val="25"/>
                <w:lang w:val="lv-LV" w:eastAsia="lv-LV"/>
              </w:rPr>
            </w:pPr>
            <w:r>
              <w:rPr>
                <w:rFonts w:eastAsia="Times New Roman"/>
                <w:sz w:val="25"/>
                <w:szCs w:val="25"/>
                <w:lang w:val="lv-LV" w:eastAsia="lv-LV"/>
              </w:rPr>
              <w:t xml:space="preserve">Noteikumu projekta </w:t>
            </w:r>
            <w:r w:rsidR="00505C07" w:rsidRPr="00505C07">
              <w:rPr>
                <w:rFonts w:eastAsia="Times New Roman"/>
                <w:sz w:val="25"/>
                <w:szCs w:val="25"/>
                <w:lang w:val="lv-LV" w:eastAsia="lv-LV"/>
              </w:rPr>
              <w:t>1</w:t>
            </w:r>
            <w:r w:rsidR="00505C07">
              <w:rPr>
                <w:rFonts w:eastAsia="Times New Roman"/>
                <w:sz w:val="25"/>
                <w:szCs w:val="25"/>
                <w:lang w:val="lv-LV" w:eastAsia="lv-LV"/>
              </w:rPr>
              <w:t>4</w:t>
            </w:r>
            <w:r w:rsidRPr="00505C07">
              <w:rPr>
                <w:rFonts w:eastAsia="Times New Roman"/>
                <w:sz w:val="25"/>
                <w:szCs w:val="25"/>
                <w:lang w:val="lv-LV" w:eastAsia="lv-LV"/>
              </w:rPr>
              <w:t>.punkts</w:t>
            </w:r>
          </w:p>
        </w:tc>
        <w:tc>
          <w:tcPr>
            <w:tcW w:w="784" w:type="pct"/>
            <w:shd w:val="clear" w:color="auto" w:fill="auto"/>
          </w:tcPr>
          <w:p w:rsidR="008E0C96" w:rsidRPr="00491A8C" w:rsidRDefault="004060AA" w:rsidP="00491A8C">
            <w:pPr>
              <w:jc w:val="both"/>
              <w:rPr>
                <w:rFonts w:eastAsia="Times New Roman"/>
                <w:sz w:val="25"/>
                <w:szCs w:val="25"/>
                <w:lang w:val="lv-LV" w:eastAsia="lv-LV"/>
              </w:rPr>
            </w:pPr>
            <w:r>
              <w:rPr>
                <w:rFonts w:eastAsia="Times New Roman"/>
                <w:sz w:val="25"/>
                <w:szCs w:val="25"/>
                <w:lang w:val="lv-LV" w:eastAsia="lv-LV"/>
              </w:rPr>
              <w:t>Ieviests pilnībā</w:t>
            </w:r>
          </w:p>
        </w:tc>
        <w:tc>
          <w:tcPr>
            <w:tcW w:w="2097" w:type="pct"/>
            <w:gridSpan w:val="2"/>
            <w:shd w:val="clear" w:color="auto" w:fill="auto"/>
          </w:tcPr>
          <w:p w:rsidR="008E0C96" w:rsidRPr="00491A8C" w:rsidRDefault="004060AA" w:rsidP="00491A8C">
            <w:pPr>
              <w:jc w:val="both"/>
              <w:rPr>
                <w:rFonts w:eastAsia="Times New Roman"/>
                <w:sz w:val="25"/>
                <w:szCs w:val="25"/>
                <w:lang w:val="lv-LV" w:eastAsia="lv-LV"/>
              </w:rPr>
            </w:pPr>
            <w:r>
              <w:rPr>
                <w:rFonts w:eastAsia="Times New Roman"/>
                <w:sz w:val="25"/>
                <w:szCs w:val="25"/>
                <w:lang w:val="lv-LV" w:eastAsia="lv-LV"/>
              </w:rPr>
              <w:t>Neparedz stingrākas prasības</w:t>
            </w:r>
          </w:p>
        </w:tc>
      </w:tr>
      <w:tr w:rsidR="00491A8C" w:rsidRPr="00491A8C" w:rsidTr="00CA3A8D">
        <w:trPr>
          <w:tblCellSpacing w:w="15" w:type="dxa"/>
        </w:trPr>
        <w:tc>
          <w:tcPr>
            <w:tcW w:w="1092"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Kā ir izmantota ES tiesību aktā paredzētā rīcības brīvība dalībvalstij pārņemt vai ieviest noteiktas ES tiesību akta normas.</w:t>
            </w:r>
          </w:p>
        </w:tc>
        <w:tc>
          <w:tcPr>
            <w:tcW w:w="3857" w:type="pct"/>
            <w:gridSpan w:val="6"/>
            <w:shd w:val="clear" w:color="auto" w:fill="auto"/>
            <w:hideMark/>
          </w:tcPr>
          <w:p w:rsidR="00491A8C" w:rsidRPr="00491A8C" w:rsidRDefault="00C61C3B" w:rsidP="00473656">
            <w:pPr>
              <w:autoSpaceDE w:val="0"/>
              <w:autoSpaceDN w:val="0"/>
              <w:adjustRightInd w:val="0"/>
              <w:jc w:val="both"/>
              <w:rPr>
                <w:rFonts w:eastAsia="Times New Roman"/>
                <w:sz w:val="25"/>
                <w:szCs w:val="25"/>
                <w:lang w:val="lv-LV" w:eastAsia="lv-LV"/>
              </w:rPr>
            </w:pPr>
            <w:r w:rsidRPr="00C61C3B">
              <w:rPr>
                <w:rFonts w:eastAsia="Times New Roman"/>
                <w:sz w:val="25"/>
                <w:szCs w:val="25"/>
                <w:lang w:val="lv-LV" w:eastAsia="lv-LV"/>
              </w:rPr>
              <w:t xml:space="preserve">Komisijas Regula Nr.1407/2013 neparedz rīcības brīvību. Sniedzot </w:t>
            </w:r>
            <w:r w:rsidRPr="00CA3A8D">
              <w:rPr>
                <w:rFonts w:eastAsia="Times New Roman"/>
                <w:i/>
                <w:sz w:val="25"/>
                <w:szCs w:val="25"/>
                <w:lang w:val="lv-LV" w:eastAsia="lv-LV"/>
              </w:rPr>
              <w:t>de minimis</w:t>
            </w:r>
            <w:r w:rsidRPr="00C61C3B">
              <w:rPr>
                <w:rFonts w:eastAsia="Times New Roman"/>
                <w:sz w:val="25"/>
                <w:szCs w:val="25"/>
                <w:lang w:val="lv-LV" w:eastAsia="lv-LV"/>
              </w:rPr>
              <w:t xml:space="preserve"> atbalstu, Komisijas Regula Nr.1407/2013 ir obligāti piemērojama.</w:t>
            </w:r>
          </w:p>
        </w:tc>
      </w:tr>
      <w:tr w:rsidR="00491A8C" w:rsidRPr="00491A8C" w:rsidTr="001A4ACA">
        <w:trPr>
          <w:tblCellSpacing w:w="15" w:type="dxa"/>
        </w:trPr>
        <w:tc>
          <w:tcPr>
            <w:tcW w:w="1092"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7" w:type="pct"/>
            <w:gridSpan w:val="6"/>
            <w:shd w:val="clear" w:color="auto" w:fill="auto"/>
            <w:hideMark/>
          </w:tcPr>
          <w:p w:rsidR="00491A8C" w:rsidRPr="00491A8C" w:rsidRDefault="00CA787E" w:rsidP="00473656">
            <w:pPr>
              <w:jc w:val="both"/>
              <w:rPr>
                <w:rFonts w:eastAsia="Times New Roman"/>
                <w:sz w:val="25"/>
                <w:szCs w:val="25"/>
                <w:lang w:val="lv-LV" w:eastAsia="lv-LV"/>
              </w:rPr>
            </w:pPr>
            <w:r>
              <w:rPr>
                <w:rFonts w:eastAsia="Times New Roman"/>
                <w:sz w:val="25"/>
                <w:szCs w:val="25"/>
                <w:lang w:val="lv-LV" w:eastAsia="lv-LV"/>
              </w:rPr>
              <w:t>Projekts šo jomu neskar.</w:t>
            </w:r>
            <w:r w:rsidR="00473656" w:rsidRPr="00473656">
              <w:rPr>
                <w:rFonts w:eastAsia="Times New Roman"/>
                <w:sz w:val="25"/>
                <w:szCs w:val="25"/>
                <w:lang w:val="lv-LV" w:eastAsia="lv-LV"/>
              </w:rPr>
              <w:t xml:space="preserve"> </w:t>
            </w:r>
          </w:p>
        </w:tc>
      </w:tr>
      <w:tr w:rsidR="00491A8C" w:rsidRPr="00491A8C" w:rsidTr="001A4ACA">
        <w:trPr>
          <w:tblCellSpacing w:w="15" w:type="dxa"/>
        </w:trPr>
        <w:tc>
          <w:tcPr>
            <w:tcW w:w="1092"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Cita informācija</w:t>
            </w:r>
          </w:p>
        </w:tc>
        <w:tc>
          <w:tcPr>
            <w:tcW w:w="3857" w:type="pct"/>
            <w:gridSpan w:val="6"/>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Nav</w:t>
            </w:r>
            <w:r w:rsidR="00016DB0">
              <w:rPr>
                <w:rFonts w:eastAsia="Times New Roman"/>
                <w:sz w:val="25"/>
                <w:szCs w:val="25"/>
                <w:lang w:val="lv-LV" w:eastAsia="lv-LV"/>
              </w:rPr>
              <w:t>.</w:t>
            </w:r>
          </w:p>
        </w:tc>
      </w:tr>
      <w:tr w:rsidR="006079EF" w:rsidRPr="00491A8C" w:rsidTr="006079EF">
        <w:trPr>
          <w:tblCellSpacing w:w="15" w:type="dxa"/>
        </w:trPr>
        <w:tc>
          <w:tcPr>
            <w:tcW w:w="4966" w:type="pct"/>
            <w:gridSpan w:val="8"/>
            <w:shd w:val="clear" w:color="auto" w:fill="auto"/>
          </w:tcPr>
          <w:p w:rsidR="006079EF" w:rsidRPr="00A120D3" w:rsidRDefault="006079EF" w:rsidP="00A120D3">
            <w:pPr>
              <w:jc w:val="center"/>
              <w:rPr>
                <w:rFonts w:eastAsia="Times New Roman"/>
                <w:b/>
                <w:sz w:val="25"/>
                <w:szCs w:val="25"/>
                <w:lang w:val="lv-LV" w:eastAsia="lv-LV"/>
              </w:rPr>
            </w:pPr>
            <w:r w:rsidRPr="00A120D3">
              <w:rPr>
                <w:rFonts w:eastAsia="Times New Roman"/>
                <w:b/>
                <w:sz w:val="25"/>
                <w:szCs w:val="25"/>
                <w:lang w:val="lv-LV" w:eastAsia="lv-LV"/>
              </w:rPr>
              <w:t>2.tabula</w:t>
            </w:r>
          </w:p>
          <w:p w:rsidR="006079EF" w:rsidRPr="00A120D3" w:rsidRDefault="006079EF" w:rsidP="00A120D3">
            <w:pPr>
              <w:jc w:val="center"/>
              <w:rPr>
                <w:rFonts w:eastAsia="Times New Roman"/>
                <w:b/>
                <w:sz w:val="25"/>
                <w:szCs w:val="25"/>
                <w:lang w:val="lv-LV" w:eastAsia="lv-LV"/>
              </w:rPr>
            </w:pPr>
            <w:r w:rsidRPr="00A120D3">
              <w:rPr>
                <w:rFonts w:eastAsia="Times New Roman"/>
                <w:b/>
                <w:sz w:val="25"/>
                <w:szCs w:val="25"/>
                <w:lang w:val="lv-LV" w:eastAsia="lv-LV"/>
              </w:rPr>
              <w:t>Ar tiesību akta projektu izpildītās vai uzņemtās saistības, kas izriet no starptautiskajiem tiesību aktiem vai starptautiskas institūcijas vai organizācijas dokumentiem.</w:t>
            </w:r>
          </w:p>
          <w:p w:rsidR="006079EF" w:rsidRPr="00491A8C" w:rsidRDefault="006079EF" w:rsidP="00A120D3">
            <w:pPr>
              <w:jc w:val="center"/>
              <w:rPr>
                <w:rFonts w:eastAsia="Times New Roman"/>
                <w:sz w:val="25"/>
                <w:szCs w:val="25"/>
                <w:lang w:val="lv-LV" w:eastAsia="lv-LV"/>
              </w:rPr>
            </w:pPr>
            <w:r w:rsidRPr="00A120D3">
              <w:rPr>
                <w:rFonts w:eastAsia="Times New Roman"/>
                <w:b/>
                <w:sz w:val="25"/>
                <w:szCs w:val="25"/>
                <w:lang w:val="lv-LV" w:eastAsia="lv-LV"/>
              </w:rPr>
              <w:t>Pasākumi šo saistību izpildei</w:t>
            </w:r>
          </w:p>
        </w:tc>
      </w:tr>
      <w:tr w:rsidR="006079EF" w:rsidRPr="00491A8C" w:rsidTr="001A4ACA">
        <w:trPr>
          <w:tblCellSpacing w:w="15" w:type="dxa"/>
        </w:trPr>
        <w:tc>
          <w:tcPr>
            <w:tcW w:w="1092" w:type="pct"/>
            <w:gridSpan w:val="2"/>
            <w:shd w:val="clear" w:color="auto" w:fill="auto"/>
          </w:tcPr>
          <w:p w:rsidR="006079EF" w:rsidRPr="00491A8C" w:rsidRDefault="004C59F4" w:rsidP="004C59F4">
            <w:pPr>
              <w:jc w:val="both"/>
              <w:rPr>
                <w:rFonts w:eastAsia="Times New Roman"/>
                <w:sz w:val="25"/>
                <w:szCs w:val="25"/>
                <w:lang w:val="lv-LV" w:eastAsia="lv-LV"/>
              </w:rPr>
            </w:pPr>
            <w:r w:rsidRPr="00A120D3">
              <w:rPr>
                <w:rFonts w:eastAsia="Times New Roman"/>
                <w:sz w:val="25"/>
                <w:szCs w:val="25"/>
                <w:lang w:val="lv-LV" w:eastAsia="lv-LV"/>
              </w:rPr>
              <w:lastRenderedPageBreak/>
              <w:t>Attiecīgā starptautiskā tiesību akta vai starptautiskas institūcijas vai organizācijas dokumenta (turpmāk – starptautiskais dokuments) datums, numurs un nosaukums</w:t>
            </w:r>
          </w:p>
        </w:tc>
        <w:tc>
          <w:tcPr>
            <w:tcW w:w="3857" w:type="pct"/>
            <w:gridSpan w:val="6"/>
            <w:shd w:val="clear" w:color="auto" w:fill="auto"/>
          </w:tcPr>
          <w:p w:rsidR="006079EF" w:rsidRPr="00491A8C" w:rsidRDefault="004C59F4" w:rsidP="00491A8C">
            <w:pPr>
              <w:jc w:val="both"/>
              <w:rPr>
                <w:rFonts w:eastAsia="Times New Roman"/>
                <w:sz w:val="25"/>
                <w:szCs w:val="25"/>
                <w:lang w:val="lv-LV" w:eastAsia="lv-LV"/>
              </w:rPr>
            </w:pPr>
            <w:r>
              <w:rPr>
                <w:rFonts w:eastAsia="Times New Roman"/>
                <w:sz w:val="25"/>
                <w:szCs w:val="25"/>
                <w:lang w:val="lv-LV" w:eastAsia="lv-LV"/>
              </w:rPr>
              <w:t>Projekts šo jomu neskar.</w:t>
            </w:r>
          </w:p>
        </w:tc>
      </w:tr>
      <w:tr w:rsidR="004C59F4" w:rsidRPr="00491A8C" w:rsidTr="001A4ACA">
        <w:trPr>
          <w:tblCellSpacing w:w="15" w:type="dxa"/>
        </w:trPr>
        <w:tc>
          <w:tcPr>
            <w:tcW w:w="1651" w:type="pct"/>
            <w:gridSpan w:val="4"/>
            <w:shd w:val="clear" w:color="auto" w:fill="auto"/>
          </w:tcPr>
          <w:p w:rsidR="004C59F4" w:rsidRPr="00491A8C" w:rsidRDefault="004C59F4" w:rsidP="00A120D3">
            <w:pPr>
              <w:jc w:val="center"/>
              <w:rPr>
                <w:rFonts w:eastAsia="Times New Roman"/>
                <w:sz w:val="25"/>
                <w:szCs w:val="25"/>
                <w:lang w:val="lv-LV" w:eastAsia="lv-LV"/>
              </w:rPr>
            </w:pPr>
            <w:r>
              <w:rPr>
                <w:rFonts w:eastAsia="Times New Roman"/>
                <w:sz w:val="25"/>
                <w:szCs w:val="25"/>
                <w:lang w:val="lv-LV" w:eastAsia="lv-LV"/>
              </w:rPr>
              <w:t>A</w:t>
            </w:r>
          </w:p>
        </w:tc>
        <w:tc>
          <w:tcPr>
            <w:tcW w:w="1669" w:type="pct"/>
            <w:gridSpan w:val="3"/>
            <w:shd w:val="clear" w:color="auto" w:fill="auto"/>
          </w:tcPr>
          <w:p w:rsidR="004C59F4" w:rsidRPr="00491A8C" w:rsidRDefault="004C59F4" w:rsidP="00A120D3">
            <w:pPr>
              <w:jc w:val="center"/>
              <w:rPr>
                <w:rFonts w:eastAsia="Times New Roman"/>
                <w:sz w:val="25"/>
                <w:szCs w:val="25"/>
                <w:lang w:val="lv-LV" w:eastAsia="lv-LV"/>
              </w:rPr>
            </w:pPr>
            <w:r>
              <w:rPr>
                <w:rFonts w:eastAsia="Times New Roman"/>
                <w:sz w:val="25"/>
                <w:szCs w:val="25"/>
                <w:lang w:val="lv-LV" w:eastAsia="lv-LV"/>
              </w:rPr>
              <w:t>B</w:t>
            </w:r>
          </w:p>
        </w:tc>
        <w:tc>
          <w:tcPr>
            <w:tcW w:w="1612" w:type="pct"/>
            <w:shd w:val="clear" w:color="auto" w:fill="auto"/>
          </w:tcPr>
          <w:p w:rsidR="004C59F4" w:rsidRPr="00491A8C" w:rsidRDefault="004C59F4" w:rsidP="00A120D3">
            <w:pPr>
              <w:jc w:val="center"/>
              <w:rPr>
                <w:rFonts w:eastAsia="Times New Roman"/>
                <w:sz w:val="25"/>
                <w:szCs w:val="25"/>
                <w:lang w:val="lv-LV" w:eastAsia="lv-LV"/>
              </w:rPr>
            </w:pPr>
            <w:r>
              <w:rPr>
                <w:rFonts w:eastAsia="Times New Roman"/>
                <w:sz w:val="25"/>
                <w:szCs w:val="25"/>
                <w:lang w:val="lv-LV" w:eastAsia="lv-LV"/>
              </w:rPr>
              <w:t>C</w:t>
            </w:r>
          </w:p>
        </w:tc>
      </w:tr>
      <w:tr w:rsidR="004C59F4" w:rsidRPr="00491A8C" w:rsidTr="001A4ACA">
        <w:trPr>
          <w:tblCellSpacing w:w="15" w:type="dxa"/>
        </w:trPr>
        <w:tc>
          <w:tcPr>
            <w:tcW w:w="1651" w:type="pct"/>
            <w:gridSpan w:val="4"/>
            <w:shd w:val="clear" w:color="auto" w:fill="auto"/>
          </w:tcPr>
          <w:p w:rsidR="004C59F4" w:rsidRPr="004C59F4" w:rsidRDefault="004C59F4" w:rsidP="00A120D3">
            <w:pPr>
              <w:jc w:val="both"/>
              <w:rPr>
                <w:rFonts w:eastAsia="Times New Roman"/>
                <w:sz w:val="25"/>
                <w:szCs w:val="25"/>
                <w:lang w:val="lv-LV" w:eastAsia="lv-LV"/>
              </w:rPr>
            </w:pPr>
            <w:r w:rsidRPr="004C59F4">
              <w:rPr>
                <w:rFonts w:eastAsia="Times New Roman"/>
                <w:sz w:val="25"/>
                <w:szCs w:val="25"/>
                <w:lang w:val="lv-LV" w:eastAsia="lv-LV"/>
              </w:rPr>
              <w:t>Starptautiskās saistības (pēc būtības), kas izriet no norādītā starptautiskā dokumenta.</w:t>
            </w:r>
          </w:p>
          <w:p w:rsidR="004C59F4" w:rsidRPr="004C59F4" w:rsidRDefault="004C59F4" w:rsidP="00A120D3">
            <w:pPr>
              <w:jc w:val="both"/>
              <w:rPr>
                <w:rFonts w:eastAsia="Times New Roman"/>
                <w:sz w:val="25"/>
                <w:szCs w:val="25"/>
                <w:lang w:val="lv-LV" w:eastAsia="lv-LV"/>
              </w:rPr>
            </w:pPr>
            <w:r w:rsidRPr="004C59F4">
              <w:rPr>
                <w:rFonts w:eastAsia="Times New Roman"/>
                <w:sz w:val="25"/>
                <w:szCs w:val="25"/>
                <w:lang w:val="lv-LV" w:eastAsia="lv-LV"/>
              </w:rPr>
              <w:t>Konkrēti veicamie pasākumi vai uzdevumi, kas nepieciešami šo starptautisko saistību izpildei</w:t>
            </w:r>
          </w:p>
        </w:tc>
        <w:tc>
          <w:tcPr>
            <w:tcW w:w="1669" w:type="pct"/>
            <w:gridSpan w:val="3"/>
            <w:shd w:val="clear" w:color="auto" w:fill="auto"/>
          </w:tcPr>
          <w:p w:rsidR="004C59F4" w:rsidRDefault="004C59F4" w:rsidP="00A120D3">
            <w:pPr>
              <w:jc w:val="both"/>
              <w:rPr>
                <w:rFonts w:eastAsia="Times New Roman"/>
                <w:sz w:val="25"/>
                <w:szCs w:val="25"/>
                <w:lang w:val="lv-LV" w:eastAsia="lv-LV"/>
              </w:rPr>
            </w:pPr>
            <w:r w:rsidRPr="00A120D3">
              <w:rPr>
                <w:rFonts w:eastAsia="Times New Roman"/>
                <w:sz w:val="25"/>
                <w:szCs w:val="25"/>
                <w:lang w:val="lv-LV"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12" w:type="pct"/>
            <w:shd w:val="clear" w:color="auto" w:fill="auto"/>
          </w:tcPr>
          <w:p w:rsidR="004C59F4" w:rsidRPr="00A120D3" w:rsidRDefault="004C59F4" w:rsidP="00A120D3">
            <w:pPr>
              <w:jc w:val="both"/>
              <w:rPr>
                <w:rFonts w:eastAsia="Times New Roman"/>
                <w:sz w:val="25"/>
                <w:szCs w:val="25"/>
                <w:lang w:val="lv-LV" w:eastAsia="lv-LV"/>
              </w:rPr>
            </w:pPr>
            <w:r w:rsidRPr="00A120D3">
              <w:rPr>
                <w:rFonts w:eastAsia="Times New Roman"/>
                <w:sz w:val="25"/>
                <w:szCs w:val="25"/>
                <w:lang w:val="lv-LV" w:eastAsia="lv-LV"/>
              </w:rPr>
              <w:t>Informācija par to, vai starptautiskās saistības, kas minētas šīs tabulas A ailē, tiek izpildītas pilnībā vai daļēji.</w:t>
            </w:r>
          </w:p>
          <w:p w:rsidR="004C59F4" w:rsidRPr="00A120D3" w:rsidRDefault="004C59F4" w:rsidP="00A120D3">
            <w:pPr>
              <w:jc w:val="both"/>
              <w:rPr>
                <w:rFonts w:eastAsia="Times New Roman"/>
                <w:sz w:val="25"/>
                <w:szCs w:val="25"/>
                <w:lang w:val="lv-LV" w:eastAsia="lv-LV"/>
              </w:rPr>
            </w:pPr>
            <w:r w:rsidRPr="00A120D3">
              <w:rPr>
                <w:rFonts w:eastAsia="Times New Roman"/>
                <w:sz w:val="25"/>
                <w:szCs w:val="25"/>
                <w:lang w:val="lv-LV" w:eastAsia="lv-LV"/>
              </w:rPr>
              <w:t>Ja attiecīgās starptautiskās saistības tiek izpildītas daļēji, sniedz skaidrojumu, kā arī precīzi norāda, kad un kādā veidā starptautiskās saistības tiks izpildītas pilnībā.</w:t>
            </w:r>
          </w:p>
          <w:p w:rsidR="004C59F4" w:rsidRDefault="004C59F4" w:rsidP="00A120D3">
            <w:pPr>
              <w:jc w:val="both"/>
              <w:rPr>
                <w:rFonts w:eastAsia="Times New Roman"/>
                <w:sz w:val="25"/>
                <w:szCs w:val="25"/>
                <w:lang w:val="lv-LV" w:eastAsia="lv-LV"/>
              </w:rPr>
            </w:pPr>
            <w:r w:rsidRPr="00A120D3">
              <w:rPr>
                <w:rFonts w:eastAsia="Times New Roman"/>
                <w:sz w:val="25"/>
                <w:szCs w:val="25"/>
                <w:lang w:val="lv-LV" w:eastAsia="lv-LV"/>
              </w:rPr>
              <w:t>Norāda institūciju, kas ir atbildīga par šo saistību izpildi pilnībā</w:t>
            </w:r>
          </w:p>
        </w:tc>
      </w:tr>
      <w:tr w:rsidR="004C59F4" w:rsidRPr="00491A8C" w:rsidTr="001A4ACA">
        <w:trPr>
          <w:tblCellSpacing w:w="15" w:type="dxa"/>
        </w:trPr>
        <w:tc>
          <w:tcPr>
            <w:tcW w:w="1651" w:type="pct"/>
            <w:gridSpan w:val="4"/>
            <w:shd w:val="clear" w:color="auto" w:fill="auto"/>
          </w:tcPr>
          <w:p w:rsidR="004C59F4" w:rsidRPr="004C59F4" w:rsidRDefault="004C59F4" w:rsidP="004C59F4">
            <w:pPr>
              <w:jc w:val="both"/>
              <w:rPr>
                <w:rFonts w:eastAsia="Times New Roman"/>
                <w:sz w:val="25"/>
                <w:szCs w:val="25"/>
                <w:lang w:val="lv-LV" w:eastAsia="lv-LV"/>
              </w:rPr>
            </w:pPr>
            <w:r>
              <w:rPr>
                <w:rFonts w:eastAsia="Times New Roman"/>
                <w:sz w:val="25"/>
                <w:szCs w:val="25"/>
                <w:lang w:val="lv-LV" w:eastAsia="lv-LV"/>
              </w:rPr>
              <w:t>Projekts šo jomu neskar.</w:t>
            </w:r>
          </w:p>
        </w:tc>
        <w:tc>
          <w:tcPr>
            <w:tcW w:w="1669" w:type="pct"/>
            <w:gridSpan w:val="3"/>
            <w:shd w:val="clear" w:color="auto" w:fill="auto"/>
          </w:tcPr>
          <w:p w:rsidR="004C59F4" w:rsidRPr="004C59F4" w:rsidRDefault="004C59F4" w:rsidP="004C59F4">
            <w:pPr>
              <w:jc w:val="both"/>
              <w:rPr>
                <w:rFonts w:eastAsia="Times New Roman"/>
                <w:sz w:val="25"/>
                <w:szCs w:val="25"/>
                <w:lang w:val="lv-LV" w:eastAsia="lv-LV"/>
              </w:rPr>
            </w:pPr>
            <w:r>
              <w:rPr>
                <w:rFonts w:eastAsia="Times New Roman"/>
                <w:sz w:val="25"/>
                <w:szCs w:val="25"/>
                <w:lang w:val="lv-LV" w:eastAsia="lv-LV"/>
              </w:rPr>
              <w:t>Projekts šo jomu neskar.</w:t>
            </w:r>
          </w:p>
        </w:tc>
        <w:tc>
          <w:tcPr>
            <w:tcW w:w="1612" w:type="pct"/>
            <w:shd w:val="clear" w:color="auto" w:fill="auto"/>
          </w:tcPr>
          <w:p w:rsidR="004C59F4" w:rsidRPr="004C59F4" w:rsidRDefault="004C59F4" w:rsidP="004C59F4">
            <w:pPr>
              <w:jc w:val="both"/>
              <w:rPr>
                <w:rFonts w:eastAsia="Times New Roman"/>
                <w:sz w:val="25"/>
                <w:szCs w:val="25"/>
                <w:lang w:val="lv-LV" w:eastAsia="lv-LV"/>
              </w:rPr>
            </w:pPr>
            <w:r>
              <w:rPr>
                <w:rFonts w:eastAsia="Times New Roman"/>
                <w:sz w:val="25"/>
                <w:szCs w:val="25"/>
                <w:lang w:val="lv-LV" w:eastAsia="lv-LV"/>
              </w:rPr>
              <w:t>Projekts šo jomu neskar.</w:t>
            </w:r>
          </w:p>
        </w:tc>
      </w:tr>
      <w:tr w:rsidR="006079EF" w:rsidRPr="00491A8C" w:rsidTr="001A4ACA">
        <w:trPr>
          <w:tblCellSpacing w:w="15" w:type="dxa"/>
        </w:trPr>
        <w:tc>
          <w:tcPr>
            <w:tcW w:w="1092" w:type="pct"/>
            <w:gridSpan w:val="2"/>
            <w:shd w:val="clear" w:color="auto" w:fill="auto"/>
          </w:tcPr>
          <w:p w:rsidR="006079EF" w:rsidRPr="00491A8C" w:rsidRDefault="004C59F4" w:rsidP="004C59F4">
            <w:pPr>
              <w:jc w:val="both"/>
              <w:rPr>
                <w:rFonts w:eastAsia="Times New Roman"/>
                <w:sz w:val="25"/>
                <w:szCs w:val="25"/>
                <w:lang w:val="lv-LV" w:eastAsia="lv-LV"/>
              </w:rPr>
            </w:pPr>
            <w:r w:rsidRPr="004C59F4">
              <w:rPr>
                <w:rFonts w:eastAsia="Times New Roman"/>
                <w:sz w:val="25"/>
                <w:szCs w:val="25"/>
                <w:lang w:val="lv-LV" w:eastAsia="lv-LV"/>
              </w:rPr>
              <w:t>Vai starptautiskajā dokumentā paredzētās saistības nav pretrunā ar jau esošajām Latvijas Republikas starptautiskajām saistībām</w:t>
            </w:r>
          </w:p>
        </w:tc>
        <w:tc>
          <w:tcPr>
            <w:tcW w:w="3857" w:type="pct"/>
            <w:gridSpan w:val="6"/>
            <w:shd w:val="clear" w:color="auto" w:fill="auto"/>
          </w:tcPr>
          <w:p w:rsidR="006079EF" w:rsidRPr="00491A8C" w:rsidRDefault="004C59F4" w:rsidP="00491A8C">
            <w:pPr>
              <w:jc w:val="both"/>
              <w:rPr>
                <w:rFonts w:eastAsia="Times New Roman"/>
                <w:sz w:val="25"/>
                <w:szCs w:val="25"/>
                <w:lang w:val="lv-LV" w:eastAsia="lv-LV"/>
              </w:rPr>
            </w:pPr>
            <w:r>
              <w:rPr>
                <w:rFonts w:eastAsia="Times New Roman"/>
                <w:sz w:val="25"/>
                <w:szCs w:val="25"/>
                <w:lang w:val="lv-LV" w:eastAsia="lv-LV"/>
              </w:rPr>
              <w:t>Projekts šo jomu neskar.</w:t>
            </w:r>
          </w:p>
        </w:tc>
      </w:tr>
      <w:tr w:rsidR="006079EF" w:rsidRPr="00491A8C" w:rsidTr="001A4ACA">
        <w:trPr>
          <w:tblCellSpacing w:w="15" w:type="dxa"/>
        </w:trPr>
        <w:tc>
          <w:tcPr>
            <w:tcW w:w="1092" w:type="pct"/>
            <w:gridSpan w:val="2"/>
            <w:shd w:val="clear" w:color="auto" w:fill="auto"/>
          </w:tcPr>
          <w:p w:rsidR="006079EF" w:rsidRPr="00491A8C" w:rsidRDefault="004C59F4" w:rsidP="00491A8C">
            <w:pPr>
              <w:jc w:val="both"/>
              <w:rPr>
                <w:rFonts w:eastAsia="Times New Roman"/>
                <w:sz w:val="25"/>
                <w:szCs w:val="25"/>
                <w:lang w:val="lv-LV" w:eastAsia="lv-LV"/>
              </w:rPr>
            </w:pPr>
            <w:r w:rsidRPr="00A120D3">
              <w:rPr>
                <w:rFonts w:eastAsia="Times New Roman"/>
                <w:sz w:val="25"/>
                <w:szCs w:val="25"/>
                <w:lang w:val="lv-LV" w:eastAsia="lv-LV"/>
              </w:rPr>
              <w:t>Cita informācija</w:t>
            </w:r>
          </w:p>
        </w:tc>
        <w:tc>
          <w:tcPr>
            <w:tcW w:w="3857" w:type="pct"/>
            <w:gridSpan w:val="6"/>
            <w:shd w:val="clear" w:color="auto" w:fill="auto"/>
          </w:tcPr>
          <w:p w:rsidR="006079EF" w:rsidRPr="00491A8C" w:rsidRDefault="004C59F4" w:rsidP="00491A8C">
            <w:pPr>
              <w:jc w:val="both"/>
              <w:rPr>
                <w:rFonts w:eastAsia="Times New Roman"/>
                <w:sz w:val="25"/>
                <w:szCs w:val="25"/>
                <w:lang w:val="lv-LV" w:eastAsia="lv-LV"/>
              </w:rPr>
            </w:pPr>
            <w:r>
              <w:rPr>
                <w:rFonts w:eastAsia="Times New Roman"/>
                <w:sz w:val="25"/>
                <w:szCs w:val="25"/>
                <w:lang w:val="lv-LV" w:eastAsia="lv-LV"/>
              </w:rPr>
              <w:t>Nav</w:t>
            </w:r>
            <w:r w:rsidR="00F81B56">
              <w:rPr>
                <w:rFonts w:eastAsia="Times New Roman"/>
                <w:sz w:val="25"/>
                <w:szCs w:val="25"/>
                <w:lang w:val="lv-LV" w:eastAsia="lv-LV"/>
              </w:rPr>
              <w:t>.</w:t>
            </w:r>
          </w:p>
        </w:tc>
      </w:tr>
    </w:tbl>
    <w:p w:rsidR="006079EF" w:rsidRPr="00473656" w:rsidRDefault="006079EF" w:rsidP="00D11308">
      <w:pPr>
        <w:jc w:val="both"/>
        <w:rPr>
          <w:rFonts w:eastAsia="Times New Roman"/>
          <w:sz w:val="25"/>
          <w:szCs w:val="25"/>
          <w:lang w:val="lv-LV" w:eastAsia="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473656" w:rsidRPr="00473656" w:rsidTr="00AD7639">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center"/>
              <w:rPr>
                <w:rFonts w:eastAsia="Times New Roman"/>
                <w:b/>
                <w:sz w:val="25"/>
                <w:szCs w:val="25"/>
                <w:lang w:val="lv-LV" w:eastAsia="lv-LV"/>
              </w:rPr>
            </w:pPr>
            <w:r w:rsidRPr="00473656">
              <w:rPr>
                <w:b/>
                <w:bCs/>
                <w:sz w:val="25"/>
                <w:szCs w:val="25"/>
                <w:lang w:val="lv-LV"/>
              </w:rPr>
              <w:t>VI. Sabiedrības līdzdalība un komunikācijas aktivitātes</w:t>
            </w:r>
          </w:p>
        </w:tc>
      </w:tr>
      <w:tr w:rsidR="00473656" w:rsidRPr="00473656" w:rsidTr="00AD7639">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 xml:space="preserve">Plānotās sabiedrības līdzdalības un komunikācijas </w:t>
            </w:r>
            <w:r w:rsidRPr="00473656">
              <w:rPr>
                <w:sz w:val="25"/>
                <w:szCs w:val="25"/>
                <w:lang w:val="lv-LV"/>
              </w:rPr>
              <w:lastRenderedPageBreak/>
              <w:t>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CA3A8D" w:rsidRDefault="00823779" w:rsidP="00016DB0">
            <w:pPr>
              <w:jc w:val="both"/>
              <w:rPr>
                <w:sz w:val="25"/>
                <w:szCs w:val="25"/>
                <w:lang w:val="lv-LV"/>
              </w:rPr>
            </w:pPr>
            <w:r w:rsidRPr="00016DB0">
              <w:rPr>
                <w:sz w:val="25"/>
                <w:szCs w:val="25"/>
                <w:lang w:val="lv-LV"/>
              </w:rPr>
              <w:lastRenderedPageBreak/>
              <w:t>Sabiedrības līdzdalība</w:t>
            </w:r>
            <w:r w:rsidR="00CE022F" w:rsidRPr="00016DB0">
              <w:rPr>
                <w:sz w:val="25"/>
                <w:szCs w:val="25"/>
                <w:lang w:val="lv-LV"/>
              </w:rPr>
              <w:t>s un komunikācijas aktivitātes n</w:t>
            </w:r>
            <w:r w:rsidRPr="00016DB0">
              <w:rPr>
                <w:sz w:val="25"/>
                <w:szCs w:val="25"/>
                <w:lang w:val="lv-LV"/>
              </w:rPr>
              <w:t>av nepiecie</w:t>
            </w:r>
            <w:r w:rsidR="00CE022F" w:rsidRPr="00016DB0">
              <w:rPr>
                <w:sz w:val="25"/>
                <w:szCs w:val="25"/>
                <w:lang w:val="lv-LV"/>
              </w:rPr>
              <w:t>šamas</w:t>
            </w:r>
            <w:r w:rsidRPr="00016DB0">
              <w:rPr>
                <w:sz w:val="25"/>
                <w:szCs w:val="25"/>
                <w:lang w:val="lv-LV"/>
              </w:rPr>
              <w:t xml:space="preserve">, </w:t>
            </w:r>
            <w:r w:rsidR="00CE022F" w:rsidRPr="00016DB0">
              <w:rPr>
                <w:sz w:val="25"/>
                <w:szCs w:val="25"/>
                <w:lang w:val="lv-LV"/>
              </w:rPr>
              <w:t>jo</w:t>
            </w:r>
            <w:r w:rsidR="00CA3A8D">
              <w:rPr>
                <w:sz w:val="25"/>
                <w:szCs w:val="25"/>
                <w:lang w:val="lv-LV"/>
              </w:rPr>
              <w:t>:</w:t>
            </w:r>
          </w:p>
          <w:p w:rsidR="00CA3A8D" w:rsidRPr="00505C07" w:rsidRDefault="00CE022F" w:rsidP="00505C07">
            <w:pPr>
              <w:pStyle w:val="ListParagraph"/>
              <w:numPr>
                <w:ilvl w:val="0"/>
                <w:numId w:val="22"/>
              </w:numPr>
              <w:jc w:val="both"/>
              <w:rPr>
                <w:sz w:val="25"/>
                <w:szCs w:val="25"/>
                <w:lang w:val="lv-LV"/>
              </w:rPr>
            </w:pPr>
            <w:r w:rsidRPr="00505C07">
              <w:rPr>
                <w:sz w:val="25"/>
                <w:szCs w:val="25"/>
                <w:lang w:val="lv-LV"/>
              </w:rPr>
              <w:lastRenderedPageBreak/>
              <w:t xml:space="preserve">noteikumu projekts paredz </w:t>
            </w:r>
            <w:r w:rsidR="009F43CB" w:rsidRPr="00505C07">
              <w:rPr>
                <w:sz w:val="25"/>
                <w:szCs w:val="25"/>
                <w:lang w:val="lv-LV"/>
              </w:rPr>
              <w:t>labvēlīgākus atbalsta nosacījumus Pilnvarotajām personām, kas īsteno projektu</w:t>
            </w:r>
            <w:r w:rsidR="00016DB0" w:rsidRPr="00505C07">
              <w:rPr>
                <w:sz w:val="25"/>
                <w:szCs w:val="25"/>
                <w:lang w:val="lv-LV"/>
              </w:rPr>
              <w:t>s</w:t>
            </w:r>
            <w:r w:rsidR="009F43CB" w:rsidRPr="00505C07">
              <w:rPr>
                <w:sz w:val="25"/>
                <w:szCs w:val="25"/>
                <w:lang w:val="lv-LV"/>
              </w:rPr>
              <w:t xml:space="preserve"> 3.4.4.1.aktivitātē</w:t>
            </w:r>
            <w:r w:rsidR="00CA3A8D" w:rsidRPr="00505C07">
              <w:rPr>
                <w:sz w:val="25"/>
                <w:szCs w:val="25"/>
                <w:lang w:val="lv-LV"/>
              </w:rPr>
              <w:t>;</w:t>
            </w:r>
          </w:p>
          <w:p w:rsidR="00CA3A8D" w:rsidRDefault="00016DB0" w:rsidP="00505C07">
            <w:pPr>
              <w:pStyle w:val="ListParagraph"/>
              <w:numPr>
                <w:ilvl w:val="0"/>
                <w:numId w:val="22"/>
              </w:numPr>
              <w:jc w:val="both"/>
              <w:rPr>
                <w:sz w:val="25"/>
                <w:szCs w:val="25"/>
                <w:lang w:val="lv-LV"/>
              </w:rPr>
            </w:pPr>
            <w:r w:rsidRPr="00505C07">
              <w:rPr>
                <w:sz w:val="25"/>
                <w:szCs w:val="25"/>
                <w:lang w:val="lv-LV"/>
              </w:rPr>
              <w:t>paredz precizēt MK noteikumus Nr.997 atbilstoši Kopienas 2014.gada Pamatnostādņu 20.punktam</w:t>
            </w:r>
            <w:r w:rsidR="00CA3A8D">
              <w:rPr>
                <w:sz w:val="25"/>
                <w:szCs w:val="25"/>
                <w:lang w:val="lv-LV"/>
              </w:rPr>
              <w:t>;</w:t>
            </w:r>
          </w:p>
          <w:p w:rsidR="00CA3A8D" w:rsidRPr="00505C07" w:rsidRDefault="00CA3A8D" w:rsidP="00505C07">
            <w:pPr>
              <w:pStyle w:val="ListParagraph"/>
              <w:numPr>
                <w:ilvl w:val="0"/>
                <w:numId w:val="22"/>
              </w:numPr>
              <w:jc w:val="both"/>
              <w:rPr>
                <w:sz w:val="25"/>
                <w:szCs w:val="25"/>
                <w:lang w:val="lv-LV"/>
              </w:rPr>
            </w:pPr>
            <w:r>
              <w:rPr>
                <w:sz w:val="25"/>
                <w:szCs w:val="25"/>
                <w:lang w:val="lv-LV"/>
              </w:rPr>
              <w:t xml:space="preserve">tiek nodrošināti labvēlīgāki nosacījumi saimnieciskās darbības veicējiem – </w:t>
            </w:r>
            <w:r w:rsidRPr="00505C07">
              <w:rPr>
                <w:sz w:val="25"/>
                <w:szCs w:val="25"/>
                <w:lang w:val="lv-LV"/>
              </w:rPr>
              <w:t>tiek paplašināts saimnieciskās darbības veicēju loks, kas MK noteikumu Nr.997 ietvaros varēs saņemt kredīta brīvdienas.</w:t>
            </w:r>
          </w:p>
        </w:tc>
      </w:tr>
      <w:tr w:rsidR="00473656" w:rsidRPr="00473656" w:rsidTr="00AD7639">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lastRenderedPageBreak/>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CA3A8D" w:rsidRDefault="00CA3A8D" w:rsidP="00CA3A8D">
            <w:pPr>
              <w:jc w:val="both"/>
              <w:rPr>
                <w:sz w:val="25"/>
                <w:szCs w:val="25"/>
                <w:lang w:val="lv-LV"/>
              </w:rPr>
            </w:pPr>
            <w:r w:rsidRPr="00016DB0">
              <w:rPr>
                <w:sz w:val="25"/>
                <w:szCs w:val="25"/>
                <w:lang w:val="lv-LV"/>
              </w:rPr>
              <w:t>Sabiedrības līdzdalības un komunikācijas aktivitātes nav nepieciešamas, jo</w:t>
            </w:r>
            <w:r>
              <w:rPr>
                <w:sz w:val="25"/>
                <w:szCs w:val="25"/>
                <w:lang w:val="lv-LV"/>
              </w:rPr>
              <w:t>:</w:t>
            </w:r>
          </w:p>
          <w:p w:rsidR="00CA3A8D" w:rsidRPr="00970F92" w:rsidRDefault="00CA3A8D" w:rsidP="00505C07">
            <w:pPr>
              <w:pStyle w:val="ListParagraph"/>
              <w:numPr>
                <w:ilvl w:val="0"/>
                <w:numId w:val="24"/>
              </w:numPr>
              <w:jc w:val="both"/>
              <w:rPr>
                <w:sz w:val="25"/>
                <w:szCs w:val="25"/>
                <w:lang w:val="lv-LV"/>
              </w:rPr>
            </w:pPr>
            <w:r w:rsidRPr="00970F92">
              <w:rPr>
                <w:sz w:val="25"/>
                <w:szCs w:val="25"/>
                <w:lang w:val="lv-LV"/>
              </w:rPr>
              <w:t>noteikumu projekts paredz labvēlīgākus atbalsta nosacījumus Pilnvarotajām personām, kas īsteno projektus 3.4.4.1.aktivitātē;</w:t>
            </w:r>
          </w:p>
          <w:p w:rsidR="00CA3A8D" w:rsidRDefault="00CA3A8D" w:rsidP="00505C07">
            <w:pPr>
              <w:pStyle w:val="ListParagraph"/>
              <w:numPr>
                <w:ilvl w:val="0"/>
                <w:numId w:val="24"/>
              </w:numPr>
              <w:jc w:val="both"/>
              <w:rPr>
                <w:sz w:val="25"/>
                <w:szCs w:val="25"/>
                <w:lang w:val="lv-LV"/>
              </w:rPr>
            </w:pPr>
            <w:r w:rsidRPr="00970F92">
              <w:rPr>
                <w:sz w:val="25"/>
                <w:szCs w:val="25"/>
                <w:lang w:val="lv-LV"/>
              </w:rPr>
              <w:t>paredz precizēt MK noteikumus Nr.997 atbilstoši Kopienas 2014.gada Pamatnostādņu 20.punktam</w:t>
            </w:r>
            <w:r>
              <w:rPr>
                <w:sz w:val="25"/>
                <w:szCs w:val="25"/>
                <w:lang w:val="lv-LV"/>
              </w:rPr>
              <w:t>;</w:t>
            </w:r>
          </w:p>
          <w:p w:rsidR="00CA3A8D" w:rsidRPr="00505C07" w:rsidRDefault="00CA3A8D" w:rsidP="00505C07">
            <w:pPr>
              <w:pStyle w:val="ListParagraph"/>
              <w:numPr>
                <w:ilvl w:val="0"/>
                <w:numId w:val="24"/>
              </w:numPr>
              <w:jc w:val="both"/>
              <w:rPr>
                <w:sz w:val="25"/>
                <w:szCs w:val="25"/>
                <w:lang w:val="lv-LV"/>
              </w:rPr>
            </w:pPr>
            <w:r w:rsidRPr="00505C07">
              <w:rPr>
                <w:sz w:val="25"/>
                <w:szCs w:val="25"/>
                <w:lang w:val="lv-LV"/>
              </w:rPr>
              <w:t>tiek nodrošināti labvēlīgāki nosacījumi saimnieciskās darbības veicējiem – tiek paplašināts saimnieciskās darbības veicēju loks, kas MK noteikumu Nr.997 ietvaros varēs saņemt kredīta brīvdienas.</w:t>
            </w:r>
          </w:p>
        </w:tc>
      </w:tr>
      <w:tr w:rsidR="00473656" w:rsidRPr="00473656" w:rsidTr="00AD7639">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016DB0" w:rsidRDefault="00CE022F" w:rsidP="00473656">
            <w:pPr>
              <w:jc w:val="both"/>
              <w:rPr>
                <w:sz w:val="25"/>
                <w:szCs w:val="25"/>
                <w:lang w:val="lv-LV"/>
              </w:rPr>
            </w:pPr>
            <w:r w:rsidRPr="00016DB0">
              <w:rPr>
                <w:sz w:val="25"/>
                <w:szCs w:val="25"/>
                <w:lang w:val="lv-LV"/>
              </w:rPr>
              <w:t xml:space="preserve">Nav, jo sabiedrības līdzdalība noteikumu projekta izstrādē netika nodrošināta. </w:t>
            </w:r>
          </w:p>
        </w:tc>
      </w:tr>
      <w:tr w:rsidR="00473656" w:rsidRPr="00473656" w:rsidTr="00AD7639">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7F0D89">
            <w:pPr>
              <w:jc w:val="both"/>
              <w:rPr>
                <w:sz w:val="25"/>
                <w:szCs w:val="25"/>
                <w:lang w:val="lv-LV"/>
              </w:rPr>
            </w:pPr>
            <w:r w:rsidRPr="00473656">
              <w:rPr>
                <w:sz w:val="25"/>
                <w:szCs w:val="25"/>
                <w:lang w:val="lv-LV"/>
              </w:rPr>
              <w:t>Nav</w:t>
            </w:r>
            <w:r w:rsidR="00016DB0">
              <w:rPr>
                <w:sz w:val="25"/>
                <w:szCs w:val="25"/>
                <w:lang w:val="lv-LV"/>
              </w:rPr>
              <w:t>.</w:t>
            </w:r>
          </w:p>
        </w:tc>
      </w:tr>
    </w:tbl>
    <w:p w:rsidR="00C31ED2" w:rsidRPr="00473656" w:rsidRDefault="00C31ED2" w:rsidP="00C31ED2">
      <w:pPr>
        <w:jc w:val="both"/>
        <w:rPr>
          <w:rFonts w:eastAsia="Times New Roman"/>
          <w:sz w:val="25"/>
          <w:szCs w:val="25"/>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473656" w:rsidRPr="00473656" w:rsidTr="00AD7639">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ind w:firstLine="720"/>
              <w:jc w:val="center"/>
              <w:rPr>
                <w:b/>
                <w:sz w:val="25"/>
                <w:szCs w:val="25"/>
                <w:lang w:val="lv-LV"/>
              </w:rPr>
            </w:pPr>
            <w:r w:rsidRPr="00473656">
              <w:rPr>
                <w:b/>
                <w:sz w:val="25"/>
                <w:szCs w:val="25"/>
                <w:lang w:val="lv-LV"/>
              </w:rPr>
              <w:t>VII. Tiesību akta projekta izpildes nodrošināšana un tās ietekme uz institūcijām</w:t>
            </w:r>
          </w:p>
        </w:tc>
      </w:tr>
      <w:tr w:rsidR="00473656" w:rsidRPr="00473656" w:rsidTr="00AD7639">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jc w:val="both"/>
              <w:rPr>
                <w:sz w:val="25"/>
                <w:szCs w:val="25"/>
                <w:lang w:val="lv-LV"/>
              </w:rPr>
            </w:pPr>
            <w:r w:rsidRPr="00473656">
              <w:rPr>
                <w:sz w:val="25"/>
                <w:szCs w:val="25"/>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E068D8">
            <w:pPr>
              <w:ind w:firstLine="720"/>
              <w:jc w:val="both"/>
              <w:rPr>
                <w:sz w:val="25"/>
                <w:szCs w:val="25"/>
                <w:lang w:val="lv-LV"/>
              </w:rPr>
            </w:pPr>
            <w:r w:rsidRPr="00473656">
              <w:rPr>
                <w:sz w:val="25"/>
                <w:szCs w:val="25"/>
                <w:lang w:val="lv-LV"/>
              </w:rPr>
              <w:t>Ministru kabineta noteikum</w:t>
            </w:r>
            <w:r w:rsidR="00BF0CB0">
              <w:rPr>
                <w:sz w:val="25"/>
                <w:szCs w:val="25"/>
                <w:lang w:val="lv-LV"/>
              </w:rPr>
              <w:t xml:space="preserve">u projekta izpildi nodrošinās </w:t>
            </w:r>
            <w:r w:rsidR="00E068D8">
              <w:rPr>
                <w:sz w:val="25"/>
                <w:szCs w:val="25"/>
                <w:lang w:val="lv-LV"/>
              </w:rPr>
              <w:t>EM</w:t>
            </w:r>
            <w:r w:rsidRPr="00473656">
              <w:rPr>
                <w:sz w:val="25"/>
                <w:szCs w:val="25"/>
                <w:lang w:val="lv-LV"/>
              </w:rPr>
              <w:t xml:space="preserve"> un </w:t>
            </w:r>
            <w:r w:rsidR="00E068D8">
              <w:rPr>
                <w:sz w:val="25"/>
                <w:szCs w:val="25"/>
                <w:lang w:val="lv-LV"/>
              </w:rPr>
              <w:t>Attīstības finanšu institūcija.</w:t>
            </w:r>
          </w:p>
        </w:tc>
      </w:tr>
      <w:tr w:rsidR="00473656" w:rsidRPr="00473656" w:rsidTr="00AD7639">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jc w:val="both"/>
              <w:rPr>
                <w:sz w:val="25"/>
                <w:szCs w:val="25"/>
                <w:lang w:val="lv-LV"/>
              </w:rPr>
            </w:pPr>
            <w:r w:rsidRPr="00473656">
              <w:rPr>
                <w:sz w:val="25"/>
                <w:szCs w:val="25"/>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Projekta izpildes ietekme uz pārvaldes funkcijām un institucionālo struktūru. Jaunu institūciju izveide, esošu institūciju likvidācija vai reorganizācija, to ietekme uz institūcijas cilvēkresursiem.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ind w:firstLine="720"/>
              <w:jc w:val="both"/>
              <w:rPr>
                <w:sz w:val="25"/>
                <w:szCs w:val="25"/>
                <w:lang w:val="lv-LV"/>
              </w:rPr>
            </w:pPr>
            <w:r w:rsidRPr="00473656">
              <w:rPr>
                <w:sz w:val="25"/>
                <w:szCs w:val="25"/>
                <w:lang w:val="lv-LV"/>
              </w:rPr>
              <w:t>Ministru kabineta noteikumu proj</w:t>
            </w:r>
            <w:r w:rsidR="00BF0CB0">
              <w:rPr>
                <w:sz w:val="25"/>
                <w:szCs w:val="25"/>
                <w:lang w:val="lv-LV"/>
              </w:rPr>
              <w:t xml:space="preserve">ekta izpilde tiks nodrošināta </w:t>
            </w:r>
            <w:r w:rsidR="00E068D8">
              <w:rPr>
                <w:sz w:val="25"/>
                <w:szCs w:val="25"/>
                <w:lang w:val="lv-LV"/>
              </w:rPr>
              <w:t>EM un</w:t>
            </w:r>
            <w:r w:rsidRPr="00473656">
              <w:rPr>
                <w:sz w:val="25"/>
                <w:szCs w:val="25"/>
                <w:lang w:val="lv-LV"/>
              </w:rPr>
              <w:t xml:space="preserve"> </w:t>
            </w:r>
            <w:r w:rsidR="00E068D8">
              <w:rPr>
                <w:sz w:val="25"/>
                <w:szCs w:val="25"/>
                <w:lang w:val="lv-LV"/>
              </w:rPr>
              <w:t>Attīstības finanšu institūcijas</w:t>
            </w:r>
            <w:r w:rsidR="00E068D8" w:rsidRPr="00473656">
              <w:rPr>
                <w:sz w:val="25"/>
                <w:szCs w:val="25"/>
                <w:lang w:val="lv-LV"/>
              </w:rPr>
              <w:t xml:space="preserve"> </w:t>
            </w:r>
            <w:r w:rsidRPr="00473656">
              <w:rPr>
                <w:sz w:val="25"/>
                <w:szCs w:val="25"/>
                <w:lang w:val="lv-LV"/>
              </w:rPr>
              <w:t>esošo funkciju ietvaros.</w:t>
            </w:r>
          </w:p>
          <w:p w:rsidR="00473656" w:rsidRPr="00473656" w:rsidRDefault="00473656" w:rsidP="00473656">
            <w:pPr>
              <w:ind w:firstLine="720"/>
              <w:jc w:val="both"/>
              <w:rPr>
                <w:sz w:val="25"/>
                <w:szCs w:val="25"/>
                <w:lang w:val="lv-LV"/>
              </w:rPr>
            </w:pPr>
          </w:p>
        </w:tc>
      </w:tr>
      <w:tr w:rsidR="00473656" w:rsidRPr="00473656" w:rsidTr="00AD7639">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jc w:val="both"/>
              <w:rPr>
                <w:rFonts w:eastAsia="Times New Roman"/>
                <w:sz w:val="25"/>
                <w:szCs w:val="25"/>
                <w:lang w:val="lv-LV" w:eastAsia="lv-LV"/>
              </w:rPr>
            </w:pPr>
            <w:r w:rsidRPr="00473656">
              <w:rPr>
                <w:rFonts w:eastAsia="Times New Roman"/>
                <w:sz w:val="25"/>
                <w:szCs w:val="25"/>
                <w:lang w:val="lv-LV" w:eastAsia="lv-LV"/>
              </w:rPr>
              <w:t>3.</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rFonts w:eastAsia="Times New Roman"/>
                <w:sz w:val="25"/>
                <w:szCs w:val="25"/>
                <w:lang w:val="lv-LV" w:eastAsia="lv-LV"/>
              </w:rPr>
            </w:pPr>
            <w:r w:rsidRPr="00473656">
              <w:rPr>
                <w:rFonts w:eastAsia="Times New Roman"/>
                <w:sz w:val="25"/>
                <w:szCs w:val="25"/>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ind w:firstLine="720"/>
              <w:jc w:val="both"/>
              <w:rPr>
                <w:rFonts w:eastAsia="Times New Roman"/>
                <w:sz w:val="25"/>
                <w:szCs w:val="25"/>
                <w:lang w:val="lv-LV" w:eastAsia="lv-LV"/>
              </w:rPr>
            </w:pPr>
            <w:r w:rsidRPr="00473656">
              <w:rPr>
                <w:rFonts w:eastAsia="Times New Roman"/>
                <w:sz w:val="25"/>
                <w:szCs w:val="25"/>
                <w:lang w:val="lv-LV" w:eastAsia="lv-LV"/>
              </w:rPr>
              <w:t>Nav</w:t>
            </w:r>
            <w:r w:rsidR="00016DB0">
              <w:rPr>
                <w:rFonts w:eastAsia="Times New Roman"/>
                <w:sz w:val="25"/>
                <w:szCs w:val="25"/>
                <w:lang w:val="lv-LV" w:eastAsia="lv-LV"/>
              </w:rPr>
              <w:t>.</w:t>
            </w:r>
          </w:p>
        </w:tc>
      </w:tr>
    </w:tbl>
    <w:p w:rsidR="00016DB0" w:rsidRPr="001A4ACA" w:rsidRDefault="00D11308" w:rsidP="001A4ACA">
      <w:pPr>
        <w:ind w:firstLine="468"/>
        <w:jc w:val="both"/>
        <w:rPr>
          <w:rFonts w:eastAsia="Times New Roman"/>
          <w:sz w:val="25"/>
          <w:szCs w:val="25"/>
          <w:lang w:val="lv-LV" w:eastAsia="lv-LV"/>
        </w:rPr>
      </w:pPr>
      <w:r w:rsidRPr="00473656">
        <w:rPr>
          <w:rFonts w:eastAsia="Times New Roman"/>
          <w:sz w:val="25"/>
          <w:szCs w:val="25"/>
          <w:lang w:val="lv-LV" w:eastAsia="lv-LV"/>
        </w:rPr>
        <w:t> </w:t>
      </w:r>
    </w:p>
    <w:p w:rsidR="00E009B0" w:rsidRPr="00473656" w:rsidRDefault="003B0371" w:rsidP="00E009B0">
      <w:pPr>
        <w:rPr>
          <w:rFonts w:eastAsia="Times New Roman"/>
          <w:b/>
          <w:sz w:val="25"/>
          <w:szCs w:val="25"/>
          <w:lang w:val="lv-LV" w:eastAsia="lv-LV"/>
        </w:rPr>
        <w:sectPr w:rsidR="00E009B0" w:rsidRPr="00473656" w:rsidSect="00C97F6E">
          <w:type w:val="continuous"/>
          <w:pgSz w:w="11906" w:h="16838"/>
          <w:pgMar w:top="1418" w:right="1134" w:bottom="1134" w:left="1701" w:header="709" w:footer="709" w:gutter="0"/>
          <w:cols w:space="708"/>
          <w:titlePg/>
          <w:docGrid w:linePitch="360"/>
        </w:sectPr>
      </w:pPr>
      <w:r w:rsidRPr="00473656">
        <w:rPr>
          <w:rFonts w:eastAsia="Times New Roman"/>
          <w:b/>
          <w:sz w:val="25"/>
          <w:szCs w:val="25"/>
          <w:lang w:val="lv-LV" w:eastAsia="lv-LV"/>
        </w:rPr>
        <w:lastRenderedPageBreak/>
        <w:t>Anotācijas III</w:t>
      </w:r>
      <w:r w:rsidR="00473656" w:rsidRPr="00473656">
        <w:rPr>
          <w:rFonts w:eastAsia="Times New Roman"/>
          <w:b/>
          <w:sz w:val="25"/>
          <w:szCs w:val="25"/>
          <w:lang w:val="lv-LV" w:eastAsia="lv-LV"/>
        </w:rPr>
        <w:t>.</w:t>
      </w:r>
      <w:r w:rsidR="006079EF">
        <w:rPr>
          <w:rFonts w:eastAsia="Times New Roman"/>
          <w:b/>
          <w:sz w:val="25"/>
          <w:szCs w:val="25"/>
          <w:lang w:val="lv-LV" w:eastAsia="lv-LV"/>
        </w:rPr>
        <w:t xml:space="preserve"> un</w:t>
      </w:r>
      <w:r w:rsidR="007F0D89">
        <w:rPr>
          <w:rFonts w:eastAsia="Times New Roman"/>
          <w:b/>
          <w:sz w:val="25"/>
          <w:szCs w:val="25"/>
          <w:lang w:val="lv-LV" w:eastAsia="lv-LV"/>
        </w:rPr>
        <w:t xml:space="preserve"> </w:t>
      </w:r>
      <w:r w:rsidR="00CA787E">
        <w:rPr>
          <w:rFonts w:eastAsia="Times New Roman"/>
          <w:b/>
          <w:sz w:val="25"/>
          <w:szCs w:val="25"/>
          <w:lang w:val="lv-LV" w:eastAsia="lv-LV"/>
        </w:rPr>
        <w:t xml:space="preserve">IV. </w:t>
      </w:r>
      <w:r w:rsidR="00E009B0" w:rsidRPr="00473656">
        <w:rPr>
          <w:rFonts w:eastAsia="Times New Roman"/>
          <w:b/>
          <w:sz w:val="25"/>
          <w:szCs w:val="25"/>
          <w:lang w:val="lv-LV" w:eastAsia="lv-LV"/>
        </w:rPr>
        <w:t xml:space="preserve">sadaļa – projekts </w:t>
      </w:r>
      <w:r w:rsidR="00CA787E" w:rsidRPr="00473656">
        <w:rPr>
          <w:rFonts w:eastAsia="Times New Roman"/>
          <w:b/>
          <w:sz w:val="25"/>
          <w:szCs w:val="25"/>
          <w:lang w:val="lv-LV" w:eastAsia="lv-LV"/>
        </w:rPr>
        <w:t>š</w:t>
      </w:r>
      <w:r w:rsidR="00CA787E">
        <w:rPr>
          <w:rFonts w:eastAsia="Times New Roman"/>
          <w:b/>
          <w:sz w:val="25"/>
          <w:szCs w:val="25"/>
          <w:lang w:val="lv-LV" w:eastAsia="lv-LV"/>
        </w:rPr>
        <w:t>īs</w:t>
      </w:r>
      <w:r w:rsidR="00CA787E" w:rsidRPr="00473656">
        <w:rPr>
          <w:rFonts w:eastAsia="Times New Roman"/>
          <w:b/>
          <w:sz w:val="25"/>
          <w:szCs w:val="25"/>
          <w:lang w:val="lv-LV" w:eastAsia="lv-LV"/>
        </w:rPr>
        <w:t xml:space="preserve"> </w:t>
      </w:r>
      <w:r w:rsidR="00E009B0" w:rsidRPr="00473656">
        <w:rPr>
          <w:rFonts w:eastAsia="Times New Roman"/>
          <w:b/>
          <w:sz w:val="25"/>
          <w:szCs w:val="25"/>
          <w:lang w:val="lv-LV" w:eastAsia="lv-LV"/>
        </w:rPr>
        <w:t>jom</w:t>
      </w:r>
      <w:r w:rsidR="00CA787E">
        <w:rPr>
          <w:rFonts w:eastAsia="Times New Roman"/>
          <w:b/>
          <w:sz w:val="25"/>
          <w:szCs w:val="25"/>
          <w:lang w:val="lv-LV" w:eastAsia="lv-LV"/>
        </w:rPr>
        <w:t>as</w:t>
      </w:r>
      <w:r w:rsidR="00E009B0" w:rsidRPr="00473656">
        <w:rPr>
          <w:rFonts w:eastAsia="Times New Roman"/>
          <w:b/>
          <w:sz w:val="25"/>
          <w:szCs w:val="25"/>
          <w:lang w:val="lv-LV" w:eastAsia="lv-LV"/>
        </w:rPr>
        <w:t xml:space="preserve"> neskar</w:t>
      </w:r>
      <w:r w:rsidR="00CA787E">
        <w:rPr>
          <w:rFonts w:eastAsia="Times New Roman"/>
          <w:b/>
          <w:sz w:val="25"/>
          <w:szCs w:val="25"/>
          <w:lang w:val="lv-LV" w:eastAsia="lv-LV"/>
        </w:rPr>
        <w:t>.</w:t>
      </w:r>
    </w:p>
    <w:p w:rsidR="00E009B0" w:rsidRPr="00473656" w:rsidRDefault="00E009B0" w:rsidP="00F22471">
      <w:pPr>
        <w:tabs>
          <w:tab w:val="left" w:pos="7655"/>
        </w:tabs>
        <w:jc w:val="both"/>
        <w:rPr>
          <w:sz w:val="25"/>
          <w:szCs w:val="25"/>
          <w:lang w:val="lv-LV"/>
        </w:rPr>
      </w:pPr>
    </w:p>
    <w:p w:rsidR="00235168" w:rsidRDefault="00235168" w:rsidP="00F22471">
      <w:pPr>
        <w:tabs>
          <w:tab w:val="left" w:pos="7655"/>
        </w:tabs>
        <w:rPr>
          <w:sz w:val="25"/>
          <w:szCs w:val="25"/>
          <w:lang w:val="lv-LV"/>
        </w:rPr>
      </w:pPr>
    </w:p>
    <w:p w:rsidR="007F0D89" w:rsidRDefault="007F0D89" w:rsidP="00F22471">
      <w:pPr>
        <w:tabs>
          <w:tab w:val="left" w:pos="7655"/>
        </w:tabs>
        <w:rPr>
          <w:sz w:val="25"/>
          <w:szCs w:val="25"/>
          <w:lang w:val="lv-LV"/>
        </w:rPr>
      </w:pPr>
    </w:p>
    <w:p w:rsidR="007F0D89" w:rsidRDefault="007F0D89" w:rsidP="00F22471">
      <w:pPr>
        <w:tabs>
          <w:tab w:val="left" w:pos="7655"/>
        </w:tabs>
        <w:rPr>
          <w:sz w:val="25"/>
          <w:szCs w:val="25"/>
          <w:lang w:val="lv-LV"/>
        </w:rPr>
      </w:pPr>
    </w:p>
    <w:p w:rsidR="007F0D89" w:rsidRDefault="007F0D89" w:rsidP="00F22471">
      <w:pPr>
        <w:tabs>
          <w:tab w:val="left" w:pos="7655"/>
        </w:tabs>
        <w:rPr>
          <w:sz w:val="25"/>
          <w:szCs w:val="25"/>
          <w:lang w:val="lv-LV"/>
        </w:rPr>
      </w:pPr>
    </w:p>
    <w:p w:rsidR="001A4ACA" w:rsidRPr="00473656" w:rsidRDefault="001A4ACA" w:rsidP="00F22471">
      <w:pPr>
        <w:tabs>
          <w:tab w:val="left" w:pos="7655"/>
        </w:tabs>
        <w:rPr>
          <w:sz w:val="25"/>
          <w:szCs w:val="25"/>
          <w:lang w:val="lv-LV"/>
        </w:rPr>
      </w:pPr>
    </w:p>
    <w:p w:rsidR="00BE6E9C" w:rsidRPr="00473656" w:rsidRDefault="00BE6E9C" w:rsidP="00A43665">
      <w:pPr>
        <w:tabs>
          <w:tab w:val="right" w:pos="9072"/>
        </w:tabs>
        <w:rPr>
          <w:sz w:val="25"/>
          <w:szCs w:val="25"/>
          <w:lang w:val="lv-LV"/>
        </w:rPr>
      </w:pPr>
    </w:p>
    <w:p w:rsidR="00522B62" w:rsidRPr="001A4ACA" w:rsidRDefault="00E73425" w:rsidP="00A43665">
      <w:pPr>
        <w:tabs>
          <w:tab w:val="right" w:pos="9072"/>
        </w:tabs>
        <w:rPr>
          <w:sz w:val="26"/>
          <w:szCs w:val="26"/>
          <w:lang w:val="lv-LV"/>
        </w:rPr>
      </w:pPr>
      <w:r w:rsidRPr="001A4ACA">
        <w:rPr>
          <w:sz w:val="26"/>
          <w:szCs w:val="26"/>
          <w:lang w:val="lv-LV"/>
        </w:rPr>
        <w:t>Ekonomikas ministr</w:t>
      </w:r>
      <w:r w:rsidR="00431268" w:rsidRPr="001A4ACA">
        <w:rPr>
          <w:sz w:val="26"/>
          <w:szCs w:val="26"/>
          <w:lang w:val="lv-LV"/>
        </w:rPr>
        <w:t>e</w:t>
      </w:r>
      <w:r w:rsidR="00A43665" w:rsidRPr="001A4ACA">
        <w:rPr>
          <w:sz w:val="26"/>
          <w:szCs w:val="26"/>
          <w:lang w:val="lv-LV"/>
        </w:rPr>
        <w:tab/>
      </w:r>
      <w:r w:rsidR="00431268" w:rsidRPr="001A4ACA">
        <w:rPr>
          <w:sz w:val="26"/>
          <w:szCs w:val="26"/>
          <w:lang w:val="lv-LV"/>
        </w:rPr>
        <w:t>D.Reizniece-Ozola</w:t>
      </w:r>
      <w:r w:rsidR="00A43665" w:rsidRPr="001A4ACA">
        <w:rPr>
          <w:sz w:val="26"/>
          <w:szCs w:val="26"/>
          <w:lang w:val="lv-LV"/>
        </w:rPr>
        <w:tab/>
      </w:r>
      <w:r w:rsidR="00A43665" w:rsidRPr="001A4ACA">
        <w:rPr>
          <w:sz w:val="26"/>
          <w:szCs w:val="26"/>
          <w:lang w:val="lv-LV"/>
        </w:rPr>
        <w:tab/>
      </w:r>
      <w:r w:rsidR="00A43665" w:rsidRPr="001A4ACA">
        <w:rPr>
          <w:sz w:val="26"/>
          <w:szCs w:val="26"/>
          <w:lang w:val="lv-LV"/>
        </w:rPr>
        <w:tab/>
      </w:r>
      <w:r w:rsidR="00A43665" w:rsidRPr="001A4ACA">
        <w:rPr>
          <w:sz w:val="26"/>
          <w:szCs w:val="26"/>
          <w:lang w:val="lv-LV"/>
        </w:rPr>
        <w:tab/>
      </w:r>
      <w:r w:rsidR="00A43665" w:rsidRPr="001A4ACA">
        <w:rPr>
          <w:sz w:val="26"/>
          <w:szCs w:val="26"/>
          <w:lang w:val="lv-LV"/>
        </w:rPr>
        <w:tab/>
      </w:r>
      <w:r w:rsidR="00A43665" w:rsidRPr="001A4ACA">
        <w:rPr>
          <w:sz w:val="26"/>
          <w:szCs w:val="26"/>
          <w:lang w:val="lv-LV"/>
        </w:rPr>
        <w:tab/>
      </w:r>
    </w:p>
    <w:p w:rsidR="009D5C1D" w:rsidRPr="00473656" w:rsidRDefault="009D5C1D" w:rsidP="00F22471">
      <w:pPr>
        <w:tabs>
          <w:tab w:val="left" w:pos="8222"/>
        </w:tabs>
        <w:rPr>
          <w:sz w:val="25"/>
          <w:szCs w:val="25"/>
          <w:lang w:val="lv-LV"/>
        </w:rPr>
      </w:pPr>
    </w:p>
    <w:p w:rsidR="00BE6E9C" w:rsidRPr="00473656" w:rsidRDefault="00BE6E9C" w:rsidP="008E5F7D">
      <w:pPr>
        <w:tabs>
          <w:tab w:val="right" w:pos="9072"/>
        </w:tabs>
        <w:rPr>
          <w:sz w:val="25"/>
          <w:szCs w:val="25"/>
          <w:lang w:val="lv-LV"/>
        </w:rPr>
      </w:pPr>
    </w:p>
    <w:p w:rsidR="004060AA" w:rsidRDefault="00A120D3" w:rsidP="00016DB0">
      <w:pPr>
        <w:tabs>
          <w:tab w:val="right" w:pos="9071"/>
        </w:tabs>
        <w:jc w:val="both"/>
        <w:rPr>
          <w:rFonts w:eastAsiaTheme="minorEastAsia"/>
          <w:sz w:val="26"/>
          <w:szCs w:val="26"/>
          <w:lang w:val="lv-LV" w:eastAsia="ja-JP"/>
        </w:rPr>
      </w:pPr>
      <w:r w:rsidRPr="00A120D3">
        <w:rPr>
          <w:rFonts w:eastAsiaTheme="minorEastAsia"/>
          <w:sz w:val="26"/>
          <w:szCs w:val="26"/>
          <w:lang w:val="lv-LV" w:eastAsia="ja-JP"/>
        </w:rPr>
        <w:t xml:space="preserve">Vīza: Valsts </w:t>
      </w:r>
      <w:r w:rsidR="004060AA" w:rsidRPr="00A120D3">
        <w:rPr>
          <w:rFonts w:eastAsiaTheme="minorEastAsia"/>
          <w:sz w:val="26"/>
          <w:szCs w:val="26"/>
          <w:lang w:val="lv-LV" w:eastAsia="ja-JP"/>
        </w:rPr>
        <w:t>sekretār</w:t>
      </w:r>
      <w:r w:rsidR="004060AA">
        <w:rPr>
          <w:rFonts w:eastAsiaTheme="minorEastAsia"/>
          <w:sz w:val="26"/>
          <w:szCs w:val="26"/>
          <w:lang w:val="lv-LV" w:eastAsia="ja-JP"/>
        </w:rPr>
        <w:t>a pienākumu izpildītājs,</w:t>
      </w:r>
    </w:p>
    <w:p w:rsidR="00A120D3" w:rsidRPr="00A120D3" w:rsidRDefault="001A4ACA" w:rsidP="00016DB0">
      <w:pPr>
        <w:tabs>
          <w:tab w:val="right" w:pos="9071"/>
        </w:tabs>
        <w:jc w:val="both"/>
        <w:rPr>
          <w:rFonts w:eastAsiaTheme="minorEastAsia"/>
          <w:sz w:val="26"/>
          <w:szCs w:val="26"/>
          <w:lang w:val="lv-LV" w:eastAsia="ja-JP"/>
        </w:rPr>
      </w:pPr>
      <w:r>
        <w:rPr>
          <w:rFonts w:eastAsiaTheme="minorEastAsia"/>
          <w:sz w:val="26"/>
          <w:szCs w:val="26"/>
          <w:lang w:val="lv-LV" w:eastAsia="ja-JP"/>
        </w:rPr>
        <w:t>v</w:t>
      </w:r>
      <w:r w:rsidR="004060AA">
        <w:rPr>
          <w:rFonts w:eastAsiaTheme="minorEastAsia"/>
          <w:sz w:val="26"/>
          <w:szCs w:val="26"/>
          <w:lang w:val="lv-LV" w:eastAsia="ja-JP"/>
        </w:rPr>
        <w:t>alsts sekretāra vietnieks</w:t>
      </w:r>
      <w:r w:rsidR="00A120D3" w:rsidRPr="00A120D3">
        <w:rPr>
          <w:rFonts w:eastAsiaTheme="minorEastAsia"/>
          <w:sz w:val="26"/>
          <w:szCs w:val="26"/>
          <w:lang w:val="lv-LV" w:eastAsia="ja-JP"/>
        </w:rPr>
        <w:tab/>
      </w:r>
      <w:r w:rsidR="0041381B">
        <w:rPr>
          <w:rFonts w:eastAsiaTheme="minorEastAsia"/>
          <w:sz w:val="26"/>
          <w:szCs w:val="26"/>
          <w:lang w:val="lv-LV" w:eastAsia="ja-JP"/>
        </w:rPr>
        <w:t>J.Spiridonovs</w:t>
      </w:r>
    </w:p>
    <w:p w:rsidR="00BE6E9C" w:rsidRPr="00473656" w:rsidRDefault="00BE6E9C" w:rsidP="00F22471">
      <w:pPr>
        <w:jc w:val="both"/>
        <w:rPr>
          <w:color w:val="000000"/>
          <w:sz w:val="25"/>
          <w:szCs w:val="25"/>
          <w:lang w:val="lv-LV"/>
        </w:rPr>
      </w:pPr>
    </w:p>
    <w:p w:rsidR="00DD3D24" w:rsidRPr="00473656" w:rsidRDefault="00DD3D24" w:rsidP="00F22471">
      <w:pPr>
        <w:jc w:val="both"/>
        <w:rPr>
          <w:color w:val="000000"/>
          <w:sz w:val="26"/>
          <w:szCs w:val="26"/>
          <w:lang w:val="lv-LV"/>
        </w:rPr>
      </w:pPr>
    </w:p>
    <w:p w:rsidR="0018077F" w:rsidRDefault="0018077F" w:rsidP="00F22471">
      <w:pPr>
        <w:jc w:val="both"/>
        <w:rPr>
          <w:color w:val="000000"/>
          <w:sz w:val="26"/>
          <w:szCs w:val="26"/>
          <w:lang w:val="lv-LV"/>
        </w:rPr>
      </w:pPr>
    </w:p>
    <w:p w:rsidR="007F0D89" w:rsidRDefault="007F0D89" w:rsidP="00F22471">
      <w:pPr>
        <w:jc w:val="both"/>
        <w:rPr>
          <w:color w:val="000000"/>
          <w:sz w:val="26"/>
          <w:szCs w:val="26"/>
          <w:lang w:val="lv-LV"/>
        </w:rPr>
      </w:pPr>
    </w:p>
    <w:p w:rsidR="007F0D89" w:rsidRDefault="007F0D89" w:rsidP="00F22471">
      <w:pPr>
        <w:jc w:val="both"/>
        <w:rPr>
          <w:color w:val="000000"/>
          <w:sz w:val="26"/>
          <w:szCs w:val="26"/>
          <w:lang w:val="lv-LV"/>
        </w:rPr>
      </w:pPr>
    </w:p>
    <w:p w:rsidR="00DE7CE6" w:rsidRDefault="00DE7CE6" w:rsidP="00F22471">
      <w:pPr>
        <w:jc w:val="both"/>
        <w:rPr>
          <w:color w:val="000000"/>
          <w:sz w:val="26"/>
          <w:szCs w:val="26"/>
          <w:lang w:val="lv-LV"/>
        </w:rPr>
      </w:pPr>
    </w:p>
    <w:p w:rsidR="00DE7CE6" w:rsidRDefault="00DE7CE6" w:rsidP="00F22471">
      <w:pPr>
        <w:jc w:val="both"/>
        <w:rPr>
          <w:color w:val="000000"/>
          <w:sz w:val="26"/>
          <w:szCs w:val="26"/>
          <w:lang w:val="lv-LV"/>
        </w:rPr>
      </w:pPr>
    </w:p>
    <w:p w:rsidR="007F0D89" w:rsidRPr="00473656" w:rsidRDefault="007F0D89" w:rsidP="00F22471">
      <w:pPr>
        <w:jc w:val="both"/>
        <w:rPr>
          <w:color w:val="000000"/>
          <w:sz w:val="26"/>
          <w:szCs w:val="26"/>
          <w:lang w:val="lv-LV"/>
        </w:rPr>
      </w:pPr>
    </w:p>
    <w:p w:rsidR="00DD3D24" w:rsidRPr="0018077F" w:rsidRDefault="00DD3D24" w:rsidP="00F22471">
      <w:pPr>
        <w:jc w:val="both"/>
        <w:rPr>
          <w:color w:val="000000"/>
          <w:sz w:val="18"/>
          <w:szCs w:val="18"/>
          <w:lang w:val="lv-LV"/>
        </w:rPr>
      </w:pPr>
    </w:p>
    <w:p w:rsidR="00BF2F17" w:rsidRPr="0018077F" w:rsidRDefault="001A4ACA" w:rsidP="00F22471">
      <w:pPr>
        <w:jc w:val="both"/>
        <w:rPr>
          <w:sz w:val="18"/>
          <w:szCs w:val="18"/>
        </w:rPr>
      </w:pPr>
      <w:r>
        <w:rPr>
          <w:sz w:val="18"/>
          <w:szCs w:val="18"/>
        </w:rPr>
        <w:t>14</w:t>
      </w:r>
      <w:r w:rsidR="004C59F4">
        <w:rPr>
          <w:sz w:val="18"/>
          <w:szCs w:val="18"/>
        </w:rPr>
        <w:t>.</w:t>
      </w:r>
      <w:r w:rsidR="004060AA">
        <w:rPr>
          <w:sz w:val="18"/>
          <w:szCs w:val="18"/>
        </w:rPr>
        <w:t>0</w:t>
      </w:r>
      <w:r>
        <w:rPr>
          <w:sz w:val="18"/>
          <w:szCs w:val="18"/>
        </w:rPr>
        <w:t>5</w:t>
      </w:r>
      <w:r w:rsidR="004C59F4">
        <w:rPr>
          <w:sz w:val="18"/>
          <w:szCs w:val="18"/>
        </w:rPr>
        <w:t>.</w:t>
      </w:r>
      <w:r w:rsidR="007338D1">
        <w:rPr>
          <w:sz w:val="18"/>
          <w:szCs w:val="18"/>
        </w:rPr>
        <w:t xml:space="preserve">2015. </w:t>
      </w:r>
      <w:r w:rsidR="0041381B">
        <w:rPr>
          <w:sz w:val="18"/>
          <w:szCs w:val="18"/>
        </w:rPr>
        <w:t>12:40</w:t>
      </w:r>
      <w:bookmarkStart w:id="6" w:name="_GoBack"/>
      <w:bookmarkEnd w:id="6"/>
    </w:p>
    <w:p w:rsidR="00BF2F17" w:rsidRPr="0018077F" w:rsidRDefault="001A4ACA" w:rsidP="00F22471">
      <w:pPr>
        <w:jc w:val="both"/>
        <w:rPr>
          <w:sz w:val="18"/>
          <w:szCs w:val="18"/>
        </w:rPr>
      </w:pPr>
      <w:r>
        <w:rPr>
          <w:sz w:val="18"/>
          <w:szCs w:val="18"/>
        </w:rPr>
        <w:t>2921</w:t>
      </w:r>
    </w:p>
    <w:p w:rsidR="00643B54" w:rsidRPr="0018077F" w:rsidRDefault="00431268" w:rsidP="00F22471">
      <w:pPr>
        <w:jc w:val="both"/>
        <w:rPr>
          <w:color w:val="000000"/>
          <w:sz w:val="18"/>
          <w:szCs w:val="18"/>
          <w:lang w:val="lv-LV"/>
        </w:rPr>
      </w:pPr>
      <w:r>
        <w:rPr>
          <w:color w:val="000000"/>
          <w:sz w:val="18"/>
          <w:szCs w:val="18"/>
          <w:lang w:val="lv-LV"/>
        </w:rPr>
        <w:t>A.Nicmane</w:t>
      </w:r>
    </w:p>
    <w:p w:rsidR="00097583" w:rsidRPr="0018077F" w:rsidRDefault="00B74BCA" w:rsidP="00F22471">
      <w:pPr>
        <w:jc w:val="both"/>
        <w:rPr>
          <w:color w:val="000000"/>
          <w:sz w:val="18"/>
          <w:szCs w:val="18"/>
          <w:lang w:val="lv-LV"/>
        </w:rPr>
      </w:pPr>
      <w:r w:rsidRPr="0018077F">
        <w:rPr>
          <w:sz w:val="18"/>
          <w:szCs w:val="18"/>
          <w:lang w:val="lv-LV"/>
        </w:rPr>
        <w:t>67013</w:t>
      </w:r>
      <w:r w:rsidR="00431268">
        <w:rPr>
          <w:sz w:val="18"/>
          <w:szCs w:val="18"/>
          <w:lang w:val="lv-LV"/>
        </w:rPr>
        <w:t>203</w:t>
      </w:r>
      <w:r w:rsidR="00386053" w:rsidRPr="0018077F">
        <w:rPr>
          <w:sz w:val="18"/>
          <w:szCs w:val="18"/>
          <w:lang w:val="lv-LV"/>
        </w:rPr>
        <w:t>,</w:t>
      </w:r>
      <w:r w:rsidRPr="0018077F">
        <w:rPr>
          <w:sz w:val="18"/>
          <w:szCs w:val="18"/>
          <w:lang w:val="lv-LV"/>
        </w:rPr>
        <w:t xml:space="preserve"> </w:t>
      </w:r>
      <w:hyperlink r:id="rId15" w:history="1">
        <w:r w:rsidR="00431268" w:rsidRPr="000D2E20">
          <w:rPr>
            <w:rStyle w:val="Hyperlink"/>
            <w:sz w:val="18"/>
            <w:szCs w:val="18"/>
            <w:lang w:val="lv-LV"/>
          </w:rPr>
          <w:t>Agita.Nicmane@em.gov.lv</w:t>
        </w:r>
      </w:hyperlink>
    </w:p>
    <w:sectPr w:rsidR="00097583" w:rsidRPr="0018077F"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FA" w:rsidRDefault="00C408FA" w:rsidP="00B014C2">
      <w:r>
        <w:separator/>
      </w:r>
    </w:p>
  </w:endnote>
  <w:endnote w:type="continuationSeparator" w:id="0">
    <w:p w:rsidR="00C408FA" w:rsidRDefault="00C408FA"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7F0D89" w:rsidRDefault="00685C39" w:rsidP="00D7256E">
    <w:pPr>
      <w:pStyle w:val="BodyText"/>
      <w:rPr>
        <w:sz w:val="20"/>
      </w:rPr>
    </w:pPr>
    <w:r w:rsidRPr="007F0D89">
      <w:rPr>
        <w:sz w:val="20"/>
      </w:rPr>
      <w:t>EMAnot_</w:t>
    </w:r>
    <w:r w:rsidR="00CB749F">
      <w:rPr>
        <w:sz w:val="20"/>
      </w:rPr>
      <w:t>14</w:t>
    </w:r>
    <w:r w:rsidR="00505C07">
      <w:rPr>
        <w:sz w:val="20"/>
      </w:rPr>
      <w:t>0</w:t>
    </w:r>
    <w:r w:rsidR="00CB749F">
      <w:rPr>
        <w:sz w:val="20"/>
      </w:rPr>
      <w:t>5</w:t>
    </w:r>
    <w:r w:rsidR="00271575" w:rsidRPr="007F0D89">
      <w:rPr>
        <w:sz w:val="20"/>
      </w:rPr>
      <w:t>15</w:t>
    </w:r>
    <w:r w:rsidR="001F6639">
      <w:rPr>
        <w:sz w:val="20"/>
      </w:rPr>
      <w:t>_groz997</w:t>
    </w:r>
    <w:r w:rsidR="00511C7D" w:rsidRPr="007F0D89">
      <w:rPr>
        <w:sz w:val="20"/>
      </w:rPr>
      <w:t xml:space="preserve">; </w:t>
    </w:r>
    <w:bookmarkStart w:id="0" w:name="OLE_LINK12"/>
    <w:bookmarkStart w:id="1" w:name="OLE_LINK13"/>
    <w:bookmarkStart w:id="2" w:name="_Hlk259447629"/>
    <w:r w:rsidR="00511C7D" w:rsidRPr="007F0D89">
      <w:rPr>
        <w:sz w:val="20"/>
      </w:rPr>
      <w:t xml:space="preserve">Ministru kabineta noteikumu projekta </w:t>
    </w:r>
    <w:r w:rsidR="001F6639">
      <w:rPr>
        <w:sz w:val="20"/>
      </w:rPr>
      <w:t>„</w:t>
    </w:r>
    <w:r w:rsidR="001F6639" w:rsidRPr="001F6639">
      <w:rPr>
        <w:sz w:val="20"/>
      </w:rPr>
      <w:t>Grozījumi Ministru kabineta 2010.gada 26.oktobra noteikumos Nr.997 „Noteikumi par garantijām komersantu un atbilstošu lauksaimniecības pakalpojumu kooperatīvo sabiedrību konkurētspējas uzlabošanai”</w:t>
    </w:r>
    <w:r w:rsidR="001F6639">
      <w:rPr>
        <w:sz w:val="20"/>
      </w:rPr>
      <w:t>”</w:t>
    </w:r>
    <w:r w:rsidR="00655415" w:rsidRPr="007F0D89">
      <w:rPr>
        <w:sz w:val="20"/>
      </w:rPr>
      <w:t xml:space="preserve">  </w:t>
    </w:r>
    <w:r w:rsidR="00511C7D" w:rsidRPr="007F0D89">
      <w:rPr>
        <w:sz w:val="20"/>
      </w:rPr>
      <w:t xml:space="preserve">sākotnējās ietekmes novērtējuma </w:t>
    </w:r>
    <w:smartTag w:uri="schemas-tilde-lv/tildestengine" w:element="veidnes">
      <w:smartTagPr>
        <w:attr w:name="text" w:val="ziņojums"/>
        <w:attr w:name="baseform" w:val="ziņojums"/>
        <w:attr w:name="id" w:val="-1"/>
      </w:smartTagPr>
      <w:r w:rsidR="00511C7D" w:rsidRPr="007F0D89">
        <w:rPr>
          <w:sz w:val="20"/>
        </w:rPr>
        <w:t>ziņojums</w:t>
      </w:r>
    </w:smartTag>
    <w:r w:rsidR="00511C7D" w:rsidRPr="007F0D89">
      <w:rPr>
        <w:sz w:val="20"/>
      </w:rPr>
      <w:t xml:space="preserve">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C2" w:rsidRPr="00E649C2" w:rsidRDefault="001F6639" w:rsidP="00E649C2">
    <w:pPr>
      <w:pStyle w:val="BodyText"/>
      <w:rPr>
        <w:sz w:val="20"/>
      </w:rPr>
    </w:pPr>
    <w:r w:rsidRPr="007F0D89">
      <w:rPr>
        <w:sz w:val="20"/>
      </w:rPr>
      <w:t>EMAnot_</w:t>
    </w:r>
    <w:r w:rsidR="00E649C2">
      <w:rPr>
        <w:sz w:val="20"/>
      </w:rPr>
      <w:t>14</w:t>
    </w:r>
    <w:r w:rsidR="00505C07">
      <w:rPr>
        <w:sz w:val="20"/>
      </w:rPr>
      <w:t>0</w:t>
    </w:r>
    <w:r w:rsidR="00E649C2">
      <w:rPr>
        <w:sz w:val="20"/>
      </w:rPr>
      <w:t>5</w:t>
    </w:r>
    <w:r w:rsidR="00271575" w:rsidRPr="007F0D89">
      <w:rPr>
        <w:sz w:val="20"/>
      </w:rPr>
      <w:t>15</w:t>
    </w:r>
    <w:r>
      <w:rPr>
        <w:sz w:val="20"/>
      </w:rPr>
      <w:t>_groz997</w:t>
    </w:r>
    <w:r w:rsidRPr="007F0D89">
      <w:rPr>
        <w:sz w:val="20"/>
      </w:rPr>
      <w:t xml:space="preserve">; Ministru kabineta noteikumu projekta </w:t>
    </w:r>
    <w:r>
      <w:rPr>
        <w:sz w:val="20"/>
      </w:rPr>
      <w:t>„</w:t>
    </w:r>
    <w:r w:rsidRPr="001F6639">
      <w:rPr>
        <w:sz w:val="20"/>
      </w:rPr>
      <w:t>Grozījumi Ministru kabineta 2010.gada 26.oktobra noteikumos Nr.997 „Noteikumi par garantijām komersantu un atbilstošu lauksaimniecības pakalpojumu kooperatīvo sabiedrību konkurētspējas uzlabošanai”</w:t>
    </w:r>
    <w:r>
      <w:rPr>
        <w:sz w:val="20"/>
      </w:rPr>
      <w:t>”</w:t>
    </w:r>
    <w:r w:rsidRPr="007F0D89">
      <w:rPr>
        <w:sz w:val="20"/>
      </w:rPr>
      <w:t xml:space="preserve">  sākotnējās ietekmes novērtējuma </w:t>
    </w:r>
    <w:smartTag w:uri="schemas-tilde-lv/tildestengine" w:element="veidnes">
      <w:smartTagPr>
        <w:attr w:name="text" w:val="ziņojums"/>
        <w:attr w:name="baseform" w:val="ziņojums"/>
        <w:attr w:name="id" w:val="-1"/>
      </w:smartTagPr>
      <w:r w:rsidRPr="007F0D89">
        <w:rPr>
          <w:sz w:val="20"/>
        </w:rPr>
        <w:t>ziņojums</w:t>
      </w:r>
    </w:smartTag>
    <w:r w:rsidRPr="007F0D89">
      <w:rPr>
        <w:sz w:val="20"/>
      </w:rPr>
      <w:t xml:space="preserve"> (anotācija)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D1269B" w:rsidRDefault="00D1269B" w:rsidP="00D1269B">
    <w:pPr>
      <w:pStyle w:val="Footer"/>
      <w:jc w:val="both"/>
    </w:pPr>
    <w:r w:rsidRPr="00D1269B">
      <w:rPr>
        <w:rFonts w:eastAsia="Times New Roman"/>
        <w:lang w:val="lv-LV" w:eastAsia="lv-LV"/>
      </w:rPr>
      <w:t xml:space="preserve">EMAnot_220115_groz327; Ministru kabineta noteikumu projekta „Grozījumi Ministru kabineta 2013.gada 18.jūnija noteikumos Nr.327 „Noteikumi par </w:t>
    </w:r>
    <w:proofErr w:type="spellStart"/>
    <w:r w:rsidRPr="00D1269B">
      <w:rPr>
        <w:rFonts w:eastAsia="Times New Roman"/>
        <w:lang w:val="lv-LV" w:eastAsia="lv-LV"/>
      </w:rPr>
      <w:t>mikroaizdevumiem</w:t>
    </w:r>
    <w:proofErr w:type="spellEnd"/>
    <w:r w:rsidRPr="00D1269B">
      <w:rPr>
        <w:rFonts w:eastAsia="Times New Roman"/>
        <w:lang w:val="lv-LV" w:eastAsia="lv-LV"/>
      </w:rPr>
      <w:t xml:space="preserve"> saimnieciskās darbības veicēju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FA" w:rsidRDefault="00C408FA" w:rsidP="00B014C2">
      <w:r>
        <w:separator/>
      </w:r>
    </w:p>
  </w:footnote>
  <w:footnote w:type="continuationSeparator" w:id="0">
    <w:p w:rsidR="00C408FA" w:rsidRDefault="00C408FA"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1381B">
          <w:rPr>
            <w:noProof/>
            <w:sz w:val="24"/>
            <w:szCs w:val="24"/>
          </w:rPr>
          <w:t>11</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B56666D"/>
    <w:multiLevelType w:val="hybridMultilevel"/>
    <w:tmpl w:val="20DC0534"/>
    <w:lvl w:ilvl="0" w:tplc="AC56F7C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1C16633"/>
    <w:multiLevelType w:val="hybridMultilevel"/>
    <w:tmpl w:val="26B8D6F2"/>
    <w:lvl w:ilvl="0" w:tplc="AC56F7C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4">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22A5CBC"/>
    <w:multiLevelType w:val="hybridMultilevel"/>
    <w:tmpl w:val="20DC0534"/>
    <w:lvl w:ilvl="0" w:tplc="AC56F7C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79F0E6F"/>
    <w:multiLevelType w:val="hybridMultilevel"/>
    <w:tmpl w:val="9974A5A6"/>
    <w:lvl w:ilvl="0" w:tplc="C4AA4AA8">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2">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3">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1"/>
  </w:num>
  <w:num w:numId="2">
    <w:abstractNumId w:val="10"/>
  </w:num>
  <w:num w:numId="3">
    <w:abstractNumId w:val="17"/>
  </w:num>
  <w:num w:numId="4">
    <w:abstractNumId w:val="3"/>
  </w:num>
  <w:num w:numId="5">
    <w:abstractNumId w:val="1"/>
  </w:num>
  <w:num w:numId="6">
    <w:abstractNumId w:val="14"/>
  </w:num>
  <w:num w:numId="7">
    <w:abstractNumId w:val="23"/>
  </w:num>
  <w:num w:numId="8">
    <w:abstractNumId w:val="9"/>
  </w:num>
  <w:num w:numId="9">
    <w:abstractNumId w:val="15"/>
  </w:num>
  <w:num w:numId="10">
    <w:abstractNumId w:val="19"/>
  </w:num>
  <w:num w:numId="11">
    <w:abstractNumId w:val="5"/>
  </w:num>
  <w:num w:numId="12">
    <w:abstractNumId w:val="11"/>
  </w:num>
  <w:num w:numId="13">
    <w:abstractNumId w:val="22"/>
  </w:num>
  <w:num w:numId="14">
    <w:abstractNumId w:val="4"/>
  </w:num>
  <w:num w:numId="15">
    <w:abstractNumId w:val="8"/>
  </w:num>
  <w:num w:numId="16">
    <w:abstractNumId w:val="13"/>
  </w:num>
  <w:num w:numId="17">
    <w:abstractNumId w:val="0"/>
  </w:num>
  <w:num w:numId="18">
    <w:abstractNumId w:val="2"/>
  </w:num>
  <w:num w:numId="19">
    <w:abstractNumId w:val="20"/>
  </w:num>
  <w:num w:numId="20">
    <w:abstractNumId w:val="7"/>
  </w:num>
  <w:num w:numId="21">
    <w:abstractNumId w:val="18"/>
  </w:num>
  <w:num w:numId="22">
    <w:abstractNumId w:val="16"/>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66D5"/>
    <w:rsid w:val="00016DB0"/>
    <w:rsid w:val="0001764D"/>
    <w:rsid w:val="00020A02"/>
    <w:rsid w:val="000214DF"/>
    <w:rsid w:val="00026BA7"/>
    <w:rsid w:val="00026C03"/>
    <w:rsid w:val="000275AB"/>
    <w:rsid w:val="0002762A"/>
    <w:rsid w:val="000306C7"/>
    <w:rsid w:val="00031099"/>
    <w:rsid w:val="00031ED3"/>
    <w:rsid w:val="000320DD"/>
    <w:rsid w:val="00034B14"/>
    <w:rsid w:val="0003693D"/>
    <w:rsid w:val="00036E03"/>
    <w:rsid w:val="000378F0"/>
    <w:rsid w:val="0004167C"/>
    <w:rsid w:val="000422F9"/>
    <w:rsid w:val="000445F3"/>
    <w:rsid w:val="000467E4"/>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4E"/>
    <w:rsid w:val="00091DBA"/>
    <w:rsid w:val="00092473"/>
    <w:rsid w:val="00094353"/>
    <w:rsid w:val="00097583"/>
    <w:rsid w:val="000A164A"/>
    <w:rsid w:val="000A3A2F"/>
    <w:rsid w:val="000A402E"/>
    <w:rsid w:val="000A4AED"/>
    <w:rsid w:val="000A548B"/>
    <w:rsid w:val="000A5FB9"/>
    <w:rsid w:val="000B0719"/>
    <w:rsid w:val="000B08FC"/>
    <w:rsid w:val="000B10BD"/>
    <w:rsid w:val="000B2AE3"/>
    <w:rsid w:val="000B5B6D"/>
    <w:rsid w:val="000C522B"/>
    <w:rsid w:val="000D0388"/>
    <w:rsid w:val="000D19C8"/>
    <w:rsid w:val="000D2F05"/>
    <w:rsid w:val="000D4DC9"/>
    <w:rsid w:val="000D6DF2"/>
    <w:rsid w:val="000E2F17"/>
    <w:rsid w:val="000E409F"/>
    <w:rsid w:val="000E4277"/>
    <w:rsid w:val="000E76F0"/>
    <w:rsid w:val="000F0232"/>
    <w:rsid w:val="000F57B6"/>
    <w:rsid w:val="000F6C72"/>
    <w:rsid w:val="000F6E9E"/>
    <w:rsid w:val="001000B5"/>
    <w:rsid w:val="001002E4"/>
    <w:rsid w:val="0010079A"/>
    <w:rsid w:val="0010385C"/>
    <w:rsid w:val="00103CD4"/>
    <w:rsid w:val="00103FE1"/>
    <w:rsid w:val="0010410B"/>
    <w:rsid w:val="001047E8"/>
    <w:rsid w:val="0011101E"/>
    <w:rsid w:val="00115E25"/>
    <w:rsid w:val="0011777C"/>
    <w:rsid w:val="00120651"/>
    <w:rsid w:val="0012067B"/>
    <w:rsid w:val="00120C26"/>
    <w:rsid w:val="001232D1"/>
    <w:rsid w:val="001254CC"/>
    <w:rsid w:val="001267F1"/>
    <w:rsid w:val="001305B3"/>
    <w:rsid w:val="00130D33"/>
    <w:rsid w:val="00131980"/>
    <w:rsid w:val="00131C62"/>
    <w:rsid w:val="0013296D"/>
    <w:rsid w:val="00134E0F"/>
    <w:rsid w:val="001361AE"/>
    <w:rsid w:val="001428EB"/>
    <w:rsid w:val="00142A69"/>
    <w:rsid w:val="00142AC2"/>
    <w:rsid w:val="00142CBB"/>
    <w:rsid w:val="00144D39"/>
    <w:rsid w:val="0014615F"/>
    <w:rsid w:val="001461D5"/>
    <w:rsid w:val="00153C1A"/>
    <w:rsid w:val="00155953"/>
    <w:rsid w:val="001611D0"/>
    <w:rsid w:val="0017312C"/>
    <w:rsid w:val="001733BE"/>
    <w:rsid w:val="0017472D"/>
    <w:rsid w:val="00175029"/>
    <w:rsid w:val="001764E7"/>
    <w:rsid w:val="0018077F"/>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A4ACA"/>
    <w:rsid w:val="001B0C97"/>
    <w:rsid w:val="001B262F"/>
    <w:rsid w:val="001B3236"/>
    <w:rsid w:val="001B4EB9"/>
    <w:rsid w:val="001B5566"/>
    <w:rsid w:val="001B5F59"/>
    <w:rsid w:val="001B6F62"/>
    <w:rsid w:val="001B6F7F"/>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6639"/>
    <w:rsid w:val="001F7527"/>
    <w:rsid w:val="00200612"/>
    <w:rsid w:val="00203B8B"/>
    <w:rsid w:val="00205FEE"/>
    <w:rsid w:val="0021241F"/>
    <w:rsid w:val="00213D6A"/>
    <w:rsid w:val="0021418C"/>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BBF"/>
    <w:rsid w:val="00234C58"/>
    <w:rsid w:val="00234DDC"/>
    <w:rsid w:val="00235168"/>
    <w:rsid w:val="00236989"/>
    <w:rsid w:val="002428B8"/>
    <w:rsid w:val="00245D09"/>
    <w:rsid w:val="00247529"/>
    <w:rsid w:val="002507A0"/>
    <w:rsid w:val="002523D8"/>
    <w:rsid w:val="00253072"/>
    <w:rsid w:val="002543B5"/>
    <w:rsid w:val="0025484B"/>
    <w:rsid w:val="00254EEA"/>
    <w:rsid w:val="00257EAE"/>
    <w:rsid w:val="00261B9F"/>
    <w:rsid w:val="0026446F"/>
    <w:rsid w:val="00265C1B"/>
    <w:rsid w:val="00267243"/>
    <w:rsid w:val="002701D0"/>
    <w:rsid w:val="002702EB"/>
    <w:rsid w:val="00271575"/>
    <w:rsid w:val="00271EC3"/>
    <w:rsid w:val="002731BB"/>
    <w:rsid w:val="00280A6B"/>
    <w:rsid w:val="00284232"/>
    <w:rsid w:val="00285613"/>
    <w:rsid w:val="00285CAB"/>
    <w:rsid w:val="0028698C"/>
    <w:rsid w:val="00287254"/>
    <w:rsid w:val="00290331"/>
    <w:rsid w:val="0029306A"/>
    <w:rsid w:val="002954D4"/>
    <w:rsid w:val="00295C0F"/>
    <w:rsid w:val="00297E4A"/>
    <w:rsid w:val="002A0052"/>
    <w:rsid w:val="002A0CEE"/>
    <w:rsid w:val="002A6A9D"/>
    <w:rsid w:val="002B30A6"/>
    <w:rsid w:val="002B34B0"/>
    <w:rsid w:val="002B4D01"/>
    <w:rsid w:val="002B667D"/>
    <w:rsid w:val="002B768A"/>
    <w:rsid w:val="002C0E0E"/>
    <w:rsid w:val="002C20C8"/>
    <w:rsid w:val="002C4039"/>
    <w:rsid w:val="002D048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1A0A"/>
    <w:rsid w:val="00302300"/>
    <w:rsid w:val="00305C8B"/>
    <w:rsid w:val="00311D17"/>
    <w:rsid w:val="003124BE"/>
    <w:rsid w:val="00314594"/>
    <w:rsid w:val="00314A13"/>
    <w:rsid w:val="00315BB0"/>
    <w:rsid w:val="00320EB0"/>
    <w:rsid w:val="00321E80"/>
    <w:rsid w:val="00322A15"/>
    <w:rsid w:val="00324552"/>
    <w:rsid w:val="00324F11"/>
    <w:rsid w:val="00327BF6"/>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63B5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371"/>
    <w:rsid w:val="003B04FD"/>
    <w:rsid w:val="003B060D"/>
    <w:rsid w:val="003B2464"/>
    <w:rsid w:val="003B3003"/>
    <w:rsid w:val="003B3450"/>
    <w:rsid w:val="003B4994"/>
    <w:rsid w:val="003B4A90"/>
    <w:rsid w:val="003B5399"/>
    <w:rsid w:val="003B590B"/>
    <w:rsid w:val="003C1C94"/>
    <w:rsid w:val="003C406A"/>
    <w:rsid w:val="003C5329"/>
    <w:rsid w:val="003D083C"/>
    <w:rsid w:val="003D3345"/>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0AA"/>
    <w:rsid w:val="00406C83"/>
    <w:rsid w:val="004074FD"/>
    <w:rsid w:val="00410EC7"/>
    <w:rsid w:val="00410FEE"/>
    <w:rsid w:val="0041381B"/>
    <w:rsid w:val="00414CC7"/>
    <w:rsid w:val="00415C03"/>
    <w:rsid w:val="00416C3A"/>
    <w:rsid w:val="00420FC8"/>
    <w:rsid w:val="0042129F"/>
    <w:rsid w:val="0042154E"/>
    <w:rsid w:val="004232D7"/>
    <w:rsid w:val="0042395B"/>
    <w:rsid w:val="0042472B"/>
    <w:rsid w:val="00431268"/>
    <w:rsid w:val="00431CB5"/>
    <w:rsid w:val="00434ACC"/>
    <w:rsid w:val="00435CDA"/>
    <w:rsid w:val="00436083"/>
    <w:rsid w:val="00436E46"/>
    <w:rsid w:val="00436E6A"/>
    <w:rsid w:val="0044105C"/>
    <w:rsid w:val="004413C4"/>
    <w:rsid w:val="00441C3F"/>
    <w:rsid w:val="004426FC"/>
    <w:rsid w:val="00442884"/>
    <w:rsid w:val="00443B04"/>
    <w:rsid w:val="0044567A"/>
    <w:rsid w:val="004465FC"/>
    <w:rsid w:val="004470A5"/>
    <w:rsid w:val="004522D7"/>
    <w:rsid w:val="004527EA"/>
    <w:rsid w:val="00457B62"/>
    <w:rsid w:val="00457CC8"/>
    <w:rsid w:val="00460A29"/>
    <w:rsid w:val="00472EF3"/>
    <w:rsid w:val="00473656"/>
    <w:rsid w:val="00475A76"/>
    <w:rsid w:val="004775F4"/>
    <w:rsid w:val="00484C10"/>
    <w:rsid w:val="00485E0B"/>
    <w:rsid w:val="00486BD6"/>
    <w:rsid w:val="00487753"/>
    <w:rsid w:val="0049013B"/>
    <w:rsid w:val="00491A8C"/>
    <w:rsid w:val="00491F0A"/>
    <w:rsid w:val="004960FB"/>
    <w:rsid w:val="00497086"/>
    <w:rsid w:val="004A22E5"/>
    <w:rsid w:val="004A554F"/>
    <w:rsid w:val="004B18A4"/>
    <w:rsid w:val="004B1D7A"/>
    <w:rsid w:val="004B1FE7"/>
    <w:rsid w:val="004B3D19"/>
    <w:rsid w:val="004B77C0"/>
    <w:rsid w:val="004C1463"/>
    <w:rsid w:val="004C59F4"/>
    <w:rsid w:val="004D4997"/>
    <w:rsid w:val="004D54CD"/>
    <w:rsid w:val="004D6EF0"/>
    <w:rsid w:val="004D790D"/>
    <w:rsid w:val="004E01F5"/>
    <w:rsid w:val="004E3075"/>
    <w:rsid w:val="004E7B96"/>
    <w:rsid w:val="004F0E94"/>
    <w:rsid w:val="004F178A"/>
    <w:rsid w:val="004F2331"/>
    <w:rsid w:val="004F2B79"/>
    <w:rsid w:val="004F522E"/>
    <w:rsid w:val="004F7434"/>
    <w:rsid w:val="00501F08"/>
    <w:rsid w:val="00502247"/>
    <w:rsid w:val="00503D5C"/>
    <w:rsid w:val="00505A0D"/>
    <w:rsid w:val="00505B7D"/>
    <w:rsid w:val="00505C07"/>
    <w:rsid w:val="00506DDA"/>
    <w:rsid w:val="0050790B"/>
    <w:rsid w:val="00510235"/>
    <w:rsid w:val="00510744"/>
    <w:rsid w:val="00511ADB"/>
    <w:rsid w:val="00511C7D"/>
    <w:rsid w:val="0051358D"/>
    <w:rsid w:val="00513AF6"/>
    <w:rsid w:val="00517C20"/>
    <w:rsid w:val="00522B62"/>
    <w:rsid w:val="00524D01"/>
    <w:rsid w:val="005254AB"/>
    <w:rsid w:val="00530C47"/>
    <w:rsid w:val="00531687"/>
    <w:rsid w:val="00532532"/>
    <w:rsid w:val="00532DD4"/>
    <w:rsid w:val="00532EE4"/>
    <w:rsid w:val="00532FEB"/>
    <w:rsid w:val="00537A29"/>
    <w:rsid w:val="005422C3"/>
    <w:rsid w:val="00542739"/>
    <w:rsid w:val="00542F49"/>
    <w:rsid w:val="00543052"/>
    <w:rsid w:val="00546599"/>
    <w:rsid w:val="00546E77"/>
    <w:rsid w:val="00554774"/>
    <w:rsid w:val="00554A7A"/>
    <w:rsid w:val="00557370"/>
    <w:rsid w:val="005631C8"/>
    <w:rsid w:val="0056506A"/>
    <w:rsid w:val="005663B6"/>
    <w:rsid w:val="0056795E"/>
    <w:rsid w:val="00570B3E"/>
    <w:rsid w:val="005747E7"/>
    <w:rsid w:val="0057501D"/>
    <w:rsid w:val="00576AEE"/>
    <w:rsid w:val="00576D8A"/>
    <w:rsid w:val="00580317"/>
    <w:rsid w:val="0058086F"/>
    <w:rsid w:val="0058249F"/>
    <w:rsid w:val="005831B8"/>
    <w:rsid w:val="0058422C"/>
    <w:rsid w:val="0058679B"/>
    <w:rsid w:val="005877DA"/>
    <w:rsid w:val="00593CA6"/>
    <w:rsid w:val="0059700D"/>
    <w:rsid w:val="00597137"/>
    <w:rsid w:val="00597231"/>
    <w:rsid w:val="005A1A83"/>
    <w:rsid w:val="005A1D6F"/>
    <w:rsid w:val="005A2A2D"/>
    <w:rsid w:val="005A37FF"/>
    <w:rsid w:val="005A6E2E"/>
    <w:rsid w:val="005B29DE"/>
    <w:rsid w:val="005B4307"/>
    <w:rsid w:val="005C1382"/>
    <w:rsid w:val="005C251D"/>
    <w:rsid w:val="005C4038"/>
    <w:rsid w:val="005C6DDB"/>
    <w:rsid w:val="005D1220"/>
    <w:rsid w:val="005D3658"/>
    <w:rsid w:val="005D4522"/>
    <w:rsid w:val="005D6171"/>
    <w:rsid w:val="005E3622"/>
    <w:rsid w:val="005E4730"/>
    <w:rsid w:val="005E713D"/>
    <w:rsid w:val="005F09EC"/>
    <w:rsid w:val="005F3202"/>
    <w:rsid w:val="00607722"/>
    <w:rsid w:val="006079EF"/>
    <w:rsid w:val="00610DDF"/>
    <w:rsid w:val="00614602"/>
    <w:rsid w:val="00615B53"/>
    <w:rsid w:val="006218A6"/>
    <w:rsid w:val="00625D54"/>
    <w:rsid w:val="00626F78"/>
    <w:rsid w:val="00630367"/>
    <w:rsid w:val="006309F5"/>
    <w:rsid w:val="00630BAA"/>
    <w:rsid w:val="00631039"/>
    <w:rsid w:val="0063335B"/>
    <w:rsid w:val="00634095"/>
    <w:rsid w:val="00636440"/>
    <w:rsid w:val="00640C5C"/>
    <w:rsid w:val="00641379"/>
    <w:rsid w:val="00643B54"/>
    <w:rsid w:val="006456BB"/>
    <w:rsid w:val="00647402"/>
    <w:rsid w:val="00650716"/>
    <w:rsid w:val="006512F4"/>
    <w:rsid w:val="00651669"/>
    <w:rsid w:val="006543B3"/>
    <w:rsid w:val="00654C63"/>
    <w:rsid w:val="00655415"/>
    <w:rsid w:val="00663763"/>
    <w:rsid w:val="00664C33"/>
    <w:rsid w:val="00665020"/>
    <w:rsid w:val="006650C6"/>
    <w:rsid w:val="00667BAB"/>
    <w:rsid w:val="006711E1"/>
    <w:rsid w:val="006722B5"/>
    <w:rsid w:val="00672A2F"/>
    <w:rsid w:val="00673175"/>
    <w:rsid w:val="00674BA7"/>
    <w:rsid w:val="00676770"/>
    <w:rsid w:val="0068051B"/>
    <w:rsid w:val="00681496"/>
    <w:rsid w:val="006817FB"/>
    <w:rsid w:val="00682B64"/>
    <w:rsid w:val="0068409B"/>
    <w:rsid w:val="00684EA2"/>
    <w:rsid w:val="00685C39"/>
    <w:rsid w:val="00690C0F"/>
    <w:rsid w:val="006910BE"/>
    <w:rsid w:val="00693017"/>
    <w:rsid w:val="006A3A28"/>
    <w:rsid w:val="006A668E"/>
    <w:rsid w:val="006A6AD4"/>
    <w:rsid w:val="006A7488"/>
    <w:rsid w:val="006A7638"/>
    <w:rsid w:val="006B0E03"/>
    <w:rsid w:val="006B155B"/>
    <w:rsid w:val="006C114F"/>
    <w:rsid w:val="006C15FA"/>
    <w:rsid w:val="006D0B9B"/>
    <w:rsid w:val="006D1F62"/>
    <w:rsid w:val="006D23AE"/>
    <w:rsid w:val="006D30BF"/>
    <w:rsid w:val="006D662F"/>
    <w:rsid w:val="006D69A4"/>
    <w:rsid w:val="006E07AC"/>
    <w:rsid w:val="006E09B6"/>
    <w:rsid w:val="006E0ECB"/>
    <w:rsid w:val="006E1F97"/>
    <w:rsid w:val="006E2736"/>
    <w:rsid w:val="006E3949"/>
    <w:rsid w:val="006E6EFD"/>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38D1"/>
    <w:rsid w:val="00734BE3"/>
    <w:rsid w:val="007363F2"/>
    <w:rsid w:val="00737AB8"/>
    <w:rsid w:val="00741519"/>
    <w:rsid w:val="00742BAF"/>
    <w:rsid w:val="00743E33"/>
    <w:rsid w:val="00744513"/>
    <w:rsid w:val="0075648C"/>
    <w:rsid w:val="00760AEB"/>
    <w:rsid w:val="00763941"/>
    <w:rsid w:val="00767185"/>
    <w:rsid w:val="00767E0F"/>
    <w:rsid w:val="007715A2"/>
    <w:rsid w:val="00771E40"/>
    <w:rsid w:val="0077435A"/>
    <w:rsid w:val="00781C31"/>
    <w:rsid w:val="007825D2"/>
    <w:rsid w:val="00790E90"/>
    <w:rsid w:val="00791433"/>
    <w:rsid w:val="007918C0"/>
    <w:rsid w:val="00793496"/>
    <w:rsid w:val="00793A6B"/>
    <w:rsid w:val="00794B98"/>
    <w:rsid w:val="00797D6F"/>
    <w:rsid w:val="007A0D95"/>
    <w:rsid w:val="007A14D0"/>
    <w:rsid w:val="007A2498"/>
    <w:rsid w:val="007B0767"/>
    <w:rsid w:val="007B2133"/>
    <w:rsid w:val="007B461A"/>
    <w:rsid w:val="007C1582"/>
    <w:rsid w:val="007C2960"/>
    <w:rsid w:val="007C2992"/>
    <w:rsid w:val="007C62F5"/>
    <w:rsid w:val="007C7357"/>
    <w:rsid w:val="007C7B92"/>
    <w:rsid w:val="007D054D"/>
    <w:rsid w:val="007D14B7"/>
    <w:rsid w:val="007D45FD"/>
    <w:rsid w:val="007D5A5B"/>
    <w:rsid w:val="007D6721"/>
    <w:rsid w:val="007D6900"/>
    <w:rsid w:val="007D7A8A"/>
    <w:rsid w:val="007E0403"/>
    <w:rsid w:val="007E0A01"/>
    <w:rsid w:val="007E0DF7"/>
    <w:rsid w:val="007E1DC0"/>
    <w:rsid w:val="007E4868"/>
    <w:rsid w:val="007E63F8"/>
    <w:rsid w:val="007E7623"/>
    <w:rsid w:val="007F0242"/>
    <w:rsid w:val="007F0C15"/>
    <w:rsid w:val="007F0D89"/>
    <w:rsid w:val="00810681"/>
    <w:rsid w:val="00810BB4"/>
    <w:rsid w:val="00812990"/>
    <w:rsid w:val="00814B24"/>
    <w:rsid w:val="0081539E"/>
    <w:rsid w:val="00815CC0"/>
    <w:rsid w:val="00816B98"/>
    <w:rsid w:val="008173C3"/>
    <w:rsid w:val="00817839"/>
    <w:rsid w:val="00823419"/>
    <w:rsid w:val="0082377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074"/>
    <w:rsid w:val="00864EFE"/>
    <w:rsid w:val="008657D2"/>
    <w:rsid w:val="00865ACE"/>
    <w:rsid w:val="00866076"/>
    <w:rsid w:val="008726B3"/>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B38"/>
    <w:rsid w:val="008A4C41"/>
    <w:rsid w:val="008A515D"/>
    <w:rsid w:val="008A615D"/>
    <w:rsid w:val="008A6918"/>
    <w:rsid w:val="008A69DC"/>
    <w:rsid w:val="008B0A7B"/>
    <w:rsid w:val="008B3A38"/>
    <w:rsid w:val="008B46BA"/>
    <w:rsid w:val="008B4856"/>
    <w:rsid w:val="008B7C3D"/>
    <w:rsid w:val="008C2886"/>
    <w:rsid w:val="008C78B1"/>
    <w:rsid w:val="008D1537"/>
    <w:rsid w:val="008D17E5"/>
    <w:rsid w:val="008D6725"/>
    <w:rsid w:val="008D78FF"/>
    <w:rsid w:val="008E0C96"/>
    <w:rsid w:val="008E476F"/>
    <w:rsid w:val="008E54FE"/>
    <w:rsid w:val="008E5F7D"/>
    <w:rsid w:val="008E6217"/>
    <w:rsid w:val="008F48C1"/>
    <w:rsid w:val="008F4C9D"/>
    <w:rsid w:val="008F5394"/>
    <w:rsid w:val="008F636C"/>
    <w:rsid w:val="008F6397"/>
    <w:rsid w:val="0090048A"/>
    <w:rsid w:val="00901246"/>
    <w:rsid w:val="009032DD"/>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634F"/>
    <w:rsid w:val="0094732D"/>
    <w:rsid w:val="00947CF8"/>
    <w:rsid w:val="009512EC"/>
    <w:rsid w:val="009520C3"/>
    <w:rsid w:val="00955C80"/>
    <w:rsid w:val="0095680E"/>
    <w:rsid w:val="0095696B"/>
    <w:rsid w:val="00962693"/>
    <w:rsid w:val="00962CEA"/>
    <w:rsid w:val="00963B68"/>
    <w:rsid w:val="00971B45"/>
    <w:rsid w:val="00972275"/>
    <w:rsid w:val="00977A1D"/>
    <w:rsid w:val="0098472B"/>
    <w:rsid w:val="00986EBF"/>
    <w:rsid w:val="009906DC"/>
    <w:rsid w:val="0099344A"/>
    <w:rsid w:val="00994A10"/>
    <w:rsid w:val="00995388"/>
    <w:rsid w:val="00996AE1"/>
    <w:rsid w:val="00996D7F"/>
    <w:rsid w:val="009A164D"/>
    <w:rsid w:val="009A19C7"/>
    <w:rsid w:val="009A38AD"/>
    <w:rsid w:val="009A4558"/>
    <w:rsid w:val="009A6493"/>
    <w:rsid w:val="009A6C4D"/>
    <w:rsid w:val="009A712C"/>
    <w:rsid w:val="009B0DB2"/>
    <w:rsid w:val="009B2F66"/>
    <w:rsid w:val="009C1ADF"/>
    <w:rsid w:val="009C2CF9"/>
    <w:rsid w:val="009C5919"/>
    <w:rsid w:val="009C6996"/>
    <w:rsid w:val="009C7064"/>
    <w:rsid w:val="009C7B1F"/>
    <w:rsid w:val="009D10C0"/>
    <w:rsid w:val="009D3A3F"/>
    <w:rsid w:val="009D3B28"/>
    <w:rsid w:val="009D4251"/>
    <w:rsid w:val="009D46D6"/>
    <w:rsid w:val="009D5C1D"/>
    <w:rsid w:val="009D6B85"/>
    <w:rsid w:val="009E116E"/>
    <w:rsid w:val="009E182A"/>
    <w:rsid w:val="009E1AEA"/>
    <w:rsid w:val="009E2B24"/>
    <w:rsid w:val="009E388E"/>
    <w:rsid w:val="009E4C1F"/>
    <w:rsid w:val="009E532D"/>
    <w:rsid w:val="009E5351"/>
    <w:rsid w:val="009E604D"/>
    <w:rsid w:val="009F0E50"/>
    <w:rsid w:val="009F1B35"/>
    <w:rsid w:val="009F37B4"/>
    <w:rsid w:val="009F3B93"/>
    <w:rsid w:val="009F43CB"/>
    <w:rsid w:val="009F4D79"/>
    <w:rsid w:val="00A01864"/>
    <w:rsid w:val="00A045ED"/>
    <w:rsid w:val="00A120D3"/>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37EB8"/>
    <w:rsid w:val="00A425FC"/>
    <w:rsid w:val="00A43634"/>
    <w:rsid w:val="00A43665"/>
    <w:rsid w:val="00A441B5"/>
    <w:rsid w:val="00A454E0"/>
    <w:rsid w:val="00A46462"/>
    <w:rsid w:val="00A47339"/>
    <w:rsid w:val="00A47536"/>
    <w:rsid w:val="00A50481"/>
    <w:rsid w:val="00A51399"/>
    <w:rsid w:val="00A520CC"/>
    <w:rsid w:val="00A52BA6"/>
    <w:rsid w:val="00A5445A"/>
    <w:rsid w:val="00A548AE"/>
    <w:rsid w:val="00A552DA"/>
    <w:rsid w:val="00A6113D"/>
    <w:rsid w:val="00A6164F"/>
    <w:rsid w:val="00A6235A"/>
    <w:rsid w:val="00A62805"/>
    <w:rsid w:val="00A6716E"/>
    <w:rsid w:val="00A700D6"/>
    <w:rsid w:val="00A805C2"/>
    <w:rsid w:val="00A806F1"/>
    <w:rsid w:val="00A836AD"/>
    <w:rsid w:val="00A878A5"/>
    <w:rsid w:val="00A87BE9"/>
    <w:rsid w:val="00A9241A"/>
    <w:rsid w:val="00A95893"/>
    <w:rsid w:val="00A963C3"/>
    <w:rsid w:val="00A96F94"/>
    <w:rsid w:val="00AA127F"/>
    <w:rsid w:val="00AA230A"/>
    <w:rsid w:val="00AA52FB"/>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67"/>
    <w:rsid w:val="00AD0DF6"/>
    <w:rsid w:val="00AD2826"/>
    <w:rsid w:val="00AD4944"/>
    <w:rsid w:val="00AD5849"/>
    <w:rsid w:val="00AD7CF0"/>
    <w:rsid w:val="00AE05F1"/>
    <w:rsid w:val="00AE1659"/>
    <w:rsid w:val="00AE3351"/>
    <w:rsid w:val="00AE33E0"/>
    <w:rsid w:val="00AE4437"/>
    <w:rsid w:val="00AE4EB6"/>
    <w:rsid w:val="00AE51EC"/>
    <w:rsid w:val="00AE6E0C"/>
    <w:rsid w:val="00AF1E99"/>
    <w:rsid w:val="00B014C2"/>
    <w:rsid w:val="00B033B8"/>
    <w:rsid w:val="00B0347F"/>
    <w:rsid w:val="00B04FAA"/>
    <w:rsid w:val="00B07B77"/>
    <w:rsid w:val="00B121E8"/>
    <w:rsid w:val="00B13499"/>
    <w:rsid w:val="00B1662F"/>
    <w:rsid w:val="00B20342"/>
    <w:rsid w:val="00B20D39"/>
    <w:rsid w:val="00B221CA"/>
    <w:rsid w:val="00B274BB"/>
    <w:rsid w:val="00B30133"/>
    <w:rsid w:val="00B37577"/>
    <w:rsid w:val="00B45711"/>
    <w:rsid w:val="00B46B34"/>
    <w:rsid w:val="00B54AE0"/>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95F1C"/>
    <w:rsid w:val="00BA0A22"/>
    <w:rsid w:val="00BA14F4"/>
    <w:rsid w:val="00BA2E9B"/>
    <w:rsid w:val="00BA5D9D"/>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292F"/>
    <w:rsid w:val="00BD4752"/>
    <w:rsid w:val="00BD63E9"/>
    <w:rsid w:val="00BD6A47"/>
    <w:rsid w:val="00BE0EC8"/>
    <w:rsid w:val="00BE4892"/>
    <w:rsid w:val="00BE649D"/>
    <w:rsid w:val="00BE6E9C"/>
    <w:rsid w:val="00BE7E50"/>
    <w:rsid w:val="00BF0CB0"/>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263E1"/>
    <w:rsid w:val="00C307D2"/>
    <w:rsid w:val="00C31A26"/>
    <w:rsid w:val="00C31ED2"/>
    <w:rsid w:val="00C327A5"/>
    <w:rsid w:val="00C32F05"/>
    <w:rsid w:val="00C33F2C"/>
    <w:rsid w:val="00C34377"/>
    <w:rsid w:val="00C34941"/>
    <w:rsid w:val="00C37B14"/>
    <w:rsid w:val="00C408FA"/>
    <w:rsid w:val="00C40FDA"/>
    <w:rsid w:val="00C431AB"/>
    <w:rsid w:val="00C44943"/>
    <w:rsid w:val="00C44C95"/>
    <w:rsid w:val="00C4549D"/>
    <w:rsid w:val="00C45AB4"/>
    <w:rsid w:val="00C5082A"/>
    <w:rsid w:val="00C52C5E"/>
    <w:rsid w:val="00C5549D"/>
    <w:rsid w:val="00C61BDC"/>
    <w:rsid w:val="00C61C3B"/>
    <w:rsid w:val="00C61FF9"/>
    <w:rsid w:val="00C627A2"/>
    <w:rsid w:val="00C65525"/>
    <w:rsid w:val="00C6637E"/>
    <w:rsid w:val="00C66A15"/>
    <w:rsid w:val="00C675AB"/>
    <w:rsid w:val="00C7152A"/>
    <w:rsid w:val="00C728A7"/>
    <w:rsid w:val="00C74117"/>
    <w:rsid w:val="00C7500F"/>
    <w:rsid w:val="00C751EA"/>
    <w:rsid w:val="00C75A4F"/>
    <w:rsid w:val="00C772EA"/>
    <w:rsid w:val="00C8212B"/>
    <w:rsid w:val="00C83591"/>
    <w:rsid w:val="00C83878"/>
    <w:rsid w:val="00C84027"/>
    <w:rsid w:val="00C85068"/>
    <w:rsid w:val="00C86127"/>
    <w:rsid w:val="00C8799F"/>
    <w:rsid w:val="00C87B1B"/>
    <w:rsid w:val="00C906FA"/>
    <w:rsid w:val="00C93C55"/>
    <w:rsid w:val="00C95CFC"/>
    <w:rsid w:val="00C9779A"/>
    <w:rsid w:val="00C97C3E"/>
    <w:rsid w:val="00C97F6E"/>
    <w:rsid w:val="00CA0169"/>
    <w:rsid w:val="00CA0B16"/>
    <w:rsid w:val="00CA0E9F"/>
    <w:rsid w:val="00CA181C"/>
    <w:rsid w:val="00CA34C6"/>
    <w:rsid w:val="00CA3A8D"/>
    <w:rsid w:val="00CA4ADF"/>
    <w:rsid w:val="00CA6526"/>
    <w:rsid w:val="00CA787E"/>
    <w:rsid w:val="00CA7E59"/>
    <w:rsid w:val="00CB1829"/>
    <w:rsid w:val="00CB189E"/>
    <w:rsid w:val="00CB19CB"/>
    <w:rsid w:val="00CB204F"/>
    <w:rsid w:val="00CB45B6"/>
    <w:rsid w:val="00CB5D7B"/>
    <w:rsid w:val="00CB6882"/>
    <w:rsid w:val="00CB749F"/>
    <w:rsid w:val="00CB7A76"/>
    <w:rsid w:val="00CC2408"/>
    <w:rsid w:val="00CC3FDC"/>
    <w:rsid w:val="00CC4F60"/>
    <w:rsid w:val="00CC76C2"/>
    <w:rsid w:val="00CD40FD"/>
    <w:rsid w:val="00CD4E1C"/>
    <w:rsid w:val="00CD7D98"/>
    <w:rsid w:val="00CE022F"/>
    <w:rsid w:val="00CE09F6"/>
    <w:rsid w:val="00CE128B"/>
    <w:rsid w:val="00CE46A5"/>
    <w:rsid w:val="00CF0131"/>
    <w:rsid w:val="00CF05DA"/>
    <w:rsid w:val="00CF370C"/>
    <w:rsid w:val="00CF4D9E"/>
    <w:rsid w:val="00CF50F6"/>
    <w:rsid w:val="00CF5C7C"/>
    <w:rsid w:val="00D0079F"/>
    <w:rsid w:val="00D03BE9"/>
    <w:rsid w:val="00D11308"/>
    <w:rsid w:val="00D11E93"/>
    <w:rsid w:val="00D1269B"/>
    <w:rsid w:val="00D12D69"/>
    <w:rsid w:val="00D12F6E"/>
    <w:rsid w:val="00D138D8"/>
    <w:rsid w:val="00D215C9"/>
    <w:rsid w:val="00D23D51"/>
    <w:rsid w:val="00D23E53"/>
    <w:rsid w:val="00D24EDC"/>
    <w:rsid w:val="00D277E5"/>
    <w:rsid w:val="00D315BC"/>
    <w:rsid w:val="00D31657"/>
    <w:rsid w:val="00D31FAE"/>
    <w:rsid w:val="00D419F1"/>
    <w:rsid w:val="00D478F2"/>
    <w:rsid w:val="00D50452"/>
    <w:rsid w:val="00D56DA8"/>
    <w:rsid w:val="00D61CAD"/>
    <w:rsid w:val="00D62CCB"/>
    <w:rsid w:val="00D71175"/>
    <w:rsid w:val="00D7155A"/>
    <w:rsid w:val="00D71706"/>
    <w:rsid w:val="00D7256E"/>
    <w:rsid w:val="00D72F3D"/>
    <w:rsid w:val="00D74282"/>
    <w:rsid w:val="00D8286C"/>
    <w:rsid w:val="00D83021"/>
    <w:rsid w:val="00D8582C"/>
    <w:rsid w:val="00D92BBA"/>
    <w:rsid w:val="00D94B9B"/>
    <w:rsid w:val="00D94F4A"/>
    <w:rsid w:val="00DA0A55"/>
    <w:rsid w:val="00DA33A5"/>
    <w:rsid w:val="00DA3D82"/>
    <w:rsid w:val="00DA4F89"/>
    <w:rsid w:val="00DA5256"/>
    <w:rsid w:val="00DA61A3"/>
    <w:rsid w:val="00DA6973"/>
    <w:rsid w:val="00DA775F"/>
    <w:rsid w:val="00DB0477"/>
    <w:rsid w:val="00DB1642"/>
    <w:rsid w:val="00DB28DC"/>
    <w:rsid w:val="00DB2DF6"/>
    <w:rsid w:val="00DB35ED"/>
    <w:rsid w:val="00DB7168"/>
    <w:rsid w:val="00DC0A98"/>
    <w:rsid w:val="00DC1068"/>
    <w:rsid w:val="00DC2009"/>
    <w:rsid w:val="00DC27BB"/>
    <w:rsid w:val="00DC2AFF"/>
    <w:rsid w:val="00DC614F"/>
    <w:rsid w:val="00DC7ACA"/>
    <w:rsid w:val="00DD0266"/>
    <w:rsid w:val="00DD21C0"/>
    <w:rsid w:val="00DD3D24"/>
    <w:rsid w:val="00DD42C2"/>
    <w:rsid w:val="00DD5665"/>
    <w:rsid w:val="00DD7F97"/>
    <w:rsid w:val="00DE01CE"/>
    <w:rsid w:val="00DE0762"/>
    <w:rsid w:val="00DE2DA4"/>
    <w:rsid w:val="00DE67FC"/>
    <w:rsid w:val="00DE7CE6"/>
    <w:rsid w:val="00DF00C1"/>
    <w:rsid w:val="00DF05BB"/>
    <w:rsid w:val="00DF0637"/>
    <w:rsid w:val="00DF0A7E"/>
    <w:rsid w:val="00DF1B59"/>
    <w:rsid w:val="00DF4BCE"/>
    <w:rsid w:val="00E009B0"/>
    <w:rsid w:val="00E03A78"/>
    <w:rsid w:val="00E061C3"/>
    <w:rsid w:val="00E068D8"/>
    <w:rsid w:val="00E07DF2"/>
    <w:rsid w:val="00E147E0"/>
    <w:rsid w:val="00E22906"/>
    <w:rsid w:val="00E22D5A"/>
    <w:rsid w:val="00E22EBE"/>
    <w:rsid w:val="00E237AA"/>
    <w:rsid w:val="00E25884"/>
    <w:rsid w:val="00E26AAA"/>
    <w:rsid w:val="00E3385D"/>
    <w:rsid w:val="00E360B7"/>
    <w:rsid w:val="00E43842"/>
    <w:rsid w:val="00E44062"/>
    <w:rsid w:val="00E4416C"/>
    <w:rsid w:val="00E45FE7"/>
    <w:rsid w:val="00E47307"/>
    <w:rsid w:val="00E51BA8"/>
    <w:rsid w:val="00E51BE9"/>
    <w:rsid w:val="00E52FCD"/>
    <w:rsid w:val="00E54741"/>
    <w:rsid w:val="00E567BD"/>
    <w:rsid w:val="00E56A1F"/>
    <w:rsid w:val="00E5743D"/>
    <w:rsid w:val="00E62150"/>
    <w:rsid w:val="00E6447F"/>
    <w:rsid w:val="00E649C2"/>
    <w:rsid w:val="00E65F36"/>
    <w:rsid w:val="00E65F64"/>
    <w:rsid w:val="00E671E2"/>
    <w:rsid w:val="00E70B81"/>
    <w:rsid w:val="00E73425"/>
    <w:rsid w:val="00E73C02"/>
    <w:rsid w:val="00E7628E"/>
    <w:rsid w:val="00E77577"/>
    <w:rsid w:val="00E8006C"/>
    <w:rsid w:val="00E8461D"/>
    <w:rsid w:val="00E85455"/>
    <w:rsid w:val="00E90C7E"/>
    <w:rsid w:val="00E921F7"/>
    <w:rsid w:val="00E9274F"/>
    <w:rsid w:val="00E96495"/>
    <w:rsid w:val="00EA2820"/>
    <w:rsid w:val="00EA6137"/>
    <w:rsid w:val="00EB03F5"/>
    <w:rsid w:val="00EB263C"/>
    <w:rsid w:val="00EB3B99"/>
    <w:rsid w:val="00EB4862"/>
    <w:rsid w:val="00EC09FD"/>
    <w:rsid w:val="00EC1C10"/>
    <w:rsid w:val="00EC1CD1"/>
    <w:rsid w:val="00EC4103"/>
    <w:rsid w:val="00ED175B"/>
    <w:rsid w:val="00ED29AD"/>
    <w:rsid w:val="00ED377B"/>
    <w:rsid w:val="00ED49F3"/>
    <w:rsid w:val="00EE1056"/>
    <w:rsid w:val="00EE35DE"/>
    <w:rsid w:val="00EE4E64"/>
    <w:rsid w:val="00EE4FC3"/>
    <w:rsid w:val="00EE7983"/>
    <w:rsid w:val="00EF26A5"/>
    <w:rsid w:val="00EF335B"/>
    <w:rsid w:val="00EF4B50"/>
    <w:rsid w:val="00EF662A"/>
    <w:rsid w:val="00EF6CB9"/>
    <w:rsid w:val="00EF6E5B"/>
    <w:rsid w:val="00EF7435"/>
    <w:rsid w:val="00EF7A99"/>
    <w:rsid w:val="00F00D86"/>
    <w:rsid w:val="00F017F1"/>
    <w:rsid w:val="00F02F53"/>
    <w:rsid w:val="00F10EB1"/>
    <w:rsid w:val="00F12786"/>
    <w:rsid w:val="00F14553"/>
    <w:rsid w:val="00F154DF"/>
    <w:rsid w:val="00F15932"/>
    <w:rsid w:val="00F1704E"/>
    <w:rsid w:val="00F17763"/>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5ECE"/>
    <w:rsid w:val="00F573E5"/>
    <w:rsid w:val="00F60C28"/>
    <w:rsid w:val="00F64547"/>
    <w:rsid w:val="00F65DC0"/>
    <w:rsid w:val="00F65EC5"/>
    <w:rsid w:val="00F67545"/>
    <w:rsid w:val="00F6786B"/>
    <w:rsid w:val="00F722C5"/>
    <w:rsid w:val="00F73E4D"/>
    <w:rsid w:val="00F73FBF"/>
    <w:rsid w:val="00F768B2"/>
    <w:rsid w:val="00F80221"/>
    <w:rsid w:val="00F81AF1"/>
    <w:rsid w:val="00F81B56"/>
    <w:rsid w:val="00F81BA5"/>
    <w:rsid w:val="00F82D25"/>
    <w:rsid w:val="00F86F4B"/>
    <w:rsid w:val="00F90307"/>
    <w:rsid w:val="00F91217"/>
    <w:rsid w:val="00F9294A"/>
    <w:rsid w:val="00F92A3D"/>
    <w:rsid w:val="00F97A74"/>
    <w:rsid w:val="00FA2DB4"/>
    <w:rsid w:val="00FA371D"/>
    <w:rsid w:val="00FA6053"/>
    <w:rsid w:val="00FA6507"/>
    <w:rsid w:val="00FA6DB0"/>
    <w:rsid w:val="00FA743C"/>
    <w:rsid w:val="00FA7C2F"/>
    <w:rsid w:val="00FB0E25"/>
    <w:rsid w:val="00FB4555"/>
    <w:rsid w:val="00FB553F"/>
    <w:rsid w:val="00FC02DA"/>
    <w:rsid w:val="00FC4CC7"/>
    <w:rsid w:val="00FC5B44"/>
    <w:rsid w:val="00FD3BBA"/>
    <w:rsid w:val="00FD4326"/>
    <w:rsid w:val="00FD7D7A"/>
    <w:rsid w:val="00FE2734"/>
    <w:rsid w:val="00FE6E77"/>
    <w:rsid w:val="00FF1D9A"/>
    <w:rsid w:val="00FF3E15"/>
    <w:rsid w:val="00FF4A85"/>
    <w:rsid w:val="00FF4FF7"/>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8D"/>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customStyle="1" w:styleId="tvhtml">
    <w:name w:val="tv_html"/>
    <w:basedOn w:val="Normal"/>
    <w:rsid w:val="00C31ED2"/>
    <w:pPr>
      <w:spacing w:before="100" w:beforeAutospacing="1" w:after="100" w:afterAutospacing="1"/>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8D"/>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customStyle="1" w:styleId="tvhtml">
    <w:name w:val="tv_html"/>
    <w:basedOn w:val="Normal"/>
    <w:rsid w:val="00C31ED2"/>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643">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285157837">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48824536">
      <w:bodyDiv w:val="1"/>
      <w:marLeft w:val="0"/>
      <w:marRight w:val="0"/>
      <w:marTop w:val="0"/>
      <w:marBottom w:val="0"/>
      <w:divBdr>
        <w:top w:val="none" w:sz="0" w:space="0" w:color="auto"/>
        <w:left w:val="none" w:sz="0" w:space="0" w:color="auto"/>
        <w:bottom w:val="none" w:sz="0" w:space="0" w:color="auto"/>
        <w:right w:val="none" w:sz="0" w:space="0" w:color="auto"/>
      </w:divBdr>
    </w:div>
    <w:div w:id="749615375">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174761762">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49058898">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43122147">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gita.Nicmane@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5262-ABC0-4D8A-BB91-2D5D2384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15670</Words>
  <Characters>8932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 „Noteikumi par garantijām komersantu un atbilstošu lauksaimniecības pakalpojumu kooperatīvo sabiedrību konkurētspējas uzlabošanai””  sākotnējās ietekm</vt:lpstr>
    </vt:vector>
  </TitlesOfParts>
  <Company>LR Ekonomikas ministrija</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 „Noteikumi par garantijām komersantu un atbilstošu lauksaimniecības pakalpojumu kooperatīvo sabiedrību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Agita Nicmane</cp:lastModifiedBy>
  <cp:revision>4</cp:revision>
  <cp:lastPrinted>2015-01-22T14:49:00Z</cp:lastPrinted>
  <dcterms:created xsi:type="dcterms:W3CDTF">2015-05-14T06:52:00Z</dcterms:created>
  <dcterms:modified xsi:type="dcterms:W3CDTF">2015-05-14T09:40:00Z</dcterms:modified>
</cp:coreProperties>
</file>