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2B" w:rsidRPr="00850F37" w:rsidRDefault="0078682B" w:rsidP="0078682B">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850F37">
        <w:rPr>
          <w:b/>
          <w:sz w:val="28"/>
          <w:szCs w:val="28"/>
          <w:lang w:val="lv-LV"/>
        </w:rPr>
        <w:t xml:space="preserve">Ministru kabineta noteikumu projekta </w:t>
      </w:r>
    </w:p>
    <w:p w:rsidR="0078682B" w:rsidRPr="00850F37" w:rsidRDefault="0078682B" w:rsidP="0078682B">
      <w:pPr>
        <w:jc w:val="center"/>
        <w:rPr>
          <w:b/>
          <w:bCs/>
          <w:sz w:val="28"/>
          <w:szCs w:val="28"/>
          <w:lang w:val="lv-LV"/>
        </w:rPr>
      </w:pPr>
      <w:r w:rsidRPr="00850F37">
        <w:rPr>
          <w:b/>
          <w:sz w:val="28"/>
          <w:szCs w:val="28"/>
          <w:lang w:val="lv-LV"/>
        </w:rPr>
        <w:t>„</w:t>
      </w:r>
      <w:r w:rsidRPr="00850F37">
        <w:rPr>
          <w:b/>
          <w:bCs/>
          <w:sz w:val="28"/>
          <w:szCs w:val="28"/>
          <w:lang w:val="lv-LV"/>
        </w:rPr>
        <w:t>Noteikumi par Latvijas būvnormatīvu LBN 016-15 „Būvakustika</w:t>
      </w:r>
      <w:r w:rsidRPr="00850F37">
        <w:rPr>
          <w:b/>
          <w:sz w:val="28"/>
          <w:szCs w:val="28"/>
          <w:lang w:val="lv-LV"/>
        </w:rPr>
        <w:t xml:space="preserve">”” sākotnējās ietekmes novērtējuma </w:t>
      </w:r>
      <w:smartTag w:uri="schemas-tilde-lv/tildestengine" w:element="veidnes">
        <w:smartTagPr>
          <w:attr w:name="text" w:val="ziņojums"/>
          <w:attr w:name="baseform" w:val="ziņojums"/>
          <w:attr w:name="id" w:val="-1"/>
        </w:smartTagPr>
        <w:r w:rsidRPr="00850F37">
          <w:rPr>
            <w:b/>
            <w:sz w:val="28"/>
            <w:szCs w:val="28"/>
            <w:lang w:val="lv-LV"/>
          </w:rPr>
          <w:t>ziņojums</w:t>
        </w:r>
      </w:smartTag>
      <w:r w:rsidRPr="00850F37">
        <w:rPr>
          <w:b/>
          <w:sz w:val="28"/>
          <w:szCs w:val="28"/>
          <w:lang w:val="lv-LV"/>
        </w:rPr>
        <w:t xml:space="preserve"> (</w:t>
      </w:r>
      <w:r w:rsidRPr="00850F37">
        <w:rPr>
          <w:b/>
          <w:bCs/>
          <w:sz w:val="28"/>
          <w:szCs w:val="28"/>
          <w:lang w:val="lv-LV"/>
        </w:rPr>
        <w:t>anotācija)</w:t>
      </w:r>
      <w:bookmarkEnd w:id="0"/>
      <w:bookmarkEnd w:id="1"/>
      <w:bookmarkEnd w:id="2"/>
      <w:bookmarkEnd w:id="3"/>
      <w:bookmarkEnd w:id="4"/>
    </w:p>
    <w:p w:rsidR="0078682B" w:rsidRPr="00850F37" w:rsidRDefault="0078682B" w:rsidP="0078682B">
      <w:pPr>
        <w:tabs>
          <w:tab w:val="left" w:pos="7230"/>
        </w:tabs>
        <w:rPr>
          <w:sz w:val="28"/>
          <w:szCs w:val="28"/>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942A54" w:rsidRPr="00D843B1" w:rsidTr="00C10FF4">
        <w:tc>
          <w:tcPr>
            <w:tcW w:w="9062" w:type="dxa"/>
            <w:gridSpan w:val="3"/>
            <w:vAlign w:val="center"/>
          </w:tcPr>
          <w:p w:rsidR="0078682B" w:rsidRPr="00850F37" w:rsidRDefault="0078682B" w:rsidP="00C10FF4">
            <w:pPr>
              <w:jc w:val="center"/>
              <w:rPr>
                <w:sz w:val="26"/>
                <w:szCs w:val="26"/>
                <w:lang w:val="lv-LV"/>
              </w:rPr>
            </w:pPr>
            <w:r w:rsidRPr="00850F37">
              <w:rPr>
                <w:b/>
                <w:sz w:val="26"/>
                <w:szCs w:val="26"/>
                <w:lang w:val="lv-LV"/>
              </w:rPr>
              <w:t>I. Tiesību akta projekta izstrādes nepieciešamība</w:t>
            </w:r>
          </w:p>
        </w:tc>
      </w:tr>
      <w:tr w:rsidR="00942A54" w:rsidRPr="00D843B1" w:rsidTr="00C10FF4">
        <w:trPr>
          <w:trHeight w:val="439"/>
        </w:trPr>
        <w:tc>
          <w:tcPr>
            <w:tcW w:w="524" w:type="dxa"/>
          </w:tcPr>
          <w:p w:rsidR="0078682B" w:rsidRPr="00850F37" w:rsidRDefault="0078682B" w:rsidP="002002BD">
            <w:pPr>
              <w:ind w:left="57" w:right="57"/>
              <w:rPr>
                <w:sz w:val="26"/>
                <w:szCs w:val="26"/>
                <w:lang w:val="lv-LV"/>
              </w:rPr>
            </w:pPr>
            <w:r w:rsidRPr="00850F37">
              <w:rPr>
                <w:sz w:val="26"/>
                <w:szCs w:val="26"/>
                <w:lang w:val="lv-LV"/>
              </w:rPr>
              <w:t> 1.</w:t>
            </w:r>
          </w:p>
        </w:tc>
        <w:tc>
          <w:tcPr>
            <w:tcW w:w="3177" w:type="dxa"/>
          </w:tcPr>
          <w:p w:rsidR="0078682B" w:rsidRPr="00850F37" w:rsidRDefault="0078682B" w:rsidP="002002BD">
            <w:pPr>
              <w:ind w:left="57" w:right="57"/>
              <w:rPr>
                <w:sz w:val="26"/>
                <w:szCs w:val="26"/>
                <w:lang w:val="lv-LV"/>
              </w:rPr>
            </w:pPr>
            <w:r w:rsidRPr="00850F37">
              <w:rPr>
                <w:sz w:val="26"/>
                <w:szCs w:val="26"/>
                <w:lang w:val="lv-LV"/>
              </w:rPr>
              <w:t>Pamatojums</w:t>
            </w:r>
          </w:p>
        </w:tc>
        <w:tc>
          <w:tcPr>
            <w:tcW w:w="5361" w:type="dxa"/>
          </w:tcPr>
          <w:p w:rsidR="0078682B" w:rsidRPr="00850F37" w:rsidRDefault="0078682B" w:rsidP="002002BD">
            <w:pPr>
              <w:ind w:left="57" w:right="57"/>
              <w:jc w:val="both"/>
              <w:rPr>
                <w:sz w:val="26"/>
                <w:szCs w:val="26"/>
                <w:lang w:val="lv-LV"/>
              </w:rPr>
            </w:pPr>
            <w:r w:rsidRPr="00850F37">
              <w:rPr>
                <w:sz w:val="26"/>
                <w:szCs w:val="26"/>
                <w:lang w:val="lv-LV"/>
              </w:rPr>
              <w:t xml:space="preserve"> Ministru kabineta noteikumu projekts „</w:t>
            </w:r>
            <w:r w:rsidRPr="00850F37">
              <w:rPr>
                <w:bCs/>
                <w:sz w:val="26"/>
                <w:szCs w:val="26"/>
                <w:lang w:val="lv-LV"/>
              </w:rPr>
              <w:t>Noteikumi par Latvijas būvnormatīvu LBN 016-15 „Būvakustika</w:t>
            </w:r>
            <w:r w:rsidRPr="00850F37">
              <w:rPr>
                <w:sz w:val="26"/>
                <w:szCs w:val="26"/>
                <w:lang w:val="lv-LV"/>
              </w:rPr>
              <w:t xml:space="preserve">”” (turpmāk – būvnormatīvs) tiek izdots saskaņā ar </w:t>
            </w:r>
            <w:r w:rsidRPr="00850F37">
              <w:rPr>
                <w:rFonts w:eastAsia="SimSun"/>
                <w:sz w:val="26"/>
                <w:szCs w:val="26"/>
                <w:lang w:val="lv-LV" w:eastAsia="zh-CN"/>
              </w:rPr>
              <w:t>Būvniecības likuma 5.panta pirmās daļas 3.punktu</w:t>
            </w:r>
            <w:r w:rsidRPr="00850F37">
              <w:rPr>
                <w:sz w:val="26"/>
                <w:szCs w:val="26"/>
                <w:lang w:val="lv-LV"/>
              </w:rPr>
              <w:t xml:space="preserve">, kā arī, lai nodrošinātu Būvniecības </w:t>
            </w:r>
            <w:r w:rsidRPr="00850F37">
              <w:rPr>
                <w:bCs/>
                <w:sz w:val="26"/>
                <w:szCs w:val="26"/>
                <w:lang w:val="lv-LV"/>
              </w:rPr>
              <w:t>likuma pārejas noteikumu 2.punkta izpildi.</w:t>
            </w:r>
          </w:p>
          <w:p w:rsidR="0078682B" w:rsidRPr="00850F37" w:rsidRDefault="0078682B" w:rsidP="002002BD">
            <w:pPr>
              <w:ind w:left="57" w:right="57"/>
              <w:jc w:val="both"/>
              <w:rPr>
                <w:sz w:val="26"/>
                <w:szCs w:val="26"/>
                <w:lang w:val="lv-LV"/>
              </w:rPr>
            </w:pPr>
          </w:p>
        </w:tc>
      </w:tr>
      <w:tr w:rsidR="00942A54" w:rsidRPr="00D843B1" w:rsidTr="00C10FF4">
        <w:trPr>
          <w:trHeight w:val="977"/>
        </w:trPr>
        <w:tc>
          <w:tcPr>
            <w:tcW w:w="524" w:type="dxa"/>
          </w:tcPr>
          <w:p w:rsidR="0078682B" w:rsidRPr="00850F37" w:rsidRDefault="0078682B" w:rsidP="002002BD">
            <w:pPr>
              <w:ind w:left="57" w:right="57"/>
              <w:rPr>
                <w:sz w:val="26"/>
                <w:szCs w:val="26"/>
                <w:lang w:val="lv-LV"/>
              </w:rPr>
            </w:pPr>
            <w:r w:rsidRPr="00850F37">
              <w:rPr>
                <w:sz w:val="26"/>
                <w:szCs w:val="26"/>
                <w:lang w:val="lv-LV"/>
              </w:rPr>
              <w:t> 2.</w:t>
            </w:r>
          </w:p>
        </w:tc>
        <w:tc>
          <w:tcPr>
            <w:tcW w:w="3177" w:type="dxa"/>
          </w:tcPr>
          <w:p w:rsidR="0078682B" w:rsidRPr="00850F37" w:rsidRDefault="0078682B" w:rsidP="002002BD">
            <w:pPr>
              <w:ind w:left="57" w:right="57"/>
              <w:rPr>
                <w:sz w:val="26"/>
                <w:szCs w:val="26"/>
                <w:lang w:val="lv-LV"/>
              </w:rPr>
            </w:pPr>
            <w:r w:rsidRPr="00850F37">
              <w:rPr>
                <w:sz w:val="26"/>
                <w:szCs w:val="26"/>
                <w:lang w:val="lv-LV"/>
              </w:rPr>
              <w:t>Pašreizējā situācija un problēmas, kuru risināšanai tiesību akta projekts izstrādāts, tiesiskā regulējuma mērķis un būtība</w:t>
            </w:r>
          </w:p>
        </w:tc>
        <w:tc>
          <w:tcPr>
            <w:tcW w:w="5361" w:type="dxa"/>
          </w:tcPr>
          <w:p w:rsidR="0078682B" w:rsidRPr="00850F37" w:rsidRDefault="0078682B" w:rsidP="002002BD">
            <w:pPr>
              <w:pStyle w:val="naiskr"/>
              <w:spacing w:before="0" w:after="120"/>
              <w:ind w:left="57" w:right="57"/>
              <w:jc w:val="both"/>
              <w:rPr>
                <w:sz w:val="26"/>
                <w:szCs w:val="26"/>
              </w:rPr>
            </w:pPr>
            <w:r w:rsidRPr="00850F37">
              <w:rPr>
                <w:sz w:val="26"/>
                <w:szCs w:val="26"/>
              </w:rPr>
              <w:t>Atbilstoši Būvniecības likuma pārejas noteikumu 2. punktam Latvijas būvnormatīvs LBN 016-11 „Būvakustika” ir piemērojams ne ilgāk kā līdz 2015.gada 1.jūlijam. Līdz ar to, līdz šīm laikam ir nepieciešams izdot jaunu atbilstošu būvnormatīvu, lai noteiktu akustiskās prasības ēkām un apbūves vienībām, kas jāievēro jaunu ēku projektēšanā, to pārbūvju, atjaunošanas un restaurācijas gadījumos.</w:t>
            </w:r>
          </w:p>
          <w:p w:rsidR="0078682B" w:rsidRPr="00850F37" w:rsidRDefault="0078682B" w:rsidP="00BA24F0">
            <w:pPr>
              <w:spacing w:after="120"/>
              <w:ind w:left="57" w:right="113"/>
              <w:jc w:val="both"/>
              <w:rPr>
                <w:sz w:val="26"/>
                <w:szCs w:val="26"/>
                <w:lang w:val="lv-LV"/>
              </w:rPr>
            </w:pPr>
            <w:r w:rsidRPr="00850F37">
              <w:rPr>
                <w:sz w:val="26"/>
                <w:szCs w:val="26"/>
                <w:lang w:val="lv-LV"/>
              </w:rPr>
              <w:t xml:space="preserve">Jaunais būvnormatīvs pēc būtības nemaina līdz šim </w:t>
            </w:r>
            <w:r w:rsidR="00D843B1">
              <w:rPr>
                <w:sz w:val="26"/>
                <w:szCs w:val="26"/>
                <w:lang w:val="lv-LV"/>
              </w:rPr>
              <w:t xml:space="preserve">Latvijas būvnormatīvā </w:t>
            </w:r>
            <w:r w:rsidR="00D843B1" w:rsidRPr="00850F37">
              <w:rPr>
                <w:iCs/>
                <w:sz w:val="26"/>
                <w:szCs w:val="26"/>
                <w:lang w:val="lv-LV"/>
              </w:rPr>
              <w:t>LBN 016-11</w:t>
            </w:r>
            <w:r w:rsidR="00D843B1">
              <w:rPr>
                <w:iCs/>
                <w:sz w:val="26"/>
                <w:szCs w:val="26"/>
                <w:lang w:val="lv-LV"/>
              </w:rPr>
              <w:t xml:space="preserve"> </w:t>
            </w:r>
            <w:r w:rsidRPr="00850F37">
              <w:rPr>
                <w:sz w:val="26"/>
                <w:szCs w:val="26"/>
                <w:lang w:val="lv-LV"/>
              </w:rPr>
              <w:t>noteiktās akustiskās prasības ēkām un apbūves vienībām, kas jāievēro ēku projektēšanā.</w:t>
            </w:r>
            <w:r w:rsidR="006429AB" w:rsidRPr="00850F37">
              <w:rPr>
                <w:sz w:val="26"/>
                <w:szCs w:val="26"/>
                <w:lang w:val="lv-LV"/>
              </w:rPr>
              <w:t xml:space="preserve"> </w:t>
            </w:r>
          </w:p>
          <w:p w:rsidR="0078682B" w:rsidRPr="00850F37" w:rsidRDefault="0078682B" w:rsidP="00BA24F0">
            <w:pPr>
              <w:spacing w:after="120"/>
              <w:ind w:left="57" w:right="57"/>
              <w:jc w:val="both"/>
              <w:rPr>
                <w:sz w:val="26"/>
                <w:szCs w:val="26"/>
                <w:lang w:val="lv-LV"/>
              </w:rPr>
            </w:pPr>
            <w:r w:rsidRPr="00850F37">
              <w:rPr>
                <w:iCs/>
                <w:sz w:val="26"/>
                <w:szCs w:val="26"/>
                <w:lang w:val="lv-LV"/>
              </w:rPr>
              <w:t>Būvnormatīvs nosaka konkrētas trokšņu aizsardzības un akustiskās prasības ēkām, kā arī apjumtām estrādēm</w:t>
            </w:r>
            <w:r w:rsidRPr="00850F37">
              <w:rPr>
                <w:sz w:val="26"/>
                <w:szCs w:val="26"/>
                <w:lang w:val="lv-LV"/>
              </w:rPr>
              <w:t>. Būvnormatīvs neattiecas uz ražošanas, tehniskajām un speciālas nozīmes telpām, kā arī uz ēkām (piemēram, ierakstu un pārraides studijām un skaņu režijas telpām), kurām tiek izvirzītas īpašas akustiskās prasības un kurām akustiskos parametrus nosaka pasūtītājs.</w:t>
            </w:r>
          </w:p>
          <w:p w:rsidR="0078682B" w:rsidRPr="00850F37" w:rsidRDefault="0078682B" w:rsidP="002002BD">
            <w:pPr>
              <w:spacing w:after="120"/>
              <w:ind w:left="57" w:right="57"/>
              <w:jc w:val="both"/>
              <w:rPr>
                <w:sz w:val="26"/>
                <w:szCs w:val="26"/>
                <w:lang w:val="lv-LV"/>
              </w:rPr>
            </w:pPr>
            <w:r w:rsidRPr="00850F37">
              <w:rPr>
                <w:iCs/>
                <w:sz w:val="26"/>
                <w:szCs w:val="26"/>
                <w:lang w:val="lv-LV"/>
              </w:rPr>
              <w:t xml:space="preserve"> </w:t>
            </w:r>
            <w:r w:rsidRPr="00850F37">
              <w:rPr>
                <w:sz w:val="26"/>
                <w:szCs w:val="26"/>
                <w:lang w:val="lv-LV"/>
              </w:rPr>
              <w:t>Būvnormatīvs nosaka telpu iedalījumu četrās klasēs. D klases prasības,  tiek attiecinātas uz šobrīd esošo ēku telpām, un nebūtu vairs turpmāk jāizmanto jaunu ēku projektēšanai. C klases prasības telpām ir minimālās prasības, kuras tiek noteiktas jaunu ēku projektēšanai. Projektējot telpas atbilstoši A un B klases prasībām, tiek nodrošināts augsts akustiskā komforta līmenis telpās, maksimāli ierobežojot traucējošā trokšņa rašanos un izplatīšanos.</w:t>
            </w:r>
          </w:p>
          <w:p w:rsidR="0078682B" w:rsidRPr="00850F37" w:rsidRDefault="0078682B" w:rsidP="002002BD">
            <w:pPr>
              <w:spacing w:after="120"/>
              <w:ind w:left="57" w:right="57"/>
              <w:jc w:val="both"/>
              <w:rPr>
                <w:sz w:val="26"/>
                <w:szCs w:val="26"/>
                <w:lang w:val="lv-LV"/>
              </w:rPr>
            </w:pPr>
            <w:r w:rsidRPr="00850F37">
              <w:rPr>
                <w:sz w:val="26"/>
                <w:szCs w:val="26"/>
                <w:lang w:val="lv-LV"/>
              </w:rPr>
              <w:t xml:space="preserve">Būvnormatīva 1.pielikumā ir vispārīgās prasības </w:t>
            </w:r>
            <w:r w:rsidRPr="00850F37">
              <w:rPr>
                <w:sz w:val="26"/>
                <w:szCs w:val="26"/>
                <w:lang w:val="lv-LV"/>
              </w:rPr>
              <w:lastRenderedPageBreak/>
              <w:t>dažādu funkciju telpu klausītāju (apmeklētāju) zonu akustiskajiem parametriem. Pasūtītājam, paredzot ēkas telpu izmantošanas mērķi, ir tiesības norādīt akustisko parametru vērtības, kas ir augstākas par šā būvnormatīva 1.pielikumā noteiktajām vērtībām, kā arī norādīt papildu parametrus. Ja parametru vērtības netiek norādītas un nav minētas šā būvnormatīva 1.pielikumā, pēc vienošanās ar pasūtītāju tās nosaka kvalificēts būvakustikas eksperts.</w:t>
            </w:r>
          </w:p>
          <w:p w:rsidR="0078682B" w:rsidRPr="00850F37" w:rsidRDefault="0078682B" w:rsidP="002002BD">
            <w:pPr>
              <w:spacing w:after="120"/>
              <w:ind w:left="57" w:right="57"/>
              <w:jc w:val="both"/>
              <w:rPr>
                <w:sz w:val="26"/>
                <w:szCs w:val="26"/>
                <w:lang w:val="lv-LV"/>
              </w:rPr>
            </w:pPr>
            <w:r w:rsidRPr="00850F37">
              <w:rPr>
                <w:sz w:val="26"/>
                <w:szCs w:val="26"/>
                <w:lang w:val="lv-LV"/>
              </w:rPr>
              <w:t>Telpas formai jānodrošina maksimāli vienmērīga (difūza) skaņas lauka veidošanās, nepieļaujot skaņas koncentrācijas un stāvviļņu parādības un nodrošinot optimālas akustisko parametru vērtības. Skatītāju zāļu proporcijas teātru un koncertzālēm nosakāmas saskaņā ar šā būvnormatīva 2.pielikuma 1.attēlā norādīto apgabalu. Grafika izmantošanai reālos telpas izmērus dala ar vidējo augstumu, tādējādi pārveidotajam platumam un garumam jāatrodas iezīmētā apgabala iekšpusē.</w:t>
            </w:r>
          </w:p>
          <w:p w:rsidR="0078682B" w:rsidRPr="00850F37" w:rsidRDefault="0078682B" w:rsidP="002002BD">
            <w:pPr>
              <w:spacing w:after="120"/>
              <w:ind w:left="57" w:right="57"/>
              <w:jc w:val="both"/>
              <w:rPr>
                <w:sz w:val="26"/>
                <w:szCs w:val="26"/>
                <w:lang w:val="lv-LV"/>
              </w:rPr>
            </w:pPr>
            <w:r w:rsidRPr="00850F37">
              <w:rPr>
                <w:sz w:val="26"/>
                <w:szCs w:val="26"/>
                <w:lang w:val="lv-LV"/>
              </w:rPr>
              <w:t xml:space="preserve">Būvnormatīva 3.pielikumā noteiktas skaņas izolācijas prasības ēku iekšējām norobežojošām konstrukcijām, atkarībā no telpas iedalījuma klasēs. </w:t>
            </w:r>
          </w:p>
          <w:p w:rsidR="0078682B" w:rsidRPr="00850F37" w:rsidRDefault="0078682B" w:rsidP="002002BD">
            <w:pPr>
              <w:spacing w:after="120"/>
              <w:ind w:left="57" w:right="57"/>
              <w:jc w:val="both"/>
              <w:rPr>
                <w:sz w:val="26"/>
                <w:szCs w:val="26"/>
                <w:lang w:val="lv-LV"/>
              </w:rPr>
            </w:pPr>
            <w:r w:rsidRPr="00850F37">
              <w:rPr>
                <w:sz w:val="26"/>
                <w:szCs w:val="26"/>
                <w:lang w:val="lv-LV"/>
              </w:rPr>
              <w:t>Būvnormatīva 4.pielikumā grafiskā veidā noteikta vides trokšņa avotu tuvumā esošo ēku ārējo norobežojošo konstrukciju nepieciešamā skaņas izolācija.</w:t>
            </w:r>
          </w:p>
          <w:p w:rsidR="0078682B" w:rsidRPr="00850F37" w:rsidRDefault="0078682B" w:rsidP="002002BD">
            <w:pPr>
              <w:pStyle w:val="naiskr"/>
              <w:spacing w:before="0" w:after="120"/>
              <w:ind w:left="57" w:right="57"/>
              <w:jc w:val="both"/>
              <w:rPr>
                <w:sz w:val="26"/>
                <w:szCs w:val="26"/>
              </w:rPr>
            </w:pPr>
            <w:r w:rsidRPr="00850F37">
              <w:rPr>
                <w:sz w:val="26"/>
                <w:szCs w:val="26"/>
              </w:rPr>
              <w:t>Būvnormatīva 6.pielikumā norādītas trokšņa robežlielumu korekcijas, atbilstoši telpas klasei.</w:t>
            </w:r>
          </w:p>
          <w:p w:rsidR="0078682B" w:rsidRPr="00850F37" w:rsidRDefault="0078682B" w:rsidP="002002BD">
            <w:pPr>
              <w:spacing w:after="120"/>
              <w:ind w:left="57" w:right="57"/>
              <w:jc w:val="both"/>
              <w:rPr>
                <w:bCs/>
                <w:sz w:val="26"/>
                <w:szCs w:val="26"/>
                <w:lang w:val="lv-LV"/>
              </w:rPr>
            </w:pPr>
            <w:bookmarkStart w:id="5" w:name="505391"/>
            <w:bookmarkEnd w:id="5"/>
            <w:r w:rsidRPr="00850F37">
              <w:rPr>
                <w:bCs/>
                <w:sz w:val="26"/>
                <w:szCs w:val="26"/>
                <w:lang w:val="lv-LV"/>
              </w:rPr>
              <w:t>Pieļaujamie vides trokšņa robežlielumi un to novērtēšana ir noteikta 2014.gada 7.janvāra Ministru kabineta noteikumos Nr.16 „Trokšņa novērtēšanas un pārvaldības kārtība”.</w:t>
            </w:r>
          </w:p>
          <w:p w:rsidR="0078682B" w:rsidRPr="00850F37" w:rsidRDefault="0078682B" w:rsidP="002002BD">
            <w:pPr>
              <w:pStyle w:val="naiskr"/>
              <w:spacing w:before="0" w:after="120"/>
              <w:ind w:left="57" w:right="57"/>
              <w:jc w:val="both"/>
              <w:rPr>
                <w:strike/>
                <w:sz w:val="26"/>
                <w:szCs w:val="26"/>
              </w:rPr>
            </w:pPr>
            <w:bookmarkStart w:id="6" w:name="n3"/>
            <w:bookmarkStart w:id="7" w:name="n4"/>
            <w:bookmarkStart w:id="8" w:name="p-302268"/>
            <w:bookmarkStart w:id="9" w:name="p15"/>
            <w:bookmarkEnd w:id="6"/>
            <w:bookmarkEnd w:id="7"/>
            <w:bookmarkEnd w:id="8"/>
            <w:bookmarkEnd w:id="9"/>
            <w:r w:rsidRPr="00850F37">
              <w:rPr>
                <w:sz w:val="26"/>
                <w:szCs w:val="26"/>
              </w:rPr>
              <w:t xml:space="preserve">Ar būvnormatīva spēkā stāšanos spēku zaudēs Ministru kabineta </w:t>
            </w:r>
            <w:r w:rsidR="00633F1B" w:rsidRPr="00850F37">
              <w:rPr>
                <w:sz w:val="26"/>
                <w:szCs w:val="26"/>
              </w:rPr>
              <w:t xml:space="preserve">2011.gada 28.jūnija </w:t>
            </w:r>
            <w:r w:rsidRPr="00850F37">
              <w:rPr>
                <w:sz w:val="26"/>
                <w:szCs w:val="26"/>
              </w:rPr>
              <w:t>noteikumi Nr.499 „Noteikumi par Latvijas būvnormatīvu LBN 016-11 „Būvakustika””.</w:t>
            </w:r>
          </w:p>
          <w:p w:rsidR="0078682B" w:rsidRPr="00D843B1" w:rsidRDefault="0078682B" w:rsidP="006429AB">
            <w:pPr>
              <w:spacing w:before="120"/>
              <w:ind w:firstLine="720"/>
              <w:rPr>
                <w:strike/>
                <w:sz w:val="26"/>
                <w:szCs w:val="26"/>
                <w:lang w:val="lv-LV"/>
              </w:rPr>
            </w:pPr>
          </w:p>
        </w:tc>
      </w:tr>
      <w:tr w:rsidR="00942A54" w:rsidRPr="00D843B1" w:rsidTr="00C10FF4">
        <w:trPr>
          <w:trHeight w:val="706"/>
        </w:trPr>
        <w:tc>
          <w:tcPr>
            <w:tcW w:w="524" w:type="dxa"/>
          </w:tcPr>
          <w:p w:rsidR="0078682B" w:rsidRPr="00850F37" w:rsidRDefault="0078682B" w:rsidP="00C10FF4">
            <w:pPr>
              <w:ind w:left="57" w:right="57"/>
              <w:rPr>
                <w:sz w:val="26"/>
                <w:szCs w:val="26"/>
                <w:lang w:val="lv-LV"/>
              </w:rPr>
            </w:pPr>
            <w:r w:rsidRPr="00850F37">
              <w:rPr>
                <w:sz w:val="26"/>
                <w:szCs w:val="26"/>
                <w:lang w:val="lv-LV"/>
              </w:rPr>
              <w:lastRenderedPageBreak/>
              <w:t> 3.</w:t>
            </w:r>
          </w:p>
        </w:tc>
        <w:tc>
          <w:tcPr>
            <w:tcW w:w="3177" w:type="dxa"/>
          </w:tcPr>
          <w:p w:rsidR="0078682B" w:rsidRPr="00850F37" w:rsidRDefault="0078682B" w:rsidP="00C10FF4">
            <w:pPr>
              <w:ind w:left="57" w:right="57"/>
              <w:rPr>
                <w:sz w:val="26"/>
                <w:szCs w:val="26"/>
                <w:lang w:val="lv-LV"/>
              </w:rPr>
            </w:pPr>
            <w:r w:rsidRPr="00850F37">
              <w:rPr>
                <w:sz w:val="26"/>
                <w:szCs w:val="26"/>
                <w:lang w:val="lv-LV"/>
              </w:rPr>
              <w:t>Projekta izstrādē iesaistītās institūcijas</w:t>
            </w:r>
          </w:p>
        </w:tc>
        <w:tc>
          <w:tcPr>
            <w:tcW w:w="5361" w:type="dxa"/>
          </w:tcPr>
          <w:p w:rsidR="0078682B" w:rsidRPr="00850F37" w:rsidRDefault="0078682B" w:rsidP="00C10FF4">
            <w:pPr>
              <w:ind w:left="57" w:right="57" w:firstLine="284"/>
              <w:jc w:val="both"/>
              <w:rPr>
                <w:sz w:val="26"/>
                <w:szCs w:val="26"/>
                <w:lang w:val="lv-LV"/>
              </w:rPr>
            </w:pPr>
            <w:r w:rsidRPr="00850F37">
              <w:rPr>
                <w:sz w:val="26"/>
                <w:szCs w:val="26"/>
                <w:lang w:val="lv-LV"/>
              </w:rPr>
              <w:t>Noteikumu projekts šo jomu neskar</w:t>
            </w:r>
          </w:p>
        </w:tc>
      </w:tr>
      <w:tr w:rsidR="0078682B" w:rsidRPr="00850F37" w:rsidTr="00C10FF4">
        <w:trPr>
          <w:trHeight w:val="384"/>
        </w:trPr>
        <w:tc>
          <w:tcPr>
            <w:tcW w:w="524" w:type="dxa"/>
          </w:tcPr>
          <w:p w:rsidR="0078682B" w:rsidRPr="00850F37" w:rsidRDefault="0078682B" w:rsidP="00C10FF4">
            <w:pPr>
              <w:ind w:left="57" w:right="57"/>
              <w:rPr>
                <w:sz w:val="26"/>
                <w:szCs w:val="26"/>
                <w:lang w:val="lv-LV"/>
              </w:rPr>
            </w:pPr>
            <w:r w:rsidRPr="00850F37">
              <w:rPr>
                <w:sz w:val="26"/>
                <w:szCs w:val="26"/>
                <w:lang w:val="lv-LV"/>
              </w:rPr>
              <w:t> 4.</w:t>
            </w:r>
          </w:p>
        </w:tc>
        <w:tc>
          <w:tcPr>
            <w:tcW w:w="3177" w:type="dxa"/>
          </w:tcPr>
          <w:p w:rsidR="0078682B" w:rsidRPr="00850F37" w:rsidRDefault="0078682B" w:rsidP="00C10FF4">
            <w:pPr>
              <w:ind w:left="57" w:right="57"/>
              <w:rPr>
                <w:sz w:val="26"/>
                <w:szCs w:val="26"/>
                <w:lang w:val="lv-LV"/>
              </w:rPr>
            </w:pPr>
            <w:r w:rsidRPr="00850F37">
              <w:rPr>
                <w:sz w:val="26"/>
                <w:szCs w:val="26"/>
                <w:lang w:val="lv-LV"/>
              </w:rPr>
              <w:t>Cita informācija</w:t>
            </w:r>
          </w:p>
        </w:tc>
        <w:tc>
          <w:tcPr>
            <w:tcW w:w="5361" w:type="dxa"/>
          </w:tcPr>
          <w:p w:rsidR="0078682B" w:rsidRPr="00850F37" w:rsidRDefault="0078682B" w:rsidP="00C10FF4">
            <w:pPr>
              <w:pStyle w:val="naiskr"/>
              <w:spacing w:before="0" w:after="0"/>
              <w:ind w:left="57" w:right="57" w:firstLine="284"/>
              <w:jc w:val="both"/>
              <w:rPr>
                <w:sz w:val="26"/>
                <w:szCs w:val="26"/>
              </w:rPr>
            </w:pPr>
            <w:r w:rsidRPr="00850F37">
              <w:rPr>
                <w:sz w:val="26"/>
                <w:szCs w:val="26"/>
              </w:rPr>
              <w:t>Nav</w:t>
            </w:r>
          </w:p>
        </w:tc>
      </w:tr>
    </w:tbl>
    <w:p w:rsidR="0078682B" w:rsidRPr="00850F37" w:rsidRDefault="0078682B" w:rsidP="0078682B">
      <w:pPr>
        <w:ind w:left="57" w:right="57"/>
        <w:rPr>
          <w:sz w:val="26"/>
          <w:szCs w:val="26"/>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942A54" w:rsidRPr="00D843B1" w:rsidTr="00C10FF4">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78682B" w:rsidRPr="00850F37" w:rsidRDefault="0078682B" w:rsidP="00C10FF4">
            <w:pPr>
              <w:ind w:left="57" w:right="57"/>
              <w:jc w:val="center"/>
              <w:rPr>
                <w:b/>
                <w:sz w:val="26"/>
                <w:szCs w:val="26"/>
                <w:lang w:val="lv-LV"/>
              </w:rPr>
            </w:pPr>
            <w:r w:rsidRPr="00850F37">
              <w:rPr>
                <w:b/>
                <w:sz w:val="26"/>
                <w:szCs w:val="26"/>
                <w:lang w:val="lv-LV"/>
              </w:rPr>
              <w:lastRenderedPageBreak/>
              <w:t>II. Tiesību akta projekta ietekme uz sabiedrību tautsaimniecības attīstību un administratīvo slogu</w:t>
            </w:r>
          </w:p>
        </w:tc>
      </w:tr>
      <w:tr w:rsidR="00942A54" w:rsidRPr="00D843B1" w:rsidTr="00C10FF4">
        <w:trPr>
          <w:trHeight w:val="467"/>
        </w:trPr>
        <w:tc>
          <w:tcPr>
            <w:tcW w:w="523"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spacing w:after="120"/>
              <w:ind w:left="57" w:right="57"/>
              <w:rPr>
                <w:sz w:val="26"/>
                <w:szCs w:val="26"/>
                <w:lang w:val="lv-LV"/>
              </w:rPr>
            </w:pPr>
            <w:r w:rsidRPr="00850F37">
              <w:rPr>
                <w:sz w:val="26"/>
                <w:szCs w:val="26"/>
                <w:lang w:val="lv-LV"/>
              </w:rPr>
              <w:t> 1.</w:t>
            </w:r>
          </w:p>
        </w:tc>
        <w:tc>
          <w:tcPr>
            <w:tcW w:w="3153"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spacing w:after="120"/>
              <w:ind w:left="57" w:right="57"/>
              <w:rPr>
                <w:sz w:val="26"/>
                <w:szCs w:val="26"/>
                <w:lang w:val="lv-LV"/>
              </w:rPr>
            </w:pPr>
            <w:r w:rsidRPr="00850F37">
              <w:rPr>
                <w:sz w:val="26"/>
                <w:szCs w:val="26"/>
                <w:lang w:val="lv-LV"/>
              </w:rPr>
              <w:t xml:space="preserve"> Sabiedrības </w:t>
            </w:r>
            <w:proofErr w:type="spellStart"/>
            <w:r w:rsidRPr="00850F37">
              <w:rPr>
                <w:sz w:val="26"/>
                <w:szCs w:val="26"/>
                <w:lang w:val="lv-LV"/>
              </w:rPr>
              <w:t>mērķgrupas</w:t>
            </w:r>
            <w:proofErr w:type="spellEnd"/>
            <w:r w:rsidRPr="00850F37">
              <w:rPr>
                <w:sz w:val="26"/>
                <w:szCs w:val="26"/>
                <w:lang w:val="lv-LV"/>
              </w:rPr>
              <w:t>,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spacing w:after="120"/>
              <w:ind w:left="57" w:right="57"/>
              <w:jc w:val="both"/>
              <w:rPr>
                <w:iCs/>
                <w:sz w:val="26"/>
                <w:szCs w:val="26"/>
                <w:lang w:val="lv-LV"/>
              </w:rPr>
            </w:pPr>
            <w:r w:rsidRPr="00850F37">
              <w:rPr>
                <w:iCs/>
                <w:sz w:val="26"/>
                <w:szCs w:val="26"/>
                <w:lang w:val="lv-LV"/>
              </w:rPr>
              <w:t xml:space="preserve">Būvnormatīva regulējums attiecas uz būvniecības nozarē strādājošajiem arhitektiem un </w:t>
            </w:r>
            <w:r w:rsidR="00E831E4" w:rsidRPr="00850F37">
              <w:rPr>
                <w:iCs/>
                <w:sz w:val="26"/>
                <w:szCs w:val="26"/>
                <w:lang w:val="lv-LV"/>
              </w:rPr>
              <w:t xml:space="preserve">būvkonstrukciju </w:t>
            </w:r>
            <w:r w:rsidRPr="00850F37">
              <w:rPr>
                <w:iCs/>
                <w:sz w:val="26"/>
                <w:szCs w:val="26"/>
                <w:lang w:val="lv-LV"/>
              </w:rPr>
              <w:t>projektētājiem.</w:t>
            </w:r>
          </w:p>
          <w:p w:rsidR="000070C8" w:rsidRPr="00850F37" w:rsidRDefault="00A173A2" w:rsidP="002002BD">
            <w:pPr>
              <w:spacing w:after="120"/>
              <w:ind w:left="57" w:right="57"/>
              <w:jc w:val="both"/>
              <w:rPr>
                <w:sz w:val="26"/>
                <w:szCs w:val="26"/>
                <w:lang w:val="lv-LV"/>
              </w:rPr>
            </w:pPr>
            <w:r w:rsidRPr="00850F37">
              <w:rPr>
                <w:iCs/>
                <w:sz w:val="26"/>
                <w:szCs w:val="26"/>
                <w:lang w:val="lv-LV"/>
              </w:rPr>
              <w:t>Noteikumu projekta tiesiskais regulējums attiecas uz projektētājiem</w:t>
            </w:r>
            <w:r w:rsidR="00455E52" w:rsidRPr="00850F37">
              <w:rPr>
                <w:iCs/>
                <w:sz w:val="26"/>
                <w:szCs w:val="26"/>
                <w:lang w:val="lv-LV"/>
              </w:rPr>
              <w:t xml:space="preserve"> (arhitektiem un konstrukciju projektētājiem)</w:t>
            </w:r>
            <w:r w:rsidRPr="00850F37">
              <w:rPr>
                <w:iCs/>
                <w:sz w:val="26"/>
                <w:szCs w:val="26"/>
                <w:lang w:val="lv-LV"/>
              </w:rPr>
              <w:t xml:space="preserve">, ekspertiem un būvkomersantiem. </w:t>
            </w:r>
            <w:r w:rsidR="00455E52" w:rsidRPr="00850F37">
              <w:rPr>
                <w:iCs/>
                <w:sz w:val="26"/>
                <w:szCs w:val="26"/>
                <w:lang w:val="lv-LV"/>
              </w:rPr>
              <w:t xml:space="preserve">Atbilstoši </w:t>
            </w:r>
            <w:proofErr w:type="spellStart"/>
            <w:r w:rsidR="00455E52" w:rsidRPr="00850F37">
              <w:rPr>
                <w:iCs/>
                <w:sz w:val="26"/>
                <w:szCs w:val="26"/>
                <w:lang w:val="lv-LV"/>
              </w:rPr>
              <w:t>Būvspeciālistu</w:t>
            </w:r>
            <w:proofErr w:type="spellEnd"/>
            <w:r w:rsidR="00455E52" w:rsidRPr="00850F37">
              <w:rPr>
                <w:iCs/>
                <w:sz w:val="26"/>
                <w:szCs w:val="26"/>
                <w:lang w:val="lv-LV"/>
              </w:rPr>
              <w:t xml:space="preserve"> un Būvkomersantu reģistrā pieejamai informācijai</w:t>
            </w:r>
            <w:r w:rsidR="000070C8" w:rsidRPr="00850F37">
              <w:rPr>
                <w:iCs/>
                <w:sz w:val="26"/>
                <w:szCs w:val="26"/>
                <w:lang w:val="lv-LV"/>
              </w:rPr>
              <w:t>,</w:t>
            </w:r>
            <w:r w:rsidR="00455E52" w:rsidRPr="00850F37">
              <w:rPr>
                <w:iCs/>
                <w:sz w:val="26"/>
                <w:szCs w:val="26"/>
                <w:lang w:val="lv-LV"/>
              </w:rPr>
              <w:t xml:space="preserve"> </w:t>
            </w:r>
            <w:r w:rsidR="000070C8" w:rsidRPr="00850F37">
              <w:rPr>
                <w:iCs/>
                <w:sz w:val="26"/>
                <w:szCs w:val="26"/>
                <w:lang w:val="lv-LV"/>
              </w:rPr>
              <w:t>reģistrēti arhitekti - 857, savukārt projektēšanas biroji – 590 būvkomersanti, b</w:t>
            </w:r>
            <w:r w:rsidRPr="00850F37">
              <w:rPr>
                <w:iCs/>
                <w:sz w:val="26"/>
                <w:szCs w:val="26"/>
                <w:lang w:val="lv-LV"/>
              </w:rPr>
              <w:t>ūvkonstrukciju projektētāj</w:t>
            </w:r>
            <w:r w:rsidR="000070C8" w:rsidRPr="00850F37">
              <w:rPr>
                <w:iCs/>
                <w:sz w:val="26"/>
                <w:szCs w:val="26"/>
                <w:lang w:val="lv-LV"/>
              </w:rPr>
              <w:t>i</w:t>
            </w:r>
            <w:r w:rsidRPr="00850F37">
              <w:rPr>
                <w:iCs/>
                <w:sz w:val="26"/>
                <w:szCs w:val="26"/>
                <w:lang w:val="lv-LV"/>
              </w:rPr>
              <w:t xml:space="preserve">  un ekspert</w:t>
            </w:r>
            <w:r w:rsidR="000070C8" w:rsidRPr="00850F37">
              <w:rPr>
                <w:iCs/>
                <w:sz w:val="26"/>
                <w:szCs w:val="26"/>
                <w:lang w:val="lv-LV"/>
              </w:rPr>
              <w:t>i</w:t>
            </w:r>
            <w:r w:rsidR="002002BD" w:rsidRPr="00850F37">
              <w:rPr>
                <w:iCs/>
                <w:sz w:val="26"/>
                <w:szCs w:val="26"/>
                <w:lang w:val="lv-LV"/>
              </w:rPr>
              <w:t xml:space="preserve"> </w:t>
            </w:r>
            <w:r w:rsidR="000070C8" w:rsidRPr="00850F37">
              <w:rPr>
                <w:iCs/>
                <w:sz w:val="26"/>
                <w:szCs w:val="26"/>
                <w:lang w:val="lv-LV"/>
              </w:rPr>
              <w:t>-</w:t>
            </w:r>
            <w:r w:rsidRPr="00850F37">
              <w:rPr>
                <w:iCs/>
                <w:sz w:val="26"/>
                <w:szCs w:val="26"/>
                <w:lang w:val="lv-LV"/>
              </w:rPr>
              <w:t xml:space="preserve"> 1500 </w:t>
            </w:r>
            <w:proofErr w:type="spellStart"/>
            <w:r w:rsidRPr="00850F37">
              <w:rPr>
                <w:iCs/>
                <w:sz w:val="26"/>
                <w:szCs w:val="26"/>
                <w:lang w:val="lv-LV"/>
              </w:rPr>
              <w:t>būvspeciālist</w:t>
            </w:r>
            <w:r w:rsidR="000070C8" w:rsidRPr="00850F37">
              <w:rPr>
                <w:iCs/>
                <w:sz w:val="26"/>
                <w:szCs w:val="26"/>
                <w:lang w:val="lv-LV"/>
              </w:rPr>
              <w:t>i</w:t>
            </w:r>
            <w:proofErr w:type="spellEnd"/>
            <w:r w:rsidR="000070C8" w:rsidRPr="00850F37">
              <w:rPr>
                <w:iCs/>
                <w:sz w:val="26"/>
                <w:szCs w:val="26"/>
                <w:lang w:val="lv-LV"/>
              </w:rPr>
              <w:t>, 150 būvkomersanti</w:t>
            </w:r>
            <w:r w:rsidRPr="00850F37">
              <w:rPr>
                <w:iCs/>
                <w:sz w:val="26"/>
                <w:szCs w:val="26"/>
                <w:lang w:val="lv-LV"/>
              </w:rPr>
              <w:t>.</w:t>
            </w:r>
          </w:p>
        </w:tc>
      </w:tr>
      <w:tr w:rsidR="00942A54" w:rsidRPr="00D843B1" w:rsidTr="00C10FF4">
        <w:trPr>
          <w:trHeight w:val="523"/>
        </w:trPr>
        <w:tc>
          <w:tcPr>
            <w:tcW w:w="523"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spacing w:after="120"/>
              <w:ind w:left="57" w:right="57"/>
              <w:rPr>
                <w:sz w:val="26"/>
                <w:szCs w:val="26"/>
                <w:lang w:val="lv-LV"/>
              </w:rPr>
            </w:pPr>
            <w:r w:rsidRPr="00850F37">
              <w:rPr>
                <w:sz w:val="26"/>
                <w:szCs w:val="26"/>
                <w:lang w:val="lv-LV"/>
              </w:rPr>
              <w:t> 2.</w:t>
            </w:r>
          </w:p>
        </w:tc>
        <w:tc>
          <w:tcPr>
            <w:tcW w:w="3153"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spacing w:after="120"/>
              <w:ind w:left="57" w:right="57"/>
              <w:rPr>
                <w:sz w:val="26"/>
                <w:szCs w:val="26"/>
                <w:lang w:val="lv-LV"/>
              </w:rPr>
            </w:pPr>
            <w:r w:rsidRPr="00850F37">
              <w:rPr>
                <w:sz w:val="26"/>
                <w:szCs w:val="26"/>
                <w:lang w:val="lv-LV"/>
              </w:rPr>
              <w:t>Tiesiskā regulējuma 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spacing w:after="120"/>
              <w:ind w:left="57" w:right="57"/>
              <w:jc w:val="both"/>
              <w:rPr>
                <w:sz w:val="26"/>
                <w:szCs w:val="26"/>
                <w:lang w:val="lv-LV"/>
              </w:rPr>
            </w:pPr>
            <w:r w:rsidRPr="00850F37">
              <w:rPr>
                <w:sz w:val="26"/>
                <w:szCs w:val="26"/>
                <w:lang w:val="lv-LV"/>
              </w:rPr>
              <w:t xml:space="preserve">Šīs sadaļas 1.punktā minētajām sabiedrības </w:t>
            </w:r>
            <w:proofErr w:type="spellStart"/>
            <w:r w:rsidRPr="00850F37">
              <w:rPr>
                <w:sz w:val="26"/>
                <w:szCs w:val="26"/>
                <w:lang w:val="lv-LV"/>
              </w:rPr>
              <w:t>mērķgrupām</w:t>
            </w:r>
            <w:proofErr w:type="spellEnd"/>
            <w:r w:rsidRPr="00850F37">
              <w:rPr>
                <w:sz w:val="26"/>
                <w:szCs w:val="26"/>
                <w:lang w:val="lv-LV"/>
              </w:rPr>
              <w:t xml:space="preserve"> projekta tiesiskais regulējums nemaina tiesības un pienākumus, kā arī veicamās darbības.</w:t>
            </w:r>
          </w:p>
          <w:p w:rsidR="008E2C2D" w:rsidRPr="00850F37" w:rsidRDefault="008E2C2D" w:rsidP="002002BD">
            <w:pPr>
              <w:spacing w:after="120"/>
              <w:ind w:left="57" w:right="57"/>
              <w:jc w:val="both"/>
              <w:rPr>
                <w:sz w:val="26"/>
                <w:szCs w:val="26"/>
                <w:lang w:val="lv-LV"/>
              </w:rPr>
            </w:pPr>
            <w:r w:rsidRPr="00850F37">
              <w:rPr>
                <w:iCs/>
                <w:sz w:val="26"/>
                <w:szCs w:val="26"/>
                <w:lang w:val="lv-LV"/>
              </w:rPr>
              <w:t>Noteikumu projekta tiesiskais regulējums neietekmē uzņēmējdarbības vidi</w:t>
            </w:r>
            <w:r w:rsidR="000070C8" w:rsidRPr="00850F37">
              <w:rPr>
                <w:iCs/>
                <w:sz w:val="26"/>
                <w:szCs w:val="26"/>
                <w:lang w:val="lv-LV"/>
              </w:rPr>
              <w:t xml:space="preserve">. </w:t>
            </w:r>
            <w:r w:rsidRPr="00850F37">
              <w:rPr>
                <w:iCs/>
                <w:sz w:val="26"/>
                <w:szCs w:val="26"/>
                <w:lang w:val="lv-LV"/>
              </w:rPr>
              <w:t xml:space="preserve"> </w:t>
            </w:r>
          </w:p>
        </w:tc>
      </w:tr>
      <w:tr w:rsidR="00942A54" w:rsidRPr="00850F37" w:rsidTr="00C10FF4">
        <w:trPr>
          <w:trHeight w:val="517"/>
        </w:trPr>
        <w:tc>
          <w:tcPr>
            <w:tcW w:w="523"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ind w:left="57" w:right="57"/>
              <w:rPr>
                <w:sz w:val="26"/>
                <w:szCs w:val="26"/>
                <w:lang w:val="lv-LV"/>
              </w:rPr>
            </w:pPr>
            <w:r w:rsidRPr="00850F37">
              <w:rPr>
                <w:sz w:val="26"/>
                <w:szCs w:val="26"/>
                <w:lang w:val="lv-LV"/>
              </w:rPr>
              <w:t> 3.</w:t>
            </w:r>
          </w:p>
        </w:tc>
        <w:tc>
          <w:tcPr>
            <w:tcW w:w="3153"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ind w:left="57" w:right="57"/>
              <w:rPr>
                <w:sz w:val="26"/>
                <w:szCs w:val="26"/>
                <w:lang w:val="lv-LV"/>
              </w:rPr>
            </w:pPr>
            <w:r w:rsidRPr="00850F37">
              <w:rPr>
                <w:sz w:val="26"/>
                <w:szCs w:val="26"/>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ind w:left="57" w:right="57"/>
              <w:jc w:val="both"/>
              <w:rPr>
                <w:sz w:val="26"/>
                <w:szCs w:val="26"/>
                <w:lang w:val="lv-LV"/>
              </w:rPr>
            </w:pPr>
            <w:r w:rsidRPr="00850F37">
              <w:rPr>
                <w:sz w:val="26"/>
                <w:szCs w:val="26"/>
                <w:lang w:val="lv-LV"/>
              </w:rPr>
              <w:t>Projekts šo jomu neskar</w:t>
            </w:r>
          </w:p>
        </w:tc>
      </w:tr>
      <w:tr w:rsidR="00942A54" w:rsidRPr="00850F37" w:rsidTr="00C10FF4">
        <w:tc>
          <w:tcPr>
            <w:tcW w:w="523"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ind w:left="57" w:right="57"/>
              <w:rPr>
                <w:sz w:val="26"/>
                <w:szCs w:val="26"/>
                <w:lang w:val="lv-LV"/>
              </w:rPr>
            </w:pPr>
            <w:r w:rsidRPr="00850F37">
              <w:rPr>
                <w:sz w:val="26"/>
                <w:szCs w:val="26"/>
                <w:lang w:val="lv-LV"/>
              </w:rPr>
              <w:t> 4.</w:t>
            </w:r>
          </w:p>
        </w:tc>
        <w:tc>
          <w:tcPr>
            <w:tcW w:w="3153"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ind w:left="57" w:right="57"/>
              <w:rPr>
                <w:sz w:val="26"/>
                <w:szCs w:val="26"/>
                <w:lang w:val="lv-LV"/>
              </w:rPr>
            </w:pPr>
            <w:r w:rsidRPr="00850F37">
              <w:rPr>
                <w:sz w:val="26"/>
                <w:szCs w:val="26"/>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78682B" w:rsidRPr="00850F37" w:rsidRDefault="0078682B" w:rsidP="002002BD">
            <w:pPr>
              <w:ind w:left="57" w:right="57"/>
              <w:jc w:val="both"/>
              <w:rPr>
                <w:sz w:val="26"/>
                <w:szCs w:val="26"/>
                <w:lang w:val="lv-LV"/>
              </w:rPr>
            </w:pPr>
            <w:r w:rsidRPr="00850F37">
              <w:rPr>
                <w:sz w:val="26"/>
                <w:szCs w:val="26"/>
                <w:lang w:val="lv-LV"/>
              </w:rPr>
              <w:t>Nav</w:t>
            </w:r>
          </w:p>
        </w:tc>
      </w:tr>
    </w:tbl>
    <w:p w:rsidR="0078682B" w:rsidRPr="00850F37" w:rsidRDefault="0078682B" w:rsidP="0078682B">
      <w:pPr>
        <w:ind w:left="57" w:right="57"/>
        <w:rPr>
          <w:sz w:val="26"/>
          <w:szCs w:val="26"/>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942A54" w:rsidRPr="00D843B1" w:rsidTr="00C10FF4">
        <w:trPr>
          <w:jc w:val="center"/>
        </w:trPr>
        <w:tc>
          <w:tcPr>
            <w:tcW w:w="9215" w:type="dxa"/>
            <w:gridSpan w:val="3"/>
          </w:tcPr>
          <w:p w:rsidR="0078682B" w:rsidRPr="00850F37" w:rsidRDefault="0078682B" w:rsidP="00C10FF4">
            <w:pPr>
              <w:pStyle w:val="naisnod"/>
              <w:spacing w:before="0" w:after="0"/>
              <w:ind w:left="57" w:right="57"/>
              <w:rPr>
                <w:sz w:val="26"/>
                <w:szCs w:val="26"/>
              </w:rPr>
            </w:pPr>
            <w:r w:rsidRPr="00850F37">
              <w:rPr>
                <w:sz w:val="26"/>
                <w:szCs w:val="26"/>
              </w:rPr>
              <w:t>VI. Sabiedrības līdzdalība un komunikācijas aktivitātes</w:t>
            </w:r>
          </w:p>
        </w:tc>
      </w:tr>
      <w:tr w:rsidR="00942A54" w:rsidRPr="00D843B1" w:rsidTr="00C10FF4">
        <w:trPr>
          <w:trHeight w:val="553"/>
          <w:jc w:val="center"/>
        </w:trPr>
        <w:tc>
          <w:tcPr>
            <w:tcW w:w="567" w:type="dxa"/>
          </w:tcPr>
          <w:p w:rsidR="0078682B" w:rsidRPr="00850F37" w:rsidRDefault="0078682B" w:rsidP="002002BD">
            <w:pPr>
              <w:pStyle w:val="naiskr"/>
              <w:spacing w:before="0" w:after="120"/>
              <w:ind w:left="57" w:right="57"/>
              <w:rPr>
                <w:bCs/>
                <w:sz w:val="26"/>
                <w:szCs w:val="26"/>
              </w:rPr>
            </w:pPr>
            <w:r w:rsidRPr="00850F37">
              <w:rPr>
                <w:bCs/>
                <w:sz w:val="26"/>
                <w:szCs w:val="26"/>
              </w:rPr>
              <w:t>1.</w:t>
            </w:r>
          </w:p>
        </w:tc>
        <w:tc>
          <w:tcPr>
            <w:tcW w:w="2934" w:type="dxa"/>
          </w:tcPr>
          <w:p w:rsidR="0078682B" w:rsidRPr="00850F37" w:rsidRDefault="0078682B" w:rsidP="002002BD">
            <w:pPr>
              <w:pStyle w:val="naiskr"/>
              <w:tabs>
                <w:tab w:val="left" w:pos="170"/>
              </w:tabs>
              <w:spacing w:before="0" w:after="120"/>
              <w:ind w:left="57" w:right="57"/>
              <w:rPr>
                <w:sz w:val="26"/>
                <w:szCs w:val="26"/>
              </w:rPr>
            </w:pPr>
            <w:r w:rsidRPr="00850F37">
              <w:rPr>
                <w:sz w:val="26"/>
                <w:szCs w:val="26"/>
              </w:rPr>
              <w:t>Plānotās sabiedrības līdzdalības un komunikācijas aktivitātes saistībā ar projektu</w:t>
            </w:r>
          </w:p>
        </w:tc>
        <w:tc>
          <w:tcPr>
            <w:tcW w:w="5714" w:type="dxa"/>
          </w:tcPr>
          <w:p w:rsidR="0078682B" w:rsidRPr="00850F37" w:rsidRDefault="0078682B" w:rsidP="002002BD">
            <w:pPr>
              <w:pStyle w:val="naiskr"/>
              <w:spacing w:before="0" w:after="120"/>
              <w:ind w:left="57" w:right="57"/>
              <w:jc w:val="both"/>
              <w:rPr>
                <w:sz w:val="26"/>
                <w:szCs w:val="26"/>
                <w:lang w:eastAsia="en-US"/>
              </w:rPr>
            </w:pPr>
            <w:r w:rsidRPr="00850F37">
              <w:rPr>
                <w:sz w:val="26"/>
                <w:szCs w:val="26"/>
                <w:lang w:eastAsia="en-US"/>
              </w:rPr>
              <w:t>Noteikumu projekts sabiedrībai publiski ir pieejams Ekonomikas ministrijas mājas lapā internetā, kā arī pēc izsludināšanas Valsts sekretāru sanāksmē būs pieejams Ministru kabineta mājas lapā internetā.</w:t>
            </w:r>
          </w:p>
          <w:p w:rsidR="0078682B" w:rsidRPr="00850F37" w:rsidRDefault="0078682B" w:rsidP="002002BD">
            <w:pPr>
              <w:pStyle w:val="naiskr"/>
              <w:spacing w:before="0" w:after="120"/>
              <w:ind w:left="57" w:right="57"/>
              <w:jc w:val="both"/>
              <w:rPr>
                <w:sz w:val="26"/>
                <w:szCs w:val="26"/>
              </w:rPr>
            </w:pPr>
            <w:r w:rsidRPr="00850F37">
              <w:rPr>
                <w:sz w:val="26"/>
                <w:szCs w:val="26"/>
              </w:rPr>
              <w:t xml:space="preserve">Ministru kabineta 2009.gada 25.augusta noteikumu Nr.970 „Sabiedrības līdzdalības kārtība attīstības plānošanas procesā” 13.punktā minētās darbības nav jāveic, jo noteikumu projektā paredzētais tiesiskais regulējums nemaina līdzšinējo spēkā esošo regulējumu. </w:t>
            </w:r>
          </w:p>
          <w:p w:rsidR="000070C8" w:rsidRPr="00850F37" w:rsidRDefault="000070C8" w:rsidP="002002BD">
            <w:pPr>
              <w:spacing w:after="120"/>
              <w:ind w:left="57" w:right="57"/>
              <w:jc w:val="both"/>
              <w:rPr>
                <w:iCs/>
                <w:sz w:val="26"/>
                <w:szCs w:val="26"/>
                <w:lang w:val="lv-LV"/>
              </w:rPr>
            </w:pPr>
            <w:r w:rsidRPr="00850F37">
              <w:rPr>
                <w:iCs/>
                <w:sz w:val="26"/>
                <w:szCs w:val="26"/>
                <w:lang w:val="lv-LV"/>
              </w:rPr>
              <w:t>Par noteikumu projektu sabiedrība tika informēta Ekonomikas ministrijas rīkotajos semināros par jauno būvniecības regulējumu.</w:t>
            </w:r>
          </w:p>
          <w:p w:rsidR="000070C8" w:rsidRPr="00850F37" w:rsidRDefault="000070C8" w:rsidP="002002BD">
            <w:pPr>
              <w:pStyle w:val="naiskr"/>
              <w:spacing w:before="0" w:after="120"/>
              <w:ind w:left="57" w:right="57"/>
              <w:jc w:val="both"/>
              <w:rPr>
                <w:sz w:val="26"/>
                <w:szCs w:val="26"/>
              </w:rPr>
            </w:pPr>
          </w:p>
        </w:tc>
      </w:tr>
      <w:tr w:rsidR="00942A54" w:rsidRPr="00D843B1" w:rsidTr="00C10FF4">
        <w:trPr>
          <w:trHeight w:val="339"/>
          <w:jc w:val="center"/>
        </w:trPr>
        <w:tc>
          <w:tcPr>
            <w:tcW w:w="567" w:type="dxa"/>
          </w:tcPr>
          <w:p w:rsidR="0078682B" w:rsidRPr="00850F37" w:rsidRDefault="0078682B" w:rsidP="002002BD">
            <w:pPr>
              <w:pStyle w:val="naiskr"/>
              <w:spacing w:before="0" w:after="120"/>
              <w:ind w:left="57" w:right="57"/>
              <w:rPr>
                <w:bCs/>
                <w:sz w:val="26"/>
                <w:szCs w:val="26"/>
              </w:rPr>
            </w:pPr>
            <w:r w:rsidRPr="00850F37">
              <w:rPr>
                <w:bCs/>
                <w:sz w:val="26"/>
                <w:szCs w:val="26"/>
              </w:rPr>
              <w:t>2.</w:t>
            </w:r>
          </w:p>
        </w:tc>
        <w:tc>
          <w:tcPr>
            <w:tcW w:w="2934" w:type="dxa"/>
          </w:tcPr>
          <w:p w:rsidR="0078682B" w:rsidRPr="00850F37" w:rsidRDefault="0078682B" w:rsidP="002002BD">
            <w:pPr>
              <w:pStyle w:val="naiskr"/>
              <w:spacing w:before="0" w:after="120"/>
              <w:ind w:left="57" w:right="57"/>
              <w:rPr>
                <w:sz w:val="26"/>
                <w:szCs w:val="26"/>
              </w:rPr>
            </w:pPr>
            <w:r w:rsidRPr="00850F37">
              <w:rPr>
                <w:sz w:val="26"/>
                <w:szCs w:val="26"/>
              </w:rPr>
              <w:t xml:space="preserve">Sabiedrības līdzdalība projekta izstrādē </w:t>
            </w:r>
          </w:p>
        </w:tc>
        <w:tc>
          <w:tcPr>
            <w:tcW w:w="5714" w:type="dxa"/>
          </w:tcPr>
          <w:p w:rsidR="0078682B" w:rsidRPr="00850F37" w:rsidRDefault="002002BD" w:rsidP="002002BD">
            <w:pPr>
              <w:pStyle w:val="naiskr"/>
              <w:spacing w:before="0" w:after="120"/>
              <w:ind w:left="57" w:right="57"/>
              <w:jc w:val="both"/>
              <w:rPr>
                <w:sz w:val="26"/>
                <w:szCs w:val="26"/>
              </w:rPr>
            </w:pPr>
            <w:r w:rsidRPr="00850F37">
              <w:rPr>
                <w:sz w:val="26"/>
                <w:szCs w:val="26"/>
              </w:rPr>
              <w:t xml:space="preserve">Pirms noteikumu projekta izsludināšanas notika tikšanās ar Latvijas </w:t>
            </w:r>
            <w:proofErr w:type="spellStart"/>
            <w:r w:rsidRPr="00850F37">
              <w:rPr>
                <w:sz w:val="26"/>
                <w:szCs w:val="26"/>
              </w:rPr>
              <w:t>Akustiķu</w:t>
            </w:r>
            <w:proofErr w:type="spellEnd"/>
            <w:r w:rsidRPr="00850F37">
              <w:rPr>
                <w:sz w:val="26"/>
                <w:szCs w:val="26"/>
              </w:rPr>
              <w:t xml:space="preserve"> apvienību</w:t>
            </w:r>
            <w:r w:rsidR="00942A54" w:rsidRPr="00850F37">
              <w:rPr>
                <w:sz w:val="26"/>
                <w:szCs w:val="26"/>
              </w:rPr>
              <w:t>, kura atbalsta projekta virzību</w:t>
            </w:r>
          </w:p>
        </w:tc>
      </w:tr>
      <w:tr w:rsidR="00942A54" w:rsidRPr="00D843B1" w:rsidTr="00C10FF4">
        <w:trPr>
          <w:trHeight w:val="375"/>
          <w:jc w:val="center"/>
        </w:trPr>
        <w:tc>
          <w:tcPr>
            <w:tcW w:w="567" w:type="dxa"/>
          </w:tcPr>
          <w:p w:rsidR="0078682B" w:rsidRPr="00850F37" w:rsidRDefault="0078682B" w:rsidP="002002BD">
            <w:pPr>
              <w:pStyle w:val="naiskr"/>
              <w:spacing w:before="0" w:after="120"/>
              <w:ind w:left="57" w:right="57"/>
              <w:rPr>
                <w:bCs/>
                <w:sz w:val="26"/>
                <w:szCs w:val="26"/>
              </w:rPr>
            </w:pPr>
            <w:r w:rsidRPr="00850F37">
              <w:rPr>
                <w:bCs/>
                <w:sz w:val="26"/>
                <w:szCs w:val="26"/>
              </w:rPr>
              <w:t>3.</w:t>
            </w:r>
          </w:p>
        </w:tc>
        <w:tc>
          <w:tcPr>
            <w:tcW w:w="2934" w:type="dxa"/>
          </w:tcPr>
          <w:p w:rsidR="0078682B" w:rsidRPr="00850F37" w:rsidRDefault="0078682B" w:rsidP="002002BD">
            <w:pPr>
              <w:pStyle w:val="naiskr"/>
              <w:spacing w:before="0" w:after="120"/>
              <w:ind w:left="57" w:right="57"/>
              <w:rPr>
                <w:sz w:val="26"/>
                <w:szCs w:val="26"/>
              </w:rPr>
            </w:pPr>
            <w:r w:rsidRPr="00850F37">
              <w:rPr>
                <w:sz w:val="26"/>
                <w:szCs w:val="26"/>
              </w:rPr>
              <w:t xml:space="preserve">Sabiedrības līdzdalības rezultāti </w:t>
            </w:r>
          </w:p>
        </w:tc>
        <w:tc>
          <w:tcPr>
            <w:tcW w:w="5714" w:type="dxa"/>
          </w:tcPr>
          <w:p w:rsidR="0078682B" w:rsidRPr="00850F37" w:rsidRDefault="002002BD" w:rsidP="002002BD">
            <w:pPr>
              <w:pStyle w:val="naiskr"/>
              <w:spacing w:before="0" w:after="120"/>
              <w:ind w:left="57" w:right="57"/>
              <w:jc w:val="both"/>
              <w:rPr>
                <w:sz w:val="26"/>
                <w:szCs w:val="26"/>
              </w:rPr>
            </w:pPr>
            <w:r w:rsidRPr="00850F37">
              <w:rPr>
                <w:sz w:val="26"/>
                <w:szCs w:val="26"/>
              </w:rPr>
              <w:t>Sabiedrības priekšlikumi un iebildumi nav saņemti</w:t>
            </w:r>
          </w:p>
        </w:tc>
      </w:tr>
      <w:tr w:rsidR="00942A54" w:rsidRPr="00850F37" w:rsidTr="00C10FF4">
        <w:trPr>
          <w:trHeight w:val="476"/>
          <w:jc w:val="center"/>
        </w:trPr>
        <w:tc>
          <w:tcPr>
            <w:tcW w:w="567" w:type="dxa"/>
          </w:tcPr>
          <w:p w:rsidR="0078682B" w:rsidRPr="00850F37" w:rsidRDefault="0078682B" w:rsidP="002002BD">
            <w:pPr>
              <w:pStyle w:val="naiskr"/>
              <w:spacing w:before="0" w:after="0"/>
              <w:ind w:left="57" w:right="57"/>
              <w:rPr>
                <w:bCs/>
                <w:sz w:val="26"/>
                <w:szCs w:val="26"/>
              </w:rPr>
            </w:pPr>
            <w:r w:rsidRPr="00850F37">
              <w:rPr>
                <w:bCs/>
                <w:sz w:val="26"/>
                <w:szCs w:val="26"/>
              </w:rPr>
              <w:lastRenderedPageBreak/>
              <w:t>4.</w:t>
            </w:r>
          </w:p>
        </w:tc>
        <w:tc>
          <w:tcPr>
            <w:tcW w:w="2934" w:type="dxa"/>
          </w:tcPr>
          <w:p w:rsidR="0078682B" w:rsidRPr="00850F37" w:rsidRDefault="0078682B" w:rsidP="002002BD">
            <w:pPr>
              <w:pStyle w:val="naiskr"/>
              <w:spacing w:before="0" w:after="0"/>
              <w:ind w:left="57" w:right="57"/>
              <w:rPr>
                <w:sz w:val="26"/>
                <w:szCs w:val="26"/>
              </w:rPr>
            </w:pPr>
            <w:r w:rsidRPr="00850F37">
              <w:rPr>
                <w:sz w:val="26"/>
                <w:szCs w:val="26"/>
              </w:rPr>
              <w:t>Cita informācija</w:t>
            </w:r>
          </w:p>
        </w:tc>
        <w:tc>
          <w:tcPr>
            <w:tcW w:w="5714" w:type="dxa"/>
          </w:tcPr>
          <w:p w:rsidR="0078682B" w:rsidRPr="00850F37" w:rsidRDefault="002002BD" w:rsidP="002002BD">
            <w:pPr>
              <w:pStyle w:val="naiskr"/>
              <w:spacing w:before="0" w:after="0"/>
              <w:ind w:left="57" w:right="57"/>
              <w:jc w:val="both"/>
              <w:rPr>
                <w:sz w:val="26"/>
                <w:szCs w:val="26"/>
              </w:rPr>
            </w:pPr>
            <w:r w:rsidRPr="00850F37">
              <w:rPr>
                <w:sz w:val="26"/>
                <w:szCs w:val="26"/>
              </w:rPr>
              <w:t>Nav</w:t>
            </w:r>
          </w:p>
        </w:tc>
      </w:tr>
    </w:tbl>
    <w:p w:rsidR="0078682B" w:rsidRPr="00850F37" w:rsidRDefault="0078682B" w:rsidP="0078682B">
      <w:pPr>
        <w:ind w:left="57" w:right="57"/>
        <w:rPr>
          <w:sz w:val="26"/>
          <w:szCs w:val="26"/>
          <w:lang w:val="lv-LV"/>
        </w:rPr>
      </w:pPr>
    </w:p>
    <w:p w:rsidR="00A173A2" w:rsidRPr="00850F37" w:rsidRDefault="00A173A2" w:rsidP="0078682B">
      <w:pPr>
        <w:ind w:left="57" w:right="57"/>
        <w:rPr>
          <w:sz w:val="26"/>
          <w:szCs w:val="26"/>
          <w:lang w:val="lv-LV"/>
        </w:rPr>
      </w:pPr>
    </w:p>
    <w:tbl>
      <w:tblPr>
        <w:tblStyle w:val="TableGrid"/>
        <w:tblW w:w="0" w:type="auto"/>
        <w:tblInd w:w="57" w:type="dxa"/>
        <w:tblLook w:val="04A0" w:firstRow="1" w:lastRow="0" w:firstColumn="1" w:lastColumn="0" w:noHBand="0" w:noVBand="1"/>
      </w:tblPr>
      <w:tblGrid>
        <w:gridCol w:w="618"/>
        <w:gridCol w:w="2835"/>
        <w:gridCol w:w="5777"/>
      </w:tblGrid>
      <w:tr w:rsidR="00942A54" w:rsidRPr="00D843B1" w:rsidTr="00A81DD3">
        <w:tc>
          <w:tcPr>
            <w:tcW w:w="9230" w:type="dxa"/>
            <w:gridSpan w:val="3"/>
          </w:tcPr>
          <w:p w:rsidR="00A173A2" w:rsidRPr="00850F37" w:rsidRDefault="00A173A2" w:rsidP="0078682B">
            <w:pPr>
              <w:ind w:right="57"/>
              <w:rPr>
                <w:sz w:val="26"/>
                <w:szCs w:val="26"/>
                <w:lang w:val="lv-LV"/>
              </w:rPr>
            </w:pPr>
            <w:r w:rsidRPr="00850F37">
              <w:rPr>
                <w:b/>
                <w:bCs/>
                <w:sz w:val="26"/>
                <w:szCs w:val="26"/>
                <w:lang w:val="lv-LV"/>
              </w:rPr>
              <w:t>VII. Tiesību akta projekta izpildes nodrošināšana un tās ietekme uz institūcijām</w:t>
            </w:r>
          </w:p>
        </w:tc>
      </w:tr>
      <w:tr w:rsidR="00942A54" w:rsidRPr="00D843B1" w:rsidTr="00A173A2">
        <w:tc>
          <w:tcPr>
            <w:tcW w:w="618" w:type="dxa"/>
          </w:tcPr>
          <w:p w:rsidR="00A173A2" w:rsidRPr="00850F37" w:rsidRDefault="00A173A2" w:rsidP="00942A54">
            <w:pPr>
              <w:spacing w:after="120"/>
              <w:ind w:left="57" w:right="57"/>
              <w:rPr>
                <w:sz w:val="26"/>
                <w:szCs w:val="26"/>
                <w:lang w:val="lv-LV"/>
              </w:rPr>
            </w:pPr>
            <w:r w:rsidRPr="00850F37">
              <w:rPr>
                <w:sz w:val="26"/>
                <w:szCs w:val="26"/>
                <w:lang w:val="lv-LV"/>
              </w:rPr>
              <w:t>1.</w:t>
            </w:r>
          </w:p>
        </w:tc>
        <w:tc>
          <w:tcPr>
            <w:tcW w:w="2835" w:type="dxa"/>
          </w:tcPr>
          <w:p w:rsidR="00A173A2" w:rsidRPr="00850F37" w:rsidRDefault="00A173A2" w:rsidP="00942A54">
            <w:pPr>
              <w:spacing w:after="120"/>
              <w:ind w:left="57" w:right="57"/>
              <w:rPr>
                <w:sz w:val="26"/>
                <w:szCs w:val="26"/>
                <w:lang w:val="lv-LV"/>
              </w:rPr>
            </w:pPr>
            <w:r w:rsidRPr="00850F37">
              <w:rPr>
                <w:sz w:val="26"/>
                <w:szCs w:val="26"/>
                <w:lang w:val="lv-LV"/>
              </w:rPr>
              <w:t>Projekta izpildē iesaistītās institūcijas</w:t>
            </w:r>
          </w:p>
          <w:p w:rsidR="00A173A2" w:rsidRPr="00850F37" w:rsidRDefault="00A173A2" w:rsidP="00942A54">
            <w:pPr>
              <w:spacing w:after="120"/>
              <w:ind w:left="57" w:right="57"/>
              <w:rPr>
                <w:sz w:val="26"/>
                <w:szCs w:val="26"/>
                <w:lang w:val="lv-LV"/>
              </w:rPr>
            </w:pPr>
          </w:p>
        </w:tc>
        <w:tc>
          <w:tcPr>
            <w:tcW w:w="5777" w:type="dxa"/>
          </w:tcPr>
          <w:p w:rsidR="00A173A2" w:rsidRPr="00850F37" w:rsidRDefault="00A173A2" w:rsidP="00942A54">
            <w:pPr>
              <w:spacing w:after="120"/>
              <w:ind w:left="57" w:right="57"/>
              <w:rPr>
                <w:sz w:val="26"/>
                <w:szCs w:val="26"/>
                <w:lang w:val="lv-LV"/>
              </w:rPr>
            </w:pPr>
            <w:r w:rsidRPr="00850F37">
              <w:rPr>
                <w:iCs/>
                <w:sz w:val="26"/>
                <w:szCs w:val="26"/>
                <w:lang w:val="lv-LV"/>
              </w:rPr>
              <w:t>Būvvaldes un valsts institūcijas, kas kontrolē būvniecības procesu.</w:t>
            </w:r>
          </w:p>
        </w:tc>
      </w:tr>
      <w:tr w:rsidR="00942A54" w:rsidRPr="00D843B1" w:rsidTr="00A173A2">
        <w:tc>
          <w:tcPr>
            <w:tcW w:w="618" w:type="dxa"/>
          </w:tcPr>
          <w:p w:rsidR="00A173A2" w:rsidRPr="00850F37" w:rsidRDefault="00A173A2" w:rsidP="00942A54">
            <w:pPr>
              <w:spacing w:after="120"/>
              <w:ind w:left="57" w:right="57"/>
              <w:rPr>
                <w:sz w:val="26"/>
                <w:szCs w:val="26"/>
                <w:lang w:val="lv-LV"/>
              </w:rPr>
            </w:pPr>
            <w:r w:rsidRPr="00850F37">
              <w:rPr>
                <w:sz w:val="26"/>
                <w:szCs w:val="26"/>
                <w:lang w:val="lv-LV"/>
              </w:rPr>
              <w:t>2.</w:t>
            </w:r>
          </w:p>
        </w:tc>
        <w:tc>
          <w:tcPr>
            <w:tcW w:w="2835" w:type="dxa"/>
          </w:tcPr>
          <w:p w:rsidR="00A173A2" w:rsidRPr="00850F37" w:rsidRDefault="00A173A2" w:rsidP="00942A54">
            <w:pPr>
              <w:spacing w:after="120"/>
              <w:ind w:left="57" w:right="57"/>
              <w:jc w:val="both"/>
              <w:rPr>
                <w:sz w:val="26"/>
                <w:szCs w:val="26"/>
                <w:lang w:val="lv-LV"/>
              </w:rPr>
            </w:pPr>
            <w:r w:rsidRPr="00850F37">
              <w:rPr>
                <w:sz w:val="26"/>
                <w:szCs w:val="26"/>
                <w:lang w:val="lv-LV"/>
              </w:rPr>
              <w:t xml:space="preserve">Projekta izpildes ietekme uz pārvaldes funkcijām un institucionālo struktūru. </w:t>
            </w:r>
          </w:p>
          <w:p w:rsidR="00A173A2" w:rsidRPr="00850F37" w:rsidRDefault="00A173A2" w:rsidP="00942A54">
            <w:pPr>
              <w:spacing w:after="120"/>
              <w:ind w:left="57" w:right="57"/>
              <w:rPr>
                <w:sz w:val="26"/>
                <w:szCs w:val="26"/>
                <w:lang w:val="lv-LV"/>
              </w:rPr>
            </w:pPr>
            <w:r w:rsidRPr="00850F37">
              <w:rPr>
                <w:sz w:val="26"/>
                <w:szCs w:val="26"/>
                <w:lang w:val="lv-LV"/>
              </w:rPr>
              <w:t>Jaunu institūciju izveide, esošu institūciju likvidācija vai reorganizācija, to ietekme uz institūcijas cilvēkresursiem</w:t>
            </w:r>
          </w:p>
        </w:tc>
        <w:tc>
          <w:tcPr>
            <w:tcW w:w="5777" w:type="dxa"/>
          </w:tcPr>
          <w:p w:rsidR="002002BD" w:rsidRPr="00850F37" w:rsidRDefault="00A173A2" w:rsidP="00942A54">
            <w:pPr>
              <w:spacing w:after="120"/>
              <w:ind w:left="57" w:right="57"/>
              <w:rPr>
                <w:sz w:val="26"/>
                <w:szCs w:val="26"/>
                <w:lang w:val="lv-LV"/>
              </w:rPr>
            </w:pPr>
            <w:r w:rsidRPr="00850F37">
              <w:rPr>
                <w:sz w:val="26"/>
                <w:szCs w:val="26"/>
                <w:lang w:val="lv-LV"/>
              </w:rPr>
              <w:t>Noteikumu projekts tiks īstenots esošu institūciju un cil</w:t>
            </w:r>
            <w:r w:rsidR="002002BD" w:rsidRPr="00850F37">
              <w:rPr>
                <w:sz w:val="26"/>
                <w:szCs w:val="26"/>
                <w:lang w:val="lv-LV"/>
              </w:rPr>
              <w:t>vēkresursu ietvaros</w:t>
            </w:r>
            <w:r w:rsidR="00942A54" w:rsidRPr="00850F37">
              <w:rPr>
                <w:sz w:val="26"/>
                <w:szCs w:val="26"/>
                <w:lang w:val="lv-LV"/>
              </w:rPr>
              <w:t xml:space="preserve"> - </w:t>
            </w:r>
            <w:r w:rsidR="002002BD" w:rsidRPr="00850F37">
              <w:rPr>
                <w:sz w:val="26"/>
                <w:szCs w:val="26"/>
                <w:lang w:val="lv-LV"/>
              </w:rPr>
              <w:t>projekta izpilde neietekmē projekta izpildē iesaistītās institūcijas funkcijas un uzdevumus</w:t>
            </w:r>
            <w:r w:rsidR="00942A54" w:rsidRPr="00850F37">
              <w:rPr>
                <w:sz w:val="26"/>
                <w:szCs w:val="26"/>
                <w:lang w:val="lv-LV"/>
              </w:rPr>
              <w:t xml:space="preserve">, kā arī nav </w:t>
            </w:r>
            <w:r w:rsidR="002002BD" w:rsidRPr="00850F37">
              <w:rPr>
                <w:sz w:val="26"/>
                <w:szCs w:val="26"/>
                <w:lang w:val="lv-LV"/>
              </w:rPr>
              <w:t xml:space="preserve">nepieciešams veidot jaunas institūcijas, </w:t>
            </w:r>
            <w:r w:rsidR="00942A54" w:rsidRPr="00850F37">
              <w:rPr>
                <w:sz w:val="26"/>
                <w:szCs w:val="26"/>
                <w:lang w:val="lv-LV"/>
              </w:rPr>
              <w:t>likvidēt vai reorganizēt esošās.</w:t>
            </w:r>
          </w:p>
        </w:tc>
      </w:tr>
      <w:tr w:rsidR="00942A54" w:rsidRPr="00850F37" w:rsidTr="00A173A2">
        <w:tc>
          <w:tcPr>
            <w:tcW w:w="618" w:type="dxa"/>
          </w:tcPr>
          <w:p w:rsidR="00A173A2" w:rsidRPr="00850F37" w:rsidRDefault="00A173A2" w:rsidP="00942A54">
            <w:pPr>
              <w:spacing w:after="120"/>
              <w:ind w:left="57" w:right="57"/>
              <w:rPr>
                <w:sz w:val="26"/>
                <w:szCs w:val="26"/>
                <w:lang w:val="lv-LV"/>
              </w:rPr>
            </w:pPr>
            <w:r w:rsidRPr="00850F37">
              <w:rPr>
                <w:sz w:val="26"/>
                <w:szCs w:val="26"/>
                <w:lang w:val="lv-LV"/>
              </w:rPr>
              <w:t>3.</w:t>
            </w:r>
          </w:p>
        </w:tc>
        <w:tc>
          <w:tcPr>
            <w:tcW w:w="2835" w:type="dxa"/>
          </w:tcPr>
          <w:p w:rsidR="00A173A2" w:rsidRPr="00850F37" w:rsidRDefault="00A173A2" w:rsidP="00942A54">
            <w:pPr>
              <w:spacing w:after="120"/>
              <w:ind w:left="57" w:right="57"/>
              <w:rPr>
                <w:sz w:val="26"/>
                <w:szCs w:val="26"/>
                <w:lang w:val="lv-LV"/>
              </w:rPr>
            </w:pPr>
            <w:r w:rsidRPr="00850F37">
              <w:rPr>
                <w:sz w:val="26"/>
                <w:szCs w:val="26"/>
                <w:lang w:val="lv-LV"/>
              </w:rPr>
              <w:t>Cita informācija</w:t>
            </w:r>
          </w:p>
        </w:tc>
        <w:tc>
          <w:tcPr>
            <w:tcW w:w="5777" w:type="dxa"/>
          </w:tcPr>
          <w:p w:rsidR="00A173A2" w:rsidRPr="00850F37" w:rsidRDefault="00A173A2" w:rsidP="00942A54">
            <w:pPr>
              <w:spacing w:after="120"/>
              <w:ind w:left="57" w:right="57"/>
              <w:rPr>
                <w:sz w:val="26"/>
                <w:szCs w:val="26"/>
                <w:lang w:val="lv-LV"/>
              </w:rPr>
            </w:pPr>
            <w:r w:rsidRPr="00850F37">
              <w:rPr>
                <w:sz w:val="26"/>
                <w:szCs w:val="26"/>
                <w:lang w:val="lv-LV"/>
              </w:rPr>
              <w:t>Nav</w:t>
            </w:r>
          </w:p>
        </w:tc>
      </w:tr>
    </w:tbl>
    <w:p w:rsidR="00A173A2" w:rsidRPr="00850F37" w:rsidRDefault="00A173A2" w:rsidP="0078682B">
      <w:pPr>
        <w:ind w:left="57" w:right="57"/>
        <w:rPr>
          <w:sz w:val="26"/>
          <w:szCs w:val="26"/>
          <w:lang w:val="lv-LV"/>
        </w:rPr>
      </w:pPr>
    </w:p>
    <w:p w:rsidR="0078682B" w:rsidRPr="00850F37" w:rsidRDefault="0078682B" w:rsidP="0078682B">
      <w:pPr>
        <w:pStyle w:val="naisf"/>
        <w:tabs>
          <w:tab w:val="left" w:pos="6710"/>
        </w:tabs>
        <w:spacing w:before="120" w:after="240"/>
        <w:rPr>
          <w:i/>
          <w:sz w:val="26"/>
          <w:szCs w:val="26"/>
        </w:rPr>
      </w:pPr>
      <w:r w:rsidRPr="00850F37">
        <w:rPr>
          <w:i/>
          <w:sz w:val="26"/>
          <w:szCs w:val="26"/>
        </w:rPr>
        <w:t>Anotācijas III, IV un V sadaļa - projekts šīs jomas neskar.</w:t>
      </w:r>
    </w:p>
    <w:p w:rsidR="0078682B" w:rsidRPr="00850F37" w:rsidRDefault="0078682B" w:rsidP="0078682B">
      <w:pPr>
        <w:tabs>
          <w:tab w:val="right" w:pos="9072"/>
        </w:tabs>
        <w:jc w:val="both"/>
        <w:rPr>
          <w:sz w:val="28"/>
          <w:szCs w:val="28"/>
          <w:lang w:val="lv-LV"/>
        </w:rPr>
      </w:pPr>
    </w:p>
    <w:p w:rsidR="0078682B" w:rsidRPr="00850F37" w:rsidRDefault="0078682B" w:rsidP="0078682B">
      <w:pPr>
        <w:tabs>
          <w:tab w:val="right" w:pos="9072"/>
        </w:tabs>
        <w:jc w:val="both"/>
        <w:rPr>
          <w:sz w:val="28"/>
          <w:szCs w:val="28"/>
          <w:lang w:val="lv-LV"/>
        </w:rPr>
      </w:pPr>
      <w:r w:rsidRPr="00850F37">
        <w:rPr>
          <w:sz w:val="28"/>
          <w:szCs w:val="28"/>
          <w:lang w:val="lv-LV"/>
        </w:rPr>
        <w:t>Ekonomikas ministre</w:t>
      </w:r>
      <w:r w:rsidRPr="00850F37">
        <w:rPr>
          <w:sz w:val="28"/>
          <w:szCs w:val="28"/>
          <w:lang w:val="lv-LV"/>
        </w:rPr>
        <w:tab/>
      </w:r>
      <w:proofErr w:type="spellStart"/>
      <w:r w:rsidRPr="00850F37">
        <w:rPr>
          <w:sz w:val="28"/>
          <w:szCs w:val="28"/>
          <w:lang w:val="lv-LV"/>
        </w:rPr>
        <w:t>D.Reizniece</w:t>
      </w:r>
      <w:proofErr w:type="spellEnd"/>
      <w:r w:rsidRPr="00850F37">
        <w:rPr>
          <w:sz w:val="28"/>
          <w:szCs w:val="28"/>
          <w:lang w:val="lv-LV"/>
        </w:rPr>
        <w:t>-Ozola</w:t>
      </w:r>
    </w:p>
    <w:p w:rsidR="0078682B" w:rsidRPr="00850F37" w:rsidRDefault="0078682B" w:rsidP="0078682B">
      <w:pPr>
        <w:rPr>
          <w:sz w:val="28"/>
          <w:szCs w:val="28"/>
          <w:lang w:val="lv-LV"/>
        </w:rPr>
      </w:pPr>
    </w:p>
    <w:p w:rsidR="0078682B" w:rsidRPr="00850F37" w:rsidRDefault="0078682B" w:rsidP="0078682B">
      <w:pPr>
        <w:rPr>
          <w:sz w:val="28"/>
          <w:szCs w:val="28"/>
          <w:lang w:val="lv-LV"/>
        </w:rPr>
      </w:pPr>
      <w:r w:rsidRPr="00850F37">
        <w:rPr>
          <w:sz w:val="28"/>
          <w:szCs w:val="28"/>
          <w:lang w:val="lv-LV"/>
        </w:rPr>
        <w:t>Vīza:</w:t>
      </w:r>
    </w:p>
    <w:p w:rsidR="0078682B" w:rsidRPr="00850F37" w:rsidRDefault="0078682B" w:rsidP="0078682B">
      <w:pPr>
        <w:tabs>
          <w:tab w:val="right" w:pos="9072"/>
        </w:tabs>
        <w:rPr>
          <w:sz w:val="28"/>
          <w:szCs w:val="28"/>
          <w:lang w:val="lv-LV"/>
        </w:rPr>
      </w:pPr>
      <w:r w:rsidRPr="00850F37">
        <w:rPr>
          <w:sz w:val="28"/>
          <w:szCs w:val="28"/>
          <w:lang w:val="lv-LV"/>
        </w:rPr>
        <w:t>Valsts sekretāra</w:t>
      </w:r>
    </w:p>
    <w:p w:rsidR="0078682B" w:rsidRPr="00850F37" w:rsidRDefault="0078682B" w:rsidP="0078682B">
      <w:pPr>
        <w:tabs>
          <w:tab w:val="right" w:pos="9072"/>
        </w:tabs>
        <w:rPr>
          <w:sz w:val="28"/>
          <w:szCs w:val="28"/>
          <w:lang w:val="lv-LV"/>
        </w:rPr>
      </w:pPr>
      <w:r w:rsidRPr="00850F37">
        <w:rPr>
          <w:sz w:val="28"/>
          <w:szCs w:val="28"/>
          <w:lang w:val="lv-LV"/>
        </w:rPr>
        <w:t>pienākumu izpildītājs,</w:t>
      </w:r>
    </w:p>
    <w:p w:rsidR="0078682B" w:rsidRPr="00850F37" w:rsidRDefault="0078682B" w:rsidP="0078682B">
      <w:pPr>
        <w:tabs>
          <w:tab w:val="right" w:pos="9072"/>
        </w:tabs>
        <w:rPr>
          <w:sz w:val="28"/>
          <w:szCs w:val="28"/>
          <w:lang w:val="lv-LV"/>
        </w:rPr>
      </w:pPr>
      <w:r w:rsidRPr="00850F37">
        <w:rPr>
          <w:sz w:val="28"/>
          <w:szCs w:val="28"/>
          <w:lang w:val="lv-LV"/>
        </w:rPr>
        <w:t xml:space="preserve">valsts sekretāra vietnieks </w:t>
      </w:r>
      <w:r w:rsidRPr="00850F37">
        <w:rPr>
          <w:sz w:val="28"/>
          <w:szCs w:val="28"/>
          <w:lang w:val="lv-LV"/>
        </w:rPr>
        <w:tab/>
      </w:r>
      <w:proofErr w:type="spellStart"/>
      <w:r w:rsidRPr="00850F37">
        <w:rPr>
          <w:sz w:val="28"/>
          <w:szCs w:val="28"/>
          <w:lang w:val="lv-LV"/>
        </w:rPr>
        <w:t>J.Spiridonovs</w:t>
      </w:r>
      <w:proofErr w:type="spellEnd"/>
    </w:p>
    <w:p w:rsidR="0078682B" w:rsidRDefault="0078682B" w:rsidP="0078682B">
      <w:pPr>
        <w:rPr>
          <w:sz w:val="28"/>
          <w:szCs w:val="28"/>
          <w:lang w:val="lv-LV"/>
        </w:rPr>
      </w:pPr>
    </w:p>
    <w:p w:rsidR="00170710" w:rsidRDefault="00170710" w:rsidP="0078682B">
      <w:pPr>
        <w:rPr>
          <w:sz w:val="28"/>
          <w:szCs w:val="28"/>
          <w:lang w:val="lv-LV"/>
        </w:rPr>
      </w:pPr>
    </w:p>
    <w:p w:rsidR="00170710" w:rsidRDefault="00170710" w:rsidP="0078682B">
      <w:pPr>
        <w:rPr>
          <w:sz w:val="28"/>
          <w:szCs w:val="28"/>
          <w:lang w:val="lv-LV"/>
        </w:rPr>
      </w:pPr>
    </w:p>
    <w:p w:rsidR="00170710" w:rsidRDefault="00170710" w:rsidP="0078682B">
      <w:pPr>
        <w:rPr>
          <w:sz w:val="28"/>
          <w:szCs w:val="28"/>
          <w:lang w:val="lv-LV"/>
        </w:rPr>
      </w:pPr>
    </w:p>
    <w:p w:rsidR="00170710" w:rsidRDefault="00170710" w:rsidP="0078682B">
      <w:pPr>
        <w:rPr>
          <w:sz w:val="28"/>
          <w:szCs w:val="28"/>
          <w:lang w:val="lv-LV"/>
        </w:rPr>
      </w:pPr>
    </w:p>
    <w:p w:rsidR="00170710" w:rsidRDefault="00170710" w:rsidP="0078682B">
      <w:pPr>
        <w:rPr>
          <w:sz w:val="28"/>
          <w:szCs w:val="28"/>
          <w:lang w:val="lv-LV"/>
        </w:rPr>
      </w:pPr>
    </w:p>
    <w:p w:rsidR="00170710" w:rsidRDefault="00170710" w:rsidP="0078682B">
      <w:pPr>
        <w:rPr>
          <w:sz w:val="28"/>
          <w:szCs w:val="28"/>
          <w:lang w:val="lv-LV"/>
        </w:rPr>
      </w:pPr>
    </w:p>
    <w:p w:rsidR="00170710" w:rsidRPr="00850F37" w:rsidRDefault="00170710" w:rsidP="0078682B">
      <w:pPr>
        <w:rPr>
          <w:sz w:val="28"/>
          <w:szCs w:val="28"/>
          <w:lang w:val="lv-LV"/>
        </w:rPr>
      </w:pPr>
      <w:bookmarkStart w:id="10" w:name="_GoBack"/>
    </w:p>
    <w:p w:rsidR="0078682B" w:rsidRPr="00850F37" w:rsidRDefault="0078682B" w:rsidP="0078682B">
      <w:pPr>
        <w:keepLines/>
        <w:widowControl w:val="0"/>
        <w:jc w:val="both"/>
        <w:rPr>
          <w:sz w:val="20"/>
          <w:lang w:val="lv-LV"/>
        </w:rPr>
      </w:pPr>
      <w:r w:rsidRPr="00850F37">
        <w:rPr>
          <w:sz w:val="20"/>
          <w:lang w:val="lv-LV"/>
        </w:rPr>
        <w:fldChar w:fldCharType="begin"/>
      </w:r>
      <w:r w:rsidRPr="00850F37">
        <w:rPr>
          <w:sz w:val="20"/>
          <w:lang w:val="lv-LV"/>
        </w:rPr>
        <w:instrText xml:space="preserve"> DATE  \@ "dd.MM.yyyy. H:mm"  \* MERGEFORMAT </w:instrText>
      </w:r>
      <w:r w:rsidRPr="00850F37">
        <w:rPr>
          <w:sz w:val="20"/>
          <w:lang w:val="lv-LV"/>
        </w:rPr>
        <w:fldChar w:fldCharType="separate"/>
      </w:r>
      <w:r w:rsidR="001F3348">
        <w:rPr>
          <w:noProof/>
          <w:sz w:val="20"/>
          <w:lang w:val="lv-LV"/>
        </w:rPr>
        <w:t>01.06.2015. 13:57</w:t>
      </w:r>
      <w:r w:rsidRPr="00850F37">
        <w:rPr>
          <w:sz w:val="20"/>
          <w:lang w:val="lv-LV"/>
        </w:rPr>
        <w:fldChar w:fldCharType="end"/>
      </w:r>
    </w:p>
    <w:bookmarkEnd w:id="10"/>
    <w:p w:rsidR="0078682B" w:rsidRPr="00850F37" w:rsidRDefault="0078682B" w:rsidP="0078682B">
      <w:pPr>
        <w:tabs>
          <w:tab w:val="left" w:pos="1080"/>
        </w:tabs>
        <w:ind w:right="71"/>
        <w:jc w:val="both"/>
        <w:rPr>
          <w:sz w:val="20"/>
          <w:lang w:val="lv-LV"/>
        </w:rPr>
      </w:pPr>
      <w:r w:rsidRPr="00850F37">
        <w:rPr>
          <w:sz w:val="20"/>
          <w:lang w:val="lv-LV"/>
        </w:rPr>
        <w:fldChar w:fldCharType="begin"/>
      </w:r>
      <w:r w:rsidRPr="00850F37">
        <w:rPr>
          <w:sz w:val="20"/>
          <w:lang w:val="lv-LV"/>
        </w:rPr>
        <w:instrText xml:space="preserve"> NUMWORDS   \* MERGEFORMAT </w:instrText>
      </w:r>
      <w:r w:rsidRPr="00850F37">
        <w:rPr>
          <w:sz w:val="20"/>
          <w:lang w:val="lv-LV"/>
        </w:rPr>
        <w:fldChar w:fldCharType="separate"/>
      </w:r>
      <w:r w:rsidR="00170710">
        <w:rPr>
          <w:noProof/>
          <w:sz w:val="20"/>
          <w:lang w:val="lv-LV"/>
        </w:rPr>
        <w:t>804</w:t>
      </w:r>
      <w:r w:rsidRPr="00850F37">
        <w:rPr>
          <w:sz w:val="20"/>
          <w:lang w:val="lv-LV"/>
        </w:rPr>
        <w:fldChar w:fldCharType="end"/>
      </w:r>
    </w:p>
    <w:p w:rsidR="0078682B" w:rsidRPr="00850F37" w:rsidRDefault="0078682B" w:rsidP="0078682B">
      <w:pPr>
        <w:tabs>
          <w:tab w:val="left" w:pos="1080"/>
        </w:tabs>
        <w:ind w:right="71"/>
        <w:jc w:val="both"/>
        <w:rPr>
          <w:sz w:val="20"/>
          <w:lang w:val="lv-LV"/>
        </w:rPr>
      </w:pPr>
      <w:proofErr w:type="spellStart"/>
      <w:r w:rsidRPr="00850F37">
        <w:rPr>
          <w:sz w:val="20"/>
          <w:lang w:val="lv-LV"/>
        </w:rPr>
        <w:t>E.Bučinska</w:t>
      </w:r>
      <w:proofErr w:type="spellEnd"/>
      <w:r w:rsidRPr="00850F37">
        <w:rPr>
          <w:sz w:val="20"/>
          <w:lang w:val="lv-LV"/>
        </w:rPr>
        <w:t>,</w:t>
      </w:r>
    </w:p>
    <w:p w:rsidR="0078682B" w:rsidRPr="00850F37" w:rsidRDefault="0078682B" w:rsidP="0078682B">
      <w:pPr>
        <w:tabs>
          <w:tab w:val="left" w:pos="1080"/>
        </w:tabs>
        <w:ind w:right="71"/>
        <w:jc w:val="both"/>
        <w:rPr>
          <w:sz w:val="20"/>
          <w:lang w:val="lv-LV"/>
        </w:rPr>
      </w:pPr>
      <w:r w:rsidRPr="00850F37">
        <w:rPr>
          <w:sz w:val="20"/>
          <w:lang w:val="lv-LV"/>
        </w:rPr>
        <w:t xml:space="preserve">67013032, </w:t>
      </w:r>
      <w:hyperlink r:id="rId7" w:history="1">
        <w:r w:rsidRPr="00850F37">
          <w:rPr>
            <w:rStyle w:val="Hyperlink"/>
            <w:color w:val="auto"/>
            <w:sz w:val="20"/>
            <w:u w:val="none"/>
            <w:lang w:val="lv-LV"/>
          </w:rPr>
          <w:t>Elga.Bucinska@em.gov.lv</w:t>
        </w:r>
      </w:hyperlink>
      <w:r w:rsidRPr="00850F37">
        <w:rPr>
          <w:sz w:val="20"/>
          <w:lang w:val="lv-LV"/>
        </w:rPr>
        <w:t xml:space="preserve"> </w:t>
      </w:r>
    </w:p>
    <w:p w:rsidR="00E15628" w:rsidRPr="00850F37" w:rsidRDefault="00E15628">
      <w:pPr>
        <w:rPr>
          <w:lang w:val="de-DE"/>
        </w:rPr>
      </w:pPr>
    </w:p>
    <w:sectPr w:rsidR="00E15628" w:rsidRPr="00850F37" w:rsidSect="00FD2D53">
      <w:headerReference w:type="default" r:id="rId8"/>
      <w:footerReference w:type="default" r:id="rId9"/>
      <w:footerReference w:type="first" r:id="rId10"/>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49" w:rsidRDefault="003C5649" w:rsidP="00633F1B">
      <w:r>
        <w:separator/>
      </w:r>
    </w:p>
  </w:endnote>
  <w:endnote w:type="continuationSeparator" w:id="0">
    <w:p w:rsidR="003C5649" w:rsidRDefault="003C5649" w:rsidP="0063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B6" w:rsidRPr="00C2565A" w:rsidRDefault="003C5649" w:rsidP="00650CB6">
    <w:pPr>
      <w:jc w:val="both"/>
      <w:rPr>
        <w:sz w:val="20"/>
        <w:lang w:val="lv-LV"/>
      </w:rPr>
    </w:pPr>
    <w:r>
      <w:fldChar w:fldCharType="begin"/>
    </w:r>
    <w:r>
      <w:instrText xml:space="preserve"> FILENAME   \* MERGEFORMAT </w:instrText>
    </w:r>
    <w:r>
      <w:fldChar w:fldCharType="separate"/>
    </w:r>
    <w:r w:rsidR="00170710" w:rsidRPr="00170710">
      <w:rPr>
        <w:noProof/>
        <w:sz w:val="20"/>
        <w:lang w:val="lv-LV"/>
      </w:rPr>
      <w:t>EManot_010615_LBN016</w:t>
    </w:r>
    <w:r>
      <w:rPr>
        <w:noProof/>
        <w:sz w:val="20"/>
        <w:lang w:val="lv-LV"/>
      </w:rPr>
      <w:fldChar w:fldCharType="end"/>
    </w:r>
    <w:r w:rsidR="00733615" w:rsidRPr="00C2565A">
      <w:rPr>
        <w:sz w:val="20"/>
        <w:lang w:val="lv-LV"/>
      </w:rPr>
      <w:t xml:space="preserve">; </w:t>
    </w:r>
    <w:r w:rsidR="00733615">
      <w:rPr>
        <w:sz w:val="20"/>
        <w:lang w:val="lv-LV"/>
      </w:rPr>
      <w:t>Ministru kabineta noteikumu projekta „Noteikumi par Latvijas būvnormatīvu LBN 016-15 „Būvakustika”” sākotnējās ietekmes novērtējuma ziņojums (anotācija)</w:t>
    </w:r>
  </w:p>
  <w:p w:rsidR="00727BC6" w:rsidRPr="00513873" w:rsidRDefault="003C5649" w:rsidP="00513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836" w:rsidRPr="00C2565A" w:rsidRDefault="003C5649" w:rsidP="00CF2836">
    <w:pPr>
      <w:jc w:val="both"/>
      <w:rPr>
        <w:sz w:val="20"/>
        <w:lang w:val="lv-LV"/>
      </w:rPr>
    </w:pPr>
    <w:r>
      <w:fldChar w:fldCharType="begin"/>
    </w:r>
    <w:r>
      <w:instrText xml:space="preserve"> FILENAME   \* MERGEFORMAT </w:instrText>
    </w:r>
    <w:r>
      <w:fldChar w:fldCharType="separate"/>
    </w:r>
    <w:r w:rsidR="00170710" w:rsidRPr="00170710">
      <w:rPr>
        <w:noProof/>
        <w:sz w:val="20"/>
        <w:lang w:val="lv-LV"/>
      </w:rPr>
      <w:t>EManot_010615_LBN016</w:t>
    </w:r>
    <w:r>
      <w:rPr>
        <w:noProof/>
        <w:sz w:val="20"/>
        <w:lang w:val="lv-LV"/>
      </w:rPr>
      <w:fldChar w:fldCharType="end"/>
    </w:r>
    <w:r w:rsidR="00733615" w:rsidRPr="00C2565A">
      <w:rPr>
        <w:sz w:val="20"/>
        <w:lang w:val="lv-LV"/>
      </w:rPr>
      <w:t xml:space="preserve">; </w:t>
    </w:r>
    <w:r w:rsidR="00733615">
      <w:rPr>
        <w:sz w:val="20"/>
        <w:lang w:val="lv-LV"/>
      </w:rPr>
      <w:t>Ministru kabineta noteikumu projekta „Noteikumi par Latvijas būvnormatīvu LBN 016-15 „Būvakustika”” sākotnējās ietekmes novērtējuma ziņojums (anotācija)</w:t>
    </w:r>
  </w:p>
  <w:p w:rsidR="00727BC6" w:rsidRPr="00EE3404" w:rsidRDefault="003C5649" w:rsidP="00EE3404">
    <w:pPr>
      <w:jc w:val="both"/>
      <w:rPr>
        <w:sz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49" w:rsidRDefault="003C5649" w:rsidP="00633F1B">
      <w:r>
        <w:separator/>
      </w:r>
    </w:p>
  </w:footnote>
  <w:footnote w:type="continuationSeparator" w:id="0">
    <w:p w:rsidR="003C5649" w:rsidRDefault="003C5649" w:rsidP="0063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Default="00733615">
    <w:pPr>
      <w:pStyle w:val="Header"/>
      <w:jc w:val="center"/>
      <w:rPr>
        <w:sz w:val="24"/>
      </w:rPr>
    </w:pPr>
    <w:r>
      <w:rPr>
        <w:sz w:val="24"/>
      </w:rPr>
      <w:fldChar w:fldCharType="begin"/>
    </w:r>
    <w:r>
      <w:rPr>
        <w:sz w:val="24"/>
      </w:rPr>
      <w:instrText xml:space="preserve"> PAGE   \* MERGEFORMAT </w:instrText>
    </w:r>
    <w:r>
      <w:rPr>
        <w:sz w:val="24"/>
      </w:rPr>
      <w:fldChar w:fldCharType="separate"/>
    </w:r>
    <w:r w:rsidR="001F3348">
      <w:rPr>
        <w:noProof/>
        <w:sz w:val="24"/>
      </w:rPr>
      <w:t>4</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2B"/>
    <w:rsid w:val="000070C8"/>
    <w:rsid w:val="00170710"/>
    <w:rsid w:val="001F3348"/>
    <w:rsid w:val="002002BD"/>
    <w:rsid w:val="003C5649"/>
    <w:rsid w:val="00455E52"/>
    <w:rsid w:val="00633F1B"/>
    <w:rsid w:val="006429AB"/>
    <w:rsid w:val="00733615"/>
    <w:rsid w:val="0078682B"/>
    <w:rsid w:val="00850F37"/>
    <w:rsid w:val="0087705C"/>
    <w:rsid w:val="008E2C2D"/>
    <w:rsid w:val="00916E56"/>
    <w:rsid w:val="00942A54"/>
    <w:rsid w:val="00A173A2"/>
    <w:rsid w:val="00AC2A83"/>
    <w:rsid w:val="00AD4253"/>
    <w:rsid w:val="00BA24F0"/>
    <w:rsid w:val="00BD4BF9"/>
    <w:rsid w:val="00D843B1"/>
    <w:rsid w:val="00E15628"/>
    <w:rsid w:val="00E831E4"/>
    <w:rsid w:val="00FA3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ACCBEE1-A508-480C-B35B-B179E116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2B"/>
    <w:pPr>
      <w:spacing w:after="0" w:line="240" w:lineRule="auto"/>
    </w:pPr>
    <w:rPr>
      <w:rFonts w:ascii="Times New Roman" w:eastAsia="Times New Roman" w:hAnsi="Times New Roman" w:cs="Times New Roman"/>
      <w:sz w:val="24"/>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8682B"/>
    <w:pPr>
      <w:spacing w:before="100" w:after="100"/>
    </w:pPr>
    <w:rPr>
      <w:lang w:val="lv-LV"/>
    </w:rPr>
  </w:style>
  <w:style w:type="paragraph" w:styleId="Header">
    <w:name w:val="header"/>
    <w:basedOn w:val="Normal"/>
    <w:link w:val="HeaderChar"/>
    <w:uiPriority w:val="99"/>
    <w:rsid w:val="0078682B"/>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78682B"/>
    <w:rPr>
      <w:rFonts w:ascii="Times New Roman" w:eastAsia="Times New Roman" w:hAnsi="Times New Roman" w:cs="Times New Roman"/>
      <w:szCs w:val="20"/>
      <w:lang w:eastAsia="lv-LV"/>
    </w:rPr>
  </w:style>
  <w:style w:type="character" w:styleId="Hyperlink">
    <w:name w:val="Hyperlink"/>
    <w:basedOn w:val="DefaultParagraphFont"/>
    <w:uiPriority w:val="99"/>
    <w:rsid w:val="0078682B"/>
    <w:rPr>
      <w:color w:val="0000FF"/>
      <w:u w:val="single"/>
    </w:rPr>
  </w:style>
  <w:style w:type="paragraph" w:customStyle="1" w:styleId="naiskr">
    <w:name w:val="naiskr"/>
    <w:basedOn w:val="Normal"/>
    <w:rsid w:val="0078682B"/>
    <w:pPr>
      <w:spacing w:before="75" w:after="75"/>
    </w:pPr>
    <w:rPr>
      <w:szCs w:val="24"/>
      <w:lang w:val="lv-LV"/>
    </w:rPr>
  </w:style>
  <w:style w:type="paragraph" w:customStyle="1" w:styleId="naisnod">
    <w:name w:val="naisnod"/>
    <w:basedOn w:val="Normal"/>
    <w:rsid w:val="0078682B"/>
    <w:pPr>
      <w:spacing w:before="150" w:after="150"/>
      <w:jc w:val="center"/>
    </w:pPr>
    <w:rPr>
      <w:b/>
      <w:bCs/>
      <w:szCs w:val="24"/>
      <w:lang w:val="lv-LV"/>
    </w:rPr>
  </w:style>
  <w:style w:type="paragraph" w:styleId="Footer">
    <w:name w:val="footer"/>
    <w:basedOn w:val="Normal"/>
    <w:link w:val="FooterChar"/>
    <w:uiPriority w:val="99"/>
    <w:unhideWhenUsed/>
    <w:rsid w:val="0078682B"/>
    <w:pPr>
      <w:tabs>
        <w:tab w:val="center" w:pos="4153"/>
        <w:tab w:val="right" w:pos="8306"/>
      </w:tabs>
    </w:pPr>
  </w:style>
  <w:style w:type="character" w:customStyle="1" w:styleId="FooterChar">
    <w:name w:val="Footer Char"/>
    <w:basedOn w:val="DefaultParagraphFont"/>
    <w:link w:val="Footer"/>
    <w:uiPriority w:val="99"/>
    <w:rsid w:val="0078682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78682B"/>
    <w:rPr>
      <w:rFonts w:ascii="Tahoma" w:hAnsi="Tahoma" w:cs="Tahoma"/>
      <w:sz w:val="16"/>
      <w:szCs w:val="16"/>
    </w:rPr>
  </w:style>
  <w:style w:type="character" w:customStyle="1" w:styleId="BalloonTextChar">
    <w:name w:val="Balloon Text Char"/>
    <w:basedOn w:val="DefaultParagraphFont"/>
    <w:link w:val="BalloonText"/>
    <w:uiPriority w:val="99"/>
    <w:semiHidden/>
    <w:rsid w:val="0078682B"/>
    <w:rPr>
      <w:rFonts w:ascii="Tahoma" w:eastAsia="Times New Roman" w:hAnsi="Tahoma" w:cs="Tahoma"/>
      <w:sz w:val="16"/>
      <w:szCs w:val="16"/>
      <w:lang w:val="en-AU" w:eastAsia="lv-LV"/>
    </w:rPr>
  </w:style>
  <w:style w:type="table" w:styleId="TableGrid">
    <w:name w:val="Table Grid"/>
    <w:basedOn w:val="TableNormal"/>
    <w:uiPriority w:val="59"/>
    <w:rsid w:val="00A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E135-0DA7-49EC-9162-6DA93885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827</Words>
  <Characters>6143</Characters>
  <Application>Microsoft Office Word</Application>
  <DocSecurity>0</DocSecurity>
  <Lines>227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12</cp:revision>
  <dcterms:created xsi:type="dcterms:W3CDTF">2015-05-14T07:17:00Z</dcterms:created>
  <dcterms:modified xsi:type="dcterms:W3CDTF">2015-06-01T10:57:00Z</dcterms:modified>
</cp:coreProperties>
</file>